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header23.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CA3183" w14:textId="77777777" w:rsidR="0005356D" w:rsidRPr="000F2D4C" w:rsidRDefault="0005356D" w:rsidP="0005356D">
      <w:pPr>
        <w:spacing w:after="0" w:line="240" w:lineRule="auto"/>
      </w:pPr>
    </w:p>
    <w:p w14:paraId="5DDA7439" w14:textId="77777777" w:rsidR="0005356D" w:rsidRPr="000F2D4C" w:rsidRDefault="0005356D" w:rsidP="0005356D">
      <w:pPr>
        <w:spacing w:after="0" w:line="240" w:lineRule="auto"/>
      </w:pPr>
    </w:p>
    <w:p w14:paraId="20A99A15" w14:textId="77777777" w:rsidR="0005356D" w:rsidRPr="000F2D4C" w:rsidRDefault="0005356D" w:rsidP="0005356D">
      <w:pPr>
        <w:spacing w:after="0" w:line="240" w:lineRule="auto"/>
      </w:pPr>
    </w:p>
    <w:p w14:paraId="2588D645" w14:textId="77777777" w:rsidR="0005356D" w:rsidRPr="000F2D4C" w:rsidRDefault="0005356D" w:rsidP="0005356D">
      <w:pPr>
        <w:spacing w:after="0" w:line="240" w:lineRule="auto"/>
      </w:pPr>
    </w:p>
    <w:p w14:paraId="0D90E937" w14:textId="77777777" w:rsidR="0005356D" w:rsidRPr="000F2D4C" w:rsidRDefault="0005356D" w:rsidP="0005356D">
      <w:pPr>
        <w:spacing w:after="0" w:line="240" w:lineRule="auto"/>
      </w:pPr>
    </w:p>
    <w:p w14:paraId="0B4F95C9" w14:textId="77777777" w:rsidR="0005356D" w:rsidRPr="000F2D4C" w:rsidRDefault="0005356D" w:rsidP="0005356D">
      <w:pPr>
        <w:spacing w:after="0" w:line="240" w:lineRule="auto"/>
      </w:pPr>
    </w:p>
    <w:p w14:paraId="0731F958" w14:textId="77777777" w:rsidR="0005356D" w:rsidRPr="000F2D4C" w:rsidRDefault="0005356D" w:rsidP="0005356D">
      <w:pPr>
        <w:spacing w:after="0" w:line="240" w:lineRule="auto"/>
      </w:pPr>
    </w:p>
    <w:p w14:paraId="233756B9" w14:textId="77777777" w:rsidR="0005356D" w:rsidRPr="000F2D4C" w:rsidRDefault="0005356D" w:rsidP="0005356D">
      <w:pPr>
        <w:spacing w:after="0" w:line="240" w:lineRule="auto"/>
      </w:pPr>
    </w:p>
    <w:p w14:paraId="1D06C210" w14:textId="77777777" w:rsidR="0005356D" w:rsidRPr="000F2D4C" w:rsidRDefault="0005356D" w:rsidP="0005356D">
      <w:pPr>
        <w:spacing w:after="0" w:line="240" w:lineRule="auto"/>
      </w:pPr>
    </w:p>
    <w:p w14:paraId="274FA4E6" w14:textId="77777777" w:rsidR="0005356D" w:rsidRPr="000F2D4C" w:rsidRDefault="0005356D" w:rsidP="0005356D">
      <w:pPr>
        <w:spacing w:after="0" w:line="240" w:lineRule="auto"/>
      </w:pPr>
    </w:p>
    <w:p w14:paraId="3575D12A" w14:textId="77777777" w:rsidR="0005356D" w:rsidRPr="000F2D4C" w:rsidRDefault="0005356D" w:rsidP="0005356D">
      <w:pPr>
        <w:spacing w:after="0" w:line="240" w:lineRule="auto"/>
      </w:pPr>
    </w:p>
    <w:p w14:paraId="03E60849" w14:textId="77777777" w:rsidR="0005356D" w:rsidRPr="000F2D4C" w:rsidRDefault="0005356D" w:rsidP="0005356D">
      <w:pPr>
        <w:spacing w:after="0" w:line="240" w:lineRule="auto"/>
      </w:pPr>
    </w:p>
    <w:p w14:paraId="2AD88BB2" w14:textId="77777777" w:rsidR="0005356D" w:rsidRPr="000F2D4C" w:rsidRDefault="0005356D" w:rsidP="0005356D">
      <w:pPr>
        <w:spacing w:after="0" w:line="240" w:lineRule="auto"/>
      </w:pPr>
    </w:p>
    <w:p w14:paraId="507407D3" w14:textId="77777777" w:rsidR="0005356D" w:rsidRPr="000F2D4C" w:rsidRDefault="0005356D" w:rsidP="0005356D">
      <w:pPr>
        <w:spacing w:after="0" w:line="240" w:lineRule="auto"/>
      </w:pPr>
    </w:p>
    <w:p w14:paraId="0E5D1388" w14:textId="77777777" w:rsidR="0005356D" w:rsidRPr="000F2D4C" w:rsidRDefault="0005356D" w:rsidP="0005356D">
      <w:pPr>
        <w:spacing w:after="0" w:line="240" w:lineRule="auto"/>
      </w:pPr>
    </w:p>
    <w:p w14:paraId="23C2EEC6" w14:textId="77777777" w:rsidR="0005356D" w:rsidRPr="000F2D4C" w:rsidRDefault="0005356D" w:rsidP="0005356D">
      <w:pPr>
        <w:spacing w:after="0" w:line="240" w:lineRule="auto"/>
      </w:pPr>
    </w:p>
    <w:p w14:paraId="084ED569" w14:textId="77777777" w:rsidR="0005356D" w:rsidRPr="000F2D4C" w:rsidRDefault="0005356D" w:rsidP="0005356D">
      <w:pPr>
        <w:spacing w:after="0" w:line="240" w:lineRule="auto"/>
      </w:pPr>
    </w:p>
    <w:p w14:paraId="535DC874" w14:textId="77777777" w:rsidR="0005356D" w:rsidRPr="000F2D4C" w:rsidRDefault="0005356D" w:rsidP="0005356D">
      <w:pPr>
        <w:spacing w:after="0" w:line="240" w:lineRule="auto"/>
      </w:pPr>
    </w:p>
    <w:p w14:paraId="4FDFE388" w14:textId="77777777" w:rsidR="0005356D" w:rsidRPr="000F2D4C" w:rsidRDefault="0005356D" w:rsidP="0005356D">
      <w:pPr>
        <w:spacing w:after="0" w:line="240" w:lineRule="auto"/>
      </w:pPr>
    </w:p>
    <w:p w14:paraId="5B28A6A1" w14:textId="31D07DC0" w:rsidR="0005356D" w:rsidRPr="000F2D4C" w:rsidRDefault="0005356D" w:rsidP="0005356D">
      <w:pPr>
        <w:spacing w:after="0" w:line="240" w:lineRule="auto"/>
      </w:pPr>
    </w:p>
    <w:p w14:paraId="418D609B" w14:textId="77777777" w:rsidR="0005356D" w:rsidRPr="000F2D4C" w:rsidRDefault="0005356D" w:rsidP="0005356D">
      <w:pPr>
        <w:spacing w:after="0" w:line="240" w:lineRule="auto"/>
      </w:pPr>
    </w:p>
    <w:p w14:paraId="67BFE649" w14:textId="231FBFB9" w:rsidR="0005356D" w:rsidRPr="000F2D4C" w:rsidRDefault="0005356D" w:rsidP="0005356D">
      <w:pPr>
        <w:spacing w:after="0" w:line="240" w:lineRule="auto"/>
      </w:pPr>
    </w:p>
    <w:p w14:paraId="47F25F67" w14:textId="3C6C023F" w:rsidR="0005356D" w:rsidRPr="000F2D4C" w:rsidRDefault="0005356D" w:rsidP="0005356D">
      <w:pPr>
        <w:spacing w:after="0" w:line="240" w:lineRule="auto"/>
      </w:pPr>
    </w:p>
    <w:p w14:paraId="3842C6F0" w14:textId="548828BE" w:rsidR="0005356D" w:rsidRPr="000F2D4C" w:rsidRDefault="0005356D" w:rsidP="0005356D">
      <w:pPr>
        <w:spacing w:after="0" w:line="240" w:lineRule="auto"/>
      </w:pPr>
    </w:p>
    <w:p w14:paraId="74D6BAD4" w14:textId="6E4C1F80" w:rsidR="0005356D" w:rsidRPr="000F2D4C" w:rsidRDefault="0005356D" w:rsidP="0005356D">
      <w:pPr>
        <w:spacing w:after="0" w:line="240" w:lineRule="auto"/>
      </w:pPr>
    </w:p>
    <w:p w14:paraId="6CCA4874" w14:textId="7E56BBFE" w:rsidR="0005356D" w:rsidRPr="000F2D4C" w:rsidRDefault="0005356D" w:rsidP="0005356D">
      <w:pPr>
        <w:spacing w:after="0" w:line="240" w:lineRule="auto"/>
      </w:pPr>
    </w:p>
    <w:p w14:paraId="274A8AA5" w14:textId="77777777" w:rsidR="0005356D" w:rsidRPr="000F2D4C" w:rsidRDefault="0005356D" w:rsidP="0005356D">
      <w:pPr>
        <w:spacing w:after="0" w:line="240" w:lineRule="auto"/>
      </w:pPr>
    </w:p>
    <w:p w14:paraId="65B8CA04" w14:textId="77777777" w:rsidR="0044778F" w:rsidRPr="000F2D4C" w:rsidRDefault="0044778F"/>
    <w:tbl>
      <w:tblPr>
        <w:tblStyle w:val="TableGrid"/>
        <w:tblW w:w="1013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37"/>
      </w:tblGrid>
      <w:tr w:rsidR="0044778F" w:rsidRPr="000F2D4C" w14:paraId="0D9E929C" w14:textId="77777777" w:rsidTr="00BE4E5E">
        <w:trPr>
          <w:trHeight w:val="2627"/>
        </w:trPr>
        <w:tc>
          <w:tcPr>
            <w:tcW w:w="10137" w:type="dxa"/>
            <w:vAlign w:val="bottom"/>
          </w:tcPr>
          <w:p w14:paraId="14C2BB77" w14:textId="45884B99" w:rsidR="0044778F" w:rsidRPr="000F2D4C" w:rsidRDefault="00B36F9D" w:rsidP="00BE4E5E">
            <w:pPr>
              <w:pStyle w:val="Subtitle"/>
              <w:spacing w:before="0" w:after="0"/>
              <w:jc w:val="center"/>
              <w:rPr>
                <w:b/>
                <w:bCs/>
              </w:rPr>
            </w:pPr>
            <w:r w:rsidRPr="000F2D4C">
              <w:rPr>
                <w:b/>
                <w:bCs/>
              </w:rPr>
              <w:t>National Mental Health and Suicide Prevention Evaluation Framework</w:t>
            </w:r>
          </w:p>
        </w:tc>
      </w:tr>
    </w:tbl>
    <w:p w14:paraId="3C39B214" w14:textId="77777777" w:rsidR="00B36F9D" w:rsidRPr="000F2D4C" w:rsidRDefault="00B36F9D"/>
    <w:tbl>
      <w:tblPr>
        <w:tblStyle w:val="TableGrid"/>
        <w:tblW w:w="10065" w:type="dxa"/>
        <w:tblInd w:w="-856" w:type="dxa"/>
        <w:tblBorders>
          <w:top w:val="single" w:sz="4" w:space="0" w:color="49A7C3" w:themeColor="accent2"/>
          <w:left w:val="none" w:sz="0" w:space="0" w:color="auto"/>
          <w:bottom w:val="none" w:sz="0" w:space="0" w:color="auto"/>
          <w:right w:val="none" w:sz="0" w:space="0" w:color="auto"/>
          <w:insideH w:val="none" w:sz="0" w:space="0" w:color="auto"/>
          <w:insideV w:val="single" w:sz="4" w:space="0" w:color="49A7C3" w:themeColor="accent2"/>
        </w:tblBorders>
        <w:tblLook w:val="04A0" w:firstRow="1" w:lastRow="0" w:firstColumn="1" w:lastColumn="0" w:noHBand="0" w:noVBand="1"/>
      </w:tblPr>
      <w:tblGrid>
        <w:gridCol w:w="4961"/>
        <w:gridCol w:w="5104"/>
      </w:tblGrid>
      <w:tr w:rsidR="00B36F9D" w:rsidRPr="000F2D4C" w14:paraId="1472FF48" w14:textId="77777777" w:rsidTr="0001225A">
        <w:trPr>
          <w:trHeight w:val="1293"/>
        </w:trPr>
        <w:tc>
          <w:tcPr>
            <w:tcW w:w="4961" w:type="dxa"/>
          </w:tcPr>
          <w:p w14:paraId="5AFB4193" w14:textId="7B1069FF" w:rsidR="00B36F9D" w:rsidRPr="000F2D4C" w:rsidRDefault="008A56B8" w:rsidP="0001225A">
            <w:pPr>
              <w:pStyle w:val="Subtitle"/>
              <w:spacing w:line="360" w:lineRule="auto"/>
              <w:jc w:val="center"/>
              <w:rPr>
                <w:b/>
                <w:bCs/>
                <w:color w:val="005677" w:themeColor="accent1"/>
                <w:sz w:val="20"/>
                <w:szCs w:val="20"/>
              </w:rPr>
            </w:pPr>
            <w:r w:rsidRPr="000F2D4C">
              <w:rPr>
                <w:b/>
                <w:bCs/>
                <w:color w:val="005677" w:themeColor="accent1"/>
                <w:sz w:val="20"/>
                <w:szCs w:val="20"/>
              </w:rPr>
              <w:t>FINAL</w:t>
            </w:r>
          </w:p>
        </w:tc>
        <w:tc>
          <w:tcPr>
            <w:tcW w:w="5104" w:type="dxa"/>
          </w:tcPr>
          <w:p w14:paraId="740F9278" w14:textId="69520E28" w:rsidR="00B36F9D" w:rsidRPr="000F2D4C" w:rsidRDefault="003F274C" w:rsidP="0001225A">
            <w:pPr>
              <w:pStyle w:val="ReportDepartmenttext"/>
              <w:spacing w:before="120" w:line="360" w:lineRule="auto"/>
              <w:jc w:val="center"/>
            </w:pPr>
            <w:r w:rsidRPr="000F2D4C">
              <w:t>December 2023</w:t>
            </w:r>
          </w:p>
        </w:tc>
      </w:tr>
    </w:tbl>
    <w:p w14:paraId="786C43BD" w14:textId="77777777" w:rsidR="00B36F9D" w:rsidRPr="000F2D4C" w:rsidRDefault="00B36F9D"/>
    <w:p w14:paraId="4D91AE83" w14:textId="7C0651ED" w:rsidR="0005356D" w:rsidRPr="000F2D4C" w:rsidRDefault="0005356D" w:rsidP="0005356D">
      <w:pPr>
        <w:sectPr w:rsidR="0005356D" w:rsidRPr="000F2D4C" w:rsidSect="00324725">
          <w:headerReference w:type="default" r:id="rId11"/>
          <w:footerReference w:type="even" r:id="rId12"/>
          <w:footerReference w:type="default" r:id="rId13"/>
          <w:headerReference w:type="first" r:id="rId14"/>
          <w:footerReference w:type="first" r:id="rId15"/>
          <w:type w:val="continuous"/>
          <w:pgSz w:w="11906" w:h="16838" w:code="9"/>
          <w:pgMar w:top="1418" w:right="1418" w:bottom="1418" w:left="2268" w:header="561" w:footer="561" w:gutter="0"/>
          <w:pgNumType w:start="1"/>
          <w:cols w:space="708"/>
          <w:titlePg/>
          <w:docGrid w:linePitch="360"/>
        </w:sectPr>
      </w:pPr>
    </w:p>
    <w:sdt>
      <w:sdtPr>
        <w:rPr>
          <w:rFonts w:asciiTheme="minorHAnsi" w:eastAsia="Calibri" w:hAnsiTheme="minorHAnsi" w:cs="Times New Roman"/>
          <w:b w:val="0"/>
          <w:bCs w:val="0"/>
          <w:caps w:val="0"/>
          <w:sz w:val="20"/>
          <w:szCs w:val="24"/>
          <w:lang w:eastAsia="en-AU"/>
        </w:rPr>
        <w:id w:val="2067736130"/>
        <w:docPartObj>
          <w:docPartGallery w:val="Table of Contents"/>
          <w:docPartUnique/>
        </w:docPartObj>
      </w:sdtPr>
      <w:sdtEndPr/>
      <w:sdtContent>
        <w:p w14:paraId="5B9EEDC0" w14:textId="67247EB2" w:rsidR="00AD7794" w:rsidRPr="000F2D4C" w:rsidRDefault="00AD7794">
          <w:pPr>
            <w:pStyle w:val="TOCHeading"/>
          </w:pPr>
          <w:r w:rsidRPr="000F2D4C">
            <w:t>Contents</w:t>
          </w:r>
        </w:p>
        <w:p w14:paraId="317B87B3" w14:textId="33765CD4" w:rsidR="00DF765A" w:rsidRPr="000F2D4C" w:rsidRDefault="002D0A0E">
          <w:pPr>
            <w:pStyle w:val="TOC1"/>
            <w:rPr>
              <w:rFonts w:eastAsiaTheme="minorEastAsia" w:cstheme="minorBidi"/>
              <w:noProof/>
              <w:color w:val="auto"/>
              <w:kern w:val="2"/>
              <w:sz w:val="22"/>
              <w:szCs w:val="22"/>
              <w14:ligatures w14:val="standardContextual"/>
            </w:rPr>
          </w:pPr>
          <w:r w:rsidRPr="000F2D4C">
            <w:fldChar w:fldCharType="begin"/>
          </w:r>
          <w:r w:rsidR="00CF632F" w:rsidRPr="000F2D4C">
            <w:instrText>TOC \o "1-2" \h \z \u</w:instrText>
          </w:r>
          <w:r w:rsidRPr="000F2D4C">
            <w:fldChar w:fldCharType="separate"/>
          </w:r>
          <w:hyperlink w:anchor="_Toc149918981" w:history="1">
            <w:r w:rsidR="00DF765A" w:rsidRPr="000F2D4C">
              <w:rPr>
                <w:rStyle w:val="Hyperlink"/>
                <w:noProof/>
              </w:rPr>
              <w:t>1.</w:t>
            </w:r>
            <w:r w:rsidR="00DF765A" w:rsidRPr="000F2D4C">
              <w:rPr>
                <w:rFonts w:eastAsiaTheme="minorEastAsia" w:cstheme="minorBidi"/>
                <w:noProof/>
                <w:color w:val="auto"/>
                <w:kern w:val="2"/>
                <w:sz w:val="22"/>
                <w:szCs w:val="22"/>
                <w14:ligatures w14:val="standardContextual"/>
              </w:rPr>
              <w:tab/>
            </w:r>
            <w:r w:rsidR="00DF765A" w:rsidRPr="000F2D4C">
              <w:rPr>
                <w:rStyle w:val="Hyperlink"/>
                <w:noProof/>
              </w:rPr>
              <w:t>Framework on a page</w:t>
            </w:r>
            <w:r w:rsidR="00DF765A" w:rsidRPr="000F2D4C">
              <w:rPr>
                <w:noProof/>
                <w:webHidden/>
              </w:rPr>
              <w:tab/>
            </w:r>
            <w:r w:rsidR="00DF765A" w:rsidRPr="000F2D4C">
              <w:rPr>
                <w:noProof/>
                <w:webHidden/>
              </w:rPr>
              <w:fldChar w:fldCharType="begin"/>
            </w:r>
            <w:r w:rsidR="00DF765A" w:rsidRPr="000F2D4C">
              <w:rPr>
                <w:noProof/>
                <w:webHidden/>
              </w:rPr>
              <w:instrText xml:space="preserve"> PAGEREF _Toc149918981 \h </w:instrText>
            </w:r>
            <w:r w:rsidR="00DF765A" w:rsidRPr="000F2D4C">
              <w:rPr>
                <w:noProof/>
                <w:webHidden/>
              </w:rPr>
            </w:r>
            <w:r w:rsidR="00DF765A" w:rsidRPr="000F2D4C">
              <w:rPr>
                <w:noProof/>
                <w:webHidden/>
              </w:rPr>
              <w:fldChar w:fldCharType="separate"/>
            </w:r>
            <w:r w:rsidR="00DB00E1">
              <w:rPr>
                <w:noProof/>
                <w:webHidden/>
              </w:rPr>
              <w:t>3</w:t>
            </w:r>
            <w:r w:rsidR="00DF765A" w:rsidRPr="000F2D4C">
              <w:rPr>
                <w:noProof/>
                <w:webHidden/>
              </w:rPr>
              <w:fldChar w:fldCharType="end"/>
            </w:r>
          </w:hyperlink>
        </w:p>
        <w:p w14:paraId="6B11AA3A" w14:textId="370C84FA" w:rsidR="00DF765A" w:rsidRPr="000F2D4C" w:rsidRDefault="00DF765A">
          <w:pPr>
            <w:pStyle w:val="TOC1"/>
            <w:rPr>
              <w:rFonts w:eastAsiaTheme="minorEastAsia" w:cstheme="minorBidi"/>
              <w:noProof/>
              <w:color w:val="auto"/>
              <w:kern w:val="2"/>
              <w:sz w:val="22"/>
              <w:szCs w:val="22"/>
              <w14:ligatures w14:val="standardContextual"/>
            </w:rPr>
          </w:pPr>
          <w:hyperlink w:anchor="_Toc149918982" w:history="1">
            <w:r w:rsidRPr="000F2D4C">
              <w:rPr>
                <w:rStyle w:val="Hyperlink"/>
                <w:noProof/>
              </w:rPr>
              <w:t>2.</w:t>
            </w:r>
            <w:r w:rsidRPr="000F2D4C">
              <w:rPr>
                <w:rFonts w:eastAsiaTheme="minorEastAsia" w:cstheme="minorBidi"/>
                <w:noProof/>
                <w:color w:val="auto"/>
                <w:kern w:val="2"/>
                <w:sz w:val="22"/>
                <w:szCs w:val="22"/>
                <w14:ligatures w14:val="standardContextual"/>
              </w:rPr>
              <w:tab/>
            </w:r>
            <w:r w:rsidRPr="000F2D4C">
              <w:rPr>
                <w:rStyle w:val="Hyperlink"/>
                <w:noProof/>
              </w:rPr>
              <w:t>Background</w:t>
            </w:r>
            <w:r w:rsidRPr="000F2D4C">
              <w:rPr>
                <w:noProof/>
                <w:webHidden/>
              </w:rPr>
              <w:tab/>
            </w:r>
            <w:r w:rsidRPr="000F2D4C">
              <w:rPr>
                <w:noProof/>
                <w:webHidden/>
              </w:rPr>
              <w:fldChar w:fldCharType="begin"/>
            </w:r>
            <w:r w:rsidRPr="000F2D4C">
              <w:rPr>
                <w:noProof/>
                <w:webHidden/>
              </w:rPr>
              <w:instrText xml:space="preserve"> PAGEREF _Toc149918982 \h </w:instrText>
            </w:r>
            <w:r w:rsidRPr="000F2D4C">
              <w:rPr>
                <w:noProof/>
                <w:webHidden/>
              </w:rPr>
            </w:r>
            <w:r w:rsidRPr="000F2D4C">
              <w:rPr>
                <w:noProof/>
                <w:webHidden/>
              </w:rPr>
              <w:fldChar w:fldCharType="separate"/>
            </w:r>
            <w:r w:rsidR="00DB00E1">
              <w:rPr>
                <w:noProof/>
                <w:webHidden/>
              </w:rPr>
              <w:t>4</w:t>
            </w:r>
            <w:r w:rsidRPr="000F2D4C">
              <w:rPr>
                <w:noProof/>
                <w:webHidden/>
              </w:rPr>
              <w:fldChar w:fldCharType="end"/>
            </w:r>
          </w:hyperlink>
        </w:p>
        <w:p w14:paraId="1FBC68DC" w14:textId="3409B65E" w:rsidR="00DF765A" w:rsidRPr="000F2D4C" w:rsidRDefault="00DF765A">
          <w:pPr>
            <w:pStyle w:val="TOC2"/>
            <w:rPr>
              <w:rFonts w:eastAsiaTheme="minorEastAsia" w:cstheme="minorBidi"/>
              <w:noProof/>
              <w:kern w:val="2"/>
              <w:sz w:val="22"/>
              <w:szCs w:val="22"/>
              <w:lang w:eastAsia="en-AU"/>
              <w14:ligatures w14:val="standardContextual"/>
            </w:rPr>
          </w:pPr>
          <w:hyperlink w:anchor="_Toc149918983" w:history="1">
            <w:r w:rsidRPr="000F2D4C">
              <w:rPr>
                <w:rStyle w:val="Hyperlink"/>
                <w:noProof/>
              </w:rPr>
              <w:t>2.1</w:t>
            </w:r>
            <w:r w:rsidRPr="000F2D4C">
              <w:rPr>
                <w:rFonts w:eastAsiaTheme="minorEastAsia" w:cstheme="minorBidi"/>
                <w:noProof/>
                <w:kern w:val="2"/>
                <w:sz w:val="22"/>
                <w:szCs w:val="22"/>
                <w:lang w:eastAsia="en-AU"/>
                <w14:ligatures w14:val="standardContextual"/>
              </w:rPr>
              <w:tab/>
            </w:r>
            <w:r w:rsidRPr="000F2D4C">
              <w:rPr>
                <w:rStyle w:val="Hyperlink"/>
                <w:noProof/>
              </w:rPr>
              <w:t>National Mental Health and Suicide Prevention Agreement</w:t>
            </w:r>
            <w:r w:rsidRPr="000F2D4C">
              <w:rPr>
                <w:noProof/>
                <w:webHidden/>
              </w:rPr>
              <w:tab/>
            </w:r>
            <w:r w:rsidRPr="000F2D4C">
              <w:rPr>
                <w:noProof/>
                <w:webHidden/>
              </w:rPr>
              <w:fldChar w:fldCharType="begin"/>
            </w:r>
            <w:r w:rsidRPr="000F2D4C">
              <w:rPr>
                <w:noProof/>
                <w:webHidden/>
              </w:rPr>
              <w:instrText xml:space="preserve"> PAGEREF _Toc149918983 \h </w:instrText>
            </w:r>
            <w:r w:rsidRPr="000F2D4C">
              <w:rPr>
                <w:noProof/>
                <w:webHidden/>
              </w:rPr>
            </w:r>
            <w:r w:rsidRPr="000F2D4C">
              <w:rPr>
                <w:noProof/>
                <w:webHidden/>
              </w:rPr>
              <w:fldChar w:fldCharType="separate"/>
            </w:r>
            <w:r w:rsidR="00DB00E1">
              <w:rPr>
                <w:noProof/>
                <w:webHidden/>
              </w:rPr>
              <w:t>4</w:t>
            </w:r>
            <w:r w:rsidRPr="000F2D4C">
              <w:rPr>
                <w:noProof/>
                <w:webHidden/>
              </w:rPr>
              <w:fldChar w:fldCharType="end"/>
            </w:r>
          </w:hyperlink>
        </w:p>
        <w:p w14:paraId="1A0F8815" w14:textId="7901A642" w:rsidR="00DF765A" w:rsidRPr="000F2D4C" w:rsidRDefault="00DF765A">
          <w:pPr>
            <w:pStyle w:val="TOC2"/>
            <w:rPr>
              <w:rFonts w:eastAsiaTheme="minorEastAsia" w:cstheme="minorBidi"/>
              <w:noProof/>
              <w:kern w:val="2"/>
              <w:sz w:val="22"/>
              <w:szCs w:val="22"/>
              <w:lang w:eastAsia="en-AU"/>
              <w14:ligatures w14:val="standardContextual"/>
            </w:rPr>
          </w:pPr>
          <w:hyperlink w:anchor="_Toc149918984" w:history="1">
            <w:r w:rsidRPr="000F2D4C">
              <w:rPr>
                <w:rStyle w:val="Hyperlink"/>
                <w:noProof/>
              </w:rPr>
              <w:t>2.2</w:t>
            </w:r>
            <w:r w:rsidRPr="000F2D4C">
              <w:rPr>
                <w:rFonts w:eastAsiaTheme="minorEastAsia" w:cstheme="minorBidi"/>
                <w:noProof/>
                <w:kern w:val="2"/>
                <w:sz w:val="22"/>
                <w:szCs w:val="22"/>
                <w:lang w:eastAsia="en-AU"/>
                <w14:ligatures w14:val="standardContextual"/>
              </w:rPr>
              <w:tab/>
            </w:r>
            <w:r w:rsidRPr="000F2D4C">
              <w:rPr>
                <w:rStyle w:val="Hyperlink"/>
                <w:noProof/>
              </w:rPr>
              <w:t>A National Evaluation Framework and Sharing Guidelines</w:t>
            </w:r>
            <w:r w:rsidRPr="000F2D4C">
              <w:rPr>
                <w:noProof/>
                <w:webHidden/>
              </w:rPr>
              <w:tab/>
            </w:r>
            <w:r w:rsidRPr="000F2D4C">
              <w:rPr>
                <w:noProof/>
                <w:webHidden/>
              </w:rPr>
              <w:fldChar w:fldCharType="begin"/>
            </w:r>
            <w:r w:rsidRPr="000F2D4C">
              <w:rPr>
                <w:noProof/>
                <w:webHidden/>
              </w:rPr>
              <w:instrText xml:space="preserve"> PAGEREF _Toc149918984 \h </w:instrText>
            </w:r>
            <w:r w:rsidRPr="000F2D4C">
              <w:rPr>
                <w:noProof/>
                <w:webHidden/>
              </w:rPr>
            </w:r>
            <w:r w:rsidRPr="000F2D4C">
              <w:rPr>
                <w:noProof/>
                <w:webHidden/>
              </w:rPr>
              <w:fldChar w:fldCharType="separate"/>
            </w:r>
            <w:r w:rsidR="00DB00E1">
              <w:rPr>
                <w:noProof/>
                <w:webHidden/>
              </w:rPr>
              <w:t>4</w:t>
            </w:r>
            <w:r w:rsidRPr="000F2D4C">
              <w:rPr>
                <w:noProof/>
                <w:webHidden/>
              </w:rPr>
              <w:fldChar w:fldCharType="end"/>
            </w:r>
          </w:hyperlink>
        </w:p>
        <w:p w14:paraId="60E43E08" w14:textId="01FF476F" w:rsidR="00DF765A" w:rsidRPr="000F2D4C" w:rsidRDefault="00DF765A">
          <w:pPr>
            <w:pStyle w:val="TOC2"/>
            <w:rPr>
              <w:rFonts w:eastAsiaTheme="minorEastAsia" w:cstheme="minorBidi"/>
              <w:noProof/>
              <w:kern w:val="2"/>
              <w:sz w:val="22"/>
              <w:szCs w:val="22"/>
              <w:lang w:eastAsia="en-AU"/>
              <w14:ligatures w14:val="standardContextual"/>
            </w:rPr>
          </w:pPr>
          <w:hyperlink w:anchor="_Toc149918985" w:history="1">
            <w:r w:rsidRPr="000F2D4C">
              <w:rPr>
                <w:rStyle w:val="Hyperlink"/>
                <w:noProof/>
              </w:rPr>
              <w:t>2.3</w:t>
            </w:r>
            <w:r w:rsidRPr="000F2D4C">
              <w:rPr>
                <w:rFonts w:eastAsiaTheme="minorEastAsia" w:cstheme="minorBidi"/>
                <w:noProof/>
                <w:kern w:val="2"/>
                <w:sz w:val="22"/>
                <w:szCs w:val="22"/>
                <w:lang w:eastAsia="en-AU"/>
                <w14:ligatures w14:val="standardContextual"/>
              </w:rPr>
              <w:tab/>
            </w:r>
            <w:r w:rsidRPr="000F2D4C">
              <w:rPr>
                <w:rStyle w:val="Hyperlink"/>
                <w:noProof/>
              </w:rPr>
              <w:t>How the Framework was developed</w:t>
            </w:r>
            <w:r w:rsidRPr="000F2D4C">
              <w:rPr>
                <w:noProof/>
                <w:webHidden/>
              </w:rPr>
              <w:tab/>
            </w:r>
            <w:r w:rsidRPr="000F2D4C">
              <w:rPr>
                <w:noProof/>
                <w:webHidden/>
              </w:rPr>
              <w:fldChar w:fldCharType="begin"/>
            </w:r>
            <w:r w:rsidRPr="000F2D4C">
              <w:rPr>
                <w:noProof/>
                <w:webHidden/>
              </w:rPr>
              <w:instrText xml:space="preserve"> PAGEREF _Toc149918985 \h </w:instrText>
            </w:r>
            <w:r w:rsidRPr="000F2D4C">
              <w:rPr>
                <w:noProof/>
                <w:webHidden/>
              </w:rPr>
            </w:r>
            <w:r w:rsidRPr="000F2D4C">
              <w:rPr>
                <w:noProof/>
                <w:webHidden/>
              </w:rPr>
              <w:fldChar w:fldCharType="separate"/>
            </w:r>
            <w:r w:rsidR="00DB00E1">
              <w:rPr>
                <w:noProof/>
                <w:webHidden/>
              </w:rPr>
              <w:t>6</w:t>
            </w:r>
            <w:r w:rsidRPr="000F2D4C">
              <w:rPr>
                <w:noProof/>
                <w:webHidden/>
              </w:rPr>
              <w:fldChar w:fldCharType="end"/>
            </w:r>
          </w:hyperlink>
        </w:p>
        <w:p w14:paraId="2F2C9FC9" w14:textId="107D432B" w:rsidR="00DF765A" w:rsidRPr="000F2D4C" w:rsidRDefault="00DF765A">
          <w:pPr>
            <w:pStyle w:val="TOC1"/>
            <w:rPr>
              <w:rFonts w:eastAsiaTheme="minorEastAsia" w:cstheme="minorBidi"/>
              <w:noProof/>
              <w:color w:val="auto"/>
              <w:kern w:val="2"/>
              <w:sz w:val="22"/>
              <w:szCs w:val="22"/>
              <w14:ligatures w14:val="standardContextual"/>
            </w:rPr>
          </w:pPr>
          <w:hyperlink w:anchor="_Toc149918986" w:history="1">
            <w:r w:rsidRPr="000F2D4C">
              <w:rPr>
                <w:rStyle w:val="Hyperlink"/>
                <w:noProof/>
              </w:rPr>
              <w:t>3.</w:t>
            </w:r>
            <w:r w:rsidRPr="000F2D4C">
              <w:rPr>
                <w:rFonts w:eastAsiaTheme="minorEastAsia" w:cstheme="minorBidi"/>
                <w:noProof/>
                <w:color w:val="auto"/>
                <w:kern w:val="2"/>
                <w:sz w:val="22"/>
                <w:szCs w:val="22"/>
                <w14:ligatures w14:val="standardContextual"/>
              </w:rPr>
              <w:tab/>
            </w:r>
            <w:r w:rsidRPr="000F2D4C">
              <w:rPr>
                <w:rStyle w:val="Hyperlink"/>
                <w:noProof/>
              </w:rPr>
              <w:t>Purpose and principles for evaluation</w:t>
            </w:r>
            <w:r w:rsidRPr="000F2D4C">
              <w:rPr>
                <w:noProof/>
                <w:webHidden/>
              </w:rPr>
              <w:tab/>
            </w:r>
            <w:r w:rsidRPr="000F2D4C">
              <w:rPr>
                <w:noProof/>
                <w:webHidden/>
              </w:rPr>
              <w:fldChar w:fldCharType="begin"/>
            </w:r>
            <w:r w:rsidRPr="000F2D4C">
              <w:rPr>
                <w:noProof/>
                <w:webHidden/>
              </w:rPr>
              <w:instrText xml:space="preserve"> PAGEREF _Toc149918986 \h </w:instrText>
            </w:r>
            <w:r w:rsidRPr="000F2D4C">
              <w:rPr>
                <w:noProof/>
                <w:webHidden/>
              </w:rPr>
            </w:r>
            <w:r w:rsidRPr="000F2D4C">
              <w:rPr>
                <w:noProof/>
                <w:webHidden/>
              </w:rPr>
              <w:fldChar w:fldCharType="separate"/>
            </w:r>
            <w:r w:rsidR="00DB00E1">
              <w:rPr>
                <w:noProof/>
                <w:webHidden/>
              </w:rPr>
              <w:t>7</w:t>
            </w:r>
            <w:r w:rsidRPr="000F2D4C">
              <w:rPr>
                <w:noProof/>
                <w:webHidden/>
              </w:rPr>
              <w:fldChar w:fldCharType="end"/>
            </w:r>
          </w:hyperlink>
        </w:p>
        <w:p w14:paraId="5DFAA48E" w14:textId="5E398931" w:rsidR="00DF765A" w:rsidRPr="000F2D4C" w:rsidRDefault="00DF765A">
          <w:pPr>
            <w:pStyle w:val="TOC2"/>
            <w:rPr>
              <w:rFonts w:eastAsiaTheme="minorEastAsia" w:cstheme="minorBidi"/>
              <w:noProof/>
              <w:kern w:val="2"/>
              <w:sz w:val="22"/>
              <w:szCs w:val="22"/>
              <w:lang w:eastAsia="en-AU"/>
              <w14:ligatures w14:val="standardContextual"/>
            </w:rPr>
          </w:pPr>
          <w:hyperlink w:anchor="_Toc149918987" w:history="1">
            <w:r w:rsidRPr="000F2D4C">
              <w:rPr>
                <w:rStyle w:val="Hyperlink"/>
                <w:noProof/>
              </w:rPr>
              <w:t>3.1</w:t>
            </w:r>
            <w:r w:rsidRPr="000F2D4C">
              <w:rPr>
                <w:rFonts w:eastAsiaTheme="minorEastAsia" w:cstheme="minorBidi"/>
                <w:noProof/>
                <w:kern w:val="2"/>
                <w:sz w:val="22"/>
                <w:szCs w:val="22"/>
                <w:lang w:eastAsia="en-AU"/>
                <w14:ligatures w14:val="standardContextual"/>
              </w:rPr>
              <w:tab/>
            </w:r>
            <w:r w:rsidRPr="000F2D4C">
              <w:rPr>
                <w:rStyle w:val="Hyperlink"/>
                <w:noProof/>
              </w:rPr>
              <w:t>What evaluation is</w:t>
            </w:r>
            <w:r w:rsidRPr="000F2D4C">
              <w:rPr>
                <w:noProof/>
                <w:webHidden/>
              </w:rPr>
              <w:tab/>
            </w:r>
            <w:r w:rsidRPr="000F2D4C">
              <w:rPr>
                <w:noProof/>
                <w:webHidden/>
              </w:rPr>
              <w:fldChar w:fldCharType="begin"/>
            </w:r>
            <w:r w:rsidRPr="000F2D4C">
              <w:rPr>
                <w:noProof/>
                <w:webHidden/>
              </w:rPr>
              <w:instrText xml:space="preserve"> PAGEREF _Toc149918987 \h </w:instrText>
            </w:r>
            <w:r w:rsidRPr="000F2D4C">
              <w:rPr>
                <w:noProof/>
                <w:webHidden/>
              </w:rPr>
            </w:r>
            <w:r w:rsidRPr="000F2D4C">
              <w:rPr>
                <w:noProof/>
                <w:webHidden/>
              </w:rPr>
              <w:fldChar w:fldCharType="separate"/>
            </w:r>
            <w:r w:rsidR="00DB00E1">
              <w:rPr>
                <w:noProof/>
                <w:webHidden/>
              </w:rPr>
              <w:t>7</w:t>
            </w:r>
            <w:r w:rsidRPr="000F2D4C">
              <w:rPr>
                <w:noProof/>
                <w:webHidden/>
              </w:rPr>
              <w:fldChar w:fldCharType="end"/>
            </w:r>
          </w:hyperlink>
        </w:p>
        <w:p w14:paraId="7387C0D0" w14:textId="6AAF1B12" w:rsidR="00DF765A" w:rsidRPr="000F2D4C" w:rsidRDefault="00DF765A">
          <w:pPr>
            <w:pStyle w:val="TOC2"/>
            <w:rPr>
              <w:rFonts w:eastAsiaTheme="minorEastAsia" w:cstheme="minorBidi"/>
              <w:noProof/>
              <w:kern w:val="2"/>
              <w:sz w:val="22"/>
              <w:szCs w:val="22"/>
              <w:lang w:eastAsia="en-AU"/>
              <w14:ligatures w14:val="standardContextual"/>
            </w:rPr>
          </w:pPr>
          <w:hyperlink w:anchor="_Toc149918988" w:history="1">
            <w:r w:rsidRPr="000F2D4C">
              <w:rPr>
                <w:rStyle w:val="Hyperlink"/>
                <w:noProof/>
              </w:rPr>
              <w:t>3.2</w:t>
            </w:r>
            <w:r w:rsidRPr="000F2D4C">
              <w:rPr>
                <w:rFonts w:eastAsiaTheme="minorEastAsia" w:cstheme="minorBidi"/>
                <w:noProof/>
                <w:kern w:val="2"/>
                <w:sz w:val="22"/>
                <w:szCs w:val="22"/>
                <w:lang w:eastAsia="en-AU"/>
                <w14:ligatures w14:val="standardContextual"/>
              </w:rPr>
              <w:tab/>
            </w:r>
            <w:r w:rsidRPr="000F2D4C">
              <w:rPr>
                <w:rStyle w:val="Hyperlink"/>
                <w:noProof/>
              </w:rPr>
              <w:t>How evaluation fits with other evidence generating activities</w:t>
            </w:r>
            <w:r w:rsidRPr="000F2D4C">
              <w:rPr>
                <w:noProof/>
                <w:webHidden/>
              </w:rPr>
              <w:tab/>
            </w:r>
            <w:r w:rsidRPr="000F2D4C">
              <w:rPr>
                <w:noProof/>
                <w:webHidden/>
              </w:rPr>
              <w:fldChar w:fldCharType="begin"/>
            </w:r>
            <w:r w:rsidRPr="000F2D4C">
              <w:rPr>
                <w:noProof/>
                <w:webHidden/>
              </w:rPr>
              <w:instrText xml:space="preserve"> PAGEREF _Toc149918988 \h </w:instrText>
            </w:r>
            <w:r w:rsidRPr="000F2D4C">
              <w:rPr>
                <w:noProof/>
                <w:webHidden/>
              </w:rPr>
            </w:r>
            <w:r w:rsidRPr="000F2D4C">
              <w:rPr>
                <w:noProof/>
                <w:webHidden/>
              </w:rPr>
              <w:fldChar w:fldCharType="separate"/>
            </w:r>
            <w:r w:rsidR="00DB00E1">
              <w:rPr>
                <w:noProof/>
                <w:webHidden/>
              </w:rPr>
              <w:t>8</w:t>
            </w:r>
            <w:r w:rsidRPr="000F2D4C">
              <w:rPr>
                <w:noProof/>
                <w:webHidden/>
              </w:rPr>
              <w:fldChar w:fldCharType="end"/>
            </w:r>
          </w:hyperlink>
        </w:p>
        <w:p w14:paraId="39FCD49D" w14:textId="0053C142" w:rsidR="00DF765A" w:rsidRPr="000F2D4C" w:rsidRDefault="00DF765A">
          <w:pPr>
            <w:pStyle w:val="TOC2"/>
            <w:rPr>
              <w:rFonts w:eastAsiaTheme="minorEastAsia" w:cstheme="minorBidi"/>
              <w:noProof/>
              <w:kern w:val="2"/>
              <w:sz w:val="22"/>
              <w:szCs w:val="22"/>
              <w:lang w:eastAsia="en-AU"/>
              <w14:ligatures w14:val="standardContextual"/>
            </w:rPr>
          </w:pPr>
          <w:hyperlink w:anchor="_Toc149918989" w:history="1">
            <w:r w:rsidRPr="000F2D4C">
              <w:rPr>
                <w:rStyle w:val="Hyperlink"/>
                <w:noProof/>
              </w:rPr>
              <w:t>3.3</w:t>
            </w:r>
            <w:r w:rsidRPr="000F2D4C">
              <w:rPr>
                <w:rFonts w:eastAsiaTheme="minorEastAsia" w:cstheme="minorBidi"/>
                <w:noProof/>
                <w:kern w:val="2"/>
                <w:sz w:val="22"/>
                <w:szCs w:val="22"/>
                <w:lang w:eastAsia="en-AU"/>
                <w14:ligatures w14:val="standardContextual"/>
              </w:rPr>
              <w:tab/>
            </w:r>
            <w:r w:rsidRPr="000F2D4C">
              <w:rPr>
                <w:rStyle w:val="Hyperlink"/>
                <w:noProof/>
              </w:rPr>
              <w:t>A principles-based approach to evaluation of mental health and suicide prevention programs</w:t>
            </w:r>
            <w:r w:rsidRPr="000F2D4C">
              <w:rPr>
                <w:noProof/>
                <w:webHidden/>
              </w:rPr>
              <w:tab/>
            </w:r>
            <w:r w:rsidRPr="000F2D4C">
              <w:rPr>
                <w:noProof/>
                <w:webHidden/>
              </w:rPr>
              <w:fldChar w:fldCharType="begin"/>
            </w:r>
            <w:r w:rsidRPr="000F2D4C">
              <w:rPr>
                <w:noProof/>
                <w:webHidden/>
              </w:rPr>
              <w:instrText xml:space="preserve"> PAGEREF _Toc149918989 \h </w:instrText>
            </w:r>
            <w:r w:rsidRPr="000F2D4C">
              <w:rPr>
                <w:noProof/>
                <w:webHidden/>
              </w:rPr>
            </w:r>
            <w:r w:rsidRPr="000F2D4C">
              <w:rPr>
                <w:noProof/>
                <w:webHidden/>
              </w:rPr>
              <w:fldChar w:fldCharType="separate"/>
            </w:r>
            <w:r w:rsidR="00DB00E1">
              <w:rPr>
                <w:noProof/>
                <w:webHidden/>
              </w:rPr>
              <w:t>10</w:t>
            </w:r>
            <w:r w:rsidRPr="000F2D4C">
              <w:rPr>
                <w:noProof/>
                <w:webHidden/>
              </w:rPr>
              <w:fldChar w:fldCharType="end"/>
            </w:r>
          </w:hyperlink>
        </w:p>
        <w:p w14:paraId="337557FD" w14:textId="42F8400F" w:rsidR="00DF765A" w:rsidRPr="000F2D4C" w:rsidRDefault="00DF765A">
          <w:pPr>
            <w:pStyle w:val="TOC1"/>
            <w:rPr>
              <w:rFonts w:eastAsiaTheme="minorEastAsia" w:cstheme="minorBidi"/>
              <w:noProof/>
              <w:color w:val="auto"/>
              <w:kern w:val="2"/>
              <w:sz w:val="22"/>
              <w:szCs w:val="22"/>
              <w14:ligatures w14:val="standardContextual"/>
            </w:rPr>
          </w:pPr>
          <w:hyperlink w:anchor="_Toc149918990" w:history="1">
            <w:r w:rsidRPr="000F2D4C">
              <w:rPr>
                <w:rStyle w:val="Hyperlink"/>
                <w:noProof/>
              </w:rPr>
              <w:t>4.</w:t>
            </w:r>
            <w:r w:rsidRPr="000F2D4C">
              <w:rPr>
                <w:rFonts w:eastAsiaTheme="minorEastAsia" w:cstheme="minorBidi"/>
                <w:noProof/>
                <w:color w:val="auto"/>
                <w:kern w:val="2"/>
                <w:sz w:val="22"/>
                <w:szCs w:val="22"/>
                <w14:ligatures w14:val="standardContextual"/>
              </w:rPr>
              <w:tab/>
            </w:r>
            <w:r w:rsidRPr="000F2D4C">
              <w:rPr>
                <w:rStyle w:val="Hyperlink"/>
                <w:noProof/>
              </w:rPr>
              <w:t>Getting ready for evaluation</w:t>
            </w:r>
            <w:r w:rsidRPr="000F2D4C">
              <w:rPr>
                <w:noProof/>
                <w:webHidden/>
              </w:rPr>
              <w:tab/>
            </w:r>
            <w:r w:rsidRPr="000F2D4C">
              <w:rPr>
                <w:noProof/>
                <w:webHidden/>
              </w:rPr>
              <w:fldChar w:fldCharType="begin"/>
            </w:r>
            <w:r w:rsidRPr="000F2D4C">
              <w:rPr>
                <w:noProof/>
                <w:webHidden/>
              </w:rPr>
              <w:instrText xml:space="preserve"> PAGEREF _Toc149918990 \h </w:instrText>
            </w:r>
            <w:r w:rsidRPr="000F2D4C">
              <w:rPr>
                <w:noProof/>
                <w:webHidden/>
              </w:rPr>
            </w:r>
            <w:r w:rsidRPr="000F2D4C">
              <w:rPr>
                <w:noProof/>
                <w:webHidden/>
              </w:rPr>
              <w:fldChar w:fldCharType="separate"/>
            </w:r>
            <w:r w:rsidR="00DB00E1">
              <w:rPr>
                <w:noProof/>
                <w:webHidden/>
              </w:rPr>
              <w:t>13</w:t>
            </w:r>
            <w:r w:rsidRPr="000F2D4C">
              <w:rPr>
                <w:noProof/>
                <w:webHidden/>
              </w:rPr>
              <w:fldChar w:fldCharType="end"/>
            </w:r>
          </w:hyperlink>
        </w:p>
        <w:p w14:paraId="37BD4D4B" w14:textId="3A892591" w:rsidR="00DF765A" w:rsidRPr="000F2D4C" w:rsidRDefault="00DF765A">
          <w:pPr>
            <w:pStyle w:val="TOC2"/>
            <w:rPr>
              <w:rFonts w:eastAsiaTheme="minorEastAsia" w:cstheme="minorBidi"/>
              <w:noProof/>
              <w:kern w:val="2"/>
              <w:sz w:val="22"/>
              <w:szCs w:val="22"/>
              <w:lang w:eastAsia="en-AU"/>
              <w14:ligatures w14:val="standardContextual"/>
            </w:rPr>
          </w:pPr>
          <w:hyperlink w:anchor="_Toc149918991" w:history="1">
            <w:r w:rsidRPr="000F2D4C">
              <w:rPr>
                <w:rStyle w:val="Hyperlink"/>
                <w:noProof/>
              </w:rPr>
              <w:t>4.1</w:t>
            </w:r>
            <w:r w:rsidRPr="000F2D4C">
              <w:rPr>
                <w:rFonts w:eastAsiaTheme="minorEastAsia" w:cstheme="minorBidi"/>
                <w:noProof/>
                <w:kern w:val="2"/>
                <w:sz w:val="22"/>
                <w:szCs w:val="22"/>
                <w:lang w:eastAsia="en-AU"/>
                <w14:ligatures w14:val="standardContextual"/>
              </w:rPr>
              <w:tab/>
            </w:r>
            <w:r w:rsidRPr="000F2D4C">
              <w:rPr>
                <w:rStyle w:val="Hyperlink"/>
                <w:noProof/>
              </w:rPr>
              <w:t>Ensuring readiness for evaluation</w:t>
            </w:r>
            <w:r w:rsidRPr="000F2D4C">
              <w:rPr>
                <w:noProof/>
                <w:webHidden/>
              </w:rPr>
              <w:tab/>
            </w:r>
            <w:r w:rsidRPr="000F2D4C">
              <w:rPr>
                <w:noProof/>
                <w:webHidden/>
              </w:rPr>
              <w:fldChar w:fldCharType="begin"/>
            </w:r>
            <w:r w:rsidRPr="000F2D4C">
              <w:rPr>
                <w:noProof/>
                <w:webHidden/>
              </w:rPr>
              <w:instrText xml:space="preserve"> PAGEREF _Toc149918991 \h </w:instrText>
            </w:r>
            <w:r w:rsidRPr="000F2D4C">
              <w:rPr>
                <w:noProof/>
                <w:webHidden/>
              </w:rPr>
            </w:r>
            <w:r w:rsidRPr="000F2D4C">
              <w:rPr>
                <w:noProof/>
                <w:webHidden/>
              </w:rPr>
              <w:fldChar w:fldCharType="separate"/>
            </w:r>
            <w:r w:rsidR="00DB00E1">
              <w:rPr>
                <w:noProof/>
                <w:webHidden/>
              </w:rPr>
              <w:t>13</w:t>
            </w:r>
            <w:r w:rsidRPr="000F2D4C">
              <w:rPr>
                <w:noProof/>
                <w:webHidden/>
              </w:rPr>
              <w:fldChar w:fldCharType="end"/>
            </w:r>
          </w:hyperlink>
        </w:p>
        <w:p w14:paraId="744AFB8D" w14:textId="70EC1D3D" w:rsidR="00DF765A" w:rsidRPr="000F2D4C" w:rsidRDefault="00DF765A">
          <w:pPr>
            <w:pStyle w:val="TOC2"/>
            <w:rPr>
              <w:rFonts w:eastAsiaTheme="minorEastAsia" w:cstheme="minorBidi"/>
              <w:noProof/>
              <w:kern w:val="2"/>
              <w:sz w:val="22"/>
              <w:szCs w:val="22"/>
              <w:lang w:eastAsia="en-AU"/>
              <w14:ligatures w14:val="standardContextual"/>
            </w:rPr>
          </w:pPr>
          <w:hyperlink w:anchor="_Toc149918992" w:history="1">
            <w:r w:rsidRPr="000F2D4C">
              <w:rPr>
                <w:rStyle w:val="Hyperlink"/>
                <w:noProof/>
              </w:rPr>
              <w:t>4.2</w:t>
            </w:r>
            <w:r w:rsidRPr="000F2D4C">
              <w:rPr>
                <w:rFonts w:eastAsiaTheme="minorEastAsia" w:cstheme="minorBidi"/>
                <w:noProof/>
                <w:kern w:val="2"/>
                <w:sz w:val="22"/>
                <w:szCs w:val="22"/>
                <w:lang w:eastAsia="en-AU"/>
                <w14:ligatures w14:val="standardContextual"/>
              </w:rPr>
              <w:tab/>
            </w:r>
            <w:r w:rsidRPr="000F2D4C">
              <w:rPr>
                <w:rStyle w:val="Hyperlink"/>
                <w:noProof/>
              </w:rPr>
              <w:t>Deciding whether and when to evaluate a program</w:t>
            </w:r>
            <w:r w:rsidRPr="000F2D4C">
              <w:rPr>
                <w:noProof/>
                <w:webHidden/>
              </w:rPr>
              <w:tab/>
            </w:r>
            <w:r w:rsidRPr="000F2D4C">
              <w:rPr>
                <w:noProof/>
                <w:webHidden/>
              </w:rPr>
              <w:fldChar w:fldCharType="begin"/>
            </w:r>
            <w:r w:rsidRPr="000F2D4C">
              <w:rPr>
                <w:noProof/>
                <w:webHidden/>
              </w:rPr>
              <w:instrText xml:space="preserve"> PAGEREF _Toc149918992 \h </w:instrText>
            </w:r>
            <w:r w:rsidRPr="000F2D4C">
              <w:rPr>
                <w:noProof/>
                <w:webHidden/>
              </w:rPr>
            </w:r>
            <w:r w:rsidRPr="000F2D4C">
              <w:rPr>
                <w:noProof/>
                <w:webHidden/>
              </w:rPr>
              <w:fldChar w:fldCharType="separate"/>
            </w:r>
            <w:r w:rsidR="00DB00E1">
              <w:rPr>
                <w:noProof/>
                <w:webHidden/>
              </w:rPr>
              <w:t>18</w:t>
            </w:r>
            <w:r w:rsidRPr="000F2D4C">
              <w:rPr>
                <w:noProof/>
                <w:webHidden/>
              </w:rPr>
              <w:fldChar w:fldCharType="end"/>
            </w:r>
          </w:hyperlink>
        </w:p>
        <w:p w14:paraId="7BA15119" w14:textId="08A017C9" w:rsidR="00DF765A" w:rsidRPr="000F2D4C" w:rsidRDefault="00DF765A">
          <w:pPr>
            <w:pStyle w:val="TOC2"/>
            <w:rPr>
              <w:rFonts w:eastAsiaTheme="minorEastAsia" w:cstheme="minorBidi"/>
              <w:noProof/>
              <w:kern w:val="2"/>
              <w:sz w:val="22"/>
              <w:szCs w:val="22"/>
              <w:lang w:eastAsia="en-AU"/>
              <w14:ligatures w14:val="standardContextual"/>
            </w:rPr>
          </w:pPr>
          <w:hyperlink w:anchor="_Toc149918993" w:history="1">
            <w:r w:rsidRPr="000F2D4C">
              <w:rPr>
                <w:rStyle w:val="Hyperlink"/>
                <w:noProof/>
              </w:rPr>
              <w:t>4.3</w:t>
            </w:r>
            <w:r w:rsidRPr="000F2D4C">
              <w:rPr>
                <w:rFonts w:eastAsiaTheme="minorEastAsia" w:cstheme="minorBidi"/>
                <w:noProof/>
                <w:kern w:val="2"/>
                <w:sz w:val="22"/>
                <w:szCs w:val="22"/>
                <w:lang w:eastAsia="en-AU"/>
                <w14:ligatures w14:val="standardContextual"/>
              </w:rPr>
              <w:tab/>
            </w:r>
            <w:r w:rsidRPr="000F2D4C">
              <w:rPr>
                <w:rStyle w:val="Hyperlink"/>
                <w:noProof/>
              </w:rPr>
              <w:t>Establishing governance arrangements</w:t>
            </w:r>
            <w:r w:rsidRPr="000F2D4C">
              <w:rPr>
                <w:noProof/>
                <w:webHidden/>
              </w:rPr>
              <w:tab/>
            </w:r>
            <w:r w:rsidRPr="000F2D4C">
              <w:rPr>
                <w:noProof/>
                <w:webHidden/>
              </w:rPr>
              <w:fldChar w:fldCharType="begin"/>
            </w:r>
            <w:r w:rsidRPr="000F2D4C">
              <w:rPr>
                <w:noProof/>
                <w:webHidden/>
              </w:rPr>
              <w:instrText xml:space="preserve"> PAGEREF _Toc149918993 \h </w:instrText>
            </w:r>
            <w:r w:rsidRPr="000F2D4C">
              <w:rPr>
                <w:noProof/>
                <w:webHidden/>
              </w:rPr>
            </w:r>
            <w:r w:rsidRPr="000F2D4C">
              <w:rPr>
                <w:noProof/>
                <w:webHidden/>
              </w:rPr>
              <w:fldChar w:fldCharType="separate"/>
            </w:r>
            <w:r w:rsidR="00DB00E1">
              <w:rPr>
                <w:noProof/>
                <w:webHidden/>
              </w:rPr>
              <w:t>19</w:t>
            </w:r>
            <w:r w:rsidRPr="000F2D4C">
              <w:rPr>
                <w:noProof/>
                <w:webHidden/>
              </w:rPr>
              <w:fldChar w:fldCharType="end"/>
            </w:r>
          </w:hyperlink>
        </w:p>
        <w:p w14:paraId="76B1161A" w14:textId="68B3E6BA" w:rsidR="00DF765A" w:rsidRPr="000F2D4C" w:rsidRDefault="00DF765A">
          <w:pPr>
            <w:pStyle w:val="TOC1"/>
            <w:rPr>
              <w:rFonts w:eastAsiaTheme="minorEastAsia" w:cstheme="minorBidi"/>
              <w:noProof/>
              <w:color w:val="auto"/>
              <w:kern w:val="2"/>
              <w:sz w:val="22"/>
              <w:szCs w:val="22"/>
              <w14:ligatures w14:val="standardContextual"/>
            </w:rPr>
          </w:pPr>
          <w:hyperlink w:anchor="_Toc149918994" w:history="1">
            <w:r w:rsidRPr="000F2D4C">
              <w:rPr>
                <w:rStyle w:val="Hyperlink"/>
                <w:noProof/>
              </w:rPr>
              <w:t>5.</w:t>
            </w:r>
            <w:r w:rsidRPr="000F2D4C">
              <w:rPr>
                <w:rFonts w:eastAsiaTheme="minorEastAsia" w:cstheme="minorBidi"/>
                <w:noProof/>
                <w:color w:val="auto"/>
                <w:kern w:val="2"/>
                <w:sz w:val="22"/>
                <w:szCs w:val="22"/>
                <w14:ligatures w14:val="standardContextual"/>
              </w:rPr>
              <w:tab/>
            </w:r>
            <w:r w:rsidRPr="000F2D4C">
              <w:rPr>
                <w:rStyle w:val="Hyperlink"/>
                <w:noProof/>
              </w:rPr>
              <w:t>Deciding the focus of evaluation</w:t>
            </w:r>
            <w:r w:rsidRPr="000F2D4C">
              <w:rPr>
                <w:noProof/>
                <w:webHidden/>
              </w:rPr>
              <w:tab/>
            </w:r>
            <w:r w:rsidRPr="000F2D4C">
              <w:rPr>
                <w:noProof/>
                <w:webHidden/>
              </w:rPr>
              <w:fldChar w:fldCharType="begin"/>
            </w:r>
            <w:r w:rsidRPr="000F2D4C">
              <w:rPr>
                <w:noProof/>
                <w:webHidden/>
              </w:rPr>
              <w:instrText xml:space="preserve"> PAGEREF _Toc149918994 \h </w:instrText>
            </w:r>
            <w:r w:rsidRPr="000F2D4C">
              <w:rPr>
                <w:noProof/>
                <w:webHidden/>
              </w:rPr>
            </w:r>
            <w:r w:rsidRPr="000F2D4C">
              <w:rPr>
                <w:noProof/>
                <w:webHidden/>
              </w:rPr>
              <w:fldChar w:fldCharType="separate"/>
            </w:r>
            <w:r w:rsidR="00DB00E1">
              <w:rPr>
                <w:noProof/>
                <w:webHidden/>
              </w:rPr>
              <w:t>22</w:t>
            </w:r>
            <w:r w:rsidRPr="000F2D4C">
              <w:rPr>
                <w:noProof/>
                <w:webHidden/>
              </w:rPr>
              <w:fldChar w:fldCharType="end"/>
            </w:r>
          </w:hyperlink>
        </w:p>
        <w:p w14:paraId="02A9E48D" w14:textId="387D41E3" w:rsidR="00DF765A" w:rsidRPr="000F2D4C" w:rsidRDefault="00DF765A">
          <w:pPr>
            <w:pStyle w:val="TOC2"/>
            <w:rPr>
              <w:rFonts w:eastAsiaTheme="minorEastAsia" w:cstheme="minorBidi"/>
              <w:noProof/>
              <w:kern w:val="2"/>
              <w:sz w:val="22"/>
              <w:szCs w:val="22"/>
              <w:lang w:eastAsia="en-AU"/>
              <w14:ligatures w14:val="standardContextual"/>
            </w:rPr>
          </w:pPr>
          <w:hyperlink w:anchor="_Toc149918995" w:history="1">
            <w:r w:rsidRPr="000F2D4C">
              <w:rPr>
                <w:rStyle w:val="Hyperlink"/>
                <w:noProof/>
              </w:rPr>
              <w:t>5.1</w:t>
            </w:r>
            <w:r w:rsidRPr="000F2D4C">
              <w:rPr>
                <w:rFonts w:eastAsiaTheme="minorEastAsia" w:cstheme="minorBidi"/>
                <w:noProof/>
                <w:kern w:val="2"/>
                <w:sz w:val="22"/>
                <w:szCs w:val="22"/>
                <w:lang w:eastAsia="en-AU"/>
                <w14:ligatures w14:val="standardContextual"/>
              </w:rPr>
              <w:tab/>
            </w:r>
            <w:r w:rsidRPr="000F2D4C">
              <w:rPr>
                <w:rStyle w:val="Hyperlink"/>
                <w:noProof/>
              </w:rPr>
              <w:t>Focus areas for evaluation</w:t>
            </w:r>
            <w:r w:rsidRPr="000F2D4C">
              <w:rPr>
                <w:noProof/>
                <w:webHidden/>
              </w:rPr>
              <w:tab/>
            </w:r>
            <w:r w:rsidRPr="000F2D4C">
              <w:rPr>
                <w:noProof/>
                <w:webHidden/>
              </w:rPr>
              <w:fldChar w:fldCharType="begin"/>
            </w:r>
            <w:r w:rsidRPr="000F2D4C">
              <w:rPr>
                <w:noProof/>
                <w:webHidden/>
              </w:rPr>
              <w:instrText xml:space="preserve"> PAGEREF _Toc149918995 \h </w:instrText>
            </w:r>
            <w:r w:rsidRPr="000F2D4C">
              <w:rPr>
                <w:noProof/>
                <w:webHidden/>
              </w:rPr>
            </w:r>
            <w:r w:rsidRPr="000F2D4C">
              <w:rPr>
                <w:noProof/>
                <w:webHidden/>
              </w:rPr>
              <w:fldChar w:fldCharType="separate"/>
            </w:r>
            <w:r w:rsidR="00DB00E1">
              <w:rPr>
                <w:noProof/>
                <w:webHidden/>
              </w:rPr>
              <w:t>22</w:t>
            </w:r>
            <w:r w:rsidRPr="000F2D4C">
              <w:rPr>
                <w:noProof/>
                <w:webHidden/>
              </w:rPr>
              <w:fldChar w:fldCharType="end"/>
            </w:r>
          </w:hyperlink>
        </w:p>
        <w:p w14:paraId="4AB1A780" w14:textId="70FA031B" w:rsidR="00DF765A" w:rsidRPr="000F2D4C" w:rsidRDefault="00DF765A">
          <w:pPr>
            <w:pStyle w:val="TOC2"/>
            <w:rPr>
              <w:rFonts w:eastAsiaTheme="minorEastAsia" w:cstheme="minorBidi"/>
              <w:noProof/>
              <w:kern w:val="2"/>
              <w:sz w:val="22"/>
              <w:szCs w:val="22"/>
              <w:lang w:eastAsia="en-AU"/>
              <w14:ligatures w14:val="standardContextual"/>
            </w:rPr>
          </w:pPr>
          <w:hyperlink w:anchor="_Toc149918996" w:history="1">
            <w:r w:rsidRPr="000F2D4C">
              <w:rPr>
                <w:rStyle w:val="Hyperlink"/>
                <w:noProof/>
              </w:rPr>
              <w:t>5.2</w:t>
            </w:r>
            <w:r w:rsidRPr="000F2D4C">
              <w:rPr>
                <w:rFonts w:eastAsiaTheme="minorEastAsia" w:cstheme="minorBidi"/>
                <w:noProof/>
                <w:kern w:val="2"/>
                <w:sz w:val="22"/>
                <w:szCs w:val="22"/>
                <w:lang w:eastAsia="en-AU"/>
                <w14:ligatures w14:val="standardContextual"/>
              </w:rPr>
              <w:tab/>
            </w:r>
            <w:r w:rsidRPr="000F2D4C">
              <w:rPr>
                <w:rStyle w:val="Hyperlink"/>
                <w:noProof/>
              </w:rPr>
              <w:t>Key evaluation questions</w:t>
            </w:r>
            <w:r w:rsidRPr="000F2D4C">
              <w:rPr>
                <w:noProof/>
                <w:webHidden/>
              </w:rPr>
              <w:tab/>
            </w:r>
            <w:r w:rsidRPr="000F2D4C">
              <w:rPr>
                <w:noProof/>
                <w:webHidden/>
              </w:rPr>
              <w:fldChar w:fldCharType="begin"/>
            </w:r>
            <w:r w:rsidRPr="000F2D4C">
              <w:rPr>
                <w:noProof/>
                <w:webHidden/>
              </w:rPr>
              <w:instrText xml:space="preserve"> PAGEREF _Toc149918996 \h </w:instrText>
            </w:r>
            <w:r w:rsidRPr="000F2D4C">
              <w:rPr>
                <w:noProof/>
                <w:webHidden/>
              </w:rPr>
            </w:r>
            <w:r w:rsidRPr="000F2D4C">
              <w:rPr>
                <w:noProof/>
                <w:webHidden/>
              </w:rPr>
              <w:fldChar w:fldCharType="separate"/>
            </w:r>
            <w:r w:rsidR="00DB00E1">
              <w:rPr>
                <w:noProof/>
                <w:webHidden/>
              </w:rPr>
              <w:t>26</w:t>
            </w:r>
            <w:r w:rsidRPr="000F2D4C">
              <w:rPr>
                <w:noProof/>
                <w:webHidden/>
              </w:rPr>
              <w:fldChar w:fldCharType="end"/>
            </w:r>
          </w:hyperlink>
        </w:p>
        <w:p w14:paraId="1C73AEC6" w14:textId="643ED01E" w:rsidR="00DF765A" w:rsidRPr="000F2D4C" w:rsidRDefault="00DF765A">
          <w:pPr>
            <w:pStyle w:val="TOC1"/>
            <w:rPr>
              <w:rFonts w:eastAsiaTheme="minorEastAsia" w:cstheme="minorBidi"/>
              <w:noProof/>
              <w:color w:val="auto"/>
              <w:kern w:val="2"/>
              <w:sz w:val="22"/>
              <w:szCs w:val="22"/>
              <w14:ligatures w14:val="standardContextual"/>
            </w:rPr>
          </w:pPr>
          <w:hyperlink w:anchor="_Toc149918997" w:history="1">
            <w:r w:rsidRPr="000F2D4C">
              <w:rPr>
                <w:rStyle w:val="Hyperlink"/>
                <w:noProof/>
              </w:rPr>
              <w:t>6.</w:t>
            </w:r>
            <w:r w:rsidRPr="000F2D4C">
              <w:rPr>
                <w:rFonts w:eastAsiaTheme="minorEastAsia" w:cstheme="minorBidi"/>
                <w:noProof/>
                <w:color w:val="auto"/>
                <w:kern w:val="2"/>
                <w:sz w:val="22"/>
                <w:szCs w:val="22"/>
                <w14:ligatures w14:val="standardContextual"/>
              </w:rPr>
              <w:tab/>
            </w:r>
            <w:r w:rsidRPr="000F2D4C">
              <w:rPr>
                <w:rStyle w:val="Hyperlink"/>
                <w:noProof/>
              </w:rPr>
              <w:t>Designing a fit-for-purpose evaluation</w:t>
            </w:r>
            <w:r w:rsidRPr="000F2D4C">
              <w:rPr>
                <w:noProof/>
                <w:webHidden/>
              </w:rPr>
              <w:tab/>
            </w:r>
            <w:r w:rsidRPr="000F2D4C">
              <w:rPr>
                <w:noProof/>
                <w:webHidden/>
              </w:rPr>
              <w:fldChar w:fldCharType="begin"/>
            </w:r>
            <w:r w:rsidRPr="000F2D4C">
              <w:rPr>
                <w:noProof/>
                <w:webHidden/>
              </w:rPr>
              <w:instrText xml:space="preserve"> PAGEREF _Toc149918997 \h </w:instrText>
            </w:r>
            <w:r w:rsidRPr="000F2D4C">
              <w:rPr>
                <w:noProof/>
                <w:webHidden/>
              </w:rPr>
            </w:r>
            <w:r w:rsidRPr="000F2D4C">
              <w:rPr>
                <w:noProof/>
                <w:webHidden/>
              </w:rPr>
              <w:fldChar w:fldCharType="separate"/>
            </w:r>
            <w:r w:rsidR="00DB00E1">
              <w:rPr>
                <w:noProof/>
                <w:webHidden/>
              </w:rPr>
              <w:t>29</w:t>
            </w:r>
            <w:r w:rsidRPr="000F2D4C">
              <w:rPr>
                <w:noProof/>
                <w:webHidden/>
              </w:rPr>
              <w:fldChar w:fldCharType="end"/>
            </w:r>
          </w:hyperlink>
        </w:p>
        <w:p w14:paraId="1D04A12C" w14:textId="2AE7384A" w:rsidR="00DF765A" w:rsidRPr="000F2D4C" w:rsidRDefault="00DF765A">
          <w:pPr>
            <w:pStyle w:val="TOC2"/>
            <w:rPr>
              <w:rFonts w:eastAsiaTheme="minorEastAsia" w:cstheme="minorBidi"/>
              <w:noProof/>
              <w:kern w:val="2"/>
              <w:sz w:val="22"/>
              <w:szCs w:val="22"/>
              <w:lang w:eastAsia="en-AU"/>
              <w14:ligatures w14:val="standardContextual"/>
            </w:rPr>
          </w:pPr>
          <w:hyperlink w:anchor="_Toc149918998" w:history="1">
            <w:r w:rsidRPr="000F2D4C">
              <w:rPr>
                <w:rStyle w:val="Hyperlink"/>
                <w:noProof/>
              </w:rPr>
              <w:t>6.1</w:t>
            </w:r>
            <w:r w:rsidRPr="000F2D4C">
              <w:rPr>
                <w:rFonts w:eastAsiaTheme="minorEastAsia" w:cstheme="minorBidi"/>
                <w:noProof/>
                <w:kern w:val="2"/>
                <w:sz w:val="22"/>
                <w:szCs w:val="22"/>
                <w:lang w:eastAsia="en-AU"/>
                <w14:ligatures w14:val="standardContextual"/>
              </w:rPr>
              <w:tab/>
            </w:r>
            <w:r w:rsidRPr="000F2D4C">
              <w:rPr>
                <w:rStyle w:val="Hyperlink"/>
                <w:noProof/>
              </w:rPr>
              <w:t>Considerations to inform evaluation approaches and designs</w:t>
            </w:r>
            <w:r w:rsidRPr="000F2D4C">
              <w:rPr>
                <w:noProof/>
                <w:webHidden/>
              </w:rPr>
              <w:tab/>
            </w:r>
            <w:r w:rsidRPr="000F2D4C">
              <w:rPr>
                <w:noProof/>
                <w:webHidden/>
              </w:rPr>
              <w:fldChar w:fldCharType="begin"/>
            </w:r>
            <w:r w:rsidRPr="000F2D4C">
              <w:rPr>
                <w:noProof/>
                <w:webHidden/>
              </w:rPr>
              <w:instrText xml:space="preserve"> PAGEREF _Toc149918998 \h </w:instrText>
            </w:r>
            <w:r w:rsidRPr="000F2D4C">
              <w:rPr>
                <w:noProof/>
                <w:webHidden/>
              </w:rPr>
            </w:r>
            <w:r w:rsidRPr="000F2D4C">
              <w:rPr>
                <w:noProof/>
                <w:webHidden/>
              </w:rPr>
              <w:fldChar w:fldCharType="separate"/>
            </w:r>
            <w:r w:rsidR="00DB00E1">
              <w:rPr>
                <w:noProof/>
                <w:webHidden/>
              </w:rPr>
              <w:t>29</w:t>
            </w:r>
            <w:r w:rsidRPr="000F2D4C">
              <w:rPr>
                <w:noProof/>
                <w:webHidden/>
              </w:rPr>
              <w:fldChar w:fldCharType="end"/>
            </w:r>
          </w:hyperlink>
        </w:p>
        <w:p w14:paraId="55A7D426" w14:textId="794AC439" w:rsidR="00DF765A" w:rsidRPr="000F2D4C" w:rsidRDefault="00DF765A">
          <w:pPr>
            <w:pStyle w:val="TOC2"/>
            <w:rPr>
              <w:rFonts w:eastAsiaTheme="minorEastAsia" w:cstheme="minorBidi"/>
              <w:noProof/>
              <w:kern w:val="2"/>
              <w:sz w:val="22"/>
              <w:szCs w:val="22"/>
              <w:lang w:eastAsia="en-AU"/>
              <w14:ligatures w14:val="standardContextual"/>
            </w:rPr>
          </w:pPr>
          <w:hyperlink w:anchor="_Toc149918999" w:history="1">
            <w:r w:rsidRPr="000F2D4C">
              <w:rPr>
                <w:rStyle w:val="Hyperlink"/>
                <w:noProof/>
              </w:rPr>
              <w:t>6.2</w:t>
            </w:r>
            <w:r w:rsidRPr="000F2D4C">
              <w:rPr>
                <w:rFonts w:eastAsiaTheme="minorEastAsia" w:cstheme="minorBidi"/>
                <w:noProof/>
                <w:kern w:val="2"/>
                <w:sz w:val="22"/>
                <w:szCs w:val="22"/>
                <w:lang w:eastAsia="en-AU"/>
                <w14:ligatures w14:val="standardContextual"/>
              </w:rPr>
              <w:tab/>
            </w:r>
            <w:r w:rsidRPr="000F2D4C">
              <w:rPr>
                <w:rStyle w:val="Hyperlink"/>
                <w:noProof/>
              </w:rPr>
              <w:t>Evaluation approaches and designs</w:t>
            </w:r>
            <w:r w:rsidRPr="000F2D4C">
              <w:rPr>
                <w:noProof/>
                <w:webHidden/>
              </w:rPr>
              <w:tab/>
            </w:r>
            <w:r w:rsidRPr="000F2D4C">
              <w:rPr>
                <w:noProof/>
                <w:webHidden/>
              </w:rPr>
              <w:fldChar w:fldCharType="begin"/>
            </w:r>
            <w:r w:rsidRPr="000F2D4C">
              <w:rPr>
                <w:noProof/>
                <w:webHidden/>
              </w:rPr>
              <w:instrText xml:space="preserve"> PAGEREF _Toc149918999 \h </w:instrText>
            </w:r>
            <w:r w:rsidRPr="000F2D4C">
              <w:rPr>
                <w:noProof/>
                <w:webHidden/>
              </w:rPr>
            </w:r>
            <w:r w:rsidRPr="000F2D4C">
              <w:rPr>
                <w:noProof/>
                <w:webHidden/>
              </w:rPr>
              <w:fldChar w:fldCharType="separate"/>
            </w:r>
            <w:r w:rsidR="00DB00E1">
              <w:rPr>
                <w:noProof/>
                <w:webHidden/>
              </w:rPr>
              <w:t>31</w:t>
            </w:r>
            <w:r w:rsidRPr="000F2D4C">
              <w:rPr>
                <w:noProof/>
                <w:webHidden/>
              </w:rPr>
              <w:fldChar w:fldCharType="end"/>
            </w:r>
          </w:hyperlink>
        </w:p>
        <w:p w14:paraId="2282945E" w14:textId="43A571C6" w:rsidR="00DF765A" w:rsidRPr="000F2D4C" w:rsidRDefault="00DF765A">
          <w:pPr>
            <w:pStyle w:val="TOC1"/>
            <w:rPr>
              <w:rFonts w:eastAsiaTheme="minorEastAsia" w:cstheme="minorBidi"/>
              <w:noProof/>
              <w:color w:val="auto"/>
              <w:kern w:val="2"/>
              <w:sz w:val="22"/>
              <w:szCs w:val="22"/>
              <w14:ligatures w14:val="standardContextual"/>
            </w:rPr>
          </w:pPr>
          <w:hyperlink w:anchor="_Toc149919000" w:history="1">
            <w:r w:rsidRPr="000F2D4C">
              <w:rPr>
                <w:rStyle w:val="Hyperlink"/>
                <w:noProof/>
              </w:rPr>
              <w:t>7.</w:t>
            </w:r>
            <w:r w:rsidRPr="000F2D4C">
              <w:rPr>
                <w:rFonts w:eastAsiaTheme="minorEastAsia" w:cstheme="minorBidi"/>
                <w:noProof/>
                <w:color w:val="auto"/>
                <w:kern w:val="2"/>
                <w:sz w:val="22"/>
                <w:szCs w:val="22"/>
                <w14:ligatures w14:val="standardContextual"/>
              </w:rPr>
              <w:tab/>
            </w:r>
            <w:r w:rsidRPr="000F2D4C">
              <w:rPr>
                <w:rStyle w:val="Hyperlink"/>
                <w:noProof/>
              </w:rPr>
              <w:t>Choosing appropriate methods and measures</w:t>
            </w:r>
            <w:r w:rsidRPr="000F2D4C">
              <w:rPr>
                <w:noProof/>
                <w:webHidden/>
              </w:rPr>
              <w:tab/>
            </w:r>
            <w:r w:rsidRPr="000F2D4C">
              <w:rPr>
                <w:noProof/>
                <w:webHidden/>
              </w:rPr>
              <w:fldChar w:fldCharType="begin"/>
            </w:r>
            <w:r w:rsidRPr="000F2D4C">
              <w:rPr>
                <w:noProof/>
                <w:webHidden/>
              </w:rPr>
              <w:instrText xml:space="preserve"> PAGEREF _Toc149919000 \h </w:instrText>
            </w:r>
            <w:r w:rsidRPr="000F2D4C">
              <w:rPr>
                <w:noProof/>
                <w:webHidden/>
              </w:rPr>
            </w:r>
            <w:r w:rsidRPr="000F2D4C">
              <w:rPr>
                <w:noProof/>
                <w:webHidden/>
              </w:rPr>
              <w:fldChar w:fldCharType="separate"/>
            </w:r>
            <w:r w:rsidR="00DB00E1">
              <w:rPr>
                <w:noProof/>
                <w:webHidden/>
              </w:rPr>
              <w:t>45</w:t>
            </w:r>
            <w:r w:rsidRPr="000F2D4C">
              <w:rPr>
                <w:noProof/>
                <w:webHidden/>
              </w:rPr>
              <w:fldChar w:fldCharType="end"/>
            </w:r>
          </w:hyperlink>
        </w:p>
        <w:p w14:paraId="06829678" w14:textId="0D7CE9FC" w:rsidR="00DF765A" w:rsidRPr="000F2D4C" w:rsidRDefault="00DF765A">
          <w:pPr>
            <w:pStyle w:val="TOC2"/>
            <w:rPr>
              <w:rFonts w:eastAsiaTheme="minorEastAsia" w:cstheme="minorBidi"/>
              <w:noProof/>
              <w:kern w:val="2"/>
              <w:sz w:val="22"/>
              <w:szCs w:val="22"/>
              <w:lang w:eastAsia="en-AU"/>
              <w14:ligatures w14:val="standardContextual"/>
            </w:rPr>
          </w:pPr>
          <w:hyperlink w:anchor="_Toc149919001" w:history="1">
            <w:r w:rsidRPr="000F2D4C">
              <w:rPr>
                <w:rStyle w:val="Hyperlink"/>
                <w:noProof/>
              </w:rPr>
              <w:t>7.1</w:t>
            </w:r>
            <w:r w:rsidRPr="000F2D4C">
              <w:rPr>
                <w:rFonts w:eastAsiaTheme="minorEastAsia" w:cstheme="minorBidi"/>
                <w:noProof/>
                <w:kern w:val="2"/>
                <w:sz w:val="22"/>
                <w:szCs w:val="22"/>
                <w:lang w:eastAsia="en-AU"/>
                <w14:ligatures w14:val="standardContextual"/>
              </w:rPr>
              <w:tab/>
            </w:r>
            <w:r w:rsidRPr="000F2D4C">
              <w:rPr>
                <w:rStyle w:val="Hyperlink"/>
                <w:noProof/>
              </w:rPr>
              <w:t>Evaluation methods</w:t>
            </w:r>
            <w:r w:rsidRPr="000F2D4C">
              <w:rPr>
                <w:noProof/>
                <w:webHidden/>
              </w:rPr>
              <w:tab/>
            </w:r>
            <w:r w:rsidRPr="000F2D4C">
              <w:rPr>
                <w:noProof/>
                <w:webHidden/>
              </w:rPr>
              <w:fldChar w:fldCharType="begin"/>
            </w:r>
            <w:r w:rsidRPr="000F2D4C">
              <w:rPr>
                <w:noProof/>
                <w:webHidden/>
              </w:rPr>
              <w:instrText xml:space="preserve"> PAGEREF _Toc149919001 \h </w:instrText>
            </w:r>
            <w:r w:rsidRPr="000F2D4C">
              <w:rPr>
                <w:noProof/>
                <w:webHidden/>
              </w:rPr>
            </w:r>
            <w:r w:rsidRPr="000F2D4C">
              <w:rPr>
                <w:noProof/>
                <w:webHidden/>
              </w:rPr>
              <w:fldChar w:fldCharType="separate"/>
            </w:r>
            <w:r w:rsidR="00DB00E1">
              <w:rPr>
                <w:noProof/>
                <w:webHidden/>
              </w:rPr>
              <w:t>45</w:t>
            </w:r>
            <w:r w:rsidRPr="000F2D4C">
              <w:rPr>
                <w:noProof/>
                <w:webHidden/>
              </w:rPr>
              <w:fldChar w:fldCharType="end"/>
            </w:r>
          </w:hyperlink>
        </w:p>
        <w:p w14:paraId="5AD33589" w14:textId="0901BE44" w:rsidR="00DF765A" w:rsidRPr="000F2D4C" w:rsidRDefault="00DF765A">
          <w:pPr>
            <w:pStyle w:val="TOC2"/>
            <w:rPr>
              <w:rFonts w:eastAsiaTheme="minorEastAsia" w:cstheme="minorBidi"/>
              <w:noProof/>
              <w:kern w:val="2"/>
              <w:sz w:val="22"/>
              <w:szCs w:val="22"/>
              <w:lang w:eastAsia="en-AU"/>
              <w14:ligatures w14:val="standardContextual"/>
            </w:rPr>
          </w:pPr>
          <w:hyperlink w:anchor="_Toc149919002" w:history="1">
            <w:r w:rsidRPr="000F2D4C">
              <w:rPr>
                <w:rStyle w:val="Hyperlink"/>
                <w:noProof/>
              </w:rPr>
              <w:t>7.2</w:t>
            </w:r>
            <w:r w:rsidRPr="000F2D4C">
              <w:rPr>
                <w:rFonts w:eastAsiaTheme="minorEastAsia" w:cstheme="minorBidi"/>
                <w:noProof/>
                <w:kern w:val="2"/>
                <w:sz w:val="22"/>
                <w:szCs w:val="22"/>
                <w:lang w:eastAsia="en-AU"/>
                <w14:ligatures w14:val="standardContextual"/>
              </w:rPr>
              <w:tab/>
            </w:r>
            <w:r w:rsidRPr="000F2D4C">
              <w:rPr>
                <w:rStyle w:val="Hyperlink"/>
                <w:noProof/>
              </w:rPr>
              <w:t>Identifying appropriate measures</w:t>
            </w:r>
            <w:r w:rsidRPr="000F2D4C">
              <w:rPr>
                <w:noProof/>
                <w:webHidden/>
              </w:rPr>
              <w:tab/>
            </w:r>
            <w:r w:rsidRPr="000F2D4C">
              <w:rPr>
                <w:noProof/>
                <w:webHidden/>
              </w:rPr>
              <w:fldChar w:fldCharType="begin"/>
            </w:r>
            <w:r w:rsidRPr="000F2D4C">
              <w:rPr>
                <w:noProof/>
                <w:webHidden/>
              </w:rPr>
              <w:instrText xml:space="preserve"> PAGEREF _Toc149919002 \h </w:instrText>
            </w:r>
            <w:r w:rsidRPr="000F2D4C">
              <w:rPr>
                <w:noProof/>
                <w:webHidden/>
              </w:rPr>
            </w:r>
            <w:r w:rsidRPr="000F2D4C">
              <w:rPr>
                <w:noProof/>
                <w:webHidden/>
              </w:rPr>
              <w:fldChar w:fldCharType="separate"/>
            </w:r>
            <w:r w:rsidR="00DB00E1">
              <w:rPr>
                <w:noProof/>
                <w:webHidden/>
              </w:rPr>
              <w:t>47</w:t>
            </w:r>
            <w:r w:rsidRPr="000F2D4C">
              <w:rPr>
                <w:noProof/>
                <w:webHidden/>
              </w:rPr>
              <w:fldChar w:fldCharType="end"/>
            </w:r>
          </w:hyperlink>
        </w:p>
        <w:p w14:paraId="73B9AE98" w14:textId="616E085C" w:rsidR="00DF765A" w:rsidRPr="000F2D4C" w:rsidRDefault="00DF765A">
          <w:pPr>
            <w:pStyle w:val="TOC2"/>
            <w:rPr>
              <w:rFonts w:eastAsiaTheme="minorEastAsia" w:cstheme="minorBidi"/>
              <w:noProof/>
              <w:kern w:val="2"/>
              <w:sz w:val="22"/>
              <w:szCs w:val="22"/>
              <w:lang w:eastAsia="en-AU"/>
              <w14:ligatures w14:val="standardContextual"/>
            </w:rPr>
          </w:pPr>
          <w:hyperlink w:anchor="_Toc149919003" w:history="1">
            <w:r w:rsidRPr="000F2D4C">
              <w:rPr>
                <w:rStyle w:val="Hyperlink"/>
                <w:noProof/>
              </w:rPr>
              <w:t>7.3</w:t>
            </w:r>
            <w:r w:rsidRPr="000F2D4C">
              <w:rPr>
                <w:rFonts w:eastAsiaTheme="minorEastAsia" w:cstheme="minorBidi"/>
                <w:noProof/>
                <w:kern w:val="2"/>
                <w:sz w:val="22"/>
                <w:szCs w:val="22"/>
                <w:lang w:eastAsia="en-AU"/>
                <w14:ligatures w14:val="standardContextual"/>
              </w:rPr>
              <w:tab/>
            </w:r>
            <w:r w:rsidRPr="000F2D4C">
              <w:rPr>
                <w:rStyle w:val="Hyperlink"/>
                <w:noProof/>
              </w:rPr>
              <w:t>Engaging service users in evaluation</w:t>
            </w:r>
            <w:r w:rsidRPr="000F2D4C">
              <w:rPr>
                <w:noProof/>
                <w:webHidden/>
              </w:rPr>
              <w:tab/>
            </w:r>
            <w:r w:rsidRPr="000F2D4C">
              <w:rPr>
                <w:noProof/>
                <w:webHidden/>
              </w:rPr>
              <w:fldChar w:fldCharType="begin"/>
            </w:r>
            <w:r w:rsidRPr="000F2D4C">
              <w:rPr>
                <w:noProof/>
                <w:webHidden/>
              </w:rPr>
              <w:instrText xml:space="preserve"> PAGEREF _Toc149919003 \h </w:instrText>
            </w:r>
            <w:r w:rsidRPr="000F2D4C">
              <w:rPr>
                <w:noProof/>
                <w:webHidden/>
              </w:rPr>
            </w:r>
            <w:r w:rsidRPr="000F2D4C">
              <w:rPr>
                <w:noProof/>
                <w:webHidden/>
              </w:rPr>
              <w:fldChar w:fldCharType="separate"/>
            </w:r>
            <w:r w:rsidR="00DB00E1">
              <w:rPr>
                <w:noProof/>
                <w:webHidden/>
              </w:rPr>
              <w:t>68</w:t>
            </w:r>
            <w:r w:rsidRPr="000F2D4C">
              <w:rPr>
                <w:noProof/>
                <w:webHidden/>
              </w:rPr>
              <w:fldChar w:fldCharType="end"/>
            </w:r>
          </w:hyperlink>
        </w:p>
        <w:p w14:paraId="356BF7A7" w14:textId="424BA381" w:rsidR="00DF765A" w:rsidRPr="000F2D4C" w:rsidRDefault="00DF765A">
          <w:pPr>
            <w:pStyle w:val="TOC1"/>
            <w:rPr>
              <w:rFonts w:eastAsiaTheme="minorEastAsia" w:cstheme="minorBidi"/>
              <w:noProof/>
              <w:color w:val="auto"/>
              <w:kern w:val="2"/>
              <w:sz w:val="22"/>
              <w:szCs w:val="22"/>
              <w14:ligatures w14:val="standardContextual"/>
            </w:rPr>
          </w:pPr>
          <w:hyperlink w:anchor="_Toc149919004" w:history="1">
            <w:r w:rsidRPr="000F2D4C">
              <w:rPr>
                <w:rStyle w:val="Hyperlink"/>
                <w:noProof/>
              </w:rPr>
              <w:t>8.</w:t>
            </w:r>
            <w:r w:rsidRPr="000F2D4C">
              <w:rPr>
                <w:rFonts w:eastAsiaTheme="minorEastAsia" w:cstheme="minorBidi"/>
                <w:noProof/>
                <w:color w:val="auto"/>
                <w:kern w:val="2"/>
                <w:sz w:val="22"/>
                <w:szCs w:val="22"/>
                <w14:ligatures w14:val="standardContextual"/>
              </w:rPr>
              <w:tab/>
            </w:r>
            <w:r w:rsidRPr="000F2D4C">
              <w:rPr>
                <w:rStyle w:val="Hyperlink"/>
                <w:noProof/>
              </w:rPr>
              <w:t>Ensuring the evaluation is conducted ethically</w:t>
            </w:r>
            <w:r w:rsidRPr="000F2D4C">
              <w:rPr>
                <w:noProof/>
                <w:webHidden/>
              </w:rPr>
              <w:tab/>
            </w:r>
            <w:r w:rsidRPr="000F2D4C">
              <w:rPr>
                <w:noProof/>
                <w:webHidden/>
              </w:rPr>
              <w:fldChar w:fldCharType="begin"/>
            </w:r>
            <w:r w:rsidRPr="000F2D4C">
              <w:rPr>
                <w:noProof/>
                <w:webHidden/>
              </w:rPr>
              <w:instrText xml:space="preserve"> PAGEREF _Toc149919004 \h </w:instrText>
            </w:r>
            <w:r w:rsidRPr="000F2D4C">
              <w:rPr>
                <w:noProof/>
                <w:webHidden/>
              </w:rPr>
            </w:r>
            <w:r w:rsidRPr="000F2D4C">
              <w:rPr>
                <w:noProof/>
                <w:webHidden/>
              </w:rPr>
              <w:fldChar w:fldCharType="separate"/>
            </w:r>
            <w:r w:rsidR="00DB00E1">
              <w:rPr>
                <w:noProof/>
                <w:webHidden/>
              </w:rPr>
              <w:t>77</w:t>
            </w:r>
            <w:r w:rsidRPr="000F2D4C">
              <w:rPr>
                <w:noProof/>
                <w:webHidden/>
              </w:rPr>
              <w:fldChar w:fldCharType="end"/>
            </w:r>
          </w:hyperlink>
        </w:p>
        <w:p w14:paraId="0A089405" w14:textId="376DD56D" w:rsidR="00DF765A" w:rsidRPr="000F2D4C" w:rsidRDefault="00DF765A">
          <w:pPr>
            <w:pStyle w:val="TOC2"/>
            <w:rPr>
              <w:rFonts w:eastAsiaTheme="minorEastAsia" w:cstheme="minorBidi"/>
              <w:noProof/>
              <w:kern w:val="2"/>
              <w:sz w:val="22"/>
              <w:szCs w:val="22"/>
              <w:lang w:eastAsia="en-AU"/>
              <w14:ligatures w14:val="standardContextual"/>
            </w:rPr>
          </w:pPr>
          <w:hyperlink w:anchor="_Toc149919005" w:history="1">
            <w:r w:rsidRPr="000F2D4C">
              <w:rPr>
                <w:rStyle w:val="Hyperlink"/>
                <w:noProof/>
              </w:rPr>
              <w:t>8.1</w:t>
            </w:r>
            <w:r w:rsidRPr="000F2D4C">
              <w:rPr>
                <w:rFonts w:eastAsiaTheme="minorEastAsia" w:cstheme="minorBidi"/>
                <w:noProof/>
                <w:kern w:val="2"/>
                <w:sz w:val="22"/>
                <w:szCs w:val="22"/>
                <w:lang w:eastAsia="en-AU"/>
                <w14:ligatures w14:val="standardContextual"/>
              </w:rPr>
              <w:tab/>
            </w:r>
            <w:r w:rsidRPr="000F2D4C">
              <w:rPr>
                <w:rStyle w:val="Hyperlink"/>
                <w:noProof/>
              </w:rPr>
              <w:t>Key ethical considerations</w:t>
            </w:r>
            <w:r w:rsidRPr="000F2D4C">
              <w:rPr>
                <w:noProof/>
                <w:webHidden/>
              </w:rPr>
              <w:tab/>
            </w:r>
            <w:r w:rsidRPr="000F2D4C">
              <w:rPr>
                <w:noProof/>
                <w:webHidden/>
              </w:rPr>
              <w:fldChar w:fldCharType="begin"/>
            </w:r>
            <w:r w:rsidRPr="000F2D4C">
              <w:rPr>
                <w:noProof/>
                <w:webHidden/>
              </w:rPr>
              <w:instrText xml:space="preserve"> PAGEREF _Toc149919005 \h </w:instrText>
            </w:r>
            <w:r w:rsidRPr="000F2D4C">
              <w:rPr>
                <w:noProof/>
                <w:webHidden/>
              </w:rPr>
            </w:r>
            <w:r w:rsidRPr="000F2D4C">
              <w:rPr>
                <w:noProof/>
                <w:webHidden/>
              </w:rPr>
              <w:fldChar w:fldCharType="separate"/>
            </w:r>
            <w:r w:rsidR="00DB00E1">
              <w:rPr>
                <w:noProof/>
                <w:webHidden/>
              </w:rPr>
              <w:t>77</w:t>
            </w:r>
            <w:r w:rsidRPr="000F2D4C">
              <w:rPr>
                <w:noProof/>
                <w:webHidden/>
              </w:rPr>
              <w:fldChar w:fldCharType="end"/>
            </w:r>
          </w:hyperlink>
        </w:p>
        <w:p w14:paraId="062328D6" w14:textId="6A277BE8" w:rsidR="00DF765A" w:rsidRPr="000F2D4C" w:rsidRDefault="00DF765A">
          <w:pPr>
            <w:pStyle w:val="TOC2"/>
            <w:rPr>
              <w:rFonts w:eastAsiaTheme="minorEastAsia" w:cstheme="minorBidi"/>
              <w:noProof/>
              <w:kern w:val="2"/>
              <w:sz w:val="22"/>
              <w:szCs w:val="22"/>
              <w:lang w:eastAsia="en-AU"/>
              <w14:ligatures w14:val="standardContextual"/>
            </w:rPr>
          </w:pPr>
          <w:hyperlink w:anchor="_Toc149919006" w:history="1">
            <w:r w:rsidRPr="000F2D4C">
              <w:rPr>
                <w:rStyle w:val="Hyperlink"/>
                <w:noProof/>
              </w:rPr>
              <w:t>8.2</w:t>
            </w:r>
            <w:r w:rsidRPr="000F2D4C">
              <w:rPr>
                <w:rFonts w:eastAsiaTheme="minorEastAsia" w:cstheme="minorBidi"/>
                <w:noProof/>
                <w:kern w:val="2"/>
                <w:sz w:val="22"/>
                <w:szCs w:val="22"/>
                <w:lang w:eastAsia="en-AU"/>
                <w14:ligatures w14:val="standardContextual"/>
              </w:rPr>
              <w:tab/>
            </w:r>
            <w:r w:rsidRPr="000F2D4C">
              <w:rPr>
                <w:rStyle w:val="Hyperlink"/>
                <w:noProof/>
              </w:rPr>
              <w:t>Formal ethics approval</w:t>
            </w:r>
            <w:r w:rsidRPr="000F2D4C">
              <w:rPr>
                <w:noProof/>
                <w:webHidden/>
              </w:rPr>
              <w:tab/>
            </w:r>
            <w:r w:rsidRPr="000F2D4C">
              <w:rPr>
                <w:noProof/>
                <w:webHidden/>
              </w:rPr>
              <w:fldChar w:fldCharType="begin"/>
            </w:r>
            <w:r w:rsidRPr="000F2D4C">
              <w:rPr>
                <w:noProof/>
                <w:webHidden/>
              </w:rPr>
              <w:instrText xml:space="preserve"> PAGEREF _Toc149919006 \h </w:instrText>
            </w:r>
            <w:r w:rsidRPr="000F2D4C">
              <w:rPr>
                <w:noProof/>
                <w:webHidden/>
              </w:rPr>
            </w:r>
            <w:r w:rsidRPr="000F2D4C">
              <w:rPr>
                <w:noProof/>
                <w:webHidden/>
              </w:rPr>
              <w:fldChar w:fldCharType="separate"/>
            </w:r>
            <w:r w:rsidR="00DB00E1">
              <w:rPr>
                <w:noProof/>
                <w:webHidden/>
              </w:rPr>
              <w:t>78</w:t>
            </w:r>
            <w:r w:rsidRPr="000F2D4C">
              <w:rPr>
                <w:noProof/>
                <w:webHidden/>
              </w:rPr>
              <w:fldChar w:fldCharType="end"/>
            </w:r>
          </w:hyperlink>
        </w:p>
        <w:p w14:paraId="0DE242E2" w14:textId="30B36B83" w:rsidR="00DF765A" w:rsidRPr="000F2D4C" w:rsidRDefault="00DF765A">
          <w:pPr>
            <w:pStyle w:val="TOC2"/>
            <w:rPr>
              <w:rFonts w:eastAsiaTheme="minorEastAsia" w:cstheme="minorBidi"/>
              <w:noProof/>
              <w:kern w:val="2"/>
              <w:sz w:val="22"/>
              <w:szCs w:val="22"/>
              <w:lang w:eastAsia="en-AU"/>
              <w14:ligatures w14:val="standardContextual"/>
            </w:rPr>
          </w:pPr>
          <w:hyperlink w:anchor="_Toc149919007" w:history="1">
            <w:r w:rsidRPr="000F2D4C">
              <w:rPr>
                <w:rStyle w:val="Hyperlink"/>
                <w:noProof/>
              </w:rPr>
              <w:t>8.3</w:t>
            </w:r>
            <w:r w:rsidRPr="000F2D4C">
              <w:rPr>
                <w:rFonts w:eastAsiaTheme="minorEastAsia" w:cstheme="minorBidi"/>
                <w:noProof/>
                <w:kern w:val="2"/>
                <w:sz w:val="22"/>
                <w:szCs w:val="22"/>
                <w:lang w:eastAsia="en-AU"/>
                <w14:ligatures w14:val="standardContextual"/>
              </w:rPr>
              <w:tab/>
            </w:r>
            <w:r w:rsidRPr="000F2D4C">
              <w:rPr>
                <w:rStyle w:val="Hyperlink"/>
                <w:noProof/>
              </w:rPr>
              <w:t>Ethical requirements for evaluations involving Aboriginal and Torres Strait Islander communities</w:t>
            </w:r>
            <w:r w:rsidRPr="000F2D4C">
              <w:rPr>
                <w:noProof/>
                <w:webHidden/>
              </w:rPr>
              <w:tab/>
            </w:r>
            <w:r w:rsidRPr="000F2D4C">
              <w:rPr>
                <w:noProof/>
                <w:webHidden/>
              </w:rPr>
              <w:fldChar w:fldCharType="begin"/>
            </w:r>
            <w:r w:rsidRPr="000F2D4C">
              <w:rPr>
                <w:noProof/>
                <w:webHidden/>
              </w:rPr>
              <w:instrText xml:space="preserve"> PAGEREF _Toc149919007 \h </w:instrText>
            </w:r>
            <w:r w:rsidRPr="000F2D4C">
              <w:rPr>
                <w:noProof/>
                <w:webHidden/>
              </w:rPr>
            </w:r>
            <w:r w:rsidRPr="000F2D4C">
              <w:rPr>
                <w:noProof/>
                <w:webHidden/>
              </w:rPr>
              <w:fldChar w:fldCharType="separate"/>
            </w:r>
            <w:r w:rsidR="00DB00E1">
              <w:rPr>
                <w:noProof/>
                <w:webHidden/>
              </w:rPr>
              <w:t>79</w:t>
            </w:r>
            <w:r w:rsidRPr="000F2D4C">
              <w:rPr>
                <w:noProof/>
                <w:webHidden/>
              </w:rPr>
              <w:fldChar w:fldCharType="end"/>
            </w:r>
          </w:hyperlink>
        </w:p>
        <w:p w14:paraId="3C2C80DD" w14:textId="637C5F7D" w:rsidR="00DF765A" w:rsidRPr="000F2D4C" w:rsidRDefault="00DF765A">
          <w:pPr>
            <w:pStyle w:val="TOC1"/>
            <w:rPr>
              <w:rFonts w:eastAsiaTheme="minorEastAsia" w:cstheme="minorBidi"/>
              <w:noProof/>
              <w:color w:val="auto"/>
              <w:kern w:val="2"/>
              <w:sz w:val="22"/>
              <w:szCs w:val="22"/>
              <w14:ligatures w14:val="standardContextual"/>
            </w:rPr>
          </w:pPr>
          <w:hyperlink w:anchor="_Toc149919008" w:history="1">
            <w:r w:rsidRPr="000F2D4C">
              <w:rPr>
                <w:rStyle w:val="Hyperlink"/>
                <w:noProof/>
              </w:rPr>
              <w:t>9.</w:t>
            </w:r>
            <w:r w:rsidRPr="000F2D4C">
              <w:rPr>
                <w:rFonts w:eastAsiaTheme="minorEastAsia" w:cstheme="minorBidi"/>
                <w:noProof/>
                <w:color w:val="auto"/>
                <w:kern w:val="2"/>
                <w:sz w:val="22"/>
                <w:szCs w:val="22"/>
                <w14:ligatures w14:val="standardContextual"/>
              </w:rPr>
              <w:tab/>
            </w:r>
            <w:r w:rsidRPr="000F2D4C">
              <w:rPr>
                <w:rStyle w:val="Hyperlink"/>
                <w:noProof/>
              </w:rPr>
              <w:t>Analysing and reporting</w:t>
            </w:r>
            <w:r w:rsidRPr="000F2D4C">
              <w:rPr>
                <w:noProof/>
                <w:webHidden/>
              </w:rPr>
              <w:tab/>
            </w:r>
            <w:r w:rsidRPr="000F2D4C">
              <w:rPr>
                <w:noProof/>
                <w:webHidden/>
              </w:rPr>
              <w:fldChar w:fldCharType="begin"/>
            </w:r>
            <w:r w:rsidRPr="000F2D4C">
              <w:rPr>
                <w:noProof/>
                <w:webHidden/>
              </w:rPr>
              <w:instrText xml:space="preserve"> PAGEREF _Toc149919008 \h </w:instrText>
            </w:r>
            <w:r w:rsidRPr="000F2D4C">
              <w:rPr>
                <w:noProof/>
                <w:webHidden/>
              </w:rPr>
            </w:r>
            <w:r w:rsidRPr="000F2D4C">
              <w:rPr>
                <w:noProof/>
                <w:webHidden/>
              </w:rPr>
              <w:fldChar w:fldCharType="separate"/>
            </w:r>
            <w:r w:rsidR="00DB00E1">
              <w:rPr>
                <w:noProof/>
                <w:webHidden/>
              </w:rPr>
              <w:t>81</w:t>
            </w:r>
            <w:r w:rsidRPr="000F2D4C">
              <w:rPr>
                <w:noProof/>
                <w:webHidden/>
              </w:rPr>
              <w:fldChar w:fldCharType="end"/>
            </w:r>
          </w:hyperlink>
        </w:p>
        <w:p w14:paraId="125870EF" w14:textId="5C3CC6CE" w:rsidR="00DF765A" w:rsidRPr="000F2D4C" w:rsidRDefault="00DF765A">
          <w:pPr>
            <w:pStyle w:val="TOC2"/>
            <w:rPr>
              <w:rFonts w:eastAsiaTheme="minorEastAsia" w:cstheme="minorBidi"/>
              <w:noProof/>
              <w:kern w:val="2"/>
              <w:sz w:val="22"/>
              <w:szCs w:val="22"/>
              <w:lang w:eastAsia="en-AU"/>
              <w14:ligatures w14:val="standardContextual"/>
            </w:rPr>
          </w:pPr>
          <w:hyperlink w:anchor="_Toc149919009" w:history="1">
            <w:r w:rsidRPr="000F2D4C">
              <w:rPr>
                <w:rStyle w:val="Hyperlink"/>
                <w:noProof/>
              </w:rPr>
              <w:t>9.1</w:t>
            </w:r>
            <w:r w:rsidRPr="000F2D4C">
              <w:rPr>
                <w:rFonts w:eastAsiaTheme="minorEastAsia" w:cstheme="minorBidi"/>
                <w:noProof/>
                <w:kern w:val="2"/>
                <w:sz w:val="22"/>
                <w:szCs w:val="22"/>
                <w:lang w:eastAsia="en-AU"/>
                <w14:ligatures w14:val="standardContextual"/>
              </w:rPr>
              <w:tab/>
            </w:r>
            <w:r w:rsidRPr="000F2D4C">
              <w:rPr>
                <w:rStyle w:val="Hyperlink"/>
                <w:noProof/>
              </w:rPr>
              <w:t>Analysis</w:t>
            </w:r>
            <w:r w:rsidRPr="000F2D4C">
              <w:rPr>
                <w:noProof/>
                <w:webHidden/>
              </w:rPr>
              <w:tab/>
            </w:r>
            <w:r w:rsidRPr="000F2D4C">
              <w:rPr>
                <w:noProof/>
                <w:webHidden/>
              </w:rPr>
              <w:fldChar w:fldCharType="begin"/>
            </w:r>
            <w:r w:rsidRPr="000F2D4C">
              <w:rPr>
                <w:noProof/>
                <w:webHidden/>
              </w:rPr>
              <w:instrText xml:space="preserve"> PAGEREF _Toc149919009 \h </w:instrText>
            </w:r>
            <w:r w:rsidRPr="000F2D4C">
              <w:rPr>
                <w:noProof/>
                <w:webHidden/>
              </w:rPr>
            </w:r>
            <w:r w:rsidRPr="000F2D4C">
              <w:rPr>
                <w:noProof/>
                <w:webHidden/>
              </w:rPr>
              <w:fldChar w:fldCharType="separate"/>
            </w:r>
            <w:r w:rsidR="00DB00E1">
              <w:rPr>
                <w:noProof/>
                <w:webHidden/>
              </w:rPr>
              <w:t>81</w:t>
            </w:r>
            <w:r w:rsidRPr="000F2D4C">
              <w:rPr>
                <w:noProof/>
                <w:webHidden/>
              </w:rPr>
              <w:fldChar w:fldCharType="end"/>
            </w:r>
          </w:hyperlink>
        </w:p>
        <w:p w14:paraId="65F141B6" w14:textId="65F33D62" w:rsidR="00DF765A" w:rsidRPr="000F2D4C" w:rsidRDefault="00DF765A">
          <w:pPr>
            <w:pStyle w:val="TOC2"/>
            <w:rPr>
              <w:rFonts w:eastAsiaTheme="minorEastAsia" w:cstheme="minorBidi"/>
              <w:noProof/>
              <w:kern w:val="2"/>
              <w:sz w:val="22"/>
              <w:szCs w:val="22"/>
              <w:lang w:eastAsia="en-AU"/>
              <w14:ligatures w14:val="standardContextual"/>
            </w:rPr>
          </w:pPr>
          <w:hyperlink w:anchor="_Toc149919010" w:history="1">
            <w:r w:rsidRPr="000F2D4C">
              <w:rPr>
                <w:rStyle w:val="Hyperlink"/>
                <w:noProof/>
              </w:rPr>
              <w:t>9.2</w:t>
            </w:r>
            <w:r w:rsidRPr="000F2D4C">
              <w:rPr>
                <w:rFonts w:eastAsiaTheme="minorEastAsia" w:cstheme="minorBidi"/>
                <w:noProof/>
                <w:kern w:val="2"/>
                <w:sz w:val="22"/>
                <w:szCs w:val="22"/>
                <w:lang w:eastAsia="en-AU"/>
                <w14:ligatures w14:val="standardContextual"/>
              </w:rPr>
              <w:tab/>
            </w:r>
            <w:r w:rsidRPr="000F2D4C">
              <w:rPr>
                <w:rStyle w:val="Hyperlink"/>
                <w:noProof/>
              </w:rPr>
              <w:t>Keeping stakeholders informed of progress</w:t>
            </w:r>
            <w:r w:rsidRPr="000F2D4C">
              <w:rPr>
                <w:noProof/>
                <w:webHidden/>
              </w:rPr>
              <w:tab/>
            </w:r>
            <w:r w:rsidRPr="000F2D4C">
              <w:rPr>
                <w:noProof/>
                <w:webHidden/>
              </w:rPr>
              <w:fldChar w:fldCharType="begin"/>
            </w:r>
            <w:r w:rsidRPr="000F2D4C">
              <w:rPr>
                <w:noProof/>
                <w:webHidden/>
              </w:rPr>
              <w:instrText xml:space="preserve"> PAGEREF _Toc149919010 \h </w:instrText>
            </w:r>
            <w:r w:rsidRPr="000F2D4C">
              <w:rPr>
                <w:noProof/>
                <w:webHidden/>
              </w:rPr>
            </w:r>
            <w:r w:rsidRPr="000F2D4C">
              <w:rPr>
                <w:noProof/>
                <w:webHidden/>
              </w:rPr>
              <w:fldChar w:fldCharType="separate"/>
            </w:r>
            <w:r w:rsidR="00DB00E1">
              <w:rPr>
                <w:noProof/>
                <w:webHidden/>
              </w:rPr>
              <w:t>83</w:t>
            </w:r>
            <w:r w:rsidRPr="000F2D4C">
              <w:rPr>
                <w:noProof/>
                <w:webHidden/>
              </w:rPr>
              <w:fldChar w:fldCharType="end"/>
            </w:r>
          </w:hyperlink>
        </w:p>
        <w:p w14:paraId="7372C87E" w14:textId="734622BC" w:rsidR="00DF765A" w:rsidRPr="000F2D4C" w:rsidRDefault="00DF765A">
          <w:pPr>
            <w:pStyle w:val="TOC2"/>
            <w:rPr>
              <w:rFonts w:eastAsiaTheme="minorEastAsia" w:cstheme="minorBidi"/>
              <w:noProof/>
              <w:kern w:val="2"/>
              <w:sz w:val="22"/>
              <w:szCs w:val="22"/>
              <w:lang w:eastAsia="en-AU"/>
              <w14:ligatures w14:val="standardContextual"/>
            </w:rPr>
          </w:pPr>
          <w:hyperlink w:anchor="_Toc149919011" w:history="1">
            <w:r w:rsidRPr="000F2D4C">
              <w:rPr>
                <w:rStyle w:val="Hyperlink"/>
                <w:noProof/>
              </w:rPr>
              <w:t>9.3</w:t>
            </w:r>
            <w:r w:rsidRPr="000F2D4C">
              <w:rPr>
                <w:rFonts w:eastAsiaTheme="minorEastAsia" w:cstheme="minorBidi"/>
                <w:noProof/>
                <w:kern w:val="2"/>
                <w:sz w:val="22"/>
                <w:szCs w:val="22"/>
                <w:lang w:eastAsia="en-AU"/>
                <w14:ligatures w14:val="standardContextual"/>
              </w:rPr>
              <w:tab/>
            </w:r>
            <w:r w:rsidRPr="000F2D4C">
              <w:rPr>
                <w:rStyle w:val="Hyperlink"/>
                <w:noProof/>
              </w:rPr>
              <w:t>Reporting</w:t>
            </w:r>
            <w:r w:rsidRPr="000F2D4C">
              <w:rPr>
                <w:noProof/>
                <w:webHidden/>
              </w:rPr>
              <w:tab/>
            </w:r>
            <w:r w:rsidRPr="000F2D4C">
              <w:rPr>
                <w:noProof/>
                <w:webHidden/>
              </w:rPr>
              <w:fldChar w:fldCharType="begin"/>
            </w:r>
            <w:r w:rsidRPr="000F2D4C">
              <w:rPr>
                <w:noProof/>
                <w:webHidden/>
              </w:rPr>
              <w:instrText xml:space="preserve"> PAGEREF _Toc149919011 \h </w:instrText>
            </w:r>
            <w:r w:rsidRPr="000F2D4C">
              <w:rPr>
                <w:noProof/>
                <w:webHidden/>
              </w:rPr>
            </w:r>
            <w:r w:rsidRPr="000F2D4C">
              <w:rPr>
                <w:noProof/>
                <w:webHidden/>
              </w:rPr>
              <w:fldChar w:fldCharType="separate"/>
            </w:r>
            <w:r w:rsidR="00DB00E1">
              <w:rPr>
                <w:noProof/>
                <w:webHidden/>
              </w:rPr>
              <w:t>83</w:t>
            </w:r>
            <w:r w:rsidRPr="000F2D4C">
              <w:rPr>
                <w:noProof/>
                <w:webHidden/>
              </w:rPr>
              <w:fldChar w:fldCharType="end"/>
            </w:r>
          </w:hyperlink>
        </w:p>
        <w:p w14:paraId="158280C3" w14:textId="5E98F539" w:rsidR="00DF765A" w:rsidRPr="000F2D4C" w:rsidRDefault="00DF765A">
          <w:pPr>
            <w:pStyle w:val="TOC1"/>
            <w:tabs>
              <w:tab w:val="left" w:pos="1701"/>
            </w:tabs>
            <w:rPr>
              <w:rFonts w:eastAsiaTheme="minorEastAsia" w:cstheme="minorBidi"/>
              <w:noProof/>
              <w:color w:val="auto"/>
              <w:kern w:val="2"/>
              <w:sz w:val="22"/>
              <w:szCs w:val="22"/>
              <w14:ligatures w14:val="standardContextual"/>
            </w:rPr>
          </w:pPr>
          <w:hyperlink w:anchor="_Toc149919012" w:history="1">
            <w:r w:rsidRPr="000F2D4C">
              <w:rPr>
                <w:rStyle w:val="Hyperlink"/>
                <w:rFonts w:ascii="Segoe UI" w:hAnsi="Segoe UI"/>
                <w:noProof/>
                <w14:scene3d>
                  <w14:camera w14:prst="orthographicFront"/>
                  <w14:lightRig w14:rig="threePt" w14:dir="t">
                    <w14:rot w14:lat="0" w14:lon="0" w14:rev="0"/>
                  </w14:lightRig>
                </w14:scene3d>
              </w:rPr>
              <w:t>Appendix 1</w:t>
            </w:r>
            <w:r w:rsidRPr="000F2D4C">
              <w:rPr>
                <w:rFonts w:eastAsiaTheme="minorEastAsia" w:cstheme="minorBidi"/>
                <w:noProof/>
                <w:color w:val="auto"/>
                <w:kern w:val="2"/>
                <w:sz w:val="22"/>
                <w:szCs w:val="22"/>
                <w14:ligatures w14:val="standardContextual"/>
              </w:rPr>
              <w:tab/>
            </w:r>
            <w:r w:rsidRPr="000F2D4C">
              <w:rPr>
                <w:rStyle w:val="Hyperlink"/>
                <w:noProof/>
              </w:rPr>
              <w:t>Key concepts</w:t>
            </w:r>
            <w:r w:rsidRPr="000F2D4C">
              <w:rPr>
                <w:noProof/>
                <w:webHidden/>
              </w:rPr>
              <w:tab/>
            </w:r>
            <w:r w:rsidRPr="000F2D4C">
              <w:rPr>
                <w:noProof/>
                <w:webHidden/>
              </w:rPr>
              <w:fldChar w:fldCharType="begin"/>
            </w:r>
            <w:r w:rsidRPr="000F2D4C">
              <w:rPr>
                <w:noProof/>
                <w:webHidden/>
              </w:rPr>
              <w:instrText xml:space="preserve"> PAGEREF _Toc149919012 \h </w:instrText>
            </w:r>
            <w:r w:rsidRPr="000F2D4C">
              <w:rPr>
                <w:noProof/>
                <w:webHidden/>
              </w:rPr>
            </w:r>
            <w:r w:rsidRPr="000F2D4C">
              <w:rPr>
                <w:noProof/>
                <w:webHidden/>
              </w:rPr>
              <w:fldChar w:fldCharType="separate"/>
            </w:r>
            <w:r w:rsidR="00DB00E1">
              <w:rPr>
                <w:noProof/>
                <w:webHidden/>
              </w:rPr>
              <w:t>84</w:t>
            </w:r>
            <w:r w:rsidRPr="000F2D4C">
              <w:rPr>
                <w:noProof/>
                <w:webHidden/>
              </w:rPr>
              <w:fldChar w:fldCharType="end"/>
            </w:r>
          </w:hyperlink>
        </w:p>
        <w:p w14:paraId="4A927D66" w14:textId="38991B72" w:rsidR="00DF765A" w:rsidRPr="000F2D4C" w:rsidRDefault="00DF765A">
          <w:pPr>
            <w:pStyle w:val="TOC1"/>
            <w:tabs>
              <w:tab w:val="left" w:pos="1701"/>
            </w:tabs>
            <w:rPr>
              <w:rFonts w:eastAsiaTheme="minorEastAsia" w:cstheme="minorBidi"/>
              <w:noProof/>
              <w:color w:val="auto"/>
              <w:kern w:val="2"/>
              <w:sz w:val="22"/>
              <w:szCs w:val="22"/>
              <w14:ligatures w14:val="standardContextual"/>
            </w:rPr>
          </w:pPr>
          <w:hyperlink w:anchor="_Toc149919013" w:history="1">
            <w:r w:rsidRPr="000F2D4C">
              <w:rPr>
                <w:rStyle w:val="Hyperlink"/>
                <w:rFonts w:ascii="Segoe UI" w:hAnsi="Segoe UI"/>
                <w:noProof/>
                <w14:scene3d>
                  <w14:camera w14:prst="orthographicFront"/>
                  <w14:lightRig w14:rig="threePt" w14:dir="t">
                    <w14:rot w14:lat="0" w14:lon="0" w14:rev="0"/>
                  </w14:lightRig>
                </w14:scene3d>
              </w:rPr>
              <w:t>Appendix 2</w:t>
            </w:r>
            <w:r w:rsidRPr="000F2D4C">
              <w:rPr>
                <w:rFonts w:eastAsiaTheme="minorEastAsia" w:cstheme="minorBidi"/>
                <w:noProof/>
                <w:color w:val="auto"/>
                <w:kern w:val="2"/>
                <w:sz w:val="22"/>
                <w:szCs w:val="22"/>
                <w14:ligatures w14:val="standardContextual"/>
              </w:rPr>
              <w:tab/>
            </w:r>
            <w:r w:rsidRPr="000F2D4C">
              <w:rPr>
                <w:rStyle w:val="Hyperlink"/>
                <w:noProof/>
              </w:rPr>
              <w:t>Other relevant documents</w:t>
            </w:r>
            <w:r w:rsidRPr="000F2D4C">
              <w:rPr>
                <w:noProof/>
                <w:webHidden/>
              </w:rPr>
              <w:tab/>
            </w:r>
            <w:r w:rsidRPr="000F2D4C">
              <w:rPr>
                <w:noProof/>
                <w:webHidden/>
              </w:rPr>
              <w:fldChar w:fldCharType="begin"/>
            </w:r>
            <w:r w:rsidRPr="000F2D4C">
              <w:rPr>
                <w:noProof/>
                <w:webHidden/>
              </w:rPr>
              <w:instrText xml:space="preserve"> PAGEREF _Toc149919013 \h </w:instrText>
            </w:r>
            <w:r w:rsidRPr="000F2D4C">
              <w:rPr>
                <w:noProof/>
                <w:webHidden/>
              </w:rPr>
            </w:r>
            <w:r w:rsidRPr="000F2D4C">
              <w:rPr>
                <w:noProof/>
                <w:webHidden/>
              </w:rPr>
              <w:fldChar w:fldCharType="separate"/>
            </w:r>
            <w:r w:rsidR="00DB00E1">
              <w:rPr>
                <w:noProof/>
                <w:webHidden/>
              </w:rPr>
              <w:t>86</w:t>
            </w:r>
            <w:r w:rsidRPr="000F2D4C">
              <w:rPr>
                <w:noProof/>
                <w:webHidden/>
              </w:rPr>
              <w:fldChar w:fldCharType="end"/>
            </w:r>
          </w:hyperlink>
        </w:p>
        <w:p w14:paraId="70E1939C" w14:textId="735F4F20" w:rsidR="00DF765A" w:rsidRPr="000F2D4C" w:rsidRDefault="00DF765A">
          <w:pPr>
            <w:pStyle w:val="TOC1"/>
            <w:tabs>
              <w:tab w:val="left" w:pos="1701"/>
            </w:tabs>
            <w:rPr>
              <w:rFonts w:eastAsiaTheme="minorEastAsia" w:cstheme="minorBidi"/>
              <w:noProof/>
              <w:color w:val="auto"/>
              <w:kern w:val="2"/>
              <w:sz w:val="22"/>
              <w:szCs w:val="22"/>
              <w14:ligatures w14:val="standardContextual"/>
            </w:rPr>
          </w:pPr>
          <w:hyperlink w:anchor="_Toc149919014" w:history="1">
            <w:r w:rsidRPr="000F2D4C">
              <w:rPr>
                <w:rStyle w:val="Hyperlink"/>
                <w:rFonts w:ascii="Segoe UI" w:hAnsi="Segoe UI"/>
                <w:noProof/>
                <w14:scene3d>
                  <w14:camera w14:prst="orthographicFront"/>
                  <w14:lightRig w14:rig="threePt" w14:dir="t">
                    <w14:rot w14:lat="0" w14:lon="0" w14:rev="0"/>
                  </w14:lightRig>
                </w14:scene3d>
              </w:rPr>
              <w:t>Appendix 3</w:t>
            </w:r>
            <w:r w:rsidRPr="000F2D4C">
              <w:rPr>
                <w:rFonts w:eastAsiaTheme="minorEastAsia" w:cstheme="minorBidi"/>
                <w:noProof/>
                <w:color w:val="auto"/>
                <w:kern w:val="2"/>
                <w:sz w:val="22"/>
                <w:szCs w:val="22"/>
                <w14:ligatures w14:val="standardContextual"/>
              </w:rPr>
              <w:tab/>
            </w:r>
            <w:r w:rsidRPr="000F2D4C">
              <w:rPr>
                <w:rStyle w:val="Hyperlink"/>
                <w:noProof/>
              </w:rPr>
              <w:t>Engaging lived and/or living experience team members</w:t>
            </w:r>
            <w:r w:rsidRPr="000F2D4C">
              <w:rPr>
                <w:noProof/>
                <w:webHidden/>
              </w:rPr>
              <w:tab/>
            </w:r>
            <w:r w:rsidRPr="000F2D4C">
              <w:rPr>
                <w:noProof/>
                <w:webHidden/>
              </w:rPr>
              <w:fldChar w:fldCharType="begin"/>
            </w:r>
            <w:r w:rsidRPr="000F2D4C">
              <w:rPr>
                <w:noProof/>
                <w:webHidden/>
              </w:rPr>
              <w:instrText xml:space="preserve"> PAGEREF _Toc149919014 \h </w:instrText>
            </w:r>
            <w:r w:rsidRPr="000F2D4C">
              <w:rPr>
                <w:noProof/>
                <w:webHidden/>
              </w:rPr>
            </w:r>
            <w:r w:rsidRPr="000F2D4C">
              <w:rPr>
                <w:noProof/>
                <w:webHidden/>
              </w:rPr>
              <w:fldChar w:fldCharType="separate"/>
            </w:r>
            <w:r w:rsidR="00DB00E1">
              <w:rPr>
                <w:noProof/>
                <w:webHidden/>
              </w:rPr>
              <w:t>87</w:t>
            </w:r>
            <w:r w:rsidRPr="000F2D4C">
              <w:rPr>
                <w:noProof/>
                <w:webHidden/>
              </w:rPr>
              <w:fldChar w:fldCharType="end"/>
            </w:r>
          </w:hyperlink>
        </w:p>
        <w:p w14:paraId="07DDB88E" w14:textId="2C150746" w:rsidR="00DF765A" w:rsidRPr="000F2D4C" w:rsidRDefault="00DF765A">
          <w:pPr>
            <w:pStyle w:val="TOC1"/>
            <w:tabs>
              <w:tab w:val="left" w:pos="1701"/>
            </w:tabs>
            <w:rPr>
              <w:rFonts w:eastAsiaTheme="minorEastAsia" w:cstheme="minorBidi"/>
              <w:noProof/>
              <w:color w:val="auto"/>
              <w:kern w:val="2"/>
              <w:sz w:val="22"/>
              <w:szCs w:val="22"/>
              <w14:ligatures w14:val="standardContextual"/>
            </w:rPr>
          </w:pPr>
          <w:hyperlink w:anchor="_Toc149919018" w:history="1">
            <w:r w:rsidRPr="000F2D4C">
              <w:rPr>
                <w:rStyle w:val="Hyperlink"/>
                <w:rFonts w:ascii="Segoe UI" w:hAnsi="Segoe UI"/>
                <w:noProof/>
                <w14:scene3d>
                  <w14:camera w14:prst="orthographicFront"/>
                  <w14:lightRig w14:rig="threePt" w14:dir="t">
                    <w14:rot w14:lat="0" w14:lon="0" w14:rev="0"/>
                  </w14:lightRig>
                </w14:scene3d>
              </w:rPr>
              <w:t>Appendix 4</w:t>
            </w:r>
            <w:r w:rsidRPr="000F2D4C">
              <w:rPr>
                <w:rFonts w:eastAsiaTheme="minorEastAsia" w:cstheme="minorBidi"/>
                <w:noProof/>
                <w:color w:val="auto"/>
                <w:kern w:val="2"/>
                <w:sz w:val="22"/>
                <w:szCs w:val="22"/>
                <w14:ligatures w14:val="standardContextual"/>
              </w:rPr>
              <w:tab/>
            </w:r>
            <w:r w:rsidRPr="000F2D4C">
              <w:rPr>
                <w:rStyle w:val="Hyperlink"/>
                <w:noProof/>
              </w:rPr>
              <w:t>Evaluability assessment  checklist</w:t>
            </w:r>
            <w:r w:rsidRPr="000F2D4C">
              <w:rPr>
                <w:noProof/>
                <w:webHidden/>
              </w:rPr>
              <w:tab/>
            </w:r>
            <w:r w:rsidRPr="000F2D4C">
              <w:rPr>
                <w:noProof/>
                <w:webHidden/>
              </w:rPr>
              <w:fldChar w:fldCharType="begin"/>
            </w:r>
            <w:r w:rsidRPr="000F2D4C">
              <w:rPr>
                <w:noProof/>
                <w:webHidden/>
              </w:rPr>
              <w:instrText xml:space="preserve"> PAGEREF _Toc149919018 \h </w:instrText>
            </w:r>
            <w:r w:rsidRPr="000F2D4C">
              <w:rPr>
                <w:noProof/>
                <w:webHidden/>
              </w:rPr>
            </w:r>
            <w:r w:rsidRPr="000F2D4C">
              <w:rPr>
                <w:noProof/>
                <w:webHidden/>
              </w:rPr>
              <w:fldChar w:fldCharType="separate"/>
            </w:r>
            <w:r w:rsidR="00DB00E1">
              <w:rPr>
                <w:noProof/>
                <w:webHidden/>
              </w:rPr>
              <w:t>95</w:t>
            </w:r>
            <w:r w:rsidRPr="000F2D4C">
              <w:rPr>
                <w:noProof/>
                <w:webHidden/>
              </w:rPr>
              <w:fldChar w:fldCharType="end"/>
            </w:r>
          </w:hyperlink>
        </w:p>
        <w:p w14:paraId="5FFDDF93" w14:textId="25E7B026" w:rsidR="00DF765A" w:rsidRPr="000F2D4C" w:rsidRDefault="00DF765A">
          <w:pPr>
            <w:pStyle w:val="TOC1"/>
            <w:tabs>
              <w:tab w:val="left" w:pos="1701"/>
            </w:tabs>
            <w:rPr>
              <w:rFonts w:eastAsiaTheme="minorEastAsia" w:cstheme="minorBidi"/>
              <w:noProof/>
              <w:color w:val="auto"/>
              <w:kern w:val="2"/>
              <w:sz w:val="22"/>
              <w:szCs w:val="22"/>
              <w14:ligatures w14:val="standardContextual"/>
            </w:rPr>
          </w:pPr>
          <w:hyperlink w:anchor="_Toc149919019" w:history="1">
            <w:r w:rsidRPr="000F2D4C">
              <w:rPr>
                <w:rStyle w:val="Hyperlink"/>
                <w:rFonts w:ascii="Segoe UI" w:hAnsi="Segoe UI"/>
                <w:noProof/>
                <w14:scene3d>
                  <w14:camera w14:prst="orthographicFront"/>
                  <w14:lightRig w14:rig="threePt" w14:dir="t">
                    <w14:rot w14:lat="0" w14:lon="0" w14:rev="0"/>
                  </w14:lightRig>
                </w14:scene3d>
              </w:rPr>
              <w:t>Appendix 5</w:t>
            </w:r>
            <w:r w:rsidRPr="000F2D4C">
              <w:rPr>
                <w:rFonts w:eastAsiaTheme="minorEastAsia" w:cstheme="minorBidi"/>
                <w:noProof/>
                <w:color w:val="auto"/>
                <w:kern w:val="2"/>
                <w:sz w:val="22"/>
                <w:szCs w:val="22"/>
                <w14:ligatures w14:val="standardContextual"/>
              </w:rPr>
              <w:tab/>
            </w:r>
            <w:r w:rsidRPr="000F2D4C">
              <w:rPr>
                <w:rStyle w:val="Hyperlink"/>
                <w:noProof/>
              </w:rPr>
              <w:t>Outcomes mapping</w:t>
            </w:r>
            <w:r w:rsidRPr="000F2D4C">
              <w:rPr>
                <w:noProof/>
                <w:webHidden/>
              </w:rPr>
              <w:tab/>
            </w:r>
            <w:r w:rsidRPr="000F2D4C">
              <w:rPr>
                <w:noProof/>
                <w:webHidden/>
              </w:rPr>
              <w:fldChar w:fldCharType="begin"/>
            </w:r>
            <w:r w:rsidRPr="000F2D4C">
              <w:rPr>
                <w:noProof/>
                <w:webHidden/>
              </w:rPr>
              <w:instrText xml:space="preserve"> PAGEREF _Toc149919019 \h </w:instrText>
            </w:r>
            <w:r w:rsidRPr="000F2D4C">
              <w:rPr>
                <w:noProof/>
                <w:webHidden/>
              </w:rPr>
            </w:r>
            <w:r w:rsidRPr="000F2D4C">
              <w:rPr>
                <w:noProof/>
                <w:webHidden/>
              </w:rPr>
              <w:fldChar w:fldCharType="separate"/>
            </w:r>
            <w:r w:rsidR="00DB00E1">
              <w:rPr>
                <w:noProof/>
                <w:webHidden/>
              </w:rPr>
              <w:t>97</w:t>
            </w:r>
            <w:r w:rsidRPr="000F2D4C">
              <w:rPr>
                <w:noProof/>
                <w:webHidden/>
              </w:rPr>
              <w:fldChar w:fldCharType="end"/>
            </w:r>
          </w:hyperlink>
        </w:p>
        <w:p w14:paraId="2976E8E3" w14:textId="74F1B8AD" w:rsidR="00DF765A" w:rsidRPr="000F2D4C" w:rsidRDefault="00DF765A">
          <w:pPr>
            <w:pStyle w:val="TOC1"/>
            <w:tabs>
              <w:tab w:val="left" w:pos="1701"/>
            </w:tabs>
            <w:rPr>
              <w:rFonts w:eastAsiaTheme="minorEastAsia" w:cstheme="minorBidi"/>
              <w:noProof/>
              <w:color w:val="auto"/>
              <w:kern w:val="2"/>
              <w:sz w:val="22"/>
              <w:szCs w:val="22"/>
              <w14:ligatures w14:val="standardContextual"/>
            </w:rPr>
          </w:pPr>
          <w:hyperlink w:anchor="_Toc149919020" w:history="1">
            <w:r w:rsidRPr="000F2D4C">
              <w:rPr>
                <w:rStyle w:val="Hyperlink"/>
                <w:rFonts w:ascii="Segoe UI" w:hAnsi="Segoe UI"/>
                <w:noProof/>
                <w14:scene3d>
                  <w14:camera w14:prst="orthographicFront"/>
                  <w14:lightRig w14:rig="threePt" w14:dir="t">
                    <w14:rot w14:lat="0" w14:lon="0" w14:rev="0"/>
                  </w14:lightRig>
                </w14:scene3d>
              </w:rPr>
              <w:t>Appendix 6</w:t>
            </w:r>
            <w:r w:rsidRPr="000F2D4C">
              <w:rPr>
                <w:rFonts w:eastAsiaTheme="minorEastAsia" w:cstheme="minorBidi"/>
                <w:noProof/>
                <w:color w:val="auto"/>
                <w:kern w:val="2"/>
                <w:sz w:val="22"/>
                <w:szCs w:val="22"/>
                <w14:ligatures w14:val="standardContextual"/>
              </w:rPr>
              <w:tab/>
            </w:r>
            <w:r w:rsidRPr="000F2D4C">
              <w:rPr>
                <w:rStyle w:val="Hyperlink"/>
                <w:noProof/>
              </w:rPr>
              <w:t>EMMIE template</w:t>
            </w:r>
            <w:r w:rsidRPr="000F2D4C">
              <w:rPr>
                <w:noProof/>
                <w:webHidden/>
              </w:rPr>
              <w:tab/>
            </w:r>
            <w:r w:rsidRPr="000F2D4C">
              <w:rPr>
                <w:noProof/>
                <w:webHidden/>
              </w:rPr>
              <w:fldChar w:fldCharType="begin"/>
            </w:r>
            <w:r w:rsidRPr="000F2D4C">
              <w:rPr>
                <w:noProof/>
                <w:webHidden/>
              </w:rPr>
              <w:instrText xml:space="preserve"> PAGEREF _Toc149919020 \h </w:instrText>
            </w:r>
            <w:r w:rsidRPr="000F2D4C">
              <w:rPr>
                <w:noProof/>
                <w:webHidden/>
              </w:rPr>
            </w:r>
            <w:r w:rsidRPr="000F2D4C">
              <w:rPr>
                <w:noProof/>
                <w:webHidden/>
              </w:rPr>
              <w:fldChar w:fldCharType="separate"/>
            </w:r>
            <w:r w:rsidR="00DB00E1">
              <w:rPr>
                <w:noProof/>
                <w:webHidden/>
              </w:rPr>
              <w:t>103</w:t>
            </w:r>
            <w:r w:rsidRPr="000F2D4C">
              <w:rPr>
                <w:noProof/>
                <w:webHidden/>
              </w:rPr>
              <w:fldChar w:fldCharType="end"/>
            </w:r>
          </w:hyperlink>
        </w:p>
        <w:p w14:paraId="4B856853" w14:textId="51D1282D" w:rsidR="00A11B4A" w:rsidRPr="000F2D4C" w:rsidRDefault="002D0A0E" w:rsidP="00CE65D2">
          <w:pPr>
            <w:pStyle w:val="TOC1"/>
            <w:ind w:left="0" w:firstLine="0"/>
            <w:rPr>
              <w:rStyle w:val="Hyperlink"/>
              <w:noProof/>
              <w:kern w:val="2"/>
              <w14:ligatures w14:val="standardContextual"/>
            </w:rPr>
          </w:pPr>
          <w:r w:rsidRPr="000F2D4C">
            <w:fldChar w:fldCharType="end"/>
          </w:r>
        </w:p>
      </w:sdtContent>
    </w:sdt>
    <w:p w14:paraId="09556423" w14:textId="34D7F356" w:rsidR="00AD7794" w:rsidRPr="000F2D4C" w:rsidRDefault="0005356D" w:rsidP="00260E4C">
      <w:pPr>
        <w:pStyle w:val="TOC1"/>
        <w:rPr>
          <w:rFonts w:eastAsiaTheme="minorEastAsia" w:cstheme="minorBidi"/>
          <w:noProof/>
          <w:color w:val="auto"/>
          <w:sz w:val="22"/>
          <w:szCs w:val="22"/>
        </w:rPr>
      </w:pPr>
      <w:r w:rsidRPr="000F2D4C">
        <w:fldChar w:fldCharType="begin"/>
      </w:r>
      <w:r w:rsidRPr="000F2D4C">
        <w:instrText xml:space="preserve"> TOC \h \z \t "Heading 1,1,Heading 2,2,General Heading,1,Box name,3,Exec Summary H2,2,General Heading 2,2,Appendix,1,Appendix 2,1,Heading 1 Frame,1,Heading 2 Frame,2" </w:instrText>
      </w:r>
      <w:r w:rsidRPr="000F2D4C">
        <w:fldChar w:fldCharType="separate"/>
      </w:r>
    </w:p>
    <w:p w14:paraId="5A6CAA62" w14:textId="45853C6E" w:rsidR="0005356D" w:rsidRPr="000F2D4C" w:rsidRDefault="0005356D" w:rsidP="005F3CE0">
      <w:pPr>
        <w:rPr>
          <w:noProof/>
        </w:rPr>
        <w:sectPr w:rsidR="0005356D" w:rsidRPr="000F2D4C" w:rsidSect="00324725">
          <w:headerReference w:type="even" r:id="rId16"/>
          <w:headerReference w:type="default" r:id="rId17"/>
          <w:footerReference w:type="even" r:id="rId18"/>
          <w:footerReference w:type="default" r:id="rId19"/>
          <w:pgSz w:w="11906" w:h="16838" w:code="9"/>
          <w:pgMar w:top="1418" w:right="1418" w:bottom="1418" w:left="2268" w:header="561" w:footer="170" w:gutter="0"/>
          <w:cols w:space="708"/>
          <w:docGrid w:linePitch="360"/>
        </w:sectPr>
      </w:pPr>
      <w:r w:rsidRPr="000F2D4C">
        <w:rPr>
          <w:color w:val="215565" w:themeColor="accent2" w:themeShade="80"/>
        </w:rPr>
        <w:fldChar w:fldCharType="end"/>
      </w:r>
    </w:p>
    <w:p w14:paraId="42EA50A4" w14:textId="021E107A" w:rsidR="00CF5FC8" w:rsidRPr="000F2D4C" w:rsidRDefault="00CF5FC8" w:rsidP="00CF5FC8">
      <w:pPr>
        <w:pStyle w:val="Heading1"/>
      </w:pPr>
      <w:bookmarkStart w:id="0" w:name="_Toc146031442"/>
      <w:bookmarkStart w:id="1" w:name="_Toc146206756"/>
      <w:bookmarkStart w:id="2" w:name="_Toc149918981"/>
      <w:bookmarkStart w:id="3" w:name="_Toc146031438"/>
      <w:bookmarkStart w:id="4" w:name="_Toc146206752"/>
      <w:r w:rsidRPr="000F2D4C">
        <w:lastRenderedPageBreak/>
        <w:t>Framework on a page</w:t>
      </w:r>
      <w:bookmarkEnd w:id="0"/>
      <w:bookmarkEnd w:id="1"/>
      <w:bookmarkEnd w:id="2"/>
    </w:p>
    <w:p w14:paraId="607A9257" w14:textId="566AD2FD" w:rsidR="00B10EA8" w:rsidRPr="000F2D4C" w:rsidRDefault="00B10EA8" w:rsidP="00B10EA8">
      <w:r w:rsidRPr="000F2D4C">
        <w:rPr>
          <w:noProof/>
        </w:rPr>
        <w:drawing>
          <wp:inline distT="0" distB="0" distL="0" distR="0" wp14:anchorId="5B2D165E" wp14:editId="27F6635C">
            <wp:extent cx="5259911" cy="7918399"/>
            <wp:effectExtent l="0" t="0" r="0" b="6985"/>
            <wp:docPr id="902131828" name="Picture 902131828" descr="An infographic that explains the framework on one page. It has the following text. &#10;Purpose: to help improve the mental health and suicide prevention system for the people and communities who need them. It will do this by strengthening the quality and consistency of evaluations of mental health and suicide prevention initiatives. &#10;Evaluation principles: lived and living experience and consumer centred that is robust and fit for purpose; trauma responsive and ethical and focused on learning and building the evidence base. &#10;Getting ready for evaluation: It is important to consider evaluation upfront to ensure that appropriate data is collected to understand how a program is working and whether outcomes are achieved. It is also important to build in appropriate governance that includes various levels of government involved, lived and living experience and Aboriginal and Torres Strait Islander governance.&#10;Domains of focus for evaluation: Areas of focus for evaluation to provide a common language for comparison so that evaluations – big and small – can contribute to our understanding of how to improve activities, initiatives and the mental health and suicide prevention service system.&#10;Evaluation approaches and designs: Advice on choosing an evaluation approach and design that is fit for purpose - that suits the scale of the program, context, stage of development and other considerations.&#10;Ethical considerations: Considerations to support ethical evaluation, trauma-informed approaches with people with lived experience, and culturally safe evaluation for Aboriginal and Torres Strait Islander communities.&#10;Methods and measures: Guidance on making use of commonly available data for mental health and suicide prevention initiatives, and additional data collection evaluations might consider.&#10;Analysis and reporting: Guidance on analysis and interpretation, reporting of evaluations to help build the evidence ba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31828" name="Picture 902131828" descr="An infographic that explains the framework on one page. It has the following text. &#10;Purpose: to help improve the mental health and suicide prevention system for the people and communities who need them. It will do this by strengthening the quality and consistency of evaluations of mental health and suicide prevention initiatives. &#10;Evaluation principles: lived and living experience and consumer centred that is robust and fit for purpose; trauma responsive and ethical and focused on learning and building the evidence base. &#10;Getting ready for evaluation: It is important to consider evaluation upfront to ensure that appropriate data is collected to understand how a program is working and whether outcomes are achieved. It is also important to build in appropriate governance that includes various levels of government involved, lived and living experience and Aboriginal and Torres Strait Islander governance.&#10;Domains of focus for evaluation: Areas of focus for evaluation to provide a common language for comparison so that evaluations – big and small – can contribute to our understanding of how to improve activities, initiatives and the mental health and suicide prevention service system.&#10;Evaluation approaches and designs: Advice on choosing an evaluation approach and design that is fit for purpose - that suits the scale of the program, context, stage of development and other considerations.&#10;Ethical considerations: Considerations to support ethical evaluation, trauma-informed approaches with people with lived experience, and culturally safe evaluation for Aboriginal and Torres Strait Islander communities.&#10;Methods and measures: Guidance on making use of commonly available data for mental health and suicide prevention initiatives, and additional data collection evaluations might consider.&#10;Analysis and reporting: Guidance on analysis and interpretation, reporting of evaluations to help build the evidence base.&#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055" r="3040"/>
                    <a:stretch/>
                  </pic:blipFill>
                  <pic:spPr bwMode="auto">
                    <a:xfrm>
                      <a:off x="0" y="0"/>
                      <a:ext cx="5268520" cy="7931359"/>
                    </a:xfrm>
                    <a:prstGeom prst="rect">
                      <a:avLst/>
                    </a:prstGeom>
                    <a:noFill/>
                    <a:ln>
                      <a:noFill/>
                    </a:ln>
                    <a:extLst>
                      <a:ext uri="{53640926-AAD7-44D8-BBD7-CCE9431645EC}">
                        <a14:shadowObscured xmlns:a14="http://schemas.microsoft.com/office/drawing/2010/main"/>
                      </a:ext>
                    </a:extLst>
                  </pic:spPr>
                </pic:pic>
              </a:graphicData>
            </a:graphic>
          </wp:inline>
        </w:drawing>
      </w:r>
    </w:p>
    <w:p w14:paraId="66420FEA" w14:textId="4D62A239" w:rsidR="005378BF" w:rsidRPr="000F2D4C" w:rsidRDefault="0005356D" w:rsidP="00BB621E">
      <w:pPr>
        <w:pStyle w:val="Heading1"/>
      </w:pPr>
      <w:bookmarkStart w:id="5" w:name="_Toc149918982"/>
      <w:r w:rsidRPr="000F2D4C">
        <w:lastRenderedPageBreak/>
        <w:t>Background</w:t>
      </w:r>
      <w:bookmarkEnd w:id="3"/>
      <w:bookmarkEnd w:id="4"/>
      <w:bookmarkEnd w:id="5"/>
    </w:p>
    <w:p w14:paraId="1C80FA9C" w14:textId="774641A5" w:rsidR="0005356D" w:rsidRPr="000F2D4C" w:rsidRDefault="0005356D" w:rsidP="005378BF">
      <w:pPr>
        <w:pStyle w:val="Heading2"/>
      </w:pPr>
      <w:bookmarkStart w:id="6" w:name="_Toc146031439"/>
      <w:bookmarkStart w:id="7" w:name="_Toc146206753"/>
      <w:bookmarkStart w:id="8" w:name="_Toc149918983"/>
      <w:r w:rsidRPr="000F2D4C">
        <w:t>National Mental Health and Suicide Prevention Agreement</w:t>
      </w:r>
      <w:bookmarkEnd w:id="6"/>
      <w:bookmarkEnd w:id="7"/>
      <w:bookmarkEnd w:id="8"/>
    </w:p>
    <w:p w14:paraId="1B1AEC38" w14:textId="3A5DB147" w:rsidR="0005356D" w:rsidRPr="000F2D4C" w:rsidRDefault="0005356D" w:rsidP="0005356D">
      <w:r w:rsidRPr="000F2D4C">
        <w:t xml:space="preserve">The National Mental Health and Suicide Prevention Agreement (National Agreement) sets out </w:t>
      </w:r>
      <w:r w:rsidR="003C2D03" w:rsidRPr="000F2D4C">
        <w:t xml:space="preserve">the </w:t>
      </w:r>
      <w:r w:rsidRPr="000F2D4C">
        <w:t xml:space="preserve">shared intention of </w:t>
      </w:r>
      <w:r w:rsidR="003C2D03" w:rsidRPr="000F2D4C">
        <w:t xml:space="preserve">the </w:t>
      </w:r>
      <w:r w:rsidRPr="000F2D4C">
        <w:t xml:space="preserve">Commonwealth, </w:t>
      </w:r>
      <w:r w:rsidR="2415A4AA" w:rsidRPr="000F2D4C">
        <w:t>s</w:t>
      </w:r>
      <w:r w:rsidRPr="000F2D4C">
        <w:t xml:space="preserve">tate and </w:t>
      </w:r>
      <w:r w:rsidR="48281696" w:rsidRPr="000F2D4C">
        <w:t>t</w:t>
      </w:r>
      <w:r w:rsidRPr="000F2D4C">
        <w:t xml:space="preserve">erritory </w:t>
      </w:r>
      <w:r w:rsidR="0FE2D8B0" w:rsidRPr="000F2D4C">
        <w:t>g</w:t>
      </w:r>
      <w:r w:rsidRPr="000F2D4C">
        <w:t xml:space="preserve">overnments to work </w:t>
      </w:r>
      <w:r w:rsidR="00223EB6" w:rsidRPr="000F2D4C">
        <w:t>together t</w:t>
      </w:r>
      <w:r w:rsidR="00370C8F" w:rsidRPr="000F2D4C">
        <w:t>o</w:t>
      </w:r>
      <w:r w:rsidRPr="000F2D4C">
        <w:t>:</w:t>
      </w:r>
    </w:p>
    <w:p w14:paraId="72E4E700" w14:textId="77777777" w:rsidR="0005356D" w:rsidRPr="000F2D4C" w:rsidRDefault="0005356D" w:rsidP="00FC2CEE">
      <w:pPr>
        <w:pStyle w:val="ListBullet"/>
        <w:numPr>
          <w:ilvl w:val="0"/>
          <w:numId w:val="24"/>
        </w:numPr>
      </w:pPr>
      <w:r w:rsidRPr="000F2D4C">
        <w:t>improve the mental health of all Australians</w:t>
      </w:r>
    </w:p>
    <w:p w14:paraId="527ECFDA" w14:textId="77777777" w:rsidR="0005356D" w:rsidRPr="000F2D4C" w:rsidRDefault="0005356D" w:rsidP="00FC2CEE">
      <w:pPr>
        <w:pStyle w:val="ListBullet"/>
        <w:numPr>
          <w:ilvl w:val="0"/>
          <w:numId w:val="24"/>
        </w:numPr>
      </w:pPr>
      <w:r w:rsidRPr="000F2D4C">
        <w:t>reduce the rate of suicide towards zero</w:t>
      </w:r>
    </w:p>
    <w:p w14:paraId="65F8CAEA" w14:textId="45D3033C" w:rsidR="0005356D" w:rsidRPr="000F2D4C" w:rsidRDefault="00370C8F" w:rsidP="00FC2CEE">
      <w:pPr>
        <w:pStyle w:val="ListBullet"/>
        <w:numPr>
          <w:ilvl w:val="0"/>
          <w:numId w:val="24"/>
        </w:numPr>
      </w:pPr>
      <w:r w:rsidRPr="000F2D4C">
        <w:t xml:space="preserve">improve </w:t>
      </w:r>
      <w:r w:rsidR="0005356D" w:rsidRPr="000F2D4C">
        <w:t>the Australian mental health and suicide prevention system.</w:t>
      </w:r>
    </w:p>
    <w:p w14:paraId="16A28510" w14:textId="3BB7D7DD" w:rsidR="00BF214B" w:rsidRPr="000F2D4C" w:rsidRDefault="00BF214B" w:rsidP="00BF214B">
      <w:pPr>
        <w:spacing w:before="240"/>
      </w:pPr>
      <w:r w:rsidRPr="000F2D4C">
        <w:t xml:space="preserve">The activities implemented as part of the National Agreement will be </w:t>
      </w:r>
      <w:r w:rsidRPr="000F2D4C">
        <w:rPr>
          <w:b/>
          <w:bCs/>
        </w:rPr>
        <w:t xml:space="preserve">informed by </w:t>
      </w:r>
      <w:r w:rsidR="00890DBF" w:rsidRPr="000F2D4C">
        <w:rPr>
          <w:b/>
          <w:bCs/>
        </w:rPr>
        <w:t xml:space="preserve">people with </w:t>
      </w:r>
      <w:r w:rsidRPr="000F2D4C">
        <w:rPr>
          <w:b/>
          <w:bCs/>
        </w:rPr>
        <w:t xml:space="preserve">lived </w:t>
      </w:r>
      <w:r w:rsidR="005717B8" w:rsidRPr="000F2D4C">
        <w:rPr>
          <w:b/>
          <w:bCs/>
        </w:rPr>
        <w:t>and</w:t>
      </w:r>
      <w:r w:rsidR="3B35D590" w:rsidRPr="000F2D4C">
        <w:rPr>
          <w:b/>
          <w:bCs/>
        </w:rPr>
        <w:t>/or</w:t>
      </w:r>
      <w:r w:rsidR="00890DBF" w:rsidRPr="000F2D4C">
        <w:rPr>
          <w:b/>
          <w:bCs/>
        </w:rPr>
        <w:t xml:space="preserve"> living </w:t>
      </w:r>
      <w:r w:rsidRPr="000F2D4C">
        <w:rPr>
          <w:b/>
          <w:bCs/>
        </w:rPr>
        <w:t>experience</w:t>
      </w:r>
      <w:r w:rsidRPr="000F2D4C">
        <w:t xml:space="preserve"> of mental ill-health and</w:t>
      </w:r>
      <w:r w:rsidR="00854063" w:rsidRPr="000F2D4C">
        <w:t>/or</w:t>
      </w:r>
      <w:r w:rsidRPr="000F2D4C">
        <w:t xml:space="preserve"> suicide</w:t>
      </w:r>
      <w:r w:rsidR="00854063" w:rsidRPr="000F2D4C">
        <w:t>, and their families,</w:t>
      </w:r>
      <w:r w:rsidR="00495200" w:rsidRPr="000F2D4C">
        <w:t xml:space="preserve"> </w:t>
      </w:r>
      <w:r w:rsidRPr="000F2D4C">
        <w:t xml:space="preserve">carers </w:t>
      </w:r>
      <w:r w:rsidR="002F395B" w:rsidRPr="000F2D4C">
        <w:t>and support people</w:t>
      </w:r>
      <w:r w:rsidRPr="000F2D4C">
        <w:t xml:space="preserve">. </w:t>
      </w:r>
    </w:p>
    <w:p w14:paraId="73D77812" w14:textId="77777777" w:rsidR="00BF214B" w:rsidRPr="000F2D4C" w:rsidRDefault="00BF214B" w:rsidP="006C7C72">
      <w:pPr>
        <w:pStyle w:val="ListNumber"/>
        <w:numPr>
          <w:ilvl w:val="0"/>
          <w:numId w:val="0"/>
        </w:numPr>
        <w:rPr>
          <w:lang w:val="en-AU"/>
        </w:rPr>
      </w:pPr>
      <w:r w:rsidRPr="000F2D4C">
        <w:rPr>
          <w:lang w:val="en-AU"/>
        </w:rPr>
        <w:t xml:space="preserve">Under the National Agreement, governments have committed to measure and report on their activities and the outcomes of these. </w:t>
      </w:r>
    </w:p>
    <w:p w14:paraId="03FF2EB3" w14:textId="2849737D" w:rsidR="005378BF" w:rsidRPr="000F2D4C" w:rsidRDefault="003B3CA9" w:rsidP="005378BF">
      <w:pPr>
        <w:pStyle w:val="Heading2"/>
      </w:pPr>
      <w:bookmarkStart w:id="9" w:name="_Toc146031440"/>
      <w:bookmarkStart w:id="10" w:name="_Toc146206754"/>
      <w:bookmarkStart w:id="11" w:name="_Toc149918984"/>
      <w:r w:rsidRPr="000F2D4C">
        <w:t>A</w:t>
      </w:r>
      <w:r w:rsidR="005378BF" w:rsidRPr="000F2D4C">
        <w:t xml:space="preserve"> </w:t>
      </w:r>
      <w:r w:rsidR="00060D17" w:rsidRPr="000F2D4C">
        <w:t>N</w:t>
      </w:r>
      <w:r w:rsidR="005378BF" w:rsidRPr="000F2D4C">
        <w:t xml:space="preserve">ational Evaluation Framework and Sharing </w:t>
      </w:r>
      <w:r w:rsidR="00CF632F" w:rsidRPr="000F2D4C">
        <w:t>G</w:t>
      </w:r>
      <w:r w:rsidR="005378BF" w:rsidRPr="000F2D4C">
        <w:t>uidelines</w:t>
      </w:r>
      <w:bookmarkEnd w:id="9"/>
      <w:bookmarkEnd w:id="10"/>
      <w:bookmarkEnd w:id="11"/>
    </w:p>
    <w:p w14:paraId="73BBE98E" w14:textId="137945BA" w:rsidR="005378BF" w:rsidRPr="000F2D4C" w:rsidRDefault="003C2D03" w:rsidP="00835DC8">
      <w:pPr>
        <w:rPr>
          <w:rFonts w:ascii="Segoe UI" w:eastAsia="Segoe UI" w:hAnsi="Segoe UI" w:cs="Segoe UI"/>
        </w:rPr>
      </w:pPr>
      <w:r w:rsidRPr="000F2D4C">
        <w:t>Under the National Agreement, g</w:t>
      </w:r>
      <w:r w:rsidR="005378BF" w:rsidRPr="000F2D4C">
        <w:t xml:space="preserve">overnments agreed to develop a National Evaluation Framework (the Framework) and National Evaluation Sharing Guidelines (the Guidelines) </w:t>
      </w:r>
      <w:r w:rsidRPr="000F2D4C">
        <w:t xml:space="preserve">(Annex </w:t>
      </w:r>
      <w:r w:rsidR="001D14C6" w:rsidRPr="000F2D4C">
        <w:t>C</w:t>
      </w:r>
      <w:r w:rsidRPr="000F2D4C">
        <w:t>)</w:t>
      </w:r>
      <w:r w:rsidR="00835DC8" w:rsidRPr="000F2D4C">
        <w:t xml:space="preserve">. </w:t>
      </w:r>
      <w:r w:rsidR="005378BF" w:rsidRPr="000F2D4C">
        <w:rPr>
          <w:rFonts w:ascii="Segoe UI" w:eastAsia="Segoe UI" w:hAnsi="Segoe UI" w:cs="Segoe UI"/>
        </w:rPr>
        <w:t xml:space="preserve">The Framework relates to a key recommendation from the </w:t>
      </w:r>
      <w:hyperlink r:id="rId21" w:history="1">
        <w:r w:rsidR="005378BF" w:rsidRPr="000F2D4C">
          <w:rPr>
            <w:rStyle w:val="Hyperlink"/>
            <w:rFonts w:ascii="Segoe UI" w:eastAsia="Segoe UI" w:hAnsi="Segoe UI" w:cs="Segoe UI"/>
            <w:i/>
            <w:iCs/>
          </w:rPr>
          <w:t>Productivity Commission 2020 Inquiry into Mental Health</w:t>
        </w:r>
      </w:hyperlink>
      <w:r w:rsidR="005378BF" w:rsidRPr="000F2D4C">
        <w:rPr>
          <w:rFonts w:ascii="Segoe UI" w:eastAsia="Segoe UI" w:hAnsi="Segoe UI" w:cs="Segoe UI"/>
        </w:rPr>
        <w:t xml:space="preserve"> to embed an evaluation culture into the system.</w:t>
      </w:r>
    </w:p>
    <w:p w14:paraId="46DA9AA0" w14:textId="77777777" w:rsidR="00EF3F60" w:rsidRPr="000F2D4C" w:rsidRDefault="00EF3F60" w:rsidP="007A5087">
      <w:pPr>
        <w:pStyle w:val="Heading3"/>
      </w:pPr>
      <w:bookmarkStart w:id="12" w:name="_Toc146031445"/>
      <w:bookmarkStart w:id="13" w:name="_Toc146206759"/>
      <w:r w:rsidRPr="000F2D4C">
        <w:t>Purpose of the Framework</w:t>
      </w:r>
      <w:bookmarkEnd w:id="12"/>
      <w:bookmarkEnd w:id="13"/>
    </w:p>
    <w:p w14:paraId="4B6ACB5C" w14:textId="5F934480" w:rsidR="00EF3F60" w:rsidRPr="000F2D4C" w:rsidRDefault="00EF3F60" w:rsidP="00EF3F60">
      <w:r w:rsidRPr="000F2D4C">
        <w:rPr>
          <w:rFonts w:ascii="Segoe UI" w:eastAsia="Segoe UI" w:hAnsi="Segoe UI" w:cs="Segoe UI"/>
        </w:rPr>
        <w:t xml:space="preserve">The purpose of this Framework is to help </w:t>
      </w:r>
      <w:r w:rsidRPr="000F2D4C">
        <w:t xml:space="preserve">improve the mental health and suicide prevention system for the people and communities who need </w:t>
      </w:r>
      <w:r w:rsidR="007C75CE" w:rsidRPr="000F2D4C">
        <w:t>it</w:t>
      </w:r>
      <w:r w:rsidRPr="000F2D4C">
        <w:t xml:space="preserve">. </w:t>
      </w:r>
      <w:r w:rsidR="001536D1" w:rsidRPr="000F2D4C">
        <w:t>The Framework</w:t>
      </w:r>
      <w:r w:rsidRPr="000F2D4C">
        <w:t xml:space="preserve"> will do this by providing guidance to strengthen the quality and consistency of evaluations of mental health and suicide prevention </w:t>
      </w:r>
      <w:r w:rsidR="009862BC" w:rsidRPr="000F2D4C">
        <w:t>programs</w:t>
      </w:r>
      <w:r w:rsidRPr="000F2D4C">
        <w:t xml:space="preserve">. </w:t>
      </w:r>
    </w:p>
    <w:p w14:paraId="5B085D17" w14:textId="1CB091D1" w:rsidR="00EF3F60" w:rsidRPr="000F2D4C" w:rsidRDefault="00EF3F60" w:rsidP="00EF3F60">
      <w:r w:rsidRPr="000F2D4C">
        <w:rPr>
          <w:rFonts w:ascii="Segoe UI" w:eastAsia="Segoe UI" w:hAnsi="Segoe UI" w:cs="Segoe UI"/>
        </w:rPr>
        <w:t>While the Framework communicates what is expected of evaluations under the National Agreement, it is intended to be useful beyond the timeframe of the National Agreement to guide the evaluation of any mental health and suicide prevention program.</w:t>
      </w:r>
      <w:r w:rsidRPr="000F2D4C">
        <w:t xml:space="preserve"> </w:t>
      </w:r>
      <w:r w:rsidRPr="000F2D4C">
        <w:rPr>
          <w:rStyle w:val="Hyperlink"/>
          <w:color w:val="auto"/>
          <w:u w:val="none"/>
        </w:rPr>
        <w:t>The Framework is not intended to be prescriptive but to guide those planning, commissioning</w:t>
      </w:r>
      <w:r w:rsidR="108181A7" w:rsidRPr="000F2D4C">
        <w:rPr>
          <w:rStyle w:val="Hyperlink"/>
          <w:color w:val="auto"/>
          <w:u w:val="none"/>
        </w:rPr>
        <w:t>,</w:t>
      </w:r>
      <w:r w:rsidRPr="000F2D4C">
        <w:rPr>
          <w:rStyle w:val="Hyperlink"/>
          <w:color w:val="auto"/>
          <w:u w:val="none"/>
        </w:rPr>
        <w:t xml:space="preserve"> and conducting evaluations</w:t>
      </w:r>
      <w:r w:rsidRPr="000F2D4C">
        <w:t xml:space="preserve">. </w:t>
      </w:r>
    </w:p>
    <w:p w14:paraId="6CDA481F" w14:textId="4BCA87CA" w:rsidR="007A13FE" w:rsidRPr="000F2D4C" w:rsidRDefault="00D308FF" w:rsidP="00EF3F60">
      <w:pPr>
        <w:rPr>
          <w:rFonts w:ascii="Segoe UI" w:eastAsia="Segoe UI" w:hAnsi="Segoe UI" w:cs="Segoe UI"/>
        </w:rPr>
      </w:pPr>
      <w:r w:rsidRPr="000F2D4C">
        <w:rPr>
          <w:rFonts w:ascii="Segoe UI" w:eastAsia="Segoe UI" w:hAnsi="Segoe UI" w:cs="Segoe UI"/>
        </w:rPr>
        <w:t xml:space="preserve">Australian jurisdictions are at various stages of </w:t>
      </w:r>
      <w:r w:rsidR="005D3540" w:rsidRPr="000F2D4C">
        <w:rPr>
          <w:rFonts w:ascii="Segoe UI" w:eastAsia="Segoe UI" w:hAnsi="Segoe UI" w:cs="Segoe UI"/>
        </w:rPr>
        <w:t>implement</w:t>
      </w:r>
      <w:r w:rsidR="00A60963" w:rsidRPr="000F2D4C">
        <w:rPr>
          <w:rFonts w:ascii="Segoe UI" w:eastAsia="Segoe UI" w:hAnsi="Segoe UI" w:cs="Segoe UI"/>
        </w:rPr>
        <w:t xml:space="preserve">ing </w:t>
      </w:r>
      <w:r w:rsidR="005D3540" w:rsidRPr="000F2D4C">
        <w:rPr>
          <w:rFonts w:ascii="Segoe UI" w:eastAsia="Segoe UI" w:hAnsi="Segoe UI" w:cs="Segoe UI"/>
        </w:rPr>
        <w:t xml:space="preserve">mental health and suicide prevention programs and systematic </w:t>
      </w:r>
      <w:r w:rsidRPr="000F2D4C">
        <w:rPr>
          <w:rFonts w:ascii="Segoe UI" w:eastAsia="Segoe UI" w:hAnsi="Segoe UI" w:cs="Segoe UI"/>
        </w:rPr>
        <w:t>reform</w:t>
      </w:r>
      <w:r w:rsidR="000B4EB9" w:rsidRPr="000F2D4C">
        <w:rPr>
          <w:rFonts w:ascii="Segoe UI" w:eastAsia="Segoe UI" w:hAnsi="Segoe UI" w:cs="Segoe UI"/>
        </w:rPr>
        <w:t xml:space="preserve">. This means that each jurisdiction </w:t>
      </w:r>
      <w:r w:rsidR="00E5592D" w:rsidRPr="000F2D4C">
        <w:rPr>
          <w:rFonts w:ascii="Segoe UI" w:eastAsia="Segoe UI" w:hAnsi="Segoe UI" w:cs="Segoe UI"/>
        </w:rPr>
        <w:t>will apply the F</w:t>
      </w:r>
      <w:r w:rsidRPr="000F2D4C">
        <w:rPr>
          <w:rFonts w:ascii="Segoe UI" w:eastAsia="Segoe UI" w:hAnsi="Segoe UI" w:cs="Segoe UI"/>
        </w:rPr>
        <w:t>ramework differently</w:t>
      </w:r>
      <w:r w:rsidR="00E5592D" w:rsidRPr="000F2D4C">
        <w:rPr>
          <w:rFonts w:ascii="Segoe UI" w:eastAsia="Segoe UI" w:hAnsi="Segoe UI" w:cs="Segoe UI"/>
        </w:rPr>
        <w:t xml:space="preserve">. </w:t>
      </w:r>
      <w:r w:rsidR="00AC17FC" w:rsidRPr="000F2D4C">
        <w:rPr>
          <w:rFonts w:ascii="Segoe UI" w:eastAsia="Segoe UI" w:hAnsi="Segoe UI" w:cs="Segoe UI"/>
        </w:rPr>
        <w:t xml:space="preserve">The Framework is designed to be used alongside </w:t>
      </w:r>
      <w:r w:rsidR="007B1177" w:rsidRPr="000F2D4C">
        <w:rPr>
          <w:rFonts w:ascii="Segoe UI" w:eastAsia="Segoe UI" w:hAnsi="Segoe UI" w:cs="Segoe UI"/>
        </w:rPr>
        <w:t xml:space="preserve">the program implementation and systematic </w:t>
      </w:r>
      <w:r w:rsidR="00D25D2C" w:rsidRPr="000F2D4C">
        <w:rPr>
          <w:rFonts w:ascii="Segoe UI" w:eastAsia="Segoe UI" w:hAnsi="Segoe UI" w:cs="Segoe UI"/>
        </w:rPr>
        <w:t>reform</w:t>
      </w:r>
      <w:r w:rsidR="007B1177" w:rsidRPr="000F2D4C">
        <w:rPr>
          <w:rFonts w:ascii="Segoe UI" w:eastAsia="Segoe UI" w:hAnsi="Segoe UI" w:cs="Segoe UI"/>
        </w:rPr>
        <w:t xml:space="preserve">s </w:t>
      </w:r>
      <w:r w:rsidR="00D25D2C" w:rsidRPr="000F2D4C">
        <w:rPr>
          <w:rFonts w:ascii="Segoe UI" w:eastAsia="Segoe UI" w:hAnsi="Segoe UI" w:cs="Segoe UI"/>
        </w:rPr>
        <w:t xml:space="preserve">underway within </w:t>
      </w:r>
      <w:r w:rsidRPr="000F2D4C">
        <w:rPr>
          <w:rFonts w:ascii="Segoe UI" w:eastAsia="Segoe UI" w:hAnsi="Segoe UI" w:cs="Segoe UI"/>
        </w:rPr>
        <w:t>jurisdictions</w:t>
      </w:r>
      <w:r w:rsidR="00D25D2C" w:rsidRPr="000F2D4C">
        <w:rPr>
          <w:rFonts w:ascii="Segoe UI" w:eastAsia="Segoe UI" w:hAnsi="Segoe UI" w:cs="Segoe UI"/>
        </w:rPr>
        <w:t xml:space="preserve">. </w:t>
      </w:r>
    </w:p>
    <w:p w14:paraId="6AE81EEF" w14:textId="77777777" w:rsidR="00EF3F60" w:rsidRPr="000F2D4C" w:rsidRDefault="00EF3F60" w:rsidP="00E623FA">
      <w:pPr>
        <w:keepNext/>
        <w:keepLines/>
        <w:rPr>
          <w:rFonts w:ascii="Segoe UI" w:eastAsia="Segoe UI" w:hAnsi="Segoe UI" w:cs="Segoe UI"/>
        </w:rPr>
      </w:pPr>
      <w:r w:rsidRPr="000F2D4C">
        <w:lastRenderedPageBreak/>
        <w:t>The Framework is intended to</w:t>
      </w:r>
      <w:r w:rsidRPr="000F2D4C">
        <w:rPr>
          <w:rFonts w:ascii="Segoe UI" w:eastAsia="Segoe UI" w:hAnsi="Segoe UI" w:cs="Segoe UI"/>
        </w:rPr>
        <w:t>:</w:t>
      </w:r>
    </w:p>
    <w:p w14:paraId="65F7A006" w14:textId="7B4EAC29" w:rsidR="00EF3F60" w:rsidRPr="000F2D4C" w:rsidRDefault="00EF3F60" w:rsidP="00FC2CEE">
      <w:pPr>
        <w:pStyle w:val="ListParagraph"/>
        <w:keepNext/>
        <w:keepLines/>
        <w:numPr>
          <w:ilvl w:val="0"/>
          <w:numId w:val="25"/>
        </w:numPr>
        <w:rPr>
          <w:rFonts w:ascii="Segoe UI" w:hAnsi="Segoe UI"/>
        </w:rPr>
      </w:pPr>
      <w:r w:rsidRPr="000F2D4C">
        <w:rPr>
          <w:rFonts w:ascii="Segoe UI" w:eastAsia="Segoe UI" w:hAnsi="Segoe UI" w:cs="Segoe UI"/>
        </w:rPr>
        <w:t xml:space="preserve">support more </w:t>
      </w:r>
      <w:r w:rsidRPr="000F2D4C">
        <w:rPr>
          <w:rFonts w:ascii="Segoe UI" w:eastAsia="Segoe UI" w:hAnsi="Segoe UI" w:cs="Segoe UI"/>
          <w:b/>
          <w:bCs/>
        </w:rPr>
        <w:t>consistent</w:t>
      </w:r>
      <w:r w:rsidRPr="000F2D4C">
        <w:rPr>
          <w:rFonts w:ascii="Segoe UI" w:eastAsia="Segoe UI" w:hAnsi="Segoe UI" w:cs="Segoe UI"/>
        </w:rPr>
        <w:t xml:space="preserve"> evaluation of mental health and suicide prevention </w:t>
      </w:r>
      <w:r w:rsidR="00813C1C" w:rsidRPr="000F2D4C">
        <w:rPr>
          <w:rFonts w:ascii="Segoe UI" w:eastAsia="Segoe UI" w:hAnsi="Segoe UI" w:cs="Segoe UI"/>
        </w:rPr>
        <w:t>programs</w:t>
      </w:r>
      <w:r w:rsidR="00060D17" w:rsidRPr="000F2D4C">
        <w:rPr>
          <w:rFonts w:ascii="Segoe UI" w:eastAsia="Segoe UI" w:hAnsi="Segoe UI" w:cs="Segoe UI"/>
        </w:rPr>
        <w:t xml:space="preserve">, including more consistent approaches to measuring effectiveness and efficiency, </w:t>
      </w:r>
      <w:r w:rsidRPr="000F2D4C">
        <w:rPr>
          <w:rFonts w:ascii="Segoe UI" w:eastAsia="Segoe UI" w:hAnsi="Segoe UI" w:cs="Segoe UI"/>
        </w:rPr>
        <w:t>which in turn will build a stronger evidence base and support meta-analysis where useful</w:t>
      </w:r>
    </w:p>
    <w:p w14:paraId="06FB171E" w14:textId="7B9C4168" w:rsidR="00D51EDF" w:rsidRPr="000F2D4C" w:rsidRDefault="006067F2" w:rsidP="00FC2CEE">
      <w:pPr>
        <w:pStyle w:val="ListParagraph"/>
        <w:keepNext/>
        <w:keepLines/>
        <w:numPr>
          <w:ilvl w:val="0"/>
          <w:numId w:val="25"/>
        </w:numPr>
        <w:rPr>
          <w:rFonts w:ascii="Segoe UI" w:hAnsi="Segoe UI"/>
        </w:rPr>
      </w:pPr>
      <w:r w:rsidRPr="000F2D4C">
        <w:rPr>
          <w:rFonts w:ascii="Segoe UI" w:hAnsi="Segoe UI"/>
          <w:b/>
          <w:bCs/>
        </w:rPr>
        <w:t>reduce the burden</w:t>
      </w:r>
      <w:r w:rsidRPr="000F2D4C">
        <w:rPr>
          <w:rFonts w:ascii="Segoe UI" w:hAnsi="Segoe UI"/>
        </w:rPr>
        <w:t xml:space="preserve"> of data collection</w:t>
      </w:r>
      <w:r w:rsidR="003B5960" w:rsidRPr="000F2D4C">
        <w:rPr>
          <w:rFonts w:ascii="Segoe UI" w:hAnsi="Segoe UI"/>
        </w:rPr>
        <w:t xml:space="preserve"> for </w:t>
      </w:r>
      <w:r w:rsidR="00A14EAF" w:rsidRPr="000F2D4C">
        <w:rPr>
          <w:rFonts w:ascii="Segoe UI" w:hAnsi="Segoe UI"/>
        </w:rPr>
        <w:t>organisations</w:t>
      </w:r>
      <w:r w:rsidR="00012A55" w:rsidRPr="000F2D4C">
        <w:rPr>
          <w:rFonts w:ascii="Segoe UI" w:hAnsi="Segoe UI"/>
        </w:rPr>
        <w:t xml:space="preserve">, </w:t>
      </w:r>
      <w:r w:rsidR="00C74E8A" w:rsidRPr="000F2D4C">
        <w:rPr>
          <w:rFonts w:ascii="Segoe UI" w:hAnsi="Segoe UI"/>
        </w:rPr>
        <w:t xml:space="preserve">particularly </w:t>
      </w:r>
      <w:r w:rsidR="003B5960" w:rsidRPr="000F2D4C">
        <w:rPr>
          <w:rFonts w:ascii="Segoe UI" w:hAnsi="Segoe UI"/>
        </w:rPr>
        <w:t xml:space="preserve">small </w:t>
      </w:r>
      <w:r w:rsidR="00A14EAF" w:rsidRPr="000F2D4C">
        <w:rPr>
          <w:rFonts w:ascii="Segoe UI" w:hAnsi="Segoe UI"/>
        </w:rPr>
        <w:t>organisations</w:t>
      </w:r>
      <w:r w:rsidR="00012A55" w:rsidRPr="000F2D4C">
        <w:rPr>
          <w:rFonts w:ascii="Segoe UI" w:hAnsi="Segoe UI"/>
        </w:rPr>
        <w:t>, receiving funding from multiple sources</w:t>
      </w:r>
      <w:r w:rsidR="00A14EAF" w:rsidRPr="000F2D4C">
        <w:rPr>
          <w:rFonts w:ascii="Segoe UI" w:hAnsi="Segoe UI"/>
        </w:rPr>
        <w:t xml:space="preserve"> </w:t>
      </w:r>
      <w:r w:rsidR="00012A55" w:rsidRPr="000F2D4C">
        <w:rPr>
          <w:rFonts w:ascii="Segoe UI" w:hAnsi="Segoe UI"/>
        </w:rPr>
        <w:t xml:space="preserve">by encouraging consistency </w:t>
      </w:r>
    </w:p>
    <w:p w14:paraId="67C2E0EA" w14:textId="78CB63D2" w:rsidR="00EF3F60" w:rsidRPr="000F2D4C" w:rsidRDefault="00EF3F60" w:rsidP="00FC2CEE">
      <w:pPr>
        <w:pStyle w:val="ListParagraph"/>
        <w:numPr>
          <w:ilvl w:val="0"/>
          <w:numId w:val="25"/>
        </w:numPr>
        <w:rPr>
          <w:rFonts w:ascii="Segoe UI" w:hAnsi="Segoe UI"/>
        </w:rPr>
      </w:pPr>
      <w:r w:rsidRPr="000F2D4C">
        <w:rPr>
          <w:rFonts w:ascii="Segoe UI" w:hAnsi="Segoe UI"/>
        </w:rPr>
        <w:t xml:space="preserve">help to strengthen the </w:t>
      </w:r>
      <w:r w:rsidRPr="000F2D4C">
        <w:rPr>
          <w:rFonts w:ascii="Segoe UI" w:hAnsi="Segoe UI"/>
          <w:b/>
          <w:bCs/>
        </w:rPr>
        <w:t>quality</w:t>
      </w:r>
      <w:r w:rsidRPr="000F2D4C">
        <w:rPr>
          <w:rFonts w:ascii="Segoe UI" w:hAnsi="Segoe UI"/>
        </w:rPr>
        <w:t xml:space="preserve"> of evaluations of mental health and suicide prevention </w:t>
      </w:r>
      <w:r w:rsidR="00813C1C" w:rsidRPr="000F2D4C">
        <w:rPr>
          <w:rFonts w:ascii="Segoe UI" w:hAnsi="Segoe UI"/>
        </w:rPr>
        <w:t>programs</w:t>
      </w:r>
      <w:r w:rsidRPr="000F2D4C">
        <w:rPr>
          <w:rFonts w:ascii="Segoe UI" w:hAnsi="Segoe UI"/>
        </w:rPr>
        <w:t xml:space="preserve"> by building a shared understanding of quality evaluations of these </w:t>
      </w:r>
      <w:r w:rsidR="009F763C" w:rsidRPr="000F2D4C">
        <w:rPr>
          <w:rFonts w:ascii="Segoe UI" w:hAnsi="Segoe UI"/>
        </w:rPr>
        <w:t>programs</w:t>
      </w:r>
      <w:r w:rsidRPr="000F2D4C">
        <w:rPr>
          <w:rFonts w:ascii="Segoe UI" w:hAnsi="Segoe UI"/>
        </w:rPr>
        <w:t xml:space="preserve"> and supporting evaluation capability building</w:t>
      </w:r>
    </w:p>
    <w:p w14:paraId="3A3B6FF0" w14:textId="6C157C30" w:rsidR="00EF3F60" w:rsidRPr="000F2D4C" w:rsidRDefault="008E6E7E" w:rsidP="00FC2CEE">
      <w:pPr>
        <w:pStyle w:val="ListParagraph"/>
        <w:numPr>
          <w:ilvl w:val="0"/>
          <w:numId w:val="25"/>
        </w:numPr>
      </w:pPr>
      <w:r w:rsidRPr="000F2D4C">
        <w:t xml:space="preserve">through consistency of data collection, </w:t>
      </w:r>
      <w:r w:rsidR="00EF3F60" w:rsidRPr="000F2D4C">
        <w:t xml:space="preserve">enable a better view of the evidence at the </w:t>
      </w:r>
      <w:r w:rsidR="00EF3F60" w:rsidRPr="000F2D4C">
        <w:rPr>
          <w:b/>
          <w:bCs/>
        </w:rPr>
        <w:t>system</w:t>
      </w:r>
      <w:r w:rsidR="6BE0C7B4" w:rsidRPr="000F2D4C">
        <w:rPr>
          <w:b/>
          <w:bCs/>
        </w:rPr>
        <w:t>-</w:t>
      </w:r>
      <w:r w:rsidR="00EF3F60" w:rsidRPr="000F2D4C">
        <w:rPr>
          <w:b/>
          <w:bCs/>
        </w:rPr>
        <w:t>level</w:t>
      </w:r>
      <w:r w:rsidR="00EF3F60" w:rsidRPr="000F2D4C">
        <w:t xml:space="preserve"> by enabling evaluations of diverse </w:t>
      </w:r>
      <w:r w:rsidR="009F763C" w:rsidRPr="000F2D4C">
        <w:t>programs</w:t>
      </w:r>
      <w:r w:rsidR="00EF3F60" w:rsidRPr="000F2D4C">
        <w:t xml:space="preserve"> to be compared and synthesised</w:t>
      </w:r>
    </w:p>
    <w:p w14:paraId="1542187E" w14:textId="1B4DF366" w:rsidR="00EF3F60" w:rsidRPr="000F2D4C" w:rsidRDefault="00EF3F60" w:rsidP="00FC2CEE">
      <w:pPr>
        <w:pStyle w:val="ListParagraph"/>
        <w:numPr>
          <w:ilvl w:val="0"/>
          <w:numId w:val="25"/>
        </w:numPr>
      </w:pPr>
      <w:r w:rsidRPr="000F2D4C">
        <w:t xml:space="preserve">encourage the </w:t>
      </w:r>
      <w:r w:rsidRPr="000F2D4C">
        <w:rPr>
          <w:b/>
          <w:bCs/>
        </w:rPr>
        <w:t>use</w:t>
      </w:r>
      <w:r w:rsidRPr="000F2D4C">
        <w:t xml:space="preserve"> of evaluations for improvement and decision</w:t>
      </w:r>
      <w:r w:rsidR="43FFBCA7" w:rsidRPr="000F2D4C">
        <w:t>-</w:t>
      </w:r>
      <w:r w:rsidRPr="000F2D4C">
        <w:t>making</w:t>
      </w:r>
    </w:p>
    <w:p w14:paraId="23B24622" w14:textId="4505B376" w:rsidR="00EF3F60" w:rsidRPr="000F2D4C" w:rsidRDefault="00EF3F60" w:rsidP="00FC2CEE">
      <w:pPr>
        <w:pStyle w:val="ListParagraph"/>
        <w:numPr>
          <w:ilvl w:val="0"/>
          <w:numId w:val="25"/>
        </w:numPr>
      </w:pPr>
      <w:r w:rsidRPr="000F2D4C">
        <w:t xml:space="preserve">support the role of people </w:t>
      </w:r>
      <w:r w:rsidR="003F6010" w:rsidRPr="000F2D4C">
        <w:t>with</w:t>
      </w:r>
      <w:r w:rsidRPr="000F2D4C">
        <w:t xml:space="preserve"> </w:t>
      </w:r>
      <w:r w:rsidRPr="000F2D4C">
        <w:rPr>
          <w:b/>
          <w:bCs/>
        </w:rPr>
        <w:t>lived and</w:t>
      </w:r>
      <w:r w:rsidR="3D30AA1E" w:rsidRPr="000F2D4C">
        <w:rPr>
          <w:b/>
          <w:bCs/>
        </w:rPr>
        <w:t>/or</w:t>
      </w:r>
      <w:r w:rsidRPr="000F2D4C">
        <w:rPr>
          <w:b/>
          <w:bCs/>
        </w:rPr>
        <w:t xml:space="preserve"> living experience</w:t>
      </w:r>
      <w:r w:rsidRPr="000F2D4C">
        <w:t xml:space="preserve"> of mental ill-health and suicide</w:t>
      </w:r>
      <w:r w:rsidR="00D71FE0" w:rsidRPr="000F2D4C">
        <w:t xml:space="preserve">, including </w:t>
      </w:r>
      <w:r w:rsidRPr="000F2D4C">
        <w:t xml:space="preserve">carers and support people of those with lived </w:t>
      </w:r>
      <w:r w:rsidR="623C7159" w:rsidRPr="000F2D4C">
        <w:t>and/</w:t>
      </w:r>
      <w:r w:rsidR="0B17AA3D" w:rsidRPr="000F2D4C">
        <w:t>o</w:t>
      </w:r>
      <w:r w:rsidRPr="000F2D4C">
        <w:t xml:space="preserve">r living experience </w:t>
      </w:r>
      <w:r w:rsidR="00667EE0" w:rsidRPr="000F2D4C">
        <w:t xml:space="preserve">in the </w:t>
      </w:r>
      <w:r w:rsidRPr="000F2D4C">
        <w:t>design, conduct and reporting o</w:t>
      </w:r>
      <w:r w:rsidR="00C2530F" w:rsidRPr="000F2D4C">
        <w:t>f</w:t>
      </w:r>
      <w:r w:rsidRPr="000F2D4C">
        <w:t xml:space="preserve"> evaluation</w:t>
      </w:r>
      <w:r w:rsidR="00C2530F" w:rsidRPr="000F2D4C">
        <w:t xml:space="preserve"> through </w:t>
      </w:r>
      <w:r w:rsidR="003F3A84" w:rsidRPr="000F2D4C">
        <w:t>guidance about a trauma</w:t>
      </w:r>
      <w:r w:rsidR="1A2863ED" w:rsidRPr="000F2D4C">
        <w:t>-</w:t>
      </w:r>
      <w:r w:rsidR="003F3A84" w:rsidRPr="000F2D4C">
        <w:t>informed approach to this</w:t>
      </w:r>
      <w:r w:rsidRPr="000F2D4C">
        <w:t>.</w:t>
      </w:r>
    </w:p>
    <w:p w14:paraId="09394E36" w14:textId="250E7614" w:rsidR="00EF3F60" w:rsidRPr="000F2D4C" w:rsidRDefault="00EF3F60" w:rsidP="00EF3F60">
      <w:r w:rsidRPr="000F2D4C">
        <w:t>The Framework is not a framework for reporting on the evaluation of the National Agreement</w:t>
      </w:r>
      <w:r w:rsidR="2BE2459E" w:rsidRPr="000F2D4C">
        <w:t>,</w:t>
      </w:r>
      <w:r w:rsidRPr="000F2D4C">
        <w:t xml:space="preserve"> as this is a separate piece of work.</w:t>
      </w:r>
    </w:p>
    <w:p w14:paraId="6E2EDACE" w14:textId="32ED86C6" w:rsidR="00442ED7" w:rsidRPr="000F2D4C" w:rsidRDefault="00442ED7" w:rsidP="00EF3F60">
      <w:pPr>
        <w:rPr>
          <w:rStyle w:val="Hyperlink"/>
          <w:color w:val="auto"/>
          <w:u w:val="none"/>
        </w:rPr>
      </w:pPr>
      <w:r w:rsidRPr="000F2D4C">
        <w:t>For programs funded under the National Agreement, the roles and responsibilities in evaluation are outlined in the bilateral agreements. The National Agreement suggests that consideration be given to cost sharing of evaluations of programs of national significance.</w:t>
      </w:r>
    </w:p>
    <w:p w14:paraId="767A2882" w14:textId="77777777" w:rsidR="00EF3F60" w:rsidRPr="000F2D4C" w:rsidRDefault="00EF3F60" w:rsidP="00EF3F60">
      <w:pPr>
        <w:pStyle w:val="Heading3"/>
      </w:pPr>
      <w:bookmarkStart w:id="14" w:name="_Toc146206760"/>
      <w:r w:rsidRPr="000F2D4C">
        <w:t>Intended users</w:t>
      </w:r>
      <w:bookmarkEnd w:id="14"/>
    </w:p>
    <w:p w14:paraId="4770FA96" w14:textId="0BCD21A9" w:rsidR="00EF3F60" w:rsidRPr="000F2D4C" w:rsidRDefault="00EF3F60" w:rsidP="00EF3F60">
      <w:r w:rsidRPr="000F2D4C">
        <w:t>The Framework is intended to be useful to all groups with a stake in mental health and suicide prevention:</w:t>
      </w:r>
    </w:p>
    <w:p w14:paraId="544A33F8" w14:textId="77777777" w:rsidR="00EF3F60" w:rsidRPr="000F2D4C" w:rsidRDefault="00EF3F60" w:rsidP="00FC2CEE">
      <w:pPr>
        <w:pStyle w:val="ListParagraph"/>
        <w:numPr>
          <w:ilvl w:val="0"/>
          <w:numId w:val="25"/>
        </w:numPr>
      </w:pPr>
      <w:r w:rsidRPr="000F2D4C">
        <w:rPr>
          <w:b/>
          <w:bCs/>
        </w:rPr>
        <w:t>government agencies</w:t>
      </w:r>
      <w:r w:rsidRPr="000F2D4C">
        <w:t xml:space="preserve"> implementing programs under the National Agreement to guide planning and commissioning of evaluations</w:t>
      </w:r>
    </w:p>
    <w:p w14:paraId="3DB88504" w14:textId="1013506D" w:rsidR="00EF3F60" w:rsidRPr="000F2D4C" w:rsidRDefault="00EF3F60" w:rsidP="00FC2CEE">
      <w:pPr>
        <w:pStyle w:val="ListParagraph"/>
        <w:numPr>
          <w:ilvl w:val="0"/>
          <w:numId w:val="25"/>
        </w:numPr>
      </w:pPr>
      <w:r w:rsidRPr="000F2D4C">
        <w:t xml:space="preserve">government funded or delivered </w:t>
      </w:r>
      <w:r w:rsidRPr="000F2D4C">
        <w:rPr>
          <w:b/>
          <w:bCs/>
        </w:rPr>
        <w:t>mental health and suicide prevention</w:t>
      </w:r>
      <w:r w:rsidRPr="000F2D4C">
        <w:t xml:space="preserve"> service providers to guide data collection, planning</w:t>
      </w:r>
      <w:r w:rsidR="12BB8E58" w:rsidRPr="000F2D4C">
        <w:t>,</w:t>
      </w:r>
      <w:r w:rsidRPr="000F2D4C">
        <w:t xml:space="preserve"> and commissioning of their own evaluations, and participation in government-commissioned evaluations</w:t>
      </w:r>
    </w:p>
    <w:p w14:paraId="6AD3AEB6" w14:textId="77777777" w:rsidR="00EF3F60" w:rsidRPr="000F2D4C" w:rsidRDefault="00EF3F60" w:rsidP="00FC2CEE">
      <w:pPr>
        <w:pStyle w:val="ListParagraph"/>
        <w:numPr>
          <w:ilvl w:val="0"/>
          <w:numId w:val="25"/>
        </w:numPr>
      </w:pPr>
      <w:r w:rsidRPr="000F2D4C">
        <w:rPr>
          <w:b/>
          <w:bCs/>
        </w:rPr>
        <w:t>researchers and evaluators</w:t>
      </w:r>
      <w:r w:rsidRPr="000F2D4C">
        <w:t xml:space="preserve"> to design and deliver evaluations more consistently</w:t>
      </w:r>
    </w:p>
    <w:p w14:paraId="55E2682A" w14:textId="64812B46" w:rsidR="00EF3F60" w:rsidRPr="000F2D4C" w:rsidRDefault="00EF3F60" w:rsidP="00FC2CEE">
      <w:pPr>
        <w:pStyle w:val="ListParagraph"/>
        <w:numPr>
          <w:ilvl w:val="0"/>
          <w:numId w:val="25"/>
        </w:numPr>
      </w:pPr>
      <w:r w:rsidRPr="000F2D4C">
        <w:rPr>
          <w:b/>
          <w:bCs/>
        </w:rPr>
        <w:t>people with lived and</w:t>
      </w:r>
      <w:r w:rsidR="79E33AC5" w:rsidRPr="000F2D4C">
        <w:rPr>
          <w:b/>
          <w:bCs/>
        </w:rPr>
        <w:t>/or</w:t>
      </w:r>
      <w:r w:rsidRPr="000F2D4C">
        <w:rPr>
          <w:b/>
          <w:bCs/>
        </w:rPr>
        <w:t xml:space="preserve"> living experience</w:t>
      </w:r>
      <w:r w:rsidRPr="000F2D4C">
        <w:t xml:space="preserve"> of mental ill-health and</w:t>
      </w:r>
      <w:r w:rsidR="00854063" w:rsidRPr="000F2D4C">
        <w:t>/or</w:t>
      </w:r>
      <w:r w:rsidR="00B13EDB" w:rsidRPr="000F2D4C">
        <w:t xml:space="preserve"> </w:t>
      </w:r>
      <w:r w:rsidRPr="000F2D4C">
        <w:t>suicide</w:t>
      </w:r>
      <w:r w:rsidR="00854063" w:rsidRPr="000F2D4C">
        <w:t>, and their families,</w:t>
      </w:r>
      <w:r w:rsidRPr="000F2D4C">
        <w:t xml:space="preserve"> carers</w:t>
      </w:r>
      <w:r w:rsidR="655ED382" w:rsidRPr="000F2D4C">
        <w:t>,</w:t>
      </w:r>
      <w:r w:rsidRPr="000F2D4C">
        <w:t xml:space="preserve"> and support people</w:t>
      </w:r>
      <w:r w:rsidR="00854063" w:rsidRPr="000F2D4C">
        <w:t>,</w:t>
      </w:r>
      <w:r w:rsidRPr="000F2D4C">
        <w:t xml:space="preserve"> to understand how mental health and suicide prevention </w:t>
      </w:r>
      <w:r w:rsidR="00547569" w:rsidRPr="000F2D4C">
        <w:t>programs</w:t>
      </w:r>
      <w:r w:rsidRPr="000F2D4C">
        <w:t xml:space="preserve"> may be evaluated</w:t>
      </w:r>
      <w:r w:rsidR="414D005F" w:rsidRPr="000F2D4C">
        <w:t>,</w:t>
      </w:r>
      <w:r w:rsidRPr="000F2D4C">
        <w:t xml:space="preserve"> and how they can contribute</w:t>
      </w:r>
      <w:r w:rsidR="00673955" w:rsidRPr="000F2D4C">
        <w:t xml:space="preserve"> to or participate in the evaluation</w:t>
      </w:r>
    </w:p>
    <w:p w14:paraId="69C2EA66" w14:textId="07C85531" w:rsidR="00EF3F60" w:rsidRPr="000F2D4C" w:rsidRDefault="00EF3F60" w:rsidP="00FC2CEE">
      <w:pPr>
        <w:pStyle w:val="ListParagraph"/>
        <w:numPr>
          <w:ilvl w:val="0"/>
          <w:numId w:val="25"/>
        </w:numPr>
      </w:pPr>
      <w:r w:rsidRPr="000F2D4C">
        <w:rPr>
          <w:b/>
          <w:bCs/>
        </w:rPr>
        <w:t>other agencies</w:t>
      </w:r>
      <w:r w:rsidRPr="000F2D4C">
        <w:t xml:space="preserve"> to consider incorporating mental health outcomes when evaluating their </w:t>
      </w:r>
      <w:r w:rsidR="00547569" w:rsidRPr="000F2D4C">
        <w:t>programs</w:t>
      </w:r>
      <w:r w:rsidRPr="000F2D4C">
        <w:t>, given the important impact that things like housing and employment supports can have on mental health.</w:t>
      </w:r>
    </w:p>
    <w:p w14:paraId="55A82C0C" w14:textId="6421E947" w:rsidR="0005356D" w:rsidRPr="000F2D4C" w:rsidRDefault="005378BF" w:rsidP="005378BF">
      <w:pPr>
        <w:pStyle w:val="Heading2"/>
      </w:pPr>
      <w:bookmarkStart w:id="15" w:name="_Toc146031441"/>
      <w:bookmarkStart w:id="16" w:name="_Toc146206755"/>
      <w:bookmarkStart w:id="17" w:name="_Toc149918985"/>
      <w:r w:rsidRPr="000F2D4C">
        <w:lastRenderedPageBreak/>
        <w:t>How the Framework was developed</w:t>
      </w:r>
      <w:bookmarkEnd w:id="15"/>
      <w:bookmarkEnd w:id="16"/>
      <w:bookmarkEnd w:id="17"/>
    </w:p>
    <w:p w14:paraId="305BE433" w14:textId="2A2D12A0" w:rsidR="005378BF" w:rsidRPr="000F2D4C" w:rsidRDefault="0005356D" w:rsidP="005378BF">
      <w:r w:rsidRPr="000F2D4C">
        <w:t xml:space="preserve">Mental Health and Suicide Prevention Senior Officials (MHSPSO) established an Evaluation Project Group to guide </w:t>
      </w:r>
      <w:r w:rsidR="005378BF" w:rsidRPr="000F2D4C">
        <w:t>the development of the National Evaluation Framework</w:t>
      </w:r>
      <w:r w:rsidRPr="000F2D4C">
        <w:t>.</w:t>
      </w:r>
    </w:p>
    <w:p w14:paraId="13792F02" w14:textId="4644A204" w:rsidR="0005356D" w:rsidRPr="000F2D4C" w:rsidRDefault="0005356D" w:rsidP="005378BF">
      <w:r w:rsidRPr="000F2D4C">
        <w:t>ARTD Consultants</w:t>
      </w:r>
      <w:r w:rsidR="00D07F8D" w:rsidRPr="000F2D4C">
        <w:t xml:space="preserve"> –</w:t>
      </w:r>
      <w:r w:rsidRPr="000F2D4C">
        <w:t xml:space="preserve"> with academic partners (Myfanwy Maple and Sarah Wayland), linked data specialists </w:t>
      </w:r>
      <w:r w:rsidR="00617E9A" w:rsidRPr="000F2D4C">
        <w:t>(</w:t>
      </w:r>
      <w:r w:rsidRPr="000F2D4C">
        <w:t>Taylor Fry</w:t>
      </w:r>
      <w:r w:rsidR="00617E9A" w:rsidRPr="000F2D4C">
        <w:t>)</w:t>
      </w:r>
      <w:r w:rsidRPr="000F2D4C">
        <w:t>,</w:t>
      </w:r>
      <w:r w:rsidR="003D08FB" w:rsidRPr="000F2D4C">
        <w:t xml:space="preserve"> an Indigenous </w:t>
      </w:r>
      <w:r w:rsidR="00C9745E" w:rsidRPr="000F2D4C">
        <w:t>Consultant</w:t>
      </w:r>
      <w:r w:rsidR="00617E9A" w:rsidRPr="000F2D4C">
        <w:t xml:space="preserve"> (Tom Brideson)</w:t>
      </w:r>
      <w:r w:rsidR="49056BF4" w:rsidRPr="000F2D4C">
        <w:t>,</w:t>
      </w:r>
      <w:r w:rsidRPr="000F2D4C">
        <w:t xml:space="preserve"> and a network of lived </w:t>
      </w:r>
      <w:r w:rsidR="005378BF" w:rsidRPr="000F2D4C">
        <w:t>and</w:t>
      </w:r>
      <w:r w:rsidR="1DB775AA" w:rsidRPr="000F2D4C">
        <w:t>/or</w:t>
      </w:r>
      <w:r w:rsidR="005378BF" w:rsidRPr="000F2D4C">
        <w:t xml:space="preserve"> living </w:t>
      </w:r>
      <w:r w:rsidRPr="000F2D4C">
        <w:t>experience team members</w:t>
      </w:r>
      <w:r w:rsidR="00D07F8D" w:rsidRPr="000F2D4C">
        <w:t xml:space="preserve"> – </w:t>
      </w:r>
      <w:r w:rsidR="005378BF" w:rsidRPr="000F2D4C">
        <w:t>w</w:t>
      </w:r>
      <w:r w:rsidR="5A4A900E" w:rsidRPr="000F2D4C">
        <w:t>as</w:t>
      </w:r>
      <w:r w:rsidRPr="000F2D4C">
        <w:t xml:space="preserve"> selected </w:t>
      </w:r>
      <w:r w:rsidR="00E73DEA" w:rsidRPr="000F2D4C">
        <w:t xml:space="preserve">by the Australian Government Department of Health and Aged Care </w:t>
      </w:r>
      <w:r w:rsidRPr="000F2D4C">
        <w:t>to draft the Framework.</w:t>
      </w:r>
    </w:p>
    <w:p w14:paraId="69BE091A" w14:textId="6146057D" w:rsidR="0005356D" w:rsidRPr="000F2D4C" w:rsidRDefault="00FD789A" w:rsidP="005378BF">
      <w:pPr>
        <w:pStyle w:val="ListBullet"/>
        <w:numPr>
          <w:ilvl w:val="0"/>
          <w:numId w:val="0"/>
        </w:numPr>
      </w:pPr>
      <w:r w:rsidRPr="000F2D4C">
        <w:t>The team</w:t>
      </w:r>
      <w:r w:rsidR="009C38A5" w:rsidRPr="000F2D4C">
        <w:t xml:space="preserve"> </w:t>
      </w:r>
      <w:r w:rsidR="00B5702A" w:rsidRPr="000F2D4C">
        <w:t xml:space="preserve">reviewed existing evaluations and evaluation guidance </w:t>
      </w:r>
      <w:r w:rsidR="00982CE2" w:rsidRPr="000F2D4C">
        <w:t xml:space="preserve">from the </w:t>
      </w:r>
      <w:r w:rsidRPr="000F2D4C">
        <w:t>Australian</w:t>
      </w:r>
      <w:r w:rsidR="00982CE2" w:rsidRPr="000F2D4C">
        <w:t xml:space="preserve"> Government and state and territory governments, and</w:t>
      </w:r>
      <w:r w:rsidR="0005356D" w:rsidRPr="000F2D4C">
        <w:t xml:space="preserve"> consult</w:t>
      </w:r>
      <w:r w:rsidR="005378BF" w:rsidRPr="000F2D4C">
        <w:t>ed</w:t>
      </w:r>
      <w:r w:rsidR="0026558F" w:rsidRPr="000F2D4C">
        <w:t xml:space="preserve"> </w:t>
      </w:r>
      <w:r w:rsidR="00982CE2" w:rsidRPr="000F2D4C">
        <w:t xml:space="preserve">with stakeholders to ensure </w:t>
      </w:r>
      <w:r w:rsidR="009C38A5" w:rsidRPr="000F2D4C">
        <w:t xml:space="preserve">the Framework </w:t>
      </w:r>
      <w:r w:rsidR="00982CE2" w:rsidRPr="000F2D4C">
        <w:t>builds on</w:t>
      </w:r>
      <w:r w:rsidR="00574AC2" w:rsidRPr="000F2D4C">
        <w:t xml:space="preserve"> existing good practice and helps to overcome current concerns with evaluation</w:t>
      </w:r>
      <w:r w:rsidR="0078364F" w:rsidRPr="000F2D4C">
        <w:t xml:space="preserve">. </w:t>
      </w:r>
      <w:r w:rsidR="00D767A2" w:rsidRPr="000F2D4C">
        <w:t>K</w:t>
      </w:r>
      <w:r w:rsidR="0005356D" w:rsidRPr="000F2D4C">
        <w:t xml:space="preserve">ey stakeholder groups </w:t>
      </w:r>
      <w:r w:rsidR="0078364F" w:rsidRPr="000F2D4C">
        <w:t>consulted</w:t>
      </w:r>
      <w:r w:rsidR="00D767A2" w:rsidRPr="000F2D4C">
        <w:t xml:space="preserve"> included</w:t>
      </w:r>
      <w:r w:rsidR="0005356D" w:rsidRPr="000F2D4C">
        <w:t>:</w:t>
      </w:r>
    </w:p>
    <w:p w14:paraId="2BF1D058" w14:textId="77777777" w:rsidR="0005356D" w:rsidRPr="000F2D4C" w:rsidRDefault="0005356D" w:rsidP="005378BF">
      <w:pPr>
        <w:pStyle w:val="ListBullet"/>
        <w:numPr>
          <w:ilvl w:val="0"/>
          <w:numId w:val="0"/>
        </w:numPr>
      </w:pPr>
    </w:p>
    <w:p w14:paraId="3A701239" w14:textId="5E6AFE22" w:rsidR="0005356D" w:rsidRPr="000F2D4C" w:rsidRDefault="00D164FF" w:rsidP="00FC2CEE">
      <w:pPr>
        <w:pStyle w:val="ListBullet"/>
        <w:numPr>
          <w:ilvl w:val="0"/>
          <w:numId w:val="24"/>
        </w:numPr>
      </w:pPr>
      <w:r w:rsidRPr="000F2D4C">
        <w:t>r</w:t>
      </w:r>
      <w:r w:rsidR="7AF06EFB" w:rsidRPr="000F2D4C">
        <w:t xml:space="preserve">epresentatives from </w:t>
      </w:r>
      <w:r w:rsidR="6D32102A" w:rsidRPr="000F2D4C">
        <w:t xml:space="preserve">the </w:t>
      </w:r>
      <w:r w:rsidR="7AF06EFB" w:rsidRPr="000F2D4C">
        <w:t xml:space="preserve">Australian Government, </w:t>
      </w:r>
      <w:r w:rsidR="00FD789A" w:rsidRPr="000F2D4C">
        <w:t>s</w:t>
      </w:r>
      <w:r w:rsidR="0005356D" w:rsidRPr="000F2D4C">
        <w:t xml:space="preserve">tate and </w:t>
      </w:r>
      <w:r w:rsidR="00FD789A" w:rsidRPr="000F2D4C">
        <w:t>t</w:t>
      </w:r>
      <w:r w:rsidR="0005356D" w:rsidRPr="000F2D4C">
        <w:t>erritory governments</w:t>
      </w:r>
    </w:p>
    <w:p w14:paraId="7877DE22" w14:textId="0AD40047" w:rsidR="0005356D" w:rsidRPr="000F2D4C" w:rsidRDefault="0005356D" w:rsidP="00FC2CEE">
      <w:pPr>
        <w:pStyle w:val="ListBullet"/>
        <w:numPr>
          <w:ilvl w:val="0"/>
          <w:numId w:val="24"/>
        </w:numPr>
      </w:pPr>
      <w:r w:rsidRPr="000F2D4C">
        <w:t>Primary Health Networks</w:t>
      </w:r>
    </w:p>
    <w:p w14:paraId="2991BEDB" w14:textId="27333D09" w:rsidR="0005356D" w:rsidRPr="000F2D4C" w:rsidRDefault="0005356D" w:rsidP="00FC2CEE">
      <w:pPr>
        <w:pStyle w:val="ListBullet"/>
        <w:numPr>
          <w:ilvl w:val="0"/>
          <w:numId w:val="24"/>
        </w:numPr>
      </w:pPr>
      <w:r w:rsidRPr="000F2D4C">
        <w:t xml:space="preserve">lived </w:t>
      </w:r>
      <w:r w:rsidR="13FAC611" w:rsidRPr="000F2D4C">
        <w:t xml:space="preserve">and/or living </w:t>
      </w:r>
      <w:r w:rsidRPr="000F2D4C">
        <w:t xml:space="preserve">experience </w:t>
      </w:r>
      <w:r w:rsidR="00574AC2" w:rsidRPr="000F2D4C">
        <w:t xml:space="preserve">and priority population </w:t>
      </w:r>
      <w:r w:rsidRPr="000F2D4C">
        <w:t>representative groups</w:t>
      </w:r>
    </w:p>
    <w:p w14:paraId="713E6755" w14:textId="4DEDE20E" w:rsidR="00D164FF" w:rsidRPr="000F2D4C" w:rsidRDefault="00FD789A" w:rsidP="00FC2CEE">
      <w:pPr>
        <w:pStyle w:val="ListBullet"/>
        <w:numPr>
          <w:ilvl w:val="0"/>
          <w:numId w:val="24"/>
        </w:numPr>
      </w:pPr>
      <w:r w:rsidRPr="000F2D4C">
        <w:t>s</w:t>
      </w:r>
      <w:r w:rsidR="00A2460D" w:rsidRPr="000F2D4C">
        <w:t xml:space="preserve">tate, </w:t>
      </w:r>
      <w:r w:rsidRPr="000F2D4C">
        <w:t>te</w:t>
      </w:r>
      <w:r w:rsidR="00A2460D" w:rsidRPr="000F2D4C">
        <w:t xml:space="preserve">rritory and </w:t>
      </w:r>
      <w:r w:rsidRPr="000F2D4C">
        <w:t>n</w:t>
      </w:r>
      <w:r w:rsidR="00A2460D" w:rsidRPr="000F2D4C">
        <w:t xml:space="preserve">ational </w:t>
      </w:r>
      <w:r w:rsidR="0056464D" w:rsidRPr="000F2D4C">
        <w:t>M</w:t>
      </w:r>
      <w:r w:rsidR="00F04E8C" w:rsidRPr="000F2D4C">
        <w:t xml:space="preserve">ental </w:t>
      </w:r>
      <w:r w:rsidR="0056464D" w:rsidRPr="000F2D4C">
        <w:t>H</w:t>
      </w:r>
      <w:r w:rsidR="00F04E8C" w:rsidRPr="000F2D4C">
        <w:t xml:space="preserve">ealth </w:t>
      </w:r>
      <w:r w:rsidR="0056464D" w:rsidRPr="000F2D4C">
        <w:t>C</w:t>
      </w:r>
      <w:r w:rsidR="00F04E8C" w:rsidRPr="000F2D4C">
        <w:t>ommissions</w:t>
      </w:r>
    </w:p>
    <w:p w14:paraId="3E0087CD" w14:textId="0C9F52F6" w:rsidR="0005356D" w:rsidRPr="000F2D4C" w:rsidRDefault="00FD789A" w:rsidP="00FC2CEE">
      <w:pPr>
        <w:pStyle w:val="ListBullet"/>
        <w:numPr>
          <w:ilvl w:val="0"/>
          <w:numId w:val="24"/>
        </w:numPr>
      </w:pPr>
      <w:r w:rsidRPr="000F2D4C">
        <w:t xml:space="preserve">state, territory and national </w:t>
      </w:r>
      <w:r w:rsidR="0005356D" w:rsidRPr="000F2D4C">
        <w:t>peak bodies</w:t>
      </w:r>
      <w:r w:rsidR="00574AC2" w:rsidRPr="000F2D4C">
        <w:t xml:space="preserve"> and mental health and suicide prevention organisations</w:t>
      </w:r>
    </w:p>
    <w:p w14:paraId="35668F14" w14:textId="6677C681" w:rsidR="0005356D" w:rsidRPr="000F2D4C" w:rsidRDefault="0005356D" w:rsidP="00FC2CEE">
      <w:pPr>
        <w:pStyle w:val="ListBullet"/>
        <w:numPr>
          <w:ilvl w:val="0"/>
          <w:numId w:val="24"/>
        </w:numPr>
      </w:pPr>
      <w:r w:rsidRPr="000F2D4C">
        <w:t>researchers and evaluators</w:t>
      </w:r>
    </w:p>
    <w:p w14:paraId="4AA27AF7" w14:textId="0A35832A" w:rsidR="0005356D" w:rsidRPr="000F2D4C" w:rsidRDefault="00FD789A" w:rsidP="00FC2CEE">
      <w:pPr>
        <w:pStyle w:val="ListBullet"/>
        <w:numPr>
          <w:ilvl w:val="0"/>
          <w:numId w:val="24"/>
        </w:numPr>
      </w:pPr>
      <w:r w:rsidRPr="000F2D4C">
        <w:t>m</w:t>
      </w:r>
      <w:r w:rsidR="00A2460D" w:rsidRPr="000F2D4C">
        <w:t xml:space="preserve">ental </w:t>
      </w:r>
      <w:r w:rsidRPr="000F2D4C">
        <w:t>h</w:t>
      </w:r>
      <w:r w:rsidR="00A2460D" w:rsidRPr="000F2D4C">
        <w:t xml:space="preserve">ealth and </w:t>
      </w:r>
      <w:r w:rsidRPr="000F2D4C">
        <w:t>s</w:t>
      </w:r>
      <w:r w:rsidR="00A2460D" w:rsidRPr="000F2D4C">
        <w:t xml:space="preserve">uicide </w:t>
      </w:r>
      <w:r w:rsidRPr="000F2D4C">
        <w:t>p</w:t>
      </w:r>
      <w:r w:rsidR="00A2460D" w:rsidRPr="000F2D4C">
        <w:t xml:space="preserve">revention </w:t>
      </w:r>
      <w:r w:rsidR="0005356D" w:rsidRPr="000F2D4C">
        <w:t>data custodians.</w:t>
      </w:r>
    </w:p>
    <w:p w14:paraId="2D9D2F70" w14:textId="77777777" w:rsidR="005915A8" w:rsidRPr="000F2D4C" w:rsidRDefault="005915A8" w:rsidP="005915A8">
      <w:pPr>
        <w:pStyle w:val="ListBullet"/>
        <w:numPr>
          <w:ilvl w:val="0"/>
          <w:numId w:val="0"/>
        </w:numPr>
        <w:ind w:left="360" w:hanging="360"/>
      </w:pPr>
    </w:p>
    <w:p w14:paraId="7AE606C4" w14:textId="77777777" w:rsidR="009C52F5" w:rsidRPr="000F2D4C" w:rsidRDefault="009C52F5" w:rsidP="009C52F5">
      <w:pPr>
        <w:rPr>
          <w:rStyle w:val="Hyperlink"/>
          <w:color w:val="auto"/>
          <w:u w:val="none"/>
        </w:rPr>
      </w:pPr>
    </w:p>
    <w:p w14:paraId="0BFEEFA6" w14:textId="77777777" w:rsidR="002D18E3" w:rsidRPr="000F2D4C" w:rsidRDefault="002D18E3" w:rsidP="006D76E1">
      <w:pPr>
        <w:rPr>
          <w:rStyle w:val="Hyperlink"/>
          <w:color w:val="auto"/>
          <w:u w:val="none"/>
        </w:rPr>
      </w:pPr>
    </w:p>
    <w:p w14:paraId="7CF54732" w14:textId="77777777" w:rsidR="002D18E3" w:rsidRPr="000F2D4C" w:rsidRDefault="002D18E3" w:rsidP="006D76E1">
      <w:pPr>
        <w:rPr>
          <w:rStyle w:val="Hyperlink"/>
          <w:color w:val="auto"/>
          <w:u w:val="none"/>
        </w:rPr>
      </w:pPr>
    </w:p>
    <w:p w14:paraId="29377657" w14:textId="77777777" w:rsidR="002D18E3" w:rsidRPr="000F2D4C" w:rsidRDefault="002D18E3" w:rsidP="006D76E1">
      <w:pPr>
        <w:rPr>
          <w:rStyle w:val="Hyperlink"/>
          <w:color w:val="auto"/>
          <w:u w:val="none"/>
        </w:rPr>
      </w:pPr>
    </w:p>
    <w:p w14:paraId="50DC2F60" w14:textId="7ABE1EA3" w:rsidR="002D18E3" w:rsidRPr="000F2D4C" w:rsidRDefault="002D18E3" w:rsidP="006D76E1">
      <w:pPr>
        <w:rPr>
          <w:rStyle w:val="Hyperlink"/>
          <w:color w:val="auto"/>
          <w:u w:val="none"/>
        </w:rPr>
        <w:sectPr w:rsidR="002D18E3" w:rsidRPr="000F2D4C" w:rsidSect="00324725">
          <w:headerReference w:type="default" r:id="rId22"/>
          <w:footerReference w:type="default" r:id="rId23"/>
          <w:headerReference w:type="first" r:id="rId24"/>
          <w:pgSz w:w="11906" w:h="16838" w:code="9"/>
          <w:pgMar w:top="1418" w:right="1418" w:bottom="1418" w:left="2268" w:header="561" w:footer="57" w:gutter="0"/>
          <w:cols w:space="708"/>
          <w:docGrid w:linePitch="360"/>
        </w:sectPr>
      </w:pPr>
    </w:p>
    <w:p w14:paraId="78BB5C04" w14:textId="35F363B8" w:rsidR="00BB621E" w:rsidRPr="000F2D4C" w:rsidRDefault="005717B8" w:rsidP="00BB621E">
      <w:pPr>
        <w:pStyle w:val="Heading1"/>
      </w:pPr>
      <w:bookmarkStart w:id="18" w:name="_Toc146031443"/>
      <w:bookmarkStart w:id="19" w:name="_Toc146206757"/>
      <w:bookmarkStart w:id="20" w:name="_Toc149918986"/>
      <w:r w:rsidRPr="000F2D4C">
        <w:lastRenderedPageBreak/>
        <w:t>P</w:t>
      </w:r>
      <w:r w:rsidR="00BB621E" w:rsidRPr="000F2D4C">
        <w:t>urpose and principles</w:t>
      </w:r>
      <w:bookmarkEnd w:id="18"/>
      <w:bookmarkEnd w:id="19"/>
      <w:r w:rsidR="00487DC8" w:rsidRPr="000F2D4C">
        <w:t xml:space="preserve"> for evaluation</w:t>
      </w:r>
      <w:bookmarkEnd w:id="20"/>
    </w:p>
    <w:p w14:paraId="28070EAF" w14:textId="18C417FE" w:rsidR="00EF2FFD" w:rsidRPr="000F2D4C" w:rsidRDefault="00052359" w:rsidP="00581761">
      <w:bookmarkStart w:id="21" w:name="_Toc146031444"/>
      <w:bookmarkStart w:id="22" w:name="_Toc146206758"/>
      <w:r w:rsidRPr="000F2D4C">
        <w:t xml:space="preserve">All government funded mental health and suicide prevention </w:t>
      </w:r>
      <w:r w:rsidR="00F47E76" w:rsidRPr="000F2D4C">
        <w:t>programs</w:t>
      </w:r>
      <w:r w:rsidRPr="000F2D4C">
        <w:t xml:space="preserve"> should be able to demonstrate they are delivering evidence-based </w:t>
      </w:r>
      <w:r w:rsidR="00CF762A" w:rsidRPr="000F2D4C">
        <w:t>interventions</w:t>
      </w:r>
      <w:r w:rsidRPr="000F2D4C">
        <w:t xml:space="preserve"> safely, effectively</w:t>
      </w:r>
      <w:r w:rsidR="3C179CCF" w:rsidRPr="000F2D4C">
        <w:t>,</w:t>
      </w:r>
      <w:r w:rsidRPr="000F2D4C">
        <w:t xml:space="preserve"> and efficiently, to the people and communities who need them</w:t>
      </w:r>
      <w:r w:rsidR="00A16D57" w:rsidRPr="000F2D4C">
        <w:rPr>
          <w:rStyle w:val="FootnoteReference"/>
        </w:rPr>
        <w:footnoteReference w:id="2"/>
      </w:r>
      <w:r w:rsidRPr="000F2D4C">
        <w:t xml:space="preserve">. Evaluation </w:t>
      </w:r>
      <w:r w:rsidR="00F47E76" w:rsidRPr="000F2D4C">
        <w:t>– alongside other evidence generating activities – can help t</w:t>
      </w:r>
      <w:r w:rsidR="002D6849" w:rsidRPr="000F2D4C">
        <w:t xml:space="preserve">o demonstrate </w:t>
      </w:r>
      <w:r w:rsidR="004A1D51" w:rsidRPr="000F2D4C">
        <w:t>what is working well and what needs to be improved</w:t>
      </w:r>
      <w:r w:rsidR="0030320C" w:rsidRPr="000F2D4C">
        <w:t xml:space="preserve">. It </w:t>
      </w:r>
      <w:r w:rsidRPr="000F2D4C">
        <w:t xml:space="preserve">is essential for understanding the effectiveness of existing </w:t>
      </w:r>
      <w:r w:rsidR="00F47E76" w:rsidRPr="000F2D4C">
        <w:t>programs</w:t>
      </w:r>
      <w:r w:rsidRPr="000F2D4C">
        <w:t xml:space="preserve"> and systems, and for supporting development and comparison of new service models.</w:t>
      </w:r>
    </w:p>
    <w:p w14:paraId="607709CC" w14:textId="099767D3" w:rsidR="00BB3D1C" w:rsidRPr="000F2D4C" w:rsidRDefault="00BB3D1C" w:rsidP="00581761">
      <w:r w:rsidRPr="000F2D4C">
        <w:t>This section outlines the purpose evaluations can be used for</w:t>
      </w:r>
      <w:r w:rsidR="00426B69" w:rsidRPr="000F2D4C">
        <w:t>,</w:t>
      </w:r>
      <w:r w:rsidRPr="000F2D4C">
        <w:t xml:space="preserve"> and how evaluation can complement other methods for generating evidence about how programs are working. </w:t>
      </w:r>
    </w:p>
    <w:p w14:paraId="13802229" w14:textId="582FDE11" w:rsidR="00CF762A" w:rsidRPr="000F2D4C" w:rsidRDefault="00CF762A" w:rsidP="00CF762A">
      <w:pPr>
        <w:pStyle w:val="Heading2"/>
        <w:rPr>
          <w:rFonts w:eastAsia="Calibri"/>
        </w:rPr>
      </w:pPr>
      <w:bookmarkStart w:id="23" w:name="_Toc149918987"/>
      <w:r w:rsidRPr="000F2D4C">
        <w:t xml:space="preserve">What </w:t>
      </w:r>
      <w:r w:rsidR="00CF632F" w:rsidRPr="000F2D4C">
        <w:t>evaluation is</w:t>
      </w:r>
      <w:bookmarkEnd w:id="23"/>
    </w:p>
    <w:p w14:paraId="05C9588B" w14:textId="26F6EFEB" w:rsidR="005E57A1" w:rsidRPr="000F2D4C" w:rsidRDefault="67820819" w:rsidP="006120D9">
      <w:r w:rsidRPr="000F2D4C">
        <w:rPr>
          <w:b/>
          <w:bCs/>
        </w:rPr>
        <w:t>Evaluation</w:t>
      </w:r>
      <w:r w:rsidR="00EA6F63" w:rsidRPr="000F2D4C">
        <w:t xml:space="preserve"> is an in-depth process for determining the merit</w:t>
      </w:r>
      <w:r w:rsidR="005E57A1" w:rsidRPr="000F2D4C">
        <w:t>,</w:t>
      </w:r>
      <w:r w:rsidR="00EA6F63" w:rsidRPr="000F2D4C">
        <w:t xml:space="preserve"> worth </w:t>
      </w:r>
      <w:r w:rsidR="005E57A1" w:rsidRPr="000F2D4C">
        <w:t xml:space="preserve">or value </w:t>
      </w:r>
      <w:r w:rsidR="00EA6F63" w:rsidRPr="000F2D4C">
        <w:t>of a program</w:t>
      </w:r>
      <w:r w:rsidR="00452101" w:rsidRPr="000F2D4C">
        <w:t>, policy or strategy</w:t>
      </w:r>
      <w:r w:rsidR="009A06C9" w:rsidRPr="000F2D4C">
        <w:rPr>
          <w:rStyle w:val="FootnoteReference"/>
        </w:rPr>
        <w:footnoteReference w:id="3"/>
      </w:r>
      <w:r w:rsidR="00EA6F63" w:rsidRPr="000F2D4C">
        <w:t>.</w:t>
      </w:r>
      <w:r w:rsidR="00EA6F63" w:rsidRPr="000F2D4C">
        <w:rPr>
          <w:rStyle w:val="FootnoteReference"/>
        </w:rPr>
        <w:t xml:space="preserve"> </w:t>
      </w:r>
      <w:r w:rsidR="00EA6F63" w:rsidRPr="000F2D4C">
        <w:t xml:space="preserve">It involves systematic collection of information about a program to answer </w:t>
      </w:r>
      <w:r w:rsidR="005E57A1" w:rsidRPr="000F2D4C">
        <w:t>key evaluation questions</w:t>
      </w:r>
      <w:r w:rsidR="00EA6F63" w:rsidRPr="000F2D4C">
        <w:t xml:space="preserve">. </w:t>
      </w:r>
    </w:p>
    <w:p w14:paraId="3A87A8DB" w14:textId="77777777" w:rsidR="007D6710" w:rsidRPr="000F2D4C" w:rsidRDefault="007D6710" w:rsidP="007D6710">
      <w:pPr>
        <w:pStyle w:val="Heading3"/>
      </w:pPr>
      <w:r w:rsidRPr="000F2D4C">
        <w:t>Timing of evaluation</w:t>
      </w:r>
    </w:p>
    <w:p w14:paraId="0165BC65" w14:textId="5C8673F4" w:rsidR="007D6710" w:rsidRPr="000F2D4C" w:rsidRDefault="007D6710" w:rsidP="007D6710">
      <w:r w:rsidRPr="000F2D4C">
        <w:t>Often people think of evaluation as something that is done at the end of a program, but evaluation is useful across the lifecycle of a program, from early planning and development through implementation and decision-making about ongoing funding or scale-up.</w:t>
      </w:r>
    </w:p>
    <w:p w14:paraId="306F07D0" w14:textId="79F7F167" w:rsidR="0005356D" w:rsidRPr="000F2D4C" w:rsidRDefault="0005356D" w:rsidP="00EF40F2">
      <w:pPr>
        <w:pStyle w:val="Heading3"/>
      </w:pPr>
      <w:r w:rsidRPr="000F2D4C">
        <w:t>Purpose of evaluation</w:t>
      </w:r>
      <w:bookmarkEnd w:id="21"/>
      <w:bookmarkEnd w:id="22"/>
    </w:p>
    <w:p w14:paraId="42A9925E" w14:textId="5BCAF387" w:rsidR="0005356D" w:rsidRPr="000F2D4C" w:rsidRDefault="006E49D7" w:rsidP="0005356D">
      <w:r w:rsidRPr="000F2D4C">
        <w:t>It can be used to</w:t>
      </w:r>
      <w:r w:rsidR="00E30C48" w:rsidRPr="000F2D4C">
        <w:t>:</w:t>
      </w:r>
    </w:p>
    <w:p w14:paraId="7E60F3C4" w14:textId="63010CF3" w:rsidR="0005356D" w:rsidRPr="000F2D4C" w:rsidRDefault="0005356D" w:rsidP="00FC2CEE">
      <w:pPr>
        <w:pStyle w:val="ListParagraph"/>
        <w:numPr>
          <w:ilvl w:val="0"/>
          <w:numId w:val="28"/>
        </w:numPr>
        <w:rPr>
          <w:rFonts w:ascii="Segoe UI" w:hAnsi="Segoe UI"/>
        </w:rPr>
      </w:pPr>
      <w:r w:rsidRPr="000F2D4C">
        <w:t xml:space="preserve">help strengthen the </w:t>
      </w:r>
      <w:r w:rsidRPr="000F2D4C">
        <w:rPr>
          <w:b/>
          <w:bCs/>
        </w:rPr>
        <w:t xml:space="preserve">design of </w:t>
      </w:r>
      <w:r w:rsidR="006E49D7" w:rsidRPr="000F2D4C">
        <w:rPr>
          <w:b/>
          <w:bCs/>
        </w:rPr>
        <w:t xml:space="preserve">a program </w:t>
      </w:r>
      <w:r w:rsidR="45735AAD" w:rsidRPr="000F2D4C">
        <w:t xml:space="preserve">– </w:t>
      </w:r>
      <w:r w:rsidR="00356C05" w:rsidRPr="000F2D4C">
        <w:t>for example,</w:t>
      </w:r>
      <w:r w:rsidR="45735AAD" w:rsidRPr="000F2D4C">
        <w:t xml:space="preserve"> </w:t>
      </w:r>
      <w:r w:rsidR="004E3B6F" w:rsidRPr="000F2D4C">
        <w:t xml:space="preserve">through a needs analysis to ensure the program is addressing </w:t>
      </w:r>
      <w:r w:rsidR="009E1153" w:rsidRPr="000F2D4C">
        <w:t xml:space="preserve">the </w:t>
      </w:r>
      <w:r w:rsidR="004F6DCC" w:rsidRPr="000F2D4C">
        <w:t xml:space="preserve">needs of the target group, </w:t>
      </w:r>
      <w:r w:rsidR="005F5FE2" w:rsidRPr="000F2D4C">
        <w:t xml:space="preserve">the development of a logic model that shows how the program is expected to contribute to its intended outcomes, and </w:t>
      </w:r>
      <w:r w:rsidR="00A061ED" w:rsidRPr="000F2D4C">
        <w:t xml:space="preserve">identification of the existing evidence </w:t>
      </w:r>
      <w:r w:rsidR="00356C05" w:rsidRPr="000F2D4C">
        <w:t>for</w:t>
      </w:r>
      <w:r w:rsidR="00A061ED" w:rsidRPr="000F2D4C">
        <w:t xml:space="preserve"> a program model</w:t>
      </w:r>
    </w:p>
    <w:p w14:paraId="25666297" w14:textId="543F6CDB" w:rsidR="009B42F8" w:rsidRPr="000F2D4C" w:rsidRDefault="0005356D" w:rsidP="00FC2CEE">
      <w:pPr>
        <w:pStyle w:val="ListParagraph"/>
        <w:numPr>
          <w:ilvl w:val="0"/>
          <w:numId w:val="28"/>
        </w:numPr>
      </w:pPr>
      <w:r w:rsidRPr="000F2D4C">
        <w:t>help</w:t>
      </w:r>
      <w:r w:rsidR="00A061ED" w:rsidRPr="000F2D4C">
        <w:t xml:space="preserve"> strengthen </w:t>
      </w:r>
      <w:r w:rsidR="00A061ED" w:rsidRPr="000F2D4C">
        <w:rPr>
          <w:b/>
          <w:bCs/>
        </w:rPr>
        <w:t>implementation of a program</w:t>
      </w:r>
      <w:r w:rsidRPr="000F2D4C">
        <w:t xml:space="preserve"> </w:t>
      </w:r>
      <w:r w:rsidR="00A061ED" w:rsidRPr="000F2D4C">
        <w:t xml:space="preserve">– by identifying </w:t>
      </w:r>
      <w:r w:rsidRPr="000F2D4C">
        <w:t>what is working well</w:t>
      </w:r>
      <w:r w:rsidR="00A061ED" w:rsidRPr="000F2D4C">
        <w:t xml:space="preserve">, </w:t>
      </w:r>
      <w:r w:rsidRPr="000F2D4C">
        <w:t>what is not</w:t>
      </w:r>
      <w:r w:rsidR="4F8A56C0" w:rsidRPr="000F2D4C">
        <w:t>,</w:t>
      </w:r>
      <w:r w:rsidR="2347D339" w:rsidRPr="000F2D4C">
        <w:t xml:space="preserve"> and how the </w:t>
      </w:r>
      <w:r w:rsidR="008516B7" w:rsidRPr="000F2D4C">
        <w:t>program</w:t>
      </w:r>
      <w:r w:rsidR="2347D339" w:rsidRPr="000F2D4C">
        <w:t xml:space="preserve"> can be improved</w:t>
      </w:r>
      <w:r w:rsidR="000C656B" w:rsidRPr="000F2D4C">
        <w:t>, including opportunities to better reach priority populations and improve the efficiency of the program</w:t>
      </w:r>
    </w:p>
    <w:p w14:paraId="641EF8FA" w14:textId="232B94DE" w:rsidR="003517BA" w:rsidRPr="000F2D4C" w:rsidRDefault="0005356D" w:rsidP="00FC2CEE">
      <w:pPr>
        <w:pStyle w:val="ListParagraph"/>
        <w:numPr>
          <w:ilvl w:val="0"/>
          <w:numId w:val="28"/>
        </w:numPr>
      </w:pPr>
      <w:r w:rsidRPr="000F2D4C">
        <w:t xml:space="preserve">help </w:t>
      </w:r>
      <w:r w:rsidR="00E30C48" w:rsidRPr="000F2D4C">
        <w:t xml:space="preserve">inform </w:t>
      </w:r>
      <w:r w:rsidR="00E30C48" w:rsidRPr="000F2D4C">
        <w:rPr>
          <w:b/>
          <w:bCs/>
        </w:rPr>
        <w:t>decision</w:t>
      </w:r>
      <w:r w:rsidR="007D6710" w:rsidRPr="000F2D4C">
        <w:rPr>
          <w:b/>
          <w:bCs/>
        </w:rPr>
        <w:t>-</w:t>
      </w:r>
      <w:r w:rsidR="00E30C48" w:rsidRPr="000F2D4C">
        <w:rPr>
          <w:b/>
          <w:bCs/>
        </w:rPr>
        <w:t>making about ongoing funding</w:t>
      </w:r>
      <w:r w:rsidR="00E30C48" w:rsidRPr="000F2D4C">
        <w:t xml:space="preserve"> </w:t>
      </w:r>
      <w:r w:rsidR="00356C05" w:rsidRPr="000F2D4C">
        <w:t xml:space="preserve">– </w:t>
      </w:r>
      <w:r w:rsidR="00E30C48" w:rsidRPr="000F2D4C">
        <w:t xml:space="preserve">by identifying whether it is achieving </w:t>
      </w:r>
      <w:r w:rsidR="00356C05" w:rsidRPr="000F2D4C">
        <w:t>the</w:t>
      </w:r>
      <w:r w:rsidR="00E30C48" w:rsidRPr="000F2D4C">
        <w:t xml:space="preserve"> intended outcomes</w:t>
      </w:r>
      <w:r w:rsidR="2FB78D00" w:rsidRPr="000F2D4C">
        <w:t>,</w:t>
      </w:r>
      <w:r w:rsidR="00E30C48" w:rsidRPr="000F2D4C">
        <w:t xml:space="preserve"> and the value for money provided by the </w:t>
      </w:r>
      <w:r w:rsidR="00356C05" w:rsidRPr="000F2D4C">
        <w:t>program</w:t>
      </w:r>
    </w:p>
    <w:p w14:paraId="36EB291E" w14:textId="1E9F7FE8" w:rsidR="00356C05" w:rsidRPr="000F2D4C" w:rsidRDefault="00356C05" w:rsidP="00FC2CEE">
      <w:pPr>
        <w:pStyle w:val="ListParagraph"/>
        <w:numPr>
          <w:ilvl w:val="0"/>
          <w:numId w:val="28"/>
        </w:numPr>
      </w:pPr>
      <w:r w:rsidRPr="000F2D4C">
        <w:t xml:space="preserve">help inform </w:t>
      </w:r>
      <w:r w:rsidRPr="000F2D4C">
        <w:rPr>
          <w:b/>
          <w:bCs/>
        </w:rPr>
        <w:t>considerations</w:t>
      </w:r>
      <w:r w:rsidRPr="000F2D4C">
        <w:t xml:space="preserve"> </w:t>
      </w:r>
      <w:r w:rsidRPr="000F2D4C">
        <w:rPr>
          <w:b/>
          <w:bCs/>
        </w:rPr>
        <w:t>about scale</w:t>
      </w:r>
      <w:r w:rsidR="69BC3590" w:rsidRPr="000F2D4C">
        <w:rPr>
          <w:b/>
          <w:bCs/>
        </w:rPr>
        <w:t>-</w:t>
      </w:r>
      <w:r w:rsidRPr="000F2D4C">
        <w:rPr>
          <w:b/>
          <w:bCs/>
        </w:rPr>
        <w:t xml:space="preserve">up </w:t>
      </w:r>
      <w:r w:rsidRPr="000F2D4C">
        <w:t xml:space="preserve">– by identifying the critical elements of a program and the </w:t>
      </w:r>
      <w:r w:rsidR="00307A14" w:rsidRPr="000F2D4C">
        <w:t xml:space="preserve">contextual factors important </w:t>
      </w:r>
      <w:r w:rsidR="000C656B" w:rsidRPr="000F2D4C">
        <w:t>for</w:t>
      </w:r>
      <w:r w:rsidR="00307A14" w:rsidRPr="000F2D4C">
        <w:t xml:space="preserve"> implementation</w:t>
      </w:r>
      <w:r w:rsidR="000C656B" w:rsidRPr="000F2D4C">
        <w:t xml:space="preserve"> to succeed</w:t>
      </w:r>
    </w:p>
    <w:p w14:paraId="109FA0A6" w14:textId="2624ACD2" w:rsidR="00E30C48" w:rsidRPr="000F2D4C" w:rsidRDefault="003517BA" w:rsidP="00FC2CEE">
      <w:pPr>
        <w:pStyle w:val="ListParagraph"/>
        <w:numPr>
          <w:ilvl w:val="0"/>
          <w:numId w:val="28"/>
        </w:numPr>
      </w:pPr>
      <w:r w:rsidRPr="000F2D4C">
        <w:t xml:space="preserve">enable </w:t>
      </w:r>
      <w:r w:rsidRPr="000F2D4C">
        <w:rPr>
          <w:b/>
          <w:bCs/>
        </w:rPr>
        <w:t>accountability to funders and people accessing programs</w:t>
      </w:r>
      <w:r w:rsidRPr="000F2D4C">
        <w:t xml:space="preserve"> </w:t>
      </w:r>
      <w:r w:rsidR="00435B35" w:rsidRPr="000F2D4C">
        <w:t xml:space="preserve">– </w:t>
      </w:r>
      <w:r w:rsidRPr="000F2D4C">
        <w:t>by identifying what they are achieving</w:t>
      </w:r>
    </w:p>
    <w:p w14:paraId="0E534F40" w14:textId="2FB1172B" w:rsidR="0088764C" w:rsidRPr="000F2D4C" w:rsidRDefault="007D5786" w:rsidP="00FC2CEE">
      <w:pPr>
        <w:pStyle w:val="ListParagraph"/>
        <w:numPr>
          <w:ilvl w:val="0"/>
          <w:numId w:val="28"/>
        </w:numPr>
      </w:pPr>
      <w:r w:rsidRPr="000F2D4C">
        <w:t>a</w:t>
      </w:r>
      <w:r w:rsidR="0088764C" w:rsidRPr="000F2D4C">
        <w:t xml:space="preserve">ccountability to </w:t>
      </w:r>
      <w:r w:rsidR="00A842B8" w:rsidRPr="000F2D4C">
        <w:t xml:space="preserve">key stakeholders and the wider public. </w:t>
      </w:r>
    </w:p>
    <w:p w14:paraId="535C79B6" w14:textId="6DE6453F" w:rsidR="009E1153" w:rsidRPr="000F2D4C" w:rsidRDefault="000361F7" w:rsidP="003517BA">
      <w:r w:rsidRPr="000F2D4C">
        <w:lastRenderedPageBreak/>
        <w:t xml:space="preserve">When shared, evaluations can </w:t>
      </w:r>
      <w:r w:rsidR="003517BA" w:rsidRPr="000F2D4C">
        <w:t xml:space="preserve">help to </w:t>
      </w:r>
      <w:r w:rsidR="009E1153" w:rsidRPr="000F2D4C">
        <w:t xml:space="preserve">build the </w:t>
      </w:r>
      <w:r w:rsidR="009E1153" w:rsidRPr="000F2D4C">
        <w:rPr>
          <w:b/>
          <w:bCs/>
        </w:rPr>
        <w:t>knowledge base</w:t>
      </w:r>
      <w:r w:rsidR="009E1153" w:rsidRPr="000F2D4C">
        <w:t xml:space="preserve"> for the mental health and suicide prevention syste</w:t>
      </w:r>
      <w:r w:rsidR="003517BA" w:rsidRPr="000F2D4C">
        <w:t>m</w:t>
      </w:r>
      <w:r w:rsidR="001A3BF4" w:rsidRPr="000F2D4C">
        <w:t>, identifying what is working, for whom and in what circumstances</w:t>
      </w:r>
      <w:r w:rsidR="003517BA" w:rsidRPr="000F2D4C">
        <w:t>.</w:t>
      </w:r>
    </w:p>
    <w:p w14:paraId="2E4E8FE3" w14:textId="77C4058B" w:rsidR="00CF7785" w:rsidRPr="000F2D4C" w:rsidRDefault="00307A14" w:rsidP="002D6849">
      <w:pPr>
        <w:pStyle w:val="Heading2"/>
      </w:pPr>
      <w:bookmarkStart w:id="24" w:name="_Toc149918988"/>
      <w:r w:rsidRPr="000F2D4C">
        <w:t>How evaluation fits with other evidence</w:t>
      </w:r>
      <w:r w:rsidR="00CF7785" w:rsidRPr="000F2D4C">
        <w:t xml:space="preserve"> generating </w:t>
      </w:r>
      <w:r w:rsidRPr="000F2D4C">
        <w:t>activities</w:t>
      </w:r>
      <w:bookmarkEnd w:id="24"/>
    </w:p>
    <w:p w14:paraId="37244110" w14:textId="77777777" w:rsidR="00BB3D1C" w:rsidRPr="000F2D4C" w:rsidRDefault="5B57E35B" w:rsidP="409BB088">
      <w:pPr>
        <w:spacing w:before="120" w:afterLines="60" w:after="144"/>
        <w:rPr>
          <w:rFonts w:cstheme="minorBidi"/>
        </w:rPr>
      </w:pPr>
      <w:r w:rsidRPr="000F2D4C">
        <w:rPr>
          <w:rFonts w:cstheme="minorBidi"/>
        </w:rPr>
        <w:t xml:space="preserve">In addition to evaluation, </w:t>
      </w:r>
      <w:r w:rsidR="235FBA5F" w:rsidRPr="000F2D4C">
        <w:rPr>
          <w:rFonts w:cstheme="minorBidi"/>
        </w:rPr>
        <w:t>t</w:t>
      </w:r>
      <w:r w:rsidR="00307A14" w:rsidRPr="000F2D4C">
        <w:rPr>
          <w:rFonts w:cstheme="minorBidi"/>
        </w:rPr>
        <w:t>here are various</w:t>
      </w:r>
      <w:r w:rsidR="00CF7785" w:rsidRPr="000F2D4C">
        <w:rPr>
          <w:rFonts w:cstheme="minorBidi"/>
        </w:rPr>
        <w:t xml:space="preserve"> evidence-generating activities </w:t>
      </w:r>
      <w:r w:rsidR="00307A14" w:rsidRPr="000F2D4C">
        <w:rPr>
          <w:rFonts w:cstheme="minorBidi"/>
        </w:rPr>
        <w:t xml:space="preserve">that </w:t>
      </w:r>
      <w:r w:rsidR="00CF7785" w:rsidRPr="000F2D4C">
        <w:rPr>
          <w:rFonts w:cstheme="minorBidi"/>
        </w:rPr>
        <w:t xml:space="preserve">help </w:t>
      </w:r>
      <w:r w:rsidR="004A0781" w:rsidRPr="000F2D4C">
        <w:rPr>
          <w:rFonts w:cstheme="minorBidi"/>
        </w:rPr>
        <w:t xml:space="preserve">governments </w:t>
      </w:r>
      <w:r w:rsidR="00CF7785" w:rsidRPr="000F2D4C">
        <w:rPr>
          <w:rFonts w:cstheme="minorBidi"/>
        </w:rPr>
        <w:t>and organisations improve their practice and remain accountable. While they have different specific purposes, many of these share some underlying data collection techniques</w:t>
      </w:r>
      <w:r w:rsidR="00307A14" w:rsidRPr="000F2D4C">
        <w:rPr>
          <w:rFonts w:cstheme="minorBidi"/>
        </w:rPr>
        <w:t xml:space="preserve"> with evaluation</w:t>
      </w:r>
      <w:r w:rsidR="00CF7785" w:rsidRPr="000F2D4C">
        <w:rPr>
          <w:rFonts w:cstheme="minorBidi"/>
        </w:rPr>
        <w:t xml:space="preserve">. </w:t>
      </w:r>
      <w:r w:rsidR="00BB3D1C" w:rsidRPr="000F2D4C">
        <w:rPr>
          <w:rFonts w:cstheme="minorBidi"/>
        </w:rPr>
        <w:t>O</w:t>
      </w:r>
      <w:r w:rsidR="00CF7785" w:rsidRPr="000F2D4C">
        <w:rPr>
          <w:rFonts w:cstheme="minorBidi"/>
        </w:rPr>
        <w:t xml:space="preserve">ther forms of evidence can </w:t>
      </w:r>
      <w:r w:rsidR="00307A14" w:rsidRPr="000F2D4C">
        <w:rPr>
          <w:rFonts w:cstheme="minorBidi"/>
        </w:rPr>
        <w:t>also</w:t>
      </w:r>
      <w:r w:rsidR="00CF7785" w:rsidRPr="000F2D4C">
        <w:rPr>
          <w:rFonts w:cstheme="minorBidi"/>
        </w:rPr>
        <w:t xml:space="preserve"> be an important source of information for evaluation.</w:t>
      </w:r>
      <w:r w:rsidR="004F6015" w:rsidRPr="000F2D4C">
        <w:rPr>
          <w:rFonts w:cstheme="minorBidi"/>
        </w:rPr>
        <w:t xml:space="preserve"> </w:t>
      </w:r>
    </w:p>
    <w:p w14:paraId="16F2CC83" w14:textId="6401E111" w:rsidR="00CF7785" w:rsidRPr="000F2D4C" w:rsidRDefault="004F6015" w:rsidP="409BB088">
      <w:pPr>
        <w:spacing w:before="120" w:afterLines="60" w:after="144"/>
        <w:rPr>
          <w:rFonts w:cstheme="minorBidi"/>
        </w:rPr>
      </w:pPr>
      <w:r w:rsidRPr="000F2D4C">
        <w:rPr>
          <w:rFonts w:cstheme="minorBidi"/>
        </w:rPr>
        <w:t xml:space="preserve">Figure 1 highlights how evaluation fits in with other evidence-generating activities. </w:t>
      </w:r>
    </w:p>
    <w:p w14:paraId="7B9C7748" w14:textId="422FCBA5" w:rsidR="00CF7785" w:rsidRPr="000F2D4C" w:rsidRDefault="00307A14" w:rsidP="00307A14">
      <w:pPr>
        <w:pStyle w:val="FigureHeading"/>
      </w:pPr>
      <w:r w:rsidRPr="000F2D4C">
        <w:t>Fi</w:t>
      </w:r>
      <w:r w:rsidR="00CF7785" w:rsidRPr="000F2D4C">
        <w:t xml:space="preserve">t between evaluation and other evidence gathering activities </w:t>
      </w:r>
    </w:p>
    <w:p w14:paraId="3C99001D" w14:textId="73175048" w:rsidR="00CF7785" w:rsidRPr="000F2D4C" w:rsidRDefault="00AA7744" w:rsidP="00B91DF8">
      <w:pPr>
        <w:pStyle w:val="Paragraphtext"/>
        <w:spacing w:before="0" w:after="0"/>
        <w:jc w:val="center"/>
        <w:rPr>
          <w:rFonts w:asciiTheme="minorHAnsi" w:hAnsiTheme="minorHAnsi" w:cstheme="minorHAnsi"/>
          <w:szCs w:val="22"/>
        </w:rPr>
      </w:pPr>
      <w:r w:rsidRPr="000F2D4C">
        <w:rPr>
          <w:rFonts w:asciiTheme="minorHAnsi" w:hAnsiTheme="minorHAnsi" w:cstheme="minorHAnsi"/>
          <w:noProof/>
          <w:szCs w:val="22"/>
        </w:rPr>
        <w:drawing>
          <wp:inline distT="0" distB="0" distL="0" distR="0" wp14:anchorId="1B1F60B3" wp14:editId="0029977A">
            <wp:extent cx="3578241" cy="3505200"/>
            <wp:effectExtent l="0" t="0" r="3175" b="0"/>
            <wp:docPr id="614513848" name="Picture 614513848" descr="A Venn diagram with the words 'evidence generation' in the middle. The overlapping circles around the central words say evaluation, monitoring, quality standards, performance measures and re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13848" name="Picture 614513848" descr="A Venn diagram with the words 'evidence generation' in the middle. The overlapping circles around the central words say evaluation, monitoring, quality standards, performance measures and research. "/>
                    <pic:cNvPicPr/>
                  </pic:nvPicPr>
                  <pic:blipFill rotWithShape="1">
                    <a:blip r:embed="rId25" cstate="print">
                      <a:extLst>
                        <a:ext uri="{28A0092B-C50C-407E-A947-70E740481C1C}">
                          <a14:useLocalDpi xmlns:a14="http://schemas.microsoft.com/office/drawing/2010/main" val="0"/>
                        </a:ext>
                      </a:extLst>
                    </a:blip>
                    <a:srcRect l="17254" t="17395" r="24844" b="42503"/>
                    <a:stretch/>
                  </pic:blipFill>
                  <pic:spPr bwMode="auto">
                    <a:xfrm>
                      <a:off x="0" y="0"/>
                      <a:ext cx="3578241" cy="3505200"/>
                    </a:xfrm>
                    <a:prstGeom prst="rect">
                      <a:avLst/>
                    </a:prstGeom>
                    <a:ln>
                      <a:noFill/>
                    </a:ln>
                    <a:extLst>
                      <a:ext uri="{53640926-AAD7-44D8-BBD7-CCE9431645EC}">
                        <a14:shadowObscured xmlns:a14="http://schemas.microsoft.com/office/drawing/2010/main"/>
                      </a:ext>
                    </a:extLst>
                  </pic:spPr>
                </pic:pic>
              </a:graphicData>
            </a:graphic>
          </wp:inline>
        </w:drawing>
      </w:r>
    </w:p>
    <w:p w14:paraId="631B5BD2" w14:textId="77777777" w:rsidR="003C14FB" w:rsidRPr="000F2D4C" w:rsidRDefault="003C14FB" w:rsidP="00CF7785">
      <w:pPr>
        <w:pStyle w:val="Paragraphtext"/>
        <w:spacing w:before="0" w:after="0"/>
        <w:rPr>
          <w:rFonts w:asciiTheme="minorHAnsi" w:hAnsiTheme="minorHAnsi" w:cstheme="minorHAnsi"/>
          <w:szCs w:val="22"/>
        </w:rPr>
      </w:pPr>
    </w:p>
    <w:p w14:paraId="7E9A65FA" w14:textId="77777777" w:rsidR="006C7823" w:rsidRPr="000F2D4C" w:rsidRDefault="00CF7785" w:rsidP="006C7823">
      <w:pPr>
        <w:pStyle w:val="Notes"/>
        <w:rPr>
          <w:i/>
        </w:rPr>
      </w:pPr>
      <w:r w:rsidRPr="000F2D4C">
        <w:t xml:space="preserve">Source: </w:t>
      </w:r>
      <w:r w:rsidR="0072695E" w:rsidRPr="000F2D4C">
        <w:t xml:space="preserve">Adapted from </w:t>
      </w:r>
      <w:r w:rsidRPr="000F2D4C">
        <w:t>Department of Finance (2021)</w:t>
      </w:r>
      <w:r w:rsidR="000525C7" w:rsidRPr="000F2D4C">
        <w:t>.</w:t>
      </w:r>
      <w:r w:rsidRPr="000F2D4C">
        <w:t xml:space="preserve"> </w:t>
      </w:r>
      <w:hyperlink r:id="rId26" w:history="1">
        <w:r w:rsidRPr="000F2D4C">
          <w:rPr>
            <w:rStyle w:val="Hyperlink"/>
            <w:i/>
            <w:iCs/>
          </w:rPr>
          <w:t>Evaluation in the Commonwealth</w:t>
        </w:r>
        <w:r w:rsidR="00976028" w:rsidRPr="000F2D4C">
          <w:rPr>
            <w:rStyle w:val="Hyperlink"/>
            <w:i/>
            <w:iCs/>
          </w:rPr>
          <w:t xml:space="preserve"> (RMG 130)</w:t>
        </w:r>
        <w:r w:rsidR="05406331" w:rsidRPr="000F2D4C">
          <w:rPr>
            <w:rStyle w:val="Hyperlink"/>
          </w:rPr>
          <w:t>.</w:t>
        </w:r>
      </w:hyperlink>
      <w:r w:rsidR="006C7823" w:rsidRPr="000F2D4C">
        <w:rPr>
          <w:i/>
          <w:color w:val="005677" w:themeColor="accent1"/>
        </w:rPr>
        <w:t xml:space="preserve"> </w:t>
      </w:r>
    </w:p>
    <w:p w14:paraId="2ABDA343" w14:textId="77777777" w:rsidR="0072695E" w:rsidRPr="000F2D4C" w:rsidRDefault="0072695E" w:rsidP="0072695E">
      <w:pPr>
        <w:pStyle w:val="Heading3"/>
      </w:pPr>
      <w:r w:rsidRPr="000F2D4C">
        <w:t>Monitoring</w:t>
      </w:r>
    </w:p>
    <w:p w14:paraId="5396B218" w14:textId="147457E8" w:rsidR="00CF7785" w:rsidRPr="000F2D4C" w:rsidRDefault="548A0EC2" w:rsidP="00CF7785">
      <w:r w:rsidRPr="000F2D4C">
        <w:t>Monitoring</w:t>
      </w:r>
      <w:r w:rsidRPr="000F2D4C">
        <w:rPr>
          <w:b/>
          <w:bCs/>
        </w:rPr>
        <w:t xml:space="preserve"> </w:t>
      </w:r>
      <w:r w:rsidR="36A3DB8A" w:rsidRPr="000F2D4C">
        <w:rPr>
          <w:rFonts w:eastAsiaTheme="minorEastAsia" w:cstheme="minorBidi"/>
        </w:rPr>
        <w:t xml:space="preserve">is the routine collection of program performance information during implementation to determine whether a program is on track and </w:t>
      </w:r>
      <w:r w:rsidR="30AD8499" w:rsidRPr="000F2D4C">
        <w:rPr>
          <w:rFonts w:eastAsiaTheme="minorEastAsia" w:cstheme="minorBidi"/>
        </w:rPr>
        <w:t>whether any</w:t>
      </w:r>
      <w:r w:rsidR="36A3DB8A" w:rsidRPr="000F2D4C">
        <w:rPr>
          <w:rFonts w:eastAsiaTheme="minorEastAsia" w:cstheme="minorBidi"/>
        </w:rPr>
        <w:t xml:space="preserve"> adjustments </w:t>
      </w:r>
      <w:r w:rsidR="30AD8499" w:rsidRPr="000F2D4C">
        <w:rPr>
          <w:rFonts w:eastAsiaTheme="minorEastAsia" w:cstheme="minorBidi"/>
        </w:rPr>
        <w:t>are</w:t>
      </w:r>
      <w:r w:rsidR="36A3DB8A" w:rsidRPr="000F2D4C">
        <w:rPr>
          <w:rFonts w:eastAsiaTheme="minorEastAsia" w:cstheme="minorBidi"/>
        </w:rPr>
        <w:t xml:space="preserve"> required.</w:t>
      </w:r>
      <w:r w:rsidR="0072695E" w:rsidRPr="000F2D4C">
        <w:rPr>
          <w:rStyle w:val="FootnoteReference"/>
          <w:rFonts w:eastAsiaTheme="minorEastAsia" w:cstheme="minorBidi"/>
        </w:rPr>
        <w:footnoteReference w:id="4"/>
      </w:r>
      <w:r w:rsidRPr="000F2D4C">
        <w:t xml:space="preserve"> </w:t>
      </w:r>
      <w:r w:rsidR="0086607B" w:rsidRPr="000F2D4C">
        <w:t>Monitoring</w:t>
      </w:r>
      <w:r w:rsidRPr="000F2D4C">
        <w:t>:</w:t>
      </w:r>
    </w:p>
    <w:p w14:paraId="573B1F2E" w14:textId="71B4F0D0" w:rsidR="00CF7785" w:rsidRPr="000F2D4C" w:rsidRDefault="00CF7785" w:rsidP="00EC63DD">
      <w:pPr>
        <w:pStyle w:val="ListBullet"/>
      </w:pPr>
      <w:r w:rsidRPr="000F2D4C">
        <w:lastRenderedPageBreak/>
        <w:t xml:space="preserve">mainly uses data captured as part of </w:t>
      </w:r>
      <w:r w:rsidR="0072695E" w:rsidRPr="000F2D4C">
        <w:t>delivering the program</w:t>
      </w:r>
      <w:r w:rsidRPr="000F2D4C">
        <w:t xml:space="preserve"> </w:t>
      </w:r>
    </w:p>
    <w:p w14:paraId="12280719" w14:textId="782E0BC1" w:rsidR="00CF7785" w:rsidRPr="000F2D4C" w:rsidRDefault="00735453" w:rsidP="00EC63DD">
      <w:pPr>
        <w:pStyle w:val="ListBullet"/>
      </w:pPr>
      <w:r w:rsidRPr="000F2D4C">
        <w:t>can inform</w:t>
      </w:r>
      <w:r w:rsidR="00CF7785" w:rsidRPr="000F2D4C">
        <w:t xml:space="preserve"> quality assurance activities</w:t>
      </w:r>
    </w:p>
    <w:p w14:paraId="24A50654" w14:textId="6A19C207" w:rsidR="00CF7785" w:rsidRPr="000F2D4C" w:rsidRDefault="00735453" w:rsidP="00EC63DD">
      <w:pPr>
        <w:pStyle w:val="ListBullet"/>
      </w:pPr>
      <w:r w:rsidRPr="000F2D4C">
        <w:t>should be</w:t>
      </w:r>
      <w:r w:rsidR="00CF7785" w:rsidRPr="000F2D4C">
        <w:t xml:space="preserve"> used to manage activities on an ongoing basis</w:t>
      </w:r>
    </w:p>
    <w:p w14:paraId="2AA04418" w14:textId="345E468E" w:rsidR="007810D2" w:rsidRPr="000F2D4C" w:rsidRDefault="0072695E" w:rsidP="00EC63DD">
      <w:pPr>
        <w:pStyle w:val="ListBullet"/>
      </w:pPr>
      <w:r w:rsidRPr="000F2D4C">
        <w:t xml:space="preserve">can </w:t>
      </w:r>
      <w:r w:rsidR="007810D2" w:rsidRPr="000F2D4C">
        <w:t>contribute to continuous improvement</w:t>
      </w:r>
    </w:p>
    <w:p w14:paraId="69F0797D" w14:textId="11F6EE2B" w:rsidR="00CF7785" w:rsidRPr="000F2D4C" w:rsidRDefault="00CF7785" w:rsidP="00EC63DD">
      <w:pPr>
        <w:pStyle w:val="ListBullet"/>
        <w:spacing w:after="240"/>
      </w:pPr>
      <w:r w:rsidRPr="000F2D4C">
        <w:t>can help to</w:t>
      </w:r>
      <w:r w:rsidR="00735453" w:rsidRPr="000F2D4C">
        <w:t xml:space="preserve"> assess</w:t>
      </w:r>
      <w:r w:rsidRPr="000F2D4C">
        <w:t xml:space="preserve"> whether </w:t>
      </w:r>
      <w:r w:rsidR="0072695E" w:rsidRPr="000F2D4C">
        <w:t>a program</w:t>
      </w:r>
      <w:r w:rsidRPr="000F2D4C">
        <w:t xml:space="preserve"> is on track to achieve intended outcomes. </w:t>
      </w:r>
    </w:p>
    <w:p w14:paraId="3B5DCB32" w14:textId="14A6794D" w:rsidR="00E623FA" w:rsidRPr="000F2D4C" w:rsidRDefault="50DD2B6E" w:rsidP="00E623FA">
      <w:r w:rsidRPr="000F2D4C">
        <w:t>In mental health and suicide prevention, there are a range of minimum data sets collected by the Australian Government, state and territory governments and funded services.</w:t>
      </w:r>
      <w:r w:rsidR="00E623FA" w:rsidRPr="000F2D4C">
        <w:rPr>
          <w:vertAlign w:val="superscript"/>
        </w:rPr>
        <w:footnoteReference w:id="5"/>
      </w:r>
      <w:r w:rsidRPr="000F2D4C">
        <w:t xml:space="preserve"> Several data collections contain </w:t>
      </w:r>
      <w:r w:rsidR="00780AD4" w:rsidRPr="000F2D4C">
        <w:t>outcomes</w:t>
      </w:r>
      <w:r w:rsidRPr="000F2D4C">
        <w:t xml:space="preserve"> and case mix measures, which provide information about an individual consumer based on their engagement with a mental health service</w:t>
      </w:r>
      <w:r w:rsidR="45DAA0FB" w:rsidRPr="000F2D4C">
        <w:t>. For</w:t>
      </w:r>
      <w:r w:rsidRPr="000F2D4C">
        <w:t xml:space="preserve"> example, the </w:t>
      </w:r>
      <w:hyperlink r:id="rId27" w:history="1">
        <w:r w:rsidRPr="000F2D4C">
          <w:rPr>
            <w:rStyle w:val="Hyperlink"/>
            <w:i/>
            <w:iCs/>
          </w:rPr>
          <w:t>Mental Health National Outcomes and Casemix Collection</w:t>
        </w:r>
      </w:hyperlink>
      <w:r w:rsidRPr="000F2D4C">
        <w:t xml:space="preserve"> </w:t>
      </w:r>
      <w:r w:rsidRPr="000F2D4C">
        <w:rPr>
          <w:b/>
        </w:rPr>
        <w:t>(NOCC</w:t>
      </w:r>
      <w:r w:rsidRPr="000F2D4C">
        <w:rPr>
          <w:b/>
          <w:bCs/>
        </w:rPr>
        <w:t>)</w:t>
      </w:r>
      <w:r w:rsidR="7D584E61" w:rsidRPr="000F2D4C">
        <w:t>,</w:t>
      </w:r>
      <w:r w:rsidRPr="000F2D4C">
        <w:t xml:space="preserve"> and the </w:t>
      </w:r>
      <w:hyperlink r:id="rId28">
        <w:r w:rsidRPr="000F2D4C">
          <w:rPr>
            <w:rStyle w:val="Hyperlink"/>
            <w:i/>
          </w:rPr>
          <w:t>Primary Mental Health Care Minimum Data Set</w:t>
        </w:r>
      </w:hyperlink>
      <w:r w:rsidRPr="000F2D4C">
        <w:t xml:space="preserve"> </w:t>
      </w:r>
      <w:r w:rsidRPr="000F2D4C">
        <w:rPr>
          <w:b/>
          <w:bCs/>
        </w:rPr>
        <w:t xml:space="preserve">(PMHC MDS) </w:t>
      </w:r>
      <w:r w:rsidRPr="000F2D4C">
        <w:t xml:space="preserve">(see section </w:t>
      </w:r>
      <w:r w:rsidR="00120C38" w:rsidRPr="000F2D4C">
        <w:t>7.2.3</w:t>
      </w:r>
      <w:r w:rsidRPr="000F2D4C">
        <w:t xml:space="preserve">). There is also the National Suicide and Self-Harm Monitoring System established by the National Suicide Prevention Office, together with the Australian Institute of Health and Welfare. </w:t>
      </w:r>
    </w:p>
    <w:p w14:paraId="3E3843AD" w14:textId="2FE697BE" w:rsidR="004C1048" w:rsidRPr="000F2D4C" w:rsidRDefault="004C1048" w:rsidP="0072695E">
      <w:r w:rsidRPr="000F2D4C">
        <w:t xml:space="preserve">Monitoring data is </w:t>
      </w:r>
      <w:r w:rsidR="00E623FA" w:rsidRPr="000F2D4C">
        <w:t>an important source of data for</w:t>
      </w:r>
      <w:r w:rsidRPr="000F2D4C">
        <w:t xml:space="preserve"> </w:t>
      </w:r>
      <w:r w:rsidR="2EF7999D" w:rsidRPr="000F2D4C">
        <w:t>evaluation but</w:t>
      </w:r>
      <w:r w:rsidRPr="000F2D4C">
        <w:t xml:space="preserve"> </w:t>
      </w:r>
      <w:r w:rsidR="00887799" w:rsidRPr="000F2D4C">
        <w:t xml:space="preserve">is </w:t>
      </w:r>
      <w:r w:rsidRPr="000F2D4C">
        <w:t xml:space="preserve">not in itself evaluation. Monitoring data may indicate </w:t>
      </w:r>
      <w:r w:rsidR="00EC63DD" w:rsidRPr="000F2D4C">
        <w:t>the</w:t>
      </w:r>
      <w:r w:rsidRPr="000F2D4C">
        <w:t xml:space="preserve"> need for an evaluation to provide </w:t>
      </w:r>
      <w:r w:rsidR="00EC63DD" w:rsidRPr="000F2D4C">
        <w:t>greater insight</w:t>
      </w:r>
      <w:r w:rsidRPr="000F2D4C">
        <w:t xml:space="preserve"> into </w:t>
      </w:r>
      <w:r w:rsidR="00EC63DD" w:rsidRPr="000F2D4C">
        <w:t>wh</w:t>
      </w:r>
      <w:r w:rsidR="00437C76" w:rsidRPr="000F2D4C">
        <w:t xml:space="preserve">y </w:t>
      </w:r>
      <w:r w:rsidR="5BEDE5A3" w:rsidRPr="000F2D4C">
        <w:t>the program or parts of the program are producing different results to what was expected</w:t>
      </w:r>
      <w:r w:rsidRPr="000F2D4C">
        <w:t>.</w:t>
      </w:r>
      <w:r w:rsidR="00993BD4" w:rsidRPr="000F2D4C">
        <w:t xml:space="preserve"> Monitoring data also feed</w:t>
      </w:r>
      <w:r w:rsidR="00D06B7C" w:rsidRPr="000F2D4C">
        <w:t>s</w:t>
      </w:r>
      <w:r w:rsidR="00993BD4" w:rsidRPr="000F2D4C">
        <w:t xml:space="preserve"> into system performance </w:t>
      </w:r>
      <w:r w:rsidR="002C5B07" w:rsidRPr="000F2D4C">
        <w:t>measurement</w:t>
      </w:r>
      <w:r w:rsidR="00993BD4" w:rsidRPr="000F2D4C">
        <w:t xml:space="preserve"> through the use of indic</w:t>
      </w:r>
      <w:r w:rsidR="00D06B7C" w:rsidRPr="000F2D4C">
        <w:t>a</w:t>
      </w:r>
      <w:r w:rsidR="00993BD4" w:rsidRPr="000F2D4C">
        <w:t>tors collected as part of minimum data sets.</w:t>
      </w:r>
    </w:p>
    <w:p w14:paraId="118CC506" w14:textId="132D169B" w:rsidR="0072695E" w:rsidRPr="000F2D4C" w:rsidRDefault="0072695E" w:rsidP="0072695E">
      <w:pPr>
        <w:pStyle w:val="Heading3"/>
      </w:pPr>
      <w:r w:rsidRPr="000F2D4C">
        <w:t>Performance measures</w:t>
      </w:r>
    </w:p>
    <w:p w14:paraId="6FB87E60" w14:textId="1A36142D" w:rsidR="007F377F" w:rsidRPr="000F2D4C" w:rsidRDefault="0072695E" w:rsidP="0055216A">
      <w:r w:rsidRPr="000F2D4C">
        <w:t xml:space="preserve">Performance measures generally make use of </w:t>
      </w:r>
      <w:r w:rsidR="002E3267" w:rsidRPr="000F2D4C">
        <w:t xml:space="preserve">a smaller subset of monitoring data. </w:t>
      </w:r>
      <w:r w:rsidR="009971F3" w:rsidRPr="000F2D4C">
        <w:t xml:space="preserve">At the national level, </w:t>
      </w:r>
      <w:r w:rsidR="00DE1C25" w:rsidRPr="000F2D4C">
        <w:t>t</w:t>
      </w:r>
      <w:r w:rsidR="00CF7785" w:rsidRPr="000F2D4C">
        <w:t xml:space="preserve">he </w:t>
      </w:r>
      <w:hyperlink r:id="rId29" w:history="1">
        <w:r w:rsidR="00CF7785" w:rsidRPr="000F2D4C">
          <w:rPr>
            <w:rStyle w:val="Hyperlink"/>
            <w:i/>
            <w:iCs/>
          </w:rPr>
          <w:t>Health Performance Framework</w:t>
        </w:r>
      </w:hyperlink>
      <w:r w:rsidR="00CF7785" w:rsidRPr="000F2D4C">
        <w:t xml:space="preserve"> and the</w:t>
      </w:r>
      <w:r w:rsidR="00702778" w:rsidRPr="000F2D4C">
        <w:t xml:space="preserve"> </w:t>
      </w:r>
      <w:hyperlink r:id="rId30" w:history="1">
        <w:r w:rsidR="00702778" w:rsidRPr="000F2D4C">
          <w:rPr>
            <w:rStyle w:val="Hyperlink"/>
            <w:i/>
            <w:iCs/>
          </w:rPr>
          <w:t>National Mental Health Performance Framework 2020</w:t>
        </w:r>
      </w:hyperlink>
      <w:r w:rsidR="00702778" w:rsidRPr="000F2D4C">
        <w:t xml:space="preserve"> define domains of routinely collected data</w:t>
      </w:r>
      <w:r w:rsidR="00E623FA" w:rsidRPr="000F2D4C">
        <w:t xml:space="preserve"> in health and mental health</w:t>
      </w:r>
      <w:r w:rsidR="00702778" w:rsidRPr="000F2D4C">
        <w:t>.</w:t>
      </w:r>
      <w:r w:rsidR="007134C7" w:rsidRPr="000F2D4C">
        <w:t xml:space="preserve"> </w:t>
      </w:r>
    </w:p>
    <w:p w14:paraId="62266F70" w14:textId="1E2EACDD" w:rsidR="00E6530D" w:rsidRPr="000F2D4C" w:rsidRDefault="00ED4BA8" w:rsidP="0055216A">
      <w:r w:rsidRPr="000F2D4C">
        <w:t>Specific performance measures can also be developed for individual services.</w:t>
      </w:r>
    </w:p>
    <w:p w14:paraId="31132760" w14:textId="79E66F67" w:rsidR="007F377F" w:rsidRPr="000F2D4C" w:rsidRDefault="007F377F" w:rsidP="00DE1C25">
      <w:pPr>
        <w:pStyle w:val="Heading3"/>
      </w:pPr>
      <w:r w:rsidRPr="000F2D4C">
        <w:t>Research</w:t>
      </w:r>
    </w:p>
    <w:p w14:paraId="02299116" w14:textId="6F543EBF" w:rsidR="004434F9" w:rsidRPr="000F2D4C" w:rsidRDefault="00CF7785" w:rsidP="00CF7785">
      <w:r w:rsidRPr="000F2D4C">
        <w:t>Research can be an important input to evaluation to</w:t>
      </w:r>
      <w:r w:rsidR="004434F9" w:rsidRPr="000F2D4C">
        <w:t>:</w:t>
      </w:r>
    </w:p>
    <w:p w14:paraId="15388896" w14:textId="77777777" w:rsidR="004434F9" w:rsidRPr="000F2D4C" w:rsidRDefault="00CF7785" w:rsidP="004434F9">
      <w:pPr>
        <w:pStyle w:val="ListBullet"/>
      </w:pPr>
      <w:r w:rsidRPr="000F2D4C">
        <w:t>assess the appropriateness of a program design</w:t>
      </w:r>
    </w:p>
    <w:p w14:paraId="4BF3A5A0" w14:textId="1E7F0023" w:rsidR="004434F9" w:rsidRPr="000F2D4C" w:rsidRDefault="00CF7785" w:rsidP="004434F9">
      <w:pPr>
        <w:pStyle w:val="ListBullet"/>
      </w:pPr>
      <w:r w:rsidRPr="000F2D4C">
        <w:t>identify existing data collection tools to use in evaluation</w:t>
      </w:r>
    </w:p>
    <w:p w14:paraId="70E35747" w14:textId="2DBB1EB9" w:rsidR="004434F9" w:rsidRPr="000F2D4C" w:rsidRDefault="00702778" w:rsidP="004434F9">
      <w:pPr>
        <w:pStyle w:val="ListBullet"/>
        <w:spacing w:after="240"/>
      </w:pPr>
      <w:r w:rsidRPr="000F2D4C">
        <w:t>compare the outcomes</w:t>
      </w:r>
      <w:r w:rsidR="006B6F3D" w:rsidRPr="000F2D4C">
        <w:t xml:space="preserve"> of a program to other programs</w:t>
      </w:r>
      <w:r w:rsidR="00102251" w:rsidRPr="000F2D4C">
        <w:t>.</w:t>
      </w:r>
      <w:r w:rsidR="00CF7785" w:rsidRPr="000F2D4C">
        <w:t xml:space="preserve"> </w:t>
      </w:r>
    </w:p>
    <w:p w14:paraId="49EAE9B4" w14:textId="22722E8C" w:rsidR="00CF7785" w:rsidRPr="000F2D4C" w:rsidRDefault="00BE3DE3" w:rsidP="00CF7785">
      <w:pPr>
        <w:rPr>
          <w:lang w:eastAsia="en-AU"/>
        </w:rPr>
      </w:pPr>
      <w:r w:rsidRPr="000F2D4C">
        <w:rPr>
          <w:lang w:eastAsia="en-AU"/>
        </w:rPr>
        <w:t>Evaluations can also raise questions that research would be best place</w:t>
      </w:r>
      <w:r w:rsidR="004434F9" w:rsidRPr="000F2D4C">
        <w:rPr>
          <w:lang w:eastAsia="en-AU"/>
        </w:rPr>
        <w:t>d</w:t>
      </w:r>
      <w:r w:rsidRPr="000F2D4C">
        <w:rPr>
          <w:lang w:eastAsia="en-AU"/>
        </w:rPr>
        <w:t xml:space="preserve"> to answer, for example, about best practice</w:t>
      </w:r>
      <w:r w:rsidR="003E0551" w:rsidRPr="000F2D4C">
        <w:rPr>
          <w:lang w:eastAsia="en-AU"/>
        </w:rPr>
        <w:t xml:space="preserve"> </w:t>
      </w:r>
      <w:r w:rsidRPr="000F2D4C">
        <w:rPr>
          <w:lang w:eastAsia="en-AU"/>
        </w:rPr>
        <w:t>or long-term outcomes.</w:t>
      </w:r>
      <w:r w:rsidR="006B6F3D" w:rsidRPr="000F2D4C">
        <w:rPr>
          <w:lang w:eastAsia="en-AU"/>
        </w:rPr>
        <w:t xml:space="preserve"> In mental health and suicide prevention</w:t>
      </w:r>
      <w:r w:rsidR="00743F9F" w:rsidRPr="000F2D4C">
        <w:rPr>
          <w:lang w:eastAsia="en-AU"/>
        </w:rPr>
        <w:t>,</w:t>
      </w:r>
      <w:r w:rsidR="006B6F3D" w:rsidRPr="000F2D4C">
        <w:rPr>
          <w:lang w:eastAsia="en-AU"/>
        </w:rPr>
        <w:t xml:space="preserve"> national research and clinical trials are funded through national research bodies, such as the National Health and Medical Research Council</w:t>
      </w:r>
      <w:r w:rsidR="003E0551" w:rsidRPr="000F2D4C">
        <w:rPr>
          <w:lang w:eastAsia="en-AU"/>
        </w:rPr>
        <w:t>,</w:t>
      </w:r>
      <w:r w:rsidR="006B6F3D" w:rsidRPr="000F2D4C">
        <w:rPr>
          <w:lang w:eastAsia="en-AU"/>
        </w:rPr>
        <w:t xml:space="preserve"> the Medical Research Future Fund</w:t>
      </w:r>
      <w:r w:rsidR="161A429C" w:rsidRPr="000F2D4C">
        <w:rPr>
          <w:lang w:eastAsia="en-AU"/>
        </w:rPr>
        <w:t>,</w:t>
      </w:r>
      <w:r w:rsidR="000B5F65" w:rsidRPr="000F2D4C">
        <w:rPr>
          <w:lang w:eastAsia="en-AU"/>
        </w:rPr>
        <w:t xml:space="preserve"> and the Australian Research Council</w:t>
      </w:r>
      <w:r w:rsidR="006B6F3D" w:rsidRPr="000F2D4C">
        <w:rPr>
          <w:lang w:eastAsia="en-AU"/>
        </w:rPr>
        <w:t>.</w:t>
      </w:r>
      <w:r w:rsidR="00137194" w:rsidRPr="000F2D4C">
        <w:rPr>
          <w:lang w:eastAsia="en-AU"/>
        </w:rPr>
        <w:t xml:space="preserve"> Post evaluation research may include qualitative, quantitative</w:t>
      </w:r>
      <w:r w:rsidR="59947986" w:rsidRPr="000F2D4C">
        <w:rPr>
          <w:lang w:eastAsia="en-AU"/>
        </w:rPr>
        <w:t>,</w:t>
      </w:r>
      <w:r w:rsidR="00137194" w:rsidRPr="000F2D4C">
        <w:rPr>
          <w:lang w:eastAsia="en-AU"/>
        </w:rPr>
        <w:t xml:space="preserve"> and</w:t>
      </w:r>
      <w:r w:rsidR="469CB50E" w:rsidRPr="000F2D4C">
        <w:rPr>
          <w:lang w:eastAsia="en-AU"/>
        </w:rPr>
        <w:t>/</w:t>
      </w:r>
      <w:r w:rsidR="00137194" w:rsidRPr="000F2D4C">
        <w:rPr>
          <w:lang w:eastAsia="en-AU"/>
        </w:rPr>
        <w:t>or mixed methods</w:t>
      </w:r>
      <w:r w:rsidR="002462CC" w:rsidRPr="000F2D4C">
        <w:rPr>
          <w:lang w:eastAsia="en-AU"/>
        </w:rPr>
        <w:t xml:space="preserve"> resea</w:t>
      </w:r>
      <w:r w:rsidR="00DF1B21" w:rsidRPr="000F2D4C">
        <w:rPr>
          <w:lang w:eastAsia="en-AU"/>
        </w:rPr>
        <w:t>r</w:t>
      </w:r>
      <w:r w:rsidR="002462CC" w:rsidRPr="000F2D4C">
        <w:rPr>
          <w:lang w:eastAsia="en-AU"/>
        </w:rPr>
        <w:t>ch</w:t>
      </w:r>
      <w:r w:rsidR="00137194" w:rsidRPr="000F2D4C">
        <w:rPr>
          <w:lang w:eastAsia="en-AU"/>
        </w:rPr>
        <w:t>.</w:t>
      </w:r>
    </w:p>
    <w:p w14:paraId="16F511D3" w14:textId="5F51ECC0" w:rsidR="00550843" w:rsidRPr="000F2D4C" w:rsidRDefault="00550843" w:rsidP="00550843">
      <w:pPr>
        <w:pStyle w:val="Heading3"/>
      </w:pPr>
      <w:r w:rsidRPr="000F2D4C">
        <w:rPr>
          <w:lang w:eastAsia="en-AU"/>
        </w:rPr>
        <w:lastRenderedPageBreak/>
        <w:t>Quality standards</w:t>
      </w:r>
    </w:p>
    <w:p w14:paraId="3FC3FE82" w14:textId="77777777" w:rsidR="007742A6" w:rsidRPr="000F2D4C" w:rsidRDefault="002C5B07" w:rsidP="00CF7785">
      <w:r w:rsidRPr="000F2D4C">
        <w:t xml:space="preserve">Information produced for reporting against </w:t>
      </w:r>
      <w:r w:rsidR="00550843" w:rsidRPr="000F2D4C">
        <w:rPr>
          <w:b/>
          <w:bCs/>
        </w:rPr>
        <w:t>quality standards</w:t>
      </w:r>
      <w:r w:rsidR="00102251" w:rsidRPr="000F2D4C">
        <w:t xml:space="preserve"> can </w:t>
      </w:r>
      <w:r w:rsidR="009B46CF" w:rsidRPr="000F2D4C">
        <w:t>feed into an</w:t>
      </w:r>
      <w:r w:rsidR="00102251" w:rsidRPr="000F2D4C">
        <w:t xml:space="preserve"> evaluation of the implementation of a program. </w:t>
      </w:r>
    </w:p>
    <w:p w14:paraId="4FE045D9" w14:textId="05E32EB1" w:rsidR="00645D11" w:rsidRPr="000F2D4C" w:rsidRDefault="00102251" w:rsidP="00CF7785">
      <w:r w:rsidRPr="000F2D4C">
        <w:t>In</w:t>
      </w:r>
      <w:r w:rsidR="00A65B34" w:rsidRPr="000F2D4C">
        <w:t xml:space="preserve"> mental health, the </w:t>
      </w:r>
      <w:hyperlink r:id="rId31">
        <w:r w:rsidR="00A65B34" w:rsidRPr="000F2D4C">
          <w:rPr>
            <w:rStyle w:val="Hyperlink"/>
            <w:i/>
            <w:iCs/>
          </w:rPr>
          <w:t xml:space="preserve">Australian Commission on </w:t>
        </w:r>
        <w:r w:rsidR="009C72AC" w:rsidRPr="000F2D4C">
          <w:rPr>
            <w:rStyle w:val="Hyperlink"/>
            <w:i/>
            <w:iCs/>
          </w:rPr>
          <w:t xml:space="preserve">Safety and Quality </w:t>
        </w:r>
        <w:r w:rsidR="00A65B34" w:rsidRPr="000F2D4C">
          <w:rPr>
            <w:rStyle w:val="Hyperlink"/>
            <w:i/>
            <w:iCs/>
          </w:rPr>
          <w:t>in Health Care</w:t>
        </w:r>
      </w:hyperlink>
      <w:r w:rsidR="00A65B34" w:rsidRPr="000F2D4C">
        <w:t xml:space="preserve"> </w:t>
      </w:r>
      <w:r w:rsidR="00A64164" w:rsidRPr="000F2D4C">
        <w:t xml:space="preserve">sets the </w:t>
      </w:r>
      <w:hyperlink r:id="rId32">
        <w:r w:rsidR="00A64164" w:rsidRPr="000F2D4C">
          <w:rPr>
            <w:rStyle w:val="Hyperlink"/>
            <w:i/>
            <w:iCs/>
          </w:rPr>
          <w:t xml:space="preserve">National Standards </w:t>
        </w:r>
        <w:r w:rsidR="0099512D" w:rsidRPr="000F2D4C">
          <w:rPr>
            <w:rStyle w:val="Hyperlink"/>
            <w:i/>
            <w:iCs/>
          </w:rPr>
          <w:t>for Mental Health Services</w:t>
        </w:r>
      </w:hyperlink>
      <w:r w:rsidR="00802540" w:rsidRPr="000F2D4C">
        <w:rPr>
          <w:i/>
          <w:iCs/>
        </w:rPr>
        <w:t xml:space="preserve"> </w:t>
      </w:r>
      <w:r w:rsidR="00802540" w:rsidRPr="000F2D4C">
        <w:t>in health settings</w:t>
      </w:r>
      <w:r w:rsidR="00A65B34" w:rsidRPr="000F2D4C">
        <w:t xml:space="preserve">. </w:t>
      </w:r>
      <w:r w:rsidR="0073454E" w:rsidRPr="0073454E">
        <w:t xml:space="preserve">The </w:t>
      </w:r>
      <w:hyperlink r:id="rId33" w:history="1">
        <w:r w:rsidR="0073454E" w:rsidRPr="004E0D2B">
          <w:rPr>
            <w:rStyle w:val="Hyperlink"/>
            <w:i/>
            <w:iCs/>
          </w:rPr>
          <w:t>National Safety and Quality Health Service (NSQHS) Standards</w:t>
        </w:r>
      </w:hyperlink>
      <w:r w:rsidR="0073454E" w:rsidRPr="0073454E">
        <w:t xml:space="preserve"> provide a nationally consistent statement of the level of care consumers can expect from health service organisations.</w:t>
      </w:r>
      <w:r w:rsidR="00471DCE">
        <w:t xml:space="preserve"> </w:t>
      </w:r>
      <w:hyperlink r:id="rId34" w:history="1">
        <w:r w:rsidR="00471DCE" w:rsidRPr="001804A3">
          <w:rPr>
            <w:rStyle w:val="Hyperlink"/>
            <w:i/>
            <w:iCs/>
          </w:rPr>
          <w:t>The National Safety and Quality Digital Mental Health (NSQDMH) Standards</w:t>
        </w:r>
      </w:hyperlink>
      <w:r w:rsidR="00471DCE" w:rsidRPr="001804A3">
        <w:rPr>
          <w:i/>
          <w:iCs/>
        </w:rPr>
        <w:t xml:space="preserve"> </w:t>
      </w:r>
      <w:r w:rsidR="00471DCE" w:rsidRPr="00471DCE">
        <w:t>aim to improve the quality of digital mental health service provision, and to protect service users and their support people from harm.</w:t>
      </w:r>
    </w:p>
    <w:p w14:paraId="43FE351E" w14:textId="4E0ED42C" w:rsidR="00702778" w:rsidRPr="000F2D4C" w:rsidRDefault="00D9535C" w:rsidP="00CF7785">
      <w:r w:rsidRPr="000F2D4C">
        <w:t>In suicide prevention, Suicide Prevention Australia (a national peak body) also has a voluntary, independent quality accreditation scheme</w:t>
      </w:r>
      <w:r w:rsidR="002D268E" w:rsidRPr="000F2D4C">
        <w:t xml:space="preserve">. This scheme </w:t>
      </w:r>
      <w:r w:rsidR="00645D11" w:rsidRPr="000F2D4C">
        <w:t xml:space="preserve">is intended to support </w:t>
      </w:r>
      <w:r w:rsidRPr="000F2D4C">
        <w:t>organisations to implement safe, high-quality, and effective suicide prevention and postvention programs in Australia.</w:t>
      </w:r>
    </w:p>
    <w:p w14:paraId="5EFCBC96" w14:textId="7FE708F7" w:rsidR="007D6710" w:rsidRPr="000F2D4C" w:rsidRDefault="00D075C9" w:rsidP="007D6710">
      <w:pPr>
        <w:pStyle w:val="Heading2"/>
      </w:pPr>
      <w:bookmarkStart w:id="25" w:name="_Toc146031446"/>
      <w:bookmarkStart w:id="26" w:name="_Toc146206761"/>
      <w:bookmarkStart w:id="27" w:name="_Toc149918989"/>
      <w:bookmarkStart w:id="28" w:name="_Toc146031447"/>
      <w:bookmarkStart w:id="29" w:name="_Toc146206762"/>
      <w:r w:rsidRPr="000F2D4C">
        <w:t>A principles</w:t>
      </w:r>
      <w:r w:rsidR="5859C905" w:rsidRPr="000F2D4C">
        <w:t>-</w:t>
      </w:r>
      <w:r w:rsidRPr="000F2D4C">
        <w:t>based approach to</w:t>
      </w:r>
      <w:r w:rsidR="007D6710" w:rsidRPr="000F2D4C">
        <w:t xml:space="preserve"> evaluation</w:t>
      </w:r>
      <w:bookmarkEnd w:id="25"/>
      <w:bookmarkEnd w:id="26"/>
      <w:r w:rsidR="007D6710" w:rsidRPr="000F2D4C">
        <w:t xml:space="preserve"> of mental health and suicide prevention programs</w:t>
      </w:r>
      <w:bookmarkEnd w:id="27"/>
    </w:p>
    <w:p w14:paraId="266C52AC" w14:textId="5E8A8195" w:rsidR="00D075C9" w:rsidRPr="000F2D4C" w:rsidRDefault="00257DDF" w:rsidP="00D075C9">
      <w:r w:rsidRPr="000F2D4C">
        <w:t>It</w:t>
      </w:r>
      <w:r w:rsidR="000A3B60" w:rsidRPr="000F2D4C">
        <w:t xml:space="preserve"> is </w:t>
      </w:r>
      <w:r w:rsidR="00D075C9" w:rsidRPr="000F2D4C">
        <w:t>not possible to define a standard approach to evaluation for the range of mental health and suicide prevention programs</w:t>
      </w:r>
      <w:r w:rsidRPr="000F2D4C">
        <w:t xml:space="preserve"> because of the diversity of programs and their intended outcomes</w:t>
      </w:r>
      <w:r w:rsidR="007944B4" w:rsidRPr="000F2D4C">
        <w:t>, the diversity of purposes for evaluation, and the diversity of contexts for evaluation</w:t>
      </w:r>
      <w:r w:rsidR="00D075C9" w:rsidRPr="000F2D4C">
        <w:t>. Instead, this Framework outlines some principles to guide evaluation and considerations for each stage of evaluation.</w:t>
      </w:r>
    </w:p>
    <w:p w14:paraId="343BA1AD" w14:textId="21EFEDBA" w:rsidR="00D075C9" w:rsidRPr="000F2D4C" w:rsidRDefault="00D075C9" w:rsidP="00D075C9">
      <w:pPr>
        <w:pStyle w:val="Heading3"/>
      </w:pPr>
      <w:r w:rsidRPr="000F2D4C">
        <w:t>Principles to guide evaluation</w:t>
      </w:r>
    </w:p>
    <w:p w14:paraId="20DBC220" w14:textId="293E1403" w:rsidR="007D6710" w:rsidRPr="000F2D4C" w:rsidRDefault="007D6710" w:rsidP="007D6710">
      <w:r w:rsidRPr="000F2D4C">
        <w:t xml:space="preserve">The following principles are suggested to guide decision-making and support the </w:t>
      </w:r>
      <w:r w:rsidR="00944E7F" w:rsidRPr="000F2D4C">
        <w:t xml:space="preserve">evaluation </w:t>
      </w:r>
      <w:r w:rsidRPr="000F2D4C">
        <w:t>of mental health and suicide prevention programs:</w:t>
      </w:r>
    </w:p>
    <w:p w14:paraId="29B3143A" w14:textId="41E9FF91" w:rsidR="007D6710" w:rsidRPr="000F2D4C" w:rsidRDefault="007D6710" w:rsidP="00FC2CEE">
      <w:pPr>
        <w:pStyle w:val="ListParagraph"/>
        <w:numPr>
          <w:ilvl w:val="0"/>
          <w:numId w:val="35"/>
        </w:numPr>
        <w:rPr>
          <w:b/>
          <w:bCs/>
        </w:rPr>
      </w:pPr>
      <w:r w:rsidRPr="000F2D4C">
        <w:rPr>
          <w:b/>
          <w:bCs/>
        </w:rPr>
        <w:t>Lived and</w:t>
      </w:r>
      <w:r w:rsidR="252A0F2A" w:rsidRPr="000F2D4C">
        <w:rPr>
          <w:b/>
          <w:bCs/>
        </w:rPr>
        <w:t>/or</w:t>
      </w:r>
      <w:r w:rsidRPr="000F2D4C">
        <w:rPr>
          <w:b/>
          <w:bCs/>
        </w:rPr>
        <w:t xml:space="preserve"> living experience and </w:t>
      </w:r>
      <w:r w:rsidR="00413747" w:rsidRPr="000F2D4C">
        <w:rPr>
          <w:b/>
          <w:bCs/>
        </w:rPr>
        <w:t>person-</w:t>
      </w:r>
      <w:r w:rsidRPr="000F2D4C">
        <w:rPr>
          <w:b/>
          <w:bCs/>
        </w:rPr>
        <w:t xml:space="preserve">centred </w:t>
      </w:r>
    </w:p>
    <w:p w14:paraId="561BBD4D" w14:textId="37A7A126" w:rsidR="007D6710" w:rsidRPr="000F2D4C" w:rsidRDefault="007D6710" w:rsidP="00FC2CEE">
      <w:pPr>
        <w:pStyle w:val="ListParagraph"/>
        <w:numPr>
          <w:ilvl w:val="1"/>
          <w:numId w:val="35"/>
        </w:numPr>
      </w:pPr>
      <w:r w:rsidRPr="000F2D4C">
        <w:t>People with lived and</w:t>
      </w:r>
      <w:r w:rsidR="00413747" w:rsidRPr="000F2D4C">
        <w:t>/or</w:t>
      </w:r>
      <w:r w:rsidRPr="000F2D4C">
        <w:t xml:space="preserve"> living experience</w:t>
      </w:r>
      <w:r w:rsidR="00413747" w:rsidRPr="000F2D4C">
        <w:t xml:space="preserve"> of mental ill-health and/or suicide</w:t>
      </w:r>
      <w:r w:rsidRPr="000F2D4C">
        <w:t xml:space="preserve"> are </w:t>
      </w:r>
      <w:r w:rsidR="00150C5B" w:rsidRPr="000F2D4C">
        <w:t xml:space="preserve">actively </w:t>
      </w:r>
      <w:r w:rsidRPr="000F2D4C">
        <w:t>involved in the design</w:t>
      </w:r>
      <w:r w:rsidR="000471D3" w:rsidRPr="000F2D4C">
        <w:t xml:space="preserve"> and </w:t>
      </w:r>
      <w:r w:rsidRPr="000F2D4C">
        <w:t>delivery of evaluations to ensure they are useful and meaningful</w:t>
      </w:r>
      <w:r w:rsidR="00B06805" w:rsidRPr="000F2D4C">
        <w:t>.</w:t>
      </w:r>
      <w:r w:rsidR="009B74AB" w:rsidRPr="000F2D4C">
        <w:t xml:space="preserve"> (This may include</w:t>
      </w:r>
      <w:r w:rsidR="00047822" w:rsidRPr="000F2D4C">
        <w:t xml:space="preserve"> co-design or co-production).</w:t>
      </w:r>
    </w:p>
    <w:p w14:paraId="013A10B6" w14:textId="34349887" w:rsidR="007D6710" w:rsidRPr="000F2D4C" w:rsidRDefault="007D6710" w:rsidP="00FC2CEE">
      <w:pPr>
        <w:pStyle w:val="ListParagraph"/>
        <w:numPr>
          <w:ilvl w:val="1"/>
          <w:numId w:val="35"/>
        </w:numPr>
      </w:pPr>
      <w:r w:rsidRPr="000F2D4C">
        <w:t xml:space="preserve">Evaluation processes are safe and accessible to people accessing the service, including </w:t>
      </w:r>
      <w:r w:rsidR="18603A37" w:rsidRPr="000F2D4C">
        <w:t xml:space="preserve">for </w:t>
      </w:r>
      <w:r w:rsidRPr="000F2D4C">
        <w:t>diverse populations.</w:t>
      </w:r>
    </w:p>
    <w:p w14:paraId="2B9FD283" w14:textId="3142E723" w:rsidR="007D6710" w:rsidRPr="000F2D4C" w:rsidRDefault="007D6710" w:rsidP="00FC2CEE">
      <w:pPr>
        <w:pStyle w:val="ListParagraph"/>
        <w:numPr>
          <w:ilvl w:val="1"/>
          <w:numId w:val="35"/>
        </w:numPr>
      </w:pPr>
      <w:r w:rsidRPr="000F2D4C">
        <w:t>Evaluations include families, carers and supporters, where relevant.</w:t>
      </w:r>
    </w:p>
    <w:p w14:paraId="2D5BAE81" w14:textId="5AD1AB9E" w:rsidR="007D6710" w:rsidRPr="000F2D4C" w:rsidRDefault="007D6710" w:rsidP="00FC2CEE">
      <w:pPr>
        <w:pStyle w:val="ListParagraph"/>
        <w:numPr>
          <w:ilvl w:val="0"/>
          <w:numId w:val="35"/>
        </w:numPr>
        <w:spacing w:after="0"/>
        <w:rPr>
          <w:b/>
          <w:bCs/>
        </w:rPr>
      </w:pPr>
      <w:r w:rsidRPr="000F2D4C">
        <w:rPr>
          <w:b/>
          <w:bCs/>
        </w:rPr>
        <w:t>Robust and fit</w:t>
      </w:r>
      <w:r w:rsidR="2DAA57D4" w:rsidRPr="000F2D4C">
        <w:rPr>
          <w:b/>
          <w:bCs/>
        </w:rPr>
        <w:t>-</w:t>
      </w:r>
      <w:r w:rsidRPr="000F2D4C">
        <w:rPr>
          <w:b/>
          <w:bCs/>
        </w:rPr>
        <w:t>for</w:t>
      </w:r>
      <w:r w:rsidR="37B6F05A" w:rsidRPr="000F2D4C">
        <w:rPr>
          <w:b/>
          <w:bCs/>
        </w:rPr>
        <w:t>-</w:t>
      </w:r>
      <w:r w:rsidRPr="000F2D4C">
        <w:rPr>
          <w:b/>
          <w:bCs/>
        </w:rPr>
        <w:t>purpose</w:t>
      </w:r>
    </w:p>
    <w:p w14:paraId="314251B6" w14:textId="2CDD506A" w:rsidR="007D6710" w:rsidRPr="000F2D4C" w:rsidRDefault="007D6710" w:rsidP="00FC2CEE">
      <w:pPr>
        <w:pStyle w:val="ListBullet2"/>
        <w:numPr>
          <w:ilvl w:val="1"/>
          <w:numId w:val="35"/>
        </w:numPr>
        <w:spacing w:after="0"/>
      </w:pPr>
      <w:r w:rsidRPr="000F2D4C">
        <w:t>Evaluation is considered upfront when a service is being designed to ensure that data collection is built in</w:t>
      </w:r>
      <w:r w:rsidR="08D130A5" w:rsidRPr="000F2D4C">
        <w:t>,</w:t>
      </w:r>
      <w:r w:rsidRPr="000F2D4C">
        <w:t xml:space="preserve"> and outcomes measures are meaningful.</w:t>
      </w:r>
    </w:p>
    <w:p w14:paraId="58456FD8" w14:textId="350DE6E9" w:rsidR="007D6710" w:rsidRPr="000F2D4C" w:rsidRDefault="007D6710" w:rsidP="00FC2CEE">
      <w:pPr>
        <w:pStyle w:val="ListBullet2"/>
        <w:numPr>
          <w:ilvl w:val="1"/>
          <w:numId w:val="35"/>
        </w:numPr>
        <w:spacing w:after="0"/>
      </w:pPr>
      <w:r w:rsidRPr="000F2D4C">
        <w:t xml:space="preserve">Evaluations make the best use of existing data to minimise the burden on people accessing the service and the workforce. </w:t>
      </w:r>
    </w:p>
    <w:p w14:paraId="7AE0A6EA" w14:textId="702DA488" w:rsidR="007D6710" w:rsidRPr="000F2D4C" w:rsidRDefault="007D6710" w:rsidP="00FC2CEE">
      <w:pPr>
        <w:pStyle w:val="ListBullet2"/>
        <w:numPr>
          <w:ilvl w:val="1"/>
          <w:numId w:val="35"/>
        </w:numPr>
        <w:spacing w:after="0"/>
      </w:pPr>
      <w:r w:rsidRPr="000F2D4C">
        <w:t>Evaluations are designed to suit the stage of development of the program, questions to be answered for decision-making, available budget, timeframe</w:t>
      </w:r>
      <w:r w:rsidR="2A52AA11" w:rsidRPr="000F2D4C">
        <w:t>,</w:t>
      </w:r>
      <w:r w:rsidRPr="000F2D4C">
        <w:t xml:space="preserve"> and context.</w:t>
      </w:r>
    </w:p>
    <w:p w14:paraId="177067AE" w14:textId="32550903" w:rsidR="007D6710" w:rsidRPr="000F2D4C" w:rsidRDefault="007D6710" w:rsidP="00FC2CEE">
      <w:pPr>
        <w:pStyle w:val="ListBullet2"/>
        <w:numPr>
          <w:ilvl w:val="1"/>
          <w:numId w:val="35"/>
        </w:numPr>
        <w:spacing w:after="0"/>
      </w:pPr>
      <w:r w:rsidRPr="000F2D4C">
        <w:lastRenderedPageBreak/>
        <w:t>Evaluations are designed with context in mind</w:t>
      </w:r>
      <w:r w:rsidR="1D509479" w:rsidRPr="000F2D4C">
        <w:t>,</w:t>
      </w:r>
      <w:r w:rsidRPr="000F2D4C">
        <w:t xml:space="preserve"> and findings are considered with reference to context.</w:t>
      </w:r>
    </w:p>
    <w:p w14:paraId="4E463DAD" w14:textId="237EB2FC" w:rsidR="007D6710" w:rsidRPr="000F2D4C" w:rsidRDefault="007D6710" w:rsidP="00667EE0">
      <w:pPr>
        <w:pStyle w:val="ListParagraph"/>
        <w:numPr>
          <w:ilvl w:val="0"/>
          <w:numId w:val="35"/>
        </w:numPr>
        <w:spacing w:after="0"/>
        <w:rPr>
          <w:b/>
          <w:bCs/>
        </w:rPr>
      </w:pPr>
      <w:r w:rsidRPr="000F2D4C">
        <w:rPr>
          <w:b/>
          <w:bCs/>
        </w:rPr>
        <w:t>Trauma</w:t>
      </w:r>
      <w:r w:rsidR="358A547A" w:rsidRPr="000F2D4C">
        <w:rPr>
          <w:b/>
          <w:bCs/>
        </w:rPr>
        <w:t>-</w:t>
      </w:r>
      <w:r w:rsidRPr="000F2D4C">
        <w:rPr>
          <w:b/>
          <w:bCs/>
        </w:rPr>
        <w:t>responsive and ethical</w:t>
      </w:r>
    </w:p>
    <w:p w14:paraId="77B8E9EA" w14:textId="77777777" w:rsidR="007D6710" w:rsidRPr="000F2D4C" w:rsidRDefault="007D6710" w:rsidP="00FC2CEE">
      <w:pPr>
        <w:pStyle w:val="ListParagraph"/>
        <w:numPr>
          <w:ilvl w:val="1"/>
          <w:numId w:val="35"/>
        </w:numPr>
      </w:pPr>
      <w:r w:rsidRPr="000F2D4C">
        <w:t>Evaluations are designed in a way to avoid traumatisation and/or re-traumatisation.</w:t>
      </w:r>
    </w:p>
    <w:p w14:paraId="0BF2AE92" w14:textId="01DA48D7" w:rsidR="007D6710" w:rsidRPr="000F2D4C" w:rsidRDefault="007D6710" w:rsidP="00FC2CEE">
      <w:pPr>
        <w:pStyle w:val="ListParagraph"/>
        <w:numPr>
          <w:ilvl w:val="1"/>
          <w:numId w:val="35"/>
        </w:numPr>
      </w:pPr>
      <w:r w:rsidRPr="000F2D4C">
        <w:t xml:space="preserve">The evaluation follows ethical standards, including those outlined in National Health and Medical Research Council </w:t>
      </w:r>
      <w:r w:rsidR="7B92C641" w:rsidRPr="000F2D4C">
        <w:t>g</w:t>
      </w:r>
      <w:r w:rsidRPr="000F2D4C">
        <w:t>uidelines</w:t>
      </w:r>
      <w:r w:rsidRPr="000F2D4C">
        <w:rPr>
          <w:rStyle w:val="FootnoteReference"/>
        </w:rPr>
        <w:footnoteReference w:id="6"/>
      </w:r>
      <w:r w:rsidRPr="000F2D4C">
        <w:t xml:space="preserve"> and specific guidance for Aboriginal and Torres Strait Islander communities.</w:t>
      </w:r>
    </w:p>
    <w:p w14:paraId="781FD48D" w14:textId="77777777" w:rsidR="007D6710" w:rsidRPr="000F2D4C" w:rsidRDefault="007D6710" w:rsidP="00FC2CEE">
      <w:pPr>
        <w:pStyle w:val="ListParagraph"/>
        <w:numPr>
          <w:ilvl w:val="1"/>
          <w:numId w:val="35"/>
        </w:numPr>
      </w:pPr>
      <w:r w:rsidRPr="000F2D4C">
        <w:t>The benefits of participating in the evaluation exceed the potential risk of harm.</w:t>
      </w:r>
    </w:p>
    <w:p w14:paraId="782A2A4B" w14:textId="77777777" w:rsidR="007D6710" w:rsidRPr="000F2D4C" w:rsidRDefault="007D6710" w:rsidP="00FC2CEE">
      <w:pPr>
        <w:pStyle w:val="ListParagraph"/>
        <w:numPr>
          <w:ilvl w:val="0"/>
          <w:numId w:val="35"/>
        </w:numPr>
        <w:spacing w:after="0"/>
        <w:rPr>
          <w:b/>
          <w:bCs/>
        </w:rPr>
      </w:pPr>
      <w:r w:rsidRPr="000F2D4C">
        <w:rPr>
          <w:b/>
          <w:bCs/>
        </w:rPr>
        <w:t xml:space="preserve">Focused on learning and building the evidence base </w:t>
      </w:r>
    </w:p>
    <w:p w14:paraId="04A56FDE" w14:textId="77777777" w:rsidR="007D6710" w:rsidRPr="000F2D4C" w:rsidRDefault="007D6710" w:rsidP="00FC2CEE">
      <w:pPr>
        <w:pStyle w:val="ListParagraph"/>
        <w:numPr>
          <w:ilvl w:val="1"/>
          <w:numId w:val="35"/>
        </w:numPr>
        <w:spacing w:after="0"/>
      </w:pPr>
      <w:r w:rsidRPr="000F2D4C">
        <w:t>Evaluations enable service improvement by being clear about what is working well and what needs to be improved and the context in which this is occurring.</w:t>
      </w:r>
    </w:p>
    <w:p w14:paraId="59C14B6C" w14:textId="6F65E765" w:rsidR="007D6710" w:rsidRPr="000F2D4C" w:rsidRDefault="007D6710" w:rsidP="00FC2CEE">
      <w:pPr>
        <w:pStyle w:val="ListParagraph"/>
        <w:numPr>
          <w:ilvl w:val="1"/>
          <w:numId w:val="35"/>
        </w:numPr>
        <w:spacing w:after="0"/>
      </w:pPr>
      <w:r w:rsidRPr="000F2D4C">
        <w:t xml:space="preserve">Evaluations are conducted in a way that they can contribute to the broader evidence base about mental health and suicide prevention </w:t>
      </w:r>
      <w:r w:rsidR="00513E88" w:rsidRPr="000F2D4C">
        <w:t>programs</w:t>
      </w:r>
      <w:r w:rsidRPr="000F2D4C">
        <w:t xml:space="preserve"> in Australia.</w:t>
      </w:r>
    </w:p>
    <w:p w14:paraId="67775BC7" w14:textId="5F2399B2" w:rsidR="007D6710" w:rsidRPr="000F2D4C" w:rsidRDefault="007D6710" w:rsidP="00FC2CEE">
      <w:pPr>
        <w:pStyle w:val="ListParagraph"/>
        <w:numPr>
          <w:ilvl w:val="1"/>
          <w:numId w:val="35"/>
        </w:numPr>
        <w:spacing w:after="0"/>
      </w:pPr>
      <w:r w:rsidRPr="000F2D4C">
        <w:t>Evaluations provide clear and actionable implications or recommendations that can be shared with relevant stakeholders.</w:t>
      </w:r>
    </w:p>
    <w:p w14:paraId="40765A1D" w14:textId="77C7FC16" w:rsidR="00487DC8" w:rsidRPr="000F2D4C" w:rsidRDefault="00B50F34" w:rsidP="00D075C9">
      <w:pPr>
        <w:pStyle w:val="Heading3"/>
      </w:pPr>
      <w:r w:rsidRPr="000F2D4C">
        <w:t>S</w:t>
      </w:r>
      <w:r w:rsidR="00CB54F2" w:rsidRPr="000F2D4C">
        <w:t>tep by step</w:t>
      </w:r>
      <w:r w:rsidR="005F1811" w:rsidRPr="000F2D4C">
        <w:t xml:space="preserve"> </w:t>
      </w:r>
      <w:r w:rsidR="00666BC4" w:rsidRPr="000F2D4C">
        <w:t>considerations</w:t>
      </w:r>
      <w:r w:rsidR="009D2A8A" w:rsidRPr="000F2D4C">
        <w:t xml:space="preserve"> for evaluation</w:t>
      </w:r>
    </w:p>
    <w:p w14:paraId="0B689180" w14:textId="4A767882" w:rsidR="00083B0C" w:rsidRPr="000F2D4C" w:rsidRDefault="00666BC4" w:rsidP="00083B0C">
      <w:pPr>
        <w:spacing w:before="240"/>
      </w:pPr>
      <w:r w:rsidRPr="000F2D4C">
        <w:t>The rest of this Framework outlines key considerations for making decisions about evaluation that are fit-for-purpose.</w:t>
      </w:r>
      <w:r w:rsidR="00F76110" w:rsidRPr="000F2D4C">
        <w:t xml:space="preserve"> </w:t>
      </w:r>
    </w:p>
    <w:p w14:paraId="33BCF5B8" w14:textId="45A28DB4" w:rsidR="00666BC4" w:rsidRPr="000F2D4C" w:rsidRDefault="00666BC4" w:rsidP="00666BC4"/>
    <w:p w14:paraId="651A8609" w14:textId="543F86B2" w:rsidR="00D873CE" w:rsidRPr="000F2D4C" w:rsidRDefault="008565AC" w:rsidP="008565AC">
      <w:pPr>
        <w:jc w:val="center"/>
      </w:pPr>
      <w:r w:rsidRPr="000F2D4C">
        <w:rPr>
          <w:noProof/>
        </w:rPr>
        <w:lastRenderedPageBreak/>
        <w:drawing>
          <wp:inline distT="0" distB="0" distL="0" distR="0" wp14:anchorId="241F42F7" wp14:editId="75A722FE">
            <wp:extent cx="5209702" cy="7025640"/>
            <wp:effectExtent l="0" t="0" r="0" b="3810"/>
            <wp:docPr id="1274835830" name="Picture 1274835830" descr="Getting ready for evaluation helps ensure you have the data needed to understand whether a program is working. From the outset, identify intended outcomes and the data required to understand implementation and outcomes. Confirm whether and when to evaluate based on level of funding, risk and available evidence Establish appropriate governance, where multiple governments are involved, people with lived and living experience and Aboriginal and Torres Strait Islander communities.&#10;Defining the focus for evaluation – design, process, outcomes and/or economic – is based on timing and information needs. Identify the key evaluation questions that address the needs of intended users and can inform decision-making. Some consistency across evaluations will support a system-level view.&#10;Designing a fit-for-purpose evaluation includes identifying an approach that is appropriate for the nature and scale of the program, context, questions to be answered and time and resources. Consider the most appropriate approach to assessing outcomes, given the context Mix methods if possible and appropriate. &#10;Choosing appropriate methods and measures includes making the best use of available data on processes and outcomes and costs. Supplement existing data with new data collection to fill gaps. Take a trauma-informed approach to collecting data from service users. &#10;Ensuring the evaluation is conducted ethically: Align with NHMRC guidance, ensuring informed consent, voluntary participation and doing no harm Ensure specific ethical considerations when working with Aboriginal and Torres Strait Islander communities, including Indigenous data sovereignty. &#10;Analysing and reporting: Synthesise all evidence sources Consider how actual implementation and outcomes compare to what was intended Involve stakeholders in interpretation of findings and their implications Clearly communicate findings in formats suitable for the audienc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35830" name="Picture 1274835830" descr="Getting ready for evaluation helps ensure you have the data needed to understand whether a program is working. From the outset, identify intended outcomes and the data required to understand implementation and outcomes. Confirm whether and when to evaluate based on level of funding, risk and available evidence Establish appropriate governance, where multiple governments are involved, people with lived and living experience and Aboriginal and Torres Strait Islander communities.&#10;Defining the focus for evaluation – design, process, outcomes and/or economic – is based on timing and information needs. Identify the key evaluation questions that address the needs of intended users and can inform decision-making. Some consistency across evaluations will support a system-level view.&#10;Designing a fit-for-purpose evaluation includes identifying an approach that is appropriate for the nature and scale of the program, context, questions to be answered and time and resources. Consider the most appropriate approach to assessing outcomes, given the context Mix methods if possible and appropriate. &#10;Choosing appropriate methods and measures includes making the best use of available data on processes and outcomes and costs. Supplement existing data with new data collection to fill gaps. Take a trauma-informed approach to collecting data from service users. &#10;Ensuring the evaluation is conducted ethically: Align with NHMRC guidance, ensuring informed consent, voluntary participation and doing no harm Ensure specific ethical considerations when working with Aboriginal and Torres Strait Islander communities, including Indigenous data sovereignty. &#10;Analysing and reporting: Synthesise all evidence sources Consider how actual implementation and outcomes compare to what was intended Involve stakeholders in interpretation of findings and their implications Clearly communicate findings in formats suitable for the audience. &#10;"/>
                    <pic:cNvPicPr/>
                  </pic:nvPicPr>
                  <pic:blipFill rotWithShape="1">
                    <a:blip r:embed="rId35" cstate="print">
                      <a:extLst>
                        <a:ext uri="{28A0092B-C50C-407E-A947-70E740481C1C}">
                          <a14:useLocalDpi xmlns:a14="http://schemas.microsoft.com/office/drawing/2010/main" val="0"/>
                        </a:ext>
                      </a:extLst>
                    </a:blip>
                    <a:srcRect l="5735" t="3549" r="3088" b="9520"/>
                    <a:stretch/>
                  </pic:blipFill>
                  <pic:spPr bwMode="auto">
                    <a:xfrm>
                      <a:off x="0" y="0"/>
                      <a:ext cx="5233669" cy="7057961"/>
                    </a:xfrm>
                    <a:prstGeom prst="rect">
                      <a:avLst/>
                    </a:prstGeom>
                    <a:ln>
                      <a:noFill/>
                    </a:ln>
                    <a:extLst>
                      <a:ext uri="{53640926-AAD7-44D8-BBD7-CCE9431645EC}">
                        <a14:shadowObscured xmlns:a14="http://schemas.microsoft.com/office/drawing/2010/main"/>
                      </a:ext>
                    </a:extLst>
                  </pic:spPr>
                </pic:pic>
              </a:graphicData>
            </a:graphic>
          </wp:inline>
        </w:drawing>
      </w:r>
    </w:p>
    <w:p w14:paraId="209E3F07" w14:textId="52CA12C9" w:rsidR="0090418A" w:rsidRPr="000F2D4C" w:rsidRDefault="00E85BED" w:rsidP="0090418A">
      <w:pPr>
        <w:pStyle w:val="Heading1"/>
      </w:pPr>
      <w:bookmarkStart w:id="30" w:name="_Toc149918990"/>
      <w:bookmarkEnd w:id="28"/>
      <w:bookmarkEnd w:id="29"/>
      <w:r w:rsidRPr="000F2D4C">
        <w:lastRenderedPageBreak/>
        <w:t>Getting ready for evaluation</w:t>
      </w:r>
      <w:bookmarkEnd w:id="30"/>
    </w:p>
    <w:p w14:paraId="1CEC8CFF" w14:textId="58AEA425" w:rsidR="00D26426" w:rsidRPr="000F2D4C" w:rsidRDefault="00EF40F2" w:rsidP="00D26426">
      <w:pPr>
        <w:rPr>
          <w:szCs w:val="20"/>
        </w:rPr>
      </w:pPr>
      <w:r w:rsidRPr="000F2D4C">
        <w:rPr>
          <w:szCs w:val="20"/>
        </w:rPr>
        <w:t xml:space="preserve">This chapter helps to identify whether </w:t>
      </w:r>
      <w:r w:rsidR="000936DE" w:rsidRPr="000F2D4C">
        <w:rPr>
          <w:szCs w:val="20"/>
        </w:rPr>
        <w:t xml:space="preserve">and when </w:t>
      </w:r>
      <w:r w:rsidRPr="000F2D4C">
        <w:rPr>
          <w:szCs w:val="20"/>
        </w:rPr>
        <w:t>to evaluate a program</w:t>
      </w:r>
      <w:bookmarkStart w:id="31" w:name="_Toc146206763"/>
      <w:bookmarkStart w:id="32" w:name="_Toc146031448"/>
      <w:r w:rsidR="000936DE" w:rsidRPr="000F2D4C">
        <w:rPr>
          <w:szCs w:val="20"/>
        </w:rPr>
        <w:t>, to collect the data required to understand</w:t>
      </w:r>
      <w:r w:rsidR="005E367D" w:rsidRPr="000F2D4C">
        <w:rPr>
          <w:szCs w:val="20"/>
        </w:rPr>
        <w:t xml:space="preserve"> how a program is working whether or not it is evaluated, and to prepare for evaluation if you decide an evaluation is required</w:t>
      </w:r>
      <w:r w:rsidR="00E8515C" w:rsidRPr="000F2D4C">
        <w:rPr>
          <w:szCs w:val="20"/>
        </w:rPr>
        <w:t xml:space="preserve">. </w:t>
      </w:r>
      <w:r w:rsidR="0074182E" w:rsidRPr="000F2D4C">
        <w:rPr>
          <w:szCs w:val="20"/>
        </w:rPr>
        <w:t>This should be read in conjunction with any jurisdiction-specific evaluation guidelines, as well as funding contract requirements around monitoring and evaluation.</w:t>
      </w:r>
    </w:p>
    <w:p w14:paraId="20104672" w14:textId="657D6DE5" w:rsidR="009640EA" w:rsidRPr="000F2D4C" w:rsidRDefault="009640EA" w:rsidP="00615025">
      <w:pPr>
        <w:pStyle w:val="Boxheading"/>
      </w:pPr>
      <w:r w:rsidRPr="000F2D4C">
        <w:t>Useful references</w:t>
      </w:r>
    </w:p>
    <w:p w14:paraId="2B6B3984" w14:textId="284709F2" w:rsidR="009640EA" w:rsidRPr="000F2D4C" w:rsidRDefault="009640EA" w:rsidP="009640EA">
      <w:pPr>
        <w:pStyle w:val="Boxtext0"/>
      </w:pPr>
      <w:r w:rsidRPr="000F2D4C">
        <w:t>Different jurisdictions have their own guidance on conducting evaluations.</w:t>
      </w:r>
    </w:p>
    <w:p w14:paraId="4B8A35F9" w14:textId="77777777" w:rsidR="009640EA" w:rsidRPr="000F2D4C" w:rsidRDefault="009640EA" w:rsidP="009640EA">
      <w:pPr>
        <w:pStyle w:val="Boxbullets"/>
        <w:rPr>
          <w:i/>
          <w:iCs/>
          <w:color w:val="215565" w:themeColor="accent2" w:themeShade="80"/>
          <w:u w:val="single"/>
        </w:rPr>
      </w:pPr>
      <w:hyperlink r:id="rId36" w:history="1">
        <w:r w:rsidRPr="000F2D4C">
          <w:rPr>
            <w:rStyle w:val="Hyperlink"/>
            <w:i/>
            <w:iCs/>
          </w:rPr>
          <w:t>ACT Government: Evaluation Policy and Guidelines</w:t>
        </w:r>
      </w:hyperlink>
    </w:p>
    <w:p w14:paraId="53826526" w14:textId="77777777" w:rsidR="009640EA" w:rsidRPr="000F2D4C" w:rsidRDefault="009640EA" w:rsidP="009640EA">
      <w:pPr>
        <w:pStyle w:val="Boxbullets"/>
        <w:rPr>
          <w:rStyle w:val="Hyperlink"/>
          <w:i/>
          <w:iCs/>
        </w:rPr>
      </w:pPr>
      <w:hyperlink r:id="rId37" w:history="1">
        <w:r w:rsidRPr="000F2D4C">
          <w:rPr>
            <w:rStyle w:val="Hyperlink"/>
            <w:i/>
            <w:iCs/>
          </w:rPr>
          <w:t>Evaluation in the Commonwealth</w:t>
        </w:r>
      </w:hyperlink>
    </w:p>
    <w:p w14:paraId="4C6F4CC1" w14:textId="77777777" w:rsidR="009640EA" w:rsidRPr="000F2D4C" w:rsidRDefault="009640EA" w:rsidP="009640EA">
      <w:pPr>
        <w:pStyle w:val="Boxbullets"/>
        <w:rPr>
          <w:rStyle w:val="Hyperlink"/>
          <w:i/>
          <w:iCs/>
          <w:color w:val="auto"/>
          <w:u w:val="none"/>
        </w:rPr>
      </w:pPr>
      <w:hyperlink r:id="rId38" w:history="1">
        <w:r w:rsidRPr="000F2D4C">
          <w:rPr>
            <w:rStyle w:val="Hyperlink"/>
            <w:i/>
            <w:iCs/>
          </w:rPr>
          <w:t>Northern Territory Government: Program Evaluation Framework</w:t>
        </w:r>
      </w:hyperlink>
    </w:p>
    <w:p w14:paraId="35A438FB" w14:textId="3B6AA4EF" w:rsidR="003354FC" w:rsidRPr="000F2D4C" w:rsidRDefault="003354FC" w:rsidP="009640EA">
      <w:pPr>
        <w:pStyle w:val="Boxbullets"/>
        <w:rPr>
          <w:i/>
          <w:iCs/>
        </w:rPr>
      </w:pPr>
      <w:hyperlink r:id="rId39" w:history="1">
        <w:r w:rsidRPr="000F2D4C">
          <w:rPr>
            <w:rStyle w:val="Hyperlink"/>
            <w:i/>
            <w:iCs/>
          </w:rPr>
          <w:t>NSW Treasury Evaluation Policy and Guidelines</w:t>
        </w:r>
      </w:hyperlink>
    </w:p>
    <w:p w14:paraId="0E2EE9EC" w14:textId="48FA5D0F" w:rsidR="009640EA" w:rsidRPr="000F2D4C" w:rsidRDefault="00E41FDE" w:rsidP="009640EA">
      <w:pPr>
        <w:pStyle w:val="Boxbullets"/>
        <w:rPr>
          <w:rStyle w:val="Hyperlink"/>
          <w:i/>
          <w:iCs/>
          <w:color w:val="auto"/>
          <w:u w:val="none"/>
        </w:rPr>
      </w:pPr>
      <w:hyperlink r:id="rId40" w:history="1">
        <w:r w:rsidRPr="000F2D4C">
          <w:rPr>
            <w:rStyle w:val="Hyperlink"/>
            <w:i/>
            <w:iCs/>
          </w:rPr>
          <w:t>Queensland</w:t>
        </w:r>
        <w:r w:rsidR="009640EA" w:rsidRPr="000F2D4C">
          <w:rPr>
            <w:rStyle w:val="Hyperlink"/>
            <w:i/>
            <w:iCs/>
          </w:rPr>
          <w:t xml:space="preserve"> Government Program Evaluation Guidelines</w:t>
        </w:r>
      </w:hyperlink>
    </w:p>
    <w:p w14:paraId="01E05339" w14:textId="1DC3259B" w:rsidR="001D2320" w:rsidRPr="000F2D4C" w:rsidRDefault="001D2320" w:rsidP="009640EA">
      <w:pPr>
        <w:pStyle w:val="Boxbullets"/>
        <w:rPr>
          <w:i/>
          <w:iCs/>
        </w:rPr>
      </w:pPr>
      <w:hyperlink r:id="rId41" w:history="1">
        <w:r w:rsidRPr="000F2D4C">
          <w:rPr>
            <w:rStyle w:val="Hyperlink"/>
            <w:i/>
            <w:iCs/>
          </w:rPr>
          <w:t>South Australian Government Economic Insight and Evaluation</w:t>
        </w:r>
      </w:hyperlink>
    </w:p>
    <w:p w14:paraId="38C014BD" w14:textId="0EB06073" w:rsidR="009640EA" w:rsidRPr="000F2D4C" w:rsidRDefault="009640EA" w:rsidP="1CD5585E">
      <w:pPr>
        <w:pStyle w:val="Boxbullets"/>
        <w:rPr>
          <w:i/>
          <w:iCs/>
        </w:rPr>
      </w:pPr>
      <w:hyperlink r:id="rId42" w:history="1">
        <w:r w:rsidRPr="000F2D4C">
          <w:rPr>
            <w:rStyle w:val="Hyperlink"/>
            <w:i/>
            <w:iCs/>
          </w:rPr>
          <w:t xml:space="preserve">Tasmanian </w:t>
        </w:r>
        <w:r w:rsidR="00A21B87" w:rsidRPr="000F2D4C">
          <w:rPr>
            <w:rStyle w:val="Hyperlink"/>
            <w:i/>
            <w:iCs/>
          </w:rPr>
          <w:t xml:space="preserve">Government: </w:t>
        </w:r>
        <w:r w:rsidRPr="000F2D4C">
          <w:rPr>
            <w:rStyle w:val="Hyperlink"/>
            <w:i/>
            <w:iCs/>
          </w:rPr>
          <w:t xml:space="preserve">Evaluation </w:t>
        </w:r>
        <w:r w:rsidR="00A21B87" w:rsidRPr="000F2D4C">
          <w:rPr>
            <w:rStyle w:val="Hyperlink"/>
            <w:i/>
            <w:iCs/>
          </w:rPr>
          <w:t>r</w:t>
        </w:r>
        <w:r w:rsidRPr="000F2D4C">
          <w:rPr>
            <w:rStyle w:val="Hyperlink"/>
            <w:i/>
            <w:iCs/>
          </w:rPr>
          <w:t>esources</w:t>
        </w:r>
      </w:hyperlink>
    </w:p>
    <w:p w14:paraId="3BE876A5" w14:textId="391AE24E" w:rsidR="009640EA" w:rsidRPr="000F2D4C" w:rsidRDefault="009640EA" w:rsidP="1CD5585E">
      <w:pPr>
        <w:pStyle w:val="Boxbullets"/>
        <w:rPr>
          <w:i/>
          <w:iCs/>
        </w:rPr>
      </w:pPr>
      <w:hyperlink r:id="rId43" w:history="1">
        <w:r w:rsidRPr="000F2D4C">
          <w:rPr>
            <w:rStyle w:val="Hyperlink"/>
            <w:i/>
            <w:iCs/>
          </w:rPr>
          <w:t>Victorian Evaluation resources</w:t>
        </w:r>
      </w:hyperlink>
    </w:p>
    <w:p w14:paraId="601C6591" w14:textId="53FCAE8A" w:rsidR="009640EA" w:rsidRPr="000F2D4C" w:rsidRDefault="00E62DD3" w:rsidP="1CD5585E">
      <w:pPr>
        <w:pStyle w:val="Boxbullets"/>
        <w:rPr>
          <w:i/>
          <w:iCs/>
        </w:rPr>
      </w:pPr>
      <w:hyperlink r:id="rId44" w:history="1">
        <w:r w:rsidRPr="000F2D4C">
          <w:rPr>
            <w:rStyle w:val="Hyperlink"/>
            <w:i/>
            <w:iCs/>
          </w:rPr>
          <w:t>Government of W</w:t>
        </w:r>
        <w:r w:rsidR="009640EA" w:rsidRPr="000F2D4C">
          <w:rPr>
            <w:rStyle w:val="Hyperlink"/>
            <w:i/>
            <w:iCs/>
          </w:rPr>
          <w:t xml:space="preserve">estern Australia: Program </w:t>
        </w:r>
        <w:r w:rsidR="00075E98" w:rsidRPr="000F2D4C">
          <w:rPr>
            <w:rStyle w:val="Hyperlink"/>
            <w:i/>
            <w:iCs/>
          </w:rPr>
          <w:t>e</w:t>
        </w:r>
        <w:r w:rsidR="009640EA" w:rsidRPr="000F2D4C">
          <w:rPr>
            <w:rStyle w:val="Hyperlink"/>
            <w:i/>
            <w:iCs/>
          </w:rPr>
          <w:t>valuation</w:t>
        </w:r>
      </w:hyperlink>
      <w:r w:rsidR="00D16154">
        <w:rPr>
          <w:rStyle w:val="Hyperlink"/>
          <w:i/>
          <w:iCs/>
        </w:rPr>
        <w:br/>
      </w:r>
    </w:p>
    <w:p w14:paraId="01177FB9" w14:textId="20665A53" w:rsidR="00A51DE5" w:rsidRPr="000F2D4C" w:rsidRDefault="005F1811" w:rsidP="00AD6AC9">
      <w:pPr>
        <w:pStyle w:val="Heading2"/>
      </w:pPr>
      <w:bookmarkStart w:id="33" w:name="_Toc149918991"/>
      <w:r w:rsidRPr="000F2D4C">
        <w:t>Ensuring readiness for evaluation</w:t>
      </w:r>
      <w:bookmarkEnd w:id="33"/>
    </w:p>
    <w:p w14:paraId="471C8B2F" w14:textId="365D3DBC" w:rsidR="005F1811" w:rsidRPr="000F2D4C" w:rsidRDefault="005F1811" w:rsidP="005F1811">
      <w:r w:rsidRPr="000F2D4C">
        <w:t>Too often, evaluations report that data was of insufficient quality to draw conclusions. To get the most out of an evaluation</w:t>
      </w:r>
      <w:r w:rsidR="008A1945" w:rsidRPr="000F2D4C">
        <w:t xml:space="preserve"> – and to ensure </w:t>
      </w:r>
      <w:r w:rsidR="00CD7046" w:rsidRPr="000F2D4C">
        <w:t>that there is the</w:t>
      </w:r>
      <w:r w:rsidR="008A1945" w:rsidRPr="000F2D4C">
        <w:t xml:space="preserve"> data </w:t>
      </w:r>
      <w:r w:rsidR="00DB33BB" w:rsidRPr="000F2D4C">
        <w:t>required to understand whether a program is working, regardless of whether an evaluation is undertaken –</w:t>
      </w:r>
      <w:r w:rsidRPr="000F2D4C">
        <w:t xml:space="preserve"> organisations should plan and build in quality data collection from the outset. </w:t>
      </w:r>
    </w:p>
    <w:p w14:paraId="0941A8CC" w14:textId="7C1AC5BD" w:rsidR="00E22153" w:rsidRPr="000F2D4C" w:rsidRDefault="00E22153" w:rsidP="00201D7C">
      <w:pPr>
        <w:pStyle w:val="Heading3"/>
      </w:pPr>
      <w:r w:rsidRPr="000F2D4C">
        <w:t>The benefits of building in consideration of evaluation early</w:t>
      </w:r>
    </w:p>
    <w:p w14:paraId="2D145CA6" w14:textId="77777777" w:rsidR="005F1811" w:rsidRPr="000F2D4C" w:rsidRDefault="005F1811" w:rsidP="005F1811">
      <w:r w:rsidRPr="000F2D4C">
        <w:t>When evaluation is considered during the development of a program, it can:</w:t>
      </w:r>
    </w:p>
    <w:p w14:paraId="0133063A" w14:textId="34920D29" w:rsidR="005F1811" w:rsidRPr="000F2D4C" w:rsidRDefault="00696938" w:rsidP="005F1811">
      <w:pPr>
        <w:pStyle w:val="ListBullet"/>
      </w:pPr>
      <w:r w:rsidRPr="000F2D4C">
        <w:t>clarify</w:t>
      </w:r>
      <w:r w:rsidR="005F1811" w:rsidRPr="000F2D4C">
        <w:t xml:space="preserve"> the need for a program</w:t>
      </w:r>
    </w:p>
    <w:p w14:paraId="1D82A235" w14:textId="65209311" w:rsidR="005F1811" w:rsidRPr="000F2D4C" w:rsidRDefault="00696938" w:rsidP="005F1811">
      <w:pPr>
        <w:pStyle w:val="ListBullet"/>
      </w:pPr>
      <w:r w:rsidRPr="000F2D4C">
        <w:t xml:space="preserve">help to clarify how the program </w:t>
      </w:r>
      <w:r w:rsidR="005F1811" w:rsidRPr="000F2D4C">
        <w:t>is intended to operate</w:t>
      </w:r>
      <w:r w:rsidRPr="000F2D4C">
        <w:t xml:space="preserve"> or strengthen the program’s design </w:t>
      </w:r>
    </w:p>
    <w:p w14:paraId="7FCFE6F5" w14:textId="2FCA47BD" w:rsidR="0034581E" w:rsidRPr="000F2D4C" w:rsidRDefault="0034581E" w:rsidP="005F1811">
      <w:pPr>
        <w:pStyle w:val="ListBullet"/>
      </w:pPr>
      <w:r w:rsidRPr="000F2D4C">
        <w:t>clarify the intended outcomes of a program and how these can be measured</w:t>
      </w:r>
    </w:p>
    <w:p w14:paraId="37959B81" w14:textId="77777777" w:rsidR="005F1811" w:rsidRPr="000F2D4C" w:rsidRDefault="005F1811" w:rsidP="005F1811">
      <w:pPr>
        <w:pStyle w:val="ListBullet"/>
      </w:pPr>
      <w:r w:rsidRPr="000F2D4C">
        <w:t>ensure that useful baseline and monitoring data are identified and collected, with the right permissions to enable use in evaluation</w:t>
      </w:r>
    </w:p>
    <w:p w14:paraId="017B7773" w14:textId="444DDFA6" w:rsidR="005F1811" w:rsidRPr="000F2D4C" w:rsidRDefault="003B4EF2" w:rsidP="005F1811">
      <w:pPr>
        <w:pStyle w:val="ListBullet"/>
      </w:pPr>
      <w:r w:rsidRPr="000F2D4C">
        <w:t>help to ensure the</w:t>
      </w:r>
      <w:r w:rsidR="005F1811" w:rsidRPr="000F2D4C">
        <w:t xml:space="preserve"> information needs of stakeholders</w:t>
      </w:r>
      <w:r w:rsidRPr="000F2D4C">
        <w:t xml:space="preserve"> can be met</w:t>
      </w:r>
    </w:p>
    <w:p w14:paraId="00EB2967" w14:textId="77777777" w:rsidR="005F1811" w:rsidRPr="000F2D4C" w:rsidRDefault="005F1811" w:rsidP="005F1811">
      <w:pPr>
        <w:pStyle w:val="ListBullet"/>
        <w:spacing w:after="240"/>
      </w:pPr>
      <w:r w:rsidRPr="000F2D4C">
        <w:t xml:space="preserve">ensure that adequate resources are available to undertake high-quality evaluations. </w:t>
      </w:r>
    </w:p>
    <w:p w14:paraId="5FE7C76C" w14:textId="7D56BF85" w:rsidR="00874853" w:rsidRPr="000F2D4C" w:rsidRDefault="7D65B838" w:rsidP="5A963CB6">
      <w:r w:rsidRPr="000F2D4C">
        <w:t xml:space="preserve">While evaluations can be considered at a later stage, this may affect the quality of data available, and limit potential evaluation designs, making it harder to answer key evaluation questions. </w:t>
      </w:r>
    </w:p>
    <w:p w14:paraId="09C9E456" w14:textId="77777777" w:rsidR="003B4EF2" w:rsidRPr="000F2D4C" w:rsidRDefault="003B4EF2" w:rsidP="003B4EF2">
      <w:pPr>
        <w:pStyle w:val="Heading3"/>
      </w:pPr>
      <w:r w:rsidRPr="000F2D4C">
        <w:lastRenderedPageBreak/>
        <w:t>Assessing readiness for evaluation</w:t>
      </w:r>
    </w:p>
    <w:p w14:paraId="1098A801" w14:textId="5CF97C77" w:rsidR="003B4EF2" w:rsidRPr="000F2D4C" w:rsidRDefault="005F1811" w:rsidP="005F1811">
      <w:r w:rsidRPr="000F2D4C">
        <w:t>Knowing the quality of monitoring data</w:t>
      </w:r>
      <w:r w:rsidR="003B4EF2" w:rsidRPr="000F2D4C">
        <w:t xml:space="preserve"> (see section 3.2.1)</w:t>
      </w:r>
      <w:r w:rsidRPr="000F2D4C">
        <w:t xml:space="preserve"> might be enough to proceed with </w:t>
      </w:r>
      <w:r w:rsidR="003B4EF2" w:rsidRPr="000F2D4C">
        <w:t>an evaluation of a small-scale program</w:t>
      </w:r>
      <w:r w:rsidRPr="000F2D4C">
        <w:t>.</w:t>
      </w:r>
    </w:p>
    <w:p w14:paraId="589FFDDA" w14:textId="33DF2CF4" w:rsidR="005F1811" w:rsidRPr="000F2D4C" w:rsidRDefault="20B2FC42" w:rsidP="5A963CB6">
      <w:r w:rsidRPr="000F2D4C">
        <w:t>For larger</w:t>
      </w:r>
      <w:r w:rsidR="383DFF1A" w:rsidRPr="000F2D4C">
        <w:t>-</w:t>
      </w:r>
      <w:r w:rsidRPr="000F2D4C">
        <w:t xml:space="preserve">scale </w:t>
      </w:r>
      <w:r w:rsidR="383DFF1A" w:rsidRPr="000F2D4C">
        <w:t>programs</w:t>
      </w:r>
      <w:r w:rsidRPr="000F2D4C">
        <w:t xml:space="preserve">, to ensure you get value out of an evaluation, you might consider a more formal evaluability assessment: “an assessment of the extent to which an </w:t>
      </w:r>
      <w:r w:rsidRPr="000F2D4C" w:rsidDel="00321499">
        <w:t>intervention</w:t>
      </w:r>
      <w:r w:rsidRPr="000F2D4C">
        <w:t xml:space="preserve"> can be evaluated in a reliable and credible fashion.”</w:t>
      </w:r>
      <w:r w:rsidR="005F1811" w:rsidRPr="000F2D4C">
        <w:rPr>
          <w:vertAlign w:val="superscript"/>
        </w:rPr>
        <w:footnoteReference w:id="7"/>
      </w:r>
      <w:r w:rsidRPr="000F2D4C">
        <w:t xml:space="preserve"> </w:t>
      </w:r>
    </w:p>
    <w:p w14:paraId="0CDA7F33" w14:textId="77777777" w:rsidR="005F1811" w:rsidRPr="000F2D4C" w:rsidRDefault="005F1811" w:rsidP="005F1811">
      <w:r w:rsidRPr="000F2D4C">
        <w:t>There are different approaches to conducting an evaluability assessment, but broadly they include:</w:t>
      </w:r>
    </w:p>
    <w:p w14:paraId="354E6ECA" w14:textId="69938876" w:rsidR="005F1811" w:rsidRPr="000F2D4C" w:rsidRDefault="005F1811" w:rsidP="001F1CB4">
      <w:pPr>
        <w:pStyle w:val="ListBullet"/>
      </w:pPr>
      <w:r w:rsidRPr="000F2D4C">
        <w:t>whether the program can be evaluated given the nature of the design</w:t>
      </w:r>
    </w:p>
    <w:p w14:paraId="1CFD1C1E" w14:textId="77777777" w:rsidR="005F1811" w:rsidRPr="000F2D4C" w:rsidRDefault="005F1811" w:rsidP="001F1CB4">
      <w:pPr>
        <w:pStyle w:val="ListBullet"/>
      </w:pPr>
      <w:r w:rsidRPr="000F2D4C">
        <w:t>whether there is relevant data and the data collection systems to provide data for evaluation</w:t>
      </w:r>
    </w:p>
    <w:p w14:paraId="352C717B" w14:textId="77777777" w:rsidR="005F1811" w:rsidRPr="000F2D4C" w:rsidRDefault="005F1811" w:rsidP="001F1CB4">
      <w:pPr>
        <w:pStyle w:val="ListBullet"/>
      </w:pPr>
      <w:r w:rsidRPr="000F2D4C">
        <w:t>whether it is practical and useful to conduct an evaluation given stakeholder views and availability.</w:t>
      </w:r>
    </w:p>
    <w:p w14:paraId="49773B54" w14:textId="77777777" w:rsidR="005530C2" w:rsidRPr="000F2D4C" w:rsidRDefault="005530C2" w:rsidP="005530C2">
      <w:pPr>
        <w:pStyle w:val="ListBullet"/>
        <w:numPr>
          <w:ilvl w:val="0"/>
          <w:numId w:val="0"/>
        </w:numPr>
        <w:ind w:left="360"/>
      </w:pPr>
    </w:p>
    <w:p w14:paraId="050A5993" w14:textId="24CDDEC3" w:rsidR="005F1811" w:rsidRPr="000F2D4C" w:rsidRDefault="005F1811" w:rsidP="005F1811">
      <w:r w:rsidRPr="000F2D4C">
        <w:t xml:space="preserve">See Appendix </w:t>
      </w:r>
      <w:r w:rsidR="00194506" w:rsidRPr="000F2D4C">
        <w:t>4</w:t>
      </w:r>
      <w:r w:rsidRPr="000F2D4C">
        <w:t xml:space="preserve"> for an </w:t>
      </w:r>
      <w:r w:rsidR="003B4EF2" w:rsidRPr="000F2D4C">
        <w:t xml:space="preserve">example </w:t>
      </w:r>
      <w:r w:rsidR="56B64256" w:rsidRPr="000F2D4C">
        <w:t xml:space="preserve">of an </w:t>
      </w:r>
      <w:r w:rsidRPr="000F2D4C">
        <w:t xml:space="preserve">evaluability </w:t>
      </w:r>
      <w:r w:rsidR="003B4EF2" w:rsidRPr="000F2D4C">
        <w:t xml:space="preserve">assessment </w:t>
      </w:r>
      <w:r w:rsidRPr="000F2D4C">
        <w:t>checklist.</w:t>
      </w:r>
      <w:r w:rsidR="00857B6F" w:rsidRPr="000F2D4C">
        <w:t xml:space="preserve"> The following sections outline key steps to ensure readiness for evaluation and establish </w:t>
      </w:r>
      <w:r w:rsidR="007A7D76" w:rsidRPr="000F2D4C">
        <w:t>useful data about a program</w:t>
      </w:r>
      <w:r w:rsidR="00BE2A0D" w:rsidRPr="000F2D4C">
        <w:t>,</w:t>
      </w:r>
      <w:r w:rsidR="007A7D76" w:rsidRPr="000F2D4C">
        <w:t xml:space="preserve"> whether or not an evaluation is undertaken.</w:t>
      </w:r>
    </w:p>
    <w:p w14:paraId="6490FE78" w14:textId="77777777" w:rsidR="006227AD" w:rsidRPr="000F2D4C" w:rsidRDefault="006227AD" w:rsidP="006227AD">
      <w:pPr>
        <w:pStyle w:val="Heading3"/>
      </w:pPr>
      <w:r w:rsidRPr="000F2D4C">
        <w:t>Identify key stakeholders</w:t>
      </w:r>
    </w:p>
    <w:p w14:paraId="12B8AB7D" w14:textId="77777777" w:rsidR="00F91626" w:rsidRPr="000F2D4C" w:rsidRDefault="006227AD" w:rsidP="006227AD">
      <w:r w:rsidRPr="000F2D4C">
        <w:t>In preparing for an evaluation, it is important to identify the key stakeholders</w:t>
      </w:r>
      <w:r w:rsidR="00F91626" w:rsidRPr="000F2D4C">
        <w:t>:</w:t>
      </w:r>
    </w:p>
    <w:p w14:paraId="0040B1FA" w14:textId="7C5BD793" w:rsidR="00F91626" w:rsidRPr="000F2D4C" w:rsidRDefault="006227AD" w:rsidP="001F1CB4">
      <w:pPr>
        <w:pStyle w:val="ListBullet"/>
      </w:pPr>
      <w:r w:rsidRPr="000F2D4C">
        <w:t>the intended users of the evaluation</w:t>
      </w:r>
      <w:r w:rsidR="00F91626" w:rsidRPr="000F2D4C">
        <w:t xml:space="preserve"> (such as funders, program managers and staff)</w:t>
      </w:r>
    </w:p>
    <w:p w14:paraId="32137BC3" w14:textId="13A24E36" w:rsidR="00F91626" w:rsidRPr="000F2D4C" w:rsidRDefault="006227AD" w:rsidP="001F1CB4">
      <w:pPr>
        <w:pStyle w:val="ListBullet"/>
      </w:pPr>
      <w:r w:rsidRPr="000F2D4C">
        <w:t xml:space="preserve">those who will contribute to the evaluation </w:t>
      </w:r>
      <w:r w:rsidR="00F91626" w:rsidRPr="000F2D4C">
        <w:t xml:space="preserve">(such as service users, staff, and broader stakeholders, including those referring to or </w:t>
      </w:r>
      <w:r w:rsidR="004E1F7A" w:rsidRPr="000F2D4C">
        <w:t>coordinating with the program)</w:t>
      </w:r>
    </w:p>
    <w:p w14:paraId="4939C64C" w14:textId="475F6787" w:rsidR="00F91626" w:rsidRPr="000F2D4C" w:rsidRDefault="006227AD" w:rsidP="001F1CB4">
      <w:pPr>
        <w:pStyle w:val="ListBullet"/>
      </w:pPr>
      <w:r w:rsidRPr="000F2D4C">
        <w:t xml:space="preserve">those who will have an interest in the evaluation. </w:t>
      </w:r>
    </w:p>
    <w:p w14:paraId="59C5C041" w14:textId="77777777" w:rsidR="001F1CB4" w:rsidRPr="000F2D4C" w:rsidRDefault="001F1CB4" w:rsidP="006227AD"/>
    <w:p w14:paraId="297F3F53" w14:textId="3EFBB7C4" w:rsidR="006227AD" w:rsidRPr="000F2D4C" w:rsidRDefault="006227AD" w:rsidP="006227AD">
      <w:r w:rsidRPr="000F2D4C">
        <w:t>This can help to identify</w:t>
      </w:r>
      <w:r w:rsidR="004E1F7A" w:rsidRPr="000F2D4C">
        <w:t xml:space="preserve"> key information needs for the evaluation</w:t>
      </w:r>
      <w:r w:rsidRPr="000F2D4C">
        <w:t xml:space="preserve"> </w:t>
      </w:r>
      <w:r w:rsidR="004E1F7A" w:rsidRPr="000F2D4C">
        <w:t>and</w:t>
      </w:r>
      <w:r w:rsidRPr="000F2D4C">
        <w:t xml:space="preserve"> ensure the relevance and credibility of the evaluation from stakeholders’ perspectives. </w:t>
      </w:r>
      <w:r w:rsidR="004E1F7A" w:rsidRPr="000F2D4C">
        <w:t xml:space="preserve"> </w:t>
      </w:r>
    </w:p>
    <w:p w14:paraId="17DA19CB" w14:textId="074BFA03" w:rsidR="004E1F7A" w:rsidRPr="000F2D4C" w:rsidRDefault="004E1F7A" w:rsidP="006227AD">
      <w:r w:rsidRPr="000F2D4C">
        <w:t>Intended users of the evaluation will have an important role in deciding the focus of evaluation (</w:t>
      </w:r>
      <w:r w:rsidR="66D579A9" w:rsidRPr="000F2D4C">
        <w:t>s</w:t>
      </w:r>
      <w:r w:rsidRPr="000F2D4C">
        <w:t>ee section 5).</w:t>
      </w:r>
      <w:r w:rsidR="00C30289" w:rsidRPr="000F2D4C">
        <w:t xml:space="preserve"> Engaging intended users of an evaluation upfront can help to enhance use of the evaluation.</w:t>
      </w:r>
    </w:p>
    <w:p w14:paraId="791B005D" w14:textId="70AB6DF7" w:rsidR="005F1811" w:rsidRPr="000F2D4C" w:rsidRDefault="005F286A" w:rsidP="005F1811">
      <w:pPr>
        <w:pStyle w:val="Heading3"/>
      </w:pPr>
      <w:r w:rsidRPr="000F2D4C">
        <w:t>I</w:t>
      </w:r>
      <w:r w:rsidR="005F1811" w:rsidRPr="000F2D4C">
        <w:t xml:space="preserve">dentify intended outcomes </w:t>
      </w:r>
    </w:p>
    <w:p w14:paraId="1BE9F72F" w14:textId="042FCB67" w:rsidR="005F1811" w:rsidRPr="000F2D4C" w:rsidRDefault="005F1811" w:rsidP="005F1811">
      <w:r w:rsidRPr="000F2D4C">
        <w:t>It is important for programs to be clear about their intended outcomes</w:t>
      </w:r>
      <w:r w:rsidR="003B4EF2" w:rsidRPr="000F2D4C">
        <w:t xml:space="preserve"> – that is, what they intend to change –</w:t>
      </w:r>
      <w:r w:rsidRPr="000F2D4C">
        <w:t xml:space="preserve"> from the outset. </w:t>
      </w:r>
    </w:p>
    <w:p w14:paraId="13237432" w14:textId="63C935B4" w:rsidR="00FC2E3B" w:rsidRPr="000F2D4C" w:rsidRDefault="003B4EF2" w:rsidP="005F1811">
      <w:r w:rsidRPr="000F2D4C">
        <w:t xml:space="preserve">Developing a </w:t>
      </w:r>
      <w:r w:rsidRPr="000F2D4C">
        <w:rPr>
          <w:b/>
          <w:bCs/>
        </w:rPr>
        <w:t>logic model</w:t>
      </w:r>
      <w:r w:rsidRPr="000F2D4C">
        <w:t xml:space="preserve"> can help to clarify what outcomes a program is intended to achieve</w:t>
      </w:r>
      <w:r w:rsidR="00C04FBA" w:rsidRPr="000F2D4C">
        <w:t>.</w:t>
      </w:r>
      <w:r w:rsidR="00FC2E3B" w:rsidRPr="000F2D4C">
        <w:t xml:space="preserve"> </w:t>
      </w:r>
      <w:r w:rsidR="005F1811" w:rsidRPr="000F2D4C">
        <w:t>A logic model is a one-page diagram that summari</w:t>
      </w:r>
      <w:r w:rsidR="250CA59E" w:rsidRPr="000F2D4C">
        <w:t>s</w:t>
      </w:r>
      <w:r w:rsidR="005F1811" w:rsidRPr="000F2D4C">
        <w:t xml:space="preserve">es how a program is intended to </w:t>
      </w:r>
      <w:r w:rsidR="005F1811" w:rsidRPr="000F2D4C">
        <w:lastRenderedPageBreak/>
        <w:t>work. It describes the inputs, the activities, and the outputs that the program intends to deliver, and the sequence and links between the outcomes (for the people accessing the program, the workforce</w:t>
      </w:r>
      <w:r w:rsidR="2FDE1D3F" w:rsidRPr="000F2D4C">
        <w:t>,</w:t>
      </w:r>
      <w:r w:rsidR="005F1811" w:rsidRPr="000F2D4C">
        <w:t xml:space="preserve"> and society).</w:t>
      </w:r>
      <w:r w:rsidR="00FC2E3B" w:rsidRPr="000F2D4C">
        <w:t xml:space="preserve"> Figure 2 provides an example of a program logic model – although there are many ways to represent a program on a page.  </w:t>
      </w:r>
    </w:p>
    <w:p w14:paraId="25295914" w14:textId="2216558D" w:rsidR="004129BE" w:rsidRPr="000F2D4C" w:rsidRDefault="004129BE" w:rsidP="005F1811">
      <w:r w:rsidRPr="000F2D4C">
        <w:t>Some government agencies require that a logic model is developed as part of initial funding proposals or program development</w:t>
      </w:r>
      <w:r w:rsidR="00FC2E3B" w:rsidRPr="000F2D4C">
        <w:t xml:space="preserve"> because it can </w:t>
      </w:r>
      <w:r w:rsidR="00641B91" w:rsidRPr="000F2D4C">
        <w:t>help to strengthen a program’s design and likelihood of success.</w:t>
      </w:r>
    </w:p>
    <w:p w14:paraId="5AF2A808" w14:textId="3AA8848E" w:rsidR="00C04FBA" w:rsidRPr="000F2D4C" w:rsidRDefault="00C04FBA" w:rsidP="005F1811">
      <w:r w:rsidRPr="000F2D4C">
        <w:t>Collaboratively developing a logic model with key stakeholders, including people intended to benefit from the program and staff</w:t>
      </w:r>
      <w:r w:rsidR="004129BE" w:rsidRPr="000F2D4C">
        <w:t xml:space="preserve">, can help to ensure the </w:t>
      </w:r>
      <w:r w:rsidR="00F64130" w:rsidRPr="000F2D4C">
        <w:t>program design is feasible and outcomes are meaningful.</w:t>
      </w:r>
      <w:r w:rsidR="004129BE" w:rsidRPr="000F2D4C">
        <w:t xml:space="preserve"> </w:t>
      </w:r>
    </w:p>
    <w:p w14:paraId="37CA081B" w14:textId="77777777" w:rsidR="00F64130" w:rsidRPr="000F2D4C" w:rsidRDefault="00F64130" w:rsidP="005F1811"/>
    <w:p w14:paraId="44C433E4" w14:textId="77777777" w:rsidR="009C641A" w:rsidRPr="000F2D4C" w:rsidRDefault="009C641A" w:rsidP="005F1811">
      <w:pPr>
        <w:sectPr w:rsidR="009C641A" w:rsidRPr="000F2D4C" w:rsidSect="00324725">
          <w:headerReference w:type="default" r:id="rId45"/>
          <w:footerReference w:type="default" r:id="rId46"/>
          <w:headerReference w:type="first" r:id="rId47"/>
          <w:pgSz w:w="11906" w:h="16838" w:code="9"/>
          <w:pgMar w:top="1418" w:right="1418" w:bottom="1418" w:left="2268" w:header="561" w:footer="57" w:gutter="0"/>
          <w:cols w:space="708"/>
          <w:docGrid w:linePitch="360"/>
        </w:sectPr>
      </w:pPr>
    </w:p>
    <w:p w14:paraId="65A9B08B" w14:textId="6EA9F65D" w:rsidR="005F1811" w:rsidRPr="000F2D4C" w:rsidRDefault="005F1811" w:rsidP="005F1811">
      <w:pPr>
        <w:pStyle w:val="FigureHeading"/>
      </w:pPr>
      <w:r w:rsidRPr="000F2D4C">
        <w:lastRenderedPageBreak/>
        <w:t>Program Logic model example</w:t>
      </w:r>
    </w:p>
    <w:p w14:paraId="39E6B9D6" w14:textId="30EDFB47" w:rsidR="005F1811" w:rsidRPr="000F2D4C" w:rsidRDefault="005F1811" w:rsidP="005F1811">
      <w:r w:rsidRPr="000F2D4C">
        <w:rPr>
          <w:noProof/>
          <w:sz w:val="16"/>
          <w:szCs w:val="16"/>
        </w:rPr>
        <w:drawing>
          <wp:inline distT="0" distB="0" distL="0" distR="0" wp14:anchorId="7F59012F" wp14:editId="7C733D75">
            <wp:extent cx="8846820" cy="2852892"/>
            <wp:effectExtent l="0" t="0" r="0" b="5080"/>
            <wp:docPr id="163445198" name="Picture 163445198" descr="This program logic model example shows a problem statement/proposal on the left and the program objective on the right. It has the following headings: proposal, inputs, activities, outputs, targets, short term outcomes, medium-term outcomes and long-term outcomes. The inputs are what we invest. The activities are what we do. The outputs are what the program team does. At the bottom of the diagram we have assumptions and external factors that may influence the inputs and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5198" name="Picture 163445198" descr="This program logic model example shows a problem statement/proposal on the left and the program objective on the right. It has the following headings: proposal, inputs, activities, outputs, targets, short term outcomes, medium-term outcomes and long-term outcomes. The inputs are what we invest. The activities are what we do. The outputs are what the program team does. At the bottom of the diagram we have assumptions and external factors that may influence the inputs and outcomes. "/>
                    <pic:cNvPicPr/>
                  </pic:nvPicPr>
                  <pic:blipFill rotWithShape="1">
                    <a:blip r:embed="rId48">
                      <a:extLst>
                        <a:ext uri="{28A0092B-C50C-407E-A947-70E740481C1C}">
                          <a14:useLocalDpi xmlns:a14="http://schemas.microsoft.com/office/drawing/2010/main" val="0"/>
                        </a:ext>
                      </a:extLst>
                    </a:blip>
                    <a:srcRect l="12964" t="40030" r="15685" b="19064"/>
                    <a:stretch/>
                  </pic:blipFill>
                  <pic:spPr bwMode="auto">
                    <a:xfrm>
                      <a:off x="0" y="0"/>
                      <a:ext cx="8914697" cy="2874781"/>
                    </a:xfrm>
                    <a:prstGeom prst="rect">
                      <a:avLst/>
                    </a:prstGeom>
                    <a:ln>
                      <a:noFill/>
                    </a:ln>
                    <a:extLst>
                      <a:ext uri="{53640926-AAD7-44D8-BBD7-CCE9431645EC}">
                        <a14:shadowObscured xmlns:a14="http://schemas.microsoft.com/office/drawing/2010/main"/>
                      </a:ext>
                    </a:extLst>
                  </pic:spPr>
                </pic:pic>
              </a:graphicData>
            </a:graphic>
          </wp:inline>
        </w:drawing>
      </w:r>
    </w:p>
    <w:p w14:paraId="63740B73" w14:textId="1A2D09DE" w:rsidR="005F1811" w:rsidRPr="000F2D4C" w:rsidRDefault="005F1811" w:rsidP="005F1811">
      <w:pPr>
        <w:pStyle w:val="Notes"/>
        <w:rPr>
          <w:i/>
        </w:rPr>
      </w:pPr>
      <w:r w:rsidRPr="000F2D4C">
        <w:t xml:space="preserve">Source: </w:t>
      </w:r>
      <w:r w:rsidR="000745C4" w:rsidRPr="000F2D4C">
        <w:t xml:space="preserve">Adapted from Department of Finance (2021). </w:t>
      </w:r>
      <w:hyperlink r:id="rId49" w:history="1">
        <w:r w:rsidRPr="000F2D4C">
          <w:rPr>
            <w:rStyle w:val="Hyperlink"/>
            <w:i/>
            <w:iCs/>
          </w:rPr>
          <w:t xml:space="preserve">Evaluation </w:t>
        </w:r>
        <w:bookmarkStart w:id="34" w:name="_Hlt149905450"/>
        <w:bookmarkStart w:id="35" w:name="_Hlt149905451"/>
        <w:r w:rsidRPr="000F2D4C">
          <w:rPr>
            <w:rStyle w:val="Hyperlink"/>
            <w:i/>
            <w:iCs/>
          </w:rPr>
          <w:t>i</w:t>
        </w:r>
        <w:bookmarkEnd w:id="34"/>
        <w:bookmarkEnd w:id="35"/>
        <w:r w:rsidRPr="000F2D4C">
          <w:rPr>
            <w:rStyle w:val="Hyperlink"/>
            <w:i/>
            <w:iCs/>
          </w:rPr>
          <w:t>n the Commonwealth (RMG 130</w:t>
        </w:r>
        <w:r w:rsidR="000745C4" w:rsidRPr="000F2D4C">
          <w:rPr>
            <w:rStyle w:val="Hyperlink"/>
            <w:i/>
            <w:iCs/>
          </w:rPr>
          <w:t>)</w:t>
        </w:r>
        <w:r w:rsidR="000745C4" w:rsidRPr="000F2D4C">
          <w:rPr>
            <w:rStyle w:val="Hyperlink"/>
          </w:rPr>
          <w:t>.</w:t>
        </w:r>
      </w:hyperlink>
      <w:r w:rsidRPr="000F2D4C">
        <w:rPr>
          <w:i/>
          <w:color w:val="005677" w:themeColor="accent1"/>
        </w:rPr>
        <w:t xml:space="preserve"> </w:t>
      </w:r>
    </w:p>
    <w:p w14:paraId="42B110AF" w14:textId="77777777" w:rsidR="0087005F" w:rsidRPr="000F2D4C" w:rsidRDefault="0087005F" w:rsidP="005F1811">
      <w:pPr>
        <w:pStyle w:val="Notes"/>
      </w:pPr>
    </w:p>
    <w:p w14:paraId="06D9A208" w14:textId="77777777" w:rsidR="00E41FDE" w:rsidRPr="000F2D4C" w:rsidRDefault="00E41FDE" w:rsidP="005F1811">
      <w:pPr>
        <w:pStyle w:val="Notes"/>
      </w:pPr>
    </w:p>
    <w:p w14:paraId="709F60B0" w14:textId="431D7121" w:rsidR="00E41FDE" w:rsidRPr="000F2D4C" w:rsidRDefault="00E41FDE" w:rsidP="00615025">
      <w:pPr>
        <w:pStyle w:val="Boxheading"/>
      </w:pPr>
      <w:r w:rsidRPr="000F2D4C">
        <w:t>Useful references</w:t>
      </w:r>
    </w:p>
    <w:p w14:paraId="4C65BA5D" w14:textId="6D6E2839" w:rsidR="00E41FDE" w:rsidRPr="000F2D4C" w:rsidRDefault="00FF775A" w:rsidP="00E41FDE">
      <w:pPr>
        <w:pStyle w:val="Boxbullets"/>
        <w:rPr>
          <w:color w:val="215565" w:themeColor="accent2" w:themeShade="80"/>
          <w:u w:val="single"/>
        </w:rPr>
      </w:pPr>
      <w:r w:rsidRPr="000F2D4C">
        <w:rPr>
          <w:color w:val="215565" w:themeColor="accent2" w:themeShade="80"/>
          <w:u w:val="single"/>
        </w:rPr>
        <w:t>The jurisdiction-based evaluation guidelines referenced above</w:t>
      </w:r>
    </w:p>
    <w:p w14:paraId="07E773BA" w14:textId="4EF3579F" w:rsidR="00E41FDE" w:rsidRPr="000F2D4C" w:rsidRDefault="00E41FDE" w:rsidP="00E41FDE">
      <w:pPr>
        <w:pStyle w:val="Boxbullets"/>
        <w:rPr>
          <w:rStyle w:val="Hyperlink"/>
          <w:i/>
          <w:iCs/>
        </w:rPr>
      </w:pPr>
      <w:hyperlink r:id="rId50" w:history="1">
        <w:r w:rsidRPr="000F2D4C">
          <w:rPr>
            <w:rStyle w:val="Hyperlink"/>
            <w:i/>
            <w:iCs/>
          </w:rPr>
          <w:t>Creating program logic models | Better Evaluation</w:t>
        </w:r>
      </w:hyperlink>
      <w:r w:rsidR="00D16154">
        <w:rPr>
          <w:rStyle w:val="Hyperlink"/>
          <w:i/>
          <w:iCs/>
        </w:rPr>
        <w:br/>
      </w:r>
    </w:p>
    <w:p w14:paraId="7C164A3F" w14:textId="7882DA08" w:rsidR="0087005F" w:rsidRPr="000F2D4C" w:rsidRDefault="00D16154" w:rsidP="005F1811">
      <w:pPr>
        <w:pStyle w:val="Notes"/>
        <w:sectPr w:rsidR="0087005F" w:rsidRPr="000F2D4C" w:rsidSect="00324725">
          <w:headerReference w:type="default" r:id="rId51"/>
          <w:footerReference w:type="default" r:id="rId52"/>
          <w:pgSz w:w="16838" w:h="11906" w:orient="landscape" w:code="9"/>
          <w:pgMar w:top="2268" w:right="1418" w:bottom="1418" w:left="1418" w:header="561" w:footer="57" w:gutter="0"/>
          <w:cols w:space="708"/>
          <w:docGrid w:linePitch="360"/>
        </w:sectPr>
      </w:pPr>
      <w:r>
        <w:br/>
      </w:r>
    </w:p>
    <w:p w14:paraId="79502DEC" w14:textId="164C023A" w:rsidR="00641B91" w:rsidRPr="000F2D4C" w:rsidRDefault="005F1811" w:rsidP="00641B91">
      <w:pPr>
        <w:pStyle w:val="Heading3"/>
      </w:pPr>
      <w:r w:rsidRPr="000F2D4C">
        <w:lastRenderedPageBreak/>
        <w:t>Establish the data required</w:t>
      </w:r>
      <w:r w:rsidR="002D4732" w:rsidRPr="000F2D4C">
        <w:t xml:space="preserve"> and make use of it</w:t>
      </w:r>
    </w:p>
    <w:p w14:paraId="2426C042" w14:textId="6E065F95" w:rsidR="00641B91" w:rsidRPr="000F2D4C" w:rsidRDefault="00641B91" w:rsidP="00641B91">
      <w:r w:rsidRPr="000F2D4C">
        <w:t>Developing a logic model can help to identify what data will be required to assess whether the program is being implemented as intended</w:t>
      </w:r>
      <w:r w:rsidR="05CDA569" w:rsidRPr="000F2D4C">
        <w:t>,</w:t>
      </w:r>
      <w:r w:rsidRPr="000F2D4C">
        <w:t xml:space="preserve"> and whether the intended outcomes are being achieved</w:t>
      </w:r>
      <w:r w:rsidR="001E1C2C" w:rsidRPr="000F2D4C">
        <w:t xml:space="preserve"> (i.e. monitoring data)</w:t>
      </w:r>
      <w:r w:rsidRPr="000F2D4C">
        <w:t xml:space="preserve">. </w:t>
      </w:r>
      <w:r w:rsidR="00B50F34" w:rsidRPr="000F2D4C">
        <w:t>This involves identifying data that will be used to assess each ‘box’ in the logic model.</w:t>
      </w:r>
    </w:p>
    <w:p w14:paraId="0C06631F" w14:textId="2CC7FB7A" w:rsidR="00B50F34" w:rsidRPr="000F2D4C" w:rsidRDefault="00B50F34" w:rsidP="00641B91">
      <w:r w:rsidRPr="000F2D4C">
        <w:t>Section</w:t>
      </w:r>
      <w:r w:rsidR="7FE08C6A" w:rsidRPr="000F2D4C">
        <w:t>s</w:t>
      </w:r>
      <w:r w:rsidRPr="000F2D4C">
        <w:t xml:space="preserve"> </w:t>
      </w:r>
      <w:r w:rsidR="00D35D5D" w:rsidRPr="000F2D4C">
        <w:t>7.2.2</w:t>
      </w:r>
      <w:r w:rsidRPr="000F2D4C">
        <w:t xml:space="preserve"> and </w:t>
      </w:r>
      <w:r w:rsidR="00EA419E" w:rsidRPr="000F2D4C">
        <w:t>7.2.3</w:t>
      </w:r>
      <w:r w:rsidRPr="000F2D4C">
        <w:t xml:space="preserve"> outline </w:t>
      </w:r>
      <w:r w:rsidR="004F4994" w:rsidRPr="000F2D4C">
        <w:t xml:space="preserve">standard process and </w:t>
      </w:r>
      <w:r w:rsidR="00780AD4" w:rsidRPr="000F2D4C">
        <w:t>outcomes</w:t>
      </w:r>
      <w:r w:rsidR="004F4994" w:rsidRPr="000F2D4C">
        <w:t xml:space="preserve"> measures for mental health and suicide prevention </w:t>
      </w:r>
      <w:r w:rsidR="00513E88" w:rsidRPr="000F2D4C">
        <w:t>programs</w:t>
      </w:r>
      <w:r w:rsidR="00B0752A" w:rsidRPr="000F2D4C">
        <w:t xml:space="preserve"> </w:t>
      </w:r>
      <w:r w:rsidR="007F534A" w:rsidRPr="000F2D4C">
        <w:t xml:space="preserve">that can be drawn on </w:t>
      </w:r>
      <w:r w:rsidR="00775E11" w:rsidRPr="000F2D4C">
        <w:t xml:space="preserve">in establishing </w:t>
      </w:r>
      <w:r w:rsidR="0044704E" w:rsidRPr="000F2D4C">
        <w:t>important data about a program</w:t>
      </w:r>
      <w:r w:rsidR="004F4994" w:rsidRPr="000F2D4C">
        <w:t>.</w:t>
      </w:r>
    </w:p>
    <w:p w14:paraId="61ADF2B4" w14:textId="40333308" w:rsidR="004263C5" w:rsidRPr="000F2D4C" w:rsidRDefault="0044704E" w:rsidP="00641B91">
      <w:r w:rsidRPr="000F2D4C">
        <w:t>Considering these data requirements upfro</w:t>
      </w:r>
      <w:r w:rsidR="00BD6E01" w:rsidRPr="000F2D4C">
        <w:t>nt</w:t>
      </w:r>
      <w:r w:rsidRPr="000F2D4C">
        <w:t xml:space="preserve"> </w:t>
      </w:r>
      <w:r w:rsidR="007F534A" w:rsidRPr="000F2D4C">
        <w:t xml:space="preserve">provides an opportunity to ensure </w:t>
      </w:r>
      <w:r w:rsidRPr="000F2D4C">
        <w:t>d</w:t>
      </w:r>
      <w:r w:rsidR="004263C5" w:rsidRPr="000F2D4C">
        <w:t>ata</w:t>
      </w:r>
      <w:r w:rsidR="007F534A" w:rsidRPr="000F2D4C">
        <w:t xml:space="preserve"> requirements are included in funding agreements with service providers and </w:t>
      </w:r>
      <w:r w:rsidR="004263C5" w:rsidRPr="000F2D4C">
        <w:t>built into</w:t>
      </w:r>
      <w:r w:rsidR="007F534A" w:rsidRPr="000F2D4C">
        <w:t xml:space="preserve"> data systems.</w:t>
      </w:r>
      <w:r w:rsidR="00F55325" w:rsidRPr="000F2D4C">
        <w:t xml:space="preserve"> It can also help to ensure data is collected with the right permissions</w:t>
      </w:r>
      <w:r w:rsidR="00E02276" w:rsidRPr="000F2D4C">
        <w:t>, so that it can be used for evaluation and service users can be followed up for evaluation.</w:t>
      </w:r>
    </w:p>
    <w:p w14:paraId="61FB3189" w14:textId="55AC216D" w:rsidR="000A6552" w:rsidRPr="000F2D4C" w:rsidRDefault="000A6552" w:rsidP="000A6552">
      <w:r w:rsidRPr="000F2D4C">
        <w:t xml:space="preserve">Considering data requirements upfront can also provide the opportunity for co-creation of measures so that they are acceptable to people who access programs and </w:t>
      </w:r>
      <w:r w:rsidR="3B27A2E8" w:rsidRPr="000F2D4C">
        <w:t xml:space="preserve">to </w:t>
      </w:r>
      <w:r w:rsidRPr="000F2D4C">
        <w:t>staff</w:t>
      </w:r>
      <w:r w:rsidR="00E70575" w:rsidRPr="000F2D4C">
        <w:t xml:space="preserve">, </w:t>
      </w:r>
      <w:r w:rsidR="259A1D1E" w:rsidRPr="000F2D4C">
        <w:t xml:space="preserve">are </w:t>
      </w:r>
      <w:r w:rsidR="00E70575" w:rsidRPr="000F2D4C">
        <w:t>feasible to implement</w:t>
      </w:r>
      <w:r w:rsidR="64DE5B9B" w:rsidRPr="000F2D4C">
        <w:t>,</w:t>
      </w:r>
      <w:r w:rsidR="00E70575" w:rsidRPr="000F2D4C">
        <w:t xml:space="preserve"> and </w:t>
      </w:r>
      <w:r w:rsidR="653143C5" w:rsidRPr="000F2D4C">
        <w:t xml:space="preserve">are </w:t>
      </w:r>
      <w:r w:rsidR="00E70575" w:rsidRPr="000F2D4C">
        <w:t>valued</w:t>
      </w:r>
      <w:r w:rsidRPr="000F2D4C">
        <w:t>.</w:t>
      </w:r>
    </w:p>
    <w:p w14:paraId="0AE874EE" w14:textId="00C3EAED" w:rsidR="00F55325" w:rsidRPr="000F2D4C" w:rsidRDefault="001A06A1" w:rsidP="00641B91">
      <w:r w:rsidRPr="000F2D4C">
        <w:t xml:space="preserve">Regularly reviewing </w:t>
      </w:r>
      <w:r w:rsidR="002D4732" w:rsidRPr="000F2D4C">
        <w:t>monitoring</w:t>
      </w:r>
      <w:r w:rsidRPr="000F2D4C">
        <w:t xml:space="preserve"> data as part of implementation </w:t>
      </w:r>
      <w:r w:rsidR="00916029" w:rsidRPr="000F2D4C">
        <w:t xml:space="preserve">can help to identify whether the program is on track or </w:t>
      </w:r>
      <w:r w:rsidR="453FFF97" w:rsidRPr="000F2D4C">
        <w:t xml:space="preserve">if </w:t>
      </w:r>
      <w:r w:rsidR="00916029" w:rsidRPr="000F2D4C">
        <w:t>adjustments are needed. It can also</w:t>
      </w:r>
      <w:r w:rsidRPr="000F2D4C">
        <w:t xml:space="preserve"> </w:t>
      </w:r>
      <w:r w:rsidR="00EF0B95" w:rsidRPr="000F2D4C">
        <w:t xml:space="preserve">help to ensure that data is being collected as intended </w:t>
      </w:r>
      <w:r w:rsidR="00916029" w:rsidRPr="000F2D4C">
        <w:t xml:space="preserve">and </w:t>
      </w:r>
      <w:r w:rsidR="5AD83A1D" w:rsidRPr="000F2D4C">
        <w:t xml:space="preserve">is </w:t>
      </w:r>
      <w:r w:rsidR="00916029" w:rsidRPr="000F2D4C">
        <w:t xml:space="preserve">of good quality for use in evaluation </w:t>
      </w:r>
      <w:r w:rsidR="006227AD" w:rsidRPr="000F2D4C">
        <w:t>– for example, that there aren’t major gaps</w:t>
      </w:r>
      <w:r w:rsidR="0D77FFE9" w:rsidRPr="000F2D4C">
        <w:t>,</w:t>
      </w:r>
      <w:r w:rsidR="006227AD" w:rsidRPr="000F2D4C">
        <w:t xml:space="preserve"> and </w:t>
      </w:r>
      <w:r w:rsidR="50758B26" w:rsidRPr="000F2D4C">
        <w:t xml:space="preserve">that </w:t>
      </w:r>
      <w:r w:rsidR="006227AD" w:rsidRPr="000F2D4C">
        <w:t xml:space="preserve">questions are being interpreted consistently. </w:t>
      </w:r>
    </w:p>
    <w:p w14:paraId="061C815B" w14:textId="77777777" w:rsidR="005F1811" w:rsidRPr="000F2D4C" w:rsidRDefault="005F1811" w:rsidP="005F1811">
      <w:pPr>
        <w:pStyle w:val="Heading3"/>
      </w:pPr>
      <w:r w:rsidRPr="000F2D4C">
        <w:t>Confirm available resources</w:t>
      </w:r>
    </w:p>
    <w:p w14:paraId="511139C5" w14:textId="2A538A62" w:rsidR="00624070" w:rsidRPr="000F2D4C" w:rsidRDefault="00624070" w:rsidP="005F1811">
      <w:r w:rsidRPr="000F2D4C">
        <w:t>Considering evaluation upfront can help to ensure appropriate resourcing is in place.</w:t>
      </w:r>
      <w:r w:rsidR="00C23127" w:rsidRPr="000F2D4C">
        <w:t xml:space="preserve"> </w:t>
      </w:r>
    </w:p>
    <w:p w14:paraId="207D1014" w14:textId="07070018" w:rsidR="00624070" w:rsidRPr="000F2D4C" w:rsidRDefault="69B3F4D9">
      <w:r w:rsidRPr="000F2D4C">
        <w:t xml:space="preserve">Evaluations </w:t>
      </w:r>
      <w:r w:rsidR="04788314" w:rsidRPr="000F2D4C">
        <w:t>should be scaled to the program</w:t>
      </w:r>
      <w:r w:rsidRPr="000F2D4C">
        <w:t>. A guide of 1</w:t>
      </w:r>
      <w:r w:rsidR="04788314" w:rsidRPr="000F2D4C">
        <w:t>–</w:t>
      </w:r>
      <w:r w:rsidRPr="000F2D4C">
        <w:t xml:space="preserve">10% of the cost of the </w:t>
      </w:r>
      <w:r w:rsidR="01C4003D" w:rsidRPr="000F2D4C">
        <w:t>program</w:t>
      </w:r>
      <w:r w:rsidRPr="000F2D4C">
        <w:t xml:space="preserve"> is often described as appropriate, although this may vary for many reasons</w:t>
      </w:r>
      <w:r w:rsidR="532AA29E" w:rsidRPr="000F2D4C">
        <w:t>, including the focus and design of the evaluation.</w:t>
      </w:r>
      <w:r w:rsidR="005F1811" w:rsidRPr="000F2D4C">
        <w:rPr>
          <w:vertAlign w:val="superscript"/>
        </w:rPr>
        <w:footnoteReference w:id="8"/>
      </w:r>
      <w:r w:rsidRPr="000F2D4C">
        <w:t xml:space="preserve"> </w:t>
      </w:r>
    </w:p>
    <w:p w14:paraId="0E9B3D94" w14:textId="3C1AACB1" w:rsidR="005F1811" w:rsidRPr="000F2D4C" w:rsidRDefault="00624070" w:rsidP="005F1811">
      <w:r w:rsidRPr="000F2D4C">
        <w:t xml:space="preserve">Evaluations can also be scaled to the resources available. </w:t>
      </w:r>
      <w:r w:rsidR="005F1811" w:rsidRPr="000F2D4C">
        <w:t xml:space="preserve">Being clear about </w:t>
      </w:r>
      <w:r w:rsidRPr="000F2D4C">
        <w:t>what</w:t>
      </w:r>
      <w:r w:rsidR="005F1811" w:rsidRPr="000F2D4C">
        <w:t xml:space="preserve"> resources </w:t>
      </w:r>
      <w:r w:rsidRPr="000F2D4C">
        <w:t xml:space="preserve">are </w:t>
      </w:r>
      <w:r w:rsidR="005F1811" w:rsidRPr="000F2D4C">
        <w:t xml:space="preserve">available for an evaluation will help to </w:t>
      </w:r>
      <w:r w:rsidRPr="000F2D4C">
        <w:t xml:space="preserve">ensure the development of a feasible plan for </w:t>
      </w:r>
      <w:r w:rsidR="004D0AB5" w:rsidRPr="000F2D4C">
        <w:t xml:space="preserve">the </w:t>
      </w:r>
      <w:r w:rsidRPr="000F2D4C">
        <w:t>evaluation</w:t>
      </w:r>
      <w:r w:rsidR="20DF9C78" w:rsidRPr="000F2D4C">
        <w:t>,</w:t>
      </w:r>
      <w:r w:rsidRPr="000F2D4C">
        <w:t xml:space="preserve"> focused on </w:t>
      </w:r>
      <w:r w:rsidR="004D0AB5" w:rsidRPr="000F2D4C">
        <w:t>what is most important</w:t>
      </w:r>
      <w:r w:rsidR="005F1811" w:rsidRPr="000F2D4C">
        <w:t xml:space="preserve">. </w:t>
      </w:r>
    </w:p>
    <w:p w14:paraId="74960F1C" w14:textId="77777777" w:rsidR="005F1811" w:rsidRPr="000F2D4C" w:rsidRDefault="005F1811" w:rsidP="005F1811">
      <w:r w:rsidRPr="000F2D4C">
        <w:t>Evaluations can be conducted by an evaluation team within an organisation, or by an external evaluation team, so resources include:</w:t>
      </w:r>
    </w:p>
    <w:p w14:paraId="3BCE95CA" w14:textId="188EE99C" w:rsidR="005F1811" w:rsidRPr="000F2D4C" w:rsidRDefault="005F1811" w:rsidP="005530C2">
      <w:pPr>
        <w:pStyle w:val="ListBullet"/>
      </w:pPr>
      <w:r w:rsidRPr="000F2D4C">
        <w:t>the staff resources (including knowledge, skills</w:t>
      </w:r>
      <w:r w:rsidR="67FFD584" w:rsidRPr="000F2D4C">
        <w:t>,</w:t>
      </w:r>
      <w:r w:rsidRPr="000F2D4C">
        <w:t xml:space="preserve"> and capacity) available for conducting the evaluation</w:t>
      </w:r>
    </w:p>
    <w:p w14:paraId="7F554085" w14:textId="77777777" w:rsidR="005F1811" w:rsidRPr="000F2D4C" w:rsidRDefault="005F1811" w:rsidP="005530C2">
      <w:pPr>
        <w:pStyle w:val="ListBullet"/>
      </w:pPr>
      <w:r w:rsidRPr="000F2D4C">
        <w:t>the money available for contracting an external evaluation team to undertake the evaluation</w:t>
      </w:r>
    </w:p>
    <w:p w14:paraId="7E71EAC4" w14:textId="16897663" w:rsidR="00666BC4" w:rsidRPr="000F2D4C" w:rsidRDefault="00666BC4" w:rsidP="005530C2">
      <w:pPr>
        <w:pStyle w:val="ListBullet"/>
      </w:pPr>
      <w:r w:rsidRPr="000F2D4C">
        <w:lastRenderedPageBreak/>
        <w:t>the money available to remunerate advisory committees (where participants, such as those with lived and</w:t>
      </w:r>
      <w:r w:rsidR="72F07C26" w:rsidRPr="000F2D4C">
        <w:t>/or</w:t>
      </w:r>
      <w:r w:rsidRPr="000F2D4C">
        <w:t xml:space="preserve"> living experience</w:t>
      </w:r>
      <w:r w:rsidR="1C20C3A4" w:rsidRPr="000F2D4C">
        <w:t>,</w:t>
      </w:r>
      <w:r w:rsidRPr="000F2D4C">
        <w:t xml:space="preserve"> and community members are not </w:t>
      </w:r>
      <w:r w:rsidR="00476489" w:rsidRPr="000F2D4C">
        <w:t>employed by the organisation</w:t>
      </w:r>
      <w:r w:rsidRPr="000F2D4C">
        <w:t>) and to provide payments to service users to recognise the time involved in their contribution to evaluation</w:t>
      </w:r>
    </w:p>
    <w:p w14:paraId="04991BDE" w14:textId="77777777" w:rsidR="005F1811" w:rsidRPr="000F2D4C" w:rsidRDefault="005F1811" w:rsidP="005530C2">
      <w:pPr>
        <w:pStyle w:val="ListBullet"/>
      </w:pPr>
      <w:r w:rsidRPr="000F2D4C">
        <w:t>previous evaluations that can be drawn on to inform your evaluation design and compare your findings against.</w:t>
      </w:r>
    </w:p>
    <w:p w14:paraId="00CEB658" w14:textId="77777777" w:rsidR="005F1811" w:rsidRPr="000F2D4C" w:rsidRDefault="005F1811" w:rsidP="005F1811">
      <w:r w:rsidRPr="000F2D4C">
        <w:t>Even if an external evaluation team is engaged, staff will still need time to:</w:t>
      </w:r>
    </w:p>
    <w:p w14:paraId="15360545" w14:textId="77777777" w:rsidR="005F1811" w:rsidRPr="000F2D4C" w:rsidRDefault="005F1811" w:rsidP="005530C2">
      <w:pPr>
        <w:pStyle w:val="ListBullet"/>
      </w:pPr>
      <w:r w:rsidRPr="000F2D4C">
        <w:t>develop the request for proposal and review proposals</w:t>
      </w:r>
    </w:p>
    <w:p w14:paraId="5474DD7E" w14:textId="0244955C" w:rsidR="005F1811" w:rsidRPr="000F2D4C" w:rsidRDefault="005F1811" w:rsidP="005530C2">
      <w:pPr>
        <w:pStyle w:val="ListBullet"/>
      </w:pPr>
      <w:r w:rsidRPr="000F2D4C">
        <w:t xml:space="preserve">meet with the evaluation team to brief them </w:t>
      </w:r>
    </w:p>
    <w:p w14:paraId="2261FD4F" w14:textId="77777777" w:rsidR="005F1811" w:rsidRPr="000F2D4C" w:rsidRDefault="005F1811" w:rsidP="005530C2">
      <w:pPr>
        <w:pStyle w:val="ListBullet"/>
      </w:pPr>
      <w:r w:rsidRPr="000F2D4C">
        <w:t>review the proposed evaluation plan</w:t>
      </w:r>
    </w:p>
    <w:p w14:paraId="0C2BB3BC" w14:textId="30079114" w:rsidR="00CF04F0" w:rsidRPr="000F2D4C" w:rsidRDefault="00CF04F0" w:rsidP="005530C2">
      <w:pPr>
        <w:pStyle w:val="ListBullet"/>
      </w:pPr>
      <w:r w:rsidRPr="000F2D4C">
        <w:t>work collaboratively with the evaluation team to support the evaluation process</w:t>
      </w:r>
    </w:p>
    <w:p w14:paraId="06ED283B" w14:textId="4C2A2AD7" w:rsidR="00CF04F0" w:rsidRPr="000F2D4C" w:rsidRDefault="005F1811" w:rsidP="005530C2">
      <w:pPr>
        <w:pStyle w:val="ListBullet"/>
      </w:pPr>
      <w:r w:rsidRPr="000F2D4C">
        <w:t>provid</w:t>
      </w:r>
      <w:r w:rsidR="00CF04F0" w:rsidRPr="000F2D4C">
        <w:t xml:space="preserve">ing </w:t>
      </w:r>
      <w:r w:rsidRPr="000F2D4C">
        <w:t>access to de-identified data</w:t>
      </w:r>
      <w:r w:rsidR="1D7F58D3" w:rsidRPr="000F2D4C">
        <w:t xml:space="preserve"> </w:t>
      </w:r>
      <w:r w:rsidR="00CF04F0" w:rsidRPr="000F2D4C">
        <w:t xml:space="preserve">and </w:t>
      </w:r>
      <w:r w:rsidRPr="000F2D4C">
        <w:t>mak</w:t>
      </w:r>
      <w:r w:rsidR="00CF04F0" w:rsidRPr="000F2D4C">
        <w:t>ing</w:t>
      </w:r>
      <w:r w:rsidRPr="000F2D4C">
        <w:t xml:space="preserve"> connections to stakeholders</w:t>
      </w:r>
      <w:r w:rsidR="00F428C7" w:rsidRPr="000F2D4C">
        <w:t xml:space="preserve">, including service users </w:t>
      </w:r>
    </w:p>
    <w:p w14:paraId="16EC168B" w14:textId="77777777" w:rsidR="00CF04F0" w:rsidRPr="000F2D4C" w:rsidRDefault="005F1811" w:rsidP="005530C2">
      <w:pPr>
        <w:pStyle w:val="ListBullet"/>
      </w:pPr>
      <w:r w:rsidRPr="000F2D4C">
        <w:t>review evaluation reports and implications</w:t>
      </w:r>
    </w:p>
    <w:p w14:paraId="066539F5" w14:textId="317FEDF9" w:rsidR="005F1811" w:rsidRPr="000F2D4C" w:rsidRDefault="00CF04F0" w:rsidP="005530C2">
      <w:pPr>
        <w:pStyle w:val="ListBullet"/>
      </w:pPr>
      <w:r w:rsidRPr="000F2D4C">
        <w:t>consider how they will use findings</w:t>
      </w:r>
      <w:r w:rsidR="005F1811" w:rsidRPr="000F2D4C">
        <w:t>.</w:t>
      </w:r>
    </w:p>
    <w:p w14:paraId="30EDC5B5" w14:textId="77777777" w:rsidR="00326AC7" w:rsidRPr="000F2D4C" w:rsidRDefault="00326AC7" w:rsidP="00326AC7">
      <w:pPr>
        <w:pStyle w:val="ListBullet"/>
        <w:numPr>
          <w:ilvl w:val="0"/>
          <w:numId w:val="0"/>
        </w:numPr>
        <w:spacing w:line="240" w:lineRule="auto"/>
        <w:ind w:left="360" w:hanging="360"/>
      </w:pPr>
    </w:p>
    <w:p w14:paraId="4E286521" w14:textId="39B181C4" w:rsidR="007A35E1" w:rsidRPr="000F2D4C" w:rsidRDefault="008913DA" w:rsidP="005E367D">
      <w:pPr>
        <w:pStyle w:val="Heading2"/>
      </w:pPr>
      <w:bookmarkStart w:id="36" w:name="_Toc149918992"/>
      <w:r w:rsidRPr="000F2D4C">
        <w:t xml:space="preserve">Deciding </w:t>
      </w:r>
      <w:r w:rsidR="00E85BED" w:rsidRPr="000F2D4C">
        <w:t xml:space="preserve">whether </w:t>
      </w:r>
      <w:r w:rsidR="002D4732" w:rsidRPr="000F2D4C">
        <w:t xml:space="preserve">and when </w:t>
      </w:r>
      <w:r w:rsidR="00E85BED" w:rsidRPr="000F2D4C">
        <w:t>to</w:t>
      </w:r>
      <w:r w:rsidRPr="000F2D4C">
        <w:t xml:space="preserve"> evaluate </w:t>
      </w:r>
      <w:r w:rsidR="005F1811" w:rsidRPr="000F2D4C">
        <w:t>a program</w:t>
      </w:r>
      <w:bookmarkEnd w:id="36"/>
    </w:p>
    <w:p w14:paraId="4A61D084" w14:textId="28DAEBBA" w:rsidR="005F1811" w:rsidRPr="000F2D4C" w:rsidRDefault="00C26752" w:rsidP="007A35E1">
      <w:r w:rsidRPr="000F2D4C">
        <w:t>As e</w:t>
      </w:r>
      <w:r w:rsidR="005F1811" w:rsidRPr="000F2D4C">
        <w:t>valuation</w:t>
      </w:r>
      <w:r w:rsidRPr="000F2D4C">
        <w:t>s</w:t>
      </w:r>
      <w:r w:rsidR="005F1811" w:rsidRPr="000F2D4C">
        <w:t xml:space="preserve"> take time and resources</w:t>
      </w:r>
      <w:r w:rsidRPr="000F2D4C">
        <w:t>, there is a need</w:t>
      </w:r>
      <w:r w:rsidR="005F1811" w:rsidRPr="000F2D4C">
        <w:t xml:space="preserve"> to </w:t>
      </w:r>
      <w:r w:rsidR="007C0E41" w:rsidRPr="000F2D4C">
        <w:t>weigh</w:t>
      </w:r>
      <w:r w:rsidR="005F1811" w:rsidRPr="000F2D4C">
        <w:t xml:space="preserve"> the cost of evaluation </w:t>
      </w:r>
      <w:r w:rsidR="007C0E41" w:rsidRPr="000F2D4C">
        <w:t>against</w:t>
      </w:r>
      <w:r w:rsidR="005F1811" w:rsidRPr="000F2D4C">
        <w:t xml:space="preserve"> the risk of not evaluating.</w:t>
      </w:r>
      <w:r w:rsidR="000F120B" w:rsidRPr="000F2D4C">
        <w:t xml:space="preserve"> Various government agencies have their own criteria for prioritising programs to be evaluated.</w:t>
      </w:r>
    </w:p>
    <w:p w14:paraId="1E1F38EF" w14:textId="683A88C1" w:rsidR="007A35E1" w:rsidRPr="000F2D4C" w:rsidRDefault="000F120B" w:rsidP="007A35E1">
      <w:r w:rsidRPr="000F2D4C">
        <w:t>In the context of mental health and suicide prevention programs</w:t>
      </w:r>
      <w:r w:rsidR="007A35E1" w:rsidRPr="000F2D4C">
        <w:t xml:space="preserve">, criteria for prioritising programs </w:t>
      </w:r>
      <w:r w:rsidRPr="000F2D4C">
        <w:t xml:space="preserve">and aspects of the system for </w:t>
      </w:r>
      <w:r w:rsidR="007A35E1" w:rsidRPr="000F2D4C">
        <w:t>evaluation include</w:t>
      </w:r>
      <w:r w:rsidR="4E140676" w:rsidRPr="000F2D4C">
        <w:t xml:space="preserve"> the following</w:t>
      </w:r>
      <w:r w:rsidR="007A35E1" w:rsidRPr="000F2D4C">
        <w:t xml:space="preserve">: </w:t>
      </w:r>
    </w:p>
    <w:p w14:paraId="2ED7EE49" w14:textId="136214EB" w:rsidR="007A35E1" w:rsidRPr="000F2D4C" w:rsidRDefault="007A35E1" w:rsidP="00FC2CEE">
      <w:pPr>
        <w:pStyle w:val="pf0"/>
        <w:numPr>
          <w:ilvl w:val="0"/>
          <w:numId w:val="41"/>
        </w:numPr>
        <w:rPr>
          <w:rStyle w:val="cf01"/>
          <w:rFonts w:ascii="Arial" w:hAnsi="Arial" w:cs="Arial"/>
          <w:sz w:val="20"/>
          <w:szCs w:val="20"/>
        </w:rPr>
      </w:pPr>
      <w:r w:rsidRPr="000F2D4C">
        <w:rPr>
          <w:rStyle w:val="cf01"/>
          <w:b/>
          <w:bCs/>
          <w:sz w:val="20"/>
          <w:szCs w:val="20"/>
        </w:rPr>
        <w:t>Funding/ investment</w:t>
      </w:r>
      <w:r w:rsidR="005F1811" w:rsidRPr="000F2D4C">
        <w:rPr>
          <w:rStyle w:val="cf01"/>
          <w:sz w:val="20"/>
          <w:szCs w:val="20"/>
        </w:rPr>
        <w:t>:</w:t>
      </w:r>
      <w:r w:rsidRPr="000F2D4C">
        <w:rPr>
          <w:rStyle w:val="cf01"/>
          <w:sz w:val="20"/>
          <w:szCs w:val="20"/>
        </w:rPr>
        <w:t xml:space="preserve"> programs with higher investment or ahead of additional investment</w:t>
      </w:r>
      <w:r w:rsidR="00022734" w:rsidRPr="000F2D4C">
        <w:rPr>
          <w:rStyle w:val="cf01"/>
          <w:sz w:val="20"/>
          <w:szCs w:val="20"/>
        </w:rPr>
        <w:t>,</w:t>
      </w:r>
      <w:r w:rsidRPr="000F2D4C">
        <w:rPr>
          <w:rStyle w:val="cf01"/>
          <w:sz w:val="20"/>
          <w:szCs w:val="20"/>
        </w:rPr>
        <w:t xml:space="preserve"> </w:t>
      </w:r>
      <w:r w:rsidR="67EACF4B" w:rsidRPr="000F2D4C">
        <w:rPr>
          <w:rStyle w:val="cf01"/>
          <w:sz w:val="20"/>
          <w:szCs w:val="20"/>
        </w:rPr>
        <w:t xml:space="preserve">or </w:t>
      </w:r>
      <w:r w:rsidRPr="000F2D4C">
        <w:rPr>
          <w:rStyle w:val="cf01"/>
          <w:sz w:val="20"/>
          <w:szCs w:val="20"/>
        </w:rPr>
        <w:t>scale</w:t>
      </w:r>
      <w:r w:rsidR="24E76B8E" w:rsidRPr="000F2D4C">
        <w:rPr>
          <w:rStyle w:val="cf01"/>
          <w:sz w:val="20"/>
          <w:szCs w:val="20"/>
        </w:rPr>
        <w:t>-</w:t>
      </w:r>
      <w:r w:rsidRPr="000F2D4C">
        <w:rPr>
          <w:rStyle w:val="cf01"/>
          <w:sz w:val="20"/>
          <w:szCs w:val="20"/>
        </w:rPr>
        <w:t>up or decision-making about ongoing funding</w:t>
      </w:r>
    </w:p>
    <w:p w14:paraId="2CDD289C" w14:textId="1440B0CD" w:rsidR="007A35E1" w:rsidRPr="000F2D4C" w:rsidRDefault="007A35E1" w:rsidP="00FC2CEE">
      <w:pPr>
        <w:pStyle w:val="pf0"/>
        <w:numPr>
          <w:ilvl w:val="0"/>
          <w:numId w:val="41"/>
        </w:numPr>
        <w:rPr>
          <w:rFonts w:ascii="Arial" w:hAnsi="Arial" w:cs="Arial"/>
          <w:sz w:val="20"/>
          <w:szCs w:val="20"/>
        </w:rPr>
      </w:pPr>
      <w:r w:rsidRPr="000F2D4C">
        <w:rPr>
          <w:rStyle w:val="cf01"/>
          <w:b/>
          <w:bCs/>
          <w:sz w:val="20"/>
          <w:szCs w:val="20"/>
        </w:rPr>
        <w:t>Risk</w:t>
      </w:r>
      <w:r w:rsidR="005F1811" w:rsidRPr="000F2D4C">
        <w:rPr>
          <w:rStyle w:val="cf01"/>
          <w:sz w:val="20"/>
          <w:szCs w:val="20"/>
        </w:rPr>
        <w:t>:</w:t>
      </w:r>
      <w:r w:rsidRPr="000F2D4C">
        <w:rPr>
          <w:rStyle w:val="cf01"/>
          <w:sz w:val="20"/>
          <w:szCs w:val="20"/>
        </w:rPr>
        <w:t xml:space="preserve"> programs that are high profile or sensitive, or where monitoring data</w:t>
      </w:r>
      <w:r w:rsidR="008C6720" w:rsidRPr="000F2D4C">
        <w:rPr>
          <w:rStyle w:val="cf01"/>
          <w:sz w:val="20"/>
          <w:szCs w:val="20"/>
        </w:rPr>
        <w:t>,</w:t>
      </w:r>
      <w:r w:rsidRPr="000F2D4C">
        <w:rPr>
          <w:rStyle w:val="cf01"/>
          <w:sz w:val="20"/>
          <w:szCs w:val="20"/>
        </w:rPr>
        <w:t xml:space="preserve"> </w:t>
      </w:r>
      <w:r w:rsidR="005F1811" w:rsidRPr="000F2D4C">
        <w:rPr>
          <w:rStyle w:val="cf01"/>
          <w:sz w:val="20"/>
          <w:szCs w:val="20"/>
        </w:rPr>
        <w:t>service user or</w:t>
      </w:r>
      <w:r w:rsidRPr="000F2D4C">
        <w:rPr>
          <w:rStyle w:val="cf01"/>
          <w:sz w:val="20"/>
          <w:szCs w:val="20"/>
        </w:rPr>
        <w:t xml:space="preserve"> workforce feedback suggest things are off-track or not working as intended</w:t>
      </w:r>
    </w:p>
    <w:p w14:paraId="3B6BA417" w14:textId="4CFAE27D" w:rsidR="007A35E1" w:rsidRPr="000F2D4C" w:rsidRDefault="007A35E1" w:rsidP="00FC2CEE">
      <w:pPr>
        <w:pStyle w:val="pf0"/>
        <w:numPr>
          <w:ilvl w:val="0"/>
          <w:numId w:val="41"/>
        </w:numPr>
        <w:rPr>
          <w:rStyle w:val="cf01"/>
          <w:rFonts w:ascii="Arial" w:hAnsi="Arial" w:cs="Arial"/>
          <w:sz w:val="20"/>
          <w:szCs w:val="20"/>
        </w:rPr>
      </w:pPr>
      <w:r w:rsidRPr="000F2D4C">
        <w:rPr>
          <w:rStyle w:val="cf01"/>
          <w:b/>
          <w:bCs/>
          <w:sz w:val="20"/>
          <w:szCs w:val="20"/>
        </w:rPr>
        <w:t>Available evidence</w:t>
      </w:r>
      <w:r w:rsidR="005F1811" w:rsidRPr="000F2D4C">
        <w:rPr>
          <w:rStyle w:val="cf01"/>
          <w:sz w:val="20"/>
          <w:szCs w:val="20"/>
        </w:rPr>
        <w:t>:</w:t>
      </w:r>
      <w:r w:rsidRPr="000F2D4C">
        <w:rPr>
          <w:rStyle w:val="cf01"/>
          <w:sz w:val="20"/>
          <w:szCs w:val="20"/>
        </w:rPr>
        <w:t xml:space="preserve"> programs with limited existing evidence or with limited existing evidence for the target group</w:t>
      </w:r>
    </w:p>
    <w:p w14:paraId="2B82E1C5" w14:textId="65A45EA9" w:rsidR="007A35E1" w:rsidRPr="000F2D4C" w:rsidRDefault="005F1811" w:rsidP="00FC2CEE">
      <w:pPr>
        <w:pStyle w:val="ListBullet"/>
        <w:numPr>
          <w:ilvl w:val="0"/>
          <w:numId w:val="41"/>
        </w:numPr>
      </w:pPr>
      <w:r w:rsidRPr="000F2D4C">
        <w:rPr>
          <w:b/>
          <w:bCs/>
        </w:rPr>
        <w:t>Equity and p</w:t>
      </w:r>
      <w:r w:rsidR="007A35E1" w:rsidRPr="000F2D4C">
        <w:rPr>
          <w:b/>
          <w:bCs/>
        </w:rPr>
        <w:t>riority populations</w:t>
      </w:r>
      <w:r w:rsidRPr="000F2D4C">
        <w:t>:</w:t>
      </w:r>
      <w:r w:rsidRPr="000F2D4C">
        <w:rPr>
          <w:b/>
          <w:bCs/>
        </w:rPr>
        <w:t xml:space="preserve"> </w:t>
      </w:r>
      <w:r w:rsidRPr="000F2D4C">
        <w:t>programs that seek to address barriers to accessing services and/or target</w:t>
      </w:r>
      <w:r w:rsidR="007A35E1" w:rsidRPr="000F2D4C">
        <w:t xml:space="preserve"> priority populations </w:t>
      </w:r>
      <w:r w:rsidRPr="000F2D4C">
        <w:t xml:space="preserve">for mental health and suicide prevention </w:t>
      </w:r>
    </w:p>
    <w:p w14:paraId="6A302DD5" w14:textId="15728DDA" w:rsidR="007A35E1" w:rsidRPr="000F2D4C" w:rsidRDefault="007A35E1" w:rsidP="00FC2CEE">
      <w:pPr>
        <w:pStyle w:val="ListBullet"/>
        <w:numPr>
          <w:ilvl w:val="0"/>
          <w:numId w:val="41"/>
        </w:numPr>
        <w:spacing w:after="240"/>
      </w:pPr>
      <w:r w:rsidRPr="000F2D4C">
        <w:rPr>
          <w:b/>
          <w:bCs/>
        </w:rPr>
        <w:t>Service integration</w:t>
      </w:r>
      <w:r w:rsidR="005F1811" w:rsidRPr="000F2D4C">
        <w:t>:</w:t>
      </w:r>
      <w:r w:rsidRPr="000F2D4C">
        <w:t xml:space="preserve"> evaluations of programs aimed at improving integration across service boundaries or improving systems.</w:t>
      </w:r>
    </w:p>
    <w:p w14:paraId="1CEA59E0" w14:textId="38321089" w:rsidR="00BC31E7" w:rsidRPr="000F2D4C" w:rsidRDefault="002047B0" w:rsidP="002047B0">
      <w:pPr>
        <w:pStyle w:val="Heading3"/>
      </w:pPr>
      <w:r w:rsidRPr="000F2D4C">
        <w:t>Timing of evaluation</w:t>
      </w:r>
    </w:p>
    <w:p w14:paraId="4D47C158" w14:textId="7200979B" w:rsidR="000D5F17" w:rsidRPr="000F2D4C" w:rsidRDefault="70FCD449" w:rsidP="002047B0">
      <w:r w:rsidRPr="000F2D4C">
        <w:t xml:space="preserve">If an evaluation is being conducted, it should be timed to align with decision-making requirements, for example, </w:t>
      </w:r>
      <w:r w:rsidR="4703EAC6" w:rsidRPr="000F2D4C">
        <w:t>decisions about scale</w:t>
      </w:r>
      <w:r w:rsidR="23CD856F" w:rsidRPr="000F2D4C">
        <w:t>-</w:t>
      </w:r>
      <w:r w:rsidR="4703EAC6" w:rsidRPr="000F2D4C">
        <w:t xml:space="preserve">up or further funding. </w:t>
      </w:r>
    </w:p>
    <w:p w14:paraId="02DF0EF6" w14:textId="1E1CADE4" w:rsidR="002047B0" w:rsidRPr="000F2D4C" w:rsidRDefault="4703EAC6" w:rsidP="002047B0">
      <w:r w:rsidRPr="000F2D4C">
        <w:t xml:space="preserve">Some government agencies require evaluations be completed before </w:t>
      </w:r>
      <w:r w:rsidR="3C2A1646" w:rsidRPr="000F2D4C">
        <w:t xml:space="preserve">funding renewal. </w:t>
      </w:r>
      <w:r w:rsidR="00763AA6" w:rsidRPr="000F2D4C">
        <w:t>Depending on the initial funding period, further evaluation might be required beyond this</w:t>
      </w:r>
      <w:r w:rsidR="00393B37" w:rsidRPr="000F2D4C">
        <w:t xml:space="preserve"> to enable a focus on medium- and longer-term </w:t>
      </w:r>
      <w:r w:rsidR="000D5F17" w:rsidRPr="000F2D4C">
        <w:t>outcomes</w:t>
      </w:r>
      <w:r w:rsidR="00393B37" w:rsidRPr="000F2D4C">
        <w:t>.</w:t>
      </w:r>
    </w:p>
    <w:p w14:paraId="7B6D7ED4" w14:textId="67431A6D" w:rsidR="00D051BA" w:rsidRPr="000F2D4C" w:rsidRDefault="00D051BA" w:rsidP="002047B0">
      <w:r w:rsidRPr="000F2D4C">
        <w:lastRenderedPageBreak/>
        <w:t xml:space="preserve">The need for an evaluation might also be identified </w:t>
      </w:r>
      <w:r w:rsidR="00874853" w:rsidRPr="000F2D4C">
        <w:t>if monitoring data suggests the program is not working as intended, as evaluation might be required to identify why this is and what can be done.</w:t>
      </w:r>
    </w:p>
    <w:p w14:paraId="554B2E96" w14:textId="2E596A95" w:rsidR="002B34CE" w:rsidRPr="000F2D4C" w:rsidRDefault="00846D96" w:rsidP="00A5098D">
      <w:pPr>
        <w:pStyle w:val="Heading2"/>
      </w:pPr>
      <w:bookmarkStart w:id="37" w:name="_Toc149918993"/>
      <w:bookmarkEnd w:id="31"/>
      <w:r w:rsidRPr="000F2D4C">
        <w:t xml:space="preserve">Establishing </w:t>
      </w:r>
      <w:r w:rsidR="0043544D" w:rsidRPr="000F2D4C">
        <w:t>g</w:t>
      </w:r>
      <w:r w:rsidRPr="000F2D4C">
        <w:t>overnance arrangements</w:t>
      </w:r>
      <w:bookmarkEnd w:id="37"/>
    </w:p>
    <w:p w14:paraId="44EEF056" w14:textId="2A4987AF" w:rsidR="00846D96" w:rsidRPr="000F2D4C" w:rsidRDefault="00846D96" w:rsidP="00846D96">
      <w:r w:rsidRPr="000F2D4C">
        <w:t xml:space="preserve">For evaluations involving multiple levels of government or government agencies, it is important to agree </w:t>
      </w:r>
      <w:r w:rsidR="0060654B" w:rsidRPr="000F2D4C">
        <w:t xml:space="preserve">on </w:t>
      </w:r>
      <w:r w:rsidRPr="000F2D4C">
        <w:t xml:space="preserve">clear roles and responsibilities. This may also include consideration </w:t>
      </w:r>
      <w:r w:rsidR="006A1121" w:rsidRPr="000F2D4C">
        <w:t>of</w:t>
      </w:r>
      <w:r w:rsidRPr="000F2D4C">
        <w:t xml:space="preserve"> cost sharing of evaluations</w:t>
      </w:r>
      <w:r w:rsidRPr="000F2D4C" w:rsidDel="0010280C">
        <w:t>.</w:t>
      </w:r>
      <w:r w:rsidRPr="000F2D4C" w:rsidDel="00A4392C">
        <w:t xml:space="preserve"> </w:t>
      </w:r>
    </w:p>
    <w:p w14:paraId="29518434" w14:textId="6FA1C528" w:rsidR="006A1121" w:rsidRPr="000F2D4C" w:rsidRDefault="00846D96" w:rsidP="00846D96">
      <w:r w:rsidRPr="000F2D4C">
        <w:t>There is also a need to specify the role of funded service providers in evaluation</w:t>
      </w:r>
      <w:r w:rsidR="006A1121" w:rsidRPr="000F2D4C">
        <w:t xml:space="preserve">, </w:t>
      </w:r>
      <w:r w:rsidRPr="000F2D4C">
        <w:t>for example, providing access to de-identified data, inviting service users to participate in evaluation</w:t>
      </w:r>
      <w:r w:rsidR="006A1121" w:rsidRPr="000F2D4C">
        <w:t>.</w:t>
      </w:r>
    </w:p>
    <w:p w14:paraId="6D370B0F" w14:textId="63778044" w:rsidR="00846D96" w:rsidRPr="000F2D4C" w:rsidRDefault="006A1121" w:rsidP="00846D96">
      <w:r w:rsidRPr="000F2D4C">
        <w:t xml:space="preserve">If an external evaluation provider is contracted, there is also a need to </w:t>
      </w:r>
      <w:r w:rsidR="00846D96" w:rsidRPr="000F2D4C">
        <w:t>clearly outline the role of the evaluation team in an agreed scope of works.</w:t>
      </w:r>
    </w:p>
    <w:p w14:paraId="4D414093" w14:textId="40390E28" w:rsidR="00846D96" w:rsidRPr="000F2D4C" w:rsidRDefault="00846D96" w:rsidP="00846D96">
      <w:pPr>
        <w:pStyle w:val="Heading3"/>
      </w:pPr>
      <w:r w:rsidRPr="000F2D4C">
        <w:t>Oversight or advisory committees</w:t>
      </w:r>
    </w:p>
    <w:p w14:paraId="404724B5" w14:textId="0D6EAC93" w:rsidR="002B34CE" w:rsidRPr="000F2D4C" w:rsidRDefault="002B34CE" w:rsidP="002B34CE">
      <w:r w:rsidRPr="000F2D4C">
        <w:t xml:space="preserve">Clear oversight arrangements should be established for evaluations, such as steering committees </w:t>
      </w:r>
      <w:r w:rsidR="00874853" w:rsidRPr="000F2D4C">
        <w:t>and/</w:t>
      </w:r>
      <w:r w:rsidRPr="000F2D4C">
        <w:t xml:space="preserve">or advisory committees. </w:t>
      </w:r>
    </w:p>
    <w:p w14:paraId="04580308" w14:textId="67982498" w:rsidR="002B34CE" w:rsidRPr="000F2D4C" w:rsidRDefault="002B34CE" w:rsidP="002B34CE">
      <w:r w:rsidRPr="000F2D4C">
        <w:t>These committees can have an important role in ensuring evaluation designs are both robust and feasible</w:t>
      </w:r>
      <w:r w:rsidR="62E70BCA" w:rsidRPr="000F2D4C">
        <w:t>,</w:t>
      </w:r>
      <w:r w:rsidRPr="000F2D4C">
        <w:t xml:space="preserve"> and in building stakeholder acceptance of evaluation recommendations.</w:t>
      </w:r>
    </w:p>
    <w:p w14:paraId="3F790420" w14:textId="4F10C065" w:rsidR="002B34CE" w:rsidRPr="000F2D4C" w:rsidRDefault="002B34CE" w:rsidP="002B34CE">
      <w:r w:rsidRPr="000F2D4C">
        <w:t xml:space="preserve">An advisory or steering committee should have clear terms of reference. </w:t>
      </w:r>
      <w:r w:rsidR="00874853" w:rsidRPr="000F2D4C">
        <w:t>Their</w:t>
      </w:r>
      <w:r w:rsidRPr="000F2D4C">
        <w:t xml:space="preserve"> role in evaluation governance could encompass: </w:t>
      </w:r>
    </w:p>
    <w:p w14:paraId="20A01EA3" w14:textId="77777777" w:rsidR="002B34CE" w:rsidRPr="000F2D4C" w:rsidRDefault="002B34CE" w:rsidP="005530C2">
      <w:pPr>
        <w:pStyle w:val="ListBullet"/>
      </w:pPr>
      <w:r w:rsidRPr="000F2D4C">
        <w:t>informing the request for quote or tender for the evaluation (if being undertaken externally)</w:t>
      </w:r>
    </w:p>
    <w:p w14:paraId="39C412FB" w14:textId="77777777" w:rsidR="002B34CE" w:rsidRPr="000F2D4C" w:rsidRDefault="002B34CE" w:rsidP="005530C2">
      <w:pPr>
        <w:pStyle w:val="ListBullet"/>
      </w:pPr>
      <w:r w:rsidRPr="000F2D4C">
        <w:t>reviewing proposal/s for the evaluation</w:t>
      </w:r>
    </w:p>
    <w:p w14:paraId="3218F0C4" w14:textId="5B268315" w:rsidR="002B34CE" w:rsidRPr="000F2D4C" w:rsidRDefault="002B34CE" w:rsidP="005530C2">
      <w:pPr>
        <w:pStyle w:val="ListBullet"/>
      </w:pPr>
      <w:r w:rsidRPr="000F2D4C">
        <w:t>reviewing, contributing to</w:t>
      </w:r>
      <w:r w:rsidR="7DB9BB64" w:rsidRPr="000F2D4C">
        <w:t>,</w:t>
      </w:r>
      <w:r w:rsidRPr="000F2D4C">
        <w:t xml:space="preserve"> and potentially approving detailed evaluation plans </w:t>
      </w:r>
    </w:p>
    <w:p w14:paraId="01D950EB" w14:textId="45BDB8DA" w:rsidR="002B34CE" w:rsidRPr="000F2D4C" w:rsidRDefault="00413747" w:rsidP="005530C2">
      <w:pPr>
        <w:pStyle w:val="ListBullet"/>
      </w:pPr>
      <w:r w:rsidRPr="000F2D4C">
        <w:t xml:space="preserve">providing </w:t>
      </w:r>
      <w:r w:rsidR="002B34CE" w:rsidRPr="000F2D4C">
        <w:t xml:space="preserve">lived </w:t>
      </w:r>
      <w:r w:rsidRPr="000F2D4C">
        <w:t xml:space="preserve">and/or living </w:t>
      </w:r>
      <w:r w:rsidR="002B34CE" w:rsidRPr="000F2D4C">
        <w:t xml:space="preserve">experience </w:t>
      </w:r>
      <w:r w:rsidR="00094BD3" w:rsidRPr="000F2D4C">
        <w:t xml:space="preserve">and </w:t>
      </w:r>
      <w:r w:rsidRPr="000F2D4C">
        <w:t>expertise through designated</w:t>
      </w:r>
      <w:r w:rsidR="002B34CE" w:rsidRPr="000F2D4C">
        <w:t xml:space="preserve"> </w:t>
      </w:r>
      <w:r w:rsidR="6EAF8549" w:rsidRPr="000F2D4C">
        <w:t>roles</w:t>
      </w:r>
      <w:r w:rsidRPr="000F2D4C">
        <w:t>,</w:t>
      </w:r>
      <w:r w:rsidR="6EAF8549" w:rsidRPr="000F2D4C">
        <w:t xml:space="preserve"> and</w:t>
      </w:r>
      <w:r w:rsidRPr="000F2D4C">
        <w:t>/or</w:t>
      </w:r>
      <w:r w:rsidR="6EAF8549" w:rsidRPr="000F2D4C">
        <w:t xml:space="preserve"> </w:t>
      </w:r>
      <w:r w:rsidRPr="000F2D4C">
        <w:t xml:space="preserve">facilitating lived </w:t>
      </w:r>
      <w:r w:rsidR="1AC6AE45" w:rsidRPr="000F2D4C">
        <w:t xml:space="preserve">and/or living </w:t>
      </w:r>
      <w:r w:rsidRPr="000F2D4C">
        <w:t>experience partnerships</w:t>
      </w:r>
      <w:r w:rsidR="6EAF8549" w:rsidRPr="000F2D4C">
        <w:t xml:space="preserve"> and </w:t>
      </w:r>
      <w:r w:rsidR="002B34CE" w:rsidRPr="000F2D4C">
        <w:t>engagement</w:t>
      </w:r>
    </w:p>
    <w:p w14:paraId="09020651" w14:textId="6FF25EE7" w:rsidR="002B34CE" w:rsidRPr="000F2D4C" w:rsidRDefault="002D4732" w:rsidP="005530C2">
      <w:pPr>
        <w:pStyle w:val="ListBullet"/>
      </w:pPr>
      <w:r w:rsidRPr="000F2D4C">
        <w:t xml:space="preserve">Aboriginal and Torres Strait Islander </w:t>
      </w:r>
      <w:r w:rsidR="6CD65E4C" w:rsidRPr="000F2D4C">
        <w:t>g</w:t>
      </w:r>
      <w:r w:rsidRPr="000F2D4C">
        <w:t xml:space="preserve">overnance and </w:t>
      </w:r>
      <w:r w:rsidR="002B34CE" w:rsidRPr="000F2D4C">
        <w:t>cultural safety of the evaluation</w:t>
      </w:r>
    </w:p>
    <w:p w14:paraId="01072040" w14:textId="76DAA36C" w:rsidR="00EA493D" w:rsidRPr="000F2D4C" w:rsidRDefault="00C75039" w:rsidP="005530C2">
      <w:pPr>
        <w:pStyle w:val="ListBullet"/>
      </w:pPr>
      <w:r w:rsidRPr="000F2D4C">
        <w:t xml:space="preserve">inclusion </w:t>
      </w:r>
      <w:r w:rsidR="008765C5" w:rsidRPr="000F2D4C">
        <w:t>and safety for</w:t>
      </w:r>
      <w:r w:rsidR="000F3418" w:rsidRPr="000F2D4C">
        <w:t xml:space="preserve"> diverse communities, including</w:t>
      </w:r>
      <w:r w:rsidR="00771086" w:rsidRPr="000F2D4C">
        <w:t xml:space="preserve"> </w:t>
      </w:r>
      <w:r w:rsidR="00EA493D" w:rsidRPr="000F2D4C">
        <w:t>culturally and linguistically diverse</w:t>
      </w:r>
      <w:r w:rsidR="00771086" w:rsidRPr="000F2D4C">
        <w:t xml:space="preserve"> communities</w:t>
      </w:r>
      <w:r w:rsidR="00EA493D" w:rsidRPr="000F2D4C">
        <w:t xml:space="preserve"> </w:t>
      </w:r>
    </w:p>
    <w:p w14:paraId="2DB8F4B9" w14:textId="77777777" w:rsidR="002B34CE" w:rsidRPr="000F2D4C" w:rsidRDefault="002B34CE" w:rsidP="005530C2">
      <w:pPr>
        <w:pStyle w:val="ListBullet"/>
      </w:pPr>
      <w:r w:rsidRPr="000F2D4C">
        <w:t>supporting the evaluation to connect with key stakeholder groups</w:t>
      </w:r>
    </w:p>
    <w:p w14:paraId="2B911685" w14:textId="0B72177B" w:rsidR="002B34CE" w:rsidRPr="000F2D4C" w:rsidRDefault="002B34CE" w:rsidP="005530C2">
      <w:pPr>
        <w:pStyle w:val="ListBullet"/>
      </w:pPr>
      <w:r w:rsidRPr="000F2D4C">
        <w:t>reviewing, contributing to</w:t>
      </w:r>
      <w:r w:rsidR="1FAF4A9C" w:rsidRPr="000F2D4C">
        <w:t>,</w:t>
      </w:r>
      <w:r w:rsidRPr="000F2D4C">
        <w:t xml:space="preserve"> and potentially accepting evaluation reports </w:t>
      </w:r>
    </w:p>
    <w:p w14:paraId="7819B52E" w14:textId="77777777" w:rsidR="002B34CE" w:rsidRPr="000F2D4C" w:rsidRDefault="002B34CE" w:rsidP="005530C2">
      <w:pPr>
        <w:pStyle w:val="ListBullet"/>
      </w:pPr>
      <w:r w:rsidRPr="000F2D4C">
        <w:t>informing key policy and program implications of evaluation findings</w:t>
      </w:r>
    </w:p>
    <w:p w14:paraId="0D48AB80" w14:textId="434B520C" w:rsidR="002B34CE" w:rsidRPr="000F2D4C" w:rsidRDefault="002B34CE" w:rsidP="005530C2">
      <w:pPr>
        <w:pStyle w:val="ListBullet"/>
      </w:pPr>
      <w:r w:rsidRPr="000F2D4C">
        <w:t>supporting the dissemination of findings to key decision</w:t>
      </w:r>
      <w:r w:rsidR="3D799622" w:rsidRPr="000F2D4C">
        <w:t>-</w:t>
      </w:r>
      <w:r w:rsidRPr="000F2D4C">
        <w:t>makers.</w:t>
      </w:r>
    </w:p>
    <w:p w14:paraId="19239DFD" w14:textId="77777777" w:rsidR="003C0FC2" w:rsidRDefault="003C0FC2" w:rsidP="002B34CE"/>
    <w:p w14:paraId="37E7FA15" w14:textId="648D3B2A" w:rsidR="002B34CE" w:rsidRPr="000F2D4C" w:rsidRDefault="002B34CE" w:rsidP="002B34CE">
      <w:r w:rsidRPr="000F2D4C">
        <w:t>The terms of reference should make clear how decisions about the evaluation are made and whether the committee has an advisory or decision-making/ sign-off role.</w:t>
      </w:r>
    </w:p>
    <w:p w14:paraId="287A8C77" w14:textId="3E5E0E51" w:rsidR="006A1121" w:rsidRPr="000F2D4C" w:rsidRDefault="006A1121" w:rsidP="002B34CE">
      <w:r w:rsidRPr="000F2D4C">
        <w:t xml:space="preserve">Where different levels of government or government agencies are involved, advisory committees should include representatives from all relevant agencies to ensure local contextual factors are considered in the evaluation design and interpretation of findings. This </w:t>
      </w:r>
      <w:r w:rsidRPr="000F2D4C">
        <w:lastRenderedPageBreak/>
        <w:t>can also provide the opportunity for additional questions</w:t>
      </w:r>
      <w:r w:rsidR="3134477C" w:rsidRPr="000F2D4C">
        <w:t>,</w:t>
      </w:r>
      <w:r w:rsidRPr="000F2D4C">
        <w:t xml:space="preserve"> and data collection to be considered in different jurisdictions</w:t>
      </w:r>
      <w:r w:rsidR="00F40171" w:rsidRPr="000F2D4C">
        <w:t>.</w:t>
      </w:r>
    </w:p>
    <w:p w14:paraId="0519BDD5" w14:textId="19D0743D" w:rsidR="002B34CE" w:rsidRPr="000F2D4C" w:rsidRDefault="002B34CE" w:rsidP="002B34CE">
      <w:r w:rsidRPr="000F2D4C">
        <w:t>Consideration should be given as to whether there is one committee that includes funders</w:t>
      </w:r>
      <w:r w:rsidR="3DE374EA" w:rsidRPr="000F2D4C">
        <w:t>,</w:t>
      </w:r>
      <w:r w:rsidRPr="000F2D4C">
        <w:t xml:space="preserve"> lived and</w:t>
      </w:r>
      <w:r w:rsidR="06B04E01" w:rsidRPr="000F2D4C">
        <w:t>/or</w:t>
      </w:r>
      <w:r w:rsidRPr="000F2D4C">
        <w:t xml:space="preserve"> living experience representatives, representatives of priority groups and/or external experts</w:t>
      </w:r>
      <w:r w:rsidR="00F37D80" w:rsidRPr="000F2D4C">
        <w:t>,</w:t>
      </w:r>
      <w:r w:rsidRPr="000F2D4C">
        <w:t xml:space="preserve"> or </w:t>
      </w:r>
      <w:r w:rsidR="0089610D" w:rsidRPr="000F2D4C">
        <w:t>if</w:t>
      </w:r>
      <w:r w:rsidRPr="000F2D4C">
        <w:t xml:space="preserve"> there is more than one committee.</w:t>
      </w:r>
    </w:p>
    <w:p w14:paraId="47944ADA" w14:textId="22DBBB5B" w:rsidR="002B34CE" w:rsidRPr="000F2D4C" w:rsidRDefault="002B34CE" w:rsidP="006A1121">
      <w:pPr>
        <w:pStyle w:val="Heading3"/>
      </w:pPr>
      <w:r w:rsidRPr="000F2D4C">
        <w:t>Lived and</w:t>
      </w:r>
      <w:r w:rsidR="4416D6B1" w:rsidRPr="000F2D4C">
        <w:t>/or</w:t>
      </w:r>
      <w:r w:rsidRPr="000F2D4C">
        <w:t xml:space="preserve"> living experience </w:t>
      </w:r>
      <w:r w:rsidR="6E36E3E0" w:rsidRPr="000F2D4C">
        <w:t>l</w:t>
      </w:r>
      <w:r w:rsidR="006A1121" w:rsidRPr="000F2D4C">
        <w:t>eadership</w:t>
      </w:r>
    </w:p>
    <w:p w14:paraId="36D80B68" w14:textId="01998433" w:rsidR="008D474F" w:rsidRPr="000F2D4C" w:rsidRDefault="00E8020A" w:rsidP="00236D8D">
      <w:pPr>
        <w:pStyle w:val="Heading4"/>
      </w:pPr>
      <w:r w:rsidRPr="000F2D4C">
        <w:t>P</w:t>
      </w:r>
      <w:r w:rsidR="00236D8D" w:rsidRPr="000F2D4C">
        <w:t>articipation in advisory committees</w:t>
      </w:r>
    </w:p>
    <w:p w14:paraId="1F08690F" w14:textId="666ABF92" w:rsidR="002B34CE" w:rsidRPr="000F2D4C" w:rsidRDefault="002B34CE" w:rsidP="002B34CE">
      <w:r w:rsidRPr="000F2D4C">
        <w:t xml:space="preserve">Where </w:t>
      </w:r>
      <w:r w:rsidR="00DE75BA" w:rsidRPr="000F2D4C">
        <w:t>people with</w:t>
      </w:r>
      <w:r w:rsidRPr="000F2D4C">
        <w:t xml:space="preserve"> </w:t>
      </w:r>
      <w:r w:rsidR="000025B3" w:rsidRPr="000F2D4C">
        <w:t>lived and</w:t>
      </w:r>
      <w:r w:rsidR="00DE75BA" w:rsidRPr="000F2D4C">
        <w:t>/or</w:t>
      </w:r>
      <w:r w:rsidR="000025B3" w:rsidRPr="000F2D4C">
        <w:t xml:space="preserve"> living experience</w:t>
      </w:r>
      <w:r w:rsidR="00813FEF" w:rsidRPr="000F2D4C">
        <w:t xml:space="preserve"> </w:t>
      </w:r>
      <w:r w:rsidRPr="000F2D4C">
        <w:t>are included in oversight</w:t>
      </w:r>
      <w:r w:rsidR="006A1121" w:rsidRPr="000F2D4C">
        <w:t xml:space="preserve"> or advisory</w:t>
      </w:r>
      <w:r w:rsidRPr="000F2D4C">
        <w:t xml:space="preserve"> committees, it is important to consider: </w:t>
      </w:r>
    </w:p>
    <w:p w14:paraId="20B33274" w14:textId="77777777" w:rsidR="002B34CE" w:rsidRPr="000F2D4C" w:rsidRDefault="002B34CE" w:rsidP="00FC2CEE">
      <w:pPr>
        <w:pStyle w:val="ListParagraph"/>
        <w:numPr>
          <w:ilvl w:val="0"/>
          <w:numId w:val="26"/>
        </w:numPr>
      </w:pPr>
      <w:r w:rsidRPr="000F2D4C">
        <w:t>clarity of the role</w:t>
      </w:r>
      <w:r w:rsidR="00A01779" w:rsidRPr="000F2D4C">
        <w:t xml:space="preserve"> </w:t>
      </w:r>
    </w:p>
    <w:p w14:paraId="15A342FE" w14:textId="7389EC28" w:rsidR="002B34CE" w:rsidRPr="000F2D4C" w:rsidRDefault="002B34CE" w:rsidP="00FC2CEE">
      <w:pPr>
        <w:pStyle w:val="ListParagraph"/>
        <w:numPr>
          <w:ilvl w:val="0"/>
          <w:numId w:val="26"/>
        </w:numPr>
      </w:pPr>
      <w:r w:rsidRPr="000F2D4C">
        <w:t>how power dynamics will be managed</w:t>
      </w:r>
      <w:r w:rsidR="2C1F5837" w:rsidRPr="000F2D4C">
        <w:t>,</w:t>
      </w:r>
      <w:r w:rsidRPr="000F2D4C">
        <w:t xml:space="preserve"> to ensure people with lived and</w:t>
      </w:r>
      <w:r w:rsidR="00DE75BA" w:rsidRPr="000F2D4C">
        <w:t>/or</w:t>
      </w:r>
      <w:r w:rsidRPr="000F2D4C">
        <w:t xml:space="preserve"> living experience of mental ill-health and</w:t>
      </w:r>
      <w:r w:rsidR="00720E06" w:rsidRPr="000F2D4C">
        <w:t>/or</w:t>
      </w:r>
      <w:r w:rsidRPr="000F2D4C">
        <w:t xml:space="preserve"> suicide </w:t>
      </w:r>
      <w:r w:rsidR="00720E06" w:rsidRPr="000F2D4C">
        <w:t>can safely and</w:t>
      </w:r>
      <w:r w:rsidRPr="000F2D4C">
        <w:t xml:space="preserve"> </w:t>
      </w:r>
      <w:r w:rsidR="00EA02E9" w:rsidRPr="000F2D4C">
        <w:t xml:space="preserve">meaningfully </w:t>
      </w:r>
      <w:r w:rsidRPr="000F2D4C">
        <w:t>contribute</w:t>
      </w:r>
    </w:p>
    <w:p w14:paraId="1C3E17B3" w14:textId="7AF431BF" w:rsidR="00720E06" w:rsidRPr="000F2D4C" w:rsidRDefault="002B34CE" w:rsidP="00FC2CEE">
      <w:pPr>
        <w:pStyle w:val="ListParagraph"/>
        <w:numPr>
          <w:ilvl w:val="0"/>
          <w:numId w:val="26"/>
        </w:numPr>
      </w:pPr>
      <w:r w:rsidRPr="000F2D4C">
        <w:t xml:space="preserve">involving </w:t>
      </w:r>
      <w:r w:rsidR="005B299E" w:rsidRPr="000F2D4C">
        <w:t>several</w:t>
      </w:r>
      <w:r w:rsidRPr="000F2D4C">
        <w:t xml:space="preserve"> lived </w:t>
      </w:r>
      <w:r w:rsidR="00CE3A3A" w:rsidRPr="000F2D4C">
        <w:t xml:space="preserve">and/or living </w:t>
      </w:r>
      <w:r w:rsidRPr="000F2D4C">
        <w:t>experience representative</w:t>
      </w:r>
      <w:r w:rsidR="005B299E" w:rsidRPr="000F2D4C">
        <w:t>s</w:t>
      </w:r>
      <w:r w:rsidRPr="000F2D4C">
        <w:t xml:space="preserve"> </w:t>
      </w:r>
    </w:p>
    <w:p w14:paraId="334DBC40" w14:textId="49C749AD" w:rsidR="002B34CE" w:rsidRPr="000F2D4C" w:rsidRDefault="00720E06" w:rsidP="00FC2CEE">
      <w:pPr>
        <w:pStyle w:val="ListParagraph"/>
        <w:numPr>
          <w:ilvl w:val="0"/>
          <w:numId w:val="26"/>
        </w:numPr>
      </w:pPr>
      <w:r w:rsidRPr="000F2D4C">
        <w:t xml:space="preserve">intersectionality and including people with certain lived </w:t>
      </w:r>
      <w:r w:rsidR="709F1B35" w:rsidRPr="000F2D4C">
        <w:t xml:space="preserve">and/or living </w:t>
      </w:r>
      <w:r w:rsidRPr="000F2D4C">
        <w:t>experience expertise relevant to specific topics/</w:t>
      </w:r>
      <w:r w:rsidR="005D1939" w:rsidRPr="000F2D4C">
        <w:t xml:space="preserve"> </w:t>
      </w:r>
      <w:r w:rsidRPr="000F2D4C">
        <w:t xml:space="preserve">areas as appropriate </w:t>
      </w:r>
    </w:p>
    <w:p w14:paraId="4DB2D0D1" w14:textId="002EE1B8" w:rsidR="003276F3" w:rsidRPr="000F2D4C" w:rsidRDefault="003276F3" w:rsidP="00FC2CEE">
      <w:pPr>
        <w:pStyle w:val="ListParagraph"/>
        <w:numPr>
          <w:ilvl w:val="0"/>
          <w:numId w:val="26"/>
        </w:numPr>
      </w:pPr>
      <w:r w:rsidRPr="000F2D4C">
        <w:t>any additional supports that might be needed to facilitate meaningful engagement</w:t>
      </w:r>
      <w:r w:rsidR="002D5154" w:rsidRPr="000F2D4C">
        <w:t xml:space="preserve">, such as </w:t>
      </w:r>
      <w:r w:rsidR="00E27138" w:rsidRPr="000F2D4C">
        <w:t xml:space="preserve">briefing </w:t>
      </w:r>
      <w:r w:rsidR="000524FF" w:rsidRPr="000F2D4C">
        <w:t xml:space="preserve">and/or debriefing options and </w:t>
      </w:r>
      <w:r w:rsidR="002D5154" w:rsidRPr="000F2D4C">
        <w:t>peer support</w:t>
      </w:r>
    </w:p>
    <w:p w14:paraId="483BC302" w14:textId="77777777" w:rsidR="002B34CE" w:rsidRPr="000F2D4C" w:rsidRDefault="002B34CE" w:rsidP="00FC2CEE">
      <w:pPr>
        <w:pStyle w:val="ListParagraph"/>
        <w:numPr>
          <w:ilvl w:val="0"/>
          <w:numId w:val="26"/>
        </w:numPr>
      </w:pPr>
      <w:r w:rsidRPr="000F2D4C">
        <w:t>appropriate remuneration, particularly as other governance committee members would usually be doing this as part of a paid role.</w:t>
      </w:r>
    </w:p>
    <w:p w14:paraId="74DF9F12" w14:textId="460CADF1" w:rsidR="00236D8D" w:rsidRPr="000F2D4C" w:rsidRDefault="0009760B" w:rsidP="00490404">
      <w:pPr>
        <w:pStyle w:val="Heading4"/>
      </w:pPr>
      <w:r w:rsidRPr="000F2D4C">
        <w:t>P</w:t>
      </w:r>
      <w:r w:rsidR="00236D8D" w:rsidRPr="000F2D4C">
        <w:t>articipation and leadership in evaluations</w:t>
      </w:r>
    </w:p>
    <w:p w14:paraId="205747CF" w14:textId="23A0B1D2" w:rsidR="008D474F" w:rsidRPr="000F2D4C" w:rsidRDefault="008D474F" w:rsidP="008D474F">
      <w:r w:rsidRPr="000F2D4C">
        <w:t>Given the importance of lived</w:t>
      </w:r>
      <w:r w:rsidR="004B5695" w:rsidRPr="000F2D4C">
        <w:t xml:space="preserve"> and/or living experience</w:t>
      </w:r>
      <w:r w:rsidRPr="000F2D4C">
        <w:t xml:space="preserve"> leadership, evaluation teams should consider engaging team members with lived and/or living experience of mental ill-health and/or suicide, </w:t>
      </w:r>
      <w:r w:rsidR="00512EA0" w:rsidRPr="000F2D4C">
        <w:t xml:space="preserve">and those with </w:t>
      </w:r>
      <w:r w:rsidR="00720E06" w:rsidRPr="000F2D4C">
        <w:t>experience</w:t>
      </w:r>
      <w:r w:rsidR="00512EA0" w:rsidRPr="000F2D4C">
        <w:t>s</w:t>
      </w:r>
      <w:r w:rsidR="00720E06" w:rsidRPr="000F2D4C">
        <w:t xml:space="preserve"> a</w:t>
      </w:r>
      <w:r w:rsidR="00393B3A" w:rsidRPr="000F2D4C">
        <w:t xml:space="preserve"> </w:t>
      </w:r>
      <w:r w:rsidR="00720E06" w:rsidRPr="000F2D4C">
        <w:t>famil</w:t>
      </w:r>
      <w:r w:rsidR="00393B3A" w:rsidRPr="000F2D4C">
        <w:t>y member</w:t>
      </w:r>
      <w:r w:rsidR="00720E06" w:rsidRPr="000F2D4C">
        <w:t xml:space="preserve">, </w:t>
      </w:r>
      <w:r w:rsidRPr="000F2D4C">
        <w:t>carer and</w:t>
      </w:r>
      <w:r w:rsidR="00393B3A" w:rsidRPr="000F2D4C">
        <w:t>/or</w:t>
      </w:r>
      <w:r w:rsidRPr="000F2D4C">
        <w:t xml:space="preserve"> support </w:t>
      </w:r>
      <w:r w:rsidR="00393B3A" w:rsidRPr="000F2D4C">
        <w:t xml:space="preserve">person </w:t>
      </w:r>
      <w:r w:rsidRPr="000F2D4C">
        <w:t xml:space="preserve">(referred to throughout as people or team members with </w:t>
      </w:r>
      <w:r w:rsidR="00257D5D" w:rsidRPr="000F2D4C">
        <w:t>lived and</w:t>
      </w:r>
      <w:r w:rsidR="00996DC8" w:rsidRPr="000F2D4C">
        <w:t>/or</w:t>
      </w:r>
      <w:r w:rsidR="00257D5D" w:rsidRPr="000F2D4C">
        <w:t xml:space="preserve"> living experience</w:t>
      </w:r>
      <w:r w:rsidR="00720E06" w:rsidRPr="000F2D4C">
        <w:t>)</w:t>
      </w:r>
      <w:r w:rsidRPr="000F2D4C">
        <w:t xml:space="preserve">. </w:t>
      </w:r>
    </w:p>
    <w:p w14:paraId="4F6A91E9" w14:textId="4553F452" w:rsidR="008D474F" w:rsidRPr="000F2D4C" w:rsidRDefault="00393B3A" w:rsidP="008D474F">
      <w:r w:rsidRPr="000F2D4C">
        <w:t xml:space="preserve">Involving lived </w:t>
      </w:r>
      <w:r w:rsidR="3D1C20DE" w:rsidRPr="000F2D4C">
        <w:t xml:space="preserve">and/or living </w:t>
      </w:r>
      <w:r w:rsidRPr="000F2D4C">
        <w:t>experience leadership in evaluation teams can</w:t>
      </w:r>
      <w:r w:rsidR="008D474F" w:rsidRPr="000F2D4C">
        <w:t>:</w:t>
      </w:r>
    </w:p>
    <w:p w14:paraId="6F439DA0" w14:textId="6E4724A1" w:rsidR="000F3418" w:rsidRPr="000F2D4C" w:rsidRDefault="000F3418" w:rsidP="008D474F">
      <w:pPr>
        <w:pStyle w:val="ListBullet"/>
        <w:rPr>
          <w:szCs w:val="20"/>
        </w:rPr>
      </w:pPr>
      <w:r w:rsidRPr="000F2D4C">
        <w:t>demonstrate best practice</w:t>
      </w:r>
      <w:r w:rsidR="00813C1A" w:rsidRPr="000F2D4C">
        <w:t xml:space="preserve"> and </w:t>
      </w:r>
      <w:r w:rsidR="00743E1D" w:rsidRPr="000F2D4C">
        <w:t xml:space="preserve">further </w:t>
      </w:r>
      <w:r w:rsidR="00DD210B" w:rsidRPr="000F2D4C">
        <w:t>spread</w:t>
      </w:r>
      <w:r w:rsidR="00743E1D" w:rsidRPr="000F2D4C">
        <w:t xml:space="preserve"> lived and/or living experience leadership</w:t>
      </w:r>
    </w:p>
    <w:p w14:paraId="466C7CF3" w14:textId="1933B215" w:rsidR="008D474F" w:rsidRPr="000F2D4C" w:rsidRDefault="008D474F" w:rsidP="008D474F">
      <w:pPr>
        <w:pStyle w:val="ListBullet"/>
        <w:rPr>
          <w:szCs w:val="20"/>
        </w:rPr>
      </w:pPr>
      <w:r w:rsidRPr="000F2D4C">
        <w:t>enhance the appropriateness of evaluation methods</w:t>
      </w:r>
    </w:p>
    <w:p w14:paraId="4B023FEE" w14:textId="77777777" w:rsidR="008D474F" w:rsidRPr="000F2D4C" w:rsidRDefault="008D474F" w:rsidP="008D474F">
      <w:pPr>
        <w:pStyle w:val="ListBullet"/>
        <w:rPr>
          <w:szCs w:val="20"/>
        </w:rPr>
      </w:pPr>
      <w:r w:rsidRPr="000F2D4C">
        <w:t>inform and improve recruitment strategies to engage people accessing the service in the evaluation</w:t>
      </w:r>
    </w:p>
    <w:p w14:paraId="305B7C82" w14:textId="77777777" w:rsidR="008D474F" w:rsidRPr="000F2D4C" w:rsidRDefault="008D474F" w:rsidP="008D474F">
      <w:pPr>
        <w:pStyle w:val="ListBullet"/>
        <w:rPr>
          <w:szCs w:val="20"/>
        </w:rPr>
      </w:pPr>
      <w:r w:rsidRPr="000F2D4C">
        <w:t>help people accessing the service to feel comfortable providing feedback to the evaluation</w:t>
      </w:r>
    </w:p>
    <w:p w14:paraId="40C4420C" w14:textId="24E5C8C2" w:rsidR="008D474F" w:rsidRPr="000F2D4C" w:rsidRDefault="008D474F" w:rsidP="008D474F">
      <w:pPr>
        <w:pStyle w:val="ListBullet"/>
        <w:rPr>
          <w:szCs w:val="20"/>
        </w:rPr>
      </w:pPr>
      <w:r w:rsidRPr="000F2D4C">
        <w:t xml:space="preserve">enable a more </w:t>
      </w:r>
      <w:r w:rsidR="00720E06" w:rsidRPr="000F2D4C">
        <w:t>person-</w:t>
      </w:r>
      <w:r w:rsidRPr="000F2D4C">
        <w:t xml:space="preserve">centred </w:t>
      </w:r>
      <w:r w:rsidR="00720E06" w:rsidRPr="000F2D4C">
        <w:t xml:space="preserve">and lived </w:t>
      </w:r>
      <w:r w:rsidR="00FB0BEC" w:rsidRPr="000F2D4C">
        <w:t xml:space="preserve">and/or living </w:t>
      </w:r>
      <w:r w:rsidR="00720E06" w:rsidRPr="000F2D4C">
        <w:t>experience-led</w:t>
      </w:r>
      <w:r w:rsidRPr="000F2D4C">
        <w:t xml:space="preserve"> interpretation of evaluation findings</w:t>
      </w:r>
    </w:p>
    <w:p w14:paraId="44269063" w14:textId="3C6C76CF" w:rsidR="008D474F" w:rsidRPr="000F2D4C" w:rsidRDefault="008D474F" w:rsidP="008D474F">
      <w:pPr>
        <w:pStyle w:val="ListBullet"/>
        <w:spacing w:after="240"/>
        <w:rPr>
          <w:szCs w:val="20"/>
        </w:rPr>
      </w:pPr>
      <w:r w:rsidRPr="000F2D4C">
        <w:t xml:space="preserve">improve </w:t>
      </w:r>
      <w:r w:rsidR="00490404" w:rsidRPr="000F2D4C">
        <w:t>communication of results</w:t>
      </w:r>
      <w:r w:rsidRPr="000F2D4C">
        <w:t xml:space="preserve"> and implementation of recommendations.</w:t>
      </w:r>
      <w:r w:rsidRPr="000F2D4C">
        <w:rPr>
          <w:rStyle w:val="FootnoteReference"/>
        </w:rPr>
        <w:footnoteReference w:id="9"/>
      </w:r>
      <w:r w:rsidRPr="000F2D4C">
        <w:rPr>
          <w:szCs w:val="20"/>
        </w:rPr>
        <w:t xml:space="preserve"> </w:t>
      </w:r>
    </w:p>
    <w:p w14:paraId="737CDA6F" w14:textId="1CD0E400" w:rsidR="008F2D43" w:rsidRPr="000F2D4C" w:rsidRDefault="008F2D43" w:rsidP="008F2D43">
      <w:pPr>
        <w:pStyle w:val="ListBullet"/>
        <w:numPr>
          <w:ilvl w:val="0"/>
          <w:numId w:val="0"/>
        </w:numPr>
        <w:spacing w:after="240"/>
      </w:pPr>
      <w:r w:rsidRPr="000F2D4C">
        <w:lastRenderedPageBreak/>
        <w:t xml:space="preserve">Appendix </w:t>
      </w:r>
      <w:r w:rsidR="0096054B" w:rsidRPr="000F2D4C">
        <w:t>3</w:t>
      </w:r>
      <w:r w:rsidRPr="000F2D4C">
        <w:t xml:space="preserve"> provides more detailed guidance around engaging team members with </w:t>
      </w:r>
      <w:r w:rsidR="0096054B" w:rsidRPr="000F2D4C">
        <w:t>lived and</w:t>
      </w:r>
      <w:r w:rsidR="7F442B88" w:rsidRPr="000F2D4C">
        <w:t>/or</w:t>
      </w:r>
      <w:r w:rsidR="0096054B" w:rsidRPr="000F2D4C">
        <w:t xml:space="preserve"> living experience</w:t>
      </w:r>
      <w:r w:rsidRPr="000F2D4C">
        <w:t xml:space="preserve"> so that organisations are conscious </w:t>
      </w:r>
      <w:r w:rsidR="766CF210" w:rsidRPr="000F2D4C">
        <w:t>of</w:t>
      </w:r>
      <w:r w:rsidRPr="000F2D4C">
        <w:t xml:space="preserve"> the</w:t>
      </w:r>
      <w:r w:rsidRPr="000F2D4C">
        <w:rPr>
          <w:rStyle w:val="cf01"/>
          <w:sz w:val="20"/>
          <w:szCs w:val="20"/>
        </w:rPr>
        <w:t xml:space="preserve"> unique experience </w:t>
      </w:r>
      <w:r w:rsidR="00B9602A" w:rsidRPr="000F2D4C">
        <w:rPr>
          <w:rStyle w:val="cf01"/>
          <w:sz w:val="20"/>
          <w:szCs w:val="20"/>
        </w:rPr>
        <w:t>and insights</w:t>
      </w:r>
      <w:r w:rsidRPr="000F2D4C">
        <w:rPr>
          <w:rStyle w:val="cf01"/>
          <w:sz w:val="20"/>
          <w:szCs w:val="20"/>
        </w:rPr>
        <w:t xml:space="preserve"> of people with </w:t>
      </w:r>
      <w:r w:rsidR="0096054B" w:rsidRPr="000F2D4C">
        <w:rPr>
          <w:rStyle w:val="cf01"/>
          <w:sz w:val="20"/>
          <w:szCs w:val="20"/>
        </w:rPr>
        <w:t>lived and</w:t>
      </w:r>
      <w:r w:rsidR="0069356F" w:rsidRPr="000F2D4C">
        <w:rPr>
          <w:rStyle w:val="cf01"/>
          <w:sz w:val="20"/>
          <w:szCs w:val="20"/>
        </w:rPr>
        <w:t>/or</w:t>
      </w:r>
      <w:r w:rsidR="0096054B" w:rsidRPr="000F2D4C">
        <w:rPr>
          <w:rStyle w:val="cf01"/>
          <w:sz w:val="20"/>
          <w:szCs w:val="20"/>
        </w:rPr>
        <w:t xml:space="preserve"> living experience</w:t>
      </w:r>
      <w:r w:rsidRPr="000F2D4C">
        <w:rPr>
          <w:rStyle w:val="cf01"/>
          <w:sz w:val="20"/>
          <w:szCs w:val="20"/>
        </w:rPr>
        <w:t xml:space="preserve"> and a best practice approach</w:t>
      </w:r>
      <w:r w:rsidRPr="000F2D4C">
        <w:t xml:space="preserve">. </w:t>
      </w:r>
      <w:r w:rsidR="5E11DA26" w:rsidRPr="000F2D4C">
        <w:t>This includes a</w:t>
      </w:r>
      <w:r w:rsidR="36461B2F" w:rsidRPr="000F2D4C">
        <w:t>ppropriate renumeration and training to support their participation in governance or committee structures.</w:t>
      </w:r>
    </w:p>
    <w:p w14:paraId="37B502D0" w14:textId="77777777" w:rsidR="002B34CE" w:rsidRPr="000F2D4C" w:rsidRDefault="002B34CE" w:rsidP="00615025">
      <w:pPr>
        <w:pStyle w:val="Boxheading"/>
      </w:pPr>
      <w:r w:rsidRPr="000F2D4C">
        <w:t>Resources</w:t>
      </w:r>
    </w:p>
    <w:p w14:paraId="3639AC4C" w14:textId="661FDB5B" w:rsidR="002B34CE" w:rsidRPr="000F2D4C" w:rsidRDefault="002B34CE" w:rsidP="002B34CE">
      <w:pPr>
        <w:pStyle w:val="Boxtext0"/>
      </w:pPr>
      <w:r w:rsidRPr="000F2D4C">
        <w:t xml:space="preserve">Hodges, E., Leditschke, A., Solonsch, L. (2023). </w:t>
      </w:r>
      <w:hyperlink r:id="rId53" w:history="1">
        <w:r w:rsidRPr="000F2D4C">
          <w:rPr>
            <w:rStyle w:val="Hyperlink"/>
            <w:i/>
            <w:iCs/>
          </w:rPr>
          <w:t>The Lived Experience Governance Framework: Centring People, Identity and Human Rights for the Benefit of All</w:t>
        </w:r>
      </w:hyperlink>
      <w:r w:rsidRPr="000F2D4C">
        <w:rPr>
          <w:i/>
          <w:iCs/>
        </w:rPr>
        <w:t>.</w:t>
      </w:r>
      <w:r w:rsidRPr="000F2D4C">
        <w:t xml:space="preserve"> Prepared by LELAN (SA Lived Experience Leadership &amp; Advocacy Network) for the National Mental Health Consumer and Carer Forum and the National PHN Mental Health Lived Experience Engagement Network. Canberra</w:t>
      </w:r>
      <w:r w:rsidR="00C10C61" w:rsidRPr="000F2D4C">
        <w:t xml:space="preserve">: </w:t>
      </w:r>
      <w:r w:rsidRPr="000F2D4C">
        <w:t xml:space="preserve">Mental Health Australia. </w:t>
      </w:r>
    </w:p>
    <w:p w14:paraId="7247170E" w14:textId="65359DBE" w:rsidR="00B731A5" w:rsidRPr="000F2D4C" w:rsidRDefault="00133901" w:rsidP="002B34CE">
      <w:pPr>
        <w:pStyle w:val="Boxtext0"/>
      </w:pPr>
      <w:hyperlink r:id="rId54" w:history="1">
        <w:r w:rsidRPr="000F2D4C">
          <w:rPr>
            <w:rStyle w:val="Hyperlink"/>
            <w:i/>
            <w:iCs/>
          </w:rPr>
          <w:t>Lived Experience Digital Library</w:t>
        </w:r>
      </w:hyperlink>
      <w:r w:rsidR="00B9602A" w:rsidRPr="000F2D4C">
        <w:t xml:space="preserve">: </w:t>
      </w:r>
      <w:r w:rsidRPr="000F2D4C">
        <w:t>The Lived Experience Leadership Digital Library is an initiative of the National Mental Health Consumer and Carer Forum and the National Primary Health Network Mental Health Lived Experience Engagement Network with support from Mental Health Australia.</w:t>
      </w:r>
    </w:p>
    <w:p w14:paraId="5DDA11F9" w14:textId="30F1809C" w:rsidR="00EB66A7" w:rsidRPr="000F2D4C" w:rsidRDefault="002B34CE" w:rsidP="00EB66A7">
      <w:pPr>
        <w:pStyle w:val="Heading3"/>
      </w:pPr>
      <w:r w:rsidRPr="000F2D4C">
        <w:t xml:space="preserve">Aboriginal and Torres Strait Islander </w:t>
      </w:r>
      <w:r w:rsidR="4D8CD404" w:rsidRPr="000F2D4C">
        <w:t>G</w:t>
      </w:r>
      <w:r w:rsidR="00EB66A7" w:rsidRPr="000F2D4C">
        <w:t>overnance</w:t>
      </w:r>
    </w:p>
    <w:p w14:paraId="043065A1" w14:textId="693F529A" w:rsidR="002B34CE" w:rsidRDefault="002B34CE" w:rsidP="002B34CE">
      <w:r w:rsidRPr="000F2D4C">
        <w:t>In evaluations of programs for Aboriginal and Torres Strait Islander communities</w:t>
      </w:r>
      <w:r w:rsidR="49224FB1" w:rsidRPr="000F2D4C">
        <w:t>,</w:t>
      </w:r>
      <w:r w:rsidRPr="000F2D4C">
        <w:t xml:space="preserve"> or that involve analysis of outcomes for Aboriginal and Torres Strait Islander communities, it is important that appropriate Aboriginal and Torres Strait Islander </w:t>
      </w:r>
      <w:r w:rsidR="2EBBECFD" w:rsidRPr="000F2D4C">
        <w:t>G</w:t>
      </w:r>
      <w:r w:rsidRPr="000F2D4C">
        <w:t xml:space="preserve">overnance is established from the outset to ensure the evaluation is culturally safe. </w:t>
      </w:r>
    </w:p>
    <w:p w14:paraId="4FB78CE8" w14:textId="5F41530A" w:rsidR="002B34CE" w:rsidRDefault="00BE20C9" w:rsidP="76054678">
      <w:r w:rsidRPr="00D23D6C">
        <w:t>To effectively evaluate with Indigenous communities, it is important to think about what you are doing but also why and how. This includes understanding the ongoing impact of colonisation</w:t>
      </w:r>
      <w:r>
        <w:t xml:space="preserve">. </w:t>
      </w:r>
      <w:r w:rsidR="1FD8A3ED" w:rsidRPr="000F2D4C">
        <w:t xml:space="preserve">It is </w:t>
      </w:r>
      <w:r w:rsidR="5ADFEE12" w:rsidRPr="000F2D4C">
        <w:t>crucial to ensure engagement of</w:t>
      </w:r>
      <w:r w:rsidR="1FD8A3ED" w:rsidRPr="000F2D4C">
        <w:t xml:space="preserve"> representatives from the communities </w:t>
      </w:r>
      <w:r w:rsidR="0073431F" w:rsidRPr="000F2D4C">
        <w:t xml:space="preserve">involved </w:t>
      </w:r>
      <w:r w:rsidR="1FD8A3ED" w:rsidRPr="000F2D4C">
        <w:t xml:space="preserve">in the evaluation </w:t>
      </w:r>
      <w:r w:rsidR="5ADFEE12" w:rsidRPr="000F2D4C">
        <w:t>process.</w:t>
      </w:r>
      <w:r w:rsidR="00C77932" w:rsidRPr="000F2D4C">
        <w:t xml:space="preserve"> </w:t>
      </w:r>
      <w:r w:rsidR="0073431F" w:rsidRPr="000F2D4C">
        <w:t xml:space="preserve">Evaluation commissioners need to build </w:t>
      </w:r>
      <w:r w:rsidR="0007572B" w:rsidRPr="000F2D4C">
        <w:t xml:space="preserve">time </w:t>
      </w:r>
      <w:r w:rsidR="462573CC" w:rsidRPr="000F2D4C">
        <w:t>into the evaluation for</w:t>
      </w:r>
      <w:r w:rsidR="0007572B" w:rsidRPr="000F2D4C">
        <w:t xml:space="preserve"> establish</w:t>
      </w:r>
      <w:r w:rsidR="31B40D75" w:rsidRPr="000F2D4C">
        <w:t>ing</w:t>
      </w:r>
      <w:r w:rsidR="0007572B" w:rsidRPr="000F2D4C">
        <w:t xml:space="preserve"> and maintain</w:t>
      </w:r>
      <w:r w:rsidR="12734E57" w:rsidRPr="000F2D4C">
        <w:t>ing</w:t>
      </w:r>
      <w:r w:rsidR="0007572B" w:rsidRPr="000F2D4C">
        <w:t xml:space="preserve"> this engagement. Evaluators need to </w:t>
      </w:r>
      <w:r w:rsidR="1FD8A3ED" w:rsidRPr="000F2D4C">
        <w:t>invest</w:t>
      </w:r>
      <w:r w:rsidR="0007572B" w:rsidRPr="000F2D4C">
        <w:t xml:space="preserve"> time</w:t>
      </w:r>
      <w:r w:rsidR="1FD8A3ED" w:rsidRPr="000F2D4C">
        <w:t xml:space="preserve"> upfront </w:t>
      </w:r>
      <w:r w:rsidR="14C60166" w:rsidRPr="000F2D4C">
        <w:t>to build relationships with communities and establish governance arrangements</w:t>
      </w:r>
      <w:r w:rsidR="1FD8A3ED" w:rsidRPr="000F2D4C">
        <w:t>.</w:t>
      </w:r>
    </w:p>
    <w:p w14:paraId="4FA57BB1" w14:textId="16825595" w:rsidR="002B34CE" w:rsidRPr="000F2D4C" w:rsidRDefault="002B34CE" w:rsidP="002B34CE">
      <w:r w:rsidRPr="000F2D4C">
        <w:t xml:space="preserve">The role of </w:t>
      </w:r>
      <w:r w:rsidR="006A1121" w:rsidRPr="000F2D4C">
        <w:t xml:space="preserve">an Aboriginal and Torres Strait Islander </w:t>
      </w:r>
      <w:r w:rsidR="4EBF6C5C" w:rsidRPr="000F2D4C">
        <w:t>G</w:t>
      </w:r>
      <w:r w:rsidR="006A1121" w:rsidRPr="000F2D4C">
        <w:t>overnance committee</w:t>
      </w:r>
      <w:r w:rsidRPr="000F2D4C">
        <w:t xml:space="preserve"> </w:t>
      </w:r>
      <w:r w:rsidR="006A1121" w:rsidRPr="000F2D4C">
        <w:t>must</w:t>
      </w:r>
      <w:r w:rsidRPr="000F2D4C">
        <w:t xml:space="preserve"> be negotiated with the committee, but will likely include:</w:t>
      </w:r>
    </w:p>
    <w:p w14:paraId="1A872638" w14:textId="77777777" w:rsidR="002B34CE" w:rsidRPr="000F2D4C" w:rsidRDefault="002B34CE" w:rsidP="002B34CE">
      <w:pPr>
        <w:pStyle w:val="ListBullet"/>
      </w:pPr>
      <w:r w:rsidRPr="000F2D4C">
        <w:t>informing stakeholder and community recruitment and engagement processes</w:t>
      </w:r>
    </w:p>
    <w:p w14:paraId="4DD201EB" w14:textId="77777777" w:rsidR="002B34CE" w:rsidRPr="000F2D4C" w:rsidRDefault="002B34CE" w:rsidP="002B34CE">
      <w:pPr>
        <w:pStyle w:val="ListBullet"/>
      </w:pPr>
      <w:r w:rsidRPr="000F2D4C">
        <w:t>supporting relationship development with stakeholders and communities</w:t>
      </w:r>
    </w:p>
    <w:p w14:paraId="0CA06A78" w14:textId="3553662A" w:rsidR="002B34CE" w:rsidRPr="000F2D4C" w:rsidRDefault="002B34CE" w:rsidP="76054678">
      <w:pPr>
        <w:pStyle w:val="ListBullet"/>
      </w:pPr>
      <w:r w:rsidRPr="000F2D4C">
        <w:t xml:space="preserve">reviewing data collection approaches to ensure they are culturally respectful, and take </w:t>
      </w:r>
      <w:r w:rsidR="00B9602A" w:rsidRPr="000F2D4C">
        <w:t xml:space="preserve">into </w:t>
      </w:r>
      <w:r w:rsidRPr="000F2D4C">
        <w:t>account ways of doing business</w:t>
      </w:r>
    </w:p>
    <w:p w14:paraId="012125C2" w14:textId="438583D0" w:rsidR="002B34CE" w:rsidRPr="000F2D4C" w:rsidRDefault="002B34CE" w:rsidP="76054678">
      <w:pPr>
        <w:pStyle w:val="ListBullet"/>
      </w:pPr>
      <w:r w:rsidRPr="000F2D4C">
        <w:t xml:space="preserve">supporting effective Indigenous </w:t>
      </w:r>
      <w:r w:rsidR="76F4FCBB" w:rsidRPr="000F2D4C">
        <w:t>D</w:t>
      </w:r>
      <w:r w:rsidRPr="000F2D4C">
        <w:t xml:space="preserve">ata </w:t>
      </w:r>
      <w:r w:rsidR="704632E9" w:rsidRPr="000F2D4C">
        <w:t>G</w:t>
      </w:r>
      <w:r w:rsidRPr="000F2D4C">
        <w:t xml:space="preserve">overnance to ensure Indigenous Data Sovereignty </w:t>
      </w:r>
    </w:p>
    <w:p w14:paraId="6FB244BD" w14:textId="60B091B0" w:rsidR="002B34CE" w:rsidRPr="000F2D4C" w:rsidRDefault="002B34CE" w:rsidP="002B34CE">
      <w:pPr>
        <w:pStyle w:val="ListBullet"/>
      </w:pPr>
      <w:r w:rsidRPr="000F2D4C">
        <w:t>review</w:t>
      </w:r>
      <w:r w:rsidR="0B82C81F" w:rsidRPr="000F2D4C">
        <w:t>ing</w:t>
      </w:r>
      <w:r w:rsidRPr="000F2D4C">
        <w:t xml:space="preserve"> analysis and interpretation of data to ensure interpretation </w:t>
      </w:r>
      <w:r w:rsidR="63B479F4" w:rsidRPr="000F2D4C">
        <w:t xml:space="preserve">is </w:t>
      </w:r>
      <w:r w:rsidRPr="000F2D4C">
        <w:t>in context.</w:t>
      </w:r>
    </w:p>
    <w:p w14:paraId="2503E885" w14:textId="77777777" w:rsidR="002B34CE" w:rsidRPr="000F2D4C" w:rsidRDefault="002B34CE" w:rsidP="002B34CE">
      <w:pPr>
        <w:pStyle w:val="ListBullet"/>
        <w:numPr>
          <w:ilvl w:val="0"/>
          <w:numId w:val="0"/>
        </w:numPr>
        <w:ind w:left="360" w:hanging="360"/>
        <w:rPr>
          <w:szCs w:val="20"/>
        </w:rPr>
      </w:pPr>
    </w:p>
    <w:p w14:paraId="1D6434EE" w14:textId="6D388515" w:rsidR="00DE6A7B" w:rsidRPr="000F2D4C" w:rsidRDefault="00DE6A7B" w:rsidP="00FB06E1">
      <w:r w:rsidRPr="000F2D4C">
        <w:t xml:space="preserve">Appropriate remuneration should be given to contributing committee members </w:t>
      </w:r>
      <w:r w:rsidR="6E88106F" w:rsidRPr="000F2D4C">
        <w:t xml:space="preserve">who are </w:t>
      </w:r>
      <w:r w:rsidRPr="000F2D4C">
        <w:t>not in paid roles</w:t>
      </w:r>
      <w:r w:rsidR="341E8B46" w:rsidRPr="000F2D4C">
        <w:t>,</w:t>
      </w:r>
      <w:r w:rsidRPr="000F2D4C">
        <w:t xml:space="preserve"> to reduce power imbalance, increase participation, and ensure equity.</w:t>
      </w:r>
    </w:p>
    <w:p w14:paraId="2214B224" w14:textId="77777777" w:rsidR="002D1154" w:rsidRPr="000F2D4C" w:rsidRDefault="002D1154" w:rsidP="002B34CE">
      <w:pPr>
        <w:pStyle w:val="ListBullet"/>
        <w:numPr>
          <w:ilvl w:val="0"/>
          <w:numId w:val="0"/>
        </w:numPr>
        <w:ind w:left="360" w:hanging="360"/>
        <w:rPr>
          <w:szCs w:val="20"/>
        </w:rPr>
      </w:pPr>
    </w:p>
    <w:p w14:paraId="11406DF0" w14:textId="77777777" w:rsidR="002D1154" w:rsidRPr="000F2D4C" w:rsidRDefault="002D1154" w:rsidP="002D1154">
      <w:pPr>
        <w:pStyle w:val="Boxtext0"/>
        <w:rPr>
          <w:b/>
          <w:bCs/>
        </w:rPr>
      </w:pPr>
      <w:r w:rsidRPr="000F2D4C">
        <w:rPr>
          <w:b/>
          <w:bCs/>
        </w:rPr>
        <w:t>Resources</w:t>
      </w:r>
    </w:p>
    <w:bookmarkStart w:id="38" w:name="_Hlk149909053"/>
    <w:p w14:paraId="6FC641DD" w14:textId="4957CFA0" w:rsidR="002D1154" w:rsidRPr="000F2D4C" w:rsidRDefault="00AD187A" w:rsidP="002D1154">
      <w:pPr>
        <w:pStyle w:val="Boxtext0"/>
      </w:pPr>
      <w:r w:rsidRPr="000F2D4C">
        <w:fldChar w:fldCharType="begin"/>
      </w:r>
      <w:r w:rsidRPr="000F2D4C">
        <w:instrText>HYPERLINK "https://www.pc.gov.au/inquiries/completed/indigenous-evaluation/strategy"</w:instrText>
      </w:r>
      <w:r w:rsidRPr="000F2D4C">
        <w:fldChar w:fldCharType="separate"/>
      </w:r>
      <w:r w:rsidR="002D1154" w:rsidRPr="000F2D4C">
        <w:rPr>
          <w:rStyle w:val="Hyperlink"/>
          <w:i/>
          <w:iCs/>
        </w:rPr>
        <w:t>Productivity Com</w:t>
      </w:r>
      <w:bookmarkStart w:id="39" w:name="_Hlt149906015"/>
      <w:bookmarkStart w:id="40" w:name="_Hlt149906016"/>
      <w:r w:rsidR="002D1154" w:rsidRPr="000F2D4C">
        <w:rPr>
          <w:rStyle w:val="Hyperlink"/>
          <w:i/>
          <w:iCs/>
        </w:rPr>
        <w:t>m</w:t>
      </w:r>
      <w:bookmarkEnd w:id="39"/>
      <w:bookmarkEnd w:id="40"/>
      <w:r w:rsidR="002D1154" w:rsidRPr="000F2D4C">
        <w:rPr>
          <w:rStyle w:val="Hyperlink"/>
          <w:i/>
          <w:iCs/>
        </w:rPr>
        <w:t>ission (2020</w:t>
      </w:r>
      <w:r w:rsidR="00912DFB" w:rsidRPr="000F2D4C">
        <w:rPr>
          <w:rStyle w:val="Hyperlink"/>
          <w:i/>
          <w:iCs/>
        </w:rPr>
        <w:t>)</w:t>
      </w:r>
      <w:r w:rsidR="002D1154" w:rsidRPr="000F2D4C">
        <w:rPr>
          <w:rStyle w:val="Hyperlink"/>
          <w:i/>
          <w:iCs/>
        </w:rPr>
        <w:t xml:space="preserve">. </w:t>
      </w:r>
      <w:r w:rsidR="00912DFB" w:rsidRPr="000F2D4C">
        <w:rPr>
          <w:rStyle w:val="Hyperlink"/>
          <w:i/>
          <w:iCs/>
        </w:rPr>
        <w:t>Indigenous Evaluation Strategy</w:t>
      </w:r>
      <w:r w:rsidRPr="000F2D4C">
        <w:rPr>
          <w:rStyle w:val="Hyperlink"/>
          <w:i/>
          <w:iCs/>
        </w:rPr>
        <w:fldChar w:fldCharType="end"/>
      </w:r>
      <w:r w:rsidR="00912DFB" w:rsidRPr="000F2D4C">
        <w:t xml:space="preserve">. </w:t>
      </w:r>
      <w:r w:rsidR="002D1154" w:rsidRPr="000F2D4C">
        <w:t xml:space="preserve"> </w:t>
      </w:r>
    </w:p>
    <w:p w14:paraId="3B9869DD" w14:textId="6E33836E" w:rsidR="00002BA0" w:rsidRPr="000F2D4C" w:rsidRDefault="0012334C" w:rsidP="00DC1078">
      <w:pPr>
        <w:pStyle w:val="Heading1"/>
      </w:pPr>
      <w:bookmarkStart w:id="41" w:name="_Toc146031452"/>
      <w:bookmarkStart w:id="42" w:name="_Toc146206777"/>
      <w:bookmarkStart w:id="43" w:name="_Toc149918994"/>
      <w:bookmarkEnd w:id="32"/>
      <w:bookmarkEnd w:id="38"/>
      <w:r w:rsidRPr="000F2D4C">
        <w:lastRenderedPageBreak/>
        <w:t xml:space="preserve">Deciding the </w:t>
      </w:r>
      <w:r w:rsidR="009E02C7" w:rsidRPr="000F2D4C">
        <w:t>f</w:t>
      </w:r>
      <w:r w:rsidR="004D2870" w:rsidRPr="000F2D4C">
        <w:t xml:space="preserve">ocus </w:t>
      </w:r>
      <w:r w:rsidR="00DC1078" w:rsidRPr="000F2D4C">
        <w:t>of evaluation</w:t>
      </w:r>
      <w:bookmarkEnd w:id="41"/>
      <w:bookmarkEnd w:id="42"/>
      <w:bookmarkEnd w:id="43"/>
    </w:p>
    <w:p w14:paraId="689988B5" w14:textId="3C499821" w:rsidR="00567E55" w:rsidRPr="000F2D4C" w:rsidRDefault="00574BDA" w:rsidP="00B10EA8">
      <w:r w:rsidRPr="000F2D4C">
        <w:t xml:space="preserve">This chapter </w:t>
      </w:r>
      <w:r w:rsidR="00567E55" w:rsidRPr="000F2D4C">
        <w:t>describe</w:t>
      </w:r>
      <w:r w:rsidR="00E62F5D" w:rsidRPr="000F2D4C">
        <w:t>s</w:t>
      </w:r>
      <w:r w:rsidR="00567E55" w:rsidRPr="000F2D4C">
        <w:t xml:space="preserve"> key</w:t>
      </w:r>
      <w:r w:rsidR="001E7C82" w:rsidRPr="000F2D4C">
        <w:t xml:space="preserve"> </w:t>
      </w:r>
      <w:r w:rsidR="00F171FE" w:rsidRPr="000F2D4C">
        <w:t xml:space="preserve">focus </w:t>
      </w:r>
      <w:r w:rsidR="00567E55" w:rsidRPr="000F2D4C">
        <w:t>areas for evaluation</w:t>
      </w:r>
      <w:r w:rsidR="00DB3B61" w:rsidRPr="000F2D4C">
        <w:t xml:space="preserve"> – mapping different ways of describing these to enable synthesis across evaluations of different programs</w:t>
      </w:r>
      <w:r w:rsidR="00567E55" w:rsidRPr="000F2D4C">
        <w:t xml:space="preserve">. </w:t>
      </w:r>
      <w:r w:rsidR="002F6D10" w:rsidRPr="000F2D4C">
        <w:t>It also provides a menu of key evaluation questions mapped to these focus areas</w:t>
      </w:r>
      <w:r w:rsidR="4D7CE622" w:rsidRPr="000F2D4C">
        <w:t>,</w:t>
      </w:r>
      <w:r w:rsidR="008B1F59" w:rsidRPr="000F2D4C">
        <w:t xml:space="preserve"> to support consistency across evaluations and </w:t>
      </w:r>
      <w:r w:rsidR="00AA12CF" w:rsidRPr="000F2D4C">
        <w:t>a systems</w:t>
      </w:r>
      <w:r w:rsidR="2966D54B" w:rsidRPr="000F2D4C">
        <w:t>-</w:t>
      </w:r>
      <w:r w:rsidR="00AA12CF" w:rsidRPr="000F2D4C">
        <w:t>level view across evaluations.</w:t>
      </w:r>
    </w:p>
    <w:p w14:paraId="4EB9F7D2" w14:textId="2C3C43D3" w:rsidR="005F30F0" w:rsidRPr="000F2D4C" w:rsidRDefault="00DB3B61" w:rsidP="00DB3B61">
      <w:pPr>
        <w:pStyle w:val="Heading2"/>
      </w:pPr>
      <w:bookmarkStart w:id="44" w:name="_Toc149918995"/>
      <w:r w:rsidRPr="000F2D4C">
        <w:t>Focus areas for evaluation</w:t>
      </w:r>
      <w:bookmarkEnd w:id="44"/>
    </w:p>
    <w:p w14:paraId="430EB376" w14:textId="21391FE8" w:rsidR="00265C9B" w:rsidRPr="000F2D4C" w:rsidRDefault="5C9A9378" w:rsidP="00265C9B">
      <w:r w:rsidRPr="000F2D4C">
        <w:t>O</w:t>
      </w:r>
      <w:r w:rsidR="00EE6C96" w:rsidRPr="000F2D4C">
        <w:t xml:space="preserve">rganisations and evaluators have </w:t>
      </w:r>
      <w:r w:rsidR="5D54BDD7" w:rsidRPr="000F2D4C">
        <w:t>many ways</w:t>
      </w:r>
      <w:r w:rsidR="00EE6C96" w:rsidRPr="000F2D4C">
        <w:t xml:space="preserve"> of describing </w:t>
      </w:r>
      <w:r w:rsidR="002F6D10" w:rsidRPr="000F2D4C">
        <w:t xml:space="preserve">the </w:t>
      </w:r>
      <w:r w:rsidR="00B52AA7" w:rsidRPr="000F2D4C">
        <w:t xml:space="preserve">focus of evaluations. </w:t>
      </w:r>
      <w:r w:rsidR="00222323" w:rsidRPr="000F2D4C">
        <w:t xml:space="preserve">To support more consistency between evaluations of mental health and suicide </w:t>
      </w:r>
      <w:r w:rsidR="00265C9B" w:rsidRPr="000F2D4C">
        <w:t xml:space="preserve">prevention </w:t>
      </w:r>
      <w:r w:rsidR="00F5210E" w:rsidRPr="000F2D4C">
        <w:t>programs</w:t>
      </w:r>
      <w:r w:rsidR="4AC21CBA" w:rsidRPr="000F2D4C">
        <w:t>,</w:t>
      </w:r>
      <w:r w:rsidR="00265C9B" w:rsidRPr="000F2D4C">
        <w:t xml:space="preserve"> and </w:t>
      </w:r>
      <w:r w:rsidR="00464C18" w:rsidRPr="000F2D4C">
        <w:t>facilitate comparison of findings across programs</w:t>
      </w:r>
      <w:r w:rsidR="00265C9B" w:rsidRPr="000F2D4C">
        <w:t xml:space="preserve">, we have mapped the </w:t>
      </w:r>
      <w:r w:rsidR="00A55D29" w:rsidRPr="000F2D4C">
        <w:t xml:space="preserve">areas of focus </w:t>
      </w:r>
      <w:r w:rsidR="00265C9B" w:rsidRPr="000F2D4C">
        <w:t xml:space="preserve">commonly used (see </w:t>
      </w:r>
      <w:r w:rsidR="001D212A" w:rsidRPr="000F2D4C">
        <w:t>F</w:t>
      </w:r>
      <w:r w:rsidR="00265C9B" w:rsidRPr="000F2D4C">
        <w:t xml:space="preserve">igure </w:t>
      </w:r>
      <w:r w:rsidR="00375B32" w:rsidRPr="000F2D4C">
        <w:t>3</w:t>
      </w:r>
      <w:r w:rsidR="00265C9B" w:rsidRPr="000F2D4C">
        <w:t xml:space="preserve"> below). </w:t>
      </w:r>
    </w:p>
    <w:p w14:paraId="4599813B" w14:textId="28344263" w:rsidR="00EE6C96" w:rsidRPr="000F2D4C" w:rsidRDefault="00DC2964" w:rsidP="00EE6C96">
      <w:r w:rsidRPr="000F2D4C">
        <w:t>For this Framework</w:t>
      </w:r>
      <w:r w:rsidR="00EE6C96" w:rsidRPr="000F2D4C">
        <w:t xml:space="preserve">, we have used </w:t>
      </w:r>
      <w:r w:rsidR="00112529" w:rsidRPr="000F2D4C">
        <w:t xml:space="preserve">the terms </w:t>
      </w:r>
      <w:r w:rsidR="00314E30" w:rsidRPr="000F2D4C">
        <w:t xml:space="preserve">program </w:t>
      </w:r>
      <w:r w:rsidR="008B735C" w:rsidRPr="000F2D4C">
        <w:t xml:space="preserve">(or initiative) </w:t>
      </w:r>
      <w:r w:rsidR="00EE6C96" w:rsidRPr="000F2D4C">
        <w:t>design</w:t>
      </w:r>
      <w:r w:rsidRPr="000F2D4C">
        <w:t>,</w:t>
      </w:r>
      <w:r w:rsidR="00EE6C96" w:rsidRPr="000F2D4C">
        <w:t xml:space="preserve"> </w:t>
      </w:r>
      <w:r w:rsidR="00A55D29" w:rsidRPr="000F2D4C">
        <w:t xml:space="preserve">process evaluation, </w:t>
      </w:r>
      <w:r w:rsidR="00314E30" w:rsidRPr="000F2D4C">
        <w:t>outcome</w:t>
      </w:r>
      <w:r w:rsidR="008D7D33" w:rsidRPr="000F2D4C">
        <w:t>s</w:t>
      </w:r>
      <w:r w:rsidR="00314E30" w:rsidRPr="000F2D4C">
        <w:t xml:space="preserve"> evaluation</w:t>
      </w:r>
      <w:r w:rsidR="5D400DB5" w:rsidRPr="000F2D4C">
        <w:t>,</w:t>
      </w:r>
      <w:r w:rsidR="00314E30" w:rsidRPr="000F2D4C">
        <w:t xml:space="preserve"> and economic evaluation </w:t>
      </w:r>
      <w:r w:rsidR="008B1F59" w:rsidRPr="000F2D4C">
        <w:t>to support consistency with government evaluation strategies</w:t>
      </w:r>
      <w:r w:rsidR="00EE6C96" w:rsidRPr="000F2D4C">
        <w:t xml:space="preserve">.  </w:t>
      </w:r>
    </w:p>
    <w:p w14:paraId="6481F890" w14:textId="28B8AF7E" w:rsidR="00BA1594" w:rsidRPr="000F2D4C" w:rsidRDefault="00BA1594" w:rsidP="00EE6C96">
      <w:r w:rsidRPr="000F2D4C">
        <w:t>Depending on when an evaluation is rolled out, it may be more or less relevant to focus on each of these domains. For example, a focus on design in the early stages can help inform refinements to the design, while a more comprehensive economic evaluation will likely be more feasible at a later stage of implementation.</w:t>
      </w:r>
    </w:p>
    <w:p w14:paraId="7C932932" w14:textId="331A80B5" w:rsidR="005B170D" w:rsidRPr="000F2D4C" w:rsidRDefault="00F0497E" w:rsidP="000D00DD">
      <w:pPr>
        <w:pStyle w:val="FigureHeading"/>
      </w:pPr>
      <w:r w:rsidRPr="000F2D4C">
        <w:t>focus for evaluation</w:t>
      </w:r>
    </w:p>
    <w:p w14:paraId="68D0CEEC" w14:textId="74530C2B" w:rsidR="00A81BC5" w:rsidRPr="000F2D4C" w:rsidRDefault="00182084" w:rsidP="00CC2EDE">
      <w:pPr>
        <w:jc w:val="center"/>
      </w:pPr>
      <w:r w:rsidRPr="000F2D4C">
        <w:rPr>
          <w:noProof/>
        </w:rPr>
        <w:drawing>
          <wp:inline distT="0" distB="0" distL="0" distR="0" wp14:anchorId="3106D34B" wp14:editId="2391E878">
            <wp:extent cx="4875545" cy="3305175"/>
            <wp:effectExtent l="0" t="0" r="1270" b="0"/>
            <wp:docPr id="163974420" name="Picture 163974420" descr="Domains described in this document are the design of the program, process evaluation, outcomes evaluation and economic evaluation. &#10;The alternate ways of describing domains might be access and relevance for design of the program; appropriateness, coherence, reach, adoption and implementation for process evaluation; effectiveness, impact and maintenance/sustainment for outcomes evaluation and efficiency and sustainability for economic evalu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4420" name="Picture 163974420" descr="Domains described in this document are the design of the program, process evaluation, outcomes evaluation and economic evaluation. &#10;The alternate ways of describing domains might be access and relevance for design of the program; appropriateness, coherence, reach, adoption and implementation for process evaluation; effectiveness, impact and maintenance/sustainment for outcomes evaluation and efficiency and sustainability for economic evaluation. &#10;"/>
                    <pic:cNvPicPr/>
                  </pic:nvPicPr>
                  <pic:blipFill rotWithShape="1">
                    <a:blip r:embed="rId55" cstate="print">
                      <a:extLst>
                        <a:ext uri="{28A0092B-C50C-407E-A947-70E740481C1C}">
                          <a14:useLocalDpi xmlns:a14="http://schemas.microsoft.com/office/drawing/2010/main" val="0"/>
                        </a:ext>
                      </a:extLst>
                    </a:blip>
                    <a:srcRect l="7991" t="47960" r="22865" b="18900"/>
                    <a:stretch/>
                  </pic:blipFill>
                  <pic:spPr bwMode="auto">
                    <a:xfrm>
                      <a:off x="0" y="0"/>
                      <a:ext cx="4912161" cy="3329997"/>
                    </a:xfrm>
                    <a:prstGeom prst="rect">
                      <a:avLst/>
                    </a:prstGeom>
                    <a:ln>
                      <a:noFill/>
                    </a:ln>
                    <a:extLst>
                      <a:ext uri="{53640926-AAD7-44D8-BBD7-CCE9431645EC}">
                        <a14:shadowObscured xmlns:a14="http://schemas.microsoft.com/office/drawing/2010/main"/>
                      </a:ext>
                    </a:extLst>
                  </pic:spPr>
                </pic:pic>
              </a:graphicData>
            </a:graphic>
          </wp:inline>
        </w:drawing>
      </w:r>
    </w:p>
    <w:p w14:paraId="7566E8C5" w14:textId="65270B2E" w:rsidR="005B21E0" w:rsidRPr="000F2D4C" w:rsidRDefault="00277D78" w:rsidP="00425D74">
      <w:pPr>
        <w:pStyle w:val="Notes"/>
      </w:pPr>
      <w:r w:rsidRPr="000F2D4C">
        <w:t xml:space="preserve">Source: </w:t>
      </w:r>
      <w:r w:rsidR="00425D74" w:rsidRPr="000F2D4C">
        <w:t>1</w:t>
      </w:r>
      <w:r w:rsidR="005B21E0" w:rsidRPr="000F2D4C">
        <w:t xml:space="preserve"> </w:t>
      </w:r>
      <w:r w:rsidR="004A18F4" w:rsidRPr="000F2D4C">
        <w:t xml:space="preserve">RE-AIM Framework </w:t>
      </w:r>
      <w:r w:rsidR="00634561" w:rsidRPr="000F2D4C">
        <w:t xml:space="preserve">(2023). </w:t>
      </w:r>
      <w:hyperlink r:id="rId56" w:history="1">
        <w:r w:rsidR="006835CE" w:rsidRPr="000F2D4C">
          <w:rPr>
            <w:rStyle w:val="Hyperlink"/>
          </w:rPr>
          <w:t>https://re-aim.org/</w:t>
        </w:r>
      </w:hyperlink>
      <w:r w:rsidR="006835CE" w:rsidRPr="000F2D4C">
        <w:t xml:space="preserve"> </w:t>
      </w:r>
      <w:r w:rsidRPr="000F2D4C">
        <w:t xml:space="preserve">; </w:t>
      </w:r>
      <w:r w:rsidR="005B21E0" w:rsidRPr="000F2D4C">
        <w:t>2</w:t>
      </w:r>
      <w:r w:rsidR="00424496" w:rsidRPr="000F2D4C">
        <w:t xml:space="preserve"> OECD DAC</w:t>
      </w:r>
      <w:r w:rsidR="00A51F45" w:rsidRPr="000F2D4C">
        <w:t xml:space="preserve"> Network on Development Evaluation</w:t>
      </w:r>
      <w:r w:rsidR="005033FF" w:rsidRPr="000F2D4C">
        <w:t xml:space="preserve"> (</w:t>
      </w:r>
      <w:r w:rsidR="007C5CFE" w:rsidRPr="000F2D4C">
        <w:t xml:space="preserve">n.d.) Evaluation criteria. </w:t>
      </w:r>
      <w:hyperlink r:id="rId57" w:history="1">
        <w:r w:rsidRPr="000F2D4C">
          <w:rPr>
            <w:rStyle w:val="Hyperlink"/>
          </w:rPr>
          <w:t>https://www.oecd.org/dac/evaluation/daccriteriaforevaluatingdevelopmentassistance.htm</w:t>
        </w:r>
      </w:hyperlink>
      <w:r w:rsidRPr="000F2D4C">
        <w:t xml:space="preserve"> </w:t>
      </w:r>
    </w:p>
    <w:p w14:paraId="0A9A06AD" w14:textId="57198F09" w:rsidR="000C62BD" w:rsidRPr="000F2D4C" w:rsidRDefault="000C62BD" w:rsidP="00D075C9">
      <w:pPr>
        <w:pStyle w:val="Heading3"/>
      </w:pPr>
      <w:r w:rsidRPr="000F2D4C">
        <w:lastRenderedPageBreak/>
        <w:t xml:space="preserve">Design of the </w:t>
      </w:r>
      <w:r w:rsidR="00567E55" w:rsidRPr="000F2D4C">
        <w:t>program</w:t>
      </w:r>
    </w:p>
    <w:p w14:paraId="709ACB96" w14:textId="5515D1D5" w:rsidR="34FC812F" w:rsidRPr="000F2D4C" w:rsidRDefault="34FC812F">
      <w:r w:rsidRPr="000F2D4C">
        <w:t xml:space="preserve">Evaluations that focus on the design of the </w:t>
      </w:r>
      <w:r w:rsidR="00112529" w:rsidRPr="000F2D4C">
        <w:t>program</w:t>
      </w:r>
      <w:r w:rsidRPr="000F2D4C">
        <w:t xml:space="preserve"> will focus on how a program was developed and</w:t>
      </w:r>
      <w:r w:rsidR="00112529" w:rsidRPr="000F2D4C">
        <w:t>/or</w:t>
      </w:r>
      <w:r w:rsidRPr="000F2D4C">
        <w:t xml:space="preserve"> whether </w:t>
      </w:r>
      <w:r w:rsidR="58D63D3B" w:rsidRPr="000F2D4C">
        <w:t>it's</w:t>
      </w:r>
      <w:r w:rsidRPr="000F2D4C">
        <w:t xml:space="preserve"> meeting the intended needs</w:t>
      </w:r>
      <w:r w:rsidR="000F3418" w:rsidRPr="000F2D4C">
        <w:t xml:space="preserve"> and supporting the intended outcomes</w:t>
      </w:r>
      <w:r w:rsidRPr="000F2D4C">
        <w:t xml:space="preserve">. </w:t>
      </w:r>
    </w:p>
    <w:p w14:paraId="5436F932" w14:textId="0431778E" w:rsidR="00750D62" w:rsidRPr="000F2D4C" w:rsidRDefault="00180F9D" w:rsidP="008E6FDF">
      <w:r w:rsidRPr="000F2D4C">
        <w:t>Programs</w:t>
      </w:r>
      <w:r w:rsidR="009D6DB7" w:rsidRPr="000F2D4C">
        <w:t xml:space="preserve"> should be informed by the specific needs and experiences of people who will be using the</w:t>
      </w:r>
      <w:r w:rsidR="00237475" w:rsidRPr="000F2D4C">
        <w:t>m</w:t>
      </w:r>
      <w:r w:rsidR="009D6DB7" w:rsidRPr="000F2D4C">
        <w:t xml:space="preserve"> (people with lived </w:t>
      </w:r>
      <w:r w:rsidR="00512EA0" w:rsidRPr="000F2D4C">
        <w:t>and/or living</w:t>
      </w:r>
      <w:r w:rsidR="009D6DB7" w:rsidRPr="000F2D4C">
        <w:t xml:space="preserve"> experience of mental ill-health and</w:t>
      </w:r>
      <w:r w:rsidR="00512EA0" w:rsidRPr="000F2D4C">
        <w:t>/or</w:t>
      </w:r>
      <w:r w:rsidR="009D6DB7" w:rsidRPr="000F2D4C">
        <w:t xml:space="preserve"> suicide, </w:t>
      </w:r>
      <w:r w:rsidR="00512EA0" w:rsidRPr="000F2D4C">
        <w:t>along with families, carers and support people</w:t>
      </w:r>
      <w:r w:rsidR="009D6DB7" w:rsidRPr="000F2D4C">
        <w:t>)</w:t>
      </w:r>
      <w:r w:rsidR="01810BF7" w:rsidRPr="000F2D4C">
        <w:t>,</w:t>
      </w:r>
      <w:r w:rsidR="009D6DB7" w:rsidRPr="000F2D4C">
        <w:t xml:space="preserve"> and people who will be providing the service (the workforce). An appropriate understanding of needs – as well as the strengths </w:t>
      </w:r>
      <w:r w:rsidR="00CB34E2" w:rsidRPr="000F2D4C">
        <w:t xml:space="preserve">in communities that can be built on – can help ensure programs focus on the right things. </w:t>
      </w:r>
      <w:r w:rsidR="00420469" w:rsidRPr="000F2D4C">
        <w:t xml:space="preserve"> </w:t>
      </w:r>
    </w:p>
    <w:p w14:paraId="37A7F797" w14:textId="5C6C51D9" w:rsidR="00A46C80" w:rsidRPr="000F2D4C" w:rsidRDefault="00B16362" w:rsidP="008E6FDF">
      <w:r w:rsidRPr="000F2D4C" w:rsidDel="00B16362">
        <w:t xml:space="preserve">If an evaluation team is involved </w:t>
      </w:r>
      <w:r w:rsidRPr="000F2D4C" w:rsidDel="00B16362">
        <w:rPr>
          <w:b/>
          <w:bCs/>
        </w:rPr>
        <w:t>before the rollout of a program</w:t>
      </w:r>
      <w:r w:rsidRPr="000F2D4C" w:rsidDel="00B16362">
        <w:t>, they can undertake a needs assessment: a systematic process used to</w:t>
      </w:r>
      <w:r w:rsidR="009D1914" w:rsidRPr="000F2D4C">
        <w:t xml:space="preserve"> identify, analy</w:t>
      </w:r>
      <w:r w:rsidR="009244CF" w:rsidRPr="000F2D4C">
        <w:t>s</w:t>
      </w:r>
      <w:r w:rsidR="009D1914" w:rsidRPr="000F2D4C">
        <w:t>e, and prioriti</w:t>
      </w:r>
      <w:r w:rsidR="009244CF" w:rsidRPr="000F2D4C">
        <w:t>s</w:t>
      </w:r>
      <w:r w:rsidR="009D1914" w:rsidRPr="000F2D4C">
        <w:t>e the specific requirements, gaps, and challenges within a particular context or community</w:t>
      </w:r>
      <w:r w:rsidR="550E614A" w:rsidRPr="000F2D4C">
        <w:t xml:space="preserve"> and ensure the program is tailored to meet those needs</w:t>
      </w:r>
      <w:r w:rsidR="00FC1764" w:rsidRPr="000F2D4C">
        <w:t xml:space="preserve"> or responsive to them</w:t>
      </w:r>
      <w:r w:rsidR="009D1914" w:rsidRPr="000F2D4C">
        <w:t>.</w:t>
      </w:r>
      <w:r w:rsidR="002E272C" w:rsidRPr="000F2D4C">
        <w:rPr>
          <w:rStyle w:val="FootnoteReference"/>
        </w:rPr>
        <w:footnoteReference w:id="10"/>
      </w:r>
    </w:p>
    <w:p w14:paraId="5A4026B8" w14:textId="4EEEA229" w:rsidR="00AC07DC" w:rsidRPr="000F2D4C" w:rsidRDefault="00B642B6" w:rsidP="003D6C9C">
      <w:r w:rsidRPr="000F2D4C">
        <w:t xml:space="preserve">When a program is </w:t>
      </w:r>
      <w:r w:rsidRPr="000F2D4C">
        <w:rPr>
          <w:b/>
          <w:bCs/>
        </w:rPr>
        <w:t>in</w:t>
      </w:r>
      <w:r w:rsidR="00AC07DC" w:rsidRPr="000F2D4C">
        <w:rPr>
          <w:b/>
          <w:bCs/>
        </w:rPr>
        <w:t xml:space="preserve"> early stages</w:t>
      </w:r>
      <w:r w:rsidR="001B79BC" w:rsidRPr="000F2D4C">
        <w:rPr>
          <w:b/>
          <w:bCs/>
        </w:rPr>
        <w:t xml:space="preserve"> of implementation</w:t>
      </w:r>
      <w:r w:rsidR="00B8011D" w:rsidRPr="000F2D4C">
        <w:t xml:space="preserve">, </w:t>
      </w:r>
      <w:r w:rsidRPr="000F2D4C">
        <w:t>a</w:t>
      </w:r>
      <w:r w:rsidR="008F0990" w:rsidRPr="000F2D4C">
        <w:t xml:space="preserve">n evaluation focused on the design </w:t>
      </w:r>
      <w:r w:rsidRPr="000F2D4C">
        <w:t>might consider</w:t>
      </w:r>
      <w:r w:rsidR="009D6DB7" w:rsidRPr="000F2D4C">
        <w:t>:</w:t>
      </w:r>
    </w:p>
    <w:p w14:paraId="781D131F" w14:textId="4B9A1084" w:rsidR="009D6DB7" w:rsidRPr="000F2D4C" w:rsidRDefault="580724E8" w:rsidP="009D6DB7">
      <w:pPr>
        <w:pStyle w:val="ListBullet"/>
      </w:pPr>
      <w:r w:rsidRPr="000F2D4C">
        <w:t xml:space="preserve">how the needs </w:t>
      </w:r>
      <w:r w:rsidR="106F1378" w:rsidRPr="000F2D4C">
        <w:t xml:space="preserve">to be addressed were </w:t>
      </w:r>
      <w:r w:rsidRPr="000F2D4C">
        <w:t xml:space="preserve">identified </w:t>
      </w:r>
    </w:p>
    <w:p w14:paraId="0EB5574E" w14:textId="69993354" w:rsidR="009D6DB7" w:rsidRPr="000F2D4C" w:rsidRDefault="580724E8" w:rsidP="009D6DB7">
      <w:pPr>
        <w:pStyle w:val="ListBullet"/>
      </w:pPr>
      <w:r w:rsidRPr="000F2D4C">
        <w:t>the appropriateness of the design process</w:t>
      </w:r>
    </w:p>
    <w:p w14:paraId="2BE5AD38" w14:textId="4237F55E" w:rsidR="009D6DB7" w:rsidRPr="000F2D4C" w:rsidRDefault="580724E8" w:rsidP="009D6DB7">
      <w:pPr>
        <w:pStyle w:val="ListBullet"/>
      </w:pPr>
      <w:r w:rsidRPr="000F2D4C">
        <w:t>the fit between the design and existing research evidence</w:t>
      </w:r>
    </w:p>
    <w:p w14:paraId="3A26692E" w14:textId="1DBA9A96" w:rsidR="00D67350" w:rsidRPr="000F2D4C" w:rsidRDefault="5B8D85B5" w:rsidP="009D6DB7">
      <w:pPr>
        <w:pStyle w:val="ListBullet"/>
      </w:pPr>
      <w:r w:rsidRPr="000F2D4C">
        <w:t xml:space="preserve">how the </w:t>
      </w:r>
      <w:r w:rsidR="00F0295D" w:rsidRPr="000F2D4C">
        <w:t>program</w:t>
      </w:r>
      <w:r w:rsidRPr="000F2D4C">
        <w:t xml:space="preserve"> was tailored to and reflects the needs o</w:t>
      </w:r>
      <w:r w:rsidR="0E497595" w:rsidRPr="000F2D4C">
        <w:t>f different communities where it is being implemented</w:t>
      </w:r>
    </w:p>
    <w:p w14:paraId="367D15A2" w14:textId="557ECC71" w:rsidR="009D6DB7" w:rsidRPr="000F2D4C" w:rsidRDefault="580724E8" w:rsidP="009D6DB7">
      <w:pPr>
        <w:pStyle w:val="ListBullet"/>
      </w:pPr>
      <w:r w:rsidRPr="000F2D4C">
        <w:t>stakeholder perspectives on the appropriateness of the design.</w:t>
      </w:r>
    </w:p>
    <w:p w14:paraId="2D29226B" w14:textId="77777777" w:rsidR="00DB507F" w:rsidRPr="000F2D4C" w:rsidRDefault="00DB507F" w:rsidP="00DB507F">
      <w:pPr>
        <w:pStyle w:val="ListBullet"/>
        <w:numPr>
          <w:ilvl w:val="0"/>
          <w:numId w:val="0"/>
        </w:numPr>
        <w:ind w:left="360" w:hanging="360"/>
      </w:pPr>
    </w:p>
    <w:p w14:paraId="56951D87" w14:textId="6662BAA7" w:rsidR="00DB507F" w:rsidRPr="000F2D4C" w:rsidRDefault="00DB507F" w:rsidP="004741B7">
      <w:r w:rsidRPr="000F2D4C">
        <w:t xml:space="preserve">If the </w:t>
      </w:r>
      <w:r w:rsidR="00F0295D" w:rsidRPr="000F2D4C">
        <w:t>program</w:t>
      </w:r>
      <w:r w:rsidRPr="000F2D4C">
        <w:t xml:space="preserve"> was co-designed or co-produced, it may be appropriate </w:t>
      </w:r>
      <w:r w:rsidR="004741B7" w:rsidRPr="000F2D4C">
        <w:t>for the evaluation to include the co-design or co-production process.</w:t>
      </w:r>
      <w:r w:rsidR="1995AABE" w:rsidRPr="000F2D4C">
        <w:t xml:space="preserve"> </w:t>
      </w:r>
    </w:p>
    <w:p w14:paraId="7954D4F3" w14:textId="43716358" w:rsidR="00B323D2" w:rsidRPr="000F2D4C" w:rsidRDefault="004642C6" w:rsidP="00D075C9">
      <w:pPr>
        <w:pStyle w:val="Heading3"/>
      </w:pPr>
      <w:r w:rsidRPr="000F2D4C">
        <w:t>P</w:t>
      </w:r>
      <w:r w:rsidR="00DE3816" w:rsidRPr="000F2D4C">
        <w:t>r</w:t>
      </w:r>
      <w:r w:rsidRPr="000F2D4C">
        <w:t xml:space="preserve">ocess evaluation </w:t>
      </w:r>
      <w:r w:rsidR="002A78CC" w:rsidRPr="000F2D4C">
        <w:t>–</w:t>
      </w:r>
      <w:r w:rsidR="00881AAA" w:rsidRPr="000F2D4C">
        <w:t xml:space="preserve"> </w:t>
      </w:r>
      <w:r w:rsidR="002A78CC" w:rsidRPr="000F2D4C">
        <w:t>implementation</w:t>
      </w:r>
    </w:p>
    <w:p w14:paraId="4054E3B1" w14:textId="77777777" w:rsidR="005D66A6" w:rsidRPr="000F2D4C" w:rsidRDefault="00180F9D" w:rsidP="00180F9D">
      <w:r w:rsidRPr="000F2D4C">
        <w:t xml:space="preserve">It is critical to understand the extent to which a program is </w:t>
      </w:r>
      <w:r w:rsidRPr="000F2D4C">
        <w:rPr>
          <w:b/>
          <w:bCs/>
        </w:rPr>
        <w:t>implemented as intended</w:t>
      </w:r>
      <w:r w:rsidRPr="000F2D4C">
        <w:t xml:space="preserve"> before assessing outcomes. </w:t>
      </w:r>
      <w:r w:rsidR="00F33F53" w:rsidRPr="000F2D4C">
        <w:t xml:space="preserve">Understanding what is working well and what is not can help inform continuous improvement and increase the likelihood of success. </w:t>
      </w:r>
    </w:p>
    <w:p w14:paraId="590BFC6E" w14:textId="77777777" w:rsidR="005D66A6" w:rsidRPr="000F2D4C" w:rsidRDefault="00F33F53" w:rsidP="00180F9D">
      <w:r w:rsidRPr="000F2D4C">
        <w:t>Understanding what has been critical</w:t>
      </w:r>
      <w:r w:rsidR="00346421" w:rsidRPr="000F2D4C">
        <w:t xml:space="preserve"> to enable implementation and the barriers to implementation can inform consideration of further rollout or scale-up to support success. </w:t>
      </w:r>
    </w:p>
    <w:p w14:paraId="72DAB453" w14:textId="7C984B92" w:rsidR="007B7B9E" w:rsidRPr="000F2D4C" w:rsidRDefault="005D66A6" w:rsidP="00F61860">
      <w:r w:rsidRPr="000F2D4C">
        <w:t>A process</w:t>
      </w:r>
      <w:r w:rsidR="000C77F4" w:rsidRPr="000F2D4C">
        <w:t xml:space="preserve"> evaluation</w:t>
      </w:r>
      <w:r w:rsidR="00E36FCC" w:rsidRPr="000F2D4C">
        <w:t xml:space="preserve"> should consider</w:t>
      </w:r>
      <w:r w:rsidR="007B7B9E" w:rsidRPr="000F2D4C">
        <w:t>:</w:t>
      </w:r>
      <w:r w:rsidR="00E36FCC" w:rsidRPr="000F2D4C">
        <w:t xml:space="preserve"> </w:t>
      </w:r>
    </w:p>
    <w:p w14:paraId="50360592" w14:textId="77777777" w:rsidR="007B7B9E" w:rsidRPr="000F2D4C" w:rsidRDefault="00E36FCC" w:rsidP="007B7B9E">
      <w:pPr>
        <w:pStyle w:val="ListBullet"/>
      </w:pPr>
      <w:r w:rsidRPr="000F2D4C">
        <w:t>whether a program is being implemented as intended</w:t>
      </w:r>
    </w:p>
    <w:p w14:paraId="38139FB5" w14:textId="77777777" w:rsidR="007B7B9E" w:rsidRPr="000F2D4C" w:rsidRDefault="00E36FCC" w:rsidP="007B7B9E">
      <w:pPr>
        <w:pStyle w:val="ListBullet"/>
      </w:pPr>
      <w:r w:rsidRPr="000F2D4C">
        <w:t>whether and why adjustments were made</w:t>
      </w:r>
    </w:p>
    <w:p w14:paraId="2DA17CBA" w14:textId="77777777" w:rsidR="007B7B9E" w:rsidRPr="000F2D4C" w:rsidRDefault="00E36FCC" w:rsidP="007B7B9E">
      <w:pPr>
        <w:pStyle w:val="ListBullet"/>
      </w:pPr>
      <w:r w:rsidRPr="000F2D4C">
        <w:t>consistency of implementation</w:t>
      </w:r>
      <w:r w:rsidR="003468D9" w:rsidRPr="000F2D4C">
        <w:t xml:space="preserve"> across </w:t>
      </w:r>
      <w:r w:rsidRPr="000F2D4C">
        <w:t>locations (where there are multiple delivery locations</w:t>
      </w:r>
      <w:r w:rsidR="007B7B9E" w:rsidRPr="000F2D4C">
        <w:t>)</w:t>
      </w:r>
    </w:p>
    <w:p w14:paraId="756B75FB" w14:textId="590A2269" w:rsidR="00647598" w:rsidRPr="000F2D4C" w:rsidRDefault="00647598" w:rsidP="007B7B9E">
      <w:pPr>
        <w:pStyle w:val="ListBullet"/>
      </w:pPr>
      <w:r w:rsidRPr="000F2D4C">
        <w:lastRenderedPageBreak/>
        <w:t>whether the program is still the most appropriate response</w:t>
      </w:r>
    </w:p>
    <w:p w14:paraId="0F4A19CB" w14:textId="4AD34933" w:rsidR="007B7B9E" w:rsidRPr="000F2D4C" w:rsidRDefault="007B7B9E" w:rsidP="007B7B9E">
      <w:pPr>
        <w:pStyle w:val="ListBullet"/>
        <w:spacing w:after="240"/>
      </w:pPr>
      <w:r w:rsidRPr="000F2D4C">
        <w:t>enablers and barriers to implementation</w:t>
      </w:r>
      <w:r w:rsidR="00DE51E1" w:rsidRPr="000F2D4C">
        <w:t>.</w:t>
      </w:r>
      <w:r w:rsidR="00E36FCC" w:rsidRPr="000F2D4C">
        <w:t xml:space="preserve"> </w:t>
      </w:r>
    </w:p>
    <w:p w14:paraId="502415D8" w14:textId="1EDC401E" w:rsidR="005D66A6" w:rsidRPr="000F2D4C" w:rsidRDefault="005D66A6" w:rsidP="005D66A6">
      <w:r w:rsidRPr="000F2D4C">
        <w:t xml:space="preserve">A process evaluation may also consider the </w:t>
      </w:r>
      <w:r w:rsidRPr="000F2D4C">
        <w:rPr>
          <w:b/>
          <w:bCs/>
        </w:rPr>
        <w:t>appropriateness</w:t>
      </w:r>
      <w:r w:rsidRPr="000F2D4C">
        <w:t xml:space="preserve"> of the </w:t>
      </w:r>
      <w:r w:rsidR="00011FC0" w:rsidRPr="000F2D4C">
        <w:t>program</w:t>
      </w:r>
      <w:r w:rsidRPr="000F2D4C">
        <w:t xml:space="preserve"> for the people for which it was designed</w:t>
      </w:r>
      <w:r w:rsidR="00012C43" w:rsidRPr="000F2D4C">
        <w:t>, especially</w:t>
      </w:r>
      <w:r w:rsidRPr="000F2D4C">
        <w:t xml:space="preserve"> if this was not considered as part</w:t>
      </w:r>
      <w:r w:rsidR="000A2AB2" w:rsidRPr="000F2D4C">
        <w:t xml:space="preserve"> </w:t>
      </w:r>
      <w:r w:rsidR="00C057F8" w:rsidRPr="000F2D4C">
        <w:t xml:space="preserve">of </w:t>
      </w:r>
      <w:r w:rsidR="000A2AB2" w:rsidRPr="000F2D4C">
        <w:t>an evaluation focused on the design of the program</w:t>
      </w:r>
      <w:r w:rsidRPr="000F2D4C">
        <w:t xml:space="preserve">.  </w:t>
      </w:r>
    </w:p>
    <w:p w14:paraId="4841EF76" w14:textId="2F5AF31D" w:rsidR="00391DA6" w:rsidRPr="000F2D4C" w:rsidRDefault="008A7124" w:rsidP="005D66A6">
      <w:r w:rsidRPr="000F2D4C">
        <w:t>What “implemented as intended</w:t>
      </w:r>
      <w:r w:rsidR="30D031B6" w:rsidRPr="000F2D4C">
        <w:t>”</w:t>
      </w:r>
      <w:r w:rsidRPr="000F2D4C">
        <w:t xml:space="preserve"> means will differ between programs – from those using existing evidence-based models</w:t>
      </w:r>
      <w:r w:rsidR="00033354" w:rsidRPr="000F2D4C">
        <w:t>, where the model is expected to be implemented with “fidelity” (that is</w:t>
      </w:r>
      <w:r w:rsidR="000A2AB2" w:rsidRPr="000F2D4C">
        <w:t>,</w:t>
      </w:r>
      <w:r w:rsidR="00033354" w:rsidRPr="000F2D4C">
        <w:t xml:space="preserve"> </w:t>
      </w:r>
      <w:r w:rsidR="003F1819" w:rsidRPr="000F2D4C">
        <w:t>consistent with the original model</w:t>
      </w:r>
      <w:r w:rsidR="007B7B9E" w:rsidRPr="000F2D4C">
        <w:t>)</w:t>
      </w:r>
      <w:r w:rsidR="003F1819" w:rsidRPr="000F2D4C">
        <w:t>, to those that are co-produced, where iterative development and local variation are expected and need to be detailed</w:t>
      </w:r>
      <w:r w:rsidR="007B7B9E" w:rsidRPr="000F2D4C">
        <w:t xml:space="preserve"> and</w:t>
      </w:r>
      <w:r w:rsidR="003F1819" w:rsidRPr="000F2D4C">
        <w:t xml:space="preserve"> understood. </w:t>
      </w:r>
    </w:p>
    <w:p w14:paraId="0C2EF9DE" w14:textId="3F44E30E" w:rsidR="00BA7AB1" w:rsidRPr="000F2D4C" w:rsidRDefault="1E905FDA" w:rsidP="5A963CB6">
      <w:r w:rsidRPr="000F2D4C">
        <w:t>Th</w:t>
      </w:r>
      <w:r w:rsidR="6FE88D58" w:rsidRPr="000F2D4C">
        <w:t xml:space="preserve">e </w:t>
      </w:r>
      <w:hyperlink r:id="rId58" w:history="1">
        <w:r w:rsidR="6FE88D58" w:rsidRPr="000F2D4C">
          <w:rPr>
            <w:rStyle w:val="Hyperlink"/>
            <w:bCs/>
            <w:i/>
            <w:iCs/>
          </w:rPr>
          <w:t xml:space="preserve">Consolidated </w:t>
        </w:r>
        <w:r w:rsidR="576D2509" w:rsidRPr="000F2D4C">
          <w:rPr>
            <w:rStyle w:val="Hyperlink"/>
            <w:bCs/>
            <w:i/>
            <w:iCs/>
          </w:rPr>
          <w:t>Framework for Implementation Research</w:t>
        </w:r>
      </w:hyperlink>
      <w:r w:rsidRPr="000F2D4C">
        <w:t xml:space="preserve"> </w:t>
      </w:r>
      <w:r w:rsidR="6C31BFA9" w:rsidRPr="000F2D4C">
        <w:t>(</w:t>
      </w:r>
      <w:r w:rsidR="2F9FCEA5" w:rsidRPr="000F2D4C">
        <w:t>F</w:t>
      </w:r>
      <w:r w:rsidR="6C31BFA9" w:rsidRPr="000F2D4C">
        <w:t xml:space="preserve">igure </w:t>
      </w:r>
      <w:r w:rsidR="2F9FCEA5" w:rsidRPr="000F2D4C">
        <w:t>4</w:t>
      </w:r>
      <w:r w:rsidR="6C31BFA9" w:rsidRPr="000F2D4C">
        <w:t xml:space="preserve">) </w:t>
      </w:r>
      <w:r w:rsidRPr="000F2D4C">
        <w:t xml:space="preserve">can help to </w:t>
      </w:r>
      <w:r w:rsidR="0A3AD568" w:rsidRPr="000F2D4C">
        <w:t>classify</w:t>
      </w:r>
      <w:r w:rsidRPr="000F2D4C">
        <w:t xml:space="preserve"> enablers and barriers to implementation.</w:t>
      </w:r>
      <w:r w:rsidR="576D2509" w:rsidRPr="000F2D4C">
        <w:t xml:space="preserve"> </w:t>
      </w:r>
      <w:r w:rsidR="6975A9B2" w:rsidRPr="000F2D4C">
        <w:t>It is</w:t>
      </w:r>
      <w:r w:rsidR="48DC9AD0" w:rsidRPr="000F2D4C">
        <w:t xml:space="preserve"> </w:t>
      </w:r>
      <w:r w:rsidR="0A3AD568" w:rsidRPr="000F2D4C">
        <w:t xml:space="preserve">an </w:t>
      </w:r>
      <w:r w:rsidR="25058430" w:rsidRPr="000F2D4C">
        <w:t>organising</w:t>
      </w:r>
      <w:r w:rsidR="48DC9AD0" w:rsidRPr="000F2D4C">
        <w:t xml:space="preserve"> Framework, </w:t>
      </w:r>
      <w:r w:rsidR="48CDE768" w:rsidRPr="000F2D4C">
        <w:t>based</w:t>
      </w:r>
      <w:r w:rsidR="48DC9AD0" w:rsidRPr="000F2D4C">
        <w:t xml:space="preserve"> </w:t>
      </w:r>
      <w:r w:rsidR="25058430" w:rsidRPr="000F2D4C">
        <w:t>on the learning from over 500 published sources across many disciplines</w:t>
      </w:r>
      <w:r w:rsidR="0A3AD568" w:rsidRPr="000F2D4C">
        <w:t>.</w:t>
      </w:r>
      <w:r w:rsidR="00D23961" w:rsidRPr="000F2D4C">
        <w:rPr>
          <w:vertAlign w:val="superscript"/>
        </w:rPr>
        <w:footnoteReference w:id="11"/>
      </w:r>
      <w:r w:rsidR="6FE88D58" w:rsidRPr="000F2D4C">
        <w:t xml:space="preserve"> </w:t>
      </w:r>
    </w:p>
    <w:p w14:paraId="67288061" w14:textId="0355DE9F" w:rsidR="00610259" w:rsidRPr="000F2D4C" w:rsidRDefault="00610259" w:rsidP="00610259">
      <w:pPr>
        <w:pStyle w:val="FigureHeading"/>
      </w:pPr>
      <w:r w:rsidRPr="000F2D4C">
        <w:t>Consolidated Framework for Implementation Research</w:t>
      </w:r>
    </w:p>
    <w:p w14:paraId="0879F18D" w14:textId="49346B10" w:rsidR="00B10EA8" w:rsidRPr="000F2D4C" w:rsidRDefault="00B10EA8" w:rsidP="00B10EA8">
      <w:r w:rsidRPr="000F2D4C">
        <w:rPr>
          <w:noProof/>
        </w:rPr>
        <w:drawing>
          <wp:inline distT="0" distB="0" distL="0" distR="0" wp14:anchorId="7AFC3188" wp14:editId="6F8E8077">
            <wp:extent cx="5581650" cy="3721100"/>
            <wp:effectExtent l="0" t="0" r="0" b="0"/>
            <wp:docPr id="813959695" name="Picture 813959695" descr="The Consolidated Framework for Implementation Research has an outer setting, an inner setting and the characteristics of individuals. It has intervention characteristics that inform the process u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59695" name="Picture 813959695" descr="The Consolidated Framework for Implementation Research has an outer setting, an inner setting and the characteristics of individuals. It has intervention characteristics that inform the process used.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81650" cy="3721100"/>
                    </a:xfrm>
                    <a:prstGeom prst="rect">
                      <a:avLst/>
                    </a:prstGeom>
                    <a:noFill/>
                    <a:ln>
                      <a:noFill/>
                    </a:ln>
                  </pic:spPr>
                </pic:pic>
              </a:graphicData>
            </a:graphic>
          </wp:inline>
        </w:drawing>
      </w:r>
    </w:p>
    <w:p w14:paraId="1F8908EF" w14:textId="35DF98BE" w:rsidR="00610259" w:rsidRPr="000F2D4C" w:rsidRDefault="00570EF3" w:rsidP="00570EF3">
      <w:pPr>
        <w:pStyle w:val="Notes"/>
      </w:pPr>
      <w:r w:rsidRPr="000F2D4C">
        <w:rPr>
          <w:b/>
        </w:rPr>
        <w:t>Source</w:t>
      </w:r>
      <w:r w:rsidRPr="000F2D4C">
        <w:t xml:space="preserve">: </w:t>
      </w:r>
      <w:r w:rsidR="00ED5723" w:rsidRPr="000F2D4C">
        <w:t>CFIR Research Team-Center for Clinical Management Research</w:t>
      </w:r>
      <w:r w:rsidR="00DF6209" w:rsidRPr="000F2D4C">
        <w:t xml:space="preserve"> (2022). </w:t>
      </w:r>
      <w:hyperlink r:id="rId60" w:history="1">
        <w:r w:rsidR="00DF6209" w:rsidRPr="000F2D4C">
          <w:rPr>
            <w:rStyle w:val="Hyperlink"/>
          </w:rPr>
          <w:t>Consolidated Framework for Implementation Research.</w:t>
        </w:r>
      </w:hyperlink>
    </w:p>
    <w:p w14:paraId="43AB563A" w14:textId="6AF6DCC0" w:rsidR="002C3398" w:rsidRPr="000F2D4C" w:rsidRDefault="002C3398" w:rsidP="00D075C9">
      <w:pPr>
        <w:pStyle w:val="Heading3"/>
      </w:pPr>
      <w:r w:rsidRPr="000F2D4C">
        <w:lastRenderedPageBreak/>
        <w:t>Outcomes</w:t>
      </w:r>
      <w:r w:rsidR="002A78CC" w:rsidRPr="000F2D4C">
        <w:t xml:space="preserve"> evaluation – effectiveness</w:t>
      </w:r>
    </w:p>
    <w:p w14:paraId="3157CB96" w14:textId="05CCF09B" w:rsidR="004D76E4" w:rsidRPr="000F2D4C" w:rsidRDefault="004D76E4" w:rsidP="00712668">
      <w:r w:rsidRPr="000F2D4C">
        <w:t xml:space="preserve">The terms </w:t>
      </w:r>
      <w:r w:rsidRPr="000F2D4C">
        <w:rPr>
          <w:b/>
          <w:bCs/>
        </w:rPr>
        <w:t>outcome</w:t>
      </w:r>
      <w:r w:rsidR="008D7D33" w:rsidRPr="000F2D4C">
        <w:rPr>
          <w:b/>
          <w:bCs/>
        </w:rPr>
        <w:t>s</w:t>
      </w:r>
      <w:r w:rsidRPr="000F2D4C">
        <w:t xml:space="preserve"> and </w:t>
      </w:r>
      <w:r w:rsidRPr="000F2D4C">
        <w:rPr>
          <w:b/>
          <w:bCs/>
        </w:rPr>
        <w:t>impact</w:t>
      </w:r>
      <w:r w:rsidRPr="000F2D4C">
        <w:t xml:space="preserve"> are used differently</w:t>
      </w:r>
      <w:r w:rsidR="002753DB" w:rsidRPr="000F2D4C">
        <w:t>. I</w:t>
      </w:r>
      <w:r w:rsidRPr="000F2D4C">
        <w:t>n some cases</w:t>
      </w:r>
      <w:r w:rsidR="00CF7C70" w:rsidRPr="000F2D4C">
        <w:t>,</w:t>
      </w:r>
      <w:r w:rsidRPr="000F2D4C">
        <w:t xml:space="preserve"> </w:t>
      </w:r>
      <w:r w:rsidR="006B089F" w:rsidRPr="000F2D4C">
        <w:t>‘</w:t>
      </w:r>
      <w:r w:rsidRPr="000F2D4C">
        <w:t>outcomes</w:t>
      </w:r>
      <w:r w:rsidR="006B089F" w:rsidRPr="000F2D4C">
        <w:t>’</w:t>
      </w:r>
      <w:r w:rsidRPr="000F2D4C">
        <w:t xml:space="preserve"> is used to describe the more direct changes that result from an activity</w:t>
      </w:r>
      <w:r w:rsidR="0E2F519A" w:rsidRPr="000F2D4C">
        <w:t>,</w:t>
      </w:r>
      <w:r w:rsidRPr="000F2D4C">
        <w:t xml:space="preserve"> and </w:t>
      </w:r>
      <w:r w:rsidR="006B089F" w:rsidRPr="000F2D4C">
        <w:t>‘</w:t>
      </w:r>
      <w:r w:rsidRPr="000F2D4C">
        <w:t>impacts</w:t>
      </w:r>
      <w:r w:rsidR="001B12C5" w:rsidRPr="000F2D4C">
        <w:t>’</w:t>
      </w:r>
      <w:r w:rsidRPr="000F2D4C">
        <w:t xml:space="preserve"> to describe the longer-term</w:t>
      </w:r>
      <w:r w:rsidR="00CF7C70" w:rsidRPr="000F2D4C">
        <w:t xml:space="preserve"> changes</w:t>
      </w:r>
      <w:r w:rsidRPr="000F2D4C">
        <w:t>; in others, the reverse.</w:t>
      </w:r>
      <w:r w:rsidR="00883BD0" w:rsidRPr="000F2D4C">
        <w:t xml:space="preserve"> </w:t>
      </w:r>
    </w:p>
    <w:p w14:paraId="330CA2C6" w14:textId="4F643072" w:rsidR="00853CED" w:rsidRPr="000F2D4C" w:rsidRDefault="00BB0BDF" w:rsidP="00712668">
      <w:r w:rsidRPr="000F2D4C">
        <w:t>Outcome</w:t>
      </w:r>
      <w:r w:rsidR="008D7D33" w:rsidRPr="000F2D4C">
        <w:t>s</w:t>
      </w:r>
      <w:r w:rsidRPr="000F2D4C">
        <w:t xml:space="preserve"> evaluation examines if and how a</w:t>
      </w:r>
      <w:r w:rsidR="005F5F14" w:rsidRPr="000F2D4C">
        <w:t xml:space="preserve"> program</w:t>
      </w:r>
      <w:r w:rsidRPr="000F2D4C">
        <w:t xml:space="preserve"> is leading to intended changes</w:t>
      </w:r>
      <w:r w:rsidR="00DF3373" w:rsidRPr="000F2D4C">
        <w:t xml:space="preserve"> – which might be for individuals accessing the service, the workforce</w:t>
      </w:r>
      <w:r w:rsidR="313302C7" w:rsidRPr="000F2D4C">
        <w:t>,</w:t>
      </w:r>
      <w:r w:rsidR="00DF3373" w:rsidRPr="000F2D4C">
        <w:t xml:space="preserve"> and/or the broader system</w:t>
      </w:r>
      <w:r w:rsidRPr="000F2D4C">
        <w:t xml:space="preserve">. </w:t>
      </w:r>
      <w:r w:rsidR="00DF3373" w:rsidRPr="000F2D4C">
        <w:t>It</w:t>
      </w:r>
      <w:r w:rsidR="004D42B6" w:rsidRPr="000F2D4C">
        <w:t xml:space="preserve"> may include </w:t>
      </w:r>
      <w:r w:rsidR="008D4F84" w:rsidRPr="000F2D4C">
        <w:t>t</w:t>
      </w:r>
      <w:r w:rsidRPr="000F2D4C">
        <w:t xml:space="preserve">he extent </w:t>
      </w:r>
      <w:r w:rsidR="009E0326" w:rsidRPr="000F2D4C">
        <w:t xml:space="preserve">and/or longevity </w:t>
      </w:r>
      <w:r w:rsidRPr="000F2D4C">
        <w:t>of change</w:t>
      </w:r>
      <w:r w:rsidR="4AE5553A" w:rsidRPr="000F2D4C">
        <w:t>,</w:t>
      </w:r>
      <w:r w:rsidRPr="000F2D4C">
        <w:t xml:space="preserve"> and the degree to which the </w:t>
      </w:r>
      <w:r w:rsidR="005F5F14" w:rsidRPr="000F2D4C">
        <w:t>program</w:t>
      </w:r>
      <w:r w:rsidRPr="000F2D4C">
        <w:t xml:space="preserve"> has contributed to the observed changes. </w:t>
      </w:r>
    </w:p>
    <w:p w14:paraId="1EAF2120" w14:textId="377CDA61" w:rsidR="00BB0BDF" w:rsidRPr="000F2D4C" w:rsidRDefault="003E30FF" w:rsidP="00712668">
      <w:r w:rsidRPr="000F2D4C">
        <w:t>Outcome</w:t>
      </w:r>
      <w:r w:rsidR="008D7D33" w:rsidRPr="000F2D4C">
        <w:t>s</w:t>
      </w:r>
      <w:r w:rsidRPr="000F2D4C">
        <w:t xml:space="preserve"> e</w:t>
      </w:r>
      <w:r w:rsidR="008D4F84" w:rsidRPr="000F2D4C">
        <w:t xml:space="preserve">valuation </w:t>
      </w:r>
      <w:r w:rsidR="007D119B" w:rsidRPr="000F2D4C">
        <w:t>should</w:t>
      </w:r>
      <w:r w:rsidR="008D4F84" w:rsidRPr="000F2D4C">
        <w:t xml:space="preserve"> also </w:t>
      </w:r>
      <w:r w:rsidR="007D119B" w:rsidRPr="000F2D4C">
        <w:t>identify if there have been any</w:t>
      </w:r>
      <w:r w:rsidR="008D4F84" w:rsidRPr="000F2D4C">
        <w:t xml:space="preserve"> </w:t>
      </w:r>
      <w:r w:rsidR="00BB0BDF" w:rsidRPr="000F2D4C">
        <w:t>unintended outcomes</w:t>
      </w:r>
      <w:r w:rsidRPr="000F2D4C">
        <w:t xml:space="preserve"> </w:t>
      </w:r>
      <w:r w:rsidR="007D119B" w:rsidRPr="000F2D4C">
        <w:t>–</w:t>
      </w:r>
      <w:r w:rsidR="00BB0BDF" w:rsidRPr="000F2D4C">
        <w:t xml:space="preserve"> and </w:t>
      </w:r>
      <w:r w:rsidR="007D119B" w:rsidRPr="000F2D4C">
        <w:t>the</w:t>
      </w:r>
      <w:r w:rsidR="00BB0BDF" w:rsidRPr="000F2D4C">
        <w:t xml:space="preserve"> equity of outcomes. </w:t>
      </w:r>
      <w:r w:rsidR="005752C7" w:rsidRPr="000F2D4C">
        <w:t xml:space="preserve">Outcomes evaluations can also assess the extent to which the </w:t>
      </w:r>
      <w:r w:rsidR="005F5F14" w:rsidRPr="000F2D4C">
        <w:t>program</w:t>
      </w:r>
      <w:r w:rsidR="005752C7" w:rsidRPr="000F2D4C">
        <w:t xml:space="preserve"> remains appropriate.</w:t>
      </w:r>
    </w:p>
    <w:p w14:paraId="76CD8E48" w14:textId="17AAB10F" w:rsidR="00D85EA4" w:rsidRPr="000F2D4C" w:rsidRDefault="00D85EA4" w:rsidP="00712668">
      <w:r w:rsidRPr="000F2D4C">
        <w:t>Understanding outcomes is important to understanding the value of a program.</w:t>
      </w:r>
      <w:r w:rsidR="00CD78C1" w:rsidRPr="000F2D4C">
        <w:t xml:space="preserve"> Depending on the timeframe of the evaluation, outcomes may be considered over the short, medium</w:t>
      </w:r>
      <w:r w:rsidR="31A4F9B8" w:rsidRPr="000F2D4C">
        <w:t>,</w:t>
      </w:r>
      <w:r w:rsidR="00CD78C1" w:rsidRPr="000F2D4C">
        <w:t xml:space="preserve"> or </w:t>
      </w:r>
      <w:r w:rsidR="00AF1EAF" w:rsidRPr="000F2D4C">
        <w:t>long term</w:t>
      </w:r>
      <w:r w:rsidR="00CD78C1" w:rsidRPr="000F2D4C">
        <w:t xml:space="preserve">. </w:t>
      </w:r>
    </w:p>
    <w:p w14:paraId="3E3B881D" w14:textId="1A832E65" w:rsidR="0098275D" w:rsidRPr="000F2D4C" w:rsidRDefault="00F51662" w:rsidP="00712668">
      <w:r w:rsidRPr="000F2D4C">
        <w:t>Ev</w:t>
      </w:r>
      <w:r w:rsidR="00CD78C1" w:rsidRPr="000F2D4C">
        <w:t>aluations</w:t>
      </w:r>
      <w:r w:rsidR="00C22003" w:rsidRPr="000F2D4C">
        <w:t xml:space="preserve"> of mental health and suicide prevention </w:t>
      </w:r>
      <w:r w:rsidR="005F5F14" w:rsidRPr="000F2D4C">
        <w:t>programs</w:t>
      </w:r>
      <w:r w:rsidR="00CD78C1" w:rsidRPr="000F2D4C">
        <w:t xml:space="preserve"> should consider – as relevant to the specific </w:t>
      </w:r>
      <w:r w:rsidR="00C22003" w:rsidRPr="000F2D4C">
        <w:t>program</w:t>
      </w:r>
      <w:r w:rsidR="00CD78C1" w:rsidRPr="000F2D4C">
        <w:t xml:space="preserve"> – how they</w:t>
      </w:r>
      <w:r w:rsidR="0098275D" w:rsidRPr="000F2D4C">
        <w:t xml:space="preserve"> contribute to:</w:t>
      </w:r>
    </w:p>
    <w:p w14:paraId="44A47B6C" w14:textId="77777777" w:rsidR="00F20428" w:rsidRPr="000F2D4C" w:rsidRDefault="00F20428" w:rsidP="00F20428">
      <w:pPr>
        <w:pStyle w:val="ListBullet"/>
      </w:pPr>
      <w:r w:rsidRPr="000F2D4C">
        <w:t>improving equitable access to services and systems for the Australian population or the particular target group</w:t>
      </w:r>
    </w:p>
    <w:p w14:paraId="0029D4A5" w14:textId="41C5347D" w:rsidR="003D2BAB" w:rsidRPr="000F2D4C" w:rsidRDefault="661161CF" w:rsidP="004741B7">
      <w:pPr>
        <w:pStyle w:val="ListBullet"/>
      </w:pPr>
      <w:r w:rsidRPr="000F2D4C">
        <w:t>improving the mental health and wellbeing of the Australian population</w:t>
      </w:r>
      <w:r w:rsidR="00DB5475" w:rsidRPr="000F2D4C">
        <w:t xml:space="preserve"> or the particular target group</w:t>
      </w:r>
    </w:p>
    <w:p w14:paraId="5FCF6F3E" w14:textId="6E122CB4" w:rsidR="003D2BAB" w:rsidRPr="000F2D4C" w:rsidRDefault="661161CF" w:rsidP="004741B7">
      <w:pPr>
        <w:pStyle w:val="ListBullet"/>
      </w:pPr>
      <w:r w:rsidRPr="000F2D4C">
        <w:t>reducing suicide, suicidal distress</w:t>
      </w:r>
      <w:r w:rsidR="00FB5C24" w:rsidRPr="000F2D4C">
        <w:t>, distress</w:t>
      </w:r>
      <w:r w:rsidR="233B7D72" w:rsidRPr="000F2D4C">
        <w:t>,</w:t>
      </w:r>
      <w:r w:rsidRPr="000F2D4C">
        <w:t xml:space="preserve"> and self-harm </w:t>
      </w:r>
    </w:p>
    <w:p w14:paraId="33EB8B4C" w14:textId="791A0690" w:rsidR="003D2BAB" w:rsidRPr="000F2D4C" w:rsidRDefault="661161CF" w:rsidP="004741B7">
      <w:pPr>
        <w:pStyle w:val="ListBullet"/>
      </w:pPr>
      <w:r w:rsidRPr="000F2D4C">
        <w:t>improv</w:t>
      </w:r>
      <w:r w:rsidR="7F85D656" w:rsidRPr="000F2D4C">
        <w:t>ing</w:t>
      </w:r>
      <w:r w:rsidRPr="000F2D4C">
        <w:t xml:space="preserve"> coordination of services and systems for all communities and groups</w:t>
      </w:r>
    </w:p>
    <w:p w14:paraId="6E4BA871" w14:textId="6A793218" w:rsidR="003D2BAB" w:rsidRPr="000F2D4C" w:rsidRDefault="661161CF" w:rsidP="004741B7">
      <w:pPr>
        <w:pStyle w:val="ListBullet"/>
      </w:pPr>
      <w:r w:rsidRPr="000F2D4C">
        <w:t>improv</w:t>
      </w:r>
      <w:r w:rsidR="7F85D656" w:rsidRPr="000F2D4C">
        <w:t>ing</w:t>
      </w:r>
      <w:r w:rsidRPr="000F2D4C">
        <w:t xml:space="preserve"> physical health and life expectancy for people living with mental health conditions</w:t>
      </w:r>
      <w:r w:rsidR="358D7196" w:rsidRPr="000F2D4C">
        <w:t>,</w:t>
      </w:r>
      <w:r w:rsidRPr="000F2D4C">
        <w:t xml:space="preserve"> and for those experiencing suicidal distress</w:t>
      </w:r>
    </w:p>
    <w:p w14:paraId="68A926C8" w14:textId="5CC6D557" w:rsidR="001C4C7C" w:rsidRPr="000F2D4C" w:rsidRDefault="661161CF" w:rsidP="001C4C7C">
      <w:pPr>
        <w:pStyle w:val="ListBullet"/>
      </w:pPr>
      <w:r w:rsidRPr="000F2D4C">
        <w:t>improv</w:t>
      </w:r>
      <w:r w:rsidR="7F85D656" w:rsidRPr="000F2D4C">
        <w:t>ing</w:t>
      </w:r>
      <w:r w:rsidRPr="000F2D4C">
        <w:t xml:space="preserve"> quality, safety</w:t>
      </w:r>
      <w:r w:rsidR="39A23C62" w:rsidRPr="000F2D4C">
        <w:t>,</w:t>
      </w:r>
      <w:r w:rsidRPr="000F2D4C">
        <w:t xml:space="preserve"> and capacity in the Australian mental health and suicide prevention system</w:t>
      </w:r>
    </w:p>
    <w:p w14:paraId="6789DBFA" w14:textId="07BDC7C2" w:rsidR="003D2BAB" w:rsidRPr="000F2D4C" w:rsidRDefault="00EE1857" w:rsidP="004741B7">
      <w:pPr>
        <w:pStyle w:val="ListBullet"/>
      </w:pPr>
      <w:r w:rsidRPr="000F2D4C">
        <w:t>g</w:t>
      </w:r>
      <w:r w:rsidR="6F3A3D71" w:rsidRPr="000F2D4C">
        <w:t>rowing and supporting the mental health and/or suicide prevention workforce</w:t>
      </w:r>
      <w:r w:rsidR="00020AC9" w:rsidRPr="000F2D4C">
        <w:rPr>
          <w:rFonts w:ascii="Calibri" w:hAnsi="Calibri" w:cs="Calibri"/>
          <w:sz w:val="22"/>
        </w:rPr>
        <w:t>.</w:t>
      </w:r>
    </w:p>
    <w:p w14:paraId="0B21B06B" w14:textId="52FB7F4B" w:rsidR="009E2B83" w:rsidRPr="000F2D4C" w:rsidRDefault="00086642" w:rsidP="00D075C9">
      <w:pPr>
        <w:pStyle w:val="Heading3"/>
      </w:pPr>
      <w:r w:rsidRPr="000F2D4C">
        <w:t xml:space="preserve">Economic evaluation </w:t>
      </w:r>
      <w:r w:rsidR="007972F3" w:rsidRPr="000F2D4C">
        <w:t>–</w:t>
      </w:r>
      <w:r w:rsidR="00E41D56" w:rsidRPr="000F2D4C">
        <w:t xml:space="preserve"> </w:t>
      </w:r>
      <w:r w:rsidR="00E85BED" w:rsidRPr="000F2D4C">
        <w:t>v</w:t>
      </w:r>
      <w:r w:rsidR="006C06C4" w:rsidRPr="000F2D4C">
        <w:t>alue for money</w:t>
      </w:r>
    </w:p>
    <w:p w14:paraId="0DF06CC7" w14:textId="18C53298" w:rsidR="005E41A0" w:rsidRPr="000F2D4C" w:rsidRDefault="00E76B33" w:rsidP="00E76B33">
      <w:r w:rsidRPr="000F2D4C">
        <w:t>The purpose o</w:t>
      </w:r>
      <w:r w:rsidR="00E41D56" w:rsidRPr="000F2D4C">
        <w:t>f</w:t>
      </w:r>
      <w:r w:rsidRPr="000F2D4C">
        <w:t xml:space="preserve"> conducting an </w:t>
      </w:r>
      <w:r w:rsidRPr="000F2D4C">
        <w:rPr>
          <w:b/>
          <w:bCs/>
        </w:rPr>
        <w:t>economic evaluation</w:t>
      </w:r>
      <w:r w:rsidRPr="000F2D4C">
        <w:t xml:space="preserve"> –</w:t>
      </w:r>
      <w:r w:rsidR="00E41D56" w:rsidRPr="000F2D4C">
        <w:t xml:space="preserve"> or assessing value for money in evaluation</w:t>
      </w:r>
      <w:r w:rsidRPr="000F2D4C">
        <w:t xml:space="preserve"> </w:t>
      </w:r>
      <w:r w:rsidR="00E41D56" w:rsidRPr="000F2D4C">
        <w:t>– i</w:t>
      </w:r>
      <w:r w:rsidRPr="000F2D4C">
        <w:t xml:space="preserve">s to inform decision-makers, stakeholders, and funders about whether a particular </w:t>
      </w:r>
      <w:r w:rsidR="005F5F14" w:rsidRPr="000F2D4C">
        <w:t>program</w:t>
      </w:r>
      <w:r w:rsidRPr="000F2D4C">
        <w:t xml:space="preserve"> represents a wise and </w:t>
      </w:r>
      <w:r w:rsidRPr="000F2D4C">
        <w:rPr>
          <w:b/>
          <w:bCs/>
        </w:rPr>
        <w:t>cost-effective</w:t>
      </w:r>
      <w:r w:rsidRPr="000F2D4C">
        <w:t xml:space="preserve"> use of resources. </w:t>
      </w:r>
      <w:r w:rsidR="005E41A0" w:rsidRPr="000F2D4C">
        <w:t>This</w:t>
      </w:r>
      <w:r w:rsidRPr="000F2D4C">
        <w:t xml:space="preserve"> can help to inform choices about resource allocation</w:t>
      </w:r>
      <w:r w:rsidR="005E41A0" w:rsidRPr="000F2D4C">
        <w:t xml:space="preserve">. </w:t>
      </w:r>
      <w:r w:rsidR="00254A7E" w:rsidRPr="000F2D4C">
        <w:t>However, r</w:t>
      </w:r>
      <w:r w:rsidR="006070B5" w:rsidRPr="000F2D4C">
        <w:t>esource allocation</w:t>
      </w:r>
      <w:r w:rsidR="00883467" w:rsidRPr="000F2D4C">
        <w:t xml:space="preserve"> can be informed by all evaluation types, not just economic evaluations.</w:t>
      </w:r>
      <w:r w:rsidR="00C746AE" w:rsidRPr="000F2D4C">
        <w:t xml:space="preserve"> For example, investment decisions can also be informed by needs assessments, including mapping existing services to avoid duplication.</w:t>
      </w:r>
    </w:p>
    <w:p w14:paraId="75DA2453" w14:textId="5BEA924D" w:rsidR="005E41A0" w:rsidRPr="000F2D4C" w:rsidRDefault="005E41A0" w:rsidP="00E76B33">
      <w:r w:rsidRPr="000F2D4C">
        <w:t>By assessing efficiency, evaluators can identify areas where resources are being used sub-optimally and recommend changes to enhance the program's efficiency and impact. However, efficiency cannot be considered in isolation from equity and other considerations</w:t>
      </w:r>
      <w:r w:rsidR="00E43F82" w:rsidRPr="000F2D4C">
        <w:t>, such as service quality and long-lasting outcomes.</w:t>
      </w:r>
    </w:p>
    <w:p w14:paraId="32E813FF" w14:textId="77777777" w:rsidR="008B1116" w:rsidRPr="000F2D4C" w:rsidRDefault="008B1116" w:rsidP="008B1116">
      <w:pPr>
        <w:pStyle w:val="Heading2"/>
      </w:pPr>
      <w:bookmarkStart w:id="45" w:name="_Toc146031454"/>
      <w:bookmarkStart w:id="46" w:name="_Toc146206779"/>
      <w:bookmarkStart w:id="47" w:name="_Toc149918996"/>
      <w:r w:rsidRPr="000F2D4C">
        <w:lastRenderedPageBreak/>
        <w:t>Key evaluation questions</w:t>
      </w:r>
      <w:bookmarkEnd w:id="45"/>
      <w:bookmarkEnd w:id="46"/>
      <w:bookmarkEnd w:id="47"/>
    </w:p>
    <w:p w14:paraId="0C53EC3D" w14:textId="4CA73B43" w:rsidR="008B1116" w:rsidRPr="000F2D4C" w:rsidRDefault="008B1116" w:rsidP="008B1116">
      <w:r w:rsidRPr="000F2D4C">
        <w:t xml:space="preserve">Effectively defining key evaluation questions (KEQs) – aligned to the focus areas for evaluation – ensures the evaluation provides the information required for intended users and decision-making. </w:t>
      </w:r>
    </w:p>
    <w:p w14:paraId="0A9AA865" w14:textId="4915683B" w:rsidR="008B1116" w:rsidRPr="000F2D4C" w:rsidRDefault="008B1116" w:rsidP="008B1116">
      <w:r w:rsidRPr="000F2D4C">
        <w:t xml:space="preserve">Table </w:t>
      </w:r>
      <w:r w:rsidR="009C4B31" w:rsidRPr="000F2D4C">
        <w:t>1</w:t>
      </w:r>
      <w:r w:rsidRPr="000F2D4C">
        <w:t xml:space="preserve"> below provides a menu of system-level key evaluation questions mapped to program</w:t>
      </w:r>
      <w:r w:rsidR="006C6B86" w:rsidRPr="000F2D4C">
        <w:t>-</w:t>
      </w:r>
      <w:r w:rsidRPr="000F2D4C">
        <w:t xml:space="preserve">level evaluation </w:t>
      </w:r>
      <w:r w:rsidR="005B7B5C" w:rsidRPr="000F2D4C">
        <w:t>questions</w:t>
      </w:r>
      <w:r w:rsidRPr="000F2D4C">
        <w:t>.</w:t>
      </w:r>
    </w:p>
    <w:p w14:paraId="6A3AE210" w14:textId="09043C3A" w:rsidR="008B1116" w:rsidRPr="000F2D4C" w:rsidRDefault="008B1116" w:rsidP="008B1116">
      <w:r w:rsidRPr="000F2D4C">
        <w:t>Not all evaluations of mental health and suicide prevention programs would be expected to answer all program-level questions. Some questions are inappropriate to ask at certain stages of a program</w:t>
      </w:r>
      <w:r w:rsidR="33CA8CDC" w:rsidRPr="000F2D4C">
        <w:t>,</w:t>
      </w:r>
      <w:r w:rsidRPr="000F2D4C">
        <w:t xml:space="preserve"> and some will not be relevant to a particular program. Also, </w:t>
      </w:r>
      <w:r w:rsidR="00453D59" w:rsidRPr="000F2D4C">
        <w:t xml:space="preserve">it </w:t>
      </w:r>
      <w:r w:rsidRPr="000F2D4C">
        <w:t xml:space="preserve">is not possible to answer all questions in a single evaluation. A good guide is to use a small number of KEQs – about three to seven questions, with some more detailed sub-questions under these. </w:t>
      </w:r>
      <w:r w:rsidR="007D5200" w:rsidRPr="000F2D4C">
        <w:t>Individual evaluations may also have additional specific questions to be answered to inform local decision-making</w:t>
      </w:r>
      <w:r w:rsidR="00F11CBC" w:rsidRPr="000F2D4C">
        <w:t xml:space="preserve"> that do not appear in this menu</w:t>
      </w:r>
      <w:r w:rsidR="007D5200" w:rsidRPr="000F2D4C">
        <w:t>.</w:t>
      </w:r>
    </w:p>
    <w:p w14:paraId="66357B8E" w14:textId="0A491813" w:rsidR="00EF0D0B" w:rsidRPr="000F2D4C" w:rsidRDefault="008B1116" w:rsidP="00EF0D0B">
      <w:r w:rsidRPr="000F2D4C">
        <w:t xml:space="preserve">The menu of program-level evaluation questions is intended to support some consistency across evaluations to </w:t>
      </w:r>
      <w:r w:rsidR="007C5BDF" w:rsidRPr="000F2D4C">
        <w:t xml:space="preserve">facilitate </w:t>
      </w:r>
      <w:r w:rsidRPr="000F2D4C">
        <w:t xml:space="preserve">the synthesis of evaluations at a systems level. The menu of program-level questions includes </w:t>
      </w:r>
      <w:r w:rsidR="00D508CC" w:rsidRPr="000F2D4C">
        <w:t xml:space="preserve">consideration </w:t>
      </w:r>
      <w:r w:rsidRPr="000F2D4C">
        <w:t xml:space="preserve">about how </w:t>
      </w:r>
      <w:r w:rsidR="00CF514A" w:rsidRPr="000F2D4C">
        <w:t xml:space="preserve">programs </w:t>
      </w:r>
      <w:r w:rsidRPr="000F2D4C">
        <w:t>interact with and influence mental health and suicide prevention systems</w:t>
      </w:r>
      <w:r w:rsidR="000E4982" w:rsidRPr="000F2D4C">
        <w:t>, noting that individual programs can be influenced by system level factors or aim to influence system level factors</w:t>
      </w:r>
      <w:r w:rsidRPr="000F2D4C">
        <w:t xml:space="preserve">. </w:t>
      </w:r>
    </w:p>
    <w:p w14:paraId="33753DF3" w14:textId="04CFE975" w:rsidR="008B1116" w:rsidRPr="000F2D4C" w:rsidRDefault="008B1116" w:rsidP="008B1116">
      <w:r w:rsidRPr="000F2D4C">
        <w:t>However, it is important to note that any systems</w:t>
      </w:r>
      <w:r w:rsidR="00CF5357" w:rsidRPr="000F2D4C">
        <w:t>-</w:t>
      </w:r>
      <w:r w:rsidRPr="000F2D4C">
        <w:t>level view produced based on a synthesis of program evaluations will have limitations</w:t>
      </w:r>
      <w:r w:rsidR="4CE3FD0B" w:rsidRPr="000F2D4C">
        <w:t>,</w:t>
      </w:r>
      <w:r w:rsidRPr="000F2D4C">
        <w:t xml:space="preserve"> because not all programs are evaluated and not all evaluations are available. There are also some system</w:t>
      </w:r>
      <w:r w:rsidR="6170B54C" w:rsidRPr="000F2D4C">
        <w:t>-</w:t>
      </w:r>
      <w:r w:rsidRPr="000F2D4C">
        <w:t>level questions that will be best answered through specific system</w:t>
      </w:r>
      <w:r w:rsidR="00871E7C" w:rsidRPr="000F2D4C">
        <w:t>-</w:t>
      </w:r>
      <w:r w:rsidRPr="000F2D4C">
        <w:t>level studies – for example, questions about who is not being reached and why</w:t>
      </w:r>
      <w:r w:rsidR="00F11CBC" w:rsidRPr="000F2D4C">
        <w:t xml:space="preserve"> and a more complete picture of how services interact</w:t>
      </w:r>
      <w:r w:rsidRPr="000F2D4C">
        <w:t>.</w:t>
      </w:r>
    </w:p>
    <w:p w14:paraId="6EC56550" w14:textId="77777777" w:rsidR="009E067E" w:rsidRPr="000F2D4C" w:rsidRDefault="009E067E" w:rsidP="008B1116">
      <w:pPr>
        <w:sectPr w:rsidR="009E067E" w:rsidRPr="000F2D4C" w:rsidSect="00324725">
          <w:headerReference w:type="default" r:id="rId61"/>
          <w:footerReference w:type="default" r:id="rId62"/>
          <w:headerReference w:type="first" r:id="rId63"/>
          <w:pgSz w:w="11906" w:h="16838" w:code="9"/>
          <w:pgMar w:top="1418" w:right="1418" w:bottom="1418" w:left="2268" w:header="561" w:footer="57" w:gutter="0"/>
          <w:cols w:space="708"/>
          <w:docGrid w:linePitch="360"/>
        </w:sectPr>
      </w:pPr>
    </w:p>
    <w:p w14:paraId="33D6750F" w14:textId="5BE5458E" w:rsidR="008B1116" w:rsidRPr="000F2D4C" w:rsidRDefault="008B1116" w:rsidP="00780AD4">
      <w:pPr>
        <w:pStyle w:val="TableHeading"/>
      </w:pPr>
      <w:r w:rsidRPr="000F2D4C">
        <w:lastRenderedPageBreak/>
        <w:t>Key evaluation questions at the system and program level</w:t>
      </w:r>
    </w:p>
    <w:tbl>
      <w:tblPr>
        <w:tblStyle w:val="ARTDTable"/>
        <w:tblW w:w="0" w:type="auto"/>
        <w:tblLook w:val="04A0" w:firstRow="1" w:lastRow="0" w:firstColumn="1" w:lastColumn="0" w:noHBand="0" w:noVBand="1"/>
      </w:tblPr>
      <w:tblGrid>
        <w:gridCol w:w="1377"/>
        <w:gridCol w:w="6229"/>
        <w:gridCol w:w="6229"/>
      </w:tblGrid>
      <w:tr w:rsidR="008B1116" w:rsidRPr="000F2D4C" w14:paraId="79A3A34D" w14:textId="77777777" w:rsidTr="7A3237F6">
        <w:trPr>
          <w:cnfStyle w:val="100000000000" w:firstRow="1" w:lastRow="0" w:firstColumn="0" w:lastColumn="0" w:oddVBand="0" w:evenVBand="0" w:oddHBand="0" w:evenHBand="0" w:firstRowFirstColumn="0" w:firstRowLastColumn="0" w:lastRowFirstColumn="0" w:lastRowLastColumn="0"/>
          <w:tblHeader/>
        </w:trPr>
        <w:tc>
          <w:tcPr>
            <w:tcW w:w="1377" w:type="dxa"/>
          </w:tcPr>
          <w:p w14:paraId="45559BDD" w14:textId="77777777" w:rsidR="008B1116" w:rsidRPr="000F2D4C" w:rsidRDefault="008B1116">
            <w:pPr>
              <w:pStyle w:val="Tablecolumnheading"/>
              <w:keepNext/>
              <w:keepLines/>
            </w:pPr>
            <w:r w:rsidRPr="000F2D4C">
              <w:t>Domain</w:t>
            </w:r>
          </w:p>
        </w:tc>
        <w:tc>
          <w:tcPr>
            <w:tcW w:w="6229" w:type="dxa"/>
          </w:tcPr>
          <w:p w14:paraId="004937D8" w14:textId="77777777" w:rsidR="008B1116" w:rsidRPr="000F2D4C" w:rsidRDefault="008B1116">
            <w:pPr>
              <w:pStyle w:val="Tablecolumnheading"/>
              <w:keepNext/>
              <w:keepLines/>
            </w:pPr>
            <w:r w:rsidRPr="000F2D4C">
              <w:t>System level</w:t>
            </w:r>
          </w:p>
        </w:tc>
        <w:tc>
          <w:tcPr>
            <w:tcW w:w="6229" w:type="dxa"/>
          </w:tcPr>
          <w:p w14:paraId="13F002AF" w14:textId="77777777" w:rsidR="008B1116" w:rsidRPr="000F2D4C" w:rsidRDefault="008B1116">
            <w:pPr>
              <w:pStyle w:val="Tablecolumnheading"/>
              <w:keepNext/>
              <w:keepLines/>
            </w:pPr>
            <w:r w:rsidRPr="000F2D4C">
              <w:t>Program level</w:t>
            </w:r>
          </w:p>
        </w:tc>
      </w:tr>
      <w:tr w:rsidR="008B1116" w:rsidRPr="000F2D4C" w14:paraId="529CFA02" w14:textId="77777777" w:rsidTr="7A3237F6">
        <w:trPr>
          <w:cnfStyle w:val="000000100000" w:firstRow="0" w:lastRow="0" w:firstColumn="0" w:lastColumn="0" w:oddVBand="0" w:evenVBand="0" w:oddHBand="1" w:evenHBand="0" w:firstRowFirstColumn="0" w:firstRowLastColumn="0" w:lastRowFirstColumn="0" w:lastRowLastColumn="0"/>
        </w:trPr>
        <w:tc>
          <w:tcPr>
            <w:tcW w:w="1377" w:type="dxa"/>
          </w:tcPr>
          <w:p w14:paraId="15BCC43B" w14:textId="77777777" w:rsidR="008B1116" w:rsidRPr="000F2D4C" w:rsidRDefault="008B1116">
            <w:pPr>
              <w:pStyle w:val="Tablebodytext"/>
              <w:keepNext/>
              <w:keepLines/>
            </w:pPr>
            <w:r w:rsidRPr="000F2D4C">
              <w:t>Program design</w:t>
            </w:r>
          </w:p>
        </w:tc>
        <w:tc>
          <w:tcPr>
            <w:tcW w:w="6229" w:type="dxa"/>
          </w:tcPr>
          <w:p w14:paraId="05C0CFD9" w14:textId="77777777" w:rsidR="008B1116" w:rsidRPr="000F2D4C" w:rsidRDefault="008B1116" w:rsidP="00FC2CEE">
            <w:pPr>
              <w:pStyle w:val="ListBullet"/>
              <w:numPr>
                <w:ilvl w:val="0"/>
                <w:numId w:val="24"/>
              </w:numPr>
              <w:rPr>
                <w:color w:val="000000" w:themeColor="text2"/>
              </w:rPr>
            </w:pPr>
            <w:r w:rsidRPr="000F2D4C">
              <w:rPr>
                <w:color w:val="000000" w:themeColor="text2"/>
              </w:rPr>
              <w:t>To what extent do programs address identified needs? Where are there still gaps in the system?</w:t>
            </w:r>
          </w:p>
          <w:p w14:paraId="50F26517" w14:textId="735336EE" w:rsidR="008B1116" w:rsidRPr="000F2D4C" w:rsidRDefault="008B1116" w:rsidP="00FC2CEE">
            <w:pPr>
              <w:pStyle w:val="ListBullet"/>
              <w:numPr>
                <w:ilvl w:val="0"/>
                <w:numId w:val="24"/>
              </w:numPr>
              <w:rPr>
                <w:color w:val="000000" w:themeColor="text2"/>
              </w:rPr>
            </w:pPr>
            <w:r w:rsidRPr="000F2D4C">
              <w:rPr>
                <w:color w:val="000000" w:themeColor="text2"/>
              </w:rPr>
              <w:t>How appropriate have the design processes been? How have people with lived and</w:t>
            </w:r>
            <w:r w:rsidR="535DE44B" w:rsidRPr="000F2D4C">
              <w:rPr>
                <w:color w:val="000000" w:themeColor="text2"/>
              </w:rPr>
              <w:t>/or</w:t>
            </w:r>
            <w:r w:rsidRPr="000F2D4C">
              <w:rPr>
                <w:color w:val="000000" w:themeColor="text2"/>
              </w:rPr>
              <w:t xml:space="preserve"> living experience and other stakeholders </w:t>
            </w:r>
            <w:r w:rsidR="00941592" w:rsidRPr="000F2D4C">
              <w:rPr>
                <w:color w:val="000000" w:themeColor="text2"/>
              </w:rPr>
              <w:t xml:space="preserve">been </w:t>
            </w:r>
            <w:r w:rsidRPr="000F2D4C">
              <w:rPr>
                <w:color w:val="000000" w:themeColor="text2"/>
              </w:rPr>
              <w:t xml:space="preserve">involved in the design? </w:t>
            </w:r>
          </w:p>
          <w:p w14:paraId="7E1CF21A" w14:textId="0C81F1C7" w:rsidR="008B1116" w:rsidRPr="000F2D4C" w:rsidRDefault="008B1116" w:rsidP="00FC2CEE">
            <w:pPr>
              <w:pStyle w:val="ListBullet"/>
              <w:numPr>
                <w:ilvl w:val="0"/>
                <w:numId w:val="24"/>
              </w:numPr>
            </w:pPr>
            <w:r w:rsidRPr="000F2D4C">
              <w:rPr>
                <w:color w:val="000000" w:themeColor="text2"/>
              </w:rPr>
              <w:t xml:space="preserve">What opportunities remain for more nationally consistent mental health and suicide prevention </w:t>
            </w:r>
            <w:r w:rsidR="005F5F14" w:rsidRPr="000F2D4C">
              <w:rPr>
                <w:color w:val="000000" w:themeColor="text2"/>
              </w:rPr>
              <w:t>programs</w:t>
            </w:r>
            <w:r w:rsidRPr="000F2D4C">
              <w:rPr>
                <w:color w:val="000000" w:themeColor="text2"/>
              </w:rPr>
              <w:t xml:space="preserve">? </w:t>
            </w:r>
          </w:p>
        </w:tc>
        <w:tc>
          <w:tcPr>
            <w:tcW w:w="6229" w:type="dxa"/>
          </w:tcPr>
          <w:p w14:paraId="3780CBFA" w14:textId="77777777" w:rsidR="008B1116" w:rsidRPr="000F2D4C" w:rsidRDefault="008B1116">
            <w:pPr>
              <w:pStyle w:val="ListBullet"/>
              <w:keepNext/>
              <w:keepLines/>
            </w:pPr>
            <w:r w:rsidRPr="000F2D4C">
              <w:t>To what extent is there a need for this program in this context/ within the system?</w:t>
            </w:r>
          </w:p>
          <w:p w14:paraId="631E0B76" w14:textId="77777777" w:rsidR="008B1116" w:rsidRPr="000F2D4C" w:rsidRDefault="008B1116" w:rsidP="00FC2CEE">
            <w:pPr>
              <w:pStyle w:val="ListParagraph"/>
              <w:keepNext/>
              <w:keepLines/>
              <w:numPr>
                <w:ilvl w:val="0"/>
                <w:numId w:val="31"/>
              </w:numPr>
            </w:pPr>
            <w:r w:rsidRPr="000F2D4C">
              <w:t>How does the program align with the existing evidence base?</w:t>
            </w:r>
          </w:p>
          <w:p w14:paraId="12AA9F50" w14:textId="77777777" w:rsidR="008B1116" w:rsidRPr="000F2D4C" w:rsidRDefault="008B1116" w:rsidP="00FC2CEE">
            <w:pPr>
              <w:pStyle w:val="ListParagraph"/>
              <w:keepNext/>
              <w:keepLines/>
              <w:numPr>
                <w:ilvl w:val="0"/>
                <w:numId w:val="31"/>
              </w:numPr>
            </w:pPr>
            <w:r w:rsidRPr="000F2D4C">
              <w:t xml:space="preserve">How appropriate was the design process? </w:t>
            </w:r>
          </w:p>
          <w:p w14:paraId="36AE73B0" w14:textId="4F52AA35" w:rsidR="008B1116" w:rsidRPr="000F2D4C" w:rsidRDefault="008B1116" w:rsidP="00FC2CEE">
            <w:pPr>
              <w:pStyle w:val="ListParagraph"/>
              <w:keepNext/>
              <w:keepLines/>
              <w:numPr>
                <w:ilvl w:val="0"/>
                <w:numId w:val="31"/>
              </w:numPr>
            </w:pPr>
            <w:r w:rsidRPr="000F2D4C">
              <w:t>How were people with lived and</w:t>
            </w:r>
            <w:r w:rsidR="3E875A99" w:rsidRPr="000F2D4C">
              <w:t>/or</w:t>
            </w:r>
            <w:r w:rsidRPr="000F2D4C">
              <w:t xml:space="preserve"> living experience and other stakeholders involved in the design? </w:t>
            </w:r>
          </w:p>
          <w:p w14:paraId="5D99068B" w14:textId="77777777" w:rsidR="008B1116" w:rsidRPr="000F2D4C" w:rsidRDefault="008B1116">
            <w:pPr>
              <w:pStyle w:val="Tablebodytext"/>
              <w:keepNext/>
              <w:keepLines/>
            </w:pPr>
          </w:p>
        </w:tc>
      </w:tr>
      <w:tr w:rsidR="008B1116" w:rsidRPr="000F2D4C" w14:paraId="66670227" w14:textId="77777777" w:rsidTr="7A3237F6">
        <w:trPr>
          <w:cnfStyle w:val="000000010000" w:firstRow="0" w:lastRow="0" w:firstColumn="0" w:lastColumn="0" w:oddVBand="0" w:evenVBand="0" w:oddHBand="0" w:evenHBand="1" w:firstRowFirstColumn="0" w:firstRowLastColumn="0" w:lastRowFirstColumn="0" w:lastRowLastColumn="0"/>
        </w:trPr>
        <w:tc>
          <w:tcPr>
            <w:tcW w:w="1377" w:type="dxa"/>
          </w:tcPr>
          <w:p w14:paraId="6B2FEDB3" w14:textId="4E5F361E" w:rsidR="008B1116" w:rsidRPr="000F2D4C" w:rsidRDefault="008B1116">
            <w:pPr>
              <w:pStyle w:val="Tablebodytext"/>
            </w:pPr>
            <w:r w:rsidRPr="000F2D4C">
              <w:t xml:space="preserve">Process evaluation – </w:t>
            </w:r>
            <w:r w:rsidR="63568024" w:rsidRPr="000F2D4C">
              <w:t>i</w:t>
            </w:r>
            <w:r w:rsidRPr="000F2D4C">
              <w:t xml:space="preserve">mplementation </w:t>
            </w:r>
          </w:p>
        </w:tc>
        <w:tc>
          <w:tcPr>
            <w:tcW w:w="6229" w:type="dxa"/>
          </w:tcPr>
          <w:p w14:paraId="28BED71A" w14:textId="612C3E80" w:rsidR="008B1116" w:rsidRPr="000F2D4C" w:rsidRDefault="008B1116" w:rsidP="00FC2CEE">
            <w:pPr>
              <w:pStyle w:val="ListBullet"/>
              <w:numPr>
                <w:ilvl w:val="0"/>
                <w:numId w:val="24"/>
              </w:numPr>
            </w:pPr>
            <w:r w:rsidRPr="000F2D4C">
              <w:t>To what extent is there a whole-of-government approach to coordinated mental health and suicide prevention, early intervention, treatment, aftercare</w:t>
            </w:r>
            <w:r w:rsidR="2ACBC035" w:rsidRPr="000F2D4C">
              <w:t>,</w:t>
            </w:r>
            <w:r w:rsidRPr="000F2D4C">
              <w:t xml:space="preserve"> and postvention supports?</w:t>
            </w:r>
          </w:p>
          <w:p w14:paraId="3C4EC9A7" w14:textId="5A36B6C3" w:rsidR="008B1116" w:rsidRPr="000F2D4C" w:rsidRDefault="008B1116" w:rsidP="00FC2CEE">
            <w:pPr>
              <w:pStyle w:val="ListBullet"/>
              <w:numPr>
                <w:ilvl w:val="0"/>
                <w:numId w:val="24"/>
              </w:numPr>
            </w:pPr>
            <w:r w:rsidRPr="000F2D4C">
              <w:t xml:space="preserve">To what extent are mental health and suicide prevention </w:t>
            </w:r>
            <w:r w:rsidR="005F5F14" w:rsidRPr="000F2D4C">
              <w:t>programs</w:t>
            </w:r>
            <w:r w:rsidRPr="000F2D4C">
              <w:t xml:space="preserve"> reaching intended target groups, including priority populations? </w:t>
            </w:r>
          </w:p>
          <w:p w14:paraId="359AD0E7" w14:textId="77777777" w:rsidR="008B1116" w:rsidRPr="000F2D4C" w:rsidRDefault="008B1116" w:rsidP="00FC2CEE">
            <w:pPr>
              <w:pStyle w:val="ListBullet"/>
              <w:numPr>
                <w:ilvl w:val="1"/>
                <w:numId w:val="24"/>
              </w:numPr>
            </w:pPr>
            <w:r w:rsidRPr="000F2D4C">
              <w:t>Who is being reached and why?</w:t>
            </w:r>
          </w:p>
          <w:p w14:paraId="0F4D0177" w14:textId="77777777" w:rsidR="008B1116" w:rsidRPr="000F2D4C" w:rsidRDefault="008B1116" w:rsidP="00FC2CEE">
            <w:pPr>
              <w:pStyle w:val="ListBullet"/>
              <w:numPr>
                <w:ilvl w:val="1"/>
                <w:numId w:val="24"/>
              </w:numPr>
            </w:pPr>
            <w:r w:rsidRPr="000F2D4C">
              <w:t>Who is not being reached and why?</w:t>
            </w:r>
          </w:p>
          <w:p w14:paraId="183DFA04" w14:textId="3D17C1BE" w:rsidR="008B1116" w:rsidRPr="000F2D4C" w:rsidRDefault="008B1116" w:rsidP="00FC2CEE">
            <w:pPr>
              <w:pStyle w:val="ListBullet"/>
              <w:numPr>
                <w:ilvl w:val="0"/>
                <w:numId w:val="24"/>
              </w:numPr>
            </w:pPr>
            <w:r w:rsidRPr="000F2D4C">
              <w:t xml:space="preserve">To what extent are mental health and suicide prevention </w:t>
            </w:r>
            <w:r w:rsidR="005F5F14" w:rsidRPr="000F2D4C">
              <w:t>programs</w:t>
            </w:r>
            <w:r w:rsidRPr="000F2D4C">
              <w:t xml:space="preserve"> enhancing access to supports and services, including for priority populations? </w:t>
            </w:r>
          </w:p>
          <w:p w14:paraId="1CAD1F62" w14:textId="77777777" w:rsidR="008B1116" w:rsidRPr="000F2D4C" w:rsidRDefault="008B1116" w:rsidP="00FC2CEE">
            <w:pPr>
              <w:pStyle w:val="ListBullet"/>
              <w:numPr>
                <w:ilvl w:val="1"/>
                <w:numId w:val="24"/>
              </w:numPr>
            </w:pPr>
            <w:r w:rsidRPr="000F2D4C">
              <w:t>What enables access?</w:t>
            </w:r>
          </w:p>
          <w:p w14:paraId="3899A15C" w14:textId="77777777" w:rsidR="008B1116" w:rsidRPr="000F2D4C" w:rsidRDefault="008B1116" w:rsidP="00FC2CEE">
            <w:pPr>
              <w:pStyle w:val="ListBullet"/>
              <w:numPr>
                <w:ilvl w:val="1"/>
                <w:numId w:val="24"/>
              </w:numPr>
            </w:pPr>
            <w:r w:rsidRPr="000F2D4C">
              <w:t>What are the barriers to access?</w:t>
            </w:r>
          </w:p>
          <w:p w14:paraId="78D00715" w14:textId="43ADEA56" w:rsidR="008B1116" w:rsidRPr="000F2D4C" w:rsidRDefault="008B1116" w:rsidP="00FC2CEE">
            <w:pPr>
              <w:pStyle w:val="ListBullet"/>
              <w:numPr>
                <w:ilvl w:val="1"/>
                <w:numId w:val="24"/>
              </w:numPr>
            </w:pPr>
            <w:r w:rsidRPr="000F2D4C">
              <w:t xml:space="preserve">To what </w:t>
            </w:r>
            <w:r w:rsidR="5A175C9B" w:rsidRPr="000F2D4C">
              <w:t xml:space="preserve">extent </w:t>
            </w:r>
            <w:r w:rsidRPr="000F2D4C">
              <w:t xml:space="preserve">are there appropriate connections between programs to support continuity of care? </w:t>
            </w:r>
          </w:p>
          <w:p w14:paraId="5FACA777" w14:textId="77777777" w:rsidR="008B1116" w:rsidRPr="000F2D4C" w:rsidRDefault="008B1116" w:rsidP="00FC2CEE">
            <w:pPr>
              <w:pStyle w:val="Listletterlevel2"/>
              <w:numPr>
                <w:ilvl w:val="0"/>
                <w:numId w:val="24"/>
              </w:numPr>
              <w:spacing w:before="120" w:after="120"/>
              <w:rPr>
                <w:lang w:val="en-AU"/>
              </w:rPr>
            </w:pPr>
            <w:r w:rsidRPr="000F2D4C">
              <w:rPr>
                <w:lang w:val="en-AU"/>
              </w:rPr>
              <w:t>What lessons can be learnt for implementing similar programs in future?</w:t>
            </w:r>
          </w:p>
          <w:p w14:paraId="7DA15D5D" w14:textId="77777777" w:rsidR="008B1116" w:rsidRPr="000F2D4C" w:rsidRDefault="008B1116">
            <w:pPr>
              <w:pStyle w:val="Tablebodytext"/>
            </w:pPr>
          </w:p>
        </w:tc>
        <w:tc>
          <w:tcPr>
            <w:tcW w:w="6229" w:type="dxa"/>
          </w:tcPr>
          <w:p w14:paraId="3287B086" w14:textId="77777777" w:rsidR="008B1116" w:rsidRPr="000F2D4C" w:rsidRDefault="008B1116" w:rsidP="00951A52">
            <w:pPr>
              <w:pStyle w:val="ListBullet"/>
              <w:keepNext/>
              <w:keepLines/>
              <w:rPr>
                <w:color w:val="auto"/>
              </w:rPr>
            </w:pPr>
            <w:r w:rsidRPr="000F2D4C">
              <w:rPr>
                <w:color w:val="auto"/>
              </w:rPr>
              <w:t>To what extent has the program been implemented as intended?</w:t>
            </w:r>
          </w:p>
          <w:p w14:paraId="1A8BC259" w14:textId="77777777" w:rsidR="008B1116" w:rsidRPr="000F2D4C" w:rsidRDefault="008B1116" w:rsidP="00FC2CEE">
            <w:pPr>
              <w:pStyle w:val="ListParagraph"/>
              <w:numPr>
                <w:ilvl w:val="1"/>
                <w:numId w:val="2"/>
              </w:numPr>
            </w:pPr>
            <w:r w:rsidRPr="000F2D4C">
              <w:t xml:space="preserve">What were the enablers and barriers to implementation? </w:t>
            </w:r>
          </w:p>
          <w:p w14:paraId="7EAB969C" w14:textId="77777777" w:rsidR="008B1116" w:rsidRPr="000F2D4C" w:rsidRDefault="008B1116" w:rsidP="00951A52">
            <w:pPr>
              <w:pStyle w:val="ListBullet"/>
              <w:keepNext/>
              <w:keepLines/>
              <w:rPr>
                <w:color w:val="auto"/>
              </w:rPr>
            </w:pPr>
            <w:r w:rsidRPr="000F2D4C">
              <w:rPr>
                <w:color w:val="auto"/>
              </w:rPr>
              <w:t>To what extent has the program reached the intended target groups?</w:t>
            </w:r>
          </w:p>
          <w:p w14:paraId="17BDED6A" w14:textId="77777777" w:rsidR="008B1116" w:rsidRPr="000F2D4C" w:rsidRDefault="008B1116" w:rsidP="00FC2CEE">
            <w:pPr>
              <w:pStyle w:val="ListParagraph"/>
              <w:numPr>
                <w:ilvl w:val="1"/>
                <w:numId w:val="2"/>
              </w:numPr>
            </w:pPr>
            <w:r w:rsidRPr="000F2D4C">
              <w:t>Who is not being reached and why?</w:t>
            </w:r>
          </w:p>
          <w:p w14:paraId="6C49B008" w14:textId="77777777" w:rsidR="008B1116" w:rsidRPr="000F2D4C" w:rsidRDefault="008B1116" w:rsidP="00FC2CEE">
            <w:pPr>
              <w:pStyle w:val="ListParagraph"/>
              <w:numPr>
                <w:ilvl w:val="1"/>
                <w:numId w:val="2"/>
              </w:numPr>
            </w:pPr>
            <w:r w:rsidRPr="000F2D4C">
              <w:t>Is this response appropriate?</w:t>
            </w:r>
          </w:p>
          <w:p w14:paraId="61F30968" w14:textId="77777777" w:rsidR="008B1116" w:rsidRPr="000F2D4C" w:rsidRDefault="008B1116" w:rsidP="00FC2CEE">
            <w:pPr>
              <w:pStyle w:val="ListParagraph"/>
              <w:numPr>
                <w:ilvl w:val="0"/>
                <w:numId w:val="31"/>
              </w:numPr>
              <w:rPr>
                <w:color w:val="auto"/>
              </w:rPr>
            </w:pPr>
            <w:r w:rsidRPr="000F2D4C">
              <w:rPr>
                <w:color w:val="auto"/>
              </w:rPr>
              <w:t>What is the experience of people accessing the service?</w:t>
            </w:r>
          </w:p>
          <w:p w14:paraId="43BCC734" w14:textId="5574E4C0" w:rsidR="008B1116" w:rsidRPr="000F2D4C" w:rsidRDefault="008B1116" w:rsidP="00FC2CEE">
            <w:pPr>
              <w:pStyle w:val="ListParagraph"/>
              <w:numPr>
                <w:ilvl w:val="1"/>
                <w:numId w:val="2"/>
              </w:numPr>
            </w:pPr>
            <w:r w:rsidRPr="000F2D4C">
              <w:t xml:space="preserve">To what extent is the </w:t>
            </w:r>
            <w:r w:rsidR="005F5F14" w:rsidRPr="000F2D4C">
              <w:t>program</w:t>
            </w:r>
            <w:r w:rsidRPr="000F2D4C">
              <w:t xml:space="preserve"> acceptable to people intended to access it?</w:t>
            </w:r>
          </w:p>
          <w:p w14:paraId="3C32E95C" w14:textId="77777777" w:rsidR="008B1116" w:rsidRPr="000F2D4C" w:rsidRDefault="008B1116" w:rsidP="00FC2CEE">
            <w:pPr>
              <w:pStyle w:val="ListParagraph"/>
              <w:numPr>
                <w:ilvl w:val="0"/>
                <w:numId w:val="31"/>
              </w:numPr>
              <w:rPr>
                <w:color w:val="auto"/>
              </w:rPr>
            </w:pPr>
            <w:r w:rsidRPr="000F2D4C">
              <w:rPr>
                <w:color w:val="auto"/>
              </w:rPr>
              <w:t>What is the experience of staff who deliver the program?</w:t>
            </w:r>
          </w:p>
          <w:p w14:paraId="082F559A" w14:textId="77777777" w:rsidR="008B1116" w:rsidRPr="000F2D4C" w:rsidRDefault="008B1116" w:rsidP="00FC2CEE">
            <w:pPr>
              <w:pStyle w:val="ListParagraph"/>
              <w:numPr>
                <w:ilvl w:val="1"/>
                <w:numId w:val="2"/>
              </w:numPr>
            </w:pPr>
            <w:r w:rsidRPr="000F2D4C">
              <w:t>Is staff selection appropriate?</w:t>
            </w:r>
          </w:p>
          <w:p w14:paraId="1AF3ACFF" w14:textId="77777777" w:rsidR="008B1116" w:rsidRPr="000F2D4C" w:rsidRDefault="008B1116" w:rsidP="00FC2CEE">
            <w:pPr>
              <w:pStyle w:val="ListParagraph"/>
              <w:numPr>
                <w:ilvl w:val="1"/>
                <w:numId w:val="2"/>
              </w:numPr>
            </w:pPr>
            <w:r w:rsidRPr="000F2D4C">
              <w:t>To what extent do staff receive sufficient training and support?</w:t>
            </w:r>
          </w:p>
          <w:p w14:paraId="11406105" w14:textId="77777777" w:rsidR="008B1116" w:rsidRPr="000F2D4C" w:rsidRDefault="008B1116" w:rsidP="00FC2CEE">
            <w:pPr>
              <w:pStyle w:val="ListParagraph"/>
              <w:numPr>
                <w:ilvl w:val="0"/>
                <w:numId w:val="31"/>
              </w:numPr>
              <w:rPr>
                <w:color w:val="auto"/>
              </w:rPr>
            </w:pPr>
            <w:r w:rsidRPr="000F2D4C">
              <w:rPr>
                <w:color w:val="auto"/>
              </w:rPr>
              <w:t>To what extent is the program considered safe and of high quality?</w:t>
            </w:r>
          </w:p>
          <w:p w14:paraId="6DD6C100" w14:textId="77777777" w:rsidR="008B1116" w:rsidRPr="000F2D4C" w:rsidRDefault="008B1116" w:rsidP="00FC2CEE">
            <w:pPr>
              <w:pStyle w:val="ListParagraph"/>
              <w:numPr>
                <w:ilvl w:val="0"/>
                <w:numId w:val="31"/>
              </w:numPr>
              <w:rPr>
                <w:color w:val="auto"/>
              </w:rPr>
            </w:pPr>
            <w:r w:rsidRPr="000F2D4C">
              <w:rPr>
                <w:color w:val="auto"/>
              </w:rPr>
              <w:t>How does the program fit within the broader system?</w:t>
            </w:r>
          </w:p>
          <w:p w14:paraId="62B70214" w14:textId="361569C6" w:rsidR="008B1116" w:rsidRPr="000F2D4C" w:rsidRDefault="008B1116" w:rsidP="00FC2CEE">
            <w:pPr>
              <w:pStyle w:val="ListParagraph"/>
              <w:numPr>
                <w:ilvl w:val="1"/>
                <w:numId w:val="31"/>
              </w:numPr>
              <w:rPr>
                <w:color w:val="auto"/>
              </w:rPr>
            </w:pPr>
            <w:r w:rsidRPr="000F2D4C">
              <w:rPr>
                <w:color w:val="auto"/>
              </w:rPr>
              <w:t>Are there appropriate connections and referral pathways to support continuity of care and holistic care?</w:t>
            </w:r>
          </w:p>
          <w:p w14:paraId="21D79475" w14:textId="1E154045" w:rsidR="008B1116" w:rsidRPr="000F2D4C" w:rsidRDefault="00DD210B" w:rsidP="00FC2CEE">
            <w:pPr>
              <w:pStyle w:val="ListParagraph"/>
              <w:numPr>
                <w:ilvl w:val="0"/>
                <w:numId w:val="31"/>
              </w:numPr>
            </w:pPr>
            <w:r w:rsidRPr="000F2D4C">
              <w:rPr>
                <w:color w:val="auto"/>
              </w:rPr>
              <w:lastRenderedPageBreak/>
              <w:t>Would it be appropriate to</w:t>
            </w:r>
            <w:r w:rsidR="008B1116" w:rsidRPr="000F2D4C">
              <w:rPr>
                <w:color w:val="auto"/>
              </w:rPr>
              <w:t xml:space="preserve"> scale</w:t>
            </w:r>
            <w:r w:rsidR="6B43D4EC" w:rsidRPr="000F2D4C">
              <w:rPr>
                <w:color w:val="auto"/>
              </w:rPr>
              <w:t>-</w:t>
            </w:r>
            <w:r w:rsidR="008B1116" w:rsidRPr="000F2D4C">
              <w:rPr>
                <w:color w:val="auto"/>
              </w:rPr>
              <w:t xml:space="preserve">up or apply this </w:t>
            </w:r>
            <w:r w:rsidR="005F5F14" w:rsidRPr="000F2D4C">
              <w:rPr>
                <w:color w:val="auto"/>
              </w:rPr>
              <w:t>program</w:t>
            </w:r>
            <w:r w:rsidR="008B1116" w:rsidRPr="000F2D4C">
              <w:rPr>
                <w:color w:val="auto"/>
              </w:rPr>
              <w:t xml:space="preserve"> in other contexts</w:t>
            </w:r>
            <w:r w:rsidRPr="000F2D4C">
              <w:rPr>
                <w:color w:val="auto"/>
              </w:rPr>
              <w:t xml:space="preserve"> and what would be required to support this</w:t>
            </w:r>
            <w:r w:rsidR="008B1116" w:rsidRPr="000F2D4C">
              <w:rPr>
                <w:color w:val="auto"/>
              </w:rPr>
              <w:t>?</w:t>
            </w:r>
          </w:p>
        </w:tc>
      </w:tr>
      <w:tr w:rsidR="008B1116" w:rsidRPr="000F2D4C" w14:paraId="3EA33EBE" w14:textId="77777777" w:rsidTr="7A3237F6">
        <w:trPr>
          <w:cnfStyle w:val="000000100000" w:firstRow="0" w:lastRow="0" w:firstColumn="0" w:lastColumn="0" w:oddVBand="0" w:evenVBand="0" w:oddHBand="1" w:evenHBand="0" w:firstRowFirstColumn="0" w:firstRowLastColumn="0" w:lastRowFirstColumn="0" w:lastRowLastColumn="0"/>
        </w:trPr>
        <w:tc>
          <w:tcPr>
            <w:tcW w:w="1377" w:type="dxa"/>
          </w:tcPr>
          <w:p w14:paraId="18CA6E1C" w14:textId="77777777" w:rsidR="008B1116" w:rsidRPr="000F2D4C" w:rsidRDefault="008B1116">
            <w:pPr>
              <w:pStyle w:val="Tablebodytext"/>
            </w:pPr>
            <w:r w:rsidRPr="000F2D4C">
              <w:lastRenderedPageBreak/>
              <w:t>Outcomes evaluation – effectiveness</w:t>
            </w:r>
          </w:p>
        </w:tc>
        <w:tc>
          <w:tcPr>
            <w:tcW w:w="6229" w:type="dxa"/>
          </w:tcPr>
          <w:p w14:paraId="28EED6C7" w14:textId="1C048AA6" w:rsidR="008B1116" w:rsidRPr="000F2D4C" w:rsidRDefault="008B1116" w:rsidP="00FC2CEE">
            <w:pPr>
              <w:pStyle w:val="ListBullet"/>
              <w:numPr>
                <w:ilvl w:val="0"/>
                <w:numId w:val="31"/>
              </w:numPr>
            </w:pPr>
            <w:r w:rsidRPr="000F2D4C">
              <w:t xml:space="preserve">To what extent are mental health and suicide prevention </w:t>
            </w:r>
            <w:r w:rsidR="005F5F14" w:rsidRPr="000F2D4C">
              <w:t>programs</w:t>
            </w:r>
            <w:r w:rsidRPr="000F2D4C">
              <w:t xml:space="preserve"> improving the mental health and wellbeing of the Australian population?</w:t>
            </w:r>
          </w:p>
          <w:p w14:paraId="6DB26961" w14:textId="5BB0C458" w:rsidR="008B1116" w:rsidRPr="000F2D4C" w:rsidRDefault="008B1116" w:rsidP="00FC2CEE">
            <w:pPr>
              <w:pStyle w:val="ListBullet"/>
              <w:numPr>
                <w:ilvl w:val="1"/>
                <w:numId w:val="31"/>
              </w:numPr>
            </w:pPr>
            <w:r w:rsidRPr="000F2D4C">
              <w:t xml:space="preserve">To what extent are the </w:t>
            </w:r>
            <w:r w:rsidR="005F5F14" w:rsidRPr="000F2D4C">
              <w:t>programs</w:t>
            </w:r>
            <w:r w:rsidRPr="000F2D4C">
              <w:t xml:space="preserve"> improving the mental health and wellbeing of priority populations?</w:t>
            </w:r>
          </w:p>
          <w:p w14:paraId="7081AD50" w14:textId="3A51F1B4" w:rsidR="008B1116" w:rsidRPr="000F2D4C" w:rsidRDefault="008B1116" w:rsidP="00FC2CEE">
            <w:pPr>
              <w:pStyle w:val="ListBullet"/>
              <w:numPr>
                <w:ilvl w:val="0"/>
                <w:numId w:val="31"/>
              </w:numPr>
            </w:pPr>
            <w:r w:rsidRPr="000F2D4C">
              <w:t xml:space="preserve">To what extent are </w:t>
            </w:r>
            <w:r w:rsidR="20E905AC" w:rsidRPr="000F2D4C">
              <w:t xml:space="preserve">the </w:t>
            </w:r>
            <w:r w:rsidR="005F5F14" w:rsidRPr="000F2D4C">
              <w:t>programs</w:t>
            </w:r>
            <w:r w:rsidRPr="000F2D4C">
              <w:t xml:space="preserve"> contributing to a reduction in the prevalence of suicide, suicidal distress</w:t>
            </w:r>
            <w:r w:rsidR="0F7378F5" w:rsidRPr="000F2D4C">
              <w:t>,</w:t>
            </w:r>
            <w:r w:rsidRPr="000F2D4C">
              <w:t xml:space="preserve"> and self-harm?</w:t>
            </w:r>
          </w:p>
          <w:p w14:paraId="39E2D8AA" w14:textId="0D1BE68A" w:rsidR="008B1116" w:rsidRPr="000F2D4C" w:rsidRDefault="008B1116" w:rsidP="00FC2CEE">
            <w:pPr>
              <w:pStyle w:val="ListBullet"/>
              <w:numPr>
                <w:ilvl w:val="1"/>
                <w:numId w:val="31"/>
              </w:numPr>
            </w:pPr>
            <w:r w:rsidRPr="000F2D4C">
              <w:t xml:space="preserve">To what extent are the </w:t>
            </w:r>
            <w:r w:rsidR="005F5F14" w:rsidRPr="000F2D4C">
              <w:t>programs</w:t>
            </w:r>
            <w:r w:rsidRPr="000F2D4C">
              <w:t xml:space="preserve"> reducing the prevalence of suicide, suicidal distress</w:t>
            </w:r>
            <w:r w:rsidR="0AFDE2FC" w:rsidRPr="000F2D4C">
              <w:t>, distress</w:t>
            </w:r>
            <w:r w:rsidR="04A8785C" w:rsidRPr="000F2D4C">
              <w:t>,</w:t>
            </w:r>
            <w:r w:rsidR="0AFDE2FC" w:rsidRPr="000F2D4C">
              <w:t xml:space="preserve"> </w:t>
            </w:r>
            <w:r w:rsidRPr="000F2D4C">
              <w:t>and self-harm among priority populations?</w:t>
            </w:r>
          </w:p>
          <w:p w14:paraId="4E9EBC50" w14:textId="0E1B741B" w:rsidR="008B1116" w:rsidRPr="000F2D4C" w:rsidRDefault="008B1116" w:rsidP="00FC2CEE">
            <w:pPr>
              <w:pStyle w:val="ListBullet"/>
              <w:numPr>
                <w:ilvl w:val="0"/>
                <w:numId w:val="31"/>
              </w:numPr>
            </w:pPr>
            <w:r w:rsidRPr="000F2D4C">
              <w:t xml:space="preserve">To what extent are </w:t>
            </w:r>
            <w:r w:rsidR="39E12DC0" w:rsidRPr="000F2D4C">
              <w:t xml:space="preserve">the </w:t>
            </w:r>
            <w:r w:rsidR="005F5F14" w:rsidRPr="000F2D4C">
              <w:t>programs</w:t>
            </w:r>
            <w:r w:rsidRPr="000F2D4C">
              <w:t xml:space="preserve"> contributing to improvements in physical health and life expectancy for people living with mental health conditions and for those experiencing suicidal distress?</w:t>
            </w:r>
          </w:p>
          <w:p w14:paraId="3AAB18A3" w14:textId="77777777" w:rsidR="008B1116" w:rsidRPr="000F2D4C" w:rsidRDefault="008B1116" w:rsidP="00FC2CEE">
            <w:pPr>
              <w:pStyle w:val="ListBullet"/>
              <w:numPr>
                <w:ilvl w:val="1"/>
                <w:numId w:val="31"/>
              </w:numPr>
            </w:pPr>
            <w:r w:rsidRPr="000F2D4C">
              <w:t>What have been the outcomes for priority populations?</w:t>
            </w:r>
          </w:p>
          <w:p w14:paraId="50DCFB4F" w14:textId="77777777" w:rsidR="008B1116" w:rsidRPr="000F2D4C" w:rsidRDefault="008B1116" w:rsidP="00FC2CEE">
            <w:pPr>
              <w:pStyle w:val="ListParagraph"/>
              <w:numPr>
                <w:ilvl w:val="0"/>
                <w:numId w:val="31"/>
              </w:numPr>
            </w:pPr>
            <w:r w:rsidRPr="000F2D4C">
              <w:t>What have been the important factors in achieving these outcomes?</w:t>
            </w:r>
          </w:p>
          <w:p w14:paraId="48A1D439" w14:textId="77777777" w:rsidR="008B1116" w:rsidRPr="000F2D4C" w:rsidRDefault="008B1116" w:rsidP="00FC2CEE">
            <w:pPr>
              <w:pStyle w:val="ListParagraph"/>
              <w:numPr>
                <w:ilvl w:val="0"/>
                <w:numId w:val="31"/>
              </w:numPr>
            </w:pPr>
            <w:r w:rsidRPr="000F2D4C">
              <w:t>What improvements have there been at the systems level?</w:t>
            </w:r>
          </w:p>
        </w:tc>
        <w:tc>
          <w:tcPr>
            <w:tcW w:w="6229" w:type="dxa"/>
          </w:tcPr>
          <w:p w14:paraId="03577656" w14:textId="174C8664" w:rsidR="008B1116" w:rsidRPr="000F2D4C" w:rsidRDefault="008B1116" w:rsidP="00FC2CEE">
            <w:pPr>
              <w:pStyle w:val="ListParagraph"/>
              <w:numPr>
                <w:ilvl w:val="0"/>
                <w:numId w:val="31"/>
              </w:numPr>
            </w:pPr>
            <w:r w:rsidRPr="000F2D4C">
              <w:t xml:space="preserve">To what extent has the </w:t>
            </w:r>
            <w:r w:rsidR="005F5F14" w:rsidRPr="000F2D4C">
              <w:t>program</w:t>
            </w:r>
            <w:r w:rsidRPr="000F2D4C">
              <w:t xml:space="preserve"> achieved its intended outcomes? </w:t>
            </w:r>
          </w:p>
          <w:p w14:paraId="4D637CBC" w14:textId="77777777" w:rsidR="008B1116" w:rsidRPr="000F2D4C" w:rsidRDefault="008B1116" w:rsidP="00FC2CEE">
            <w:pPr>
              <w:pStyle w:val="ListParagraph"/>
              <w:numPr>
                <w:ilvl w:val="1"/>
                <w:numId w:val="31"/>
              </w:numPr>
            </w:pPr>
            <w:r w:rsidRPr="000F2D4C">
              <w:t>What is the value of these outcomes to stakeholders?</w:t>
            </w:r>
          </w:p>
          <w:p w14:paraId="7CB51AAD" w14:textId="77777777" w:rsidR="008B1116" w:rsidRPr="000F2D4C" w:rsidRDefault="008B1116" w:rsidP="00FC2CEE">
            <w:pPr>
              <w:pStyle w:val="ListParagraph"/>
              <w:numPr>
                <w:ilvl w:val="1"/>
                <w:numId w:val="31"/>
              </w:numPr>
            </w:pPr>
            <w:r w:rsidRPr="000F2D4C">
              <w:t>What have been the important factors in achieving these outcomes?</w:t>
            </w:r>
          </w:p>
          <w:p w14:paraId="4ACD4BA5" w14:textId="77777777" w:rsidR="008B1116" w:rsidRPr="000F2D4C" w:rsidRDefault="008B1116" w:rsidP="00FC2CEE">
            <w:pPr>
              <w:pStyle w:val="ListParagraph"/>
              <w:numPr>
                <w:ilvl w:val="1"/>
                <w:numId w:val="31"/>
              </w:numPr>
            </w:pPr>
            <w:r w:rsidRPr="000F2D4C">
              <w:t>Were there any differences among people who access programs and services?</w:t>
            </w:r>
          </w:p>
          <w:p w14:paraId="40DBC8E4" w14:textId="77777777" w:rsidR="008B1116" w:rsidRPr="000F2D4C" w:rsidRDefault="008B1116" w:rsidP="00FC2CEE">
            <w:pPr>
              <w:pStyle w:val="ListParagraph"/>
              <w:numPr>
                <w:ilvl w:val="1"/>
                <w:numId w:val="31"/>
              </w:numPr>
            </w:pPr>
            <w:r w:rsidRPr="000F2D4C">
              <w:t>Is this response still appropriate?</w:t>
            </w:r>
          </w:p>
          <w:p w14:paraId="4AB6A566" w14:textId="77777777" w:rsidR="008B1116" w:rsidRPr="000F2D4C" w:rsidRDefault="008B1116" w:rsidP="00FC2CEE">
            <w:pPr>
              <w:pStyle w:val="ListParagraph"/>
              <w:numPr>
                <w:ilvl w:val="0"/>
                <w:numId w:val="31"/>
              </w:numPr>
            </w:pPr>
            <w:r w:rsidRPr="000F2D4C">
              <w:t>To what extent is the program contributing to system improvements? (where this is an aim)</w:t>
            </w:r>
          </w:p>
          <w:p w14:paraId="5BF41A56" w14:textId="77777777" w:rsidR="008B1116" w:rsidRPr="000F2D4C" w:rsidRDefault="008B1116">
            <w:pPr>
              <w:pStyle w:val="Tablebodytext"/>
            </w:pPr>
          </w:p>
        </w:tc>
      </w:tr>
      <w:tr w:rsidR="008B1116" w:rsidRPr="000F2D4C" w14:paraId="4F89B460" w14:textId="77777777" w:rsidTr="7A3237F6">
        <w:trPr>
          <w:cnfStyle w:val="000000010000" w:firstRow="0" w:lastRow="0" w:firstColumn="0" w:lastColumn="0" w:oddVBand="0" w:evenVBand="0" w:oddHBand="0" w:evenHBand="1" w:firstRowFirstColumn="0" w:firstRowLastColumn="0" w:lastRowFirstColumn="0" w:lastRowLastColumn="0"/>
        </w:trPr>
        <w:tc>
          <w:tcPr>
            <w:tcW w:w="1377" w:type="dxa"/>
          </w:tcPr>
          <w:p w14:paraId="17AACF46" w14:textId="574C4384" w:rsidR="008B1116" w:rsidRPr="000F2D4C" w:rsidRDefault="008B1116">
            <w:pPr>
              <w:pStyle w:val="Tablebodytext"/>
            </w:pPr>
            <w:r w:rsidRPr="000F2D4C">
              <w:t>Economic evaluation –value for money</w:t>
            </w:r>
          </w:p>
        </w:tc>
        <w:tc>
          <w:tcPr>
            <w:tcW w:w="6229" w:type="dxa"/>
          </w:tcPr>
          <w:p w14:paraId="0EDE7884" w14:textId="77777777" w:rsidR="008B1116" w:rsidRPr="000F2D4C" w:rsidRDefault="008B1116" w:rsidP="00FC2CEE">
            <w:pPr>
              <w:pStyle w:val="ListBullet"/>
              <w:numPr>
                <w:ilvl w:val="0"/>
                <w:numId w:val="31"/>
              </w:numPr>
            </w:pPr>
            <w:r w:rsidRPr="000F2D4C">
              <w:t>To what extent is funding providing value for money to governments and the Australian community?</w:t>
            </w:r>
          </w:p>
          <w:p w14:paraId="5F615060" w14:textId="77777777" w:rsidR="008B1116" w:rsidRPr="000F2D4C" w:rsidRDefault="008B1116" w:rsidP="00FC2CEE">
            <w:pPr>
              <w:pStyle w:val="ListBullet"/>
              <w:numPr>
                <w:ilvl w:val="0"/>
                <w:numId w:val="31"/>
              </w:numPr>
            </w:pPr>
            <w:r w:rsidRPr="000F2D4C">
              <w:t>To what extent is funding supporting a balanced and integrated mental health and suicide prevention system for all communities and groups?</w:t>
            </w:r>
          </w:p>
          <w:p w14:paraId="07C20964" w14:textId="213EB8A4" w:rsidR="008B1116" w:rsidRPr="000F2D4C" w:rsidRDefault="008B1116" w:rsidP="00FC2CEE">
            <w:pPr>
              <w:pStyle w:val="ListBullet"/>
              <w:numPr>
                <w:ilvl w:val="0"/>
                <w:numId w:val="31"/>
              </w:numPr>
            </w:pPr>
          </w:p>
        </w:tc>
        <w:tc>
          <w:tcPr>
            <w:tcW w:w="6229" w:type="dxa"/>
          </w:tcPr>
          <w:p w14:paraId="39EF05F7" w14:textId="4DDDB992" w:rsidR="008B1116" w:rsidRPr="000F2D4C" w:rsidRDefault="008B1116" w:rsidP="00FC2CEE">
            <w:pPr>
              <w:pStyle w:val="ListParagraph"/>
              <w:numPr>
                <w:ilvl w:val="0"/>
                <w:numId w:val="31"/>
              </w:numPr>
            </w:pPr>
            <w:r w:rsidRPr="000F2D4C">
              <w:t>How well have the resources been used?</w:t>
            </w:r>
            <w:r w:rsidR="6AC3FF64" w:rsidRPr="000F2D4C">
              <w:t xml:space="preserve"> </w:t>
            </w:r>
          </w:p>
          <w:p w14:paraId="21C496E5" w14:textId="4CA3C189" w:rsidR="008B1116" w:rsidRPr="000F2D4C" w:rsidRDefault="008B1116" w:rsidP="00FC2CEE">
            <w:pPr>
              <w:pStyle w:val="ListParagraph"/>
              <w:numPr>
                <w:ilvl w:val="0"/>
                <w:numId w:val="31"/>
              </w:numPr>
            </w:pPr>
            <w:r w:rsidRPr="000F2D4C">
              <w:t xml:space="preserve">To what extent is the </w:t>
            </w:r>
            <w:r w:rsidR="005F5F14" w:rsidRPr="000F2D4C">
              <w:t>program</w:t>
            </w:r>
            <w:r w:rsidRPr="000F2D4C">
              <w:t xml:space="preserve"> cost-effective/ does the </w:t>
            </w:r>
            <w:r w:rsidR="005F5F14" w:rsidRPr="000F2D4C">
              <w:t>program</w:t>
            </w:r>
            <w:r w:rsidRPr="000F2D4C">
              <w:t xml:space="preserve"> provide value for money</w:t>
            </w:r>
            <w:r w:rsidR="00FC03E8" w:rsidRPr="000F2D4C">
              <w:t>?</w:t>
            </w:r>
          </w:p>
          <w:p w14:paraId="780107D8" w14:textId="42A34402" w:rsidR="008A09C0" w:rsidRPr="000F2D4C" w:rsidRDefault="008A09C0" w:rsidP="00DD210B">
            <w:pPr>
              <w:pStyle w:val="ListParagraph"/>
              <w:numPr>
                <w:ilvl w:val="0"/>
                <w:numId w:val="31"/>
              </w:numPr>
            </w:pPr>
            <w:r w:rsidRPr="000F2D4C">
              <w:t>To what extent has funding amount, longevity, and stability impacted on service capacity and quality?</w:t>
            </w:r>
          </w:p>
          <w:p w14:paraId="0DDD9195" w14:textId="31B27329" w:rsidR="008B1116" w:rsidRPr="000F2D4C" w:rsidRDefault="008B1116" w:rsidP="00FC2CEE">
            <w:pPr>
              <w:pStyle w:val="ListParagraph"/>
              <w:numPr>
                <w:ilvl w:val="0"/>
                <w:numId w:val="31"/>
              </w:numPr>
              <w:rPr>
                <w:rFonts w:ascii="Segoe UI" w:hAnsi="Segoe UI"/>
              </w:rPr>
            </w:pPr>
            <w:r w:rsidRPr="000F2D4C">
              <w:rPr>
                <w:rFonts w:ascii="Segoe UI" w:hAnsi="Segoe UI"/>
              </w:rPr>
              <w:t xml:space="preserve">To what extent does the </w:t>
            </w:r>
            <w:r w:rsidR="005F5F14" w:rsidRPr="000F2D4C">
              <w:rPr>
                <w:rFonts w:ascii="Segoe UI" w:hAnsi="Segoe UI"/>
              </w:rPr>
              <w:t>program</w:t>
            </w:r>
            <w:r w:rsidRPr="000F2D4C">
              <w:rPr>
                <w:rFonts w:ascii="Segoe UI" w:hAnsi="Segoe UI"/>
              </w:rPr>
              <w:t xml:space="preserve"> have benefits that are sustained? </w:t>
            </w:r>
          </w:p>
          <w:p w14:paraId="0826B210" w14:textId="77777777" w:rsidR="008B1116" w:rsidRPr="000F2D4C" w:rsidRDefault="008B1116" w:rsidP="00AF1EAF">
            <w:pPr>
              <w:pStyle w:val="ListParagraph"/>
              <w:ind w:left="360"/>
            </w:pPr>
          </w:p>
        </w:tc>
      </w:tr>
    </w:tbl>
    <w:p w14:paraId="156B13E9" w14:textId="77777777" w:rsidR="009E067E" w:rsidRPr="000F2D4C" w:rsidRDefault="009E067E" w:rsidP="00377B79">
      <w:pPr>
        <w:sectPr w:rsidR="009E067E" w:rsidRPr="000F2D4C" w:rsidSect="00324725">
          <w:headerReference w:type="default" r:id="rId64"/>
          <w:footerReference w:type="default" r:id="rId65"/>
          <w:pgSz w:w="16838" w:h="11906" w:orient="landscape" w:code="9"/>
          <w:pgMar w:top="2268" w:right="1418" w:bottom="1418" w:left="1418" w:header="561" w:footer="57" w:gutter="0"/>
          <w:cols w:space="708"/>
          <w:docGrid w:linePitch="360"/>
        </w:sectPr>
      </w:pPr>
    </w:p>
    <w:p w14:paraId="73126273" w14:textId="2963D31D" w:rsidR="009D656C" w:rsidRPr="000F2D4C" w:rsidRDefault="0052379D" w:rsidP="009D656C">
      <w:pPr>
        <w:pStyle w:val="Heading1"/>
      </w:pPr>
      <w:bookmarkStart w:id="48" w:name="_Toc149918997"/>
      <w:r w:rsidRPr="000F2D4C">
        <w:lastRenderedPageBreak/>
        <w:t xml:space="preserve">Designing </w:t>
      </w:r>
      <w:r w:rsidR="00157B9F" w:rsidRPr="000F2D4C">
        <w:t>a fit-for</w:t>
      </w:r>
      <w:r w:rsidR="005E6A17" w:rsidRPr="000F2D4C">
        <w:t>-purpose</w:t>
      </w:r>
      <w:r w:rsidRPr="000F2D4C">
        <w:t xml:space="preserve"> evaluation</w:t>
      </w:r>
      <w:bookmarkEnd w:id="48"/>
    </w:p>
    <w:p w14:paraId="37B607A8" w14:textId="1D597973" w:rsidR="5F2C8B94" w:rsidRPr="000F2D4C" w:rsidRDefault="5F2C8B94" w:rsidP="001E2CD0">
      <w:r w:rsidRPr="000F2D4C">
        <w:t xml:space="preserve">Once </w:t>
      </w:r>
      <w:r w:rsidR="00E4076E" w:rsidRPr="000F2D4C">
        <w:t>the focus of the</w:t>
      </w:r>
      <w:r w:rsidR="004A01AB" w:rsidRPr="000F2D4C">
        <w:t xml:space="preserve"> evaluation </w:t>
      </w:r>
      <w:r w:rsidR="00E4076E" w:rsidRPr="000F2D4C">
        <w:t>and key evaluation questions have been defined</w:t>
      </w:r>
      <w:r w:rsidR="00555FBA" w:rsidRPr="000F2D4C">
        <w:t xml:space="preserve">, </w:t>
      </w:r>
      <w:r w:rsidRPr="000F2D4C">
        <w:t xml:space="preserve">you can </w:t>
      </w:r>
      <w:r w:rsidR="00616435" w:rsidRPr="000F2D4C">
        <w:t xml:space="preserve">choose an appropriate evaluation </w:t>
      </w:r>
      <w:r w:rsidR="003813A7" w:rsidRPr="000F2D4C">
        <w:t xml:space="preserve">approach, </w:t>
      </w:r>
      <w:r w:rsidR="00616435" w:rsidRPr="000F2D4C">
        <w:t>design</w:t>
      </w:r>
      <w:r w:rsidR="5355C5E4" w:rsidRPr="000F2D4C">
        <w:t>,</w:t>
      </w:r>
      <w:r w:rsidR="00616435" w:rsidRPr="000F2D4C">
        <w:t xml:space="preserve"> and methods. </w:t>
      </w:r>
      <w:r w:rsidRPr="000F2D4C">
        <w:t xml:space="preserve"> </w:t>
      </w:r>
    </w:p>
    <w:p w14:paraId="113A6712" w14:textId="1D597973" w:rsidR="008A7393" w:rsidRPr="000F2D4C" w:rsidRDefault="008A7393" w:rsidP="005F0C0D">
      <w:pPr>
        <w:pStyle w:val="Heading2"/>
      </w:pPr>
      <w:bookmarkStart w:id="49" w:name="_Toc149918998"/>
      <w:r w:rsidRPr="000F2D4C">
        <w:t>Considerations to inform evaluation approaches and designs</w:t>
      </w:r>
      <w:bookmarkEnd w:id="49"/>
    </w:p>
    <w:p w14:paraId="0B49E332" w14:textId="55A592A7" w:rsidR="00880C4D" w:rsidRPr="000F2D4C" w:rsidRDefault="50E5F006">
      <w:r w:rsidRPr="000F2D4C">
        <w:t xml:space="preserve">There is no one right </w:t>
      </w:r>
      <w:r w:rsidR="724E51CA" w:rsidRPr="000F2D4C">
        <w:t>approach</w:t>
      </w:r>
      <w:r w:rsidR="7B792C54" w:rsidRPr="000F2D4C">
        <w:t xml:space="preserve">, </w:t>
      </w:r>
      <w:r w:rsidRPr="000F2D4C">
        <w:t>design</w:t>
      </w:r>
      <w:r w:rsidR="0ADC092D" w:rsidRPr="000F2D4C">
        <w:t>,</w:t>
      </w:r>
      <w:r w:rsidRPr="000F2D4C">
        <w:t xml:space="preserve"> </w:t>
      </w:r>
      <w:r w:rsidR="7B792C54" w:rsidRPr="000F2D4C">
        <w:t xml:space="preserve">or method </w:t>
      </w:r>
      <w:r w:rsidRPr="000F2D4C">
        <w:t>for evaluation</w:t>
      </w:r>
      <w:r w:rsidR="758338CC" w:rsidRPr="000F2D4C">
        <w:t xml:space="preserve"> of mental health and suicide prevention programs</w:t>
      </w:r>
      <w:r w:rsidR="3FD8CC79" w:rsidRPr="000F2D4C">
        <w:t>.</w:t>
      </w:r>
      <w:r w:rsidRPr="000F2D4C">
        <w:t xml:space="preserve"> An appropriate evaluation</w:t>
      </w:r>
      <w:r w:rsidR="5A329D9A" w:rsidRPr="000F2D4C">
        <w:t xml:space="preserve"> approach and</w:t>
      </w:r>
      <w:r w:rsidRPr="000F2D4C">
        <w:t xml:space="preserve"> design is one </w:t>
      </w:r>
      <w:r w:rsidR="5BAB06E3" w:rsidRPr="000F2D4C">
        <w:t>which</w:t>
      </w:r>
      <w:r w:rsidRPr="000F2D4C">
        <w:t xml:space="preserve"> reflects:</w:t>
      </w:r>
      <w:r w:rsidR="00523548" w:rsidRPr="000F2D4C">
        <w:rPr>
          <w:rStyle w:val="FootnoteReference"/>
        </w:rPr>
        <w:footnoteReference w:id="12"/>
      </w:r>
    </w:p>
    <w:p w14:paraId="17311B25" w14:textId="77777777" w:rsidR="00193F23" w:rsidRPr="000F2D4C" w:rsidRDefault="025CDC50" w:rsidP="0025272F">
      <w:pPr>
        <w:pStyle w:val="ListBullet"/>
      </w:pPr>
      <w:r w:rsidRPr="000F2D4C">
        <w:t>key evaluation questions to be answered</w:t>
      </w:r>
    </w:p>
    <w:p w14:paraId="11DCEDC5" w14:textId="636986B5" w:rsidR="00E4076E" w:rsidRPr="000F2D4C" w:rsidRDefault="4314F05F" w:rsidP="0025272F">
      <w:pPr>
        <w:pStyle w:val="ListBullet"/>
      </w:pPr>
      <w:r w:rsidRPr="000F2D4C">
        <w:t xml:space="preserve">the </w:t>
      </w:r>
      <w:r w:rsidR="00E4076E" w:rsidRPr="000F2D4C">
        <w:t xml:space="preserve">scale of the program </w:t>
      </w:r>
    </w:p>
    <w:p w14:paraId="7A927CD5" w14:textId="08163CE7" w:rsidR="00F22742" w:rsidRPr="000F2D4C" w:rsidRDefault="7A260E6F" w:rsidP="0025272F">
      <w:pPr>
        <w:pStyle w:val="ListBullet"/>
      </w:pPr>
      <w:r w:rsidRPr="000F2D4C">
        <w:t xml:space="preserve">the </w:t>
      </w:r>
      <w:r w:rsidR="2559C636" w:rsidRPr="000F2D4C">
        <w:t>resources</w:t>
      </w:r>
      <w:r w:rsidR="025CDC50" w:rsidRPr="000F2D4C">
        <w:t xml:space="preserve"> </w:t>
      </w:r>
    </w:p>
    <w:p w14:paraId="7C1F4829" w14:textId="5EA77264" w:rsidR="00C20F7B" w:rsidRPr="000F2D4C" w:rsidRDefault="00F22742" w:rsidP="0025272F">
      <w:pPr>
        <w:pStyle w:val="ListBullet"/>
      </w:pPr>
      <w:r w:rsidRPr="000F2D4C">
        <w:t xml:space="preserve">the </w:t>
      </w:r>
      <w:r w:rsidR="025CDC50" w:rsidRPr="000F2D4C">
        <w:t>time</w:t>
      </w:r>
      <w:r w:rsidR="2559C636" w:rsidRPr="000F2D4C">
        <w:t xml:space="preserve"> available</w:t>
      </w:r>
      <w:r w:rsidR="5D5997A5" w:rsidRPr="000F2D4C">
        <w:t xml:space="preserve"> </w:t>
      </w:r>
    </w:p>
    <w:p w14:paraId="37640CDD" w14:textId="0762DA83" w:rsidR="00880C4D" w:rsidRPr="000F2D4C" w:rsidRDefault="7565EE40" w:rsidP="0025272F">
      <w:pPr>
        <w:pStyle w:val="ListBullet"/>
      </w:pPr>
      <w:r w:rsidRPr="000F2D4C">
        <w:t xml:space="preserve">the nature and type of </w:t>
      </w:r>
      <w:r w:rsidR="00E4076E" w:rsidRPr="000F2D4C">
        <w:t>program</w:t>
      </w:r>
      <w:r w:rsidRPr="000F2D4C">
        <w:t xml:space="preserve">, and existing evidence about the type of </w:t>
      </w:r>
      <w:r w:rsidR="00E4076E" w:rsidRPr="000F2D4C">
        <w:t>program</w:t>
      </w:r>
      <w:r w:rsidR="20C5B8B1" w:rsidRPr="000F2D4C">
        <w:t xml:space="preserve"> </w:t>
      </w:r>
      <w:r w:rsidRPr="000F2D4C">
        <w:t>(</w:t>
      </w:r>
      <w:r w:rsidR="025CDC50" w:rsidRPr="000F2D4C">
        <w:t>which</w:t>
      </w:r>
      <w:r w:rsidRPr="000F2D4C">
        <w:t xml:space="preserve"> may reduce the need for some new data collection)</w:t>
      </w:r>
    </w:p>
    <w:p w14:paraId="144E4750" w14:textId="59EC97E7" w:rsidR="00880C4D" w:rsidRPr="000F2D4C" w:rsidRDefault="7565EE40" w:rsidP="0025272F">
      <w:pPr>
        <w:pStyle w:val="ListBullet"/>
      </w:pPr>
      <w:r w:rsidRPr="000F2D4C">
        <w:t xml:space="preserve">the stage of development of the </w:t>
      </w:r>
      <w:r w:rsidR="00E4076E" w:rsidRPr="000F2D4C">
        <w:t>program</w:t>
      </w:r>
      <w:r w:rsidRPr="000F2D4C">
        <w:t xml:space="preserve"> (when </w:t>
      </w:r>
      <w:r w:rsidR="005F5F14" w:rsidRPr="000F2D4C">
        <w:t>a program</w:t>
      </w:r>
      <w:r w:rsidRPr="000F2D4C">
        <w:t xml:space="preserve"> is being established it is more appropriate to focus on </w:t>
      </w:r>
      <w:r w:rsidR="025CDC50" w:rsidRPr="000F2D4C">
        <w:t>design</w:t>
      </w:r>
      <w:r w:rsidRPr="000F2D4C">
        <w:t xml:space="preserve"> and </w:t>
      </w:r>
      <w:r w:rsidR="025CDC50" w:rsidRPr="000F2D4C">
        <w:t>implementation</w:t>
      </w:r>
      <w:r w:rsidRPr="000F2D4C">
        <w:t xml:space="preserve">, while you can more effectively capture outcomes of a mature </w:t>
      </w:r>
      <w:r w:rsidR="005F5F14" w:rsidRPr="000F2D4C">
        <w:t>program</w:t>
      </w:r>
      <w:r w:rsidRPr="000F2D4C">
        <w:t>)</w:t>
      </w:r>
    </w:p>
    <w:p w14:paraId="0FD44D8E" w14:textId="758E2B18" w:rsidR="00880C4D" w:rsidRPr="000F2D4C" w:rsidRDefault="7565EE40" w:rsidP="0025272F">
      <w:pPr>
        <w:pStyle w:val="ListBullet"/>
      </w:pPr>
      <w:r w:rsidRPr="000F2D4C">
        <w:t>availability and completeness of existing data</w:t>
      </w:r>
      <w:r w:rsidR="1DDC6F3D" w:rsidRPr="000F2D4C">
        <w:t xml:space="preserve"> (</w:t>
      </w:r>
      <w:r w:rsidR="2CD5E880" w:rsidRPr="000F2D4C">
        <w:t>good quality data</w:t>
      </w:r>
      <w:r w:rsidR="02002BCE" w:rsidRPr="000F2D4C">
        <w:t>, collected as part of the program</w:t>
      </w:r>
      <w:r w:rsidR="5FCEFB15" w:rsidRPr="000F2D4C">
        <w:t>,</w:t>
      </w:r>
      <w:r w:rsidR="02002BCE" w:rsidRPr="000F2D4C">
        <w:t xml:space="preserve"> may reduce the additional data that needs to be collected as part of the evaluation) </w:t>
      </w:r>
      <w:r w:rsidR="2CD5E880" w:rsidRPr="000F2D4C">
        <w:t xml:space="preserve"> </w:t>
      </w:r>
    </w:p>
    <w:p w14:paraId="5EB000B9" w14:textId="434B6943" w:rsidR="00880C4D" w:rsidRPr="000F2D4C" w:rsidRDefault="7565EE40" w:rsidP="0025272F">
      <w:pPr>
        <w:pStyle w:val="ListBullet"/>
      </w:pPr>
      <w:r w:rsidRPr="000F2D4C">
        <w:t>contextual factors</w:t>
      </w:r>
      <w:r w:rsidR="02002BCE" w:rsidRPr="000F2D4C">
        <w:t xml:space="preserve"> (what evaluation design is most appropriate for this </w:t>
      </w:r>
      <w:r w:rsidR="005F5F14" w:rsidRPr="000F2D4C">
        <w:t>program</w:t>
      </w:r>
      <w:r w:rsidR="02002BCE" w:rsidRPr="000F2D4C">
        <w:t>, with this group of people</w:t>
      </w:r>
      <w:r w:rsidR="214B5DFF" w:rsidRPr="000F2D4C">
        <w:t>,</w:t>
      </w:r>
      <w:r w:rsidR="02002BCE" w:rsidRPr="000F2D4C">
        <w:t xml:space="preserve"> in this context)</w:t>
      </w:r>
    </w:p>
    <w:p w14:paraId="5AAA3437" w14:textId="77777777" w:rsidR="002766B1" w:rsidRPr="000F2D4C" w:rsidRDefault="7565EE40" w:rsidP="0025272F">
      <w:pPr>
        <w:pStyle w:val="ListBullet"/>
      </w:pPr>
      <w:r w:rsidRPr="000F2D4C">
        <w:t xml:space="preserve">ethical considerations </w:t>
      </w:r>
      <w:r w:rsidR="0B795546" w:rsidRPr="000F2D4C">
        <w:t xml:space="preserve">and appropriateness for </w:t>
      </w:r>
      <w:r w:rsidR="5309BC0B" w:rsidRPr="000F2D4C">
        <w:t>priority populations</w:t>
      </w:r>
    </w:p>
    <w:p w14:paraId="63F00DAF" w14:textId="13BF2DC2" w:rsidR="00880C4D" w:rsidRPr="000F2D4C" w:rsidRDefault="002766B1" w:rsidP="0025272F">
      <w:pPr>
        <w:pStyle w:val="ListBullet"/>
      </w:pPr>
      <w:r w:rsidRPr="000F2D4C">
        <w:t>whether the program appears to be on track or not</w:t>
      </w:r>
      <w:r w:rsidR="5309BC0B" w:rsidRPr="000F2D4C">
        <w:t>.</w:t>
      </w:r>
    </w:p>
    <w:p w14:paraId="78762E47" w14:textId="77777777" w:rsidR="0025272F" w:rsidRPr="000F2D4C" w:rsidRDefault="0025272F" w:rsidP="008A7393">
      <w:pPr>
        <w:pStyle w:val="ListBullet"/>
        <w:numPr>
          <w:ilvl w:val="0"/>
          <w:numId w:val="0"/>
        </w:numPr>
      </w:pPr>
    </w:p>
    <w:p w14:paraId="4336D1B5" w14:textId="4D636067" w:rsidR="00541B01" w:rsidRPr="000F2D4C" w:rsidRDefault="00541B01" w:rsidP="008A7393">
      <w:pPr>
        <w:pStyle w:val="ListBullet"/>
        <w:numPr>
          <w:ilvl w:val="0"/>
          <w:numId w:val="0"/>
        </w:numPr>
        <w:rPr>
          <w:shd w:val="clear" w:color="auto" w:fill="FFFFFF"/>
        </w:rPr>
      </w:pPr>
      <w:r w:rsidRPr="000F2D4C">
        <w:t xml:space="preserve">This chapter focuses on </w:t>
      </w:r>
      <w:r w:rsidR="00EF6AD4" w:rsidRPr="000F2D4C">
        <w:t>approaches to evaluation and impact evaluation designs you might consider, depending on these factors. But these factors will also influence the scale of your evaluation</w:t>
      </w:r>
      <w:r w:rsidR="008A7393" w:rsidRPr="000F2D4C">
        <w:t>, the methods (considered in the next chapter), and whether the evaluation is conducted internally, externally or through a hybrid delivery approach.</w:t>
      </w:r>
      <w:r w:rsidR="005F0C0D" w:rsidRPr="000F2D4C">
        <w:t xml:space="preserve"> See Figure 5 for questions which may </w:t>
      </w:r>
      <w:r w:rsidR="007E675F" w:rsidRPr="000F2D4C">
        <w:t xml:space="preserve">inform </w:t>
      </w:r>
      <w:r w:rsidR="0003399B" w:rsidRPr="000F2D4C">
        <w:t xml:space="preserve">choices about design or approach. </w:t>
      </w:r>
      <w:r w:rsidR="007E675F" w:rsidRPr="000F2D4C">
        <w:t xml:space="preserve"> </w:t>
      </w:r>
    </w:p>
    <w:p w14:paraId="3924E2CB" w14:textId="1D597973" w:rsidR="008A7393" w:rsidRPr="000F2D4C" w:rsidRDefault="008A7393" w:rsidP="008A7393">
      <w:pPr>
        <w:pStyle w:val="ListBullet"/>
        <w:numPr>
          <w:ilvl w:val="0"/>
          <w:numId w:val="0"/>
        </w:numPr>
        <w:rPr>
          <w:shd w:val="clear" w:color="auto" w:fill="FFFFFF"/>
        </w:rPr>
      </w:pPr>
    </w:p>
    <w:p w14:paraId="737EB1BD" w14:textId="7347A450" w:rsidR="008A7393" w:rsidRPr="000F2D4C" w:rsidRDefault="008A09C0" w:rsidP="00A32D18">
      <w:pPr>
        <w:pStyle w:val="FigureHeading"/>
      </w:pPr>
      <w:r w:rsidRPr="000F2D4C">
        <w:lastRenderedPageBreak/>
        <w:t>Questions to inform evaluation approaches and designs</w:t>
      </w:r>
    </w:p>
    <w:p w14:paraId="348D188E" w14:textId="5FE31462" w:rsidR="00A31DA3" w:rsidRPr="000F2D4C" w:rsidRDefault="00A31DA3" w:rsidP="00A31DA3">
      <w:r w:rsidRPr="000F2D4C">
        <w:rPr>
          <w:noProof/>
        </w:rPr>
        <w:drawing>
          <wp:inline distT="0" distB="0" distL="0" distR="0" wp14:anchorId="2591DCA7" wp14:editId="1742B85A">
            <wp:extent cx="5189220" cy="7517975"/>
            <wp:effectExtent l="0" t="0" r="0" b="6985"/>
            <wp:docPr id="1833611813" name="Picture 1833611813" descr="Question: Is program design established or expected to evolve?&#10;Answer: If the design will evolve, consider developmental evaluation to support this process. If the design is established but hasn’t been tried with this particular target group/s, you might consider a realist evaluation – understanding the mechanisms of change. If the design is more established, you might also consider rubrics in which stakeholders agree on set criteria and standards against which to judge an initiative.&#10;Question: Is this program expected to engage with different target groups?&#10;Answer: If the design is different for different locations and target groups, you might consider case studies to deeply understand local differences, the rationale for these and how they are working. If the program is expected to work differently for different target groups, you might consider a realist approach to understand what works for whom in what circumstances and why.&#10;Question: What stage is your program at? &#10;Answer: If it is early in the development of your program, it may be too early for robust outcomes and economic evaluation. However, it is worth considering outcomes measurement early on if your intention is to understand impact through a randomised-controlled design or quasi-experimental design. &#10;Question: Is your program aiming to support changes in the system?&#10;Answer: If it is consider, a systems evaluation approach. Even if it isn’t, it might be worth considering how the outcomes for people in the program might be affected by factors in the system, such as availability of complementary services and referral pathways.&#10;Question: What is the completeness and quality of your existing data?&#10;Answer: If you routinely collect feedback and outcomes data from service users, this would reduce the scale of additional data collection required.&#10;Question: What’s the scale of your program?&#10;Answer: For smaller scale programs, you may rely more on existing data collected as part of program delivery. For larger scale programs, additional data collection may help you better understand the most valuable parts of the investment. In larger scale evaluations, with larger client numbers, use of linked data may be more feasible. If your program is actually multiple initiatives, you might consider rubrics, which would enable you to compare across different initiatives using agreed criteria.&#10;Question: How much budget do you have for evaluation? If you have a smaller budget, you might rely more on existing data or consider an empowerment evaluation approach. A larger evaluation budget would allow for more in-depth data collection.&#10;Question: What is your timeframe?&#10;Answer: If you have a short timeframe, you will likely need to rely more on existing data because of the timeframes for ethics approv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11813" name="Picture 1833611813" descr="Question: Is program design established or expected to evolve?&#10;Answer: If the design will evolve, consider developmental evaluation to support this process. If the design is established but hasn’t been tried with this particular target group/s, you might consider a realist evaluation – understanding the mechanisms of change. If the design is more established, you might also consider rubrics in which stakeholders agree on set criteria and standards against which to judge an initiative.&#10;Question: Is this program expected to engage with different target groups?&#10;Answer: If the design is different for different locations and target groups, you might consider case studies to deeply understand local differences, the rationale for these and how they are working. If the program is expected to work differently for different target groups, you might consider a realist approach to understand what works for whom in what circumstances and why.&#10;Question: What stage is your program at? &#10;Answer: If it is early in the development of your program, it may be too early for robust outcomes and economic evaluation. However, it is worth considering outcomes measurement early on if your intention is to understand impact through a randomised-controlled design or quasi-experimental design. &#10;Question: Is your program aiming to support changes in the system?&#10;Answer: If it is consider, a systems evaluation approach. Even if it isn’t, it might be worth considering how the outcomes for people in the program might be affected by factors in the system, such as availability of complementary services and referral pathways.&#10;Question: What is the completeness and quality of your existing data?&#10;Answer: If you routinely collect feedback and outcomes data from service users, this would reduce the scale of additional data collection required.&#10;Question: What’s the scale of your program?&#10;Answer: For smaller scale programs, you may rely more on existing data collected as part of program delivery. For larger scale programs, additional data collection may help you better understand the most valuable parts of the investment. In larger scale evaluations, with larger client numbers, use of linked data may be more feasible. If your program is actually multiple initiatives, you might consider rubrics, which would enable you to compare across different initiatives using agreed criteria.&#10;Question: How much budget do you have for evaluation? If you have a smaller budget, you might rely more on existing data or consider an empowerment evaluation approach. A larger evaluation budget would allow for more in-depth data collection.&#10;Question: What is your timeframe?&#10;Answer: If you have a short timeframe, you will likely need to rely more on existing data because of the timeframes for ethics approval.&#10;"/>
                    <pic:cNvPicPr/>
                  </pic:nvPicPr>
                  <pic:blipFill rotWithShape="1">
                    <a:blip r:embed="rId66" cstate="print">
                      <a:extLst>
                        <a:ext uri="{28A0092B-C50C-407E-A947-70E740481C1C}">
                          <a14:useLocalDpi xmlns:a14="http://schemas.microsoft.com/office/drawing/2010/main" val="0"/>
                        </a:ext>
                      </a:extLst>
                    </a:blip>
                    <a:srcRect l="3390" r="2262" b="3361"/>
                    <a:stretch/>
                  </pic:blipFill>
                  <pic:spPr bwMode="auto">
                    <a:xfrm>
                      <a:off x="0" y="0"/>
                      <a:ext cx="5193981" cy="7524873"/>
                    </a:xfrm>
                    <a:prstGeom prst="rect">
                      <a:avLst/>
                    </a:prstGeom>
                    <a:ln>
                      <a:noFill/>
                    </a:ln>
                    <a:extLst>
                      <a:ext uri="{53640926-AAD7-44D8-BBD7-CCE9431645EC}">
                        <a14:shadowObscured xmlns:a14="http://schemas.microsoft.com/office/drawing/2010/main"/>
                      </a:ext>
                    </a:extLst>
                  </pic:spPr>
                </pic:pic>
              </a:graphicData>
            </a:graphic>
          </wp:inline>
        </w:drawing>
      </w:r>
    </w:p>
    <w:p w14:paraId="7E31DA64" w14:textId="77777777" w:rsidR="00D46E58" w:rsidRPr="000F2D4C" w:rsidRDefault="00D46E58" w:rsidP="00D46E58">
      <w:pPr>
        <w:pStyle w:val="Heading2"/>
      </w:pPr>
      <w:bookmarkStart w:id="50" w:name="_Toc149918999"/>
      <w:r w:rsidRPr="000F2D4C">
        <w:lastRenderedPageBreak/>
        <w:t>Evaluation approaches and designs</w:t>
      </w:r>
      <w:bookmarkEnd w:id="50"/>
    </w:p>
    <w:p w14:paraId="59941820" w14:textId="3A41E745" w:rsidR="00D46E58" w:rsidRPr="000F2D4C" w:rsidRDefault="00D46E58" w:rsidP="00D46E58">
      <w:pPr>
        <w:pStyle w:val="Heading3"/>
      </w:pPr>
      <w:r w:rsidRPr="000F2D4C">
        <w:t xml:space="preserve">Choosing an approach that is </w:t>
      </w:r>
      <w:r w:rsidR="3D599F12" w:rsidRPr="000F2D4C">
        <w:t>f</w:t>
      </w:r>
      <w:r w:rsidRPr="000F2D4C">
        <w:t>it</w:t>
      </w:r>
      <w:r w:rsidR="7F9153C5" w:rsidRPr="000F2D4C">
        <w:t>-</w:t>
      </w:r>
      <w:r w:rsidRPr="000F2D4C">
        <w:t>for</w:t>
      </w:r>
      <w:r w:rsidR="099DEC4C" w:rsidRPr="000F2D4C">
        <w:t>-</w:t>
      </w:r>
      <w:r w:rsidRPr="000F2D4C">
        <w:t>purpose</w:t>
      </w:r>
    </w:p>
    <w:p w14:paraId="4277B82E" w14:textId="6E5064FE" w:rsidR="00DA3CD4" w:rsidRPr="000F2D4C" w:rsidRDefault="00DA3CD4" w:rsidP="00DA3CD4">
      <w:pPr>
        <w:rPr>
          <w:rFonts w:ascii="Segoe UI" w:eastAsia="Segoe UI" w:hAnsi="Segoe UI" w:cs="Segoe UI"/>
        </w:rPr>
      </w:pPr>
      <w:r w:rsidRPr="000F2D4C">
        <w:rPr>
          <w:rFonts w:ascii="Segoe UI" w:eastAsia="Segoe UI" w:hAnsi="Segoe UI" w:cs="Segoe UI"/>
        </w:rPr>
        <w:t xml:space="preserve">There are many different approaches to evaluation. </w:t>
      </w:r>
      <w:r w:rsidR="00361CB3" w:rsidRPr="000F2D4C">
        <w:rPr>
          <w:rFonts w:ascii="Segoe UI" w:eastAsia="Segoe UI" w:hAnsi="Segoe UI" w:cs="Segoe UI"/>
        </w:rPr>
        <w:t>T</w:t>
      </w:r>
      <w:r w:rsidRPr="000F2D4C">
        <w:rPr>
          <w:rFonts w:ascii="Segoe UI" w:eastAsia="Segoe UI" w:hAnsi="Segoe UI" w:cs="Segoe UI"/>
        </w:rPr>
        <w:t>able</w:t>
      </w:r>
      <w:r w:rsidR="00361CB3" w:rsidRPr="000F2D4C">
        <w:rPr>
          <w:rFonts w:ascii="Segoe UI" w:eastAsia="Segoe UI" w:hAnsi="Segoe UI" w:cs="Segoe UI"/>
        </w:rPr>
        <w:t xml:space="preserve"> 2</w:t>
      </w:r>
      <w:r w:rsidRPr="000F2D4C">
        <w:rPr>
          <w:rFonts w:ascii="Segoe UI" w:eastAsia="Segoe UI" w:hAnsi="Segoe UI" w:cs="Segoe UI"/>
        </w:rPr>
        <w:t xml:space="preserve"> below outlines some key approaches</w:t>
      </w:r>
      <w:r w:rsidR="00B65CF8" w:rsidRPr="000F2D4C">
        <w:rPr>
          <w:rFonts w:ascii="Segoe UI" w:eastAsia="Segoe UI" w:hAnsi="Segoe UI" w:cs="Segoe UI"/>
        </w:rPr>
        <w:t xml:space="preserve"> to consider</w:t>
      </w:r>
      <w:r w:rsidRPr="000F2D4C">
        <w:rPr>
          <w:rFonts w:ascii="Segoe UI" w:eastAsia="Segoe UI" w:hAnsi="Segoe UI" w:cs="Segoe UI"/>
        </w:rPr>
        <w:t>, their advantages and disadvantages</w:t>
      </w:r>
      <w:r w:rsidR="1F796C5B" w:rsidRPr="000F2D4C">
        <w:rPr>
          <w:rFonts w:ascii="Segoe UI" w:eastAsia="Segoe UI" w:hAnsi="Segoe UI" w:cs="Segoe UI"/>
        </w:rPr>
        <w:t>,</w:t>
      </w:r>
      <w:r w:rsidRPr="000F2D4C">
        <w:rPr>
          <w:rFonts w:ascii="Segoe UI" w:eastAsia="Segoe UI" w:hAnsi="Segoe UI" w:cs="Segoe UI"/>
        </w:rPr>
        <w:t xml:space="preserve"> and when you might consider using them. Key considerations include the </w:t>
      </w:r>
      <w:r w:rsidR="00236588" w:rsidRPr="000F2D4C">
        <w:rPr>
          <w:rFonts w:ascii="Segoe UI" w:eastAsia="Segoe UI" w:hAnsi="Segoe UI" w:cs="Segoe UI"/>
        </w:rPr>
        <w:t>stage of development of the program, existing evidence about it, the scale of the program and resourcing for evaluation, and questions to be answered.</w:t>
      </w:r>
    </w:p>
    <w:p w14:paraId="12D08ABE" w14:textId="62ED58F9" w:rsidR="00DA3CD4" w:rsidRPr="000F2D4C" w:rsidRDefault="00DA3CD4" w:rsidP="00BC2BC0">
      <w:pPr>
        <w:sectPr w:rsidR="00DA3CD4" w:rsidRPr="000F2D4C" w:rsidSect="00324725">
          <w:headerReference w:type="default" r:id="rId67"/>
          <w:footerReference w:type="default" r:id="rId68"/>
          <w:headerReference w:type="first" r:id="rId69"/>
          <w:pgSz w:w="11906" w:h="16838" w:code="9"/>
          <w:pgMar w:top="1418" w:right="1418" w:bottom="1418" w:left="2268" w:header="561" w:footer="57" w:gutter="0"/>
          <w:cols w:space="708"/>
          <w:docGrid w:linePitch="360"/>
        </w:sectPr>
      </w:pPr>
    </w:p>
    <w:p w14:paraId="6A160E0B" w14:textId="28907188" w:rsidR="00FC7B39" w:rsidRPr="000F2D4C" w:rsidRDefault="00FC7B39" w:rsidP="00FC7B39">
      <w:pPr>
        <w:pStyle w:val="TableHeading"/>
        <w:keepNext/>
        <w:keepLines/>
      </w:pPr>
      <w:r w:rsidRPr="000F2D4C">
        <w:lastRenderedPageBreak/>
        <w:t xml:space="preserve">evaluation </w:t>
      </w:r>
      <w:r w:rsidR="0017779C" w:rsidRPr="000F2D4C">
        <w:t>approaches</w:t>
      </w:r>
    </w:p>
    <w:tbl>
      <w:tblPr>
        <w:tblStyle w:val="ARTDTable"/>
        <w:tblW w:w="0" w:type="auto"/>
        <w:tblLook w:val="04A0" w:firstRow="1" w:lastRow="0" w:firstColumn="1" w:lastColumn="0" w:noHBand="0" w:noVBand="1"/>
      </w:tblPr>
      <w:tblGrid>
        <w:gridCol w:w="1693"/>
        <w:gridCol w:w="2778"/>
        <w:gridCol w:w="2778"/>
        <w:gridCol w:w="2778"/>
        <w:gridCol w:w="2778"/>
      </w:tblGrid>
      <w:tr w:rsidR="0075282D" w:rsidRPr="000F2D4C" w14:paraId="4FA89367" w14:textId="77777777" w:rsidTr="76054678">
        <w:trPr>
          <w:cnfStyle w:val="100000000000" w:firstRow="1" w:lastRow="0" w:firstColumn="0" w:lastColumn="0" w:oddVBand="0" w:evenVBand="0" w:oddHBand="0" w:evenHBand="0" w:firstRowFirstColumn="0" w:firstRowLastColumn="0" w:lastRowFirstColumn="0" w:lastRowLastColumn="0"/>
          <w:tblHeader/>
        </w:trPr>
        <w:tc>
          <w:tcPr>
            <w:tcW w:w="1693" w:type="dxa"/>
          </w:tcPr>
          <w:p w14:paraId="6B5CF69A" w14:textId="2D8FEF56" w:rsidR="0075282D" w:rsidRPr="000F2D4C" w:rsidRDefault="0075282D" w:rsidP="0075282D">
            <w:pPr>
              <w:pStyle w:val="Tablecolumnheading"/>
            </w:pPr>
            <w:r w:rsidRPr="000F2D4C">
              <w:t>Approach</w:t>
            </w:r>
          </w:p>
        </w:tc>
        <w:tc>
          <w:tcPr>
            <w:tcW w:w="2778" w:type="dxa"/>
          </w:tcPr>
          <w:p w14:paraId="686D5BAB" w14:textId="1C8DEF8F" w:rsidR="0075282D" w:rsidRPr="000F2D4C" w:rsidRDefault="0075282D" w:rsidP="0075282D">
            <w:pPr>
              <w:pStyle w:val="Tablecolumnheading"/>
            </w:pPr>
            <w:r w:rsidRPr="000F2D4C">
              <w:t>Description</w:t>
            </w:r>
          </w:p>
        </w:tc>
        <w:tc>
          <w:tcPr>
            <w:tcW w:w="2778" w:type="dxa"/>
          </w:tcPr>
          <w:p w14:paraId="46629459" w14:textId="2F0C323D" w:rsidR="0075282D" w:rsidRPr="000F2D4C" w:rsidRDefault="0075282D" w:rsidP="0075282D">
            <w:pPr>
              <w:pStyle w:val="Tablecolumnheading"/>
            </w:pPr>
            <w:r w:rsidRPr="000F2D4C">
              <w:t xml:space="preserve">Advantages </w:t>
            </w:r>
          </w:p>
        </w:tc>
        <w:tc>
          <w:tcPr>
            <w:tcW w:w="2778" w:type="dxa"/>
          </w:tcPr>
          <w:p w14:paraId="0DF018B5" w14:textId="0BC72A88" w:rsidR="0075282D" w:rsidRPr="000F2D4C" w:rsidRDefault="0075282D" w:rsidP="0075282D">
            <w:pPr>
              <w:pStyle w:val="Tablecolumnheading"/>
            </w:pPr>
            <w:r w:rsidRPr="000F2D4C">
              <w:t>Disadvantages</w:t>
            </w:r>
          </w:p>
        </w:tc>
        <w:tc>
          <w:tcPr>
            <w:tcW w:w="2778" w:type="dxa"/>
          </w:tcPr>
          <w:p w14:paraId="4EE20362" w14:textId="0F87795A" w:rsidR="0075282D" w:rsidRPr="000F2D4C" w:rsidRDefault="0075282D" w:rsidP="0075282D">
            <w:pPr>
              <w:pStyle w:val="Tablecolumnheading"/>
            </w:pPr>
            <w:r w:rsidRPr="000F2D4C">
              <w:t>Considerations for use</w:t>
            </w:r>
          </w:p>
        </w:tc>
      </w:tr>
      <w:tr w:rsidR="0075282D" w:rsidRPr="000F2D4C" w14:paraId="7A97FFF8" w14:textId="77777777" w:rsidTr="76054678">
        <w:trPr>
          <w:cnfStyle w:val="000000100000" w:firstRow="0" w:lastRow="0" w:firstColumn="0" w:lastColumn="0" w:oddVBand="0" w:evenVBand="0" w:oddHBand="1" w:evenHBand="0" w:firstRowFirstColumn="0" w:firstRowLastColumn="0" w:lastRowFirstColumn="0" w:lastRowLastColumn="0"/>
        </w:trPr>
        <w:tc>
          <w:tcPr>
            <w:tcW w:w="1693" w:type="dxa"/>
          </w:tcPr>
          <w:p w14:paraId="112BB73A" w14:textId="3CC72FC7" w:rsidR="0075282D" w:rsidRPr="000F2D4C" w:rsidRDefault="0075282D" w:rsidP="0075282D">
            <w:pPr>
              <w:pStyle w:val="Tablebodytext"/>
            </w:pPr>
            <w:r w:rsidRPr="000F2D4C">
              <w:t xml:space="preserve">Developmental </w:t>
            </w:r>
            <w:r w:rsidR="007C7ACF" w:rsidRPr="000F2D4C">
              <w:t>e</w:t>
            </w:r>
            <w:r w:rsidRPr="000F2D4C">
              <w:t>valuation</w:t>
            </w:r>
            <w:r w:rsidR="00245C77" w:rsidRPr="000F2D4C">
              <w:rPr>
                <w:rStyle w:val="FootnoteReference"/>
              </w:rPr>
              <w:footnoteReference w:id="13"/>
            </w:r>
          </w:p>
        </w:tc>
        <w:tc>
          <w:tcPr>
            <w:tcW w:w="2778" w:type="dxa"/>
          </w:tcPr>
          <w:p w14:paraId="0BE18D59" w14:textId="134DDC85" w:rsidR="006D01CE" w:rsidRPr="000F2D4C" w:rsidRDefault="62E058A7" w:rsidP="76054678">
            <w:pPr>
              <w:pStyle w:val="Tablebodytext"/>
            </w:pPr>
            <w:r w:rsidRPr="000F2D4C">
              <w:t xml:space="preserve">The evaluator facilitates regular data-based discussions </w:t>
            </w:r>
            <w:r w:rsidR="145A742B" w:rsidRPr="000F2D4C">
              <w:t xml:space="preserve">with the program team </w:t>
            </w:r>
            <w:r w:rsidRPr="000F2D4C">
              <w:t>about what is working and what isn’t and what that means for practice. Evaluation can draw on a range of methods, as appropriate</w:t>
            </w:r>
          </w:p>
          <w:p w14:paraId="5520F99F" w14:textId="0C858558" w:rsidR="0075282D" w:rsidRPr="000F2D4C" w:rsidRDefault="006D01CE" w:rsidP="0075282D">
            <w:pPr>
              <w:pStyle w:val="Tablebodytext"/>
            </w:pPr>
            <w:r w:rsidRPr="000F2D4C">
              <w:t>to the context. Methods are expected to evolve.</w:t>
            </w:r>
          </w:p>
        </w:tc>
        <w:tc>
          <w:tcPr>
            <w:tcW w:w="2778" w:type="dxa"/>
          </w:tcPr>
          <w:p w14:paraId="33BA1362" w14:textId="7923747C" w:rsidR="0075282D" w:rsidRPr="000F2D4C" w:rsidRDefault="00634A3E" w:rsidP="00BE39F8">
            <w:pPr>
              <w:pStyle w:val="Tablebullet"/>
            </w:pPr>
            <w:r w:rsidRPr="000F2D4C">
              <w:t>Supports ownership and implementation of findings</w:t>
            </w:r>
            <w:r w:rsidR="001248D0" w:rsidRPr="000F2D4C">
              <w:t>, centring accountability</w:t>
            </w:r>
          </w:p>
          <w:p w14:paraId="38C1A576" w14:textId="77777777" w:rsidR="00634A3E" w:rsidRPr="000F2D4C" w:rsidRDefault="003B4CDB" w:rsidP="00BE39F8">
            <w:pPr>
              <w:pStyle w:val="Tablebullet"/>
            </w:pPr>
            <w:r w:rsidRPr="000F2D4C">
              <w:t>Reflects the complex systems in which programs are implemented</w:t>
            </w:r>
          </w:p>
          <w:p w14:paraId="30131A54" w14:textId="77777777" w:rsidR="003B4CDB" w:rsidRPr="000F2D4C" w:rsidRDefault="003B4CDB" w:rsidP="00BE39F8">
            <w:pPr>
              <w:pStyle w:val="Tablebullet"/>
            </w:pPr>
            <w:r w:rsidRPr="000F2D4C">
              <w:t>Allows for understanding of how outcomes are supported to evolve</w:t>
            </w:r>
          </w:p>
          <w:p w14:paraId="6D152286" w14:textId="0AB54634" w:rsidR="0075282D" w:rsidRPr="000F2D4C" w:rsidRDefault="007B44FA" w:rsidP="00BE39F8">
            <w:pPr>
              <w:pStyle w:val="Tablebullet"/>
            </w:pPr>
            <w:r w:rsidRPr="000F2D4C">
              <w:t>Can use different methods</w:t>
            </w:r>
          </w:p>
        </w:tc>
        <w:tc>
          <w:tcPr>
            <w:tcW w:w="2778" w:type="dxa"/>
          </w:tcPr>
          <w:p w14:paraId="2E3026BE" w14:textId="77777777" w:rsidR="0075282D" w:rsidRPr="000F2D4C" w:rsidRDefault="00634A3E" w:rsidP="00BE39F8">
            <w:pPr>
              <w:pStyle w:val="Tablebullet"/>
            </w:pPr>
            <w:r w:rsidRPr="000F2D4C">
              <w:t xml:space="preserve">May </w:t>
            </w:r>
            <w:r w:rsidR="00A10CEC" w:rsidRPr="000F2D4C">
              <w:t>make longer-term measurement more difficult if measures evolve</w:t>
            </w:r>
          </w:p>
          <w:p w14:paraId="79B1EECE" w14:textId="77777777" w:rsidR="00A10CEC" w:rsidRPr="000F2D4C" w:rsidRDefault="00A10CEC" w:rsidP="00BE39F8">
            <w:pPr>
              <w:pStyle w:val="Tablebullet"/>
            </w:pPr>
            <w:r w:rsidRPr="000F2D4C">
              <w:t>May be harder to synthesise with other evaluations because of targeted focus</w:t>
            </w:r>
          </w:p>
          <w:p w14:paraId="15CAB1BD" w14:textId="6E39F0D7" w:rsidR="001248D0" w:rsidRPr="000F2D4C" w:rsidRDefault="001248D0" w:rsidP="00BE39F8">
            <w:pPr>
              <w:pStyle w:val="Tablebullet"/>
            </w:pPr>
            <w:r w:rsidRPr="000F2D4C">
              <w:t xml:space="preserve">Can be difficult to predict evaluation resources </w:t>
            </w:r>
          </w:p>
          <w:p w14:paraId="03F44E4D" w14:textId="79488961" w:rsidR="0075282D" w:rsidRPr="000F2D4C" w:rsidRDefault="0075282D" w:rsidP="001248D0">
            <w:pPr>
              <w:pStyle w:val="Tablebullet"/>
              <w:numPr>
                <w:ilvl w:val="0"/>
                <w:numId w:val="0"/>
              </w:numPr>
            </w:pPr>
          </w:p>
        </w:tc>
        <w:tc>
          <w:tcPr>
            <w:tcW w:w="2778" w:type="dxa"/>
          </w:tcPr>
          <w:p w14:paraId="5F69DDC7" w14:textId="77777777" w:rsidR="0075282D" w:rsidRPr="000F2D4C" w:rsidRDefault="00BE39F8" w:rsidP="00BE39F8">
            <w:pPr>
              <w:pStyle w:val="Tablebullet"/>
            </w:pPr>
            <w:r w:rsidRPr="000F2D4C">
              <w:t>Suited for programs that are expected to continue to evolve through implementation</w:t>
            </w:r>
          </w:p>
          <w:p w14:paraId="061D52F1" w14:textId="77777777" w:rsidR="00BE39F8" w:rsidRPr="000F2D4C" w:rsidRDefault="00BE39F8" w:rsidP="00BE39F8">
            <w:pPr>
              <w:pStyle w:val="Tablebullet"/>
            </w:pPr>
            <w:r w:rsidRPr="000F2D4C">
              <w:t>Suited to programs in complex systems, where outcomes or the processes for achieving them might be emergent (rather than predictable at the outset)</w:t>
            </w:r>
          </w:p>
          <w:p w14:paraId="5EDA5FBF" w14:textId="7CBDF26D" w:rsidR="0075282D" w:rsidRPr="000F2D4C" w:rsidRDefault="001248D0" w:rsidP="00BE39F8">
            <w:pPr>
              <w:pStyle w:val="Tablebullet"/>
            </w:pPr>
            <w:r w:rsidRPr="000F2D4C">
              <w:t xml:space="preserve">May not be appropriate where a level of independence </w:t>
            </w:r>
            <w:r w:rsidR="0002549F" w:rsidRPr="000F2D4C">
              <w:t xml:space="preserve">is </w:t>
            </w:r>
            <w:r w:rsidRPr="000F2D4C">
              <w:t>required for credibility of findings</w:t>
            </w:r>
          </w:p>
        </w:tc>
      </w:tr>
      <w:tr w:rsidR="0075282D" w:rsidRPr="000F2D4C" w14:paraId="46B02006" w14:textId="77777777" w:rsidTr="76054678">
        <w:trPr>
          <w:cnfStyle w:val="000000010000" w:firstRow="0" w:lastRow="0" w:firstColumn="0" w:lastColumn="0" w:oddVBand="0" w:evenVBand="0" w:oddHBand="0" w:evenHBand="1" w:firstRowFirstColumn="0" w:firstRowLastColumn="0" w:lastRowFirstColumn="0" w:lastRowLastColumn="0"/>
        </w:trPr>
        <w:tc>
          <w:tcPr>
            <w:tcW w:w="1693" w:type="dxa"/>
          </w:tcPr>
          <w:p w14:paraId="3443C847" w14:textId="2CF1D28F" w:rsidR="0075282D" w:rsidRPr="000F2D4C" w:rsidRDefault="00E36412" w:rsidP="0075282D">
            <w:pPr>
              <w:pStyle w:val="Tablebodytext"/>
            </w:pPr>
            <w:r w:rsidRPr="000F2D4C">
              <w:t>Theory-based evaluation</w:t>
            </w:r>
            <w:r w:rsidR="009F6C33" w:rsidRPr="000F2D4C">
              <w:rPr>
                <w:rStyle w:val="FootnoteReference"/>
              </w:rPr>
              <w:footnoteReference w:id="14"/>
            </w:r>
          </w:p>
        </w:tc>
        <w:tc>
          <w:tcPr>
            <w:tcW w:w="2778" w:type="dxa"/>
          </w:tcPr>
          <w:p w14:paraId="276716F3" w14:textId="0644F9F6" w:rsidR="0075282D" w:rsidRPr="000F2D4C" w:rsidRDefault="7D66971F" w:rsidP="0075282D">
            <w:pPr>
              <w:pStyle w:val="Tablebodytext"/>
            </w:pPr>
            <w:r w:rsidRPr="000F2D4C">
              <w:t>Use an explicit theory of change for a program to make conclusions about whether and how it contributed to observed outcomes</w:t>
            </w:r>
            <w:r w:rsidR="76D923C6" w:rsidRPr="000F2D4C">
              <w:t xml:space="preserve">. The terms theory of change and logic model are </w:t>
            </w:r>
            <w:r w:rsidR="76D923C6" w:rsidRPr="000F2D4C">
              <w:lastRenderedPageBreak/>
              <w:t xml:space="preserve">often used interchangeably and differently but </w:t>
            </w:r>
            <w:r w:rsidR="0D4AE0B2" w:rsidRPr="000F2D4C">
              <w:t>should help to identify how change occurs (the mechanisms of change), assumptions</w:t>
            </w:r>
            <w:r w:rsidR="72A97989" w:rsidRPr="000F2D4C">
              <w:t>,</w:t>
            </w:r>
            <w:r w:rsidR="0D4AE0B2" w:rsidRPr="000F2D4C">
              <w:t xml:space="preserve"> and risks</w:t>
            </w:r>
            <w:r w:rsidR="3B743CAD" w:rsidRPr="000F2D4C">
              <w:t>.</w:t>
            </w:r>
          </w:p>
        </w:tc>
        <w:tc>
          <w:tcPr>
            <w:tcW w:w="2778" w:type="dxa"/>
          </w:tcPr>
          <w:p w14:paraId="40BA5796" w14:textId="3DBAE72B" w:rsidR="0027309F" w:rsidRPr="000F2D4C" w:rsidRDefault="0027309F" w:rsidP="00BE39F8">
            <w:pPr>
              <w:pStyle w:val="Tablebullet"/>
            </w:pPr>
            <w:r w:rsidRPr="000F2D4C">
              <w:lastRenderedPageBreak/>
              <w:t xml:space="preserve">Governments commonly require </w:t>
            </w:r>
            <w:r w:rsidR="00D75122" w:rsidRPr="000F2D4C">
              <w:t>logic models to be developed when a program is developed</w:t>
            </w:r>
          </w:p>
          <w:p w14:paraId="1911F220" w14:textId="6BDB21CF" w:rsidR="00D75122" w:rsidRPr="000F2D4C" w:rsidRDefault="00D75122" w:rsidP="00BE39F8">
            <w:pPr>
              <w:pStyle w:val="Tablebullet"/>
            </w:pPr>
            <w:r w:rsidRPr="000F2D4C">
              <w:lastRenderedPageBreak/>
              <w:t>Can complement other approaches</w:t>
            </w:r>
          </w:p>
          <w:p w14:paraId="7ED0313A" w14:textId="07EBD7DB" w:rsidR="0027309F" w:rsidRPr="000F2D4C" w:rsidRDefault="0027309F" w:rsidP="00BE39F8">
            <w:pPr>
              <w:pStyle w:val="Tablebullet"/>
            </w:pPr>
            <w:r w:rsidRPr="000F2D4C">
              <w:t>Can help to identify gaps in existing evidence for the program that should be the focus of evaluation</w:t>
            </w:r>
          </w:p>
          <w:p w14:paraId="53AA90CF" w14:textId="77777777" w:rsidR="0075282D" w:rsidRPr="000F2D4C" w:rsidRDefault="00D75122" w:rsidP="00BE39F8">
            <w:pPr>
              <w:pStyle w:val="Tablebullet"/>
            </w:pPr>
            <w:r w:rsidRPr="000F2D4C">
              <w:t>Can help</w:t>
            </w:r>
            <w:r w:rsidR="00B81DEA" w:rsidRPr="000F2D4C">
              <w:t xml:space="preserve"> to identify where a program is on or off-track and highlight </w:t>
            </w:r>
            <w:r w:rsidR="0027309F" w:rsidRPr="000F2D4C">
              <w:t>why this might be so</w:t>
            </w:r>
          </w:p>
          <w:p w14:paraId="38E822DF" w14:textId="51824298" w:rsidR="0075282D" w:rsidRPr="000F2D4C" w:rsidRDefault="007B44FA" w:rsidP="00BE39F8">
            <w:pPr>
              <w:pStyle w:val="Tablebullet"/>
            </w:pPr>
            <w:r w:rsidRPr="000F2D4C">
              <w:t>Can use different methods</w:t>
            </w:r>
          </w:p>
        </w:tc>
        <w:tc>
          <w:tcPr>
            <w:tcW w:w="2778" w:type="dxa"/>
          </w:tcPr>
          <w:p w14:paraId="7E2C7A8A" w14:textId="424F20EC" w:rsidR="0075282D" w:rsidRPr="000F2D4C" w:rsidRDefault="0027309F" w:rsidP="00BE39F8">
            <w:pPr>
              <w:pStyle w:val="Tablebullet"/>
            </w:pPr>
            <w:r w:rsidRPr="000F2D4C">
              <w:lastRenderedPageBreak/>
              <w:t xml:space="preserve">Logic models might not be all that logical – with huge leaps of faith between the identified </w:t>
            </w:r>
            <w:r w:rsidRPr="000F2D4C">
              <w:lastRenderedPageBreak/>
              <w:t>activities and intended outcomes</w:t>
            </w:r>
          </w:p>
        </w:tc>
        <w:tc>
          <w:tcPr>
            <w:tcW w:w="2778" w:type="dxa"/>
          </w:tcPr>
          <w:p w14:paraId="12397E81" w14:textId="77777777" w:rsidR="0075282D" w:rsidRPr="000F2D4C" w:rsidRDefault="0027309F" w:rsidP="00BE39F8">
            <w:pPr>
              <w:pStyle w:val="Tablebullet"/>
            </w:pPr>
            <w:r w:rsidRPr="000F2D4C">
              <w:lastRenderedPageBreak/>
              <w:t xml:space="preserve">A logic model and theory of change are often most useful when developed upfront to guide implementation, but they </w:t>
            </w:r>
            <w:r w:rsidRPr="000F2D4C">
              <w:lastRenderedPageBreak/>
              <w:t>can also be completed retrospectively</w:t>
            </w:r>
          </w:p>
          <w:p w14:paraId="3C8EA080" w14:textId="1446735A" w:rsidR="0075282D" w:rsidRPr="000F2D4C" w:rsidRDefault="0027309F" w:rsidP="00BE39F8">
            <w:pPr>
              <w:pStyle w:val="Tablebullet"/>
            </w:pPr>
            <w:r w:rsidRPr="000F2D4C">
              <w:t>Can be difficult to represent emergence and non-linearity</w:t>
            </w:r>
          </w:p>
        </w:tc>
      </w:tr>
      <w:tr w:rsidR="0075282D" w:rsidRPr="000F2D4C" w14:paraId="266902B7" w14:textId="77777777" w:rsidTr="76054678">
        <w:trPr>
          <w:cnfStyle w:val="000000100000" w:firstRow="0" w:lastRow="0" w:firstColumn="0" w:lastColumn="0" w:oddVBand="0" w:evenVBand="0" w:oddHBand="1" w:evenHBand="0" w:firstRowFirstColumn="0" w:firstRowLastColumn="0" w:lastRowFirstColumn="0" w:lastRowLastColumn="0"/>
        </w:trPr>
        <w:tc>
          <w:tcPr>
            <w:tcW w:w="1693" w:type="dxa"/>
          </w:tcPr>
          <w:p w14:paraId="6DC951A1" w14:textId="0462FA31" w:rsidR="0075282D" w:rsidRPr="000F2D4C" w:rsidRDefault="00E36412" w:rsidP="0075282D">
            <w:pPr>
              <w:pStyle w:val="Tablebodytext"/>
            </w:pPr>
            <w:r w:rsidRPr="000F2D4C">
              <w:lastRenderedPageBreak/>
              <w:t>Realist evaluation</w:t>
            </w:r>
            <w:r w:rsidR="007F588D" w:rsidRPr="000F2D4C">
              <w:rPr>
                <w:rStyle w:val="FootnoteReference"/>
              </w:rPr>
              <w:footnoteReference w:id="15"/>
            </w:r>
          </w:p>
        </w:tc>
        <w:tc>
          <w:tcPr>
            <w:tcW w:w="2778" w:type="dxa"/>
          </w:tcPr>
          <w:p w14:paraId="5F4D8A51" w14:textId="4E2EEC95" w:rsidR="0075282D" w:rsidRPr="000F2D4C" w:rsidRDefault="08C4D6C5" w:rsidP="00E44A0E">
            <w:r w:rsidRPr="000F2D4C">
              <w:t xml:space="preserve">A realist approach recognises that the way a </w:t>
            </w:r>
            <w:r w:rsidR="005F5F14" w:rsidRPr="000F2D4C">
              <w:t>program</w:t>
            </w:r>
            <w:r w:rsidRPr="000F2D4C">
              <w:t xml:space="preserve"> ‘works’ will be different for individuals in different contexts. The focus of realist evaluation is not on answering ‘what works?’</w:t>
            </w:r>
            <w:r w:rsidR="18F7DC90" w:rsidRPr="000F2D4C">
              <w:t>,</w:t>
            </w:r>
            <w:r w:rsidRPr="000F2D4C">
              <w:t xml:space="preserve"> but the more nuanced question of ‘what works for whom in what circumstances and why?’ </w:t>
            </w:r>
          </w:p>
        </w:tc>
        <w:tc>
          <w:tcPr>
            <w:tcW w:w="2778" w:type="dxa"/>
          </w:tcPr>
          <w:p w14:paraId="5F29339C" w14:textId="4643257F" w:rsidR="0075282D" w:rsidRPr="000F2D4C" w:rsidRDefault="007F588D" w:rsidP="00BE39F8">
            <w:pPr>
              <w:pStyle w:val="Tablebullet"/>
              <w:rPr>
                <w:szCs w:val="18"/>
              </w:rPr>
            </w:pPr>
            <w:r w:rsidRPr="000F2D4C">
              <w:t>By understanding who the program works for and how, a realist approach can help assess who to target and identify what matters for future implementation</w:t>
            </w:r>
          </w:p>
          <w:p w14:paraId="63488660" w14:textId="629D1052" w:rsidR="00A27DA2" w:rsidRPr="000F2D4C" w:rsidRDefault="00A27DA2" w:rsidP="00BE39F8">
            <w:pPr>
              <w:pStyle w:val="Tablebullet"/>
              <w:rPr>
                <w:szCs w:val="18"/>
              </w:rPr>
            </w:pPr>
            <w:r w:rsidRPr="000F2D4C">
              <w:t>Can help to identify whether a program in one setting</w:t>
            </w:r>
            <w:r w:rsidR="001201C6" w:rsidRPr="000F2D4C">
              <w:t xml:space="preserve"> might be able to be successful in another setting</w:t>
            </w:r>
          </w:p>
          <w:p w14:paraId="1BB399B9" w14:textId="77777777" w:rsidR="007F588D" w:rsidRPr="000F2D4C" w:rsidRDefault="00C86E83" w:rsidP="00BE39F8">
            <w:pPr>
              <w:pStyle w:val="Tablebullet"/>
            </w:pPr>
            <w:r w:rsidRPr="000F2D4C">
              <w:lastRenderedPageBreak/>
              <w:t>Can be used alongside a theory-based approach</w:t>
            </w:r>
          </w:p>
          <w:p w14:paraId="3CC036F1" w14:textId="7135CE90" w:rsidR="0075282D" w:rsidRPr="000F2D4C" w:rsidRDefault="007B44FA" w:rsidP="00BE39F8">
            <w:pPr>
              <w:pStyle w:val="Tablebullet"/>
            </w:pPr>
            <w:r w:rsidRPr="000F2D4C">
              <w:t>Can use different methods</w:t>
            </w:r>
          </w:p>
        </w:tc>
        <w:tc>
          <w:tcPr>
            <w:tcW w:w="2778" w:type="dxa"/>
          </w:tcPr>
          <w:p w14:paraId="7800C21E" w14:textId="0A5E9A45" w:rsidR="0075282D" w:rsidRPr="000F2D4C" w:rsidRDefault="008674B6" w:rsidP="00BE39F8">
            <w:pPr>
              <w:pStyle w:val="Tablebullet"/>
            </w:pPr>
            <w:r w:rsidRPr="000F2D4C">
              <w:lastRenderedPageBreak/>
              <w:t>Can be difficult to operationalise, meaning some evaluations claiming to have a realist focus only identify where outcomes differ for different groups</w:t>
            </w:r>
          </w:p>
          <w:p w14:paraId="3FF8C3B5" w14:textId="2D5BCF72" w:rsidR="0075282D" w:rsidRPr="000F2D4C" w:rsidRDefault="000835B5" w:rsidP="00BE39F8">
            <w:pPr>
              <w:pStyle w:val="Tablebullet"/>
            </w:pPr>
            <w:r w:rsidRPr="000F2D4C">
              <w:t>Results might be m</w:t>
            </w:r>
            <w:r w:rsidR="002E73BF" w:rsidRPr="000F2D4C">
              <w:t>ore abstract</w:t>
            </w:r>
          </w:p>
        </w:tc>
        <w:tc>
          <w:tcPr>
            <w:tcW w:w="2778" w:type="dxa"/>
          </w:tcPr>
          <w:p w14:paraId="0CE5DB9C" w14:textId="77777777" w:rsidR="00C14982" w:rsidRPr="000F2D4C" w:rsidRDefault="00C14982" w:rsidP="00BE39F8">
            <w:pPr>
              <w:pStyle w:val="Tablebullet"/>
            </w:pPr>
            <w:r w:rsidRPr="000F2D4C">
              <w:rPr>
                <w:szCs w:val="18"/>
              </w:rPr>
              <w:t>Appropriate for programs in complex contexts</w:t>
            </w:r>
          </w:p>
          <w:p w14:paraId="35089C82" w14:textId="16E93D6A" w:rsidR="0075282D" w:rsidRPr="000F2D4C" w:rsidRDefault="007F588D" w:rsidP="00BE39F8">
            <w:pPr>
              <w:pStyle w:val="Tablebullet"/>
            </w:pPr>
            <w:r w:rsidRPr="000F2D4C">
              <w:rPr>
                <w:szCs w:val="18"/>
              </w:rPr>
              <w:t>Appropriate for understanding how a program may work differently for different priority populations or communities</w:t>
            </w:r>
          </w:p>
        </w:tc>
      </w:tr>
      <w:tr w:rsidR="00560573" w:rsidRPr="000F2D4C" w14:paraId="60921DD6" w14:textId="77777777" w:rsidTr="76054678">
        <w:trPr>
          <w:cnfStyle w:val="000000010000" w:firstRow="0" w:lastRow="0" w:firstColumn="0" w:lastColumn="0" w:oddVBand="0" w:evenVBand="0" w:oddHBand="0" w:evenHBand="1" w:firstRowFirstColumn="0" w:firstRowLastColumn="0" w:lastRowFirstColumn="0" w:lastRowLastColumn="0"/>
        </w:trPr>
        <w:tc>
          <w:tcPr>
            <w:tcW w:w="1693" w:type="dxa"/>
          </w:tcPr>
          <w:p w14:paraId="46BF62E9" w14:textId="6ED8A29C" w:rsidR="00560573" w:rsidRPr="000F2D4C" w:rsidRDefault="00560573" w:rsidP="0075282D">
            <w:pPr>
              <w:pStyle w:val="Tablebodytext"/>
            </w:pPr>
            <w:r w:rsidRPr="000F2D4C">
              <w:t>Rubrics</w:t>
            </w:r>
            <w:r w:rsidR="00A47570" w:rsidRPr="000F2D4C">
              <w:rPr>
                <w:rStyle w:val="FootnoteReference"/>
              </w:rPr>
              <w:footnoteReference w:id="16"/>
            </w:r>
          </w:p>
        </w:tc>
        <w:tc>
          <w:tcPr>
            <w:tcW w:w="2778" w:type="dxa"/>
          </w:tcPr>
          <w:p w14:paraId="37426DB2" w14:textId="04D654FC" w:rsidR="00560573" w:rsidRPr="000F2D4C" w:rsidRDefault="1FE7DEEE" w:rsidP="005F151D">
            <w:r w:rsidRPr="000F2D4C">
              <w:t>A rubric establishes an agreed set of</w:t>
            </w:r>
            <w:r w:rsidR="104A0ACE" w:rsidRPr="000F2D4C">
              <w:t xml:space="preserve"> criteria </w:t>
            </w:r>
            <w:r w:rsidRPr="000F2D4C">
              <w:t>against which to assess the program</w:t>
            </w:r>
            <w:r w:rsidR="1E7B7F5B" w:rsidRPr="000F2D4C">
              <w:t>,</w:t>
            </w:r>
            <w:r w:rsidRPr="000F2D4C">
              <w:t xml:space="preserve"> and p</w:t>
            </w:r>
            <w:r w:rsidR="104A0ACE" w:rsidRPr="000F2D4C">
              <w:t xml:space="preserve">erformance standards for each criterion based on a shared understanding. </w:t>
            </w:r>
          </w:p>
        </w:tc>
        <w:tc>
          <w:tcPr>
            <w:tcW w:w="2778" w:type="dxa"/>
          </w:tcPr>
          <w:p w14:paraId="087BEAF4" w14:textId="14862D6A" w:rsidR="005F151D" w:rsidRPr="000F2D4C" w:rsidRDefault="004A2A24" w:rsidP="005F151D">
            <w:pPr>
              <w:pStyle w:val="Tablebullet"/>
            </w:pPr>
            <w:r w:rsidRPr="000F2D4C">
              <w:t>C</w:t>
            </w:r>
            <w:r w:rsidR="00A47570" w:rsidRPr="000F2D4C">
              <w:t>an be useful if you want to get people on the same page about what matters and how to assess what is of value</w:t>
            </w:r>
          </w:p>
          <w:p w14:paraId="4B20CBA5" w14:textId="49550E52" w:rsidR="005F151D" w:rsidRPr="000F2D4C" w:rsidRDefault="005F151D" w:rsidP="005F151D">
            <w:pPr>
              <w:pStyle w:val="Tablebullet"/>
            </w:pPr>
            <w:r w:rsidRPr="000F2D4C">
              <w:t>Rubrics allow for explicit judgements about the quality, value, or importance of the program based on an agreed set of criteria and performance standards. They make evaluative reasoning explicit</w:t>
            </w:r>
          </w:p>
          <w:p w14:paraId="0A771278" w14:textId="5F134BE9" w:rsidR="00560573" w:rsidRPr="000F2D4C" w:rsidRDefault="005F151D" w:rsidP="00BE39F8">
            <w:pPr>
              <w:pStyle w:val="Tablebullet"/>
            </w:pPr>
            <w:r w:rsidRPr="000F2D4C">
              <w:t>For more complex rubrics, criteria can be given different weights depending on their level of importance</w:t>
            </w:r>
          </w:p>
        </w:tc>
        <w:tc>
          <w:tcPr>
            <w:tcW w:w="2778" w:type="dxa"/>
          </w:tcPr>
          <w:p w14:paraId="150C400A" w14:textId="07F13C9A" w:rsidR="00560573" w:rsidRPr="000F2D4C" w:rsidRDefault="005F151D" w:rsidP="00BE39F8">
            <w:pPr>
              <w:pStyle w:val="Tablebullet"/>
            </w:pPr>
            <w:r w:rsidRPr="000F2D4C">
              <w:t>Different stakeholders may value different criteria differently</w:t>
            </w:r>
          </w:p>
        </w:tc>
        <w:tc>
          <w:tcPr>
            <w:tcW w:w="2778" w:type="dxa"/>
          </w:tcPr>
          <w:p w14:paraId="083B31A4" w14:textId="77777777" w:rsidR="00560573" w:rsidRPr="000F2D4C" w:rsidRDefault="00A47570" w:rsidP="00BE39F8">
            <w:pPr>
              <w:pStyle w:val="Tablebullet"/>
            </w:pPr>
            <w:r w:rsidRPr="000F2D4C">
              <w:t xml:space="preserve">Useful to systematically rate similar programs, for example, the same program delivered in many different locations or a suite of programs targeting </w:t>
            </w:r>
            <w:r w:rsidR="005F151D" w:rsidRPr="000F2D4C">
              <w:t>shared outcomes</w:t>
            </w:r>
          </w:p>
          <w:p w14:paraId="12018D30" w14:textId="2CBE3E6A" w:rsidR="00560573" w:rsidRPr="000F2D4C" w:rsidRDefault="005F151D" w:rsidP="00BE39F8">
            <w:pPr>
              <w:pStyle w:val="Tablebullet"/>
            </w:pPr>
            <w:r w:rsidRPr="000F2D4C">
              <w:t>Allows for different stakeholder values to inform the evaluation</w:t>
            </w:r>
          </w:p>
        </w:tc>
      </w:tr>
      <w:tr w:rsidR="0075282D" w:rsidRPr="000F2D4C" w14:paraId="4CB22DAF" w14:textId="77777777" w:rsidTr="76054678">
        <w:trPr>
          <w:cnfStyle w:val="000000100000" w:firstRow="0" w:lastRow="0" w:firstColumn="0" w:lastColumn="0" w:oddVBand="0" w:evenVBand="0" w:oddHBand="1" w:evenHBand="0" w:firstRowFirstColumn="0" w:firstRowLastColumn="0" w:lastRowFirstColumn="0" w:lastRowLastColumn="0"/>
        </w:trPr>
        <w:tc>
          <w:tcPr>
            <w:tcW w:w="1693" w:type="dxa"/>
          </w:tcPr>
          <w:p w14:paraId="2599F801" w14:textId="491FB09C" w:rsidR="0075282D" w:rsidRPr="000F2D4C" w:rsidRDefault="00E36412" w:rsidP="0075282D">
            <w:pPr>
              <w:pStyle w:val="Tablebodytext"/>
            </w:pPr>
            <w:r w:rsidRPr="000F2D4C">
              <w:lastRenderedPageBreak/>
              <w:t>Systems evaluation</w:t>
            </w:r>
          </w:p>
        </w:tc>
        <w:tc>
          <w:tcPr>
            <w:tcW w:w="2778" w:type="dxa"/>
          </w:tcPr>
          <w:p w14:paraId="414A5929" w14:textId="772731E2" w:rsidR="0075282D" w:rsidRPr="000F2D4C" w:rsidRDefault="00560573" w:rsidP="001E26FA">
            <w:pPr>
              <w:pStyle w:val="Tablebodytext"/>
            </w:pPr>
            <w:r w:rsidRPr="000F2D4C">
              <w:t>There is no one accepted approach to systems evaluation.</w:t>
            </w:r>
            <w:r w:rsidR="00DB52D4" w:rsidRPr="000F2D4C">
              <w:t xml:space="preserve"> Renger</w:t>
            </w:r>
            <w:r w:rsidR="00555533" w:rsidRPr="000F2D4C">
              <w:rPr>
                <w:rStyle w:val="FootnoteReference"/>
                <w:szCs w:val="18"/>
              </w:rPr>
              <w:footnoteReference w:id="17"/>
            </w:r>
            <w:r w:rsidR="00DB52D4" w:rsidRPr="000F2D4C">
              <w:t xml:space="preserve"> has developed one approach that involves</w:t>
            </w:r>
            <w:r w:rsidR="004235E3" w:rsidRPr="000F2D4C">
              <w:t>:</w:t>
            </w:r>
          </w:p>
          <w:p w14:paraId="4E0C4958" w14:textId="0EB5C163" w:rsidR="00DB52D4" w:rsidRPr="000F2D4C" w:rsidRDefault="004235E3" w:rsidP="76054678">
            <w:pPr>
              <w:pStyle w:val="Tablebullet"/>
            </w:pPr>
            <w:r w:rsidRPr="000F2D4C">
              <w:t>D</w:t>
            </w:r>
            <w:r w:rsidR="1174ED1F" w:rsidRPr="000F2D4C">
              <w:t xml:space="preserve">efining the system, subsystems and the relationships between them. </w:t>
            </w:r>
            <w:r w:rsidR="45FBDE40" w:rsidRPr="000F2D4C">
              <w:t>Includes</w:t>
            </w:r>
            <w:r w:rsidR="775E38CB" w:rsidRPr="000F2D4C">
              <w:t>:</w:t>
            </w:r>
            <w:r w:rsidR="1174ED1F" w:rsidRPr="000F2D4C">
              <w:t xml:space="preserve"> role of intermediaries and their relationships and interactions with other components of the systems</w:t>
            </w:r>
            <w:r w:rsidR="775E38CB" w:rsidRPr="000F2D4C">
              <w:t>; and</w:t>
            </w:r>
            <w:r w:rsidR="45FBDE40" w:rsidRPr="000F2D4C">
              <w:t xml:space="preserve"> the</w:t>
            </w:r>
            <w:r w:rsidR="1174ED1F" w:rsidRPr="000F2D4C">
              <w:t xml:space="preserve"> attributes of systems or subsystems</w:t>
            </w:r>
            <w:r w:rsidR="775E38CB" w:rsidRPr="000F2D4C">
              <w:t>,</w:t>
            </w:r>
            <w:r w:rsidR="1174ED1F" w:rsidRPr="000F2D4C">
              <w:t xml:space="preserve"> including skills, commitment of leadership, infrastructure, and organisational culture. </w:t>
            </w:r>
          </w:p>
          <w:p w14:paraId="486698C6" w14:textId="3B7BAC95" w:rsidR="00DB52D4" w:rsidRPr="000F2D4C" w:rsidRDefault="004235E3" w:rsidP="76054678">
            <w:pPr>
              <w:pStyle w:val="Tablebullet"/>
            </w:pPr>
            <w:r w:rsidRPr="000F2D4C">
              <w:t>A</w:t>
            </w:r>
            <w:r w:rsidR="1174ED1F" w:rsidRPr="000F2D4C">
              <w:t xml:space="preserve">ssessing system efficiency. </w:t>
            </w:r>
            <w:r w:rsidR="62A29E58" w:rsidRPr="000F2D4C">
              <w:t>E</w:t>
            </w:r>
            <w:r w:rsidR="1174ED1F" w:rsidRPr="000F2D4C">
              <w:t xml:space="preserve">valuating feedback mechanisms and determining the extent to which subsystem processes and </w:t>
            </w:r>
            <w:r w:rsidR="1174ED1F" w:rsidRPr="000F2D4C">
              <w:lastRenderedPageBreak/>
              <w:t xml:space="preserve">attributes are aligned to a common goal. </w:t>
            </w:r>
          </w:p>
          <w:p w14:paraId="1ECC09D2" w14:textId="5654408C" w:rsidR="0075282D" w:rsidRPr="000F2D4C" w:rsidRDefault="00DB52D4" w:rsidP="00DB52D4">
            <w:pPr>
              <w:pStyle w:val="Tablebullet"/>
            </w:pPr>
            <w:r w:rsidRPr="000F2D4C">
              <w:t>M</w:t>
            </w:r>
            <w:r w:rsidR="1174ED1F" w:rsidRPr="000F2D4C">
              <w:t>onitoring and evaluating systems outcomes</w:t>
            </w:r>
            <w:r w:rsidR="09B393DD" w:rsidRPr="000F2D4C">
              <w:t>:</w:t>
            </w:r>
            <w:r w:rsidR="1174ED1F" w:rsidRPr="000F2D4C">
              <w:t xml:space="preserve"> </w:t>
            </w:r>
            <w:r w:rsidR="62A29E58" w:rsidRPr="000F2D4C">
              <w:t>M</w:t>
            </w:r>
            <w:r w:rsidR="1174ED1F" w:rsidRPr="000F2D4C">
              <w:t>onitoring indicators specific to the problem conditions targeted by the system and subsystem, without seeking to generalise to other systems.</w:t>
            </w:r>
          </w:p>
        </w:tc>
        <w:tc>
          <w:tcPr>
            <w:tcW w:w="2778" w:type="dxa"/>
          </w:tcPr>
          <w:p w14:paraId="3850A760" w14:textId="77777777" w:rsidR="0075282D" w:rsidRPr="000F2D4C" w:rsidRDefault="00560573" w:rsidP="00BE39F8">
            <w:pPr>
              <w:pStyle w:val="Tablebullet"/>
            </w:pPr>
            <w:r w:rsidRPr="000F2D4C">
              <w:lastRenderedPageBreak/>
              <w:t xml:space="preserve">Systems thinking can help </w:t>
            </w:r>
            <w:r w:rsidR="001E26FA" w:rsidRPr="000F2D4C">
              <w:t>to</w:t>
            </w:r>
            <w:r w:rsidRPr="000F2D4C">
              <w:t xml:space="preserve"> understand the relevant structures, patterns of behaviours and events needed for change</w:t>
            </w:r>
          </w:p>
          <w:p w14:paraId="14A16D65" w14:textId="4405F901" w:rsidR="0075282D" w:rsidRPr="000F2D4C" w:rsidRDefault="001E26FA" w:rsidP="00BE39F8">
            <w:pPr>
              <w:pStyle w:val="Tablebullet"/>
            </w:pPr>
            <w:r w:rsidRPr="000F2D4C">
              <w:t xml:space="preserve">Speaks to stakeholder interest in </w:t>
            </w:r>
            <w:r w:rsidR="003136CA" w:rsidRPr="000F2D4C">
              <w:t xml:space="preserve">a systems perspective for mental health and suicide prevention </w:t>
            </w:r>
            <w:r w:rsidR="005F5F14" w:rsidRPr="000F2D4C">
              <w:t>programs</w:t>
            </w:r>
            <w:r w:rsidR="003136CA" w:rsidRPr="000F2D4C">
              <w:t xml:space="preserve"> and the importance of interrelationships between services </w:t>
            </w:r>
            <w:r w:rsidR="009D1DFB" w:rsidRPr="000F2D4C">
              <w:t>and systems to outcomes</w:t>
            </w:r>
          </w:p>
        </w:tc>
        <w:tc>
          <w:tcPr>
            <w:tcW w:w="2778" w:type="dxa"/>
          </w:tcPr>
          <w:p w14:paraId="7AAFBFE1" w14:textId="77777777" w:rsidR="0075282D" w:rsidRPr="000F2D4C" w:rsidRDefault="009D1DFB" w:rsidP="00BE39F8">
            <w:pPr>
              <w:pStyle w:val="Tablebullet"/>
            </w:pPr>
            <w:r w:rsidRPr="000F2D4C">
              <w:t>Not a universally agreed approach</w:t>
            </w:r>
          </w:p>
          <w:p w14:paraId="099CA600" w14:textId="74330095" w:rsidR="0075282D" w:rsidRPr="000F2D4C" w:rsidRDefault="009B2EE2" w:rsidP="00BE39F8">
            <w:pPr>
              <w:pStyle w:val="Tablebullet"/>
            </w:pPr>
            <w:r w:rsidRPr="000F2D4C">
              <w:t>May be harder to synthesise with other evaluations because of targeted focus</w:t>
            </w:r>
          </w:p>
        </w:tc>
        <w:tc>
          <w:tcPr>
            <w:tcW w:w="2778" w:type="dxa"/>
          </w:tcPr>
          <w:p w14:paraId="0FEE86B3" w14:textId="02CAE5AA" w:rsidR="0075282D" w:rsidRPr="000F2D4C" w:rsidRDefault="19C14FB1" w:rsidP="00BE39F8">
            <w:pPr>
              <w:pStyle w:val="Tablebullet"/>
            </w:pPr>
            <w:r w:rsidRPr="000F2D4C">
              <w:t xml:space="preserve">Appropriate where </w:t>
            </w:r>
            <w:r w:rsidR="009C52D0" w:rsidRPr="000F2D4C">
              <w:t xml:space="preserve">a system or </w:t>
            </w:r>
            <w:r w:rsidRPr="000F2D4C">
              <w:t>system</w:t>
            </w:r>
            <w:r w:rsidR="00780AD4" w:rsidRPr="000F2D4C">
              <w:t xml:space="preserve">s are </w:t>
            </w:r>
            <w:r w:rsidRPr="000F2D4C">
              <w:t>the key focus for analysis</w:t>
            </w:r>
          </w:p>
        </w:tc>
      </w:tr>
      <w:tr w:rsidR="0075282D" w:rsidRPr="000F2D4C" w14:paraId="713983F1" w14:textId="77777777" w:rsidTr="76054678">
        <w:trPr>
          <w:cnfStyle w:val="000000010000" w:firstRow="0" w:lastRow="0" w:firstColumn="0" w:lastColumn="0" w:oddVBand="0" w:evenVBand="0" w:oddHBand="0" w:evenHBand="1" w:firstRowFirstColumn="0" w:firstRowLastColumn="0" w:lastRowFirstColumn="0" w:lastRowLastColumn="0"/>
        </w:trPr>
        <w:tc>
          <w:tcPr>
            <w:tcW w:w="1693" w:type="dxa"/>
          </w:tcPr>
          <w:p w14:paraId="6A8F764D" w14:textId="4E01EC5D" w:rsidR="0075282D" w:rsidRPr="000F2D4C" w:rsidRDefault="00E36412" w:rsidP="0075282D">
            <w:pPr>
              <w:pStyle w:val="Tablebodytext"/>
            </w:pPr>
            <w:r w:rsidRPr="000F2D4C">
              <w:t>Empowerment evaluation</w:t>
            </w:r>
            <w:r w:rsidR="003F07CE" w:rsidRPr="000F2D4C">
              <w:rPr>
                <w:rStyle w:val="FootnoteReference"/>
              </w:rPr>
              <w:footnoteReference w:id="18"/>
            </w:r>
          </w:p>
        </w:tc>
        <w:tc>
          <w:tcPr>
            <w:tcW w:w="2778" w:type="dxa"/>
          </w:tcPr>
          <w:p w14:paraId="6E5FD574" w14:textId="1F101ACC" w:rsidR="00700C31" w:rsidRPr="000F2D4C" w:rsidRDefault="0D9375D9" w:rsidP="76054678">
            <w:pPr>
              <w:pStyle w:val="Tablebodytext"/>
            </w:pPr>
            <w:r w:rsidRPr="000F2D4C">
              <w:t>In an empowerment evaluation, program staff and community members are in control and the evaluator acts as a critical friend (or coach) – someone who</w:t>
            </w:r>
            <w:r w:rsidR="45380F4D" w:rsidRPr="000F2D4C">
              <w:t xml:space="preserve"> believes in the program but is able to ask the critical questions to ensure an honest</w:t>
            </w:r>
          </w:p>
          <w:p w14:paraId="28B81A3A" w14:textId="77777777" w:rsidR="0075282D" w:rsidRPr="000F2D4C" w:rsidRDefault="00700C31" w:rsidP="00700C31">
            <w:pPr>
              <w:pStyle w:val="Tablebodytext"/>
            </w:pPr>
            <w:r w:rsidRPr="000F2D4C">
              <w:t>reflection on the evidence. Different practices have evolved, but the original includes three steps:</w:t>
            </w:r>
          </w:p>
          <w:p w14:paraId="7D8E4522" w14:textId="2B2565AB" w:rsidR="00700C31" w:rsidRPr="000F2D4C" w:rsidRDefault="00700C31" w:rsidP="00FC2CEE">
            <w:pPr>
              <w:pStyle w:val="Tablebodytext"/>
              <w:numPr>
                <w:ilvl w:val="0"/>
                <w:numId w:val="47"/>
              </w:numPr>
            </w:pPr>
            <w:r w:rsidRPr="000F2D4C">
              <w:t>Establish the mission</w:t>
            </w:r>
          </w:p>
          <w:p w14:paraId="151D3E7E" w14:textId="77777777" w:rsidR="00700C31" w:rsidRPr="000F2D4C" w:rsidRDefault="00700C31" w:rsidP="00FC2CEE">
            <w:pPr>
              <w:pStyle w:val="Tablebodytext"/>
              <w:numPr>
                <w:ilvl w:val="0"/>
                <w:numId w:val="47"/>
              </w:numPr>
            </w:pPr>
            <w:r w:rsidRPr="000F2D4C">
              <w:t>Take stock of current status</w:t>
            </w:r>
            <w:r w:rsidR="00772A88" w:rsidRPr="000F2D4C">
              <w:t xml:space="preserve"> (against key </w:t>
            </w:r>
            <w:r w:rsidR="00772A88" w:rsidRPr="000F2D4C">
              <w:lastRenderedPageBreak/>
              <w:t>activities to achieve the mission)</w:t>
            </w:r>
          </w:p>
          <w:p w14:paraId="1CBA5F1C" w14:textId="3D84329F" w:rsidR="0075282D" w:rsidRPr="000F2D4C" w:rsidRDefault="5A9FB876" w:rsidP="00FC2CEE">
            <w:pPr>
              <w:pStyle w:val="Tablebodytext"/>
              <w:numPr>
                <w:ilvl w:val="0"/>
                <w:numId w:val="47"/>
              </w:numPr>
            </w:pPr>
            <w:r w:rsidRPr="000F2D4C">
              <w:t>Plan for the future</w:t>
            </w:r>
            <w:r w:rsidR="7E5A548F" w:rsidRPr="000F2D4C">
              <w:t xml:space="preserve"> (identify strategies and methods for tracking success)</w:t>
            </w:r>
            <w:r w:rsidR="41A82CD3" w:rsidRPr="000F2D4C">
              <w:t>.</w:t>
            </w:r>
          </w:p>
        </w:tc>
        <w:tc>
          <w:tcPr>
            <w:tcW w:w="2778" w:type="dxa"/>
          </w:tcPr>
          <w:p w14:paraId="5F93EEA5" w14:textId="587C860D" w:rsidR="0075282D" w:rsidRPr="000F2D4C" w:rsidRDefault="00A146A8" w:rsidP="00BE39F8">
            <w:pPr>
              <w:pStyle w:val="Tablebullet"/>
            </w:pPr>
            <w:r w:rsidRPr="000F2D4C">
              <w:lastRenderedPageBreak/>
              <w:t>Supports leadership by key stakeholders, so may be appropriate to support lived and</w:t>
            </w:r>
            <w:r w:rsidR="7844AC41" w:rsidRPr="000F2D4C">
              <w:t>/or</w:t>
            </w:r>
            <w:r w:rsidRPr="000F2D4C">
              <w:t xml:space="preserve"> living experience leadership</w:t>
            </w:r>
          </w:p>
          <w:p w14:paraId="0783B4FE" w14:textId="77777777" w:rsidR="00772A88" w:rsidRPr="000F2D4C" w:rsidRDefault="00772A88" w:rsidP="00BE39F8">
            <w:pPr>
              <w:pStyle w:val="Tablebullet"/>
            </w:pPr>
            <w:r w:rsidRPr="000F2D4C">
              <w:t>Supports action</w:t>
            </w:r>
          </w:p>
          <w:p w14:paraId="2A05D331" w14:textId="77777777" w:rsidR="00772A88" w:rsidRPr="000F2D4C" w:rsidRDefault="00772A88" w:rsidP="00BE39F8">
            <w:pPr>
              <w:pStyle w:val="Tablebullet"/>
            </w:pPr>
            <w:r w:rsidRPr="000F2D4C">
              <w:t>Builds capability of program staff and others involved in the evaluation</w:t>
            </w:r>
          </w:p>
          <w:p w14:paraId="34DF87AB" w14:textId="2DCB18CF" w:rsidR="0075282D" w:rsidRPr="000F2D4C" w:rsidRDefault="0075282D" w:rsidP="0058469D">
            <w:pPr>
              <w:pStyle w:val="Tablebullet"/>
              <w:numPr>
                <w:ilvl w:val="0"/>
                <w:numId w:val="0"/>
              </w:numPr>
              <w:ind w:left="644"/>
            </w:pPr>
          </w:p>
        </w:tc>
        <w:tc>
          <w:tcPr>
            <w:tcW w:w="2778" w:type="dxa"/>
          </w:tcPr>
          <w:p w14:paraId="5AF2FC51" w14:textId="77777777" w:rsidR="00772A88" w:rsidRPr="000F2D4C" w:rsidRDefault="00772A88" w:rsidP="00772A88">
            <w:pPr>
              <w:pStyle w:val="Tablebullet"/>
              <w:rPr>
                <w:color w:val="auto"/>
              </w:rPr>
            </w:pPr>
            <w:r w:rsidRPr="000F2D4C">
              <w:t>May make longer-term measurement more difficult if measures evolve</w:t>
            </w:r>
          </w:p>
          <w:p w14:paraId="36C6A789" w14:textId="77777777" w:rsidR="00772A88" w:rsidRPr="000F2D4C" w:rsidRDefault="00772A88" w:rsidP="00772A88">
            <w:pPr>
              <w:pStyle w:val="Tablebullet"/>
              <w:rPr>
                <w:color w:val="auto"/>
              </w:rPr>
            </w:pPr>
            <w:r w:rsidRPr="000F2D4C">
              <w:t>May be harder to synthesise with other evaluations because of targeted focus</w:t>
            </w:r>
          </w:p>
          <w:p w14:paraId="5416845E" w14:textId="17059CE1" w:rsidR="002A24F6" w:rsidRPr="000F2D4C" w:rsidRDefault="002A24F6" w:rsidP="00772A88">
            <w:pPr>
              <w:pStyle w:val="Tablebullet"/>
              <w:rPr>
                <w:color w:val="auto"/>
              </w:rPr>
            </w:pPr>
            <w:r w:rsidRPr="000F2D4C">
              <w:t xml:space="preserve">Empowerment evaluation has been criticised within the evaluation community with some questions raised about whether it is </w:t>
            </w:r>
            <w:r w:rsidRPr="000F2D4C">
              <w:lastRenderedPageBreak/>
              <w:t>evaluation</w:t>
            </w:r>
            <w:r w:rsidR="00904F2F" w:rsidRPr="000F2D4C">
              <w:t xml:space="preserve"> and how it deals with bias</w:t>
            </w:r>
          </w:p>
          <w:p w14:paraId="2E6F0C88" w14:textId="77777777" w:rsidR="0075282D" w:rsidRPr="000F2D4C" w:rsidRDefault="0075282D" w:rsidP="00772A88">
            <w:pPr>
              <w:pStyle w:val="Tablebullet"/>
              <w:numPr>
                <w:ilvl w:val="0"/>
                <w:numId w:val="0"/>
              </w:numPr>
            </w:pPr>
          </w:p>
        </w:tc>
        <w:tc>
          <w:tcPr>
            <w:tcW w:w="2778" w:type="dxa"/>
          </w:tcPr>
          <w:p w14:paraId="31207652" w14:textId="0840D95B" w:rsidR="00BD42AE" w:rsidRPr="000F2D4C" w:rsidRDefault="00BD42AE" w:rsidP="00BE39F8">
            <w:pPr>
              <w:pStyle w:val="Tablebullet"/>
            </w:pPr>
            <w:r w:rsidRPr="000F2D4C">
              <w:lastRenderedPageBreak/>
              <w:t xml:space="preserve">May be particularly appropriate for smaller funded services/ programs that have limited experience with evaluation </w:t>
            </w:r>
            <w:r w:rsidR="00AB2F86" w:rsidRPr="000F2D4C">
              <w:t>– who it was developed for</w:t>
            </w:r>
            <w:r w:rsidRPr="000F2D4C">
              <w:t xml:space="preserve"> </w:t>
            </w:r>
          </w:p>
          <w:p w14:paraId="7E64846F" w14:textId="33D9D293" w:rsidR="0075282D" w:rsidRPr="000F2D4C" w:rsidRDefault="00D40783" w:rsidP="00BE39F8">
            <w:pPr>
              <w:pStyle w:val="Tablebullet"/>
            </w:pPr>
            <w:r w:rsidRPr="000F2D4C">
              <w:t xml:space="preserve">May not be appropriate where a level of independence </w:t>
            </w:r>
            <w:r w:rsidR="002C0FD9" w:rsidRPr="000F2D4C">
              <w:t xml:space="preserve">is </w:t>
            </w:r>
            <w:r w:rsidRPr="000F2D4C">
              <w:t>required for credibility of findings</w:t>
            </w:r>
          </w:p>
        </w:tc>
      </w:tr>
    </w:tbl>
    <w:p w14:paraId="4001F0D5" w14:textId="77777777" w:rsidR="004824F6" w:rsidRPr="000F2D4C" w:rsidRDefault="004824F6" w:rsidP="003F6F83">
      <w:pPr>
        <w:rPr>
          <w:rFonts w:ascii="Segoe UI" w:eastAsia="Segoe UI" w:hAnsi="Segoe UI" w:cs="Segoe UI"/>
        </w:rPr>
      </w:pPr>
    </w:p>
    <w:p w14:paraId="15F3F2DD" w14:textId="512CE5DC" w:rsidR="009429E9" w:rsidRPr="000F2D4C" w:rsidRDefault="00236588">
      <w:pPr>
        <w:pStyle w:val="Heading3"/>
      </w:pPr>
      <w:r w:rsidRPr="000F2D4C">
        <w:t>Choosing an</w:t>
      </w:r>
      <w:r w:rsidR="009429E9" w:rsidRPr="000F2D4C">
        <w:t xml:space="preserve"> </w:t>
      </w:r>
      <w:r w:rsidR="005C21B6" w:rsidRPr="000F2D4C">
        <w:t>o</w:t>
      </w:r>
      <w:r w:rsidRPr="000F2D4C">
        <w:t>utcome</w:t>
      </w:r>
      <w:r w:rsidR="008D7D33" w:rsidRPr="000F2D4C">
        <w:t>s</w:t>
      </w:r>
      <w:r w:rsidRPr="000F2D4C">
        <w:t xml:space="preserve"> </w:t>
      </w:r>
      <w:r w:rsidR="002B00C6" w:rsidRPr="000F2D4C">
        <w:t>e</w:t>
      </w:r>
      <w:r w:rsidR="009429E9" w:rsidRPr="000F2D4C">
        <w:t xml:space="preserve">valuation </w:t>
      </w:r>
      <w:r w:rsidR="002B00C6" w:rsidRPr="000F2D4C">
        <w:t>d</w:t>
      </w:r>
      <w:r w:rsidR="009429E9" w:rsidRPr="000F2D4C">
        <w:t>esign</w:t>
      </w:r>
    </w:p>
    <w:p w14:paraId="3615FF34" w14:textId="37E382A3" w:rsidR="0058469D" w:rsidRPr="000F2D4C" w:rsidRDefault="0058469D" w:rsidP="0058469D">
      <w:pPr>
        <w:rPr>
          <w:rFonts w:ascii="Segoe UI" w:eastAsia="Segoe UI" w:hAnsi="Segoe UI" w:cs="Segoe UI"/>
        </w:rPr>
      </w:pPr>
      <w:r w:rsidRPr="000F2D4C">
        <w:rPr>
          <w:rFonts w:ascii="Segoe UI" w:eastAsia="Segoe UI" w:hAnsi="Segoe UI" w:cs="Segoe UI"/>
        </w:rPr>
        <w:t xml:space="preserve">When it comes to outcomes evaluation, there are a range of potential </w:t>
      </w:r>
      <w:r w:rsidR="00236588" w:rsidRPr="000F2D4C">
        <w:rPr>
          <w:rFonts w:ascii="Segoe UI" w:eastAsia="Segoe UI" w:hAnsi="Segoe UI" w:cs="Segoe UI"/>
        </w:rPr>
        <w:t xml:space="preserve">evaluation </w:t>
      </w:r>
      <w:r w:rsidRPr="000F2D4C">
        <w:rPr>
          <w:rFonts w:ascii="Segoe UI" w:eastAsia="Segoe UI" w:hAnsi="Segoe UI" w:cs="Segoe UI"/>
        </w:rPr>
        <w:t>designs that may be more or less appropriate in different contexts</w:t>
      </w:r>
      <w:r w:rsidR="00370157" w:rsidRPr="000F2D4C">
        <w:rPr>
          <w:rFonts w:ascii="Segoe UI" w:eastAsia="Segoe UI" w:hAnsi="Segoe UI" w:cs="Segoe UI"/>
        </w:rPr>
        <w:t xml:space="preserve"> (as</w:t>
      </w:r>
      <w:r w:rsidR="002145B7" w:rsidRPr="000F2D4C">
        <w:rPr>
          <w:rFonts w:ascii="Segoe UI" w:eastAsia="Segoe UI" w:hAnsi="Segoe UI" w:cs="Segoe UI"/>
        </w:rPr>
        <w:t xml:space="preserve"> illustrated in </w:t>
      </w:r>
      <w:r w:rsidR="002105F0" w:rsidRPr="000F2D4C">
        <w:rPr>
          <w:rFonts w:ascii="Segoe UI" w:eastAsia="Segoe UI" w:hAnsi="Segoe UI" w:cs="Segoe UI"/>
        </w:rPr>
        <w:t>T</w:t>
      </w:r>
      <w:r w:rsidR="002145B7" w:rsidRPr="000F2D4C">
        <w:rPr>
          <w:rFonts w:ascii="Segoe UI" w:eastAsia="Segoe UI" w:hAnsi="Segoe UI" w:cs="Segoe UI"/>
        </w:rPr>
        <w:t xml:space="preserve">able </w:t>
      </w:r>
      <w:r w:rsidR="002105F0" w:rsidRPr="000F2D4C">
        <w:rPr>
          <w:rFonts w:ascii="Segoe UI" w:eastAsia="Segoe UI" w:hAnsi="Segoe UI" w:cs="Segoe UI"/>
        </w:rPr>
        <w:t xml:space="preserve">3 </w:t>
      </w:r>
      <w:r w:rsidR="002145B7" w:rsidRPr="000F2D4C">
        <w:rPr>
          <w:rFonts w:ascii="Segoe UI" w:eastAsia="Segoe UI" w:hAnsi="Segoe UI" w:cs="Segoe UI"/>
        </w:rPr>
        <w:t>below</w:t>
      </w:r>
      <w:r w:rsidR="00370157" w:rsidRPr="000F2D4C">
        <w:rPr>
          <w:rFonts w:ascii="Segoe UI" w:eastAsia="Segoe UI" w:hAnsi="Segoe UI" w:cs="Segoe UI"/>
        </w:rPr>
        <w:t>)</w:t>
      </w:r>
      <w:r w:rsidR="002145B7" w:rsidRPr="000F2D4C">
        <w:rPr>
          <w:rFonts w:ascii="Segoe UI" w:eastAsia="Segoe UI" w:hAnsi="Segoe UI" w:cs="Segoe UI"/>
        </w:rPr>
        <w:t>.</w:t>
      </w:r>
    </w:p>
    <w:p w14:paraId="289D0D6E" w14:textId="77777777" w:rsidR="00CE24C1" w:rsidRPr="000F2D4C" w:rsidRDefault="00CE24C1">
      <w:pPr>
        <w:spacing w:after="0" w:line="240" w:lineRule="auto"/>
        <w:rPr>
          <w:rFonts w:cs="Segoe UI"/>
          <w:b/>
          <w:caps/>
          <w:color w:val="0D0D0D" w:themeColor="text2" w:themeTint="F2"/>
        </w:rPr>
      </w:pPr>
      <w:r w:rsidRPr="000F2D4C">
        <w:br w:type="page"/>
      </w:r>
    </w:p>
    <w:p w14:paraId="7B7A32EA" w14:textId="3BD9ABB5" w:rsidR="00BB2A37" w:rsidRPr="000F2D4C" w:rsidRDefault="00BB2A37" w:rsidP="00BB2A37">
      <w:pPr>
        <w:pStyle w:val="TableHeading"/>
        <w:keepNext/>
        <w:keepLines/>
      </w:pPr>
      <w:r w:rsidRPr="000F2D4C">
        <w:lastRenderedPageBreak/>
        <w:t>evaluation designs</w:t>
      </w:r>
    </w:p>
    <w:tbl>
      <w:tblPr>
        <w:tblStyle w:val="ARTDTable"/>
        <w:tblW w:w="0" w:type="auto"/>
        <w:tblLook w:val="04A0" w:firstRow="1" w:lastRow="0" w:firstColumn="1" w:lastColumn="0" w:noHBand="0" w:noVBand="1"/>
      </w:tblPr>
      <w:tblGrid>
        <w:gridCol w:w="1693"/>
        <w:gridCol w:w="2778"/>
        <w:gridCol w:w="2778"/>
        <w:gridCol w:w="2778"/>
        <w:gridCol w:w="2778"/>
      </w:tblGrid>
      <w:tr w:rsidR="003F6F83" w:rsidRPr="000F2D4C" w14:paraId="39F223B9" w14:textId="77777777" w:rsidTr="125B5B2C">
        <w:trPr>
          <w:cnfStyle w:val="100000000000" w:firstRow="1" w:lastRow="0" w:firstColumn="0" w:lastColumn="0" w:oddVBand="0" w:evenVBand="0" w:oddHBand="0" w:evenHBand="0" w:firstRowFirstColumn="0" w:firstRowLastColumn="0" w:lastRowFirstColumn="0" w:lastRowLastColumn="0"/>
          <w:tblHeader/>
        </w:trPr>
        <w:tc>
          <w:tcPr>
            <w:tcW w:w="1693" w:type="dxa"/>
          </w:tcPr>
          <w:p w14:paraId="1576BAD0" w14:textId="0B5537A7" w:rsidR="003F6F83" w:rsidRPr="000F2D4C" w:rsidRDefault="000A1443">
            <w:pPr>
              <w:pStyle w:val="Tablecolumnheading"/>
            </w:pPr>
            <w:r w:rsidRPr="000F2D4C">
              <w:t>Design</w:t>
            </w:r>
          </w:p>
        </w:tc>
        <w:tc>
          <w:tcPr>
            <w:tcW w:w="2778" w:type="dxa"/>
          </w:tcPr>
          <w:p w14:paraId="06E96C8C" w14:textId="77777777" w:rsidR="003F6F83" w:rsidRPr="000F2D4C" w:rsidRDefault="003F6F83">
            <w:pPr>
              <w:pStyle w:val="Tablecolumnheading"/>
            </w:pPr>
            <w:r w:rsidRPr="000F2D4C">
              <w:t>Description</w:t>
            </w:r>
          </w:p>
        </w:tc>
        <w:tc>
          <w:tcPr>
            <w:tcW w:w="2778" w:type="dxa"/>
          </w:tcPr>
          <w:p w14:paraId="43F5E610" w14:textId="77777777" w:rsidR="003F6F83" w:rsidRPr="000F2D4C" w:rsidRDefault="003F6F83">
            <w:pPr>
              <w:pStyle w:val="Tablecolumnheading"/>
            </w:pPr>
            <w:r w:rsidRPr="000F2D4C">
              <w:t xml:space="preserve">Advantages </w:t>
            </w:r>
          </w:p>
        </w:tc>
        <w:tc>
          <w:tcPr>
            <w:tcW w:w="2778" w:type="dxa"/>
          </w:tcPr>
          <w:p w14:paraId="4B87DE49" w14:textId="77777777" w:rsidR="003F6F83" w:rsidRPr="000F2D4C" w:rsidRDefault="003F6F83">
            <w:pPr>
              <w:pStyle w:val="Tablecolumnheading"/>
            </w:pPr>
            <w:r w:rsidRPr="000F2D4C">
              <w:t>Disadvantages</w:t>
            </w:r>
          </w:p>
        </w:tc>
        <w:tc>
          <w:tcPr>
            <w:tcW w:w="2778" w:type="dxa"/>
          </w:tcPr>
          <w:p w14:paraId="366774A1" w14:textId="77777777" w:rsidR="003F6F83" w:rsidRPr="000F2D4C" w:rsidRDefault="003F6F83">
            <w:pPr>
              <w:pStyle w:val="Tablecolumnheading"/>
            </w:pPr>
            <w:r w:rsidRPr="000F2D4C">
              <w:t>Considerations for use</w:t>
            </w:r>
          </w:p>
        </w:tc>
      </w:tr>
      <w:tr w:rsidR="003F6F83" w:rsidRPr="000F2D4C" w14:paraId="743CDB23" w14:textId="77777777" w:rsidTr="125B5B2C">
        <w:trPr>
          <w:cnfStyle w:val="000000100000" w:firstRow="0" w:lastRow="0" w:firstColumn="0" w:lastColumn="0" w:oddVBand="0" w:evenVBand="0" w:oddHBand="1" w:evenHBand="0" w:firstRowFirstColumn="0" w:firstRowLastColumn="0" w:lastRowFirstColumn="0" w:lastRowLastColumn="0"/>
        </w:trPr>
        <w:tc>
          <w:tcPr>
            <w:tcW w:w="1693" w:type="dxa"/>
          </w:tcPr>
          <w:p w14:paraId="195144E1" w14:textId="376D3D21" w:rsidR="003F6F83" w:rsidRPr="000F2D4C" w:rsidRDefault="00BB4FDE">
            <w:pPr>
              <w:pStyle w:val="Tablebodytext"/>
            </w:pPr>
            <w:r w:rsidRPr="000F2D4C">
              <w:t>Experimental designs</w:t>
            </w:r>
          </w:p>
        </w:tc>
        <w:tc>
          <w:tcPr>
            <w:tcW w:w="2778" w:type="dxa"/>
          </w:tcPr>
          <w:p w14:paraId="45E7C8D7" w14:textId="7500C38C" w:rsidR="003F6F83" w:rsidRPr="000F2D4C" w:rsidRDefault="00BB4FDE" w:rsidP="7C7E034B">
            <w:pPr>
              <w:pStyle w:val="ListBullet"/>
              <w:numPr>
                <w:ilvl w:val="0"/>
                <w:numId w:val="0"/>
              </w:numPr>
              <w:rPr>
                <w:rFonts w:cstheme="minorBidi"/>
              </w:rPr>
            </w:pPr>
            <w:r w:rsidRPr="000F2D4C">
              <w:t xml:space="preserve">Experimental designs: </w:t>
            </w:r>
            <w:r w:rsidRPr="000F2D4C">
              <w:rPr>
                <w:rFonts w:cstheme="minorBidi"/>
              </w:rPr>
              <w:t>include randomi</w:t>
            </w:r>
            <w:r w:rsidR="789A2B47" w:rsidRPr="000F2D4C">
              <w:rPr>
                <w:rFonts w:cstheme="minorBidi"/>
              </w:rPr>
              <w:t>s</w:t>
            </w:r>
            <w:r w:rsidRPr="000F2D4C">
              <w:rPr>
                <w:rFonts w:cstheme="minorBidi"/>
              </w:rPr>
              <w:t xml:space="preserve">ed controlled trials (RCT), cluster RCTs, stepped wedge designs. </w:t>
            </w:r>
          </w:p>
          <w:p w14:paraId="3B63CDCD" w14:textId="77777777" w:rsidR="0011689D" w:rsidRPr="000F2D4C" w:rsidRDefault="0011689D" w:rsidP="002A3AA0">
            <w:pPr>
              <w:pStyle w:val="ListBullet"/>
              <w:numPr>
                <w:ilvl w:val="0"/>
                <w:numId w:val="0"/>
              </w:numPr>
              <w:rPr>
                <w:rFonts w:cstheme="minorBidi"/>
              </w:rPr>
            </w:pPr>
          </w:p>
          <w:p w14:paraId="0C571960" w14:textId="77777777" w:rsidR="0011689D" w:rsidRPr="000F2D4C" w:rsidRDefault="0011689D" w:rsidP="002A3AA0">
            <w:pPr>
              <w:pStyle w:val="ListBullet"/>
              <w:numPr>
                <w:ilvl w:val="0"/>
                <w:numId w:val="0"/>
              </w:numPr>
            </w:pPr>
            <w:r w:rsidRPr="000F2D4C">
              <w:t>In experimental designs, participants are randomly assigned to a group that receives the health ‘intervention’ or a comparison group that does</w:t>
            </w:r>
            <w:r w:rsidR="00267A9B" w:rsidRPr="000F2D4C">
              <w:t xml:space="preserve"> not</w:t>
            </w:r>
            <w:r w:rsidRPr="000F2D4C">
              <w:t xml:space="preserve"> receive the intervention. Data for each group are collected before and after the intervention.</w:t>
            </w:r>
          </w:p>
          <w:p w14:paraId="074C74AF" w14:textId="77777777" w:rsidR="00A56BBF" w:rsidRPr="000F2D4C" w:rsidRDefault="00A56BBF" w:rsidP="002A3AA0">
            <w:pPr>
              <w:pStyle w:val="ListBullet"/>
              <w:numPr>
                <w:ilvl w:val="0"/>
                <w:numId w:val="0"/>
              </w:numPr>
            </w:pPr>
          </w:p>
          <w:p w14:paraId="7C4C01D6" w14:textId="0EC4C714" w:rsidR="0011689D" w:rsidRPr="000F2D4C" w:rsidRDefault="00A56BBF" w:rsidP="002A3AA0">
            <w:pPr>
              <w:pStyle w:val="ListBullet"/>
              <w:numPr>
                <w:ilvl w:val="0"/>
                <w:numId w:val="0"/>
              </w:numPr>
            </w:pPr>
            <w:r w:rsidRPr="000F2D4C">
              <w:t>In theory, randomisation means the groups will as similar as possible at the outset of the study, though the likelihood of this increases with increasing sample size</w:t>
            </w:r>
          </w:p>
        </w:tc>
        <w:tc>
          <w:tcPr>
            <w:tcW w:w="2778" w:type="dxa"/>
          </w:tcPr>
          <w:p w14:paraId="0E454C78" w14:textId="5741B63D" w:rsidR="003F6F83" w:rsidRPr="000F2D4C" w:rsidRDefault="005835E2" w:rsidP="7A3237F6">
            <w:pPr>
              <w:pStyle w:val="Tablebullet"/>
            </w:pPr>
            <w:r w:rsidRPr="000F2D4C">
              <w:rPr>
                <w:rFonts w:cstheme="minorBidi"/>
              </w:rPr>
              <w:t>When ethical and feasible, w</w:t>
            </w:r>
            <w:r w:rsidR="002A3AA0" w:rsidRPr="000F2D4C">
              <w:rPr>
                <w:rFonts w:cstheme="minorBidi"/>
              </w:rPr>
              <w:t xml:space="preserve">ell-designed experimental studies can establish a </w:t>
            </w:r>
            <w:r w:rsidR="002A3AA0" w:rsidRPr="000F2D4C">
              <w:rPr>
                <w:rFonts w:cstheme="minorBidi"/>
                <w:i/>
                <w:iCs/>
              </w:rPr>
              <w:t>cause-and-effect relationship</w:t>
            </w:r>
            <w:r w:rsidR="00777D4C" w:rsidRPr="000F2D4C">
              <w:rPr>
                <w:rFonts w:cstheme="minorBidi"/>
                <w:i/>
                <w:iCs/>
              </w:rPr>
              <w:t>.</w:t>
            </w:r>
          </w:p>
          <w:p w14:paraId="311B21EA" w14:textId="77043CC1" w:rsidR="00347CE2" w:rsidRPr="000F2D4C" w:rsidRDefault="00347CE2">
            <w:pPr>
              <w:pStyle w:val="Tablebullet"/>
            </w:pPr>
            <w:r w:rsidRPr="000F2D4C">
              <w:rPr>
                <w:rFonts w:cstheme="minorBidi"/>
              </w:rPr>
              <w:t xml:space="preserve">Experimental designs control for </w:t>
            </w:r>
            <w:r w:rsidR="007458DA" w:rsidRPr="000F2D4C">
              <w:rPr>
                <w:rFonts w:cstheme="minorBidi"/>
              </w:rPr>
              <w:t>selection bias</w:t>
            </w:r>
            <w:r w:rsidR="00777D4C" w:rsidRPr="000F2D4C">
              <w:rPr>
                <w:rFonts w:cstheme="minorBidi"/>
              </w:rPr>
              <w:t>.</w:t>
            </w:r>
          </w:p>
          <w:p w14:paraId="7AD7A2A6" w14:textId="6D469970" w:rsidR="00611022" w:rsidRPr="000F2D4C" w:rsidRDefault="00611022" w:rsidP="0058469D">
            <w:pPr>
              <w:pStyle w:val="Tablebullet"/>
              <w:numPr>
                <w:ilvl w:val="0"/>
                <w:numId w:val="0"/>
              </w:numPr>
              <w:ind w:left="644"/>
            </w:pPr>
          </w:p>
        </w:tc>
        <w:tc>
          <w:tcPr>
            <w:tcW w:w="2778" w:type="dxa"/>
          </w:tcPr>
          <w:p w14:paraId="11406CCB" w14:textId="6DD7F9CD" w:rsidR="002A3AA0" w:rsidRPr="000F2D4C" w:rsidRDefault="002A3AA0" w:rsidP="002A3AA0">
            <w:pPr>
              <w:pStyle w:val="Tablebullet"/>
            </w:pPr>
            <w:r w:rsidRPr="000F2D4C">
              <w:t>Experimental designs are not always possible, ethical or practical in mental health and suicide prevention</w:t>
            </w:r>
            <w:r w:rsidR="00777D4C" w:rsidRPr="000F2D4C">
              <w:t>.</w:t>
            </w:r>
          </w:p>
          <w:p w14:paraId="7EE7CE44" w14:textId="77777777" w:rsidR="003F6F83" w:rsidRPr="000F2D4C" w:rsidRDefault="001B24DE" w:rsidP="004235E3">
            <w:pPr>
              <w:pStyle w:val="Tablebullet"/>
            </w:pPr>
            <w:r w:rsidRPr="000F2D4C">
              <w:t xml:space="preserve">Experimental designs </w:t>
            </w:r>
            <w:r w:rsidR="00E61D65" w:rsidRPr="000F2D4C">
              <w:t xml:space="preserve">can be </w:t>
            </w:r>
            <w:r w:rsidRPr="000F2D4C">
              <w:t>expensive to implement</w:t>
            </w:r>
            <w:r w:rsidR="00777D4C" w:rsidRPr="000F2D4C">
              <w:t>.</w:t>
            </w:r>
          </w:p>
          <w:p w14:paraId="5DA1D07D" w14:textId="06E0476D" w:rsidR="003F6F83" w:rsidRPr="000F2D4C" w:rsidRDefault="00F063EC" w:rsidP="004235E3">
            <w:pPr>
              <w:pStyle w:val="Tablebullet"/>
            </w:pPr>
            <w:r w:rsidRPr="000F2D4C">
              <w:t>May be subject to challenges, such as loss to follow-up.</w:t>
            </w:r>
          </w:p>
        </w:tc>
        <w:tc>
          <w:tcPr>
            <w:tcW w:w="2778" w:type="dxa"/>
          </w:tcPr>
          <w:p w14:paraId="0EF11A03" w14:textId="0C836FC2" w:rsidR="00F063EC" w:rsidRPr="000F2D4C" w:rsidRDefault="00F063EC" w:rsidP="0058469D">
            <w:pPr>
              <w:pStyle w:val="Tablebullet"/>
              <w:rPr>
                <w:lang w:eastAsia="en-AU"/>
              </w:rPr>
            </w:pPr>
            <w:r w:rsidRPr="000F2D4C">
              <w:rPr>
                <w:lang w:eastAsia="en-AU"/>
              </w:rPr>
              <w:t>May be difficult for more complex interventions</w:t>
            </w:r>
            <w:r w:rsidR="006D0D69" w:rsidRPr="000F2D4C">
              <w:rPr>
                <w:lang w:eastAsia="en-AU"/>
              </w:rPr>
              <w:t xml:space="preserve"> that require flexibility in delivery</w:t>
            </w:r>
            <w:r w:rsidRPr="000F2D4C">
              <w:rPr>
                <w:lang w:eastAsia="en-AU"/>
              </w:rPr>
              <w:t>.</w:t>
            </w:r>
          </w:p>
          <w:p w14:paraId="271A5201" w14:textId="26C9E9F8" w:rsidR="008911DC" w:rsidRPr="000F2D4C" w:rsidRDefault="00B72943" w:rsidP="0058469D">
            <w:pPr>
              <w:pStyle w:val="Tablebullet"/>
              <w:rPr>
                <w:lang w:eastAsia="en-AU"/>
              </w:rPr>
            </w:pPr>
            <w:r w:rsidRPr="000F2D4C">
              <w:rPr>
                <w:lang w:eastAsia="en-AU"/>
              </w:rPr>
              <w:t xml:space="preserve">There are a range of ways to </w:t>
            </w:r>
            <w:r w:rsidR="00C255E9" w:rsidRPr="000F2D4C">
              <w:rPr>
                <w:lang w:eastAsia="en-AU"/>
              </w:rPr>
              <w:t>facilitate randomisation</w:t>
            </w:r>
            <w:r w:rsidR="004D4EB2" w:rsidRPr="000F2D4C">
              <w:rPr>
                <w:rStyle w:val="FootnoteReference"/>
                <w:rFonts w:cstheme="minorHAnsi"/>
                <w:szCs w:val="18"/>
                <w:lang w:eastAsia="en-AU"/>
              </w:rPr>
              <w:footnoteReference w:id="19"/>
            </w:r>
            <w:r w:rsidR="001F3A62" w:rsidRPr="000F2D4C">
              <w:rPr>
                <w:lang w:eastAsia="en-AU"/>
              </w:rPr>
              <w:t>, w</w:t>
            </w:r>
            <w:r w:rsidR="00794778" w:rsidRPr="000F2D4C">
              <w:rPr>
                <w:lang w:eastAsia="en-AU"/>
              </w:rPr>
              <w:t>hich expand the opp</w:t>
            </w:r>
            <w:r w:rsidR="005857E0" w:rsidRPr="000F2D4C">
              <w:rPr>
                <w:lang w:eastAsia="en-AU"/>
              </w:rPr>
              <w:t xml:space="preserve">ortunity to consider experimental design </w:t>
            </w:r>
          </w:p>
          <w:p w14:paraId="37C8C987" w14:textId="1EEB19AB" w:rsidR="008911DC" w:rsidRPr="000F2D4C" w:rsidRDefault="008911DC" w:rsidP="0058469D">
            <w:pPr>
              <w:pStyle w:val="Tablebullet"/>
              <w:rPr>
                <w:lang w:eastAsia="en-AU"/>
              </w:rPr>
            </w:pPr>
            <w:r w:rsidRPr="000F2D4C">
              <w:rPr>
                <w:lang w:eastAsia="en-AU"/>
              </w:rPr>
              <w:t xml:space="preserve">Randomise a group rather than an individual. For example, </w:t>
            </w:r>
            <w:r w:rsidR="00972729" w:rsidRPr="000F2D4C">
              <w:rPr>
                <w:lang w:eastAsia="en-AU"/>
              </w:rPr>
              <w:t xml:space="preserve">randomising </w:t>
            </w:r>
            <w:r w:rsidR="00165FC1" w:rsidRPr="000F2D4C">
              <w:rPr>
                <w:lang w:eastAsia="en-AU"/>
              </w:rPr>
              <w:t>regions</w:t>
            </w:r>
            <w:r w:rsidR="00777D4C" w:rsidRPr="000F2D4C">
              <w:rPr>
                <w:lang w:eastAsia="en-AU"/>
              </w:rPr>
              <w:t>.</w:t>
            </w:r>
            <w:r w:rsidR="00165FC1" w:rsidRPr="000F2D4C">
              <w:rPr>
                <w:lang w:eastAsia="en-AU"/>
              </w:rPr>
              <w:t xml:space="preserve"> </w:t>
            </w:r>
          </w:p>
          <w:p w14:paraId="435D3D1C" w14:textId="77777777" w:rsidR="003F6F83" w:rsidRPr="000F2D4C" w:rsidRDefault="008911DC" w:rsidP="0058469D">
            <w:pPr>
              <w:pStyle w:val="Tablebullet"/>
              <w:rPr>
                <w:lang w:eastAsia="en-AU"/>
              </w:rPr>
            </w:pPr>
            <w:r w:rsidRPr="000F2D4C">
              <w:rPr>
                <w:lang w:eastAsia="en-AU"/>
              </w:rPr>
              <w:t>Randomise in stages</w:t>
            </w:r>
            <w:r w:rsidR="27F07C6A" w:rsidRPr="000F2D4C">
              <w:rPr>
                <w:lang w:eastAsia="en-AU"/>
              </w:rPr>
              <w:t>. F</w:t>
            </w:r>
            <w:r w:rsidR="00BA1D36" w:rsidRPr="000F2D4C">
              <w:rPr>
                <w:lang w:eastAsia="en-AU"/>
              </w:rPr>
              <w:t>or example</w:t>
            </w:r>
            <w:r w:rsidR="502BB36C" w:rsidRPr="000F2D4C">
              <w:rPr>
                <w:lang w:eastAsia="en-AU"/>
              </w:rPr>
              <w:t>,</w:t>
            </w:r>
            <w:r w:rsidR="00BA1D36" w:rsidRPr="000F2D4C">
              <w:rPr>
                <w:lang w:eastAsia="en-AU"/>
              </w:rPr>
              <w:t xml:space="preserve"> a st</w:t>
            </w:r>
            <w:r w:rsidRPr="000F2D4C">
              <w:rPr>
                <w:lang w:eastAsia="en-AU"/>
              </w:rPr>
              <w:t>aggered rollout</w:t>
            </w:r>
            <w:r w:rsidR="00777D4C" w:rsidRPr="000F2D4C">
              <w:rPr>
                <w:lang w:eastAsia="en-AU"/>
              </w:rPr>
              <w:t>.</w:t>
            </w:r>
            <w:r w:rsidR="009023ED" w:rsidRPr="000F2D4C">
              <w:rPr>
                <w:lang w:eastAsia="en-AU"/>
              </w:rPr>
              <w:t xml:space="preserve"> </w:t>
            </w:r>
          </w:p>
          <w:p w14:paraId="771B7AA4" w14:textId="53A6BE2B" w:rsidR="003F6F83" w:rsidRPr="000F2D4C" w:rsidRDefault="00A56BBF" w:rsidP="0058469D">
            <w:pPr>
              <w:pStyle w:val="Tablebullet"/>
              <w:rPr>
                <w:lang w:eastAsia="en-AU"/>
              </w:rPr>
            </w:pPr>
            <w:r w:rsidRPr="000F2D4C">
              <w:rPr>
                <w:lang w:eastAsia="en-AU"/>
              </w:rPr>
              <w:t>More feasible for larger scale initiatives.</w:t>
            </w:r>
          </w:p>
        </w:tc>
      </w:tr>
      <w:tr w:rsidR="00593B25" w:rsidRPr="000F2D4C" w14:paraId="4031EBB0" w14:textId="77777777" w:rsidTr="125B5B2C">
        <w:trPr>
          <w:cnfStyle w:val="000000010000" w:firstRow="0" w:lastRow="0" w:firstColumn="0" w:lastColumn="0" w:oddVBand="0" w:evenVBand="0" w:oddHBand="0" w:evenHBand="1" w:firstRowFirstColumn="0" w:firstRowLastColumn="0" w:lastRowFirstColumn="0" w:lastRowLastColumn="0"/>
        </w:trPr>
        <w:tc>
          <w:tcPr>
            <w:tcW w:w="1693" w:type="dxa"/>
          </w:tcPr>
          <w:p w14:paraId="6D8F7BEF" w14:textId="393F37F8" w:rsidR="00593B25" w:rsidRPr="000F2D4C" w:rsidRDefault="00593B25" w:rsidP="0058469D">
            <w:pPr>
              <w:pStyle w:val="ListBullet"/>
              <w:numPr>
                <w:ilvl w:val="0"/>
                <w:numId w:val="0"/>
              </w:numPr>
            </w:pPr>
            <w:r w:rsidRPr="000F2D4C">
              <w:t>Quasi-experimental designs</w:t>
            </w:r>
          </w:p>
          <w:p w14:paraId="5DAFCDC4" w14:textId="57E36C64" w:rsidR="00593B25" w:rsidRPr="000F2D4C" w:rsidRDefault="00593B25" w:rsidP="00593B25">
            <w:pPr>
              <w:pStyle w:val="Tablebodytext"/>
            </w:pPr>
          </w:p>
        </w:tc>
        <w:tc>
          <w:tcPr>
            <w:tcW w:w="2778" w:type="dxa"/>
          </w:tcPr>
          <w:p w14:paraId="416AE2FB" w14:textId="52E75751" w:rsidR="00593B25" w:rsidRPr="000F2D4C" w:rsidRDefault="00593B25" w:rsidP="00822D0B">
            <w:pPr>
              <w:pStyle w:val="ListBullet"/>
              <w:numPr>
                <w:ilvl w:val="0"/>
                <w:numId w:val="0"/>
              </w:numPr>
              <w:rPr>
                <w:rFonts w:cstheme="minorBidi"/>
              </w:rPr>
            </w:pPr>
            <w:r w:rsidRPr="000F2D4C">
              <w:t xml:space="preserve">Quasi-experimental designs </w:t>
            </w:r>
            <w:r w:rsidRPr="000F2D4C">
              <w:rPr>
                <w:rFonts w:cstheme="minorBidi"/>
              </w:rPr>
              <w:t xml:space="preserve">involve the identification of a comparison group as similar as </w:t>
            </w:r>
            <w:r w:rsidRPr="000F2D4C">
              <w:rPr>
                <w:rFonts w:cstheme="minorBidi"/>
              </w:rPr>
              <w:lastRenderedPageBreak/>
              <w:t>possible to th</w:t>
            </w:r>
            <w:r w:rsidR="00655C7A" w:rsidRPr="000F2D4C">
              <w:rPr>
                <w:rFonts w:cstheme="minorBidi"/>
              </w:rPr>
              <w:t xml:space="preserve">ose accessing the </w:t>
            </w:r>
            <w:r w:rsidR="005F5F14" w:rsidRPr="000F2D4C">
              <w:rPr>
                <w:rFonts w:cstheme="minorBidi"/>
              </w:rPr>
              <w:t>program</w:t>
            </w:r>
            <w:r w:rsidR="00655C7A" w:rsidRPr="000F2D4C">
              <w:rPr>
                <w:rFonts w:cstheme="minorBidi"/>
              </w:rPr>
              <w:t xml:space="preserve">. </w:t>
            </w:r>
          </w:p>
          <w:p w14:paraId="77DC2373" w14:textId="77777777" w:rsidR="00BD37F3" w:rsidRPr="000F2D4C" w:rsidRDefault="00BD37F3" w:rsidP="00822D0B">
            <w:pPr>
              <w:pStyle w:val="ListBullet"/>
              <w:numPr>
                <w:ilvl w:val="0"/>
                <w:numId w:val="0"/>
              </w:numPr>
            </w:pPr>
          </w:p>
          <w:p w14:paraId="3C75C261" w14:textId="09571DF4" w:rsidR="00912924" w:rsidRPr="000F2D4C" w:rsidRDefault="00912924" w:rsidP="0058469D">
            <w:pPr>
              <w:pStyle w:val="ListBullet"/>
              <w:numPr>
                <w:ilvl w:val="0"/>
                <w:numId w:val="0"/>
              </w:numPr>
            </w:pPr>
          </w:p>
        </w:tc>
        <w:tc>
          <w:tcPr>
            <w:tcW w:w="2778" w:type="dxa"/>
          </w:tcPr>
          <w:p w14:paraId="3AA0D6CB" w14:textId="25A1565E" w:rsidR="00593B25" w:rsidRPr="000F2D4C" w:rsidRDefault="00CF7D51" w:rsidP="00593B25">
            <w:pPr>
              <w:pStyle w:val="Tablebullet"/>
            </w:pPr>
            <w:r w:rsidRPr="000F2D4C">
              <w:rPr>
                <w:rFonts w:cstheme="minorBidi"/>
              </w:rPr>
              <w:lastRenderedPageBreak/>
              <w:t>Can be used when it is not ethical to randomly assign people to a treatment group</w:t>
            </w:r>
            <w:r w:rsidR="00777D4C" w:rsidRPr="000F2D4C">
              <w:rPr>
                <w:rFonts w:cstheme="minorBidi"/>
              </w:rPr>
              <w:t>.</w:t>
            </w:r>
          </w:p>
        </w:tc>
        <w:tc>
          <w:tcPr>
            <w:tcW w:w="2778" w:type="dxa"/>
          </w:tcPr>
          <w:p w14:paraId="548D2894" w14:textId="081C08AF" w:rsidR="00822D0B" w:rsidRPr="000F2D4C" w:rsidRDefault="00822D0B" w:rsidP="0058469D">
            <w:pPr>
              <w:pStyle w:val="Tablebullet"/>
            </w:pPr>
            <w:r w:rsidRPr="000F2D4C">
              <w:t xml:space="preserve">It is likely less feasible to use this approach for programs delivered by community </w:t>
            </w:r>
            <w:r w:rsidRPr="000F2D4C">
              <w:lastRenderedPageBreak/>
              <w:t>organisations, where it can be more complicated to link to administrative data sets that would enable the establishment of a comparison group</w:t>
            </w:r>
            <w:r w:rsidR="00777D4C" w:rsidRPr="000F2D4C">
              <w:t>.</w:t>
            </w:r>
          </w:p>
          <w:p w14:paraId="475CFCFE" w14:textId="4D2E9657" w:rsidR="00593B25" w:rsidRPr="000F2D4C" w:rsidRDefault="00593B25" w:rsidP="0058469D">
            <w:pPr>
              <w:pStyle w:val="Tablebullet"/>
              <w:numPr>
                <w:ilvl w:val="0"/>
                <w:numId w:val="0"/>
              </w:numPr>
              <w:ind w:left="644"/>
            </w:pPr>
          </w:p>
        </w:tc>
        <w:tc>
          <w:tcPr>
            <w:tcW w:w="2778" w:type="dxa"/>
          </w:tcPr>
          <w:p w14:paraId="29499F34" w14:textId="77777777" w:rsidR="00A56BBF" w:rsidRPr="000F2D4C" w:rsidRDefault="00A970F5" w:rsidP="00137A23">
            <w:pPr>
              <w:pStyle w:val="Tablebullet"/>
            </w:pPr>
            <w:r w:rsidRPr="000F2D4C">
              <w:lastRenderedPageBreak/>
              <w:t>Can be used w</w:t>
            </w:r>
            <w:r w:rsidR="00137A23" w:rsidRPr="000F2D4C">
              <w:t xml:space="preserve">hen it is not possible to </w:t>
            </w:r>
            <w:r w:rsidR="0037702D" w:rsidRPr="000F2D4C">
              <w:t>randomly</w:t>
            </w:r>
            <w:r w:rsidR="00137A23" w:rsidRPr="000F2D4C">
              <w:t xml:space="preserve"> assign people to different groups</w:t>
            </w:r>
            <w:r w:rsidR="00A56BBF" w:rsidRPr="000F2D4C">
              <w:t>.</w:t>
            </w:r>
          </w:p>
          <w:p w14:paraId="7A04BCF4" w14:textId="6D1B816D" w:rsidR="0037702D" w:rsidRPr="000F2D4C" w:rsidRDefault="00A56BBF" w:rsidP="00137A23">
            <w:pPr>
              <w:pStyle w:val="Tablebullet"/>
            </w:pPr>
            <w:r w:rsidRPr="000F2D4C">
              <w:lastRenderedPageBreak/>
              <w:t>May be less feasible for initiatives delivered through NGOs.</w:t>
            </w:r>
            <w:r w:rsidR="00137A23" w:rsidRPr="000F2D4C">
              <w:t xml:space="preserve"> </w:t>
            </w:r>
          </w:p>
          <w:p w14:paraId="3C37B545" w14:textId="33A46D6C" w:rsidR="00593B25" w:rsidRPr="000F2D4C" w:rsidRDefault="00593B25" w:rsidP="006E2FA2">
            <w:pPr>
              <w:pStyle w:val="Tablebullet"/>
              <w:numPr>
                <w:ilvl w:val="0"/>
                <w:numId w:val="0"/>
              </w:numPr>
              <w:ind w:left="284"/>
            </w:pPr>
          </w:p>
        </w:tc>
      </w:tr>
      <w:tr w:rsidR="00593B25" w:rsidRPr="000F2D4C" w14:paraId="2C68A775" w14:textId="77777777" w:rsidTr="125B5B2C">
        <w:trPr>
          <w:cnfStyle w:val="000000100000" w:firstRow="0" w:lastRow="0" w:firstColumn="0" w:lastColumn="0" w:oddVBand="0" w:evenVBand="0" w:oddHBand="1" w:evenHBand="0" w:firstRowFirstColumn="0" w:firstRowLastColumn="0" w:lastRowFirstColumn="0" w:lastRowLastColumn="0"/>
        </w:trPr>
        <w:tc>
          <w:tcPr>
            <w:tcW w:w="1693" w:type="dxa"/>
          </w:tcPr>
          <w:p w14:paraId="562B8DB0" w14:textId="09AB84D3" w:rsidR="00593B25" w:rsidRPr="000F2D4C" w:rsidRDefault="00E42DC2" w:rsidP="00593B25">
            <w:pPr>
              <w:pStyle w:val="Tablebodytext"/>
            </w:pPr>
            <w:r w:rsidRPr="000F2D4C">
              <w:lastRenderedPageBreak/>
              <w:t>Non-experimental designs</w:t>
            </w:r>
          </w:p>
        </w:tc>
        <w:tc>
          <w:tcPr>
            <w:tcW w:w="2778" w:type="dxa"/>
          </w:tcPr>
          <w:p w14:paraId="5FE76F1A" w14:textId="182169E1" w:rsidR="00593B25" w:rsidRPr="000F2D4C" w:rsidRDefault="00B72C9F" w:rsidP="00B72C9F">
            <w:r w:rsidRPr="000F2D4C">
              <w:t xml:space="preserve">Non-experimental designs </w:t>
            </w:r>
            <w:r w:rsidR="0029074C" w:rsidRPr="000F2D4C">
              <w:t xml:space="preserve">are those which do not have a comparison or control group. </w:t>
            </w:r>
          </w:p>
        </w:tc>
        <w:tc>
          <w:tcPr>
            <w:tcW w:w="2778" w:type="dxa"/>
          </w:tcPr>
          <w:p w14:paraId="08BACD89" w14:textId="79593373" w:rsidR="006E2FA2" w:rsidRPr="000F2D4C" w:rsidRDefault="006E2FA2" w:rsidP="00970F74">
            <w:pPr>
              <w:pStyle w:val="Tablebullet"/>
            </w:pPr>
            <w:r w:rsidRPr="000F2D4C">
              <w:t xml:space="preserve">Often more feasible to implement, particularly for community-based </w:t>
            </w:r>
            <w:r w:rsidR="005F5F14" w:rsidRPr="000F2D4C">
              <w:t>programs</w:t>
            </w:r>
            <w:r w:rsidRPr="000F2D4C">
              <w:t xml:space="preserve"> that cannot draw on administrative data</w:t>
            </w:r>
            <w:r w:rsidR="3E2EB282" w:rsidRPr="000F2D4C">
              <w:t xml:space="preserve"> </w:t>
            </w:r>
            <w:r w:rsidRPr="000F2D4C">
              <w:t>sets to create a comparison group</w:t>
            </w:r>
          </w:p>
          <w:p w14:paraId="2B0DDB29" w14:textId="3A32BB59" w:rsidR="00593B25" w:rsidRPr="000F2D4C" w:rsidRDefault="006E2FA2" w:rsidP="00970F74">
            <w:pPr>
              <w:pStyle w:val="Tablebullet"/>
            </w:pPr>
            <w:r w:rsidRPr="000F2D4C">
              <w:t>May help</w:t>
            </w:r>
            <w:r w:rsidR="00970F74" w:rsidRPr="000F2D4C">
              <w:t xml:space="preserve"> address </w:t>
            </w:r>
            <w:r w:rsidR="00060D6B" w:rsidRPr="000F2D4C">
              <w:t xml:space="preserve">context and </w:t>
            </w:r>
            <w:r w:rsidR="00970F74" w:rsidRPr="000F2D4C">
              <w:t xml:space="preserve">contribution in complex </w:t>
            </w:r>
            <w:r w:rsidR="005F5F14" w:rsidRPr="000F2D4C">
              <w:t>programs</w:t>
            </w:r>
          </w:p>
        </w:tc>
        <w:tc>
          <w:tcPr>
            <w:tcW w:w="2778" w:type="dxa"/>
          </w:tcPr>
          <w:p w14:paraId="2B5F9001" w14:textId="4782714C" w:rsidR="00593B25" w:rsidRPr="000F2D4C" w:rsidRDefault="00B96E01" w:rsidP="00593B25">
            <w:pPr>
              <w:pStyle w:val="Tablebullet"/>
            </w:pPr>
            <w:r w:rsidRPr="000F2D4C">
              <w:t>They a</w:t>
            </w:r>
            <w:r w:rsidR="00A43B0C" w:rsidRPr="000F2D4C">
              <w:t>r</w:t>
            </w:r>
            <w:r w:rsidRPr="000F2D4C">
              <w:t xml:space="preserve">e </w:t>
            </w:r>
            <w:r w:rsidR="00A43B0C" w:rsidRPr="000F2D4C">
              <w:t xml:space="preserve">often </w:t>
            </w:r>
            <w:r w:rsidRPr="000F2D4C">
              <w:t xml:space="preserve">not considered as robust </w:t>
            </w:r>
            <w:r w:rsidR="00A43B0C" w:rsidRPr="000F2D4C">
              <w:t>as experimental or quasi-experimental</w:t>
            </w:r>
            <w:r w:rsidR="004F2DE4" w:rsidRPr="000F2D4C">
              <w:t xml:space="preserve"> designs.</w:t>
            </w:r>
          </w:p>
        </w:tc>
        <w:tc>
          <w:tcPr>
            <w:tcW w:w="2778" w:type="dxa"/>
          </w:tcPr>
          <w:p w14:paraId="67FF3CDF" w14:textId="5119FE6E" w:rsidR="006E2FA2" w:rsidRPr="000F2D4C" w:rsidRDefault="00A970F5" w:rsidP="0029074C">
            <w:pPr>
              <w:pStyle w:val="Tablebullet"/>
            </w:pPr>
            <w:r w:rsidRPr="000F2D4C">
              <w:t>Can be used w</w:t>
            </w:r>
            <w:r w:rsidR="0029074C" w:rsidRPr="000F2D4C">
              <w:t>hen it is not possible to randomly assign people to different groups</w:t>
            </w:r>
            <w:r w:rsidR="004F2DE4" w:rsidRPr="000F2D4C">
              <w:t>.</w:t>
            </w:r>
          </w:p>
          <w:p w14:paraId="6C795CFF" w14:textId="5EFB02FF" w:rsidR="0029074C" w:rsidRPr="000F2D4C" w:rsidRDefault="00A970F5" w:rsidP="0029074C">
            <w:pPr>
              <w:pStyle w:val="Tablebullet"/>
            </w:pPr>
            <w:r w:rsidRPr="000F2D4C">
              <w:t>Can be used w</w:t>
            </w:r>
            <w:r w:rsidR="006E2FA2" w:rsidRPr="000F2D4C">
              <w:t xml:space="preserve">hen linkage to administrative data to enable  construction of a comparison group </w:t>
            </w:r>
            <w:r w:rsidR="1FA015F9" w:rsidRPr="000F2D4C">
              <w:t>is</w:t>
            </w:r>
            <w:r w:rsidR="006E2FA2" w:rsidRPr="000F2D4C">
              <w:t xml:space="preserve"> not possible</w:t>
            </w:r>
            <w:r w:rsidR="004F2DE4" w:rsidRPr="000F2D4C">
              <w:t>.</w:t>
            </w:r>
            <w:r w:rsidR="0029074C" w:rsidRPr="000F2D4C">
              <w:t xml:space="preserve"> </w:t>
            </w:r>
          </w:p>
          <w:p w14:paraId="6479B6DA" w14:textId="5AFED639" w:rsidR="00593B25" w:rsidRPr="000F2D4C" w:rsidRDefault="00593B25" w:rsidP="006E2FA2">
            <w:pPr>
              <w:pStyle w:val="Tablebullet"/>
              <w:numPr>
                <w:ilvl w:val="0"/>
                <w:numId w:val="0"/>
              </w:numPr>
              <w:ind w:left="644"/>
            </w:pPr>
          </w:p>
        </w:tc>
      </w:tr>
    </w:tbl>
    <w:p w14:paraId="49927135" w14:textId="77777777" w:rsidR="003F6F83" w:rsidRPr="000F2D4C" w:rsidRDefault="003F6F83" w:rsidP="003F6F83">
      <w:pPr>
        <w:sectPr w:rsidR="003F6F83" w:rsidRPr="000F2D4C" w:rsidSect="00324725">
          <w:headerReference w:type="default" r:id="rId70"/>
          <w:footerReference w:type="default" r:id="rId71"/>
          <w:headerReference w:type="first" r:id="rId72"/>
          <w:pgSz w:w="16838" w:h="11906" w:orient="landscape" w:code="9"/>
          <w:pgMar w:top="2268" w:right="1418" w:bottom="1418" w:left="1418" w:header="561" w:footer="57" w:gutter="0"/>
          <w:cols w:space="708"/>
          <w:docGrid w:linePitch="360"/>
        </w:sectPr>
      </w:pPr>
    </w:p>
    <w:p w14:paraId="4AE00C4A" w14:textId="6064254E" w:rsidR="00313A6C" w:rsidRPr="000F2D4C" w:rsidRDefault="006E2FA2" w:rsidP="006E2FA2">
      <w:r w:rsidRPr="000F2D4C">
        <w:lastRenderedPageBreak/>
        <w:t>In an evaluation of a small</w:t>
      </w:r>
      <w:r w:rsidR="00AD5D3B" w:rsidRPr="000F2D4C">
        <w:t>-</w:t>
      </w:r>
      <w:r w:rsidRPr="000F2D4C">
        <w:t xml:space="preserve">scale </w:t>
      </w:r>
      <w:r w:rsidR="005F5F14" w:rsidRPr="000F2D4C">
        <w:t>program</w:t>
      </w:r>
      <w:r w:rsidRPr="000F2D4C">
        <w:t xml:space="preserve">, the use of a </w:t>
      </w:r>
      <w:r w:rsidRPr="000F2D4C">
        <w:rPr>
          <w:b/>
          <w:bCs/>
        </w:rPr>
        <w:t>n</w:t>
      </w:r>
      <w:r w:rsidR="24B7950B" w:rsidRPr="000F2D4C">
        <w:rPr>
          <w:b/>
          <w:bCs/>
        </w:rPr>
        <w:t>on-experimental design</w:t>
      </w:r>
      <w:r w:rsidR="00621A5B" w:rsidRPr="000F2D4C">
        <w:rPr>
          <w:rStyle w:val="FootnoteReference"/>
          <w:b/>
          <w:bCs/>
        </w:rPr>
        <w:footnoteReference w:id="20"/>
      </w:r>
      <w:r w:rsidR="00E25713" w:rsidRPr="000F2D4C">
        <w:t xml:space="preserve"> </w:t>
      </w:r>
      <w:r w:rsidRPr="000F2D4C">
        <w:t>will often be more feasible. There are a number of ways to increase the robustness or credibility of a non-experimental design, for example</w:t>
      </w:r>
      <w:r w:rsidR="24B7950B" w:rsidRPr="000F2D4C">
        <w:t>:</w:t>
      </w:r>
    </w:p>
    <w:p w14:paraId="2529DEF7" w14:textId="6D84FA7A" w:rsidR="0007053A" w:rsidRPr="000F2D4C" w:rsidRDefault="00950920" w:rsidP="00F857B9">
      <w:pPr>
        <w:pStyle w:val="ListBullet"/>
        <w:rPr>
          <w:vertAlign w:val="superscript"/>
        </w:rPr>
      </w:pPr>
      <w:r w:rsidRPr="000F2D4C">
        <w:t>C</w:t>
      </w:r>
      <w:r w:rsidR="24B7950B" w:rsidRPr="000F2D4C">
        <w:t xml:space="preserve">ontribution analysis, which aims to make credible causal claims by assessing whether the program is based on a reasoned theory of change, the program was implemented as intended, the intended outcomes occurred, and </w:t>
      </w:r>
      <w:r w:rsidR="2506FEF0" w:rsidRPr="000F2D4C">
        <w:t>o</w:t>
      </w:r>
      <w:r w:rsidR="24B7950B" w:rsidRPr="000F2D4C">
        <w:t>ther factors influencing the program were assessed and were either shown not to have made a significant contribution or, if they did, the relative contribution was recognised</w:t>
      </w:r>
      <w:r w:rsidR="008512CD" w:rsidRPr="000F2D4C">
        <w:t>.</w:t>
      </w:r>
      <w:r w:rsidR="00313A6C" w:rsidRPr="000F2D4C">
        <w:rPr>
          <w:rStyle w:val="FootnoteReference"/>
        </w:rPr>
        <w:footnoteReference w:id="21"/>
      </w:r>
    </w:p>
    <w:p w14:paraId="34DAB096" w14:textId="5F840C7F" w:rsidR="00910439" w:rsidRPr="000F2D4C" w:rsidRDefault="2506FEF0" w:rsidP="00F857B9">
      <w:pPr>
        <w:pStyle w:val="ListBullet"/>
      </w:pPr>
      <w:r w:rsidRPr="000F2D4C">
        <w:t>Qualitative comparative analysis</w:t>
      </w:r>
      <w:r w:rsidR="41194E68" w:rsidRPr="000F2D4C">
        <w:t>: comparing the configurations of different cases to identify the components that produce specific outcomes.</w:t>
      </w:r>
    </w:p>
    <w:p w14:paraId="4AB96558" w14:textId="748CAEAF" w:rsidR="00EA5967" w:rsidRPr="000F2D4C" w:rsidRDefault="26F84E09" w:rsidP="00F857B9">
      <w:pPr>
        <w:pStyle w:val="ListBullet"/>
      </w:pPr>
      <w:r w:rsidRPr="000F2D4C">
        <w:t>Process tracing</w:t>
      </w:r>
      <w:r w:rsidR="70E79EDC" w:rsidRPr="000F2D4C">
        <w:t>: case-based approach to causal inference focused on the use of clues within a case (causal-process observations, CPOs) to adjudicate between alternative possible explanations</w:t>
      </w:r>
      <w:r w:rsidR="008512CD" w:rsidRPr="000F2D4C">
        <w:t>.</w:t>
      </w:r>
      <w:r w:rsidR="70E79EDC" w:rsidRPr="000F2D4C">
        <w:t xml:space="preserve"> </w:t>
      </w:r>
    </w:p>
    <w:p w14:paraId="68576694" w14:textId="13CAFE28" w:rsidR="008512CD" w:rsidRPr="000F2D4C" w:rsidRDefault="74CF8342" w:rsidP="00F857B9">
      <w:pPr>
        <w:pStyle w:val="ListBullet"/>
      </w:pPr>
      <w:r w:rsidRPr="000F2D4C">
        <w:t>C</w:t>
      </w:r>
      <w:r w:rsidR="26F84E09" w:rsidRPr="000F2D4C">
        <w:t>omparative case studies</w:t>
      </w:r>
      <w:r w:rsidR="00A86661" w:rsidRPr="000F2D4C">
        <w:rPr>
          <w:rStyle w:val="FootnoteReference"/>
        </w:rPr>
        <w:footnoteReference w:id="22"/>
      </w:r>
      <w:r w:rsidR="004827BF" w:rsidRPr="000F2D4C">
        <w:t xml:space="preserve">: </w:t>
      </w:r>
      <w:r w:rsidR="060B036D" w:rsidRPr="000F2D4C">
        <w:t>involve analysis and synthesis of the similarities, differences and patterns across two or more cases with a common goal</w:t>
      </w:r>
      <w:r w:rsidR="3127ADD3" w:rsidRPr="000F2D4C">
        <w:t>,</w:t>
      </w:r>
      <w:r w:rsidR="060B036D" w:rsidRPr="000F2D4C">
        <w:t xml:space="preserve"> in a way that produces knowledge that is easier to generalise about causal question</w:t>
      </w:r>
      <w:r w:rsidR="008512CD" w:rsidRPr="000F2D4C">
        <w:t>s.</w:t>
      </w:r>
    </w:p>
    <w:p w14:paraId="33321114" w14:textId="337A2506" w:rsidR="008512CD" w:rsidRPr="000F2D4C" w:rsidRDefault="008512CD" w:rsidP="00CB06AB">
      <w:pPr>
        <w:pStyle w:val="ListBullet"/>
        <w:numPr>
          <w:ilvl w:val="0"/>
          <w:numId w:val="0"/>
        </w:numPr>
        <w:ind w:left="360"/>
      </w:pPr>
      <w:r w:rsidRPr="000F2D4C">
        <w:t xml:space="preserve"> </w:t>
      </w:r>
    </w:p>
    <w:p w14:paraId="5D04D835" w14:textId="38B821A2" w:rsidR="00214E15" w:rsidRPr="000F2D4C" w:rsidRDefault="00214E15" w:rsidP="00C56BE1">
      <w:pPr>
        <w:rPr>
          <w:bCs/>
        </w:rPr>
      </w:pPr>
      <w:bookmarkStart w:id="53" w:name="_Toc146206794"/>
      <w:r w:rsidRPr="000F2D4C">
        <w:rPr>
          <w:b/>
          <w:bCs/>
        </w:rPr>
        <w:t>Useful references</w:t>
      </w:r>
    </w:p>
    <w:p w14:paraId="1DE75228" w14:textId="0D65893B" w:rsidR="00214E15" w:rsidRPr="000F2D4C" w:rsidRDefault="00214E15" w:rsidP="0051589D">
      <w:pPr>
        <w:pStyle w:val="Boxbullets"/>
        <w:numPr>
          <w:ilvl w:val="0"/>
          <w:numId w:val="0"/>
        </w:numPr>
      </w:pPr>
      <w:r w:rsidRPr="000F2D4C">
        <w:t xml:space="preserve">Various government departments have their own guidance on and templates for </w:t>
      </w:r>
      <w:r w:rsidR="00C97746" w:rsidRPr="000F2D4C">
        <w:t>evaluation</w:t>
      </w:r>
      <w:r w:rsidR="003B4C9A" w:rsidRPr="000F2D4C">
        <w:t xml:space="preserve"> designs. </w:t>
      </w:r>
      <w:r w:rsidR="00C97746" w:rsidRPr="000F2D4C">
        <w:t>Other examples include:</w:t>
      </w:r>
    </w:p>
    <w:p w14:paraId="42796171" w14:textId="77777777" w:rsidR="0051589D" w:rsidRPr="000F2D4C" w:rsidRDefault="0051589D" w:rsidP="006E2FA2">
      <w:pPr>
        <w:pStyle w:val="Boxbullets"/>
        <w:numPr>
          <w:ilvl w:val="0"/>
          <w:numId w:val="0"/>
        </w:numPr>
      </w:pPr>
    </w:p>
    <w:p w14:paraId="2284AE14" w14:textId="27D76B3A" w:rsidR="00C97746" w:rsidRPr="000F2D4C" w:rsidRDefault="0045099D" w:rsidP="006E2FA2">
      <w:pPr>
        <w:pStyle w:val="Boxbullets"/>
        <w:numPr>
          <w:ilvl w:val="0"/>
          <w:numId w:val="0"/>
        </w:numPr>
        <w:ind w:left="360" w:hanging="360"/>
        <w:rPr>
          <w:i/>
        </w:rPr>
      </w:pPr>
      <w:r w:rsidRPr="000F2D4C">
        <w:t>Experimental designs</w:t>
      </w:r>
    </w:p>
    <w:p w14:paraId="11EBC511" w14:textId="18DDB0E0" w:rsidR="00F514A1" w:rsidRPr="000F2D4C" w:rsidRDefault="00F514A1" w:rsidP="006E2FA2">
      <w:pPr>
        <w:pStyle w:val="Boxbullets"/>
      </w:pPr>
      <w:hyperlink r:id="rId73">
        <w:r w:rsidRPr="000F2D4C">
          <w:rPr>
            <w:rStyle w:val="Hyperlink"/>
            <w:i/>
            <w:iCs/>
          </w:rPr>
          <w:t>Better Evaluation: Randomised Controlled Trial</w:t>
        </w:r>
      </w:hyperlink>
      <w:r w:rsidRPr="000F2D4C">
        <w:t xml:space="preserve"> </w:t>
      </w:r>
    </w:p>
    <w:p w14:paraId="560ABDAF" w14:textId="7AC1492E" w:rsidR="000746D3" w:rsidRPr="000F2D4C" w:rsidRDefault="00BA48F1" w:rsidP="459DBAB8">
      <w:pPr>
        <w:pStyle w:val="Boxbullets"/>
        <w:rPr>
          <w:i/>
        </w:rPr>
      </w:pPr>
      <w:hyperlink r:id="rId74">
        <w:r w:rsidRPr="000F2D4C">
          <w:rPr>
            <w:rStyle w:val="Hyperlink"/>
            <w:i/>
            <w:iCs/>
          </w:rPr>
          <w:t>Department of the</w:t>
        </w:r>
        <w:r w:rsidR="000746D3" w:rsidRPr="000F2D4C">
          <w:rPr>
            <w:rStyle w:val="Hyperlink"/>
            <w:i/>
            <w:iCs/>
          </w:rPr>
          <w:t xml:space="preserve"> Treasury: Randomised Control</w:t>
        </w:r>
        <w:r w:rsidRPr="000F2D4C">
          <w:rPr>
            <w:rStyle w:val="Hyperlink"/>
            <w:i/>
            <w:iCs/>
          </w:rPr>
          <w:t>led</w:t>
        </w:r>
        <w:r w:rsidR="000746D3" w:rsidRPr="000F2D4C">
          <w:rPr>
            <w:rStyle w:val="Hyperlink"/>
            <w:i/>
            <w:iCs/>
          </w:rPr>
          <w:t xml:space="preserve"> Trials</w:t>
        </w:r>
      </w:hyperlink>
    </w:p>
    <w:p w14:paraId="5086543A" w14:textId="77777777" w:rsidR="00C1631A" w:rsidRPr="000F2D4C" w:rsidRDefault="00C1631A" w:rsidP="0051589D">
      <w:pPr>
        <w:pStyle w:val="Boxbullets"/>
        <w:numPr>
          <w:ilvl w:val="0"/>
          <w:numId w:val="0"/>
        </w:numPr>
      </w:pPr>
    </w:p>
    <w:p w14:paraId="2F4474A0" w14:textId="54B3CE36" w:rsidR="0051589D" w:rsidRPr="000F2D4C" w:rsidRDefault="0051589D" w:rsidP="0051589D">
      <w:pPr>
        <w:pStyle w:val="Boxbullets"/>
        <w:numPr>
          <w:ilvl w:val="0"/>
          <w:numId w:val="0"/>
        </w:numPr>
      </w:pPr>
      <w:r w:rsidRPr="000F2D4C">
        <w:t>Quasi-experimental design</w:t>
      </w:r>
    </w:p>
    <w:p w14:paraId="3FFED5B9" w14:textId="25D5721D" w:rsidR="00357595" w:rsidRPr="000F2D4C" w:rsidRDefault="00357595" w:rsidP="140079D9">
      <w:pPr>
        <w:pStyle w:val="Boxbullets"/>
        <w:numPr>
          <w:ilvl w:val="0"/>
          <w:numId w:val="53"/>
        </w:numPr>
        <w:rPr>
          <w:i/>
        </w:rPr>
      </w:pPr>
      <w:hyperlink r:id="rId75">
        <w:r w:rsidRPr="000F2D4C">
          <w:rPr>
            <w:rStyle w:val="Hyperlink"/>
            <w:i/>
            <w:iCs/>
          </w:rPr>
          <w:t>Better Evaluation</w:t>
        </w:r>
        <w:r w:rsidR="00034A54" w:rsidRPr="000F2D4C">
          <w:rPr>
            <w:rStyle w:val="Hyperlink"/>
            <w:i/>
            <w:iCs/>
          </w:rPr>
          <w:t>: Q</w:t>
        </w:r>
        <w:r w:rsidRPr="000F2D4C">
          <w:rPr>
            <w:rStyle w:val="Hyperlink"/>
            <w:i/>
            <w:iCs/>
          </w:rPr>
          <w:t>uasi-experimental designs</w:t>
        </w:r>
      </w:hyperlink>
    </w:p>
    <w:p w14:paraId="57D40836" w14:textId="398A591B" w:rsidR="00E578D2" w:rsidRPr="000F2D4C" w:rsidRDefault="00E578D2" w:rsidP="48D36241">
      <w:pPr>
        <w:pStyle w:val="Boxbullets"/>
        <w:numPr>
          <w:ilvl w:val="0"/>
          <w:numId w:val="53"/>
        </w:numPr>
        <w:rPr>
          <w:rStyle w:val="Hyperlink"/>
          <w:color w:val="auto"/>
          <w:u w:val="none"/>
        </w:rPr>
      </w:pPr>
      <w:hyperlink r:id="rId76">
        <w:r w:rsidRPr="000F2D4C">
          <w:rPr>
            <w:rStyle w:val="Hyperlink"/>
            <w:i/>
            <w:iCs/>
          </w:rPr>
          <w:t>NSW Tre</w:t>
        </w:r>
        <w:r w:rsidR="0020195B" w:rsidRPr="000F2D4C">
          <w:rPr>
            <w:rStyle w:val="Hyperlink"/>
            <w:i/>
            <w:iCs/>
          </w:rPr>
          <w:t xml:space="preserve">asury: </w:t>
        </w:r>
        <w:r w:rsidRPr="000F2D4C">
          <w:rPr>
            <w:rStyle w:val="Hyperlink"/>
            <w:i/>
            <w:iCs/>
          </w:rPr>
          <w:t>Outcome Evaluation Designs</w:t>
        </w:r>
      </w:hyperlink>
    </w:p>
    <w:p w14:paraId="08D94608" w14:textId="398A591B" w:rsidR="004C2C8F" w:rsidRPr="000F2D4C" w:rsidRDefault="004C2C8F" w:rsidP="2ED176CA">
      <w:pPr>
        <w:pStyle w:val="Boxbullets"/>
        <w:numPr>
          <w:ilvl w:val="0"/>
          <w:numId w:val="0"/>
        </w:numPr>
        <w:ind w:left="360" w:hanging="360"/>
        <w:rPr>
          <w:rStyle w:val="Hyperlink"/>
          <w:i/>
          <w:iCs/>
        </w:rPr>
      </w:pPr>
    </w:p>
    <w:p w14:paraId="1F406AEE" w14:textId="38DDC58A" w:rsidR="004C2C8F" w:rsidRPr="000F2D4C" w:rsidRDefault="004C2C8F" w:rsidP="2ED176CA">
      <w:pPr>
        <w:pStyle w:val="Boxbullets"/>
        <w:numPr>
          <w:ilvl w:val="0"/>
          <w:numId w:val="0"/>
        </w:numPr>
        <w:ind w:left="360" w:hanging="360"/>
        <w:rPr>
          <w:rStyle w:val="Hyperlink"/>
        </w:rPr>
      </w:pPr>
      <w:r w:rsidRPr="000F2D4C">
        <w:rPr>
          <w:rStyle w:val="Hyperlink"/>
        </w:rPr>
        <w:t>Broader considerations</w:t>
      </w:r>
    </w:p>
    <w:p w14:paraId="0CFBA4D0" w14:textId="4CEF4095" w:rsidR="004C2C8F" w:rsidRPr="000F2D4C" w:rsidRDefault="00507802" w:rsidP="00A170AD">
      <w:pPr>
        <w:pStyle w:val="Boxbullets"/>
        <w:numPr>
          <w:ilvl w:val="0"/>
          <w:numId w:val="53"/>
        </w:numPr>
        <w:rPr>
          <w:i/>
          <w:iCs/>
        </w:rPr>
      </w:pPr>
      <w:hyperlink r:id="rId77" w:history="1">
        <w:r w:rsidRPr="000F2D4C">
          <w:rPr>
            <w:rStyle w:val="Hyperlink"/>
            <w:i/>
            <w:iCs/>
          </w:rPr>
          <w:t>NSW Government Centre for Epidemiology and Evidence, Study Design for Evaluating Population Health and Health Service Interventions: A Guide</w:t>
        </w:r>
      </w:hyperlink>
    </w:p>
    <w:p w14:paraId="7BC1965B" w14:textId="7EA2B7AA" w:rsidR="00500905" w:rsidRPr="000F2D4C" w:rsidRDefault="00500905" w:rsidP="00A170AD">
      <w:pPr>
        <w:pStyle w:val="Boxbullets"/>
        <w:numPr>
          <w:ilvl w:val="0"/>
          <w:numId w:val="53"/>
        </w:numPr>
        <w:rPr>
          <w:i/>
          <w:iCs/>
        </w:rPr>
      </w:pPr>
      <w:hyperlink r:id="rId78" w:history="1">
        <w:r w:rsidRPr="000F2D4C">
          <w:rPr>
            <w:rStyle w:val="Hyperlink"/>
            <w:i/>
            <w:iCs/>
          </w:rPr>
          <w:t>Better Evaluation: Impact Evaluation</w:t>
        </w:r>
      </w:hyperlink>
    </w:p>
    <w:p w14:paraId="4216E6DF" w14:textId="77777777" w:rsidR="0045099D" w:rsidRPr="000F2D4C" w:rsidRDefault="0045099D" w:rsidP="00214E15">
      <w:pPr>
        <w:pStyle w:val="Boxtext0"/>
      </w:pPr>
    </w:p>
    <w:bookmarkEnd w:id="53"/>
    <w:p w14:paraId="41DEB0FB" w14:textId="6714C333" w:rsidR="00D5547B" w:rsidRPr="000F2D4C" w:rsidRDefault="00F44F67" w:rsidP="00D5547B">
      <w:pPr>
        <w:pStyle w:val="Heading3"/>
      </w:pPr>
      <w:r w:rsidRPr="000F2D4C">
        <w:lastRenderedPageBreak/>
        <w:t>Mix</w:t>
      </w:r>
      <w:r w:rsidR="000E381B" w:rsidRPr="000F2D4C">
        <w:t xml:space="preserve">ed </w:t>
      </w:r>
      <w:r w:rsidR="00D5547B" w:rsidRPr="000F2D4C">
        <w:t>method</w:t>
      </w:r>
      <w:r w:rsidR="00405F10" w:rsidRPr="000F2D4C">
        <w:t>s</w:t>
      </w:r>
    </w:p>
    <w:p w14:paraId="17386D52" w14:textId="7F88E157" w:rsidR="00D5547B" w:rsidRPr="000F2D4C" w:rsidRDefault="00D5547B" w:rsidP="45F52583">
      <w:pPr>
        <w:rPr>
          <w:rFonts w:asciiTheme="majorHAnsi" w:hAnsiTheme="majorHAnsi" w:cstheme="majorBidi"/>
        </w:rPr>
      </w:pPr>
      <w:r w:rsidRPr="000F2D4C">
        <w:rPr>
          <w:rFonts w:asciiTheme="majorHAnsi" w:hAnsiTheme="majorHAnsi" w:cstheme="majorBidi"/>
        </w:rPr>
        <w:t>A mixed methods design – analysing a combination of quantitative and qualitative data to answer key evaluation questions – has benefits. Quantitative data can provide a statistically reliable and robust measure of behaviours, opinions, and preferences of a population, while qualitative data helps to understand patterns behind the quantitative data, complexity</w:t>
      </w:r>
      <w:r w:rsidR="5D48D7AE" w:rsidRPr="000F2D4C">
        <w:rPr>
          <w:rFonts w:asciiTheme="majorHAnsi" w:hAnsiTheme="majorHAnsi" w:cstheme="majorBidi"/>
        </w:rPr>
        <w:t>,</w:t>
      </w:r>
      <w:r w:rsidRPr="000F2D4C">
        <w:rPr>
          <w:rFonts w:asciiTheme="majorHAnsi" w:hAnsiTheme="majorHAnsi" w:cstheme="majorBidi"/>
        </w:rPr>
        <w:t xml:space="preserve"> and context.</w:t>
      </w:r>
    </w:p>
    <w:p w14:paraId="6AC697FC" w14:textId="77777777" w:rsidR="00D5547B" w:rsidRPr="000F2D4C" w:rsidRDefault="00D5547B" w:rsidP="00D5547B">
      <w:pPr>
        <w:rPr>
          <w:rFonts w:asciiTheme="majorHAnsi" w:hAnsiTheme="majorHAnsi" w:cstheme="majorBidi"/>
        </w:rPr>
      </w:pPr>
      <w:r w:rsidRPr="000F2D4C">
        <w:rPr>
          <w:rFonts w:asciiTheme="majorHAnsi" w:hAnsiTheme="majorHAnsi" w:cstheme="majorHAnsi"/>
        </w:rPr>
        <w:t>Key features of</w:t>
      </w:r>
      <w:r w:rsidRPr="000F2D4C">
        <w:rPr>
          <w:rFonts w:asciiTheme="majorHAnsi" w:hAnsiTheme="majorHAnsi" w:cstheme="majorBidi"/>
        </w:rPr>
        <w:t xml:space="preserve"> a mixed methods approach are: </w:t>
      </w:r>
    </w:p>
    <w:p w14:paraId="5FC19D66" w14:textId="77777777" w:rsidR="00D5547B" w:rsidRPr="000F2D4C" w:rsidRDefault="00D5547B" w:rsidP="00FC2CEE">
      <w:pPr>
        <w:pStyle w:val="ListParagraph"/>
        <w:numPr>
          <w:ilvl w:val="0"/>
          <w:numId w:val="27"/>
        </w:numPr>
      </w:pPr>
      <w:r w:rsidRPr="000F2D4C">
        <w:rPr>
          <w:b/>
        </w:rPr>
        <w:t>triangulation</w:t>
      </w:r>
      <w:r w:rsidRPr="000F2D4C">
        <w:t>: to corroborate findings between both quantitative and qualitative data</w:t>
      </w:r>
    </w:p>
    <w:p w14:paraId="21C03FD4" w14:textId="77777777" w:rsidR="00D5547B" w:rsidRPr="000F2D4C" w:rsidRDefault="00D5547B" w:rsidP="00FC2CEE">
      <w:pPr>
        <w:pStyle w:val="ListParagraph"/>
        <w:numPr>
          <w:ilvl w:val="0"/>
          <w:numId w:val="27"/>
        </w:numPr>
      </w:pPr>
      <w:r w:rsidRPr="000F2D4C">
        <w:rPr>
          <w:b/>
        </w:rPr>
        <w:t>complementarity</w:t>
      </w:r>
      <w:r w:rsidRPr="000F2D4C">
        <w:t>: to enhance and clarify results from one method with the results of another</w:t>
      </w:r>
    </w:p>
    <w:p w14:paraId="675D5F76" w14:textId="77777777" w:rsidR="00D5547B" w:rsidRPr="000F2D4C" w:rsidRDefault="00D5547B" w:rsidP="00FC2CEE">
      <w:pPr>
        <w:pStyle w:val="ListParagraph"/>
        <w:numPr>
          <w:ilvl w:val="0"/>
          <w:numId w:val="27"/>
        </w:numPr>
      </w:pPr>
      <w:r w:rsidRPr="000F2D4C">
        <w:rPr>
          <w:b/>
        </w:rPr>
        <w:t>development</w:t>
      </w:r>
      <w:r w:rsidRPr="000F2D4C">
        <w:t xml:space="preserve">: to use results from one method to inform the development and construction of the other method. </w:t>
      </w:r>
    </w:p>
    <w:p w14:paraId="3C7EACAF" w14:textId="77885CC4" w:rsidR="002D329A" w:rsidRPr="000F2D4C" w:rsidRDefault="00B65CF8" w:rsidP="002D329A">
      <w:r w:rsidRPr="000F2D4C">
        <w:t>There are a range of ways to mix</w:t>
      </w:r>
      <w:r w:rsidR="007803D2" w:rsidRPr="000F2D4C">
        <w:t xml:space="preserve"> method</w:t>
      </w:r>
      <w:r w:rsidRPr="000F2D4C">
        <w:t xml:space="preserve">s in evaluation. </w:t>
      </w:r>
      <w:r w:rsidR="00376A68" w:rsidRPr="000F2D4C">
        <w:t>F</w:t>
      </w:r>
      <w:r w:rsidR="006A46E1" w:rsidRPr="000F2D4C">
        <w:t xml:space="preserve">igure </w:t>
      </w:r>
      <w:r w:rsidR="00955265" w:rsidRPr="000F2D4C">
        <w:t>6</w:t>
      </w:r>
      <w:r w:rsidR="006A46E1" w:rsidRPr="000F2D4C">
        <w:t xml:space="preserve"> </w:t>
      </w:r>
      <w:r w:rsidR="005C21B6" w:rsidRPr="000F2D4C">
        <w:t>describes</w:t>
      </w:r>
      <w:r w:rsidRPr="000F2D4C">
        <w:t xml:space="preserve"> </w:t>
      </w:r>
      <w:r w:rsidR="005C21B6" w:rsidRPr="000F2D4C">
        <w:t>different ways of sequencing methods and the potential benefits of these</w:t>
      </w:r>
      <w:r w:rsidR="006A46E1" w:rsidRPr="000F2D4C">
        <w:t>.</w:t>
      </w:r>
    </w:p>
    <w:p w14:paraId="005FA456" w14:textId="654AECBE" w:rsidR="006A46E1" w:rsidRPr="000F2D4C" w:rsidRDefault="006A46E1" w:rsidP="006A46E1">
      <w:pPr>
        <w:pStyle w:val="FigureHeading"/>
      </w:pPr>
      <w:r w:rsidRPr="000F2D4C">
        <w:t>Mixed method designs</w:t>
      </w:r>
      <w:r w:rsidR="00375B32" w:rsidRPr="000F2D4C">
        <w:t xml:space="preserve"> </w:t>
      </w:r>
    </w:p>
    <w:p w14:paraId="51C53F82" w14:textId="57F548CB" w:rsidR="00062142" w:rsidRPr="000F2D4C" w:rsidRDefault="00E74D9D" w:rsidP="009653B0">
      <w:pPr>
        <w:jc w:val="center"/>
      </w:pPr>
      <w:r w:rsidRPr="000F2D4C">
        <w:rPr>
          <w:noProof/>
        </w:rPr>
        <w:drawing>
          <wp:inline distT="0" distB="0" distL="0" distR="0" wp14:anchorId="77F66FE8" wp14:editId="360159A0">
            <wp:extent cx="5250180" cy="4814719"/>
            <wp:effectExtent l="0" t="0" r="7620" b="5080"/>
            <wp:docPr id="661789443" name="Picture 661789443" descr="Mixed methods designs use a convergent parallel design, an explanatory sequential design or an exploratory sequential design. Each option has quantitative and qualitative data collection and analysis. However, the various designs have different methods for follow up and interpretation, with alternative placement of qualitative or quantitative analysis in the process for explaining or exploring the find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89443" name="Picture 661789443" descr="Mixed methods designs use a convergent parallel design, an explanatory sequential design or an exploratory sequential design. Each option has quantitative and qualitative data collection and analysis. However, the various designs have different methods for follow up and interpretation, with alternative placement of qualitative or quantitative analysis in the process for explaining or exploring the findings.  "/>
                    <pic:cNvPicPr/>
                  </pic:nvPicPr>
                  <pic:blipFill rotWithShape="1">
                    <a:blip r:embed="rId79" cstate="print">
                      <a:extLst>
                        <a:ext uri="{28A0092B-C50C-407E-A947-70E740481C1C}">
                          <a14:useLocalDpi xmlns:a14="http://schemas.microsoft.com/office/drawing/2010/main" val="0"/>
                        </a:ext>
                      </a:extLst>
                    </a:blip>
                    <a:srcRect l="2507" t="1739" r="8432" b="40520"/>
                    <a:stretch/>
                  </pic:blipFill>
                  <pic:spPr bwMode="auto">
                    <a:xfrm>
                      <a:off x="0" y="0"/>
                      <a:ext cx="5253202" cy="4817490"/>
                    </a:xfrm>
                    <a:prstGeom prst="rect">
                      <a:avLst/>
                    </a:prstGeom>
                    <a:ln>
                      <a:noFill/>
                    </a:ln>
                    <a:extLst>
                      <a:ext uri="{53640926-AAD7-44D8-BBD7-CCE9431645EC}">
                        <a14:shadowObscured xmlns:a14="http://schemas.microsoft.com/office/drawing/2010/main"/>
                      </a:ext>
                    </a:extLst>
                  </pic:spPr>
                </pic:pic>
              </a:graphicData>
            </a:graphic>
          </wp:inline>
        </w:drawing>
      </w:r>
    </w:p>
    <w:p w14:paraId="60405FEC" w14:textId="19724798" w:rsidR="006A46E1" w:rsidRPr="000F2D4C" w:rsidRDefault="006A46E1" w:rsidP="006E40D8">
      <w:pPr>
        <w:jc w:val="center"/>
      </w:pPr>
    </w:p>
    <w:p w14:paraId="04241B98" w14:textId="7D263DF9" w:rsidR="00D5547B" w:rsidRPr="000F2D4C" w:rsidRDefault="00D5547B" w:rsidP="00D5547B">
      <w:pPr>
        <w:pStyle w:val="Boxtext0"/>
        <w:rPr>
          <w:rStyle w:val="Hyperlink"/>
          <w:i/>
        </w:rPr>
      </w:pPr>
      <w:r w:rsidRPr="000F2D4C">
        <w:t>More about mixed methods can be found here</w:t>
      </w:r>
      <w:r w:rsidR="00A80CB3" w:rsidRPr="000F2D4C">
        <w:t>:</w:t>
      </w:r>
      <w:r w:rsidRPr="000F2D4C">
        <w:t xml:space="preserve"> </w:t>
      </w:r>
      <w:hyperlink r:id="rId80" w:history="1">
        <w:r w:rsidRPr="000F2D4C">
          <w:rPr>
            <w:rStyle w:val="Hyperlink"/>
            <w:i/>
          </w:rPr>
          <w:t>Conducting mixed-method evaluations | Better Evaluation</w:t>
        </w:r>
      </w:hyperlink>
      <w:r w:rsidR="00D16154">
        <w:rPr>
          <w:rStyle w:val="Hyperlink"/>
          <w:i/>
        </w:rPr>
        <w:br/>
      </w:r>
    </w:p>
    <w:p w14:paraId="2E65B641" w14:textId="18A8083C" w:rsidR="00E4076E" w:rsidRPr="000F2D4C" w:rsidRDefault="00432B1D" w:rsidP="00E4076E">
      <w:pPr>
        <w:pStyle w:val="Heading3"/>
      </w:pPr>
      <w:r w:rsidRPr="000F2D4C">
        <w:t>D</w:t>
      </w:r>
      <w:r w:rsidR="005C21B6" w:rsidRPr="000F2D4C">
        <w:t xml:space="preserve">esigning an evaluation that is </w:t>
      </w:r>
      <w:r w:rsidR="00E4076E" w:rsidRPr="000F2D4C">
        <w:t>Culturally safe</w:t>
      </w:r>
    </w:p>
    <w:p w14:paraId="0F0DAF63" w14:textId="63B3BB1F" w:rsidR="00E4076E" w:rsidRPr="000F2D4C" w:rsidRDefault="00E4076E" w:rsidP="00E4076E">
      <w:pPr>
        <w:rPr>
          <w:rFonts w:asciiTheme="majorHAnsi" w:hAnsiTheme="majorHAnsi" w:cstheme="majorBidi"/>
        </w:rPr>
      </w:pPr>
      <w:r w:rsidRPr="000F2D4C">
        <w:rPr>
          <w:rFonts w:asciiTheme="majorHAnsi" w:hAnsiTheme="majorHAnsi" w:cstheme="majorBidi"/>
        </w:rPr>
        <w:t xml:space="preserve">It is important that evaluation is culturally safe for Aboriginal and Torres Strait Islander communities. </w:t>
      </w:r>
    </w:p>
    <w:p w14:paraId="1B0E1F4A" w14:textId="7C215191" w:rsidR="00E4076E" w:rsidRPr="000F2D4C" w:rsidRDefault="00E4076E" w:rsidP="01A28B85">
      <w:pPr>
        <w:rPr>
          <w:rFonts w:asciiTheme="majorHAnsi" w:hAnsiTheme="majorHAnsi" w:cstheme="majorBidi"/>
        </w:rPr>
      </w:pPr>
      <w:r w:rsidRPr="000F2D4C">
        <w:rPr>
          <w:rFonts w:asciiTheme="majorHAnsi" w:hAnsiTheme="majorHAnsi" w:cstheme="majorBidi"/>
        </w:rPr>
        <w:t>The Productivity Commission’s Indigenous Evaluation Strategy</w:t>
      </w:r>
      <w:r w:rsidRPr="000F2D4C">
        <w:rPr>
          <w:rStyle w:val="FootnoteReference"/>
          <w:rFonts w:asciiTheme="majorHAnsi" w:hAnsiTheme="majorHAnsi" w:cstheme="majorBidi"/>
        </w:rPr>
        <w:footnoteReference w:id="23"/>
      </w:r>
      <w:r w:rsidRPr="000F2D4C">
        <w:rPr>
          <w:rFonts w:asciiTheme="majorHAnsi" w:hAnsiTheme="majorHAnsi" w:cstheme="majorBidi"/>
        </w:rPr>
        <w:t xml:space="preserve"> for evaluations of policies and programs affecting Aboriginal and Torres Strait Islander people</w:t>
      </w:r>
      <w:r w:rsidR="74222131" w:rsidRPr="000F2D4C">
        <w:rPr>
          <w:rFonts w:asciiTheme="majorHAnsi" w:hAnsiTheme="majorHAnsi" w:cstheme="majorBidi"/>
        </w:rPr>
        <w:t>,</w:t>
      </w:r>
      <w:r w:rsidRPr="000F2D4C">
        <w:rPr>
          <w:rFonts w:asciiTheme="majorHAnsi" w:hAnsiTheme="majorHAnsi" w:cstheme="majorBidi"/>
        </w:rPr>
        <w:t xml:space="preserve"> specifies that:</w:t>
      </w:r>
    </w:p>
    <w:p w14:paraId="07D327D0" w14:textId="48F850BC" w:rsidR="00E4076E" w:rsidRPr="000F2D4C" w:rsidRDefault="00E4076E" w:rsidP="00E4076E">
      <w:pPr>
        <w:pStyle w:val="ListBullet"/>
      </w:pPr>
      <w:r w:rsidRPr="000F2D4C">
        <w:t xml:space="preserve">evaluations </w:t>
      </w:r>
      <w:r w:rsidR="009C6489" w:rsidRPr="000F2D4C">
        <w:t>be</w:t>
      </w:r>
      <w:r w:rsidRPr="000F2D4C">
        <w:t xml:space="preserve"> undertaken in the areas, and address the issues, that are most important to Aboriginal and Torres Strait Islander people</w:t>
      </w:r>
    </w:p>
    <w:p w14:paraId="4AAB0671" w14:textId="77777777" w:rsidR="00E4076E" w:rsidRPr="000F2D4C" w:rsidRDefault="00E4076E" w:rsidP="00E4076E">
      <w:pPr>
        <w:pStyle w:val="ListBullet"/>
      </w:pPr>
      <w:r w:rsidRPr="000F2D4C">
        <w:t>Australian Government agencies routinely consider the impacts of mainstream policies and programs on Aboriginal and Torres Strait Islander people</w:t>
      </w:r>
    </w:p>
    <w:p w14:paraId="1E22F984" w14:textId="316C3D32" w:rsidR="00E4076E" w:rsidRPr="000F2D4C" w:rsidRDefault="00E4076E" w:rsidP="00E4076E">
      <w:pPr>
        <w:pStyle w:val="ListBullet"/>
      </w:pPr>
      <w:r w:rsidRPr="000F2D4C">
        <w:t>Aboriginal and Torres Strait Islander people, organisations</w:t>
      </w:r>
      <w:r w:rsidR="3E54EEF6" w:rsidRPr="000F2D4C">
        <w:t>,</w:t>
      </w:r>
      <w:r w:rsidRPr="000F2D4C">
        <w:t xml:space="preserve"> and communities have the opportunity to decide how they want to be involved in evaluations</w:t>
      </w:r>
    </w:p>
    <w:p w14:paraId="3ECAF5F9" w14:textId="10E5C2AB" w:rsidR="00E4076E" w:rsidRPr="000F2D4C" w:rsidRDefault="00E4076E" w:rsidP="00E4076E">
      <w:pPr>
        <w:pStyle w:val="ListBullet"/>
      </w:pPr>
      <w:r w:rsidRPr="000F2D4C">
        <w:t xml:space="preserve">non-Indigenous evaluators have the necessary knowledge, </w:t>
      </w:r>
      <w:r w:rsidR="008C2C56" w:rsidRPr="000F2D4C">
        <w:t xml:space="preserve">skills, </w:t>
      </w:r>
      <w:r w:rsidRPr="000F2D4C">
        <w:t>experience</w:t>
      </w:r>
      <w:r w:rsidR="6F16FEF4" w:rsidRPr="000F2D4C">
        <w:t>,</w:t>
      </w:r>
      <w:r w:rsidRPr="000F2D4C">
        <w:t xml:space="preserve"> and awareness of their own biases to work in partnership with, and to draw on the knowledges of, Aboriginal and Torres Strait</w:t>
      </w:r>
      <w:r w:rsidR="008C2C56" w:rsidRPr="000F2D4C">
        <w:t xml:space="preserve"> </w:t>
      </w:r>
      <w:r w:rsidR="00865C75" w:rsidRPr="000F2D4C">
        <w:t>Islander people</w:t>
      </w:r>
    </w:p>
    <w:p w14:paraId="0B4B3411" w14:textId="539C8A65" w:rsidR="00E4076E" w:rsidRPr="000F2D4C" w:rsidRDefault="00105F21" w:rsidP="00E4076E">
      <w:pPr>
        <w:pStyle w:val="ListBullet"/>
        <w:spacing w:after="240"/>
      </w:pPr>
      <w:r w:rsidRPr="000F2D4C">
        <w:t>e</w:t>
      </w:r>
      <w:r w:rsidR="00E4076E" w:rsidRPr="000F2D4C">
        <w:t>valuation processes strengthen and support the evaluation capability of Aboriginal and Torres Strait Islander people.</w:t>
      </w:r>
    </w:p>
    <w:p w14:paraId="5F192526" w14:textId="4EE12CA8" w:rsidR="00E4076E" w:rsidRPr="000F2D4C" w:rsidRDefault="00E4076E" w:rsidP="00E4076E">
      <w:pPr>
        <w:rPr>
          <w:rStyle w:val="field-content"/>
        </w:rPr>
      </w:pPr>
      <w:r w:rsidRPr="000F2D4C">
        <w:t xml:space="preserve">The </w:t>
      </w:r>
      <w:r w:rsidRPr="000F2D4C">
        <w:rPr>
          <w:i/>
          <w:iCs/>
        </w:rPr>
        <w:t>Solutions th</w:t>
      </w:r>
      <w:r w:rsidR="47BBB728" w:rsidRPr="000F2D4C">
        <w:rPr>
          <w:i/>
          <w:iCs/>
        </w:rPr>
        <w:t>at</w:t>
      </w:r>
      <w:r w:rsidRPr="000F2D4C">
        <w:rPr>
          <w:i/>
          <w:iCs/>
        </w:rPr>
        <w:t xml:space="preserve"> work: What the evidence and our people tell us, </w:t>
      </w:r>
      <w:r w:rsidRPr="000F2D4C">
        <w:t>Aboriginal and Torres Strait Islander Suicide Prevention Evaluation Project Report</w:t>
      </w:r>
      <w:r w:rsidRPr="000F2D4C">
        <w:rPr>
          <w:rStyle w:val="FootnoteReference"/>
          <w:rFonts w:eastAsia="Times New Roman"/>
          <w:i/>
          <w:iCs/>
        </w:rPr>
        <w:footnoteReference w:id="24"/>
      </w:r>
      <w:r w:rsidRPr="000F2D4C">
        <w:t xml:space="preserve"> recommends a framework for evaluating suicide prevention programs in Aboriginal and Torres Strait Islander communities, structured around developing a logic model for the program. It also recommends Participatory Action Research </w:t>
      </w:r>
      <w:r w:rsidR="009E3D0E" w:rsidRPr="000F2D4C">
        <w:t>as one appropriate approach for</w:t>
      </w:r>
      <w:r w:rsidRPr="000F2D4C">
        <w:t xml:space="preserve"> future </w:t>
      </w:r>
      <w:r w:rsidRPr="000F2D4C">
        <w:rPr>
          <w:rStyle w:val="field-content"/>
        </w:rPr>
        <w:t>suicide prevention research in Aboriginal and Torres Strait Islander communities.</w:t>
      </w:r>
      <w:r w:rsidR="009E3D0E" w:rsidRPr="000F2D4C">
        <w:rPr>
          <w:rStyle w:val="field-content"/>
        </w:rPr>
        <w:t xml:space="preserve"> This approach may also be appropriate for suicide prevention and mental health programs more broadly.</w:t>
      </w:r>
    </w:p>
    <w:p w14:paraId="62B30CC0" w14:textId="402A9A58" w:rsidR="00E4076E" w:rsidRPr="000F2D4C" w:rsidRDefault="00E4076E" w:rsidP="00E4076E">
      <w:pPr>
        <w:rPr>
          <w:rStyle w:val="field-content"/>
        </w:rPr>
      </w:pPr>
      <w:r w:rsidRPr="000F2D4C">
        <w:rPr>
          <w:rStyle w:val="field-content"/>
        </w:rPr>
        <w:t>Participatory Action Research is an approach to research that aims to situate power in the research process with those who are most affected by a program. It engages those with a stake in the program – such as staff, people accessing the program</w:t>
      </w:r>
      <w:r w:rsidR="0F556D9B" w:rsidRPr="000F2D4C">
        <w:rPr>
          <w:rStyle w:val="field-content"/>
        </w:rPr>
        <w:t>,</w:t>
      </w:r>
      <w:r w:rsidRPr="000F2D4C">
        <w:rPr>
          <w:rStyle w:val="field-content"/>
        </w:rPr>
        <w:t xml:space="preserve"> and community members – in defining the questions, data collection</w:t>
      </w:r>
      <w:r w:rsidR="63CAA469" w:rsidRPr="000F2D4C">
        <w:rPr>
          <w:rStyle w:val="field-content"/>
        </w:rPr>
        <w:t>,</w:t>
      </w:r>
      <w:r w:rsidRPr="000F2D4C">
        <w:rPr>
          <w:rStyle w:val="field-content"/>
        </w:rPr>
        <w:t xml:space="preserve"> and shaping actions. It is guided by </w:t>
      </w:r>
      <w:r w:rsidRPr="000F2D4C">
        <w:rPr>
          <w:rStyle w:val="field-content"/>
        </w:rPr>
        <w:lastRenderedPageBreak/>
        <w:t>principles of social change, participation, empowerment</w:t>
      </w:r>
      <w:r w:rsidR="4E978D3E" w:rsidRPr="000F2D4C">
        <w:rPr>
          <w:rStyle w:val="field-content"/>
        </w:rPr>
        <w:t>,</w:t>
      </w:r>
      <w:r w:rsidRPr="000F2D4C">
        <w:rPr>
          <w:rStyle w:val="field-content"/>
        </w:rPr>
        <w:t xml:space="preserve"> and collaboration.</w:t>
      </w:r>
      <w:r w:rsidRPr="000F2D4C">
        <w:rPr>
          <w:rStyle w:val="FootnoteReference"/>
        </w:rPr>
        <w:footnoteReference w:id="25"/>
      </w:r>
      <w:r w:rsidRPr="000F2D4C">
        <w:rPr>
          <w:rStyle w:val="field-content"/>
        </w:rPr>
        <w:t xml:space="preserve"> </w:t>
      </w:r>
      <w:r w:rsidR="00692E61" w:rsidRPr="000F2D4C">
        <w:rPr>
          <w:rStyle w:val="FootnoteReference"/>
        </w:rPr>
        <w:footnoteReference w:id="26"/>
      </w:r>
      <w:r w:rsidR="00692E61" w:rsidRPr="000F2D4C">
        <w:rPr>
          <w:rStyle w:val="field-content"/>
        </w:rPr>
        <w:t xml:space="preserve"> </w:t>
      </w:r>
      <w:r w:rsidR="00692E61" w:rsidRPr="000F2D4C">
        <w:rPr>
          <w:rStyle w:val="FootnoteReference"/>
        </w:rPr>
        <w:footnoteReference w:id="27"/>
      </w:r>
      <w:r w:rsidR="0073088C" w:rsidRPr="000F2D4C">
        <w:rPr>
          <w:rStyle w:val="field-content"/>
        </w:rPr>
        <w:t xml:space="preserve"> </w:t>
      </w:r>
      <w:r w:rsidR="0073088C" w:rsidRPr="000F2D4C">
        <w:rPr>
          <w:rStyle w:val="FootnoteReference"/>
        </w:rPr>
        <w:footnoteReference w:id="28"/>
      </w:r>
      <w:r w:rsidRPr="000F2D4C">
        <w:rPr>
          <w:rStyle w:val="field-content"/>
        </w:rPr>
        <w:t xml:space="preserve"> It commonly involves four steps (</w:t>
      </w:r>
      <w:r w:rsidR="002053BA" w:rsidRPr="000F2D4C">
        <w:rPr>
          <w:rStyle w:val="field-content"/>
        </w:rPr>
        <w:t xml:space="preserve">Figure </w:t>
      </w:r>
      <w:r w:rsidR="004E3336" w:rsidRPr="000F2D4C">
        <w:rPr>
          <w:rStyle w:val="field-content"/>
        </w:rPr>
        <w:t>7</w:t>
      </w:r>
      <w:r w:rsidRPr="000F2D4C">
        <w:rPr>
          <w:rStyle w:val="field-content"/>
        </w:rPr>
        <w:t xml:space="preserve"> below), which are used in cycles to support change over time.</w:t>
      </w:r>
    </w:p>
    <w:p w14:paraId="09FD1BD0" w14:textId="77777777" w:rsidR="00E4076E" w:rsidRPr="000F2D4C" w:rsidRDefault="00E4076E" w:rsidP="009E3D0E">
      <w:pPr>
        <w:pStyle w:val="FigureHeading"/>
      </w:pPr>
      <w:r w:rsidRPr="000F2D4C">
        <w:t>The Participatory Action Research cycle</w:t>
      </w:r>
    </w:p>
    <w:p w14:paraId="4E20A9EB" w14:textId="77777777" w:rsidR="00E4076E" w:rsidRPr="000F2D4C" w:rsidRDefault="00E4076E" w:rsidP="00E4076E">
      <w:pPr>
        <w:keepLines/>
        <w:tabs>
          <w:tab w:val="left" w:pos="3466"/>
        </w:tabs>
        <w:rPr>
          <w:rStyle w:val="field-content"/>
        </w:rPr>
      </w:pPr>
      <w:r w:rsidRPr="000F2D4C">
        <w:rPr>
          <w:noProof/>
        </w:rPr>
        <w:drawing>
          <wp:inline distT="0" distB="0" distL="0" distR="0" wp14:anchorId="67786A40" wp14:editId="3C68B05D">
            <wp:extent cx="5219268" cy="2732139"/>
            <wp:effectExtent l="0" t="0" r="0" b="0"/>
            <wp:docPr id="1067494573" name="Picture 1067494573" descr="An infographic showing how the participatory action research cycle grows and develops over time and as the plan improves. The concepts of observe, act, reflect and plan improve with observing outcomes and reality, acting to test improvements, reflecting on gaps and planning for more improv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494573" name="Picture 1067494573" descr="An infographic showing how the participatory action research cycle grows and develops over time and as the plan improves. The concepts of observe, act, reflect and plan improve with observing outcomes and reality, acting to test improvements, reflecting on gaps and planning for more improvements. "/>
                    <pic:cNvPicPr/>
                  </pic:nvPicPr>
                  <pic:blipFill rotWithShape="1">
                    <a:blip r:embed="rId81" cstate="print">
                      <a:extLst>
                        <a:ext uri="{28A0092B-C50C-407E-A947-70E740481C1C}">
                          <a14:useLocalDpi xmlns:a14="http://schemas.microsoft.com/office/drawing/2010/main" val="0"/>
                        </a:ext>
                      </a:extLst>
                    </a:blip>
                    <a:srcRect t="32981" b="30010"/>
                    <a:stretch/>
                  </pic:blipFill>
                  <pic:spPr bwMode="auto">
                    <a:xfrm>
                      <a:off x="0" y="0"/>
                      <a:ext cx="5219700" cy="2732365"/>
                    </a:xfrm>
                    <a:prstGeom prst="rect">
                      <a:avLst/>
                    </a:prstGeom>
                    <a:ln>
                      <a:noFill/>
                    </a:ln>
                    <a:extLst>
                      <a:ext uri="{53640926-AAD7-44D8-BBD7-CCE9431645EC}">
                        <a14:shadowObscured xmlns:a14="http://schemas.microsoft.com/office/drawing/2010/main"/>
                      </a:ext>
                    </a:extLst>
                  </pic:spPr>
                </pic:pic>
              </a:graphicData>
            </a:graphic>
          </wp:inline>
        </w:drawing>
      </w:r>
    </w:p>
    <w:p w14:paraId="56236E6B" w14:textId="25F85124" w:rsidR="00E4076E" w:rsidRPr="000F2D4C" w:rsidRDefault="00E4076E" w:rsidP="00E4076E">
      <w:pPr>
        <w:rPr>
          <w:rStyle w:val="field-content"/>
        </w:rPr>
      </w:pPr>
      <w:r w:rsidRPr="000F2D4C">
        <w:rPr>
          <w:rStyle w:val="field-content"/>
        </w:rPr>
        <w:t>Participatory Action Research shares some qualities with developmental evaluation and empowerment evaluation approaches, discussed in section 6.1</w:t>
      </w:r>
      <w:r w:rsidR="006F3037" w:rsidRPr="000F2D4C">
        <w:rPr>
          <w:rStyle w:val="field-content"/>
        </w:rPr>
        <w:t xml:space="preserve"> and 6.2</w:t>
      </w:r>
      <w:r w:rsidRPr="000F2D4C">
        <w:rPr>
          <w:rStyle w:val="field-content"/>
        </w:rPr>
        <w:t xml:space="preserve">. </w:t>
      </w:r>
      <w:r w:rsidR="00BB56E5" w:rsidRPr="000F2D4C">
        <w:rPr>
          <w:rStyle w:val="field-content"/>
        </w:rPr>
        <w:t xml:space="preserve">Table 4 below </w:t>
      </w:r>
      <w:r w:rsidRPr="000F2D4C">
        <w:rPr>
          <w:rStyle w:val="field-content"/>
        </w:rPr>
        <w:t>identifies advantages and disadvantages of the approach</w:t>
      </w:r>
      <w:r w:rsidR="6388E803" w:rsidRPr="000F2D4C">
        <w:rPr>
          <w:rStyle w:val="field-content"/>
        </w:rPr>
        <w:t>,</w:t>
      </w:r>
      <w:r w:rsidRPr="000F2D4C">
        <w:rPr>
          <w:rStyle w:val="field-content"/>
        </w:rPr>
        <w:t xml:space="preserve"> and considerations for when it is appropriate.</w:t>
      </w:r>
    </w:p>
    <w:p w14:paraId="284FD4BE" w14:textId="77777777" w:rsidR="00E4076E" w:rsidRPr="000F2D4C" w:rsidRDefault="00E4076E" w:rsidP="009E3D0E">
      <w:pPr>
        <w:pStyle w:val="TableHeading"/>
        <w:keepNext/>
        <w:keepLines/>
        <w:rPr>
          <w:rStyle w:val="field-content"/>
        </w:rPr>
      </w:pPr>
      <w:r w:rsidRPr="000F2D4C">
        <w:rPr>
          <w:rStyle w:val="field-content"/>
        </w:rPr>
        <w:lastRenderedPageBreak/>
        <w:t>Considerations for the use of Participatory Action Research</w:t>
      </w:r>
    </w:p>
    <w:tbl>
      <w:tblPr>
        <w:tblStyle w:val="ARTDTable"/>
        <w:tblW w:w="0" w:type="auto"/>
        <w:tblLook w:val="04A0" w:firstRow="1" w:lastRow="0" w:firstColumn="1" w:lastColumn="0" w:noHBand="0" w:noVBand="1"/>
      </w:tblPr>
      <w:tblGrid>
        <w:gridCol w:w="2637"/>
        <w:gridCol w:w="2551"/>
        <w:gridCol w:w="2975"/>
      </w:tblGrid>
      <w:tr w:rsidR="00E4076E" w:rsidRPr="000F2D4C" w14:paraId="4C28DEBA" w14:textId="77777777" w:rsidTr="00D16154">
        <w:trPr>
          <w:cnfStyle w:val="100000000000" w:firstRow="1" w:lastRow="0" w:firstColumn="0" w:lastColumn="0" w:oddVBand="0" w:evenVBand="0" w:oddHBand="0" w:evenHBand="0" w:firstRowFirstColumn="0" w:firstRowLastColumn="0" w:lastRowFirstColumn="0" w:lastRowLastColumn="0"/>
        </w:trPr>
        <w:tc>
          <w:tcPr>
            <w:tcW w:w="2637" w:type="dxa"/>
          </w:tcPr>
          <w:p w14:paraId="19A136A5" w14:textId="77777777" w:rsidR="00E4076E" w:rsidRPr="000F2D4C" w:rsidRDefault="00E4076E" w:rsidP="009E3D0E">
            <w:pPr>
              <w:pStyle w:val="Tablecolumnheading"/>
              <w:keepNext/>
              <w:keepLines/>
              <w:rPr>
                <w:rStyle w:val="field-content"/>
              </w:rPr>
            </w:pPr>
            <w:r w:rsidRPr="000F2D4C">
              <w:rPr>
                <w:rStyle w:val="field-content"/>
              </w:rPr>
              <w:t>Advantages</w:t>
            </w:r>
          </w:p>
        </w:tc>
        <w:tc>
          <w:tcPr>
            <w:tcW w:w="2551" w:type="dxa"/>
          </w:tcPr>
          <w:p w14:paraId="58BA2591" w14:textId="77777777" w:rsidR="00E4076E" w:rsidRPr="000F2D4C" w:rsidRDefault="00E4076E" w:rsidP="009E3D0E">
            <w:pPr>
              <w:pStyle w:val="Tablecolumnheading"/>
              <w:keepNext/>
              <w:keepLines/>
              <w:rPr>
                <w:rStyle w:val="field-content"/>
              </w:rPr>
            </w:pPr>
            <w:r w:rsidRPr="000F2D4C">
              <w:rPr>
                <w:rStyle w:val="field-content"/>
              </w:rPr>
              <w:t>Disadvantages</w:t>
            </w:r>
          </w:p>
        </w:tc>
        <w:tc>
          <w:tcPr>
            <w:tcW w:w="2975" w:type="dxa"/>
          </w:tcPr>
          <w:p w14:paraId="78400C68" w14:textId="77777777" w:rsidR="00E4076E" w:rsidRPr="000F2D4C" w:rsidRDefault="00E4076E" w:rsidP="009E3D0E">
            <w:pPr>
              <w:pStyle w:val="Tablecolumnheading"/>
              <w:keepNext/>
              <w:keepLines/>
              <w:rPr>
                <w:rStyle w:val="field-content"/>
              </w:rPr>
            </w:pPr>
            <w:r w:rsidRPr="000F2D4C">
              <w:rPr>
                <w:rStyle w:val="field-content"/>
              </w:rPr>
              <w:t>Considerations for when it is appropriate to use</w:t>
            </w:r>
          </w:p>
        </w:tc>
      </w:tr>
      <w:tr w:rsidR="00E4076E" w:rsidRPr="000F2D4C" w14:paraId="4BA821F2" w14:textId="77777777" w:rsidTr="00D16154">
        <w:trPr>
          <w:cnfStyle w:val="000000100000" w:firstRow="0" w:lastRow="0" w:firstColumn="0" w:lastColumn="0" w:oddVBand="0" w:evenVBand="0" w:oddHBand="1" w:evenHBand="0" w:firstRowFirstColumn="0" w:firstRowLastColumn="0" w:lastRowFirstColumn="0" w:lastRowLastColumn="0"/>
        </w:trPr>
        <w:tc>
          <w:tcPr>
            <w:tcW w:w="2637" w:type="dxa"/>
          </w:tcPr>
          <w:p w14:paraId="56F5639B" w14:textId="77777777" w:rsidR="00E4076E" w:rsidRPr="000F2D4C" w:rsidRDefault="00E4076E" w:rsidP="009E3D0E">
            <w:pPr>
              <w:pStyle w:val="Tablebullet"/>
              <w:keepNext/>
              <w:keepLines/>
              <w:rPr>
                <w:rStyle w:val="field-content"/>
              </w:rPr>
            </w:pPr>
            <w:r w:rsidRPr="000F2D4C">
              <w:rPr>
                <w:rStyle w:val="field-content"/>
              </w:rPr>
              <w:t>Centres Aboriginal and Torres Strait Islander leadership</w:t>
            </w:r>
          </w:p>
          <w:p w14:paraId="1EFB0994" w14:textId="0B2204A2" w:rsidR="00E4076E" w:rsidRPr="000F2D4C" w:rsidRDefault="00E4076E" w:rsidP="009E3D0E">
            <w:pPr>
              <w:pStyle w:val="Tablebullet"/>
              <w:keepNext/>
              <w:keepLines/>
              <w:rPr>
                <w:rStyle w:val="field-content"/>
              </w:rPr>
            </w:pPr>
            <w:r w:rsidRPr="000F2D4C">
              <w:rPr>
                <w:rStyle w:val="field-content"/>
              </w:rPr>
              <w:t>Increases depth and understanding of issues, increasing relevance and reducing potential for misunderstanding</w:t>
            </w:r>
          </w:p>
          <w:p w14:paraId="1FAB2532" w14:textId="77777777" w:rsidR="00E4076E" w:rsidRPr="000F2D4C" w:rsidRDefault="00E4076E" w:rsidP="009E3D0E">
            <w:pPr>
              <w:pStyle w:val="Tablebullet"/>
              <w:keepNext/>
              <w:keepLines/>
              <w:rPr>
                <w:rStyle w:val="field-content"/>
              </w:rPr>
            </w:pPr>
            <w:r w:rsidRPr="000F2D4C">
              <w:rPr>
                <w:rStyle w:val="field-content"/>
              </w:rPr>
              <w:t>Increases community ownership and use of findings</w:t>
            </w:r>
          </w:p>
          <w:p w14:paraId="03BEAC03" w14:textId="77777777" w:rsidR="00E4076E" w:rsidRPr="000F2D4C" w:rsidRDefault="00E4076E" w:rsidP="009E3D0E">
            <w:pPr>
              <w:pStyle w:val="Tablebullet"/>
              <w:keepNext/>
              <w:keepLines/>
              <w:rPr>
                <w:rStyle w:val="field-content"/>
              </w:rPr>
            </w:pPr>
            <w:r w:rsidRPr="000F2D4C">
              <w:rPr>
                <w:rStyle w:val="field-content"/>
              </w:rPr>
              <w:t>Can help to overcome logistical barriers to data collection</w:t>
            </w:r>
          </w:p>
          <w:p w14:paraId="44D98F16" w14:textId="77777777" w:rsidR="00E4076E" w:rsidRPr="000F2D4C" w:rsidRDefault="00E4076E" w:rsidP="009E3D0E">
            <w:pPr>
              <w:pStyle w:val="Tablebullet"/>
              <w:keepNext/>
              <w:keepLines/>
              <w:rPr>
                <w:rStyle w:val="field-content"/>
              </w:rPr>
            </w:pPr>
            <w:r w:rsidRPr="000F2D4C">
              <w:rPr>
                <w:rStyle w:val="field-content"/>
              </w:rPr>
              <w:t>Draws on stakeholder knowledge to help improve the program</w:t>
            </w:r>
          </w:p>
        </w:tc>
        <w:tc>
          <w:tcPr>
            <w:tcW w:w="2551" w:type="dxa"/>
          </w:tcPr>
          <w:p w14:paraId="695307F8" w14:textId="77777777" w:rsidR="00E4076E" w:rsidRPr="000F2D4C" w:rsidRDefault="00E4076E" w:rsidP="009E3D0E">
            <w:pPr>
              <w:pStyle w:val="Tablebullet"/>
              <w:keepNext/>
              <w:keepLines/>
              <w:rPr>
                <w:rStyle w:val="field-content"/>
              </w:rPr>
            </w:pPr>
            <w:r w:rsidRPr="000F2D4C">
              <w:rPr>
                <w:rStyle w:val="field-content"/>
              </w:rPr>
              <w:t>The stakeholders involved may not represent all stakeholder interests</w:t>
            </w:r>
          </w:p>
          <w:p w14:paraId="3165B226" w14:textId="72F17BF6" w:rsidR="00E4076E" w:rsidRPr="000F2D4C" w:rsidRDefault="00E4076E" w:rsidP="009E3D0E">
            <w:pPr>
              <w:pStyle w:val="Tablebullet"/>
              <w:keepNext/>
              <w:keepLines/>
              <w:rPr>
                <w:rStyle w:val="field-content"/>
              </w:rPr>
            </w:pPr>
            <w:r w:rsidRPr="000F2D4C">
              <w:rPr>
                <w:rStyle w:val="field-content"/>
              </w:rPr>
              <w:t>Can be more time</w:t>
            </w:r>
            <w:r w:rsidR="5632DAD4" w:rsidRPr="000F2D4C">
              <w:rPr>
                <w:rStyle w:val="field-content"/>
              </w:rPr>
              <w:t>-</w:t>
            </w:r>
            <w:r w:rsidRPr="000F2D4C">
              <w:rPr>
                <w:rStyle w:val="field-content"/>
              </w:rPr>
              <w:t xml:space="preserve"> consuming </w:t>
            </w:r>
          </w:p>
          <w:p w14:paraId="25703BB7" w14:textId="77777777" w:rsidR="00E4076E" w:rsidRPr="000F2D4C" w:rsidRDefault="00E4076E" w:rsidP="009E3D0E">
            <w:pPr>
              <w:pStyle w:val="Tablebullet"/>
              <w:keepNext/>
              <w:keepLines/>
              <w:rPr>
                <w:rStyle w:val="field-content"/>
              </w:rPr>
            </w:pPr>
            <w:r w:rsidRPr="000F2D4C">
              <w:rPr>
                <w:rStyle w:val="field-content"/>
              </w:rPr>
              <w:t xml:space="preserve">Can be susceptible to researcher bias </w:t>
            </w:r>
          </w:p>
          <w:p w14:paraId="5DAFA223" w14:textId="77777777" w:rsidR="00E4076E" w:rsidRPr="000F2D4C" w:rsidRDefault="00E4076E" w:rsidP="009E3D0E">
            <w:pPr>
              <w:pStyle w:val="Tablebullet"/>
              <w:keepNext/>
              <w:keepLines/>
              <w:rPr>
                <w:rStyle w:val="field-content"/>
              </w:rPr>
            </w:pPr>
            <w:r w:rsidRPr="000F2D4C">
              <w:rPr>
                <w:rStyle w:val="field-content"/>
              </w:rPr>
              <w:t>Not as well recognised as quantitative approaches</w:t>
            </w:r>
          </w:p>
          <w:p w14:paraId="35EBFD92" w14:textId="0465A53C" w:rsidR="00E4076E" w:rsidRPr="000F2D4C" w:rsidRDefault="00E4076E" w:rsidP="009E3D0E">
            <w:pPr>
              <w:pStyle w:val="Tablebullet"/>
              <w:keepNext/>
              <w:keepLines/>
              <w:rPr>
                <w:rStyle w:val="field-content"/>
              </w:rPr>
            </w:pPr>
            <w:r w:rsidRPr="000F2D4C">
              <w:rPr>
                <w:rStyle w:val="field-content"/>
              </w:rPr>
              <w:t xml:space="preserve">Can produce a lot of data that </w:t>
            </w:r>
            <w:r w:rsidR="00653F0F" w:rsidRPr="000F2D4C">
              <w:rPr>
                <w:rStyle w:val="field-content"/>
              </w:rPr>
              <w:t xml:space="preserve">may </w:t>
            </w:r>
            <w:r w:rsidRPr="000F2D4C">
              <w:rPr>
                <w:rStyle w:val="field-content"/>
              </w:rPr>
              <w:t>be difficult to manage</w:t>
            </w:r>
          </w:p>
        </w:tc>
        <w:tc>
          <w:tcPr>
            <w:tcW w:w="2975" w:type="dxa"/>
          </w:tcPr>
          <w:p w14:paraId="396B903F" w14:textId="5AE78E02" w:rsidR="00E4076E" w:rsidRPr="000F2D4C" w:rsidRDefault="00E4076E" w:rsidP="009E3D0E">
            <w:pPr>
              <w:pStyle w:val="Tablebullet"/>
              <w:keepNext/>
              <w:keepLines/>
              <w:rPr>
                <w:rStyle w:val="field-content"/>
              </w:rPr>
            </w:pPr>
            <w:r w:rsidRPr="000F2D4C">
              <w:rPr>
                <w:rStyle w:val="field-content"/>
              </w:rPr>
              <w:t>Requires community leadership and interest in leading the process</w:t>
            </w:r>
            <w:r w:rsidR="216167A5" w:rsidRPr="000F2D4C">
              <w:rPr>
                <w:rStyle w:val="field-content"/>
              </w:rPr>
              <w:t>,</w:t>
            </w:r>
            <w:r w:rsidRPr="000F2D4C">
              <w:rPr>
                <w:rStyle w:val="field-content"/>
              </w:rPr>
              <w:t xml:space="preserve"> not just using the findings</w:t>
            </w:r>
          </w:p>
          <w:p w14:paraId="6E89A24A" w14:textId="77777777" w:rsidR="00E4076E" w:rsidRPr="000F2D4C" w:rsidRDefault="00E4076E" w:rsidP="009E3D0E">
            <w:pPr>
              <w:pStyle w:val="Tablebullet"/>
              <w:keepNext/>
              <w:keepLines/>
              <w:rPr>
                <w:rStyle w:val="field-content"/>
              </w:rPr>
            </w:pPr>
            <w:r w:rsidRPr="000F2D4C">
              <w:rPr>
                <w:rStyle w:val="field-content"/>
              </w:rPr>
              <w:t>Useful for a program in development, where stakeholders may have already identified opportunities for improvement</w:t>
            </w:r>
          </w:p>
          <w:p w14:paraId="3123F62E" w14:textId="12286074" w:rsidR="00E4076E" w:rsidRPr="000F2D4C" w:rsidRDefault="00E4076E" w:rsidP="009E3D0E">
            <w:pPr>
              <w:pStyle w:val="Tablebullet"/>
              <w:keepNext/>
              <w:keepLines/>
              <w:rPr>
                <w:rStyle w:val="field-content"/>
              </w:rPr>
            </w:pPr>
            <w:r w:rsidRPr="000F2D4C">
              <w:rPr>
                <w:rStyle w:val="field-content"/>
              </w:rPr>
              <w:t>May not be appropriate where more technical research methods are needed</w:t>
            </w:r>
            <w:r w:rsidR="6AB34E15" w:rsidRPr="000F2D4C">
              <w:rPr>
                <w:rStyle w:val="field-content"/>
              </w:rPr>
              <w:t>,</w:t>
            </w:r>
            <w:r w:rsidRPr="000F2D4C">
              <w:rPr>
                <w:rStyle w:val="field-content"/>
              </w:rPr>
              <w:t xml:space="preserve"> or </w:t>
            </w:r>
            <w:r w:rsidR="33AB891B" w:rsidRPr="000F2D4C">
              <w:rPr>
                <w:rStyle w:val="field-content"/>
              </w:rPr>
              <w:t xml:space="preserve">independence is </w:t>
            </w:r>
            <w:r w:rsidRPr="000F2D4C">
              <w:rPr>
                <w:rStyle w:val="field-content"/>
              </w:rPr>
              <w:t>required to give credibility to evaluation findings</w:t>
            </w:r>
          </w:p>
        </w:tc>
      </w:tr>
    </w:tbl>
    <w:p w14:paraId="0C2B1596" w14:textId="5ECC7F57" w:rsidR="00E4076E" w:rsidRPr="000F2D4C" w:rsidRDefault="00E4076E" w:rsidP="00E4076E">
      <w:pPr>
        <w:pStyle w:val="Notes"/>
      </w:pPr>
      <w:r w:rsidRPr="000F2D4C">
        <w:rPr>
          <w:rStyle w:val="field-content"/>
        </w:rPr>
        <w:t xml:space="preserve">Source: </w:t>
      </w:r>
      <w:r w:rsidR="00F46094" w:rsidRPr="000F2D4C">
        <w:t xml:space="preserve">Rosier, K., Lohoar, S., Moore, S. &amp; Robinson, E. (2015). </w:t>
      </w:r>
      <w:hyperlink r:id="rId82" w:history="1">
        <w:r w:rsidR="00F46094" w:rsidRPr="000F2D4C">
          <w:rPr>
            <w:rStyle w:val="Hyperlink"/>
          </w:rPr>
          <w:t>Participatory Action Research.</w:t>
        </w:r>
      </w:hyperlink>
      <w:r w:rsidR="00F46094" w:rsidRPr="000F2D4C">
        <w:t xml:space="preserve"> Australian Institute of Family Studies.</w:t>
      </w:r>
    </w:p>
    <w:p w14:paraId="74B4FB67" w14:textId="413D4C54" w:rsidR="00C23EFA" w:rsidRPr="000F2D4C" w:rsidRDefault="00C23EFA" w:rsidP="00C23EFA">
      <w:pPr>
        <w:pStyle w:val="Heading3"/>
      </w:pPr>
      <w:r w:rsidRPr="000F2D4C">
        <w:t xml:space="preserve">Evaluating peer work </w:t>
      </w:r>
    </w:p>
    <w:p w14:paraId="67ADFEB6" w14:textId="7BD779F8" w:rsidR="00CB0D81" w:rsidRPr="000F2D4C" w:rsidRDefault="00CB0D81" w:rsidP="00CB0D81">
      <w:r w:rsidRPr="000F2D4C">
        <w:t xml:space="preserve">Limitations of traditional evaluation approaches </w:t>
      </w:r>
      <w:r w:rsidR="00A46B83" w:rsidRPr="000F2D4C">
        <w:t xml:space="preserve">– </w:t>
      </w:r>
      <w:r w:rsidR="005D5C3A" w:rsidRPr="000F2D4C">
        <w:t xml:space="preserve">evaluations </w:t>
      </w:r>
      <w:r w:rsidR="00A46B83" w:rsidRPr="000F2D4C">
        <w:t>focused on linear cause and effect relationships –</w:t>
      </w:r>
      <w:r w:rsidRPr="000F2D4C">
        <w:t xml:space="preserve"> have been identified for evaluating peer work</w:t>
      </w:r>
      <w:r w:rsidR="00CD7255" w:rsidRPr="000F2D4C">
        <w:t xml:space="preserve"> </w:t>
      </w:r>
      <w:r w:rsidR="00A46B83" w:rsidRPr="000F2D4C">
        <w:t>for a range of reasons. This includes</w:t>
      </w:r>
      <w:r w:rsidR="00CD7255" w:rsidRPr="000F2D4C">
        <w:t xml:space="preserve"> the focus on supporting personal recovery</w:t>
      </w:r>
      <w:r w:rsidR="00A5750E" w:rsidRPr="000F2D4C">
        <w:t xml:space="preserve">, which might not </w:t>
      </w:r>
      <w:r w:rsidR="003E2ACC" w:rsidRPr="000F2D4C">
        <w:t>align with typical outcome measures, such as avoidance of health services or reduction in healthcare costs</w:t>
      </w:r>
      <w:r w:rsidR="00A46B83" w:rsidRPr="000F2D4C">
        <w:t>, as well as the challenges peer workers</w:t>
      </w:r>
      <w:r w:rsidR="001A0C63" w:rsidRPr="000F2D4C">
        <w:t xml:space="preserve"> can experience working in biomedically oriented systems</w:t>
      </w:r>
      <w:r w:rsidR="00CA6160" w:rsidRPr="000F2D4C">
        <w:t xml:space="preserve">. </w:t>
      </w:r>
    </w:p>
    <w:p w14:paraId="0409AB84" w14:textId="770223D0" w:rsidR="00CA6160" w:rsidRPr="000F2D4C" w:rsidRDefault="00CA6160" w:rsidP="00CA6160">
      <w:r w:rsidRPr="000F2D4C">
        <w:t>Towards a Meaningful Evaluation Framework for Peer Work</w:t>
      </w:r>
      <w:r w:rsidR="00080671" w:rsidRPr="000F2D4C">
        <w:t xml:space="preserve"> from the Centre for Social Justice and Inclusion at the University of Technology Sydney </w:t>
      </w:r>
      <w:r w:rsidR="00A946B3" w:rsidRPr="000F2D4C">
        <w:t>proposes a focus on</w:t>
      </w:r>
      <w:r w:rsidR="000678A9" w:rsidRPr="000F2D4C">
        <w:t xml:space="preserve"> the following drawing on the Map of Meaning</w:t>
      </w:r>
      <w:r w:rsidR="00370EC5" w:rsidRPr="000F2D4C">
        <w:t>.</w:t>
      </w:r>
      <w:r w:rsidR="00370EC5" w:rsidRPr="000F2D4C">
        <w:rPr>
          <w:rStyle w:val="FootnoteReference"/>
        </w:rPr>
        <w:footnoteReference w:id="29"/>
      </w:r>
    </w:p>
    <w:p w14:paraId="13B96D28" w14:textId="7FF95D9E" w:rsidR="000678A9" w:rsidRPr="000F2D4C" w:rsidRDefault="00F25A4C" w:rsidP="00AF1EAF">
      <w:pPr>
        <w:pStyle w:val="ListBullet"/>
      </w:pPr>
      <w:r w:rsidRPr="000F2D4C">
        <w:t>Reflect:</w:t>
      </w:r>
      <w:r w:rsidR="000678A9" w:rsidRPr="000F2D4C">
        <w:t xml:space="preserve"> Developing the inner self, </w:t>
      </w:r>
      <w:r w:rsidRPr="000F2D4C">
        <w:t xml:space="preserve">including </w:t>
      </w:r>
      <w:r w:rsidR="000678A9" w:rsidRPr="000F2D4C">
        <w:t xml:space="preserve"> moral development, personal growth, or an authentic self</w:t>
      </w:r>
    </w:p>
    <w:p w14:paraId="58C2795B" w14:textId="3AACF749" w:rsidR="000678A9" w:rsidRPr="000F2D4C" w:rsidRDefault="00F25A4C" w:rsidP="00AF1EAF">
      <w:pPr>
        <w:pStyle w:val="ListBullet"/>
      </w:pPr>
      <w:r w:rsidRPr="000F2D4C">
        <w:t>Connect: C</w:t>
      </w:r>
      <w:r w:rsidR="000678A9" w:rsidRPr="000F2D4C">
        <w:t>reat</w:t>
      </w:r>
      <w:r w:rsidRPr="000F2D4C">
        <w:t>ing</w:t>
      </w:r>
      <w:r w:rsidR="000678A9" w:rsidRPr="000F2D4C">
        <w:t xml:space="preserve"> a sense of connection</w:t>
      </w:r>
      <w:r w:rsidRPr="000F2D4C">
        <w:t>, belonging and solidarity across intersections of identity</w:t>
      </w:r>
    </w:p>
    <w:p w14:paraId="711929BC" w14:textId="44D023B3" w:rsidR="000678A9" w:rsidRPr="000F2D4C" w:rsidRDefault="005B38E5" w:rsidP="00AF1EAF">
      <w:pPr>
        <w:pStyle w:val="ListBullet"/>
      </w:pPr>
      <w:r w:rsidRPr="000F2D4C">
        <w:t>Respect:</w:t>
      </w:r>
      <w:r w:rsidR="00370EC5" w:rsidRPr="000F2D4C">
        <w:t xml:space="preserve"> </w:t>
      </w:r>
      <w:r w:rsidR="000678A9" w:rsidRPr="000F2D4C">
        <w:t>opportunities to make a difference, and serve other</w:t>
      </w:r>
      <w:r w:rsidRPr="000F2D4C">
        <w:t>s</w:t>
      </w:r>
    </w:p>
    <w:p w14:paraId="28DCDC0F" w14:textId="7336037F" w:rsidR="00A946B3" w:rsidRPr="000F2D4C" w:rsidRDefault="00B44BA9" w:rsidP="00AF1EAF">
      <w:pPr>
        <w:pStyle w:val="ListBullet"/>
      </w:pPr>
      <w:r w:rsidRPr="000F2D4C">
        <w:t>E</w:t>
      </w:r>
      <w:r w:rsidR="000678A9" w:rsidRPr="000F2D4C">
        <w:t>xpres</w:t>
      </w:r>
      <w:r w:rsidRPr="000F2D4C">
        <w:t>s:</w:t>
      </w:r>
      <w:r w:rsidR="000678A9" w:rsidRPr="000F2D4C">
        <w:t xml:space="preserve"> </w:t>
      </w:r>
      <w:r w:rsidRPr="000F2D4C">
        <w:t>Enabling</w:t>
      </w:r>
      <w:r w:rsidR="000678A9" w:rsidRPr="000F2D4C">
        <w:t xml:space="preserve"> people</w:t>
      </w:r>
      <w:r w:rsidR="00370EC5" w:rsidRPr="000F2D4C">
        <w:t xml:space="preserve"> </w:t>
      </w:r>
      <w:r w:rsidR="000678A9" w:rsidRPr="000F2D4C">
        <w:t>to express their potential, and to achieve goals and influence</w:t>
      </w:r>
      <w:r w:rsidR="00370EC5" w:rsidRPr="000F2D4C">
        <w:t xml:space="preserve"> </w:t>
      </w:r>
      <w:r w:rsidR="000678A9" w:rsidRPr="000F2D4C">
        <w:t>others.</w:t>
      </w:r>
    </w:p>
    <w:p w14:paraId="2DED872D" w14:textId="0626DB40" w:rsidR="00DB733E" w:rsidRPr="000F2D4C" w:rsidRDefault="00DB733E" w:rsidP="00AF1EAF">
      <w:r w:rsidRPr="000F2D4C">
        <w:t>This project also emphasises the importance of engaging people with lived and/or living experience in interpreting data.</w:t>
      </w:r>
    </w:p>
    <w:p w14:paraId="06BBD225" w14:textId="555B306B" w:rsidR="000C77F4" w:rsidRPr="000F2D4C" w:rsidRDefault="00D075C9" w:rsidP="007B310D">
      <w:pPr>
        <w:pStyle w:val="Heading1"/>
      </w:pPr>
      <w:bookmarkStart w:id="54" w:name="_Toc149919000"/>
      <w:r w:rsidRPr="000F2D4C">
        <w:lastRenderedPageBreak/>
        <w:t xml:space="preserve">Choosing </w:t>
      </w:r>
      <w:r w:rsidR="005E6A17" w:rsidRPr="000F2D4C">
        <w:t xml:space="preserve">appropriate </w:t>
      </w:r>
      <w:r w:rsidR="00157B9F" w:rsidRPr="000F2D4C">
        <w:t>m</w:t>
      </w:r>
      <w:r w:rsidR="000C77F4" w:rsidRPr="000F2D4C">
        <w:t>ethods and measures</w:t>
      </w:r>
      <w:bookmarkEnd w:id="54"/>
    </w:p>
    <w:p w14:paraId="44D11606" w14:textId="03B0D1DA" w:rsidR="003F08A9" w:rsidRPr="000F2D4C" w:rsidRDefault="003F08A9" w:rsidP="003F08A9">
      <w:pPr>
        <w:pStyle w:val="Heading2"/>
      </w:pPr>
      <w:bookmarkStart w:id="55" w:name="_Toc146031457"/>
      <w:bookmarkStart w:id="56" w:name="_Toc146206784"/>
      <w:bookmarkStart w:id="57" w:name="_Toc149919001"/>
      <w:r w:rsidRPr="000F2D4C">
        <w:t xml:space="preserve">Evaluation </w:t>
      </w:r>
      <w:r w:rsidR="00A70900" w:rsidRPr="000F2D4C">
        <w:t>m</w:t>
      </w:r>
      <w:r w:rsidRPr="000F2D4C">
        <w:t>ethods</w:t>
      </w:r>
      <w:bookmarkEnd w:id="55"/>
      <w:bookmarkEnd w:id="56"/>
      <w:bookmarkEnd w:id="57"/>
    </w:p>
    <w:p w14:paraId="0FFCBA4D" w14:textId="62C3DF5E" w:rsidR="003F08A9" w:rsidRPr="000F2D4C" w:rsidRDefault="003F08A9" w:rsidP="009E3D0E">
      <w:r w:rsidRPr="000F2D4C">
        <w:t xml:space="preserve">Once an appropriate evaluation design has been </w:t>
      </w:r>
      <w:r w:rsidR="009E3D0E" w:rsidRPr="000F2D4C">
        <w:t>identified</w:t>
      </w:r>
      <w:r w:rsidRPr="000F2D4C">
        <w:t xml:space="preserve">, the next step is to </w:t>
      </w:r>
      <w:r w:rsidR="009E3D0E" w:rsidRPr="000F2D4C">
        <w:t>confirm the methods</w:t>
      </w:r>
      <w:r w:rsidR="00A44304" w:rsidRPr="000F2D4C">
        <w:t xml:space="preserve"> and measures</w:t>
      </w:r>
      <w:r w:rsidR="009E3D0E" w:rsidRPr="000F2D4C">
        <w:t xml:space="preserve"> to answer the key evaluation questions</w:t>
      </w:r>
      <w:r w:rsidRPr="000F2D4C">
        <w:t xml:space="preserve">. The methods used in an evaluation will depend on the purpose of the evaluation, existing data, and the available time and resources. To reduce the burden on people accessing the service and </w:t>
      </w:r>
      <w:r w:rsidR="40BE0743" w:rsidRPr="000F2D4C">
        <w:t xml:space="preserve">on </w:t>
      </w:r>
      <w:r w:rsidRPr="000F2D4C">
        <w:t>staff, evaluations should make the most of existing administrative data and use additional data collection to fill gaps in these.</w:t>
      </w:r>
      <w:r w:rsidR="000E0C02" w:rsidRPr="000F2D4C">
        <w:t xml:space="preserve"> </w:t>
      </w:r>
    </w:p>
    <w:p w14:paraId="5EA02B0E" w14:textId="373434B0" w:rsidR="000C77F4" w:rsidRPr="000F2D4C" w:rsidRDefault="00F47382" w:rsidP="009E3D0E">
      <w:r w:rsidRPr="000F2D4C">
        <w:t xml:space="preserve">Figure 8 </w:t>
      </w:r>
      <w:r w:rsidR="000C77F4" w:rsidRPr="000F2D4C">
        <w:t xml:space="preserve">identifies </w:t>
      </w:r>
      <w:r w:rsidR="00A70900" w:rsidRPr="000F2D4C">
        <w:t>key methods for data collection, and considerations for when and how these are used.</w:t>
      </w:r>
    </w:p>
    <w:p w14:paraId="65C3B392" w14:textId="77777777" w:rsidR="003F08A9" w:rsidRPr="000F2D4C" w:rsidRDefault="003F08A9" w:rsidP="003F08A9">
      <w:pPr>
        <w:pStyle w:val="Boxtext0"/>
        <w:shd w:val="clear" w:color="auto" w:fill="auto"/>
      </w:pPr>
    </w:p>
    <w:p w14:paraId="1FCCDDAE" w14:textId="5E81E8CA" w:rsidR="003F08A9" w:rsidRPr="000F2D4C" w:rsidRDefault="003F08A9" w:rsidP="0060796F">
      <w:pPr>
        <w:pStyle w:val="FigureHeading"/>
      </w:pPr>
      <w:r w:rsidRPr="000F2D4C">
        <w:lastRenderedPageBreak/>
        <w:t>Data collection methods and their potential uses</w:t>
      </w:r>
    </w:p>
    <w:p w14:paraId="1161166F" w14:textId="77777777" w:rsidR="003F08A9" w:rsidRPr="000F2D4C" w:rsidRDefault="003F08A9" w:rsidP="009622CD">
      <w:pPr>
        <w:spacing w:after="0" w:line="240" w:lineRule="auto"/>
        <w:jc w:val="center"/>
        <w:rPr>
          <w:rFonts w:ascii="Segoe UI" w:eastAsia="Segoe UI" w:hAnsi="Segoe UI" w:cs="Segoe UI"/>
        </w:rPr>
      </w:pPr>
      <w:r w:rsidRPr="000F2D4C">
        <w:rPr>
          <w:rFonts w:ascii="Segoe UI" w:eastAsia="Segoe UI" w:hAnsi="Segoe UI" w:cs="Segoe UI"/>
          <w:noProof/>
        </w:rPr>
        <w:drawing>
          <wp:inline distT="0" distB="0" distL="0" distR="0" wp14:anchorId="006DA499" wp14:editId="08E5E212">
            <wp:extent cx="5209125" cy="7536180"/>
            <wp:effectExtent l="0" t="0" r="0" b="7620"/>
            <wp:docPr id="113719165" name="Picture 113719165" descr="An infographic that explains the method, how to use it and when to use it. &#10;Method: Desktop research/document review. How to use it: A systematic review of documents, which may include existing published documents, program guidelines and procedures. This may also include a review of existing data. When to use it: Design phase: To gather ideas and evidence when designing an initiative or developing a business case.&#10;Method: Literature review. How to use it: A systematic review of similar programs run in other jurisdictions, reviews or evaluations of similar programs, relevant journal research articles. When to use it: Design phase: To gather ideas and evidence when designing an initiative or developing a business case.&#10;Method: Stakeholder interviews. How to use it: Semi-structured interviews with a range of stakeholders (face-to-face, telephone, or video-conferencing). With permissions, interviews can be audio recorded to enable transcription and improve the accuracy of analysis. When to use it: Design, implementation, and outcomes phase: Stakeholders to be interviewed will be identified when refining the methodology of each evaluation.&#10;Method: Interviews or group interviews. How to use it: Interviews or groups interviews with consumers, families and carers, and service providers will help answer access, appropriateness, and experience questions. When to use it: Implementation and outcomes phase: The details of this will be identified when refining the methodology of each evaluation.&#10;Method: Surveys. How to use it: Surveys are useful to build background and baseline information. Survey design should be structured in order to ask the right questions of the right people to answer your key evaluation questions. When to use it: Implementation and outcomes phase: The details of this will be identified when refining the methodology of each evaluation.&#10;Method: Administrative data, linked data. How to use it: As part of service delivery and to meet contractual requirements, service providers often collect and store client data, including socio-demographic characteristics, health or service needs, referrals made or received, types of services provided and frequency of access, and assessment results. When to use it: Monitoring, implementation, and outcomes phase: This data helps us to understand the people accessing and using a service, the nature of their interactions, and, in some cases, service costs and outcomes. Availability and strategies to ensure completeness of data need to be considered at the design stage.&#10;Method: Case studies or case stories. How to use it: A case study focuses on the experience of a particular person, site, or project. Case studies and case stories can be particularly useful for understanding how different elements fit together and how different elements (implementation, context, and other factors) have produced the observed impacts. When to use it: Implementation and Outcomes phase. Data can be drawn from many sources. It is often in the use of case studies, vignettes and stories that policymakers really understand the experiences of consumers, carers and their families, and the implications for service design and delive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9165" name="Picture 113719165" descr="An infographic that explains the method, how to use it and when to use it. &#10;Method: Desktop research/document review. How to use it: A systematic review of documents, which may include existing published documents, program guidelines and procedures. This may also include a review of existing data. When to use it: Design phase: To gather ideas and evidence when designing an initiative or developing a business case.&#10;Method: Literature review. How to use it: A systematic review of similar programs run in other jurisdictions, reviews or evaluations of similar programs, relevant journal research articles. When to use it: Design phase: To gather ideas and evidence when designing an initiative or developing a business case.&#10;Method: Stakeholder interviews. How to use it: Semi-structured interviews with a range of stakeholders (face-to-face, telephone, or video-conferencing). With permissions, interviews can be audio recorded to enable transcription and improve the accuracy of analysis. When to use it: Design, implementation, and outcomes phase: Stakeholders to be interviewed will be identified when refining the methodology of each evaluation.&#10;Method: Interviews or group interviews. How to use it: Interviews or groups interviews with consumers, families and carers, and service providers will help answer access, appropriateness, and experience questions. When to use it: Implementation and outcomes phase: The details of this will be identified when refining the methodology of each evaluation.&#10;Method: Surveys. How to use it: Surveys are useful to build background and baseline information. Survey design should be structured in order to ask the right questions of the right people to answer your key evaluation questions. When to use it: Implementation and outcomes phase: The details of this will be identified when refining the methodology of each evaluation.&#10;Method: Administrative data, linked data. How to use it: As part of service delivery and to meet contractual requirements, service providers often collect and store client data, including socio-demographic characteristics, health or service needs, referrals made or received, types of services provided and frequency of access, and assessment results. When to use it: Monitoring, implementation, and outcomes phase: This data helps us to understand the people accessing and using a service, the nature of their interactions, and, in some cases, service costs and outcomes. Availability and strategies to ensure completeness of data need to be considered at the design stage.&#10;Method: Case studies or case stories. How to use it: A case study focuses on the experience of a particular person, site, or project. Case studies and case stories can be particularly useful for understanding how different elements fit together and how different elements (implementation, context, and other factors) have produced the observed impacts. When to use it: Implementation and Outcomes phase. Data can be drawn from many sources. It is often in the use of case studies, vignettes and stories that policymakers really understand the experiences of consumers, carers and their families, and the implications for service design and delivery.&#10;"/>
                    <pic:cNvPicPr/>
                  </pic:nvPicPr>
                  <pic:blipFill rotWithShape="1">
                    <a:blip r:embed="rId83">
                      <a:extLst>
                        <a:ext uri="{28A0092B-C50C-407E-A947-70E740481C1C}">
                          <a14:useLocalDpi xmlns:a14="http://schemas.microsoft.com/office/drawing/2010/main" val="0"/>
                        </a:ext>
                      </a:extLst>
                    </a:blip>
                    <a:srcRect l="10559" t="11414" r="10692" b="8039"/>
                    <a:stretch/>
                  </pic:blipFill>
                  <pic:spPr bwMode="auto">
                    <a:xfrm>
                      <a:off x="0" y="0"/>
                      <a:ext cx="5218799" cy="7550176"/>
                    </a:xfrm>
                    <a:prstGeom prst="rect">
                      <a:avLst/>
                    </a:prstGeom>
                    <a:ln>
                      <a:noFill/>
                    </a:ln>
                    <a:extLst>
                      <a:ext uri="{53640926-AAD7-44D8-BBD7-CCE9431645EC}">
                        <a14:shadowObscured xmlns:a14="http://schemas.microsoft.com/office/drawing/2010/main"/>
                      </a:ext>
                    </a:extLst>
                  </pic:spPr>
                </pic:pic>
              </a:graphicData>
            </a:graphic>
          </wp:inline>
        </w:drawing>
      </w:r>
    </w:p>
    <w:p w14:paraId="54A658F8" w14:textId="77777777" w:rsidR="003F08A9" w:rsidRPr="000F2D4C" w:rsidRDefault="003F08A9" w:rsidP="003F08A9">
      <w:pPr>
        <w:spacing w:after="0" w:line="240" w:lineRule="auto"/>
        <w:ind w:left="-851"/>
        <w:jc w:val="both"/>
        <w:rPr>
          <w:rFonts w:ascii="Segoe UI" w:eastAsia="Segoe UI" w:hAnsi="Segoe UI" w:cs="Segoe UI"/>
        </w:rPr>
      </w:pPr>
    </w:p>
    <w:p w14:paraId="3A9B4D02" w14:textId="1F622337" w:rsidR="00A70900" w:rsidRPr="000F2D4C" w:rsidRDefault="00A70900" w:rsidP="00A70900">
      <w:pPr>
        <w:pStyle w:val="Heading2"/>
      </w:pPr>
      <w:bookmarkStart w:id="58" w:name="_Toc149919002"/>
      <w:bookmarkStart w:id="59" w:name="_Toc146031459"/>
      <w:bookmarkStart w:id="60" w:name="_Toc146206795"/>
      <w:r w:rsidRPr="000F2D4C">
        <w:lastRenderedPageBreak/>
        <w:t>Identifying appropriate measures</w:t>
      </w:r>
      <w:bookmarkEnd w:id="58"/>
    </w:p>
    <w:p w14:paraId="659C6CF7" w14:textId="067FBDC1" w:rsidR="00A70900" w:rsidRPr="000F2D4C" w:rsidRDefault="00A70900" w:rsidP="00A70900">
      <w:r w:rsidRPr="000F2D4C">
        <w:t>If evaluation has been considered upfront, and data about the program routinely collected, evaluators will be able to draw on this data for evaluation. The sections below outline typical measures that might be used for each of the focus areas for evaluation of mental health and suicide prevention programs.</w:t>
      </w:r>
    </w:p>
    <w:p w14:paraId="27A9076C" w14:textId="77777777" w:rsidR="000C77F4" w:rsidRPr="000F2D4C" w:rsidRDefault="000C77F4" w:rsidP="000C77F4">
      <w:pPr>
        <w:pStyle w:val="Heading3"/>
      </w:pPr>
      <w:r w:rsidRPr="000F2D4C">
        <w:t>Design measures</w:t>
      </w:r>
    </w:p>
    <w:p w14:paraId="1A8E93DA" w14:textId="77777777" w:rsidR="000C77F4" w:rsidRPr="000F2D4C" w:rsidRDefault="000C77F4" w:rsidP="000C77F4">
      <w:r w:rsidRPr="000F2D4C">
        <w:t>When the focus is on the design of the program, the measures to consider include the need for the program, how it aligns with existing evidence, and the design process.</w:t>
      </w:r>
    </w:p>
    <w:p w14:paraId="6ACACEF6" w14:textId="77777777" w:rsidR="000C77F4" w:rsidRPr="000F2D4C" w:rsidRDefault="000C77F4" w:rsidP="000C77F4">
      <w:pPr>
        <w:pStyle w:val="Heading4"/>
      </w:pPr>
      <w:r w:rsidRPr="000F2D4C">
        <w:t>The needs being addressed</w:t>
      </w:r>
    </w:p>
    <w:p w14:paraId="01729920" w14:textId="48CC300A" w:rsidR="000C77F4" w:rsidRPr="000F2D4C" w:rsidRDefault="000C77F4" w:rsidP="000C77F4">
      <w:r w:rsidRPr="000F2D4C">
        <w:t>To appropriately assess the design, there is a need to understand</w:t>
      </w:r>
      <w:r w:rsidR="00003380" w:rsidRPr="000F2D4C">
        <w:t>:</w:t>
      </w:r>
      <w:r w:rsidRPr="000F2D4C">
        <w:t xml:space="preserve"> </w:t>
      </w:r>
    </w:p>
    <w:p w14:paraId="24690784" w14:textId="3BD7DCD0" w:rsidR="000C77F4" w:rsidRPr="000F2D4C" w:rsidRDefault="00003380" w:rsidP="000C77F4">
      <w:pPr>
        <w:pStyle w:val="ListBullet"/>
      </w:pPr>
      <w:r w:rsidRPr="000F2D4C">
        <w:t>t</w:t>
      </w:r>
      <w:r w:rsidR="000C77F4" w:rsidRPr="000F2D4C">
        <w:t>he particular need to be addressed by the program</w:t>
      </w:r>
    </w:p>
    <w:p w14:paraId="6C5210D8" w14:textId="6D0029C1" w:rsidR="000C77F4" w:rsidRPr="000F2D4C" w:rsidRDefault="00003380" w:rsidP="000C77F4">
      <w:pPr>
        <w:pStyle w:val="ListBullet"/>
      </w:pPr>
      <w:r w:rsidRPr="000F2D4C">
        <w:t>t</w:t>
      </w:r>
      <w:r w:rsidR="000C77F4" w:rsidRPr="000F2D4C">
        <w:t xml:space="preserve">he target group for the program and their needs (which may include evidence from population data about mental health and suicide prevention) </w:t>
      </w:r>
    </w:p>
    <w:p w14:paraId="235D1529" w14:textId="2FAC02AD" w:rsidR="000C77F4" w:rsidRPr="000F2D4C" w:rsidRDefault="00003380" w:rsidP="000C77F4">
      <w:pPr>
        <w:pStyle w:val="ListBullet"/>
      </w:pPr>
      <w:r w:rsidRPr="000F2D4C">
        <w:t>a</w:t>
      </w:r>
      <w:r w:rsidR="000C77F4" w:rsidRPr="000F2D4C">
        <w:t xml:space="preserve">lignment with other existing </w:t>
      </w:r>
      <w:r w:rsidR="005F5F14" w:rsidRPr="000F2D4C">
        <w:t>programs</w:t>
      </w:r>
      <w:r w:rsidRPr="000F2D4C">
        <w:t>.</w:t>
      </w:r>
    </w:p>
    <w:p w14:paraId="45018A4E" w14:textId="77777777" w:rsidR="000C77F4" w:rsidRPr="000F2D4C" w:rsidRDefault="000C77F4" w:rsidP="000C77F4">
      <w:pPr>
        <w:pStyle w:val="Heading4"/>
      </w:pPr>
      <w:r w:rsidRPr="000F2D4C">
        <w:t>How the program aligns with the evidence</w:t>
      </w:r>
    </w:p>
    <w:p w14:paraId="6723A5F4" w14:textId="580D223C" w:rsidR="000C77F4" w:rsidRPr="000F2D4C" w:rsidRDefault="000C77F4" w:rsidP="000C77F4">
      <w:r w:rsidRPr="000F2D4C">
        <w:t xml:space="preserve">Assessment of the design should consider alignment with existing evidence, while noting that this may be more limited for innovative </w:t>
      </w:r>
      <w:r w:rsidR="005F5F14" w:rsidRPr="000F2D4C">
        <w:t>programs</w:t>
      </w:r>
      <w:r w:rsidRPr="000F2D4C">
        <w:t xml:space="preserve"> or initiatives addressing needs in new ways. Evidence should be considered broadly:</w:t>
      </w:r>
    </w:p>
    <w:p w14:paraId="5DA276C1" w14:textId="6D1FECF6" w:rsidR="000C77F4" w:rsidRPr="000F2D4C" w:rsidRDefault="00055CAF" w:rsidP="00FC2CEE">
      <w:pPr>
        <w:pStyle w:val="ListParagraph"/>
        <w:numPr>
          <w:ilvl w:val="0"/>
          <w:numId w:val="42"/>
        </w:numPr>
      </w:pPr>
      <w:r w:rsidRPr="000F2D4C">
        <w:t>h</w:t>
      </w:r>
      <w:r w:rsidR="000C77F4" w:rsidRPr="000F2D4C">
        <w:t>ow the program model aligns with research literature or previous evaluations of similar programs that identify particular program models or core components of programs known to be effective</w:t>
      </w:r>
    </w:p>
    <w:p w14:paraId="3CB2A048" w14:textId="6D20791D" w:rsidR="000C77F4" w:rsidRPr="000F2D4C" w:rsidRDefault="00055CAF" w:rsidP="00FC2CEE">
      <w:pPr>
        <w:pStyle w:val="ListParagraph"/>
        <w:numPr>
          <w:ilvl w:val="0"/>
          <w:numId w:val="42"/>
        </w:numPr>
      </w:pPr>
      <w:r w:rsidRPr="000F2D4C">
        <w:t>h</w:t>
      </w:r>
      <w:r w:rsidR="000C77F4" w:rsidRPr="000F2D4C">
        <w:t>ow the program incorporates practitioner knowledge</w:t>
      </w:r>
      <w:r w:rsidR="00977911" w:rsidRPr="000F2D4C">
        <w:t xml:space="preserve"> and the insights of those with lived and/or living experience</w:t>
      </w:r>
    </w:p>
    <w:p w14:paraId="2BBBBFA7" w14:textId="792667D9" w:rsidR="000C77F4" w:rsidRPr="000F2D4C" w:rsidRDefault="00055CAF" w:rsidP="00FC2CEE">
      <w:pPr>
        <w:pStyle w:val="ListParagraph"/>
        <w:numPr>
          <w:ilvl w:val="0"/>
          <w:numId w:val="42"/>
        </w:numPr>
      </w:pPr>
      <w:r w:rsidRPr="000F2D4C">
        <w:t>h</w:t>
      </w:r>
      <w:r w:rsidR="000C77F4" w:rsidRPr="000F2D4C">
        <w:t xml:space="preserve">ow the program reflects needs and preferences of people </w:t>
      </w:r>
      <w:r w:rsidR="00B66293" w:rsidRPr="000F2D4C">
        <w:t>who may</w:t>
      </w:r>
      <w:r w:rsidR="000C77F4" w:rsidRPr="000F2D4C">
        <w:t xml:space="preserve"> access the program.</w:t>
      </w:r>
    </w:p>
    <w:p w14:paraId="5CB426CF" w14:textId="77777777" w:rsidR="000C77F4" w:rsidRPr="000F2D4C" w:rsidRDefault="000C77F4" w:rsidP="000C77F4">
      <w:r w:rsidRPr="000F2D4C">
        <w:t xml:space="preserve">In this process, it is important to note that there is likely to be more limited evidence about programs that work for some priority populations. </w:t>
      </w:r>
    </w:p>
    <w:p w14:paraId="0641B56F" w14:textId="77777777" w:rsidR="000C77F4" w:rsidRPr="000F2D4C" w:rsidRDefault="000C77F4" w:rsidP="00615025">
      <w:pPr>
        <w:pStyle w:val="Boxheading"/>
      </w:pPr>
      <w:r w:rsidRPr="000F2D4C">
        <w:t xml:space="preserve">Factors to consider in the design of </w:t>
      </w:r>
      <w:bookmarkStart w:id="61" w:name="_Hlk146010836"/>
      <w:r w:rsidRPr="000F2D4C">
        <w:t xml:space="preserve">Aboriginal and Torres Strait Islander </w:t>
      </w:r>
      <w:bookmarkEnd w:id="61"/>
      <w:r w:rsidRPr="000F2D4C">
        <w:t>suicide prevention programs</w:t>
      </w:r>
    </w:p>
    <w:p w14:paraId="21DA1BD3" w14:textId="5F914749" w:rsidR="000C77F4" w:rsidRPr="000F2D4C" w:rsidRDefault="000C77F4" w:rsidP="000C77F4">
      <w:pPr>
        <w:pStyle w:val="Boxtext0"/>
      </w:pPr>
      <w:r w:rsidRPr="000F2D4C">
        <w:rPr>
          <w:i/>
          <w:iCs/>
        </w:rPr>
        <w:t>Solutions that work: What the evidence and our people tell us, </w:t>
      </w:r>
      <w:r w:rsidRPr="000F2D4C">
        <w:t>Aboriginal and Torres Strait Islander Suicide Prevention Evaluation Project Report</w:t>
      </w:r>
      <w:r w:rsidRPr="000F2D4C">
        <w:rPr>
          <w:rStyle w:val="FootnoteReference"/>
          <w:rFonts w:eastAsia="Times New Roman"/>
          <w:i/>
          <w:iCs/>
        </w:rPr>
        <w:footnoteReference w:id="30"/>
      </w:r>
      <w:r w:rsidR="0023144C" w:rsidRPr="000F2D4C">
        <w:rPr>
          <w:i/>
          <w:iCs/>
        </w:rPr>
        <w:t xml:space="preserve"> </w:t>
      </w:r>
      <w:r w:rsidRPr="000F2D4C">
        <w:t>identifies success factors for Indigenous suicide prevention programs from a meta-evaluation of evaluated community-led Indigenous suicide prevention programs. These include factors associated with:</w:t>
      </w:r>
    </w:p>
    <w:p w14:paraId="476A1F7B" w14:textId="27238911" w:rsidR="000C77F4" w:rsidRPr="000F2D4C" w:rsidRDefault="000C77F4" w:rsidP="000C77F4">
      <w:pPr>
        <w:pStyle w:val="Boxbullets"/>
      </w:pPr>
      <w:r w:rsidRPr="000F2D4C">
        <w:lastRenderedPageBreak/>
        <w:t xml:space="preserve">prevention (addressing community challenges, poverty, social determinants of health; </w:t>
      </w:r>
      <w:r w:rsidR="05452242" w:rsidRPr="000F2D4C">
        <w:t>c</w:t>
      </w:r>
      <w:r w:rsidRPr="000F2D4C">
        <w:t>ultural elements – building identity, social emotional wellbeing, healing, alcohol/</w:t>
      </w:r>
      <w:r w:rsidR="56BD5589" w:rsidRPr="000F2D4C">
        <w:t xml:space="preserve"> </w:t>
      </w:r>
      <w:r w:rsidRPr="000F2D4C">
        <w:t>drug use reduction)</w:t>
      </w:r>
    </w:p>
    <w:p w14:paraId="4D468381" w14:textId="77777777" w:rsidR="000C77F4" w:rsidRPr="000F2D4C" w:rsidRDefault="000C77F4" w:rsidP="000C77F4">
      <w:pPr>
        <w:pStyle w:val="Boxbullets"/>
      </w:pPr>
      <w:r w:rsidRPr="000F2D4C">
        <w:t>primary prevention (such as awareness raising and tailored community gatekeeper training)</w:t>
      </w:r>
    </w:p>
    <w:p w14:paraId="252FD331" w14:textId="7AEF0573" w:rsidR="000C77F4" w:rsidRPr="000F2D4C" w:rsidRDefault="000C77F4" w:rsidP="000C77F4">
      <w:pPr>
        <w:pStyle w:val="Boxbullets"/>
      </w:pPr>
      <w:r w:rsidRPr="000F2D4C">
        <w:t>clinical elements (access to counsellors/</w:t>
      </w:r>
      <w:r w:rsidR="5BF49C56" w:rsidRPr="000F2D4C">
        <w:t xml:space="preserve"> </w:t>
      </w:r>
      <w:r w:rsidRPr="000F2D4C">
        <w:t>mental health support, 24/7 availability, awareness of critical risk periods and responsiveness at those times, crisis response teams after a suicide/</w:t>
      </w:r>
      <w:r w:rsidR="783FDE62" w:rsidRPr="000F2D4C">
        <w:t xml:space="preserve"> </w:t>
      </w:r>
      <w:r w:rsidRPr="000F2D4C">
        <w:t xml:space="preserve">postvention </w:t>
      </w:r>
    </w:p>
    <w:p w14:paraId="36C5C4C9" w14:textId="77777777" w:rsidR="000C77F4" w:rsidRPr="000F2D4C" w:rsidRDefault="000C77F4" w:rsidP="000C77F4">
      <w:pPr>
        <w:pStyle w:val="Boxbullets"/>
      </w:pPr>
      <w:r w:rsidRPr="000F2D4C">
        <w:t>community leadership</w:t>
      </w:r>
    </w:p>
    <w:p w14:paraId="5C1B1F85" w14:textId="77777777" w:rsidR="000C77F4" w:rsidRPr="000F2D4C" w:rsidRDefault="000C77F4" w:rsidP="000C77F4">
      <w:pPr>
        <w:pStyle w:val="Boxbullets"/>
      </w:pPr>
      <w:r w:rsidRPr="000F2D4C">
        <w:t>provider (partnerships with Aboriginal Community Controlled Organisations, employment of community members and peer workforce).</w:t>
      </w:r>
    </w:p>
    <w:p w14:paraId="17951C9E" w14:textId="77777777" w:rsidR="000C77F4" w:rsidRPr="000F2D4C" w:rsidRDefault="000C77F4" w:rsidP="000C77F4">
      <w:pPr>
        <w:pStyle w:val="Boxbullets"/>
        <w:numPr>
          <w:ilvl w:val="0"/>
          <w:numId w:val="0"/>
        </w:numPr>
        <w:ind w:left="360" w:hanging="360"/>
      </w:pPr>
    </w:p>
    <w:p w14:paraId="4E779112" w14:textId="3F247C35" w:rsidR="000C77F4" w:rsidRPr="000F2D4C" w:rsidRDefault="000C77F4" w:rsidP="000C77F4">
      <w:pPr>
        <w:pStyle w:val="Boxtext0"/>
      </w:pPr>
      <w:r w:rsidRPr="000F2D4C">
        <w:t>These could be a useful reference against which to assess the design of Aboriginal and Torres Strait Islander suicide prevention programs to identify if these elements are in place.</w:t>
      </w:r>
      <w:r w:rsidR="00D16154">
        <w:br/>
      </w:r>
      <w:r w:rsidRPr="000F2D4C">
        <w:t xml:space="preserve"> </w:t>
      </w:r>
    </w:p>
    <w:p w14:paraId="5C0537CE" w14:textId="77777777" w:rsidR="000C77F4" w:rsidRPr="000F2D4C" w:rsidRDefault="000C77F4" w:rsidP="000C77F4">
      <w:pPr>
        <w:pStyle w:val="Heading4"/>
      </w:pPr>
      <w:r w:rsidRPr="000F2D4C">
        <w:t>Co-design process</w:t>
      </w:r>
    </w:p>
    <w:p w14:paraId="4F3AB2A0" w14:textId="77777777" w:rsidR="000C77F4" w:rsidRPr="000F2D4C" w:rsidRDefault="000C77F4" w:rsidP="000C77F4">
      <w:r w:rsidRPr="000F2D4C">
        <w:t xml:space="preserve">If a program was developed using a </w:t>
      </w:r>
      <w:r w:rsidRPr="000F2D4C">
        <w:rPr>
          <w:b/>
          <w:bCs/>
        </w:rPr>
        <w:t>co-design or co-production process</w:t>
      </w:r>
      <w:r w:rsidRPr="000F2D4C">
        <w:t>, then the evaluation of this program should also consider:</w:t>
      </w:r>
    </w:p>
    <w:p w14:paraId="19E38755" w14:textId="156F08F2" w:rsidR="000C77F4" w:rsidRPr="000F2D4C" w:rsidRDefault="000C77F4" w:rsidP="000C77F4">
      <w:pPr>
        <w:pStyle w:val="ListBullet"/>
      </w:pPr>
      <w:r w:rsidRPr="000F2D4C">
        <w:t>whether the intended stakeholders</w:t>
      </w:r>
      <w:r w:rsidR="007C53FE" w:rsidRPr="000F2D4C">
        <w:t>, including people with lived and</w:t>
      </w:r>
      <w:r w:rsidR="51E770B3" w:rsidRPr="000F2D4C">
        <w:t>/or</w:t>
      </w:r>
      <w:r w:rsidR="007C53FE" w:rsidRPr="000F2D4C">
        <w:t xml:space="preserve"> living experience,</w:t>
      </w:r>
      <w:r w:rsidRPr="000F2D4C">
        <w:t xml:space="preserve"> were engaged in the co-design or co-production process, and the diversity of representation</w:t>
      </w:r>
    </w:p>
    <w:p w14:paraId="48CB8E3D" w14:textId="160C2D43" w:rsidR="000C77F4" w:rsidRPr="000F2D4C" w:rsidRDefault="000C77F4" w:rsidP="000C77F4">
      <w:pPr>
        <w:pStyle w:val="ListBullet"/>
      </w:pPr>
      <w:r w:rsidRPr="000F2D4C">
        <w:t>whether the process was in line</w:t>
      </w:r>
      <w:r w:rsidR="00F214CE" w:rsidRPr="000F2D4C">
        <w:t xml:space="preserve"> with</w:t>
      </w:r>
      <w:r w:rsidRPr="000F2D4C">
        <w:t xml:space="preserve"> best practice principles for co-design and co-production</w:t>
      </w:r>
    </w:p>
    <w:p w14:paraId="441C8324" w14:textId="23B27E2A" w:rsidR="000C77F4" w:rsidRPr="000F2D4C" w:rsidRDefault="000C77F4" w:rsidP="000C77F4">
      <w:pPr>
        <w:pStyle w:val="ListBullet"/>
      </w:pPr>
      <w:r w:rsidRPr="000F2D4C">
        <w:t>whether the resulting design reflected the inputs of the co-design or co-production process</w:t>
      </w:r>
      <w:r w:rsidR="66721C60" w:rsidRPr="000F2D4C">
        <w:t>,</w:t>
      </w:r>
      <w:r w:rsidRPr="000F2D4C">
        <w:t xml:space="preserve"> and where input was not possible within the scope of the program this was clearly communicated. </w:t>
      </w:r>
    </w:p>
    <w:p w14:paraId="14DFD2C6" w14:textId="77777777" w:rsidR="000C77F4" w:rsidRPr="000F2D4C" w:rsidRDefault="000C77F4" w:rsidP="000C77F4">
      <w:pPr>
        <w:pStyle w:val="ListBullet"/>
        <w:numPr>
          <w:ilvl w:val="0"/>
          <w:numId w:val="0"/>
        </w:numPr>
        <w:ind w:left="360" w:hanging="360"/>
      </w:pPr>
    </w:p>
    <w:p w14:paraId="69A5AF79" w14:textId="3D26EF03" w:rsidR="000C77F4" w:rsidRPr="000F2D4C" w:rsidRDefault="000C77F4" w:rsidP="000C77F4">
      <w:r w:rsidRPr="000F2D4C">
        <w:t>Those using co-design approaches should consider building in feedback on the process as part of co-design</w:t>
      </w:r>
      <w:r w:rsidR="05BE9FA8" w:rsidRPr="000F2D4C">
        <w:t>,</w:t>
      </w:r>
      <w:r w:rsidRPr="000F2D4C">
        <w:t xml:space="preserve"> because this information can be difficult to collect retrospectively.</w:t>
      </w:r>
    </w:p>
    <w:p w14:paraId="00AACEAA" w14:textId="77777777" w:rsidR="00A70900" w:rsidRPr="000F2D4C" w:rsidRDefault="00A70900" w:rsidP="00A70900">
      <w:pPr>
        <w:pStyle w:val="Heading3"/>
      </w:pPr>
      <w:bookmarkStart w:id="63" w:name="_Toc146206787"/>
      <w:r w:rsidRPr="000F2D4C">
        <w:t>Process evaluation measures</w:t>
      </w:r>
      <w:bookmarkEnd w:id="63"/>
    </w:p>
    <w:p w14:paraId="0A6DA78D" w14:textId="653348A7" w:rsidR="00B213B5" w:rsidRPr="000F2D4C" w:rsidRDefault="00A70900" w:rsidP="00B213B5">
      <w:r w:rsidRPr="000F2D4C">
        <w:t>A range of measures are needed to understand how a program is being implemented.</w:t>
      </w:r>
      <w:r w:rsidR="00CC50E5" w:rsidRPr="000F2D4C">
        <w:t xml:space="preserve"> Process evaluation measures can provide valuable insights </w:t>
      </w:r>
      <w:r w:rsidR="007219CE" w:rsidRPr="000F2D4C">
        <w:t xml:space="preserve">about </w:t>
      </w:r>
      <w:r w:rsidR="00B213B5" w:rsidRPr="000F2D4C">
        <w:t>whether the program might need to be adapted to meet the needs of some population groups</w:t>
      </w:r>
      <w:r w:rsidR="007219CE" w:rsidRPr="000F2D4C">
        <w:t xml:space="preserve"> </w:t>
      </w:r>
      <w:r w:rsidR="00B213B5" w:rsidRPr="000F2D4C">
        <w:t>.</w:t>
      </w:r>
    </w:p>
    <w:p w14:paraId="58FFB167" w14:textId="08D8082F" w:rsidR="00A44304" w:rsidRPr="000F2D4C" w:rsidRDefault="00A70900" w:rsidP="00A44304">
      <w:r w:rsidRPr="000F2D4C">
        <w:t xml:space="preserve">Many measures of implementation – such as who is being reached </w:t>
      </w:r>
      <w:r w:rsidR="00BA2028" w:rsidRPr="000F2D4C">
        <w:t xml:space="preserve">(or who is missing out) </w:t>
      </w:r>
      <w:r w:rsidRPr="000F2D4C">
        <w:t xml:space="preserve">and what is being delivered </w:t>
      </w:r>
      <w:r w:rsidR="7C8D799B" w:rsidRPr="000F2D4C">
        <w:t xml:space="preserve">– </w:t>
      </w:r>
      <w:r w:rsidRPr="000F2D4C">
        <w:t>will be collected as part of program delivery and in required minimum data sets. Evaluators should look first to making the most of this existing data.</w:t>
      </w:r>
      <w:r w:rsidR="00CC50E5" w:rsidRPr="000F2D4C">
        <w:t xml:space="preserve"> </w:t>
      </w:r>
    </w:p>
    <w:p w14:paraId="0EBDC7B9" w14:textId="77777777" w:rsidR="00D16154" w:rsidRDefault="00A44304" w:rsidP="00A44304">
      <w:r w:rsidRPr="000F2D4C">
        <w:t xml:space="preserve">The </w:t>
      </w:r>
      <w:r w:rsidRPr="000F2D4C">
        <w:rPr>
          <w:b/>
          <w:bCs/>
        </w:rPr>
        <w:t>National Mental Health Performance Framework</w:t>
      </w:r>
      <w:r w:rsidRPr="000F2D4C">
        <w:t xml:space="preserve"> (2020) also identifies some specific aspects of implementation that may be useful for mental health and suicide preventions to reference in </w:t>
      </w:r>
      <w:r w:rsidR="72953B20" w:rsidRPr="000F2D4C">
        <w:t xml:space="preserve">a </w:t>
      </w:r>
      <w:r w:rsidRPr="000F2D4C">
        <w:t xml:space="preserve">process evaluation. </w:t>
      </w:r>
    </w:p>
    <w:p w14:paraId="20578B6C" w14:textId="77777777" w:rsidR="00D16154" w:rsidRDefault="00D16154" w:rsidP="00A44304"/>
    <w:p w14:paraId="758D6749" w14:textId="21A3B4B0" w:rsidR="00A44304" w:rsidRPr="000F2D4C" w:rsidRDefault="00A44304" w:rsidP="00A44304">
      <w:r w:rsidRPr="000F2D4C">
        <w:lastRenderedPageBreak/>
        <w:t>These include the extent to which a program:</w:t>
      </w:r>
    </w:p>
    <w:p w14:paraId="4CC04E02" w14:textId="5BCF1AF5" w:rsidR="00A44304" w:rsidRPr="000F2D4C" w:rsidRDefault="00A44304" w:rsidP="00A44304">
      <w:pPr>
        <w:pStyle w:val="ListBullet"/>
      </w:pPr>
      <w:r w:rsidRPr="000F2D4C">
        <w:t xml:space="preserve">is </w:t>
      </w:r>
      <w:r w:rsidRPr="000F2D4C">
        <w:rPr>
          <w:b/>
          <w:bCs/>
        </w:rPr>
        <w:t>accessible</w:t>
      </w:r>
      <w:r w:rsidRPr="000F2D4C">
        <w:t xml:space="preserve"> – people can access care at the right place and </w:t>
      </w:r>
      <w:r w:rsidR="69FCF758" w:rsidRPr="000F2D4C">
        <w:t xml:space="preserve">the </w:t>
      </w:r>
      <w:r w:rsidRPr="000F2D4C">
        <w:t>right time, within the context of different population needs and the affordability of care</w:t>
      </w:r>
    </w:p>
    <w:p w14:paraId="087D918D" w14:textId="77777777" w:rsidR="00A44304" w:rsidRPr="000F2D4C" w:rsidRDefault="00A44304" w:rsidP="00A44304">
      <w:pPr>
        <w:pStyle w:val="ListBullet"/>
      </w:pPr>
      <w:r w:rsidRPr="000F2D4C">
        <w:rPr>
          <w:b/>
          <w:bCs/>
        </w:rPr>
        <w:t>reaches the people it is intended to reach</w:t>
      </w:r>
      <w:r w:rsidRPr="000F2D4C">
        <w:t xml:space="preserve"> – the number, proportion, and representativeness of individuals who are able or willing to participate in a given program (and reasons why or why not)</w:t>
      </w:r>
    </w:p>
    <w:p w14:paraId="54457423" w14:textId="36A894F8" w:rsidR="00A44304" w:rsidRPr="000F2D4C" w:rsidRDefault="295D1656" w:rsidP="00A44304">
      <w:pPr>
        <w:pStyle w:val="ListBullet"/>
      </w:pPr>
      <w:r w:rsidRPr="000F2D4C">
        <w:t>i</w:t>
      </w:r>
      <w:r w:rsidR="000728D0" w:rsidRPr="000F2D4C">
        <w:t xml:space="preserve">s </w:t>
      </w:r>
      <w:r w:rsidR="00A44304" w:rsidRPr="000F2D4C">
        <w:rPr>
          <w:b/>
          <w:bCs/>
        </w:rPr>
        <w:t>safe and of sufficient quality</w:t>
      </w:r>
      <w:r w:rsidR="00A44304" w:rsidRPr="000F2D4C">
        <w:t xml:space="preserve"> – safety of care delivered to people accessing the service, as well as safety of carers and workforce</w:t>
      </w:r>
    </w:p>
    <w:p w14:paraId="0785391C" w14:textId="6B1D02A9" w:rsidR="00A44304" w:rsidRPr="000F2D4C" w:rsidRDefault="3FB19A15" w:rsidP="00A44304">
      <w:pPr>
        <w:pStyle w:val="ListBullet"/>
      </w:pPr>
      <w:r w:rsidRPr="000F2D4C">
        <w:t>i</w:t>
      </w:r>
      <w:r w:rsidR="371B7527" w:rsidRPr="000F2D4C">
        <w:t xml:space="preserve">s </w:t>
      </w:r>
      <w:r w:rsidR="00A44304" w:rsidRPr="000F2D4C">
        <w:rPr>
          <w:b/>
          <w:bCs/>
        </w:rPr>
        <w:t>appropriate or acceptable</w:t>
      </w:r>
      <w:r w:rsidR="00A44304" w:rsidRPr="000F2D4C">
        <w:t xml:space="preserve"> – such as whether a program is person-centred, culturally appropriate, rights-based, trauma-informed</w:t>
      </w:r>
      <w:r w:rsidR="71A0DAD0" w:rsidRPr="000F2D4C">
        <w:t>,</w:t>
      </w:r>
      <w:r w:rsidR="00A44304" w:rsidRPr="000F2D4C">
        <w:t xml:space="preserve"> and recovery oriented; mental health consumers and carers are treated with dignity and confidentiality and encouraged to participate in choices related to their care</w:t>
      </w:r>
    </w:p>
    <w:p w14:paraId="1CECAB36" w14:textId="1168FC8B" w:rsidR="00A44304" w:rsidRPr="000F2D4C" w:rsidRDefault="7B3B7C65" w:rsidP="00A44304">
      <w:pPr>
        <w:pStyle w:val="ListBullet"/>
        <w:spacing w:after="240"/>
      </w:pPr>
      <w:r w:rsidRPr="000F2D4C">
        <w:t>i</w:t>
      </w:r>
      <w:r w:rsidR="6C542A8B" w:rsidRPr="000F2D4C">
        <w:t>s</w:t>
      </w:r>
      <w:r w:rsidR="6C542A8B" w:rsidRPr="000F2D4C">
        <w:rPr>
          <w:b/>
          <w:bCs/>
        </w:rPr>
        <w:t xml:space="preserve"> </w:t>
      </w:r>
      <w:r w:rsidR="00A44304" w:rsidRPr="000F2D4C">
        <w:rPr>
          <w:b/>
          <w:bCs/>
        </w:rPr>
        <w:t>implemented as intended</w:t>
      </w:r>
      <w:r w:rsidR="00A44304" w:rsidRPr="000F2D4C">
        <w:t xml:space="preserve"> – fidelity, where there is an established model.</w:t>
      </w:r>
    </w:p>
    <w:p w14:paraId="68B00F13" w14:textId="004E56E2" w:rsidR="00A70900" w:rsidRPr="000F2D4C" w:rsidRDefault="00A70900" w:rsidP="00A70900">
      <w:r w:rsidRPr="000F2D4C">
        <w:t>For a deeper understanding of implementation, for example, the reasons for differences between two or more program locations, evaluators will</w:t>
      </w:r>
      <w:r w:rsidR="00A44304" w:rsidRPr="000F2D4C">
        <w:t xml:space="preserve"> likely</w:t>
      </w:r>
      <w:r w:rsidRPr="000F2D4C">
        <w:t xml:space="preserve"> need to collect qualitative data to provide contextual information to help explain findings.</w:t>
      </w:r>
    </w:p>
    <w:p w14:paraId="453F3F84" w14:textId="77777777" w:rsidR="00A70900" w:rsidRPr="000F2D4C" w:rsidRDefault="00A70900" w:rsidP="00A70900">
      <w:pPr>
        <w:pStyle w:val="Heading4"/>
      </w:pPr>
      <w:r w:rsidRPr="000F2D4C">
        <w:t>Who receives (and who misses out)</w:t>
      </w:r>
    </w:p>
    <w:p w14:paraId="60A6BF71" w14:textId="34C911D6" w:rsidR="00A70900" w:rsidRPr="000F2D4C" w:rsidRDefault="00A70900" w:rsidP="00A70900">
      <w:r w:rsidRPr="000F2D4C">
        <w:t xml:space="preserve">Indicators of accessibility are designed to ensure that people are obtaining care at the right place and </w:t>
      </w:r>
      <w:r w:rsidR="31A8E8FC" w:rsidRPr="000F2D4C">
        <w:t xml:space="preserve">the </w:t>
      </w:r>
      <w:r w:rsidRPr="000F2D4C">
        <w:t>right time, taking account of different population needs and the affordability of care.</w:t>
      </w:r>
      <w:r w:rsidR="00D16154">
        <w:t xml:space="preserve"> </w:t>
      </w:r>
      <w:r w:rsidRPr="000F2D4C">
        <w:t>Some measures to consider including in an evaluation to determine accessibility are:</w:t>
      </w:r>
    </w:p>
    <w:p w14:paraId="780B2E0F" w14:textId="77777777" w:rsidR="00A70900" w:rsidRPr="000F2D4C" w:rsidRDefault="00A70900" w:rsidP="00FC2CEE">
      <w:pPr>
        <w:pStyle w:val="ListParagraph"/>
        <w:numPr>
          <w:ilvl w:val="0"/>
          <w:numId w:val="29"/>
        </w:numPr>
      </w:pPr>
      <w:r w:rsidRPr="000F2D4C">
        <w:t>demographic and clinical characteristics of people who access programs and services, collected at episode level by service providers</w:t>
      </w:r>
    </w:p>
    <w:p w14:paraId="5FF2F7BF" w14:textId="77777777" w:rsidR="00A70900" w:rsidRPr="000F2D4C" w:rsidRDefault="00A70900" w:rsidP="00FC2CEE">
      <w:pPr>
        <w:pStyle w:val="ListParagraph"/>
        <w:numPr>
          <w:ilvl w:val="0"/>
          <w:numId w:val="29"/>
        </w:numPr>
      </w:pPr>
      <w:r w:rsidRPr="000F2D4C">
        <w:t>wait lists to determine need and accessibility</w:t>
      </w:r>
    </w:p>
    <w:p w14:paraId="071755CC" w14:textId="77777777" w:rsidR="00A70900" w:rsidRPr="000F2D4C" w:rsidRDefault="00A70900" w:rsidP="00FC2CEE">
      <w:pPr>
        <w:pStyle w:val="ListParagraph"/>
        <w:numPr>
          <w:ilvl w:val="0"/>
          <w:numId w:val="29"/>
        </w:numPr>
      </w:pPr>
      <w:r w:rsidRPr="000F2D4C">
        <w:t>acceptance and disengagement rates for the program</w:t>
      </w:r>
    </w:p>
    <w:p w14:paraId="1E121789" w14:textId="50BEA645" w:rsidR="00D15CB8" w:rsidRPr="000F2D4C" w:rsidRDefault="00D15CB8" w:rsidP="00D15CB8">
      <w:pPr>
        <w:pStyle w:val="ListParagraph"/>
        <w:numPr>
          <w:ilvl w:val="0"/>
          <w:numId w:val="29"/>
        </w:numPr>
      </w:pPr>
      <w:r w:rsidRPr="000F2D4C">
        <w:t xml:space="preserve">availability of other </w:t>
      </w:r>
      <w:r w:rsidR="00520C20" w:rsidRPr="000F2D4C">
        <w:t xml:space="preserve">relevant </w:t>
      </w:r>
      <w:r w:rsidR="00DD2504" w:rsidRPr="000F2D4C">
        <w:t xml:space="preserve">supports and </w:t>
      </w:r>
      <w:r w:rsidRPr="000F2D4C">
        <w:t>services</w:t>
      </w:r>
    </w:p>
    <w:p w14:paraId="310B6AEF" w14:textId="04272731" w:rsidR="00D15CB8" w:rsidRPr="000F2D4C" w:rsidRDefault="00D15CB8" w:rsidP="00D15CB8">
      <w:pPr>
        <w:pStyle w:val="ListParagraph"/>
        <w:numPr>
          <w:ilvl w:val="0"/>
          <w:numId w:val="29"/>
        </w:numPr>
      </w:pPr>
      <w:r w:rsidRPr="000F2D4C">
        <w:t>referral, triaging</w:t>
      </w:r>
      <w:r w:rsidR="3B607A7E" w:rsidRPr="000F2D4C">
        <w:t>,</w:t>
      </w:r>
      <w:r w:rsidRPr="000F2D4C">
        <w:t xml:space="preserve"> and intake/ assessment procedures</w:t>
      </w:r>
    </w:p>
    <w:p w14:paraId="25432CCE" w14:textId="77777777" w:rsidR="00A70900" w:rsidRPr="000F2D4C" w:rsidRDefault="00A70900" w:rsidP="00FC2CEE">
      <w:pPr>
        <w:pStyle w:val="ListParagraph"/>
        <w:numPr>
          <w:ilvl w:val="0"/>
          <w:numId w:val="29"/>
        </w:numPr>
      </w:pPr>
      <w:r w:rsidRPr="000F2D4C">
        <w:t>understand who is missing out and why.</w:t>
      </w:r>
    </w:p>
    <w:p w14:paraId="1D1AAF6F" w14:textId="4712ECA6" w:rsidR="00A70900" w:rsidRPr="000F2D4C" w:rsidRDefault="00A70900" w:rsidP="00A70900">
      <w:r w:rsidRPr="000F2D4C">
        <w:t>Collection of demographic data is important to understanding the reach into priority groups</w:t>
      </w:r>
      <w:r w:rsidR="00C063EF" w:rsidRPr="000F2D4C">
        <w:t xml:space="preserve"> – that is, who is accessing </w:t>
      </w:r>
      <w:r w:rsidR="004236A5" w:rsidRPr="000F2D4C">
        <w:t>services and who is missing out</w:t>
      </w:r>
      <w:r w:rsidRPr="000F2D4C">
        <w:t>. The appropriate collection of demographic data can also help services to provide culturally appropriate support</w:t>
      </w:r>
      <w:r w:rsidR="004236A5" w:rsidRPr="000F2D4C">
        <w:t xml:space="preserve">, including for Aboriginal and Torres Strait Islander communities, </w:t>
      </w:r>
      <w:r w:rsidRPr="000F2D4C">
        <w:t>and support tailored to priority populations.</w:t>
      </w:r>
    </w:p>
    <w:p w14:paraId="23C8EB93" w14:textId="77777777" w:rsidR="00A70900" w:rsidRPr="000F2D4C" w:rsidRDefault="00A70900" w:rsidP="00A70900">
      <w:pPr>
        <w:pStyle w:val="Heading4"/>
      </w:pPr>
      <w:r w:rsidRPr="000F2D4C">
        <w:t>What services</w:t>
      </w:r>
    </w:p>
    <w:p w14:paraId="6E022D5B" w14:textId="77777777" w:rsidR="00A70900" w:rsidRPr="000F2D4C" w:rsidRDefault="00A70900" w:rsidP="00A70900">
      <w:pPr>
        <w:rPr>
          <w:bCs/>
        </w:rPr>
      </w:pPr>
      <w:r w:rsidRPr="000F2D4C">
        <w:rPr>
          <w:bCs/>
        </w:rPr>
        <w:t xml:space="preserve">Understanding what services are being received/ provided is important in determining if the program is being delivered as intended. Indicators about the services received may cover: </w:t>
      </w:r>
    </w:p>
    <w:p w14:paraId="6492FCC9" w14:textId="77777777" w:rsidR="00A70900" w:rsidRPr="000F2D4C" w:rsidRDefault="00A70900" w:rsidP="00A70900">
      <w:pPr>
        <w:pStyle w:val="ListBullet"/>
      </w:pPr>
      <w:r w:rsidRPr="000F2D4C">
        <w:t>data collected by service providers for each individual service event (e.g., date and type of service, duration)</w:t>
      </w:r>
    </w:p>
    <w:p w14:paraId="75F88741" w14:textId="0A5FA007" w:rsidR="00A70900" w:rsidRPr="000F2D4C" w:rsidRDefault="00A70900" w:rsidP="00FC2CEE">
      <w:pPr>
        <w:pStyle w:val="ListParagraph"/>
        <w:numPr>
          <w:ilvl w:val="0"/>
          <w:numId w:val="29"/>
        </w:numPr>
      </w:pPr>
      <w:r w:rsidRPr="000F2D4C">
        <w:t xml:space="preserve">how well services are integrated around consumers (person-centred, </w:t>
      </w:r>
      <w:r w:rsidR="000F7F84" w:rsidRPr="000F2D4C">
        <w:t>recovery-oriented,</w:t>
      </w:r>
      <w:r w:rsidRPr="000F2D4C">
        <w:t xml:space="preserve"> trauma-informed models of service delivery)</w:t>
      </w:r>
      <w:r w:rsidR="21CD36D2" w:rsidRPr="000F2D4C">
        <w:t>.</w:t>
      </w:r>
    </w:p>
    <w:p w14:paraId="5A69B974" w14:textId="77777777" w:rsidR="00A70900" w:rsidRPr="000F2D4C" w:rsidRDefault="00A70900" w:rsidP="00A70900">
      <w:pPr>
        <w:pStyle w:val="Heading4"/>
      </w:pPr>
      <w:r w:rsidRPr="000F2D4C">
        <w:lastRenderedPageBreak/>
        <w:t>From whom</w:t>
      </w:r>
    </w:p>
    <w:p w14:paraId="24FC8643" w14:textId="360CDE8B" w:rsidR="00A70900" w:rsidRPr="000F2D4C" w:rsidRDefault="00A70900" w:rsidP="00A70900">
      <w:r w:rsidRPr="000F2D4C">
        <w:t xml:space="preserve">Understanding who is delivering the services is important to understand the experience of people accessing the services. </w:t>
      </w:r>
    </w:p>
    <w:p w14:paraId="06B77A21" w14:textId="77777777" w:rsidR="00A70900" w:rsidRPr="000F2D4C" w:rsidRDefault="00A70900" w:rsidP="00A70900">
      <w:r w:rsidRPr="000F2D4C">
        <w:t>These include:</w:t>
      </w:r>
    </w:p>
    <w:p w14:paraId="47D509E5" w14:textId="77777777" w:rsidR="00A70900" w:rsidRPr="000F2D4C" w:rsidRDefault="00A70900" w:rsidP="00FC2CEE">
      <w:pPr>
        <w:pStyle w:val="ListParagraph"/>
        <w:numPr>
          <w:ilvl w:val="0"/>
          <w:numId w:val="29"/>
        </w:numPr>
      </w:pPr>
      <w:r w:rsidRPr="000F2D4C">
        <w:t>service provider and organisation characteristics</w:t>
      </w:r>
    </w:p>
    <w:p w14:paraId="52E98216" w14:textId="50CE06CD" w:rsidR="00A70900" w:rsidRPr="000F2D4C" w:rsidRDefault="00A70900" w:rsidP="00FC2CEE">
      <w:pPr>
        <w:pStyle w:val="ListParagraph"/>
        <w:numPr>
          <w:ilvl w:val="0"/>
          <w:numId w:val="29"/>
        </w:numPr>
      </w:pPr>
      <w:r w:rsidRPr="000F2D4C">
        <w:t xml:space="preserve">details of organisation and mental health workforce delivering services, reported by </w:t>
      </w:r>
      <w:r w:rsidR="4184450F" w:rsidRPr="000F2D4C">
        <w:t xml:space="preserve">the service </w:t>
      </w:r>
      <w:r w:rsidRPr="000F2D4C">
        <w:t>provider.</w:t>
      </w:r>
    </w:p>
    <w:p w14:paraId="63307569" w14:textId="3384BB65" w:rsidR="00A70900" w:rsidRPr="000F2D4C" w:rsidRDefault="00A70900" w:rsidP="00A70900">
      <w:r w:rsidRPr="000F2D4C">
        <w:t xml:space="preserve">Additional measures might include </w:t>
      </w:r>
      <w:r w:rsidR="6CB8F7CF" w:rsidRPr="000F2D4C">
        <w:t xml:space="preserve">the </w:t>
      </w:r>
      <w:r w:rsidRPr="000F2D4C">
        <w:t>nature of the workforce, including clinical and peer workforces, workforce diversity, the training provided to the workforce, and workforce experience. This information may also support the growing investment in peer workforces.</w:t>
      </w:r>
    </w:p>
    <w:p w14:paraId="55151ACE" w14:textId="77777777" w:rsidR="00A70900" w:rsidRPr="000F2D4C" w:rsidRDefault="00A70900" w:rsidP="00A70900">
      <w:pPr>
        <w:pStyle w:val="Heading4"/>
      </w:pPr>
      <w:r w:rsidRPr="000F2D4C">
        <w:t xml:space="preserve">With what experience </w:t>
      </w:r>
    </w:p>
    <w:p w14:paraId="25B22CA0" w14:textId="77777777" w:rsidR="00A70900" w:rsidRPr="000F2D4C" w:rsidRDefault="00A70900" w:rsidP="00A70900">
      <w:r w:rsidRPr="000F2D4C">
        <w:t>Experience indicators may include:</w:t>
      </w:r>
    </w:p>
    <w:p w14:paraId="3F66BD28" w14:textId="77777777" w:rsidR="00A70900" w:rsidRPr="000F2D4C" w:rsidRDefault="00A70900" w:rsidP="00A70900">
      <w:pPr>
        <w:pStyle w:val="ListBullet"/>
      </w:pPr>
      <w:r w:rsidRPr="000F2D4C">
        <w:t>experience directly collected from people accessing the service (with some standard data collection tools used for this)</w:t>
      </w:r>
    </w:p>
    <w:p w14:paraId="637388DC" w14:textId="2244DCF8" w:rsidR="00A70900" w:rsidRPr="000F2D4C" w:rsidRDefault="00A70900" w:rsidP="00A70900">
      <w:pPr>
        <w:pStyle w:val="ListBullet"/>
      </w:pPr>
      <w:r w:rsidRPr="000F2D4C">
        <w:t>appropriateness of the service (provision of a person-centred, culturally appropriate, rights-based, trauma-informed</w:t>
      </w:r>
      <w:r w:rsidR="2A85B348" w:rsidRPr="000F2D4C">
        <w:t>,</w:t>
      </w:r>
      <w:r w:rsidRPr="000F2D4C">
        <w:t xml:space="preserve"> and recovery</w:t>
      </w:r>
      <w:r w:rsidR="006D5914" w:rsidRPr="000F2D4C">
        <w:t>-</w:t>
      </w:r>
      <w:r w:rsidRPr="000F2D4C">
        <w:t>oriented service, participation in choices related to care)</w:t>
      </w:r>
    </w:p>
    <w:p w14:paraId="62565E40" w14:textId="77777777" w:rsidR="00A70900" w:rsidRPr="000F2D4C" w:rsidRDefault="00A70900" w:rsidP="00A70900">
      <w:pPr>
        <w:pStyle w:val="ListBullet"/>
        <w:spacing w:after="240"/>
      </w:pPr>
      <w:r w:rsidRPr="000F2D4C">
        <w:t>safety of the service (such as patient reported incidents).</w:t>
      </w:r>
    </w:p>
    <w:p w14:paraId="266AA088" w14:textId="7988A9FC" w:rsidR="00A70900" w:rsidRPr="000F2D4C" w:rsidRDefault="00A70900" w:rsidP="00A70900">
      <w:r w:rsidRPr="000F2D4C">
        <w:t xml:space="preserve">It can be difficult to understand why people drop out of a </w:t>
      </w:r>
      <w:r w:rsidR="005F5F14" w:rsidRPr="000F2D4C">
        <w:t>program</w:t>
      </w:r>
      <w:r w:rsidR="64F7CE53" w:rsidRPr="000F2D4C">
        <w:t>,</w:t>
      </w:r>
      <w:r w:rsidRPr="000F2D4C">
        <w:t xml:space="preserve"> because it can be hard to reach them. But getting some information about this is important </w:t>
      </w:r>
      <w:r w:rsidR="00A2043E" w:rsidRPr="000F2D4C">
        <w:t xml:space="preserve">as </w:t>
      </w:r>
      <w:r w:rsidRPr="000F2D4C">
        <w:t>it may relate to negative experiences or unintended consequences.</w:t>
      </w:r>
      <w:r w:rsidR="0064773B" w:rsidRPr="000F2D4C">
        <w:t xml:space="preserve"> If it is not possible to speak to individuals, look for patterns in the data about who is not engaging or who is dropping out and when, or look to existing research about barriers to access and engagement.</w:t>
      </w:r>
    </w:p>
    <w:p w14:paraId="639D4EBB" w14:textId="77777777" w:rsidR="00A70900" w:rsidRPr="000F2D4C" w:rsidRDefault="00A70900" w:rsidP="00A70900">
      <w:pPr>
        <w:pStyle w:val="Heading4"/>
      </w:pPr>
      <w:r w:rsidRPr="000F2D4C">
        <w:t>Service connections</w:t>
      </w:r>
    </w:p>
    <w:p w14:paraId="24E24728" w14:textId="77777777" w:rsidR="00A70900" w:rsidRPr="000F2D4C" w:rsidRDefault="00A70900" w:rsidP="00A70900">
      <w:r w:rsidRPr="000F2D4C">
        <w:t xml:space="preserve">It is also important to understand integrated care and connections between services. Service connection indicators might include: </w:t>
      </w:r>
    </w:p>
    <w:p w14:paraId="17D0A09A" w14:textId="77777777" w:rsidR="00A70900" w:rsidRPr="000F2D4C" w:rsidRDefault="00A70900" w:rsidP="003A40F9">
      <w:pPr>
        <w:pStyle w:val="ListBullet"/>
      </w:pPr>
      <w:r w:rsidRPr="000F2D4C">
        <w:t>data on referrals into and out of a service</w:t>
      </w:r>
    </w:p>
    <w:p w14:paraId="2A018F7A" w14:textId="09C2A9B2" w:rsidR="00B40D57" w:rsidRPr="000F2D4C" w:rsidRDefault="00B40D57" w:rsidP="003A40F9">
      <w:pPr>
        <w:pStyle w:val="ListBullet"/>
      </w:pPr>
      <w:r w:rsidRPr="000F2D4C">
        <w:t xml:space="preserve">service user </w:t>
      </w:r>
      <w:r w:rsidR="00F949E3" w:rsidRPr="000F2D4C">
        <w:t>experience</w:t>
      </w:r>
      <w:r w:rsidR="00277924" w:rsidRPr="000F2D4C">
        <w:t xml:space="preserve"> </w:t>
      </w:r>
      <w:r w:rsidRPr="000F2D4C">
        <w:t>survey or interviews</w:t>
      </w:r>
    </w:p>
    <w:p w14:paraId="39ADE9F8" w14:textId="77777777" w:rsidR="00A70900" w:rsidRPr="000F2D4C" w:rsidRDefault="00A70900" w:rsidP="003A40F9">
      <w:pPr>
        <w:pStyle w:val="ListBullet"/>
      </w:pPr>
      <w:r w:rsidRPr="000F2D4C">
        <w:t>partner/ collaboration survey or interviews.</w:t>
      </w:r>
    </w:p>
    <w:p w14:paraId="5FF5A782" w14:textId="77777777" w:rsidR="00A70900" w:rsidRPr="000F2D4C" w:rsidRDefault="00A70900" w:rsidP="00A70900">
      <w:pPr>
        <w:pStyle w:val="Heading4"/>
      </w:pPr>
      <w:r w:rsidRPr="000F2D4C">
        <w:t>Other measures</w:t>
      </w:r>
    </w:p>
    <w:p w14:paraId="6E280CF3" w14:textId="77777777" w:rsidR="00A70900" w:rsidRPr="000F2D4C" w:rsidRDefault="00A70900" w:rsidP="00A70900">
      <w:r w:rsidRPr="000F2D4C">
        <w:t>A useful focus for process evaluation, which will likely require qualitative data collection, is the identification of enablers and barriers to implementation, and how these have been leveraged and overcome. This is important to informing further rollout of a program, so that the conditions for success are in place.</w:t>
      </w:r>
    </w:p>
    <w:p w14:paraId="379A0EF2" w14:textId="390CDD55" w:rsidR="00A70900" w:rsidRPr="000F2D4C" w:rsidRDefault="00A70900" w:rsidP="00A70900">
      <w:pPr>
        <w:pStyle w:val="Heading3"/>
      </w:pPr>
      <w:bookmarkStart w:id="64" w:name="_Toc146206788"/>
      <w:r w:rsidRPr="000F2D4C">
        <w:lastRenderedPageBreak/>
        <w:t xml:space="preserve">Outcomes </w:t>
      </w:r>
      <w:r w:rsidR="005E6A17" w:rsidRPr="000F2D4C">
        <w:t xml:space="preserve">evaluation </w:t>
      </w:r>
      <w:r w:rsidRPr="000F2D4C">
        <w:t>measures</w:t>
      </w:r>
      <w:bookmarkEnd w:id="64"/>
      <w:r w:rsidRPr="000F2D4C">
        <w:t xml:space="preserve"> </w:t>
      </w:r>
    </w:p>
    <w:p w14:paraId="2C3C291D" w14:textId="6682F2D0" w:rsidR="00A70900" w:rsidRPr="000F2D4C" w:rsidRDefault="00A70900" w:rsidP="00A70900">
      <w:r w:rsidRPr="000F2D4C">
        <w:rPr>
          <w:rStyle w:val="normaltextrun"/>
          <w:rFonts w:cstheme="minorBidi"/>
          <w:color w:val="000000"/>
          <w:shd w:val="clear" w:color="auto" w:fill="FFFFFF"/>
        </w:rPr>
        <w:t xml:space="preserve">Identifying appropriate outcomes measures for a program is an important first step for </w:t>
      </w:r>
      <w:r w:rsidR="5BC140AC" w:rsidRPr="000F2D4C">
        <w:rPr>
          <w:rStyle w:val="normaltextrun"/>
          <w:rFonts w:cstheme="minorBidi"/>
          <w:color w:val="000000"/>
          <w:shd w:val="clear" w:color="auto" w:fill="FFFFFF"/>
        </w:rPr>
        <w:t xml:space="preserve">an </w:t>
      </w:r>
      <w:r w:rsidRPr="000F2D4C">
        <w:rPr>
          <w:rStyle w:val="normaltextrun"/>
          <w:rFonts w:cstheme="minorBidi"/>
          <w:color w:val="000000"/>
          <w:shd w:val="clear" w:color="auto" w:fill="FFFFFF"/>
        </w:rPr>
        <w:t xml:space="preserve">outcomes evaluation. </w:t>
      </w:r>
      <w:r w:rsidRPr="000F2D4C">
        <w:t xml:space="preserve">This is important to improving the </w:t>
      </w:r>
      <w:r w:rsidR="00A44304" w:rsidRPr="000F2D4C">
        <w:t xml:space="preserve">broader </w:t>
      </w:r>
      <w:r w:rsidRPr="000F2D4C">
        <w:t>evidence base for mental health and suicide prevention.</w:t>
      </w:r>
      <w:r w:rsidR="00F86210" w:rsidRPr="000F2D4C">
        <w:t xml:space="preserve"> </w:t>
      </w:r>
    </w:p>
    <w:p w14:paraId="1B021727" w14:textId="77777777" w:rsidR="00A70900" w:rsidRPr="000F2D4C" w:rsidRDefault="00A70900" w:rsidP="00A70900">
      <w:r w:rsidRPr="000F2D4C">
        <w:t>Options for outcomes measures to use in evaluation include:</w:t>
      </w:r>
    </w:p>
    <w:p w14:paraId="3A3EEFEF" w14:textId="1A30240A" w:rsidR="00A70900" w:rsidRPr="000F2D4C" w:rsidRDefault="00A70900" w:rsidP="003A40F9">
      <w:pPr>
        <w:pStyle w:val="ListBullet"/>
      </w:pPr>
      <w:r w:rsidRPr="000F2D4C">
        <w:t>client outcome</w:t>
      </w:r>
      <w:r w:rsidR="008D7D33" w:rsidRPr="000F2D4C">
        <w:t>s</w:t>
      </w:r>
      <w:r w:rsidRPr="000F2D4C">
        <w:t xml:space="preserve"> data collected by providers, often using standard instruments as part of minimum data sets</w:t>
      </w:r>
    </w:p>
    <w:p w14:paraId="1B878994" w14:textId="1CBA2510" w:rsidR="00A70900" w:rsidRPr="000F2D4C" w:rsidRDefault="00A70900" w:rsidP="003A40F9">
      <w:pPr>
        <w:pStyle w:val="ListBullet"/>
      </w:pPr>
      <w:r w:rsidRPr="000F2D4C">
        <w:t>administrative data</w:t>
      </w:r>
      <w:r w:rsidR="05183DA0" w:rsidRPr="000F2D4C">
        <w:t>,</w:t>
      </w:r>
      <w:r w:rsidRPr="000F2D4C">
        <w:t xml:space="preserve"> including linked data </w:t>
      </w:r>
    </w:p>
    <w:p w14:paraId="71DC86EC" w14:textId="79FE6700" w:rsidR="003A40F9" w:rsidRPr="000F2D4C" w:rsidRDefault="00A70900" w:rsidP="00A70900">
      <w:pPr>
        <w:pStyle w:val="ListBullet"/>
      </w:pPr>
      <w:r w:rsidRPr="000F2D4C">
        <w:t>qualitative data about the outcomes valued by people accessing the service</w:t>
      </w:r>
      <w:r w:rsidR="00A44304" w:rsidRPr="000F2D4C">
        <w:t>.</w:t>
      </w:r>
    </w:p>
    <w:p w14:paraId="4D5BA0E2" w14:textId="77777777" w:rsidR="003A40F9" w:rsidRPr="000F2D4C" w:rsidRDefault="003A40F9" w:rsidP="003A40F9">
      <w:pPr>
        <w:pStyle w:val="ListBullet"/>
        <w:numPr>
          <w:ilvl w:val="0"/>
          <w:numId w:val="0"/>
        </w:numPr>
        <w:ind w:left="360"/>
        <w:rPr>
          <w:rStyle w:val="normaltextrun"/>
        </w:rPr>
      </w:pPr>
    </w:p>
    <w:p w14:paraId="0C8E7DF8" w14:textId="24EEA27E" w:rsidR="00A70900" w:rsidRPr="000F2D4C" w:rsidRDefault="00A70900" w:rsidP="00A70900">
      <w:pPr>
        <w:rPr>
          <w:rStyle w:val="eop"/>
          <w:rFonts w:cstheme="minorBidi"/>
          <w:color w:val="000000"/>
          <w:shd w:val="clear" w:color="auto" w:fill="FFFFFF"/>
        </w:rPr>
      </w:pPr>
      <w:r w:rsidRPr="000F2D4C">
        <w:rPr>
          <w:rStyle w:val="normaltextrun"/>
          <w:rFonts w:cstheme="minorBidi"/>
          <w:color w:val="000000"/>
          <w:shd w:val="clear" w:color="auto" w:fill="FFFFFF"/>
        </w:rPr>
        <w:t xml:space="preserve">There are challenges evaluating the outcomes of mental health and suicide prevention programs. </w:t>
      </w:r>
      <w:r w:rsidR="00DD754C" w:rsidRPr="000F2D4C">
        <w:rPr>
          <w:rStyle w:val="cf01"/>
          <w:sz w:val="20"/>
          <w:szCs w:val="20"/>
        </w:rPr>
        <w:t xml:space="preserve">The rate or number of suicide deaths is unlikely to be an appropriate outcome measure for evaluations of individual suicide prevention programs, particularly in the short-term </w:t>
      </w:r>
      <w:r w:rsidR="003D6EAA" w:rsidRPr="000F2D4C">
        <w:rPr>
          <w:rStyle w:val="cf01"/>
          <w:sz w:val="20"/>
          <w:szCs w:val="20"/>
        </w:rPr>
        <w:t xml:space="preserve">because of the </w:t>
      </w:r>
      <w:r w:rsidR="00DD754C" w:rsidRPr="000F2D4C">
        <w:rPr>
          <w:rStyle w:val="normaltextrun"/>
          <w:rFonts w:cstheme="minorBidi"/>
          <w:color w:val="000000" w:themeColor="text2"/>
        </w:rPr>
        <w:t xml:space="preserve">small number of suicide deaths, the </w:t>
      </w:r>
      <w:r w:rsidRPr="000F2D4C">
        <w:rPr>
          <w:rStyle w:val="normaltextrun"/>
          <w:rFonts w:cstheme="minorBidi"/>
          <w:color w:val="000000"/>
          <w:shd w:val="clear" w:color="auto" w:fill="FFFFFF"/>
        </w:rPr>
        <w:t>confounding factors that cannot be controlled for</w:t>
      </w:r>
      <w:r w:rsidR="00FE4B0D" w:rsidRPr="000F2D4C">
        <w:rPr>
          <w:rStyle w:val="normaltextrun"/>
          <w:rFonts w:cstheme="minorBidi"/>
          <w:color w:val="000000" w:themeColor="text2"/>
        </w:rPr>
        <w:t>,</w:t>
      </w:r>
      <w:r w:rsidRPr="000F2D4C">
        <w:rPr>
          <w:rStyle w:val="normaltextrun"/>
          <w:rFonts w:cstheme="minorBidi"/>
          <w:color w:val="000000"/>
          <w:shd w:val="clear" w:color="auto" w:fill="FFFFFF"/>
        </w:rPr>
        <w:t xml:space="preserve"> and the lag that often exists between a service and outcome</w:t>
      </w:r>
      <w:r w:rsidR="008D7D33" w:rsidRPr="000F2D4C">
        <w:rPr>
          <w:rStyle w:val="normaltextrun"/>
          <w:rFonts w:cstheme="minorBidi"/>
          <w:color w:val="000000"/>
          <w:shd w:val="clear" w:color="auto" w:fill="FFFFFF"/>
        </w:rPr>
        <w:t>s</w:t>
      </w:r>
      <w:r w:rsidRPr="000F2D4C">
        <w:rPr>
          <w:rStyle w:val="normaltextrun"/>
          <w:rFonts w:cstheme="minorBidi"/>
          <w:color w:val="000000"/>
          <w:shd w:val="clear" w:color="auto" w:fill="FFFFFF"/>
        </w:rPr>
        <w:t xml:space="preserve"> due to the multifactorial nature of suicide and the diverse contributors to it.</w:t>
      </w:r>
      <w:r w:rsidR="00E54C67" w:rsidRPr="000F2D4C">
        <w:rPr>
          <w:rStyle w:val="cf01"/>
          <w:sz w:val="20"/>
          <w:szCs w:val="20"/>
        </w:rPr>
        <w:t xml:space="preserve"> </w:t>
      </w:r>
      <w:r w:rsidR="005B3F94" w:rsidRPr="000F2D4C">
        <w:rPr>
          <w:rStyle w:val="cf01"/>
          <w:sz w:val="20"/>
          <w:szCs w:val="20"/>
        </w:rPr>
        <w:t>M</w:t>
      </w:r>
      <w:r w:rsidR="00710C10" w:rsidRPr="000F2D4C">
        <w:rPr>
          <w:rStyle w:val="cf01"/>
          <w:sz w:val="20"/>
          <w:szCs w:val="20"/>
        </w:rPr>
        <w:t>easuring</w:t>
      </w:r>
      <w:r w:rsidR="00E54C67" w:rsidRPr="000F2D4C">
        <w:rPr>
          <w:rStyle w:val="cf01"/>
          <w:sz w:val="20"/>
          <w:szCs w:val="20"/>
        </w:rPr>
        <w:t xml:space="preserve"> reduced suicide</w:t>
      </w:r>
      <w:r w:rsidR="2C810C1D" w:rsidRPr="000F2D4C">
        <w:rPr>
          <w:rStyle w:val="cf01"/>
          <w:sz w:val="20"/>
          <w:szCs w:val="20"/>
        </w:rPr>
        <w:t>-</w:t>
      </w:r>
      <w:r w:rsidR="00E54C67" w:rsidRPr="000F2D4C">
        <w:rPr>
          <w:rStyle w:val="cf01"/>
          <w:sz w:val="20"/>
          <w:szCs w:val="20"/>
        </w:rPr>
        <w:t xml:space="preserve"> related distress</w:t>
      </w:r>
      <w:r w:rsidR="6CDBD0EC" w:rsidRPr="000F2D4C">
        <w:rPr>
          <w:rStyle w:val="cf01"/>
          <w:sz w:val="20"/>
          <w:szCs w:val="20"/>
        </w:rPr>
        <w:t>,</w:t>
      </w:r>
      <w:r w:rsidR="00FE4B0D" w:rsidRPr="000F2D4C">
        <w:rPr>
          <w:rStyle w:val="cf01"/>
          <w:sz w:val="20"/>
          <w:szCs w:val="20"/>
        </w:rPr>
        <w:t xml:space="preserve"> in addition to increased resilience and help-seeking</w:t>
      </w:r>
      <w:r w:rsidR="00E54C67" w:rsidRPr="000F2D4C">
        <w:rPr>
          <w:rStyle w:val="cf01"/>
          <w:sz w:val="20"/>
          <w:szCs w:val="20"/>
        </w:rPr>
        <w:t>, is usually more appropriate</w:t>
      </w:r>
      <w:r w:rsidR="00D213C9" w:rsidRPr="000F2D4C">
        <w:rPr>
          <w:rStyle w:val="cf01"/>
          <w:sz w:val="20"/>
          <w:szCs w:val="20"/>
        </w:rPr>
        <w:t>.</w:t>
      </w:r>
      <w:r w:rsidR="00D213C9" w:rsidRPr="000F2D4C">
        <w:rPr>
          <w:rStyle w:val="cf01"/>
        </w:rPr>
        <w:t xml:space="preserve"> </w:t>
      </w:r>
      <w:r w:rsidRPr="000F2D4C">
        <w:rPr>
          <w:rStyle w:val="normaltextrun"/>
          <w:rFonts w:cstheme="minorBidi"/>
          <w:color w:val="000000"/>
          <w:shd w:val="clear" w:color="auto" w:fill="FFFFFF"/>
        </w:rPr>
        <w:t xml:space="preserve"> </w:t>
      </w:r>
    </w:p>
    <w:p w14:paraId="51835029" w14:textId="48312E83" w:rsidR="00A70900" w:rsidRPr="000F2D4C" w:rsidRDefault="00A70900" w:rsidP="00A70900">
      <w:pPr>
        <w:pStyle w:val="Heading4"/>
      </w:pPr>
      <w:r w:rsidRPr="000F2D4C">
        <w:t xml:space="preserve">Standard outcomes measures </w:t>
      </w:r>
    </w:p>
    <w:p w14:paraId="35A71028" w14:textId="77777777" w:rsidR="00A70900" w:rsidRPr="000F2D4C" w:rsidRDefault="00A70900" w:rsidP="00A70900">
      <w:r w:rsidRPr="000F2D4C">
        <w:t>Some standard outcomes measures are currently being collected through two mental health and suicide prevention minimum data sets:</w:t>
      </w:r>
    </w:p>
    <w:p w14:paraId="6523B182" w14:textId="59212321" w:rsidR="00A70900" w:rsidRPr="000F2D4C" w:rsidRDefault="00A70900" w:rsidP="00FC2CEE">
      <w:pPr>
        <w:pStyle w:val="ListParagraph"/>
        <w:numPr>
          <w:ilvl w:val="0"/>
          <w:numId w:val="24"/>
        </w:numPr>
      </w:pPr>
      <w:r w:rsidRPr="000F2D4C">
        <w:t xml:space="preserve">The </w:t>
      </w:r>
      <w:hyperlink r:id="rId84">
        <w:r w:rsidRPr="000F2D4C">
          <w:rPr>
            <w:rStyle w:val="Hyperlink"/>
            <w:i/>
            <w:iCs/>
          </w:rPr>
          <w:t>Mental Health National Outcomes and Casemix Collection</w:t>
        </w:r>
      </w:hyperlink>
      <w:r w:rsidRPr="000F2D4C">
        <w:t xml:space="preserve"> </w:t>
      </w:r>
      <w:r w:rsidR="1C55076F" w:rsidRPr="000F2D4C">
        <w:t>(NOCC)</w:t>
      </w:r>
      <w:r w:rsidRPr="000F2D4C">
        <w:t xml:space="preserve"> comprises a range of clinician and consumer rated measures, being progressively implemented by </w:t>
      </w:r>
      <w:r w:rsidR="1D1150A8" w:rsidRPr="000F2D4C">
        <w:t>s</w:t>
      </w:r>
      <w:r w:rsidRPr="000F2D4C">
        <w:t>tate</w:t>
      </w:r>
      <w:r w:rsidR="451C2C43" w:rsidRPr="000F2D4C">
        <w:t>s</w:t>
      </w:r>
      <w:r w:rsidRPr="000F2D4C">
        <w:t xml:space="preserve"> and </w:t>
      </w:r>
      <w:r w:rsidR="6E347CEB" w:rsidRPr="000F2D4C">
        <w:t>t</w:t>
      </w:r>
      <w:r w:rsidRPr="000F2D4C">
        <w:t xml:space="preserve">erritories. The NOCC measures contribute to the development of clinical practice, aiming to improve the quality of care for consumers of Australia’s public sector mental health services.  </w:t>
      </w:r>
    </w:p>
    <w:p w14:paraId="255DC668" w14:textId="5D5C1A2B" w:rsidR="00A70900" w:rsidRPr="000F2D4C" w:rsidRDefault="00A70900" w:rsidP="00FC2CEE">
      <w:pPr>
        <w:pStyle w:val="ListParagraph"/>
        <w:numPr>
          <w:ilvl w:val="0"/>
          <w:numId w:val="24"/>
        </w:numPr>
      </w:pPr>
      <w:r w:rsidRPr="000F2D4C">
        <w:t xml:space="preserve">The </w:t>
      </w:r>
      <w:hyperlink r:id="rId85">
        <w:r w:rsidRPr="000F2D4C">
          <w:rPr>
            <w:rStyle w:val="Hyperlink"/>
            <w:i/>
          </w:rPr>
          <w:t>Primary Mental Health Care Minimum Data Set</w:t>
        </w:r>
      </w:hyperlink>
      <w:r w:rsidRPr="000F2D4C">
        <w:t xml:space="preserve"> provides the basis for PHNs and the Department of Health to monitor and report on the quantity and quality of service delivery, and to inform future improvements in the planning and funding of primary mental health care services funded by the Australian Government. </w:t>
      </w:r>
    </w:p>
    <w:p w14:paraId="19915921" w14:textId="59DDC767" w:rsidR="00A70900" w:rsidRPr="000F2D4C" w:rsidRDefault="00A70900" w:rsidP="00A70900">
      <w:r w:rsidRPr="000F2D4C">
        <w:t xml:space="preserve">See </w:t>
      </w:r>
      <w:r w:rsidR="00733158" w:rsidRPr="000F2D4C">
        <w:t xml:space="preserve">Table </w:t>
      </w:r>
      <w:r w:rsidR="00CC5AE3" w:rsidRPr="000F2D4C">
        <w:t>5</w:t>
      </w:r>
      <w:r w:rsidRPr="000F2D4C">
        <w:t xml:space="preserve"> below for an overview of the measures</w:t>
      </w:r>
      <w:r w:rsidR="260C7D35" w:rsidRPr="000F2D4C">
        <w:t>,</w:t>
      </w:r>
      <w:r w:rsidRPr="000F2D4C">
        <w:t xml:space="preserve"> and Appendix 5 for more detail.</w:t>
      </w:r>
    </w:p>
    <w:p w14:paraId="7814F631" w14:textId="72E85E77" w:rsidR="00A70900" w:rsidRPr="000F2D4C" w:rsidRDefault="00A70900" w:rsidP="00A70900">
      <w:r w:rsidRPr="000F2D4C">
        <w:t>The use of this existing data for evaluations of programs required to report on minimum data sets will help reduce the burden of data collection for staff and people accessing services. It will also help to synthesise findings across evaluations to provide a systems</w:t>
      </w:r>
      <w:r w:rsidR="3FCFB315" w:rsidRPr="000F2D4C">
        <w:t>-</w:t>
      </w:r>
      <w:r w:rsidRPr="000F2D4C">
        <w:t xml:space="preserve">level view. </w:t>
      </w:r>
    </w:p>
    <w:p w14:paraId="5735A046" w14:textId="77777777" w:rsidR="00A70900" w:rsidRPr="000F2D4C" w:rsidRDefault="00A70900" w:rsidP="00A70900">
      <w:r w:rsidRPr="000F2D4C">
        <w:t>Programs not required to report on minimum data sets might also consider using these measures, where appropriate, to support the ability to synthesise across evaluations.</w:t>
      </w:r>
    </w:p>
    <w:p w14:paraId="4FD458DB" w14:textId="4F2FCBCE" w:rsidR="00A44304" w:rsidRPr="000F2D4C" w:rsidRDefault="00A70900" w:rsidP="00A70900">
      <w:r w:rsidRPr="000F2D4C">
        <w:t>However, it is important to note that people accessing services have identified the limitations of standard measures for capturing the full value of a program</w:t>
      </w:r>
      <w:r w:rsidR="0F4CF81C" w:rsidRPr="000F2D4C">
        <w:t>,</w:t>
      </w:r>
      <w:r w:rsidRPr="000F2D4C">
        <w:t xml:space="preserve"> and suggest the importance of additional data collection</w:t>
      </w:r>
      <w:r w:rsidR="00E165BD" w:rsidRPr="000F2D4C">
        <w:t xml:space="preserve"> – for example, qualitative questions</w:t>
      </w:r>
      <w:r w:rsidR="00911137" w:rsidRPr="000F2D4C">
        <w:t xml:space="preserve"> to better capture </w:t>
      </w:r>
      <w:r w:rsidR="009E25DA" w:rsidRPr="000F2D4C">
        <w:t xml:space="preserve">the </w:t>
      </w:r>
      <w:r w:rsidR="00911137" w:rsidRPr="000F2D4C">
        <w:t>impact</w:t>
      </w:r>
      <w:r w:rsidR="00D428F7" w:rsidRPr="000F2D4C">
        <w:t xml:space="preserve"> </w:t>
      </w:r>
      <w:r w:rsidR="00D428F7" w:rsidRPr="000F2D4C">
        <w:lastRenderedPageBreak/>
        <w:t xml:space="preserve">of symptoms rather than the </w:t>
      </w:r>
      <w:r w:rsidR="009E25DA" w:rsidRPr="000F2D4C">
        <w:t>existence of symptoms</w:t>
      </w:r>
      <w:r w:rsidR="0014024C" w:rsidRPr="000F2D4C">
        <w:t xml:space="preserve"> and people’s ability to </w:t>
      </w:r>
      <w:r w:rsidR="00760676" w:rsidRPr="000F2D4C">
        <w:t>manage their mental health</w:t>
      </w:r>
      <w:r w:rsidR="009E25DA" w:rsidRPr="000F2D4C">
        <w:t xml:space="preserve">. </w:t>
      </w:r>
      <w:r w:rsidR="00E165BD" w:rsidRPr="000F2D4C">
        <w:t xml:space="preserve"> </w:t>
      </w:r>
    </w:p>
    <w:p w14:paraId="3F527B9D" w14:textId="6C4E8CB9" w:rsidR="00A70900" w:rsidRPr="000F2D4C" w:rsidRDefault="00A70900" w:rsidP="00A70900">
      <w:r w:rsidRPr="000F2D4C">
        <w:t>Whe</w:t>
      </w:r>
      <w:r w:rsidR="00A44304" w:rsidRPr="000F2D4C">
        <w:t>n</w:t>
      </w:r>
      <w:r w:rsidRPr="000F2D4C">
        <w:t xml:space="preserve"> standard measures are used, they are more useful to both staff and people accessing supports when used to guide service delivery and conversations with the person accessing the service</w:t>
      </w:r>
      <w:r w:rsidR="00B60422" w:rsidRPr="000F2D4C">
        <w:t xml:space="preserve"> in an ongoing way</w:t>
      </w:r>
      <w:r w:rsidRPr="000F2D4C">
        <w:t xml:space="preserve">, so they can track their outcomes. </w:t>
      </w:r>
    </w:p>
    <w:p w14:paraId="5A5D1C3C" w14:textId="52AA6867" w:rsidR="00A70900" w:rsidRPr="000F2D4C" w:rsidRDefault="00A70900" w:rsidP="00A70900">
      <w:pPr>
        <w:pStyle w:val="TableHeading"/>
      </w:pPr>
      <w:r w:rsidRPr="000F2D4C">
        <w:t>Standard outcome</w:t>
      </w:r>
      <w:r w:rsidR="008D7D33" w:rsidRPr="000F2D4C">
        <w:t>s</w:t>
      </w:r>
      <w:r w:rsidRPr="000F2D4C">
        <w:t xml:space="preserve"> measures </w:t>
      </w:r>
    </w:p>
    <w:tbl>
      <w:tblPr>
        <w:tblStyle w:val="ARTDTable"/>
        <w:tblW w:w="0" w:type="auto"/>
        <w:tblLook w:val="04A0" w:firstRow="1" w:lastRow="0" w:firstColumn="1" w:lastColumn="0" w:noHBand="0" w:noVBand="1"/>
      </w:tblPr>
      <w:tblGrid>
        <w:gridCol w:w="867"/>
        <w:gridCol w:w="777"/>
        <w:gridCol w:w="3864"/>
        <w:gridCol w:w="1513"/>
        <w:gridCol w:w="719"/>
      </w:tblGrid>
      <w:tr w:rsidR="00610B9C" w:rsidRPr="000F2D4C" w14:paraId="315546F2" w14:textId="77777777" w:rsidTr="00610B9C">
        <w:trPr>
          <w:cnfStyle w:val="100000000000" w:firstRow="1" w:lastRow="0" w:firstColumn="0" w:lastColumn="0" w:oddVBand="0" w:evenVBand="0" w:oddHBand="0" w:evenHBand="0" w:firstRowFirstColumn="0" w:firstRowLastColumn="0" w:lastRowFirstColumn="0" w:lastRowLastColumn="0"/>
          <w:tblHeader/>
        </w:trPr>
        <w:tc>
          <w:tcPr>
            <w:tcW w:w="867" w:type="dxa"/>
          </w:tcPr>
          <w:p w14:paraId="411120B5" w14:textId="77777777" w:rsidR="00610B9C" w:rsidRPr="000F2D4C" w:rsidRDefault="00610B9C">
            <w:pPr>
              <w:jc w:val="center"/>
            </w:pPr>
            <w:r w:rsidRPr="000F2D4C">
              <w:t>Source</w:t>
            </w:r>
          </w:p>
        </w:tc>
        <w:tc>
          <w:tcPr>
            <w:tcW w:w="777" w:type="dxa"/>
          </w:tcPr>
          <w:p w14:paraId="4920A3B5" w14:textId="77777777" w:rsidR="00610B9C" w:rsidRPr="000F2D4C" w:rsidRDefault="00610B9C"/>
        </w:tc>
        <w:tc>
          <w:tcPr>
            <w:tcW w:w="3864" w:type="dxa"/>
          </w:tcPr>
          <w:p w14:paraId="04353C70" w14:textId="77777777" w:rsidR="00610B9C" w:rsidRPr="000F2D4C" w:rsidRDefault="00610B9C">
            <w:pPr>
              <w:jc w:val="center"/>
            </w:pPr>
            <w:r w:rsidRPr="000F2D4C">
              <w:t>Measure</w:t>
            </w:r>
          </w:p>
        </w:tc>
        <w:tc>
          <w:tcPr>
            <w:tcW w:w="1513" w:type="dxa"/>
          </w:tcPr>
          <w:p w14:paraId="1B777298" w14:textId="17819195" w:rsidR="00610B9C" w:rsidRPr="000F2D4C" w:rsidRDefault="00610B9C" w:rsidP="00610B9C">
            <w:pPr>
              <w:jc w:val="right"/>
              <w:rPr>
                <w:b w:val="0"/>
              </w:rPr>
            </w:pPr>
            <w:r w:rsidRPr="000F2D4C">
              <w:t>Age groups</w:t>
            </w:r>
          </w:p>
        </w:tc>
        <w:tc>
          <w:tcPr>
            <w:tcW w:w="719" w:type="dxa"/>
          </w:tcPr>
          <w:p w14:paraId="095C3476" w14:textId="4960A3C4" w:rsidR="00610B9C" w:rsidRPr="000F2D4C" w:rsidRDefault="00610B9C">
            <w:pPr>
              <w:jc w:val="center"/>
            </w:pPr>
          </w:p>
        </w:tc>
      </w:tr>
      <w:tr w:rsidR="00A70900" w:rsidRPr="000F2D4C" w14:paraId="4AAC6813" w14:textId="77777777">
        <w:trPr>
          <w:cnfStyle w:val="000000100000" w:firstRow="0" w:lastRow="0" w:firstColumn="0" w:lastColumn="0" w:oddVBand="0" w:evenVBand="0" w:oddHBand="1" w:evenHBand="0" w:firstRowFirstColumn="0" w:firstRowLastColumn="0" w:lastRowFirstColumn="0" w:lastRowLastColumn="0"/>
        </w:trPr>
        <w:tc>
          <w:tcPr>
            <w:tcW w:w="867" w:type="dxa"/>
            <w:shd w:val="clear" w:color="auto" w:fill="DAEDF3" w:themeFill="accent2" w:themeFillTint="33"/>
          </w:tcPr>
          <w:p w14:paraId="2F8F6E9B" w14:textId="77777777" w:rsidR="00A70900" w:rsidRPr="000F2D4C" w:rsidRDefault="00A70900">
            <w:pPr>
              <w:pStyle w:val="Tablecolumnheading"/>
            </w:pPr>
            <w:r w:rsidRPr="000F2D4C">
              <w:t>NOCC</w:t>
            </w:r>
          </w:p>
        </w:tc>
        <w:tc>
          <w:tcPr>
            <w:tcW w:w="777" w:type="dxa"/>
            <w:shd w:val="clear" w:color="auto" w:fill="DAEDF3" w:themeFill="accent2" w:themeFillTint="33"/>
          </w:tcPr>
          <w:p w14:paraId="2C930F18" w14:textId="77777777" w:rsidR="00A70900" w:rsidRPr="000F2D4C" w:rsidRDefault="00A70900">
            <w:pPr>
              <w:pStyle w:val="Tablecolumnheading"/>
            </w:pPr>
            <w:r w:rsidRPr="000F2D4C">
              <w:t>PMHC-MDS</w:t>
            </w:r>
          </w:p>
        </w:tc>
        <w:tc>
          <w:tcPr>
            <w:tcW w:w="3864" w:type="dxa"/>
            <w:shd w:val="clear" w:color="auto" w:fill="DAEDF3" w:themeFill="accent2" w:themeFillTint="33"/>
          </w:tcPr>
          <w:p w14:paraId="20B6DCF1" w14:textId="77777777" w:rsidR="00A70900" w:rsidRPr="000F2D4C" w:rsidRDefault="00A70900">
            <w:pPr>
              <w:pStyle w:val="Tablecolumnheading"/>
            </w:pPr>
          </w:p>
        </w:tc>
        <w:tc>
          <w:tcPr>
            <w:tcW w:w="1513" w:type="dxa"/>
            <w:shd w:val="clear" w:color="auto" w:fill="DAEDF3" w:themeFill="accent2" w:themeFillTint="33"/>
          </w:tcPr>
          <w:p w14:paraId="2246DF7F" w14:textId="77777777" w:rsidR="00A70900" w:rsidRPr="000F2D4C" w:rsidRDefault="00A70900">
            <w:pPr>
              <w:pStyle w:val="Tablecolumnheading"/>
            </w:pPr>
            <w:r w:rsidRPr="000F2D4C">
              <w:t xml:space="preserve">Children &amp; Adolescents </w:t>
            </w:r>
          </w:p>
        </w:tc>
        <w:tc>
          <w:tcPr>
            <w:tcW w:w="719" w:type="dxa"/>
            <w:shd w:val="clear" w:color="auto" w:fill="DAEDF3" w:themeFill="accent2" w:themeFillTint="33"/>
          </w:tcPr>
          <w:p w14:paraId="13F8CBBA" w14:textId="77777777" w:rsidR="00A70900" w:rsidRPr="000F2D4C" w:rsidRDefault="00A70900">
            <w:pPr>
              <w:pStyle w:val="Tablecolumnheading"/>
            </w:pPr>
            <w:r w:rsidRPr="000F2D4C">
              <w:t xml:space="preserve">Adults </w:t>
            </w:r>
          </w:p>
        </w:tc>
      </w:tr>
      <w:tr w:rsidR="00A70900" w:rsidRPr="000F2D4C" w14:paraId="036178D5" w14:textId="77777777">
        <w:trPr>
          <w:cnfStyle w:val="000000010000" w:firstRow="0" w:lastRow="0" w:firstColumn="0" w:lastColumn="0" w:oddVBand="0" w:evenVBand="0" w:oddHBand="0" w:evenHBand="1" w:firstRowFirstColumn="0" w:firstRowLastColumn="0" w:lastRowFirstColumn="0" w:lastRowLastColumn="0"/>
        </w:trPr>
        <w:tc>
          <w:tcPr>
            <w:tcW w:w="867" w:type="dxa"/>
          </w:tcPr>
          <w:p w14:paraId="53218202" w14:textId="77777777" w:rsidR="00A70900" w:rsidRPr="000F2D4C" w:rsidRDefault="00A70900">
            <w:pPr>
              <w:jc w:val="center"/>
            </w:pPr>
            <w:r w:rsidRPr="000F2D4C">
              <w:t>X</w:t>
            </w:r>
          </w:p>
        </w:tc>
        <w:tc>
          <w:tcPr>
            <w:tcW w:w="777" w:type="dxa"/>
          </w:tcPr>
          <w:p w14:paraId="47857027" w14:textId="77777777" w:rsidR="00A70900" w:rsidRPr="000F2D4C" w:rsidRDefault="00A70900">
            <w:pPr>
              <w:pStyle w:val="Tablebodytext"/>
              <w:jc w:val="center"/>
            </w:pPr>
          </w:p>
        </w:tc>
        <w:tc>
          <w:tcPr>
            <w:tcW w:w="3864" w:type="dxa"/>
          </w:tcPr>
          <w:p w14:paraId="652C5172" w14:textId="464B3E3F" w:rsidR="00A70900" w:rsidRPr="000F2D4C" w:rsidRDefault="00A70900">
            <w:pPr>
              <w:pStyle w:val="Tablebodytext"/>
            </w:pPr>
            <w:r w:rsidRPr="000F2D4C">
              <w:t>Health of the Nation Outcome Scale (HoNOS/ HoNOS65+)</w:t>
            </w:r>
          </w:p>
        </w:tc>
        <w:tc>
          <w:tcPr>
            <w:tcW w:w="1513" w:type="dxa"/>
          </w:tcPr>
          <w:p w14:paraId="703D74FA" w14:textId="77777777" w:rsidR="00A70900" w:rsidRPr="000F2D4C" w:rsidRDefault="00A70900">
            <w:pPr>
              <w:pStyle w:val="Tablebodytext"/>
              <w:jc w:val="center"/>
            </w:pPr>
          </w:p>
        </w:tc>
        <w:tc>
          <w:tcPr>
            <w:tcW w:w="719" w:type="dxa"/>
          </w:tcPr>
          <w:p w14:paraId="00BD909D" w14:textId="77777777" w:rsidR="00A70900" w:rsidRPr="000F2D4C" w:rsidRDefault="00A70900">
            <w:pPr>
              <w:pStyle w:val="Tablebodytext"/>
              <w:jc w:val="center"/>
            </w:pPr>
            <w:r w:rsidRPr="000F2D4C">
              <w:t>X</w:t>
            </w:r>
          </w:p>
        </w:tc>
      </w:tr>
      <w:tr w:rsidR="00A70900" w:rsidRPr="000F2D4C" w14:paraId="75E0C954" w14:textId="77777777">
        <w:trPr>
          <w:cnfStyle w:val="000000100000" w:firstRow="0" w:lastRow="0" w:firstColumn="0" w:lastColumn="0" w:oddVBand="0" w:evenVBand="0" w:oddHBand="1" w:evenHBand="0" w:firstRowFirstColumn="0" w:firstRowLastColumn="0" w:lastRowFirstColumn="0" w:lastRowLastColumn="0"/>
        </w:trPr>
        <w:tc>
          <w:tcPr>
            <w:tcW w:w="867" w:type="dxa"/>
          </w:tcPr>
          <w:p w14:paraId="4D6533C9" w14:textId="77777777" w:rsidR="00A70900" w:rsidRPr="000F2D4C" w:rsidRDefault="00A70900">
            <w:pPr>
              <w:jc w:val="center"/>
            </w:pPr>
            <w:r w:rsidRPr="000F2D4C">
              <w:t>X</w:t>
            </w:r>
          </w:p>
        </w:tc>
        <w:tc>
          <w:tcPr>
            <w:tcW w:w="777" w:type="dxa"/>
          </w:tcPr>
          <w:p w14:paraId="3E807208" w14:textId="77777777" w:rsidR="00A70900" w:rsidRPr="000F2D4C" w:rsidRDefault="00A70900">
            <w:pPr>
              <w:pStyle w:val="Tablebodytext"/>
              <w:jc w:val="center"/>
            </w:pPr>
          </w:p>
        </w:tc>
        <w:tc>
          <w:tcPr>
            <w:tcW w:w="3864" w:type="dxa"/>
          </w:tcPr>
          <w:p w14:paraId="60A3667C" w14:textId="0FA5A0D0" w:rsidR="00A70900" w:rsidRPr="000F2D4C" w:rsidRDefault="00A70900">
            <w:pPr>
              <w:pStyle w:val="Tablebodytext"/>
            </w:pPr>
            <w:r w:rsidRPr="000F2D4C">
              <w:t>Health of the Nation Outcome Scale for Children and Adolescents (HoNOSCA)</w:t>
            </w:r>
          </w:p>
        </w:tc>
        <w:tc>
          <w:tcPr>
            <w:tcW w:w="1513" w:type="dxa"/>
          </w:tcPr>
          <w:p w14:paraId="779F8B1F" w14:textId="77777777" w:rsidR="00A70900" w:rsidRPr="000F2D4C" w:rsidRDefault="00A70900">
            <w:pPr>
              <w:pStyle w:val="Tablebodytext"/>
              <w:jc w:val="center"/>
            </w:pPr>
            <w:r w:rsidRPr="000F2D4C">
              <w:t>X</w:t>
            </w:r>
          </w:p>
        </w:tc>
        <w:tc>
          <w:tcPr>
            <w:tcW w:w="719" w:type="dxa"/>
          </w:tcPr>
          <w:p w14:paraId="3EA90991" w14:textId="77777777" w:rsidR="00A70900" w:rsidRPr="000F2D4C" w:rsidRDefault="00A70900">
            <w:pPr>
              <w:pStyle w:val="Tablebodytext"/>
              <w:jc w:val="center"/>
            </w:pPr>
          </w:p>
        </w:tc>
      </w:tr>
      <w:tr w:rsidR="00A70900" w:rsidRPr="000F2D4C" w14:paraId="44D9F375" w14:textId="77777777">
        <w:trPr>
          <w:cnfStyle w:val="000000010000" w:firstRow="0" w:lastRow="0" w:firstColumn="0" w:lastColumn="0" w:oddVBand="0" w:evenVBand="0" w:oddHBand="0" w:evenHBand="1" w:firstRowFirstColumn="0" w:firstRowLastColumn="0" w:lastRowFirstColumn="0" w:lastRowLastColumn="0"/>
        </w:trPr>
        <w:tc>
          <w:tcPr>
            <w:tcW w:w="867" w:type="dxa"/>
          </w:tcPr>
          <w:p w14:paraId="4B988A8F" w14:textId="491B74CA" w:rsidR="00A70900" w:rsidRPr="000F2D4C" w:rsidRDefault="00A70900">
            <w:pPr>
              <w:pStyle w:val="Tablebodytext"/>
              <w:jc w:val="center"/>
            </w:pPr>
            <w:r w:rsidRPr="000F2D4C">
              <w:t>X</w:t>
            </w:r>
          </w:p>
        </w:tc>
        <w:tc>
          <w:tcPr>
            <w:tcW w:w="777" w:type="dxa"/>
          </w:tcPr>
          <w:p w14:paraId="36087148" w14:textId="77777777" w:rsidR="00A70900" w:rsidRPr="000F2D4C" w:rsidRDefault="00A70900">
            <w:pPr>
              <w:pStyle w:val="Tablebodytext"/>
              <w:jc w:val="center"/>
            </w:pPr>
          </w:p>
        </w:tc>
        <w:tc>
          <w:tcPr>
            <w:tcW w:w="3864" w:type="dxa"/>
          </w:tcPr>
          <w:p w14:paraId="7CEEAF1E" w14:textId="77777777" w:rsidR="00A70900" w:rsidRPr="000F2D4C" w:rsidRDefault="00A70900">
            <w:pPr>
              <w:pStyle w:val="Tablebodytext"/>
            </w:pPr>
            <w:r w:rsidRPr="000F2D4C">
              <w:t>Abbreviated Life Skills Profile (LSP-16)</w:t>
            </w:r>
          </w:p>
        </w:tc>
        <w:tc>
          <w:tcPr>
            <w:tcW w:w="1513" w:type="dxa"/>
          </w:tcPr>
          <w:p w14:paraId="6BC11B8A" w14:textId="77777777" w:rsidR="00A70900" w:rsidRPr="000F2D4C" w:rsidRDefault="00A70900">
            <w:pPr>
              <w:pStyle w:val="Tablebodytext"/>
              <w:jc w:val="center"/>
            </w:pPr>
          </w:p>
        </w:tc>
        <w:tc>
          <w:tcPr>
            <w:tcW w:w="719" w:type="dxa"/>
          </w:tcPr>
          <w:p w14:paraId="6A4A70E5" w14:textId="77777777" w:rsidR="00A70900" w:rsidRPr="000F2D4C" w:rsidRDefault="00A70900">
            <w:pPr>
              <w:pStyle w:val="Tablebodytext"/>
              <w:jc w:val="center"/>
            </w:pPr>
            <w:r w:rsidRPr="000F2D4C">
              <w:t>X</w:t>
            </w:r>
          </w:p>
        </w:tc>
      </w:tr>
      <w:tr w:rsidR="00A70900" w:rsidRPr="000F2D4C" w14:paraId="51F6AE53" w14:textId="77777777">
        <w:trPr>
          <w:cnfStyle w:val="000000100000" w:firstRow="0" w:lastRow="0" w:firstColumn="0" w:lastColumn="0" w:oddVBand="0" w:evenVBand="0" w:oddHBand="1" w:evenHBand="0" w:firstRowFirstColumn="0" w:firstRowLastColumn="0" w:lastRowFirstColumn="0" w:lastRowLastColumn="0"/>
        </w:trPr>
        <w:tc>
          <w:tcPr>
            <w:tcW w:w="867" w:type="dxa"/>
          </w:tcPr>
          <w:p w14:paraId="785DA96A" w14:textId="77777777" w:rsidR="00A70900" w:rsidRPr="000F2D4C" w:rsidRDefault="00A70900">
            <w:pPr>
              <w:pStyle w:val="Tablebodytext"/>
              <w:jc w:val="center"/>
            </w:pPr>
            <w:r w:rsidRPr="000F2D4C">
              <w:t>X</w:t>
            </w:r>
          </w:p>
        </w:tc>
        <w:tc>
          <w:tcPr>
            <w:tcW w:w="777" w:type="dxa"/>
          </w:tcPr>
          <w:p w14:paraId="3C394683" w14:textId="77777777" w:rsidR="00A70900" w:rsidRPr="000F2D4C" w:rsidRDefault="00A70900">
            <w:pPr>
              <w:pStyle w:val="Tablebodytext"/>
              <w:jc w:val="center"/>
            </w:pPr>
            <w:r w:rsidRPr="000F2D4C">
              <w:t>X</w:t>
            </w:r>
          </w:p>
        </w:tc>
        <w:tc>
          <w:tcPr>
            <w:tcW w:w="3864" w:type="dxa"/>
          </w:tcPr>
          <w:p w14:paraId="7C52E4EE" w14:textId="77777777" w:rsidR="00A70900" w:rsidRPr="000F2D4C" w:rsidRDefault="00A70900">
            <w:pPr>
              <w:pStyle w:val="Tablebodytext"/>
            </w:pPr>
            <w:r w:rsidRPr="000F2D4C">
              <w:t>Kessler Psychological Distress Scale (K10)</w:t>
            </w:r>
          </w:p>
        </w:tc>
        <w:tc>
          <w:tcPr>
            <w:tcW w:w="1513" w:type="dxa"/>
          </w:tcPr>
          <w:p w14:paraId="13257A65" w14:textId="77777777" w:rsidR="00A70900" w:rsidRPr="000F2D4C" w:rsidRDefault="00A70900">
            <w:pPr>
              <w:pStyle w:val="Tablebodytext"/>
              <w:jc w:val="center"/>
            </w:pPr>
          </w:p>
        </w:tc>
        <w:tc>
          <w:tcPr>
            <w:tcW w:w="719" w:type="dxa"/>
          </w:tcPr>
          <w:p w14:paraId="1FD538F4" w14:textId="77777777" w:rsidR="00A70900" w:rsidRPr="000F2D4C" w:rsidRDefault="00A70900">
            <w:pPr>
              <w:pStyle w:val="Tablebodytext"/>
              <w:jc w:val="center"/>
            </w:pPr>
            <w:r w:rsidRPr="000F2D4C">
              <w:t>X</w:t>
            </w:r>
          </w:p>
        </w:tc>
      </w:tr>
      <w:tr w:rsidR="00A70900" w:rsidRPr="000F2D4C" w14:paraId="524F76C0" w14:textId="77777777">
        <w:trPr>
          <w:cnfStyle w:val="000000010000" w:firstRow="0" w:lastRow="0" w:firstColumn="0" w:lastColumn="0" w:oddVBand="0" w:evenVBand="0" w:oddHBand="0" w:evenHBand="1" w:firstRowFirstColumn="0" w:firstRowLastColumn="0" w:lastRowFirstColumn="0" w:lastRowLastColumn="0"/>
        </w:trPr>
        <w:tc>
          <w:tcPr>
            <w:tcW w:w="867" w:type="dxa"/>
          </w:tcPr>
          <w:p w14:paraId="7F8A7D24" w14:textId="77777777" w:rsidR="00A70900" w:rsidRPr="000F2D4C" w:rsidRDefault="00A70900">
            <w:pPr>
              <w:jc w:val="center"/>
            </w:pPr>
          </w:p>
        </w:tc>
        <w:tc>
          <w:tcPr>
            <w:tcW w:w="777" w:type="dxa"/>
          </w:tcPr>
          <w:p w14:paraId="7EEFC9DB" w14:textId="77777777" w:rsidR="00A70900" w:rsidRPr="000F2D4C" w:rsidRDefault="00A70900">
            <w:pPr>
              <w:pStyle w:val="Tablebodytext"/>
              <w:jc w:val="center"/>
            </w:pPr>
            <w:r w:rsidRPr="000F2D4C">
              <w:t>X</w:t>
            </w:r>
          </w:p>
        </w:tc>
        <w:tc>
          <w:tcPr>
            <w:tcW w:w="3864" w:type="dxa"/>
          </w:tcPr>
          <w:p w14:paraId="501FD975" w14:textId="77777777" w:rsidR="00A70900" w:rsidRPr="000F2D4C" w:rsidRDefault="00A70900">
            <w:pPr>
              <w:pStyle w:val="Tablebodytext"/>
            </w:pPr>
            <w:r w:rsidRPr="000F2D4C">
              <w:t>Kessler-5 (K5; for Aboriginal and Torres Strait Islander people if considered more appropriate)</w:t>
            </w:r>
          </w:p>
        </w:tc>
        <w:tc>
          <w:tcPr>
            <w:tcW w:w="1513" w:type="dxa"/>
          </w:tcPr>
          <w:p w14:paraId="70E643EE" w14:textId="77777777" w:rsidR="00A70900" w:rsidRPr="000F2D4C" w:rsidRDefault="00A70900">
            <w:pPr>
              <w:pStyle w:val="Tablebodytext"/>
              <w:jc w:val="center"/>
            </w:pPr>
          </w:p>
        </w:tc>
        <w:tc>
          <w:tcPr>
            <w:tcW w:w="719" w:type="dxa"/>
          </w:tcPr>
          <w:p w14:paraId="4CC8E6EA" w14:textId="77777777" w:rsidR="00A70900" w:rsidRPr="000F2D4C" w:rsidRDefault="00A70900">
            <w:pPr>
              <w:pStyle w:val="Tablebodytext"/>
              <w:jc w:val="center"/>
            </w:pPr>
            <w:r w:rsidRPr="000F2D4C">
              <w:t>X</w:t>
            </w:r>
          </w:p>
        </w:tc>
      </w:tr>
      <w:tr w:rsidR="00A70900" w:rsidRPr="000F2D4C" w14:paraId="06410110" w14:textId="77777777">
        <w:trPr>
          <w:cnfStyle w:val="000000100000" w:firstRow="0" w:lastRow="0" w:firstColumn="0" w:lastColumn="0" w:oddVBand="0" w:evenVBand="0" w:oddHBand="1" w:evenHBand="0" w:firstRowFirstColumn="0" w:firstRowLastColumn="0" w:lastRowFirstColumn="0" w:lastRowLastColumn="0"/>
        </w:trPr>
        <w:tc>
          <w:tcPr>
            <w:tcW w:w="867" w:type="dxa"/>
          </w:tcPr>
          <w:p w14:paraId="4D8B7220" w14:textId="77777777" w:rsidR="00A70900" w:rsidRPr="000F2D4C" w:rsidRDefault="00A70900">
            <w:pPr>
              <w:pStyle w:val="Tablebodytext"/>
              <w:jc w:val="center"/>
            </w:pPr>
            <w:r w:rsidRPr="000F2D4C">
              <w:t>X</w:t>
            </w:r>
          </w:p>
        </w:tc>
        <w:tc>
          <w:tcPr>
            <w:tcW w:w="777" w:type="dxa"/>
          </w:tcPr>
          <w:p w14:paraId="79A60F50" w14:textId="77777777" w:rsidR="00A70900" w:rsidRPr="000F2D4C" w:rsidRDefault="00A70900">
            <w:pPr>
              <w:pStyle w:val="Tablebodytext"/>
            </w:pPr>
          </w:p>
        </w:tc>
        <w:tc>
          <w:tcPr>
            <w:tcW w:w="3864" w:type="dxa"/>
          </w:tcPr>
          <w:p w14:paraId="72A65A28" w14:textId="31ADC83F" w:rsidR="00A70900" w:rsidRPr="000F2D4C" w:rsidRDefault="00A70900">
            <w:pPr>
              <w:pStyle w:val="Tablebodytext"/>
            </w:pPr>
            <w:r w:rsidRPr="000F2D4C">
              <w:t>Behavior and Symptom Identification Scale (BASIS-32)</w:t>
            </w:r>
          </w:p>
        </w:tc>
        <w:tc>
          <w:tcPr>
            <w:tcW w:w="1513" w:type="dxa"/>
          </w:tcPr>
          <w:p w14:paraId="72DDB886" w14:textId="77777777" w:rsidR="00A70900" w:rsidRPr="000F2D4C" w:rsidRDefault="00A70900">
            <w:pPr>
              <w:pStyle w:val="Tablebodytext"/>
              <w:jc w:val="center"/>
            </w:pPr>
          </w:p>
        </w:tc>
        <w:tc>
          <w:tcPr>
            <w:tcW w:w="719" w:type="dxa"/>
          </w:tcPr>
          <w:p w14:paraId="3EFCE098" w14:textId="77777777" w:rsidR="00A70900" w:rsidRPr="000F2D4C" w:rsidRDefault="00A70900">
            <w:pPr>
              <w:pStyle w:val="Tablebodytext"/>
              <w:jc w:val="center"/>
            </w:pPr>
            <w:r w:rsidRPr="000F2D4C">
              <w:t>X</w:t>
            </w:r>
          </w:p>
        </w:tc>
      </w:tr>
      <w:tr w:rsidR="00A70900" w:rsidRPr="000F2D4C" w14:paraId="19D352DD" w14:textId="77777777">
        <w:trPr>
          <w:cnfStyle w:val="000000010000" w:firstRow="0" w:lastRow="0" w:firstColumn="0" w:lastColumn="0" w:oddVBand="0" w:evenVBand="0" w:oddHBand="0" w:evenHBand="1" w:firstRowFirstColumn="0" w:firstRowLastColumn="0" w:lastRowFirstColumn="0" w:lastRowLastColumn="0"/>
        </w:trPr>
        <w:tc>
          <w:tcPr>
            <w:tcW w:w="867" w:type="dxa"/>
          </w:tcPr>
          <w:p w14:paraId="06D26E20" w14:textId="77777777" w:rsidR="00A70900" w:rsidRPr="000F2D4C" w:rsidRDefault="00A70900">
            <w:pPr>
              <w:pStyle w:val="Tablebodytext"/>
              <w:jc w:val="center"/>
            </w:pPr>
            <w:r w:rsidRPr="000F2D4C">
              <w:t>X</w:t>
            </w:r>
          </w:p>
        </w:tc>
        <w:tc>
          <w:tcPr>
            <w:tcW w:w="777" w:type="dxa"/>
          </w:tcPr>
          <w:p w14:paraId="51D774A7" w14:textId="77777777" w:rsidR="00A70900" w:rsidRPr="000F2D4C" w:rsidRDefault="00A70900">
            <w:pPr>
              <w:pStyle w:val="Tablebodytext"/>
            </w:pPr>
          </w:p>
        </w:tc>
        <w:tc>
          <w:tcPr>
            <w:tcW w:w="3864" w:type="dxa"/>
          </w:tcPr>
          <w:p w14:paraId="51A2F8E4" w14:textId="77777777" w:rsidR="00A70900" w:rsidRPr="000F2D4C" w:rsidRDefault="00A70900">
            <w:pPr>
              <w:pStyle w:val="Tablebodytext"/>
            </w:pPr>
            <w:r w:rsidRPr="000F2D4C">
              <w:t>Mental Health Inventory (MHI-38)</w:t>
            </w:r>
          </w:p>
        </w:tc>
        <w:tc>
          <w:tcPr>
            <w:tcW w:w="1513" w:type="dxa"/>
          </w:tcPr>
          <w:p w14:paraId="743334F1" w14:textId="77777777" w:rsidR="00A70900" w:rsidRPr="000F2D4C" w:rsidRDefault="00A70900">
            <w:pPr>
              <w:pStyle w:val="Tablebodytext"/>
              <w:jc w:val="center"/>
            </w:pPr>
          </w:p>
        </w:tc>
        <w:tc>
          <w:tcPr>
            <w:tcW w:w="719" w:type="dxa"/>
          </w:tcPr>
          <w:p w14:paraId="6B82F3E4" w14:textId="77777777" w:rsidR="00A70900" w:rsidRPr="000F2D4C" w:rsidRDefault="00A70900">
            <w:pPr>
              <w:pStyle w:val="Tablebodytext"/>
              <w:jc w:val="center"/>
            </w:pPr>
            <w:r w:rsidRPr="000F2D4C">
              <w:t>X</w:t>
            </w:r>
          </w:p>
        </w:tc>
      </w:tr>
      <w:tr w:rsidR="00A70900" w:rsidRPr="000F2D4C" w14:paraId="62F5ADAD" w14:textId="77777777">
        <w:trPr>
          <w:cnfStyle w:val="000000100000" w:firstRow="0" w:lastRow="0" w:firstColumn="0" w:lastColumn="0" w:oddVBand="0" w:evenVBand="0" w:oddHBand="1" w:evenHBand="0" w:firstRowFirstColumn="0" w:firstRowLastColumn="0" w:lastRowFirstColumn="0" w:lastRowLastColumn="0"/>
        </w:trPr>
        <w:tc>
          <w:tcPr>
            <w:tcW w:w="867" w:type="dxa"/>
          </w:tcPr>
          <w:p w14:paraId="5B1EA474" w14:textId="77777777" w:rsidR="00A70900" w:rsidRPr="000F2D4C" w:rsidRDefault="00A70900">
            <w:pPr>
              <w:pStyle w:val="Tablebodytext"/>
              <w:jc w:val="center"/>
            </w:pPr>
            <w:r w:rsidRPr="000F2D4C">
              <w:t>X</w:t>
            </w:r>
          </w:p>
        </w:tc>
        <w:tc>
          <w:tcPr>
            <w:tcW w:w="777" w:type="dxa"/>
          </w:tcPr>
          <w:p w14:paraId="4197CA83" w14:textId="77777777" w:rsidR="00A70900" w:rsidRPr="000F2D4C" w:rsidRDefault="00A70900">
            <w:pPr>
              <w:pStyle w:val="Tablebodytext"/>
              <w:jc w:val="center"/>
            </w:pPr>
            <w:r w:rsidRPr="000F2D4C">
              <w:t>X</w:t>
            </w:r>
          </w:p>
        </w:tc>
        <w:tc>
          <w:tcPr>
            <w:tcW w:w="3864" w:type="dxa"/>
          </w:tcPr>
          <w:p w14:paraId="7740CB4B" w14:textId="77777777" w:rsidR="00A70900" w:rsidRPr="000F2D4C" w:rsidRDefault="00A70900">
            <w:pPr>
              <w:pStyle w:val="Tablebodytext"/>
            </w:pPr>
            <w:r w:rsidRPr="000F2D4C">
              <w:t>Strengths and Difficulties Questionnaire (SDQ)</w:t>
            </w:r>
          </w:p>
        </w:tc>
        <w:tc>
          <w:tcPr>
            <w:tcW w:w="1513" w:type="dxa"/>
          </w:tcPr>
          <w:p w14:paraId="0BC3F5EF" w14:textId="77777777" w:rsidR="00A70900" w:rsidRPr="000F2D4C" w:rsidRDefault="00A70900">
            <w:pPr>
              <w:pStyle w:val="Tablebodytext"/>
              <w:jc w:val="center"/>
            </w:pPr>
            <w:r w:rsidRPr="000F2D4C">
              <w:t>X</w:t>
            </w:r>
          </w:p>
        </w:tc>
        <w:tc>
          <w:tcPr>
            <w:tcW w:w="719" w:type="dxa"/>
          </w:tcPr>
          <w:p w14:paraId="77BE84B3" w14:textId="77777777" w:rsidR="00A70900" w:rsidRPr="000F2D4C" w:rsidRDefault="00A70900">
            <w:pPr>
              <w:pStyle w:val="Tablebodytext"/>
              <w:jc w:val="center"/>
            </w:pPr>
          </w:p>
        </w:tc>
      </w:tr>
      <w:tr w:rsidR="00A70900" w:rsidRPr="000F2D4C" w14:paraId="2B82FE27" w14:textId="77777777">
        <w:trPr>
          <w:cnfStyle w:val="000000010000" w:firstRow="0" w:lastRow="0" w:firstColumn="0" w:lastColumn="0" w:oddVBand="0" w:evenVBand="0" w:oddHBand="0" w:evenHBand="1" w:firstRowFirstColumn="0" w:firstRowLastColumn="0" w:lastRowFirstColumn="0" w:lastRowLastColumn="0"/>
        </w:trPr>
        <w:tc>
          <w:tcPr>
            <w:tcW w:w="867" w:type="dxa"/>
          </w:tcPr>
          <w:p w14:paraId="0614C05C" w14:textId="77777777" w:rsidR="00A70900" w:rsidRPr="000F2D4C" w:rsidRDefault="00A70900">
            <w:pPr>
              <w:pStyle w:val="Tablebodytext"/>
              <w:jc w:val="center"/>
            </w:pPr>
            <w:r w:rsidRPr="000F2D4C">
              <w:t>X</w:t>
            </w:r>
          </w:p>
        </w:tc>
        <w:tc>
          <w:tcPr>
            <w:tcW w:w="777" w:type="dxa"/>
          </w:tcPr>
          <w:p w14:paraId="65243C39" w14:textId="77777777" w:rsidR="00A70900" w:rsidRPr="000F2D4C" w:rsidRDefault="00A70900">
            <w:pPr>
              <w:pStyle w:val="Tablebodytext"/>
            </w:pPr>
          </w:p>
        </w:tc>
        <w:tc>
          <w:tcPr>
            <w:tcW w:w="3864" w:type="dxa"/>
          </w:tcPr>
          <w:p w14:paraId="3A273664" w14:textId="77777777" w:rsidR="00A70900" w:rsidRPr="000F2D4C" w:rsidRDefault="00A70900">
            <w:pPr>
              <w:pStyle w:val="Tablebodytext"/>
            </w:pPr>
            <w:r w:rsidRPr="000F2D4C">
              <w:t>Living in the Community Questionnaire (LCQ)</w:t>
            </w:r>
          </w:p>
        </w:tc>
        <w:tc>
          <w:tcPr>
            <w:tcW w:w="1513" w:type="dxa"/>
          </w:tcPr>
          <w:p w14:paraId="0D5E7272" w14:textId="77777777" w:rsidR="00A70900" w:rsidRPr="000F2D4C" w:rsidRDefault="00A70900">
            <w:pPr>
              <w:pStyle w:val="Tablebodytext"/>
              <w:jc w:val="center"/>
            </w:pPr>
          </w:p>
        </w:tc>
        <w:tc>
          <w:tcPr>
            <w:tcW w:w="719" w:type="dxa"/>
          </w:tcPr>
          <w:p w14:paraId="7B594A44" w14:textId="77777777" w:rsidR="00A70900" w:rsidRPr="000F2D4C" w:rsidRDefault="00A70900">
            <w:pPr>
              <w:pStyle w:val="Tablebodytext"/>
              <w:jc w:val="center"/>
            </w:pPr>
            <w:r w:rsidRPr="000F2D4C">
              <w:t>X</w:t>
            </w:r>
          </w:p>
        </w:tc>
      </w:tr>
      <w:tr w:rsidR="00A70900" w:rsidRPr="000F2D4C" w14:paraId="00DCFBEF" w14:textId="77777777">
        <w:trPr>
          <w:cnfStyle w:val="000000100000" w:firstRow="0" w:lastRow="0" w:firstColumn="0" w:lastColumn="0" w:oddVBand="0" w:evenVBand="0" w:oddHBand="1" w:evenHBand="0" w:firstRowFirstColumn="0" w:firstRowLastColumn="0" w:lastRowFirstColumn="0" w:lastRowLastColumn="0"/>
        </w:trPr>
        <w:tc>
          <w:tcPr>
            <w:tcW w:w="867" w:type="dxa"/>
          </w:tcPr>
          <w:p w14:paraId="5B5CE3ED" w14:textId="77777777" w:rsidR="00A70900" w:rsidRPr="000F2D4C" w:rsidRDefault="00A70900">
            <w:pPr>
              <w:pStyle w:val="Tablebodytext"/>
              <w:jc w:val="center"/>
            </w:pPr>
            <w:r w:rsidRPr="000F2D4C">
              <w:t>X</w:t>
            </w:r>
          </w:p>
        </w:tc>
        <w:tc>
          <w:tcPr>
            <w:tcW w:w="777" w:type="dxa"/>
          </w:tcPr>
          <w:p w14:paraId="15A0D910" w14:textId="77777777" w:rsidR="00A70900" w:rsidRPr="000F2D4C" w:rsidRDefault="00A70900">
            <w:pPr>
              <w:pStyle w:val="Tablebodytext"/>
            </w:pPr>
          </w:p>
        </w:tc>
        <w:tc>
          <w:tcPr>
            <w:tcW w:w="3864" w:type="dxa"/>
          </w:tcPr>
          <w:p w14:paraId="56B3E5BF" w14:textId="77777777" w:rsidR="00A70900" w:rsidRPr="000F2D4C" w:rsidRDefault="00A70900">
            <w:pPr>
              <w:pStyle w:val="Tablebodytext"/>
            </w:pPr>
            <w:r w:rsidRPr="000F2D4C">
              <w:t>Factors Influencing Health Status (FIHS; not an outcomes measure but important to interpret outcomes data)</w:t>
            </w:r>
          </w:p>
        </w:tc>
        <w:tc>
          <w:tcPr>
            <w:tcW w:w="1513" w:type="dxa"/>
          </w:tcPr>
          <w:p w14:paraId="4E81AD4C" w14:textId="77777777" w:rsidR="00A70900" w:rsidRPr="000F2D4C" w:rsidRDefault="00A70900">
            <w:pPr>
              <w:pStyle w:val="Tablebodytext"/>
              <w:jc w:val="center"/>
            </w:pPr>
          </w:p>
        </w:tc>
        <w:tc>
          <w:tcPr>
            <w:tcW w:w="719" w:type="dxa"/>
          </w:tcPr>
          <w:p w14:paraId="5FE21F70" w14:textId="77777777" w:rsidR="00A70900" w:rsidRPr="000F2D4C" w:rsidRDefault="00A70900">
            <w:pPr>
              <w:pStyle w:val="Tablebodytext"/>
              <w:jc w:val="center"/>
            </w:pPr>
            <w:r w:rsidRPr="000F2D4C">
              <w:t>X</w:t>
            </w:r>
          </w:p>
        </w:tc>
      </w:tr>
    </w:tbl>
    <w:p w14:paraId="38B9B70C" w14:textId="77777777" w:rsidR="00A70900" w:rsidRPr="000F2D4C" w:rsidRDefault="00A70900" w:rsidP="00A70900"/>
    <w:p w14:paraId="24BAD7EB" w14:textId="6D21353A" w:rsidR="00A44304" w:rsidRPr="000F2D4C" w:rsidRDefault="00A70900" w:rsidP="00A44304">
      <w:r w:rsidRPr="000F2D4C">
        <w:t>Whe</w:t>
      </w:r>
      <w:r w:rsidR="00A44304" w:rsidRPr="000F2D4C">
        <w:t>n</w:t>
      </w:r>
      <w:r w:rsidRPr="000F2D4C">
        <w:t xml:space="preserve"> set measures are not already collected as part of standard data collection, the figure below provides some guidance on the focus of the outcome</w:t>
      </w:r>
      <w:r w:rsidR="008D7D33" w:rsidRPr="000F2D4C">
        <w:t>s</w:t>
      </w:r>
      <w:r w:rsidRPr="000F2D4C">
        <w:t xml:space="preserve"> measures and whether they are mental health or suicide specific</w:t>
      </w:r>
      <w:r w:rsidR="7662DAAC" w:rsidRPr="000F2D4C">
        <w:t>,</w:t>
      </w:r>
      <w:r w:rsidRPr="000F2D4C">
        <w:t xml:space="preserve"> to help funders, program staff</w:t>
      </w:r>
      <w:r w:rsidR="5F99AD8B" w:rsidRPr="000F2D4C">
        <w:t>,</w:t>
      </w:r>
      <w:r w:rsidRPr="000F2D4C">
        <w:t xml:space="preserve"> and evaluators identify their appropriateness for their program. </w:t>
      </w:r>
      <w:r w:rsidR="000C53A8" w:rsidRPr="000F2D4C">
        <w:t xml:space="preserve">Figure 9 </w:t>
      </w:r>
      <w:r w:rsidR="00A44304" w:rsidRPr="000F2D4C">
        <w:t xml:space="preserve">also identifies some potential additional measures that are not captured in standard measures – focused on recovery and suicidality – that organisations may consider using for evaluation, where recovery or reducing suicidality are among their intended outcomes. </w:t>
      </w:r>
    </w:p>
    <w:p w14:paraId="263489B1" w14:textId="6DE82BA5" w:rsidR="00A70900" w:rsidRPr="000F2D4C" w:rsidRDefault="00A70900" w:rsidP="0064773B">
      <w:r w:rsidRPr="000F2D4C">
        <w:t xml:space="preserve">Appendix </w:t>
      </w:r>
      <w:r w:rsidR="00A44304" w:rsidRPr="000F2D4C">
        <w:t>5</w:t>
      </w:r>
      <w:r w:rsidRPr="000F2D4C">
        <w:t xml:space="preserve"> provides further detail about all of the standard measures, noting that consideration also needs to be given to their appropriateness for different priority populations.</w:t>
      </w:r>
    </w:p>
    <w:p w14:paraId="48DE7FA3" w14:textId="77777777" w:rsidR="00F4455C" w:rsidRPr="000F2D4C" w:rsidRDefault="00F4455C" w:rsidP="00F4455C">
      <w:pPr>
        <w:sectPr w:rsidR="00F4455C" w:rsidRPr="000F2D4C" w:rsidSect="00324725">
          <w:headerReference w:type="default" r:id="rId86"/>
          <w:footerReference w:type="default" r:id="rId87"/>
          <w:headerReference w:type="first" r:id="rId88"/>
          <w:pgSz w:w="11906" w:h="16838" w:code="9"/>
          <w:pgMar w:top="1418" w:right="1418" w:bottom="1418" w:left="2268" w:header="561" w:footer="57" w:gutter="0"/>
          <w:cols w:space="708"/>
          <w:docGrid w:linePitch="360"/>
        </w:sectPr>
      </w:pPr>
    </w:p>
    <w:p w14:paraId="1AD359F2" w14:textId="07FEEF67" w:rsidR="00A70900" w:rsidRPr="000F2D4C" w:rsidRDefault="00A70900" w:rsidP="00A70900">
      <w:pPr>
        <w:pStyle w:val="FigureHeading"/>
      </w:pPr>
      <w:r w:rsidRPr="000F2D4C">
        <w:lastRenderedPageBreak/>
        <w:t>Focus of existing outcome</w:t>
      </w:r>
      <w:r w:rsidR="008D7D33" w:rsidRPr="000F2D4C">
        <w:t>s</w:t>
      </w:r>
      <w:r w:rsidRPr="000F2D4C">
        <w:t xml:space="preserve"> measures</w:t>
      </w:r>
    </w:p>
    <w:p w14:paraId="392E6890" w14:textId="77777777" w:rsidR="00A70900" w:rsidRPr="000F2D4C" w:rsidRDefault="00A70900" w:rsidP="00A70900">
      <w:pPr>
        <w:jc w:val="center"/>
        <w:rPr>
          <w:noProof/>
          <w:sz w:val="16"/>
          <w:szCs w:val="16"/>
        </w:rPr>
      </w:pPr>
      <w:r w:rsidRPr="000F2D4C">
        <w:rPr>
          <w:noProof/>
          <w:sz w:val="16"/>
          <w:szCs w:val="16"/>
        </w:rPr>
        <w:drawing>
          <wp:inline distT="0" distB="0" distL="0" distR="0" wp14:anchorId="32638E55" wp14:editId="55EE9220">
            <wp:extent cx="6969126" cy="5157003"/>
            <wp:effectExtent l="0" t="0" r="3175" b="5715"/>
            <wp:docPr id="323538023" name="Picture 323538023" descr="Mental health specific outcomes measures: Depression, Anxiety and Stress Scale (DASS) Strengths and Difficulties Questionnaire (SDQ)* Dialectical Behaviour Therapy Ways of Coping Checklist (DBT-WCCL) Brief Family Distress Scale (BFDS) Connor-Davidson Resilience Scale (CR-RISC) Feel better Kessler Psychological Distress Scale (K10)* Kessler-5 (K5)* Behaviour and Symptom Identification Scale (BASIS-32).* Outcomes: Behaviours Resilience Increase / decrease wellbeing Distress&#10;Broader measures: Recovery Assessment Scale -Domains and Stages (RAS-DS) Questionnaire about the Process of Recovery (QPR) HaPI Life Skills Profile (LSP-16)* Outcomes: Recovery appraisal Seeking Help Lifestyle Functioning / not functioning&#10;Suicide prevention specific: Suicidal Ideation Attributes Scale (SIDAS) Beck Scale for Suicidal Ideation (BSS). Outcomes: Reduction of attempting Ideation reduction Reduction of Emergency Department presentations Exposure awareness. Note: NMH&amp;WB collects exposure to suicide data as those exposed to suicide are higher risk of suicide. SEES has an evidence base for examining impact of this exposure.&#10;QOL DOH SDOMH: Physical Health Living in the Community Questionnaire (LCQ)* Work and Social Adjustment Scale (WSAS) HaPI Factors Influencing Health Staus (FIHS)* Health of the Nation Outcome Scale (HoNOS/ HoNOS65+)* Health of the Nation Outcome Scale for Children and Adolescents (HoNOSCA)* Outcomes: Overall function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38023" name="Picture 323538023" descr="Mental health specific outcomes measures: Depression, Anxiety and Stress Scale (DASS) Strengths and Difficulties Questionnaire (SDQ)* Dialectical Behaviour Therapy Ways of Coping Checklist (DBT-WCCL) Brief Family Distress Scale (BFDS) Connor-Davidson Resilience Scale (CR-RISC) Feel better Kessler Psychological Distress Scale (K10)* Kessler-5 (K5)* Behaviour and Symptom Identification Scale (BASIS-32).* Outcomes: Behaviours Resilience Increase / decrease wellbeing Distress&#10;Broader measures: Recovery Assessment Scale -Domains and Stages (RAS-DS) Questionnaire about the Process of Recovery (QPR) HaPI Life Skills Profile (LSP-16)* Outcomes: Recovery appraisal Seeking Help Lifestyle Functioning / not functioning&#10;Suicide prevention specific: Suicidal Ideation Attributes Scale (SIDAS) Beck Scale for Suicidal Ideation (BSS). Outcomes: Reduction of attempting Ideation reduction Reduction of Emergency Department presentations Exposure awareness. Note: NMH&amp;WB collects exposure to suicide data as those exposed to suicide are higher risk of suicide. SEES has an evidence base for examining impact of this exposure.&#10;QOL DOH SDOMH: Physical Health Living in the Community Questionnaire (LCQ)* Work and Social Adjustment Scale (WSAS) HaPI Factors Influencing Health Staus (FIHS)* Health of the Nation Outcome Scale (HoNOS/ HoNOS65+)* Health of the Nation Outcome Scale for Children and Adolescents (HoNOSCA)* Outcomes: Overall functioning.&#10;"/>
                    <pic:cNvPicPr/>
                  </pic:nvPicPr>
                  <pic:blipFill>
                    <a:blip r:embed="rId89" cstate="print">
                      <a:extLst>
                        <a:ext uri="{28A0092B-C50C-407E-A947-70E740481C1C}">
                          <a14:useLocalDpi xmlns:a14="http://schemas.microsoft.com/office/drawing/2010/main" val="0"/>
                        </a:ext>
                      </a:extLst>
                    </a:blip>
                    <a:srcRect l="2228" r="2228"/>
                    <a:stretch>
                      <a:fillRect/>
                    </a:stretch>
                  </pic:blipFill>
                  <pic:spPr bwMode="auto">
                    <a:xfrm>
                      <a:off x="0" y="0"/>
                      <a:ext cx="6969126" cy="5157003"/>
                    </a:xfrm>
                    <a:prstGeom prst="rect">
                      <a:avLst/>
                    </a:prstGeom>
                    <a:ln>
                      <a:noFill/>
                    </a:ln>
                    <a:extLst>
                      <a:ext uri="{53640926-AAD7-44D8-BBD7-CCE9431645EC}">
                        <a14:shadowObscured xmlns:a14="http://schemas.microsoft.com/office/drawing/2010/main"/>
                      </a:ext>
                    </a:extLst>
                  </pic:spPr>
                </pic:pic>
              </a:graphicData>
            </a:graphic>
          </wp:inline>
        </w:drawing>
      </w:r>
    </w:p>
    <w:p w14:paraId="446E3960" w14:textId="1DB29E53" w:rsidR="00A70900" w:rsidRPr="000F2D4C" w:rsidRDefault="00A70900" w:rsidP="00A70900">
      <w:pPr>
        <w:rPr>
          <w:noProof/>
          <w:sz w:val="16"/>
          <w:szCs w:val="16"/>
        </w:rPr>
      </w:pPr>
      <w:r w:rsidRPr="000F2D4C">
        <w:rPr>
          <w:noProof/>
          <w:sz w:val="16"/>
          <w:szCs w:val="16"/>
        </w:rPr>
        <w:t>*Measures included in either the NOCC or the PMHC-MDS</w:t>
      </w:r>
      <w:r w:rsidR="5EFBA12C" w:rsidRPr="000F2D4C">
        <w:rPr>
          <w:noProof/>
          <w:sz w:val="16"/>
          <w:szCs w:val="16"/>
        </w:rPr>
        <w:t>.</w:t>
      </w:r>
    </w:p>
    <w:p w14:paraId="539BE247" w14:textId="77777777" w:rsidR="00A70900" w:rsidRPr="000F2D4C" w:rsidRDefault="00A70900" w:rsidP="00A70900">
      <w:pPr>
        <w:jc w:val="center"/>
        <w:rPr>
          <w:rFonts w:cstheme="minorHAnsi"/>
          <w:b/>
          <w:i/>
          <w:color w:val="37818A"/>
        </w:rPr>
        <w:sectPr w:rsidR="00A70900" w:rsidRPr="000F2D4C" w:rsidSect="00324725">
          <w:headerReference w:type="default" r:id="rId90"/>
          <w:footerReference w:type="default" r:id="rId91"/>
          <w:pgSz w:w="16838" w:h="11906" w:orient="landscape" w:code="9"/>
          <w:pgMar w:top="851" w:right="1418" w:bottom="1418" w:left="1418" w:header="561" w:footer="57" w:gutter="0"/>
          <w:cols w:space="708"/>
          <w:docGrid w:linePitch="360"/>
        </w:sectPr>
      </w:pPr>
    </w:p>
    <w:p w14:paraId="1E44A5CC" w14:textId="392853C7" w:rsidR="00A70900" w:rsidRPr="000F2D4C" w:rsidRDefault="00A70900" w:rsidP="00D46AF2">
      <w:pPr>
        <w:pStyle w:val="Heading4"/>
      </w:pPr>
      <w:r w:rsidRPr="000F2D4C">
        <w:lastRenderedPageBreak/>
        <w:t xml:space="preserve">Appropriate outcomes measures for Aboriginal </w:t>
      </w:r>
      <w:r w:rsidR="1500BC21" w:rsidRPr="000F2D4C">
        <w:t xml:space="preserve">and Torres Strait Islander </w:t>
      </w:r>
      <w:r w:rsidR="00CF41CB" w:rsidRPr="000F2D4C">
        <w:t>c</w:t>
      </w:r>
      <w:r w:rsidRPr="000F2D4C">
        <w:t>ommunities</w:t>
      </w:r>
    </w:p>
    <w:p w14:paraId="4A993B15" w14:textId="77777777" w:rsidR="00A70900" w:rsidRPr="000F2D4C" w:rsidRDefault="00A70900" w:rsidP="00A70900">
      <w:r w:rsidRPr="000F2D4C">
        <w:t>It is important that evaluations – including of mainstream services – engage Aboriginal and Torres Strait Islander service users to understand whether and how a service is working for them.</w:t>
      </w:r>
    </w:p>
    <w:p w14:paraId="737C6267" w14:textId="30369F4B" w:rsidR="00A70900" w:rsidRPr="000F2D4C" w:rsidRDefault="00A70900" w:rsidP="00A70900">
      <w:r w:rsidRPr="000F2D4C">
        <w:t>In many cases, standardised outcomes measures will not have been tested for their appropriateness for Aboriginal and Torres Strait Islander communities. Of the measures in the minimum data</w:t>
      </w:r>
      <w:r w:rsidR="39B80D1C" w:rsidRPr="000F2D4C">
        <w:t xml:space="preserve"> </w:t>
      </w:r>
      <w:r w:rsidRPr="000F2D4C">
        <w:t>sets, the K-5 has more commonly been used with Aboriginal and Torres Strait Islander communities.</w:t>
      </w:r>
    </w:p>
    <w:p w14:paraId="05D7F817" w14:textId="1354DC93" w:rsidR="00A70900" w:rsidRPr="000F2D4C" w:rsidRDefault="00A70900" w:rsidP="00A70900">
      <w:r w:rsidRPr="000F2D4C">
        <w:t>A more holistic consideration of outcomes is likely to better capture the value of a program. While the National Aboriginal and Torres Strait Islander Suicide Prevention Strategy is still under development, (as at October 2023)</w:t>
      </w:r>
      <w:r w:rsidR="161FB3C4" w:rsidRPr="000F2D4C">
        <w:t>,</w:t>
      </w:r>
      <w:r w:rsidRPr="000F2D4C">
        <w:t xml:space="preserve"> the National Strategic Framework for Aboriginal and Torres Strait Islander Peoples’ Mental Health and Social and Emotional Wellbeing 2017-2023</w:t>
      </w:r>
      <w:r w:rsidRPr="000F2D4C">
        <w:rPr>
          <w:rStyle w:val="FootnoteReference"/>
        </w:rPr>
        <w:footnoteReference w:id="31"/>
      </w:r>
      <w:r w:rsidRPr="000F2D4C">
        <w:t xml:space="preserve"> provides some guidance on the domains of social and emotional wellbeing. These are connection</w:t>
      </w:r>
      <w:r w:rsidR="4164B8A5" w:rsidRPr="000F2D4C">
        <w:t>s</w:t>
      </w:r>
      <w:r w:rsidRPr="000F2D4C">
        <w:t xml:space="preserve"> to</w:t>
      </w:r>
      <w:r w:rsidR="006E1F43" w:rsidRPr="000F2D4C">
        <w:t xml:space="preserve"> domains of social and emotional wellbeing outlined in Figure 10</w:t>
      </w:r>
      <w:r w:rsidR="00E21FDC" w:rsidRPr="000F2D4C">
        <w:t>.</w:t>
      </w:r>
      <w:r w:rsidRPr="000F2D4C">
        <w:t xml:space="preserve"> </w:t>
      </w:r>
    </w:p>
    <w:p w14:paraId="4933CAF8" w14:textId="1EAC203E" w:rsidR="0060796F" w:rsidRPr="000F2D4C" w:rsidRDefault="00A07A3A" w:rsidP="00A07A3A">
      <w:pPr>
        <w:pStyle w:val="FigureHeading"/>
      </w:pPr>
      <w:r w:rsidRPr="000F2D4C">
        <w:t>Domains of social and emotional wellbeing</w:t>
      </w:r>
    </w:p>
    <w:p w14:paraId="495548C5" w14:textId="77777777" w:rsidR="00A70900" w:rsidRPr="000F2D4C" w:rsidRDefault="00A70900" w:rsidP="00A70900">
      <w:pPr>
        <w:jc w:val="center"/>
      </w:pPr>
      <w:r w:rsidRPr="000F2D4C">
        <w:rPr>
          <w:noProof/>
        </w:rPr>
        <w:drawing>
          <wp:inline distT="0" distB="0" distL="0" distR="0" wp14:anchorId="419E81AE" wp14:editId="73752B43">
            <wp:extent cx="3699991" cy="3665220"/>
            <wp:effectExtent l="0" t="0" r="0" b="0"/>
            <wp:docPr id="1943078714" name="Picture 1943078714" descr="A circular diagram with self at the centre. Around the centre are segments labelled connection to body, connection to mind and emotions, connection to family and kinship, connection to community, connection to culture, connection to Country, connection to spirit, spirituality and ancestors. The outside of the circle is labelled political determinants, social determinants and historical determin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78714" name="Picture 1943078714" descr="A circular diagram with self at the centre. Around the centre are segments labelled connection to body, connection to mind and emotions, connection to family and kinship, connection to community, connection to culture, connection to Country, connection to spirit, spirituality and ancestors. The outside of the circle is labelled political determinants, social determinants and historical determinants. "/>
                    <pic:cNvPicPr/>
                  </pic:nvPicPr>
                  <pic:blipFill rotWithShape="1">
                    <a:blip r:embed="rId92" cstate="print">
                      <a:extLst>
                        <a:ext uri="{28A0092B-C50C-407E-A947-70E740481C1C}">
                          <a14:useLocalDpi xmlns:a14="http://schemas.microsoft.com/office/drawing/2010/main" val="0"/>
                        </a:ext>
                      </a:extLst>
                    </a:blip>
                    <a:srcRect l="3342" t="18574" r="3262" b="16018"/>
                    <a:stretch/>
                  </pic:blipFill>
                  <pic:spPr bwMode="auto">
                    <a:xfrm>
                      <a:off x="0" y="0"/>
                      <a:ext cx="3722660" cy="3687676"/>
                    </a:xfrm>
                    <a:prstGeom prst="rect">
                      <a:avLst/>
                    </a:prstGeom>
                    <a:ln>
                      <a:noFill/>
                    </a:ln>
                    <a:extLst>
                      <a:ext uri="{53640926-AAD7-44D8-BBD7-CCE9431645EC}">
                        <a14:shadowObscured xmlns:a14="http://schemas.microsoft.com/office/drawing/2010/main"/>
                      </a:ext>
                    </a:extLst>
                  </pic:spPr>
                </pic:pic>
              </a:graphicData>
            </a:graphic>
          </wp:inline>
        </w:drawing>
      </w:r>
    </w:p>
    <w:p w14:paraId="21F71CA0" w14:textId="6AE1AE18" w:rsidR="00F22A15" w:rsidRPr="000F2D4C" w:rsidRDefault="00F22A15" w:rsidP="00F22A15">
      <w:pPr>
        <w:pStyle w:val="Notes"/>
      </w:pPr>
      <w:r w:rsidRPr="000F2D4C">
        <w:t xml:space="preserve">Source: </w:t>
      </w:r>
    </w:p>
    <w:p w14:paraId="29A0D7CE" w14:textId="5E6C995E" w:rsidR="001614F2" w:rsidRPr="000F2D4C" w:rsidRDefault="00F22A15" w:rsidP="001614F2">
      <w:pPr>
        <w:pStyle w:val="Notes"/>
      </w:pPr>
      <w:r w:rsidRPr="000F2D4C">
        <w:t xml:space="preserve">Gee, </w:t>
      </w:r>
      <w:r w:rsidR="00471720" w:rsidRPr="000F2D4C">
        <w:t xml:space="preserve">G., </w:t>
      </w:r>
      <w:r w:rsidR="00515937" w:rsidRPr="000F2D4C">
        <w:t>Dud</w:t>
      </w:r>
      <w:r w:rsidR="00A9038B" w:rsidRPr="000F2D4C">
        <w:t xml:space="preserve">geon, P., </w:t>
      </w:r>
      <w:r w:rsidR="00334326" w:rsidRPr="000F2D4C">
        <w:t>Schultz</w:t>
      </w:r>
      <w:r w:rsidR="00605C12" w:rsidRPr="000F2D4C">
        <w:t>, C.</w:t>
      </w:r>
      <w:r w:rsidR="00A730C5" w:rsidRPr="000F2D4C">
        <w:t>, Hart, A. &amp; Kelly</w:t>
      </w:r>
      <w:r w:rsidR="00E37F99" w:rsidRPr="000F2D4C">
        <w:t>, K. (2013)</w:t>
      </w:r>
      <w:r w:rsidR="00BF4DB4" w:rsidRPr="000F2D4C">
        <w:t>. Aboriginal and Torres Strait Islander Social and Emotional Wellbeing</w:t>
      </w:r>
      <w:r w:rsidR="00D04394" w:rsidRPr="000F2D4C">
        <w:t xml:space="preserve">. </w:t>
      </w:r>
      <w:r w:rsidR="003255F8" w:rsidRPr="000F2D4C">
        <w:t xml:space="preserve">In </w:t>
      </w:r>
      <w:hyperlink r:id="rId93" w:anchor="page=84" w:history="1">
        <w:r w:rsidR="00160B9E" w:rsidRPr="000F2D4C">
          <w:rPr>
            <w:rStyle w:val="Hyperlink"/>
          </w:rPr>
          <w:t>Working Together</w:t>
        </w:r>
        <w:r w:rsidR="00250F73" w:rsidRPr="000F2D4C">
          <w:rPr>
            <w:rStyle w:val="Hyperlink"/>
          </w:rPr>
          <w:t xml:space="preserve">: Aboriginal </w:t>
        </w:r>
        <w:r w:rsidR="00005951" w:rsidRPr="000F2D4C">
          <w:rPr>
            <w:rStyle w:val="Hyperlink"/>
          </w:rPr>
          <w:t>and Torres Strait Islander Mental Health and Wellbeing Principles and Practice</w:t>
        </w:r>
      </w:hyperlink>
      <w:r w:rsidR="00005951" w:rsidRPr="000F2D4C">
        <w:t>.</w:t>
      </w:r>
      <w:r w:rsidR="001614F2" w:rsidRPr="000F2D4C">
        <w:t xml:space="preserve"> Telethon Institute for Child Health</w:t>
      </w:r>
    </w:p>
    <w:p w14:paraId="3D41B597" w14:textId="6F04D464" w:rsidR="00F22A15" w:rsidRPr="000F2D4C" w:rsidRDefault="001614F2" w:rsidP="00F22A15">
      <w:pPr>
        <w:pStyle w:val="Notes"/>
      </w:pPr>
      <w:r w:rsidRPr="000F2D4C">
        <w:t xml:space="preserve">Research/Kulunga Research Network, in collaboration with the University of Western Australia. </w:t>
      </w:r>
    </w:p>
    <w:p w14:paraId="67D5932B" w14:textId="17340747" w:rsidR="00A70900" w:rsidRPr="000F2D4C" w:rsidRDefault="00A70900" w:rsidP="00A70900">
      <w:pPr>
        <w:rPr>
          <w:rFonts w:ascii="Calibri" w:eastAsia="Times New Roman" w:hAnsi="Calibri"/>
          <w:lang w:eastAsia="en-AU"/>
        </w:rPr>
      </w:pPr>
      <w:r w:rsidRPr="000F2D4C">
        <w:lastRenderedPageBreak/>
        <w:t>The importance of collecting Aboriginal and Torres Strait Islander values-based social and emotional wellbeing and mental health outcome</w:t>
      </w:r>
      <w:r w:rsidR="008D7D33" w:rsidRPr="000F2D4C">
        <w:t>s</w:t>
      </w:r>
      <w:r w:rsidRPr="000F2D4C">
        <w:t xml:space="preserve"> measures</w:t>
      </w:r>
      <w:r w:rsidR="0F12069F" w:rsidRPr="000F2D4C">
        <w:t>,</w:t>
      </w:r>
      <w:r w:rsidRPr="000F2D4C">
        <w:t xml:space="preserve"> in combination with clinical measures</w:t>
      </w:r>
      <w:r w:rsidR="77145FCB" w:rsidRPr="000F2D4C">
        <w:t>,</w:t>
      </w:r>
      <w:r w:rsidRPr="000F2D4C">
        <w:t xml:space="preserve"> for Aboriginal and Torres Strait Islander mental health and suicide prevention services and programs is identified in the </w:t>
      </w:r>
      <w:hyperlink r:id="rId94" w:history="1">
        <w:r w:rsidRPr="000F2D4C">
          <w:rPr>
            <w:rStyle w:val="Hyperlink"/>
            <w:i/>
            <w:iCs/>
          </w:rPr>
          <w:t>Gayaa Dhuwi (Proud Spirit) Declaration</w:t>
        </w:r>
      </w:hyperlink>
      <w:r w:rsidRPr="000F2D4C">
        <w:rPr>
          <w:i/>
          <w:iCs/>
        </w:rPr>
        <w:t xml:space="preserve">: A companion declaration to the </w:t>
      </w:r>
      <w:hyperlink r:id="rId95" w:history="1">
        <w:r w:rsidRPr="000F2D4C">
          <w:rPr>
            <w:rStyle w:val="Hyperlink"/>
            <w:i/>
            <w:iCs/>
          </w:rPr>
          <w:t>Wharerātā Declaration</w:t>
        </w:r>
      </w:hyperlink>
      <w:r w:rsidRPr="000F2D4C">
        <w:t xml:space="preserve">, as well as </w:t>
      </w:r>
      <w:r w:rsidRPr="000F2D4C">
        <w:rPr>
          <w:rFonts w:eastAsia="Times New Roman"/>
          <w:i/>
          <w:iCs/>
        </w:rPr>
        <w:t>Solutions th</w:t>
      </w:r>
      <w:r w:rsidR="248F19FB" w:rsidRPr="000F2D4C">
        <w:rPr>
          <w:rFonts w:eastAsia="Times New Roman"/>
          <w:i/>
          <w:iCs/>
        </w:rPr>
        <w:t>at</w:t>
      </w:r>
      <w:r w:rsidRPr="000F2D4C">
        <w:rPr>
          <w:rFonts w:eastAsia="Times New Roman"/>
          <w:i/>
          <w:iCs/>
        </w:rPr>
        <w:t xml:space="preserve"> work: What the evidence and our people tell us</w:t>
      </w:r>
      <w:r w:rsidRPr="000F2D4C">
        <w:rPr>
          <w:rFonts w:eastAsia="Times New Roman"/>
        </w:rPr>
        <w:t>, Aboriginal and Torres Strait Islander Suicide Prevention Evaluation Project Report</w:t>
      </w:r>
      <w:r w:rsidRPr="000F2D4C">
        <w:rPr>
          <w:rFonts w:eastAsia="Times New Roman"/>
          <w:i/>
          <w:iCs/>
        </w:rPr>
        <w:t>.</w:t>
      </w:r>
      <w:r w:rsidRPr="000F2D4C">
        <w:rPr>
          <w:rStyle w:val="FootnoteReference"/>
          <w:rFonts w:eastAsia="Times New Roman"/>
          <w:i/>
          <w:iCs/>
        </w:rPr>
        <w:footnoteReference w:id="32"/>
      </w:r>
      <w:r w:rsidRPr="000F2D4C">
        <w:rPr>
          <w:rFonts w:eastAsia="Times New Roman"/>
        </w:rPr>
        <w:t xml:space="preserve"> </w:t>
      </w:r>
      <w:r w:rsidRPr="000F2D4C">
        <w:t>The Gayaa Dhuwi Proud Spirit Declaration Implementation Plan – not yet published – is expected to identify indicators with which evaluations could align.</w:t>
      </w:r>
    </w:p>
    <w:p w14:paraId="077BBE27" w14:textId="65BD45DD" w:rsidR="00A70900" w:rsidRPr="000F2D4C" w:rsidRDefault="00A70900" w:rsidP="00A70900">
      <w:r w:rsidRPr="000F2D4C">
        <w:t>The National Strategic Framework for Aboriginal and Torres Strait Islander Peoples’ Mental Health and Social and Emotional Wellbeing 2017-2023 guidance notes that measures should be developed under the leadership of, and in partnership with, Aboriginal and Torres Strait Islander leadership bodies. Indicators should draw on Aboriginal and Torres Strait Islander understandings of how to measure mental health and social and emotional wellbeing</w:t>
      </w:r>
      <w:r w:rsidR="50033BD2" w:rsidRPr="000F2D4C">
        <w:t>,</w:t>
      </w:r>
      <w:r w:rsidRPr="000F2D4C">
        <w:t xml:space="preserve"> as well as general population measures including those from the Mental Health Management Performance Framework</w:t>
      </w:r>
      <w:r w:rsidR="0098471C" w:rsidRPr="000F2D4C">
        <w:t xml:space="preserve"> 2020</w:t>
      </w:r>
      <w:r w:rsidRPr="000F2D4C">
        <w:t>. Indicators could include:</w:t>
      </w:r>
    </w:p>
    <w:p w14:paraId="313A965E" w14:textId="77777777" w:rsidR="00A70900" w:rsidRPr="000F2D4C" w:rsidRDefault="00A70900" w:rsidP="00A70900">
      <w:pPr>
        <w:pStyle w:val="ListBullet"/>
      </w:pPr>
      <w:r w:rsidRPr="000F2D4C">
        <w:t>social and emotional wellbeing</w:t>
      </w:r>
    </w:p>
    <w:p w14:paraId="2FA75078" w14:textId="16FD5364" w:rsidR="00A70900" w:rsidRPr="000F2D4C" w:rsidRDefault="00A70900" w:rsidP="00A70900">
      <w:pPr>
        <w:pStyle w:val="ListBullet"/>
      </w:pPr>
      <w:r w:rsidRPr="000F2D4C">
        <w:t xml:space="preserve">mental health </w:t>
      </w:r>
      <w:r w:rsidR="00581257" w:rsidRPr="000F2D4C">
        <w:t>difficulties</w:t>
      </w:r>
      <w:r w:rsidRPr="000F2D4C">
        <w:t xml:space="preserve"> and mental illnesses</w:t>
      </w:r>
    </w:p>
    <w:p w14:paraId="40C6C789" w14:textId="77777777" w:rsidR="00A70900" w:rsidRPr="000F2D4C" w:rsidRDefault="00A70900" w:rsidP="00A70900">
      <w:pPr>
        <w:pStyle w:val="ListBullet"/>
      </w:pPr>
      <w:r w:rsidRPr="000F2D4C">
        <w:t>the determinants of mental health problems and mental illnesses</w:t>
      </w:r>
    </w:p>
    <w:p w14:paraId="24E1B899" w14:textId="77777777" w:rsidR="00A70900" w:rsidRPr="000F2D4C" w:rsidRDefault="00A70900" w:rsidP="00A70900">
      <w:pPr>
        <w:pStyle w:val="ListBullet"/>
      </w:pPr>
      <w:r w:rsidRPr="000F2D4C">
        <w:t>the performance of the mental health system overall.</w:t>
      </w:r>
    </w:p>
    <w:p w14:paraId="027399A8" w14:textId="77777777" w:rsidR="00A70900" w:rsidRPr="000F2D4C" w:rsidRDefault="00A70900" w:rsidP="00A70900">
      <w:pPr>
        <w:pStyle w:val="ListBullet"/>
        <w:numPr>
          <w:ilvl w:val="0"/>
          <w:numId w:val="0"/>
        </w:numPr>
        <w:ind w:left="360"/>
      </w:pPr>
    </w:p>
    <w:p w14:paraId="27DA6DDE" w14:textId="42B8BD30" w:rsidR="00A70900" w:rsidRPr="000F2D4C" w:rsidRDefault="00A70900" w:rsidP="00A70900">
      <w:r w:rsidRPr="000F2D4C">
        <w:t>The results of a recent evidence review indicate that culture is significantly and positively associated with physical health, social and emotional wellbeing, and reduces risk-taking behaviours</w:t>
      </w:r>
      <w:r w:rsidRPr="000F2D4C">
        <w:rPr>
          <w:rStyle w:val="FootnoteReference"/>
        </w:rPr>
        <w:footnoteReference w:id="33"/>
      </w:r>
      <w:r w:rsidRPr="000F2D4C">
        <w:t>. Domains of culture include country, knowledges and beliefs, language, self-determination, family and kinship, and cultural expression</w:t>
      </w:r>
      <w:r w:rsidR="0033094C" w:rsidRPr="000F2D4C">
        <w:t xml:space="preserve">. The </w:t>
      </w:r>
      <w:r w:rsidRPr="000F2D4C">
        <w:t xml:space="preserve">review </w:t>
      </w:r>
      <w:r w:rsidR="0033094C" w:rsidRPr="000F2D4C">
        <w:t>also</w:t>
      </w:r>
      <w:r w:rsidRPr="000F2D4C">
        <w:t xml:space="preserve"> provides examples of indicators</w:t>
      </w:r>
      <w:r w:rsidRPr="000F2D4C">
        <w:rPr>
          <w:rStyle w:val="FootnoteReference"/>
        </w:rPr>
        <w:footnoteReference w:id="34"/>
      </w:r>
      <w:r w:rsidRPr="000F2D4C">
        <w:t xml:space="preserve"> aligned with these domains</w:t>
      </w:r>
      <w:r w:rsidR="5A04C985" w:rsidRPr="000F2D4C">
        <w:t>,</w:t>
      </w:r>
      <w:r w:rsidRPr="000F2D4C">
        <w:t xml:space="preserve"> that evaluators could consider drawing on.</w:t>
      </w:r>
    </w:p>
    <w:p w14:paraId="01B59B19" w14:textId="77777777" w:rsidR="00A70900" w:rsidRPr="000F2D4C" w:rsidRDefault="00A70900" w:rsidP="00A70900">
      <w:pPr>
        <w:pStyle w:val="Boxtext0"/>
        <w:rPr>
          <w:b/>
          <w:bCs/>
        </w:rPr>
      </w:pPr>
      <w:r w:rsidRPr="000F2D4C">
        <w:rPr>
          <w:b/>
          <w:bCs/>
        </w:rPr>
        <w:t>Resources</w:t>
      </w:r>
    </w:p>
    <w:p w14:paraId="2F0BB01A" w14:textId="20BE0208" w:rsidR="00A70900" w:rsidRPr="000F2D4C" w:rsidRDefault="00A70900" w:rsidP="00A70900">
      <w:pPr>
        <w:pStyle w:val="Boxtext0"/>
      </w:pPr>
      <w:r w:rsidRPr="000F2D4C">
        <w:t>Ngaa-bi-nya</w:t>
      </w:r>
      <w:r w:rsidRPr="000F2D4C">
        <w:rPr>
          <w:rStyle w:val="FootnoteReference"/>
        </w:rPr>
        <w:footnoteReference w:id="35"/>
      </w:r>
      <w:r w:rsidRPr="000F2D4C">
        <w:t xml:space="preserve"> is a framework that offers a practical guide for the evaluation of </w:t>
      </w:r>
      <w:r w:rsidRPr="000F2D4C">
        <w:rPr>
          <w:b/>
          <w:bCs/>
        </w:rPr>
        <w:t>Aboriginal and Torres Strait Islander</w:t>
      </w:r>
      <w:r w:rsidRPr="000F2D4C">
        <w:t xml:space="preserve"> health, social</w:t>
      </w:r>
      <w:r w:rsidR="3ED8C9F5" w:rsidRPr="000F2D4C">
        <w:t>,</w:t>
      </w:r>
      <w:r w:rsidRPr="000F2D4C">
        <w:t xml:space="preserve"> and justice programs. Ngaa-bi-nya means to examine, try</w:t>
      </w:r>
      <w:r w:rsidR="420C5624" w:rsidRPr="000F2D4C">
        <w:t>,</w:t>
      </w:r>
      <w:r w:rsidRPr="000F2D4C">
        <w:t xml:space="preserve"> and evaluate in the language of the Wiradjuri people of central NSW. It has been developed to reflect Aboriginal and Torres Strait Islander peoples’ contexts and </w:t>
      </w:r>
      <w:r w:rsidRPr="000F2D4C">
        <w:lastRenderedPageBreak/>
        <w:t>prompts the user to consider the historical, policy, and social landscape of Aboriginal and Torres Strait Islander people’s lives. It provides a structure for the future development of culturally relevant, effective, translatable, and sustainable programs required for Aboriginal and Torres Strait Islander populations.</w:t>
      </w:r>
      <w:r w:rsidR="00D16154">
        <w:br/>
      </w:r>
    </w:p>
    <w:p w14:paraId="6E6F9AC1" w14:textId="77777777" w:rsidR="00A70900" w:rsidRPr="000F2D4C" w:rsidRDefault="00A70900" w:rsidP="00A70900">
      <w:pPr>
        <w:pStyle w:val="Heading4"/>
      </w:pPr>
      <w:r w:rsidRPr="000F2D4C">
        <w:t>Administrative data and Linked data</w:t>
      </w:r>
    </w:p>
    <w:p w14:paraId="4A90CFA1" w14:textId="3460A4BB" w:rsidR="00A70900" w:rsidRPr="000F2D4C" w:rsidRDefault="00A70900" w:rsidP="00A70900">
      <w:pPr>
        <w:pStyle w:val="Boxtext0"/>
      </w:pPr>
      <w:r w:rsidRPr="000F2D4C">
        <w:t xml:space="preserve">Administrative data routinely collected by health services is a key source of data to inform evaluation of the outcomes of mental health and suicide prevention </w:t>
      </w:r>
      <w:r w:rsidR="005F5F14" w:rsidRPr="000F2D4C">
        <w:t>programs</w:t>
      </w:r>
      <w:r w:rsidRPr="000F2D4C">
        <w:t xml:space="preserve"> and provide information at the systems level. </w:t>
      </w:r>
      <w:r w:rsidR="00D16154">
        <w:br/>
      </w:r>
    </w:p>
    <w:p w14:paraId="307A3486" w14:textId="727B137C" w:rsidR="00A70900" w:rsidRPr="000F2D4C" w:rsidRDefault="00A70900" w:rsidP="00A70900">
      <w:r w:rsidRPr="000F2D4C">
        <w:t xml:space="preserve">At </w:t>
      </w:r>
      <w:r w:rsidR="565B991C" w:rsidRPr="000F2D4C">
        <w:t>the</w:t>
      </w:r>
      <w:r w:rsidRPr="000F2D4C">
        <w:t xml:space="preserve"> time of publication, these data sets can include</w:t>
      </w:r>
      <w:r w:rsidR="7BF7441B" w:rsidRPr="000F2D4C">
        <w:t xml:space="preserve"> the following</w:t>
      </w:r>
      <w:r w:rsidRPr="000F2D4C">
        <w:t>:</w:t>
      </w:r>
    </w:p>
    <w:p w14:paraId="5B3DB4C5" w14:textId="16D72B02" w:rsidR="00A70900" w:rsidRPr="000F2D4C" w:rsidRDefault="00A70900" w:rsidP="00FC2CEE">
      <w:pPr>
        <w:pStyle w:val="ListParagraph"/>
        <w:numPr>
          <w:ilvl w:val="0"/>
          <w:numId w:val="32"/>
        </w:numPr>
      </w:pPr>
      <w:r w:rsidRPr="000F2D4C">
        <w:t>Medicare Benefits Schedule (MBS)</w:t>
      </w:r>
      <w:r w:rsidR="77D30888" w:rsidRPr="000F2D4C">
        <w:t>,</w:t>
      </w:r>
      <w:r w:rsidRPr="000F2D4C">
        <w:t xml:space="preserve"> which provides mental health items</w:t>
      </w:r>
    </w:p>
    <w:p w14:paraId="694CDD54" w14:textId="7244970A" w:rsidR="00A70900" w:rsidRPr="000F2D4C" w:rsidRDefault="00A70900" w:rsidP="00FC2CEE">
      <w:pPr>
        <w:pStyle w:val="ListParagraph"/>
        <w:numPr>
          <w:ilvl w:val="0"/>
          <w:numId w:val="32"/>
        </w:numPr>
      </w:pPr>
      <w:r w:rsidRPr="000F2D4C">
        <w:t>Pharmaceutical Benefits Scheme (PBS)</w:t>
      </w:r>
      <w:r w:rsidR="41F7065B" w:rsidRPr="000F2D4C">
        <w:t>,</w:t>
      </w:r>
      <w:r w:rsidRPr="000F2D4C">
        <w:t xml:space="preserve"> which provides psychotropic medications</w:t>
      </w:r>
    </w:p>
    <w:p w14:paraId="3B837952" w14:textId="1517DC88" w:rsidR="00AF6B60" w:rsidRPr="000F2D4C" w:rsidRDefault="00A70900" w:rsidP="00AF6B60">
      <w:pPr>
        <w:pStyle w:val="ListParagraph"/>
        <w:numPr>
          <w:ilvl w:val="0"/>
          <w:numId w:val="32"/>
        </w:numPr>
      </w:pPr>
      <w:r w:rsidRPr="000F2D4C">
        <w:t>Emergency Department presentations</w:t>
      </w:r>
      <w:r w:rsidR="00AF6B60" w:rsidRPr="000F2D4C">
        <w:t>, including Core ICD-10 self-harm codes</w:t>
      </w:r>
    </w:p>
    <w:p w14:paraId="0D20DFB4" w14:textId="77777777" w:rsidR="00A70900" w:rsidRPr="000F2D4C" w:rsidRDefault="00A70900" w:rsidP="00FC2CEE">
      <w:pPr>
        <w:pStyle w:val="ListParagraph"/>
        <w:numPr>
          <w:ilvl w:val="0"/>
          <w:numId w:val="32"/>
        </w:numPr>
      </w:pPr>
      <w:r w:rsidRPr="000F2D4C">
        <w:t>Community mental health care National Minimum Data Set</w:t>
      </w:r>
    </w:p>
    <w:p w14:paraId="4132B2CA" w14:textId="202397E0" w:rsidR="00A70900" w:rsidRPr="000F2D4C" w:rsidRDefault="00A70900" w:rsidP="00FC2CEE">
      <w:pPr>
        <w:pStyle w:val="ListParagraph"/>
        <w:numPr>
          <w:ilvl w:val="0"/>
          <w:numId w:val="32"/>
        </w:numPr>
      </w:pPr>
      <w:r w:rsidRPr="000F2D4C">
        <w:t xml:space="preserve">Mental Health </w:t>
      </w:r>
      <w:r w:rsidR="5B4761CE" w:rsidRPr="000F2D4C">
        <w:t>E</w:t>
      </w:r>
      <w:r w:rsidRPr="000F2D4C">
        <w:t xml:space="preserve">stablishments </w:t>
      </w:r>
      <w:r w:rsidR="15FA0F32" w:rsidRPr="000F2D4C">
        <w:t xml:space="preserve">NGOs </w:t>
      </w:r>
      <w:r w:rsidRPr="000F2D4C">
        <w:t>National Minimum Data Set</w:t>
      </w:r>
    </w:p>
    <w:p w14:paraId="5101C447" w14:textId="77777777" w:rsidR="00A70900" w:rsidRPr="000F2D4C" w:rsidRDefault="00A70900" w:rsidP="00FC2CEE">
      <w:pPr>
        <w:pStyle w:val="ListParagraph"/>
        <w:numPr>
          <w:ilvl w:val="0"/>
          <w:numId w:val="32"/>
        </w:numPr>
      </w:pPr>
      <w:r w:rsidRPr="000F2D4C">
        <w:t>Mental Health National Outcomes and Casemix Collection (NOCC)</w:t>
      </w:r>
    </w:p>
    <w:p w14:paraId="4BD3A9EA" w14:textId="77777777" w:rsidR="00A70900" w:rsidRPr="000F2D4C" w:rsidRDefault="00A70900" w:rsidP="00FC2CEE">
      <w:pPr>
        <w:pStyle w:val="ListParagraph"/>
        <w:numPr>
          <w:ilvl w:val="0"/>
          <w:numId w:val="32"/>
        </w:numPr>
      </w:pPr>
      <w:r w:rsidRPr="000F2D4C">
        <w:t>Seclusion and Restraint (SECREST)</w:t>
      </w:r>
    </w:p>
    <w:p w14:paraId="122A52D9" w14:textId="77777777" w:rsidR="00A70900" w:rsidRPr="000F2D4C" w:rsidRDefault="00A70900" w:rsidP="00FC2CEE">
      <w:pPr>
        <w:pStyle w:val="ListParagraph"/>
        <w:numPr>
          <w:ilvl w:val="0"/>
          <w:numId w:val="32"/>
        </w:numPr>
      </w:pPr>
      <w:r w:rsidRPr="000F2D4C">
        <w:t>Activity Based Funding Mental Health Care Classification (ABF MHC) NBEDS</w:t>
      </w:r>
    </w:p>
    <w:p w14:paraId="7CB90454" w14:textId="77777777" w:rsidR="00A70900" w:rsidRPr="000F2D4C" w:rsidRDefault="00A70900" w:rsidP="00FC2CEE">
      <w:pPr>
        <w:pStyle w:val="ListParagraph"/>
        <w:numPr>
          <w:ilvl w:val="0"/>
          <w:numId w:val="32"/>
        </w:numPr>
      </w:pPr>
      <w:r w:rsidRPr="000F2D4C">
        <w:t>Ambulance data</w:t>
      </w:r>
    </w:p>
    <w:p w14:paraId="60E7FEE1" w14:textId="77777777" w:rsidR="00A70900" w:rsidRPr="000F2D4C" w:rsidRDefault="00A70900" w:rsidP="00FC2CEE">
      <w:pPr>
        <w:pStyle w:val="ListParagraph"/>
        <w:numPr>
          <w:ilvl w:val="0"/>
          <w:numId w:val="32"/>
        </w:numPr>
      </w:pPr>
      <w:r w:rsidRPr="000F2D4C">
        <w:t>Admitted patient data sets</w:t>
      </w:r>
    </w:p>
    <w:p w14:paraId="3F29DB06" w14:textId="77777777" w:rsidR="00A70900" w:rsidRPr="000F2D4C" w:rsidRDefault="00A70900" w:rsidP="00FC2CEE">
      <w:pPr>
        <w:pStyle w:val="ListParagraph"/>
        <w:numPr>
          <w:ilvl w:val="0"/>
          <w:numId w:val="32"/>
        </w:numPr>
      </w:pPr>
      <w:r w:rsidRPr="000F2D4C">
        <w:t>Suicide and self-harm monitoring projects</w:t>
      </w:r>
    </w:p>
    <w:p w14:paraId="43C4547D" w14:textId="77777777" w:rsidR="00A70900" w:rsidRPr="000F2D4C" w:rsidRDefault="00A70900" w:rsidP="00FC2CEE">
      <w:pPr>
        <w:pStyle w:val="ListParagraph"/>
        <w:numPr>
          <w:ilvl w:val="0"/>
          <w:numId w:val="32"/>
        </w:numPr>
      </w:pPr>
      <w:r w:rsidRPr="000F2D4C">
        <w:t>Death and suicide data</w:t>
      </w:r>
    </w:p>
    <w:p w14:paraId="5DEA1B0C" w14:textId="77777777" w:rsidR="00A70900" w:rsidRPr="000F2D4C" w:rsidRDefault="00A70900" w:rsidP="00FC2CEE">
      <w:pPr>
        <w:pStyle w:val="ListParagraph"/>
        <w:numPr>
          <w:ilvl w:val="0"/>
          <w:numId w:val="32"/>
        </w:numPr>
      </w:pPr>
      <w:r w:rsidRPr="000F2D4C">
        <w:t>Residential Mental Health Care (among many others).</w:t>
      </w:r>
    </w:p>
    <w:p w14:paraId="791C7AD1" w14:textId="491B2785" w:rsidR="00A70900" w:rsidRPr="000F2D4C" w:rsidRDefault="00A70900" w:rsidP="00A70900">
      <w:r w:rsidRPr="000F2D4C">
        <w:t>Administrative data can have value even when unlinked. For example, trends by age, region</w:t>
      </w:r>
      <w:r w:rsidR="1931AFF4" w:rsidRPr="000F2D4C">
        <w:t>,</w:t>
      </w:r>
      <w:r w:rsidRPr="000F2D4C">
        <w:t xml:space="preserve"> and other dimensions will reflect the effectiveness of targeted </w:t>
      </w:r>
      <w:r w:rsidR="005F5F14" w:rsidRPr="000F2D4C">
        <w:t>programs</w:t>
      </w:r>
      <w:r w:rsidRPr="000F2D4C">
        <w:t>. It can also inform process-related questions to understand the reach of a</w:t>
      </w:r>
      <w:r w:rsidR="005F5F14" w:rsidRPr="000F2D4C">
        <w:t xml:space="preserve"> program</w:t>
      </w:r>
      <w:r w:rsidRPr="000F2D4C">
        <w:t xml:space="preserve"> and gaps in services.</w:t>
      </w:r>
    </w:p>
    <w:p w14:paraId="54A08D80" w14:textId="03D1F605" w:rsidR="00A70900" w:rsidRPr="000F2D4C" w:rsidRDefault="00A70900" w:rsidP="00A70900">
      <w:r w:rsidRPr="000F2D4C">
        <w:t>Con</w:t>
      </w:r>
      <w:r w:rsidR="005A401E" w:rsidRPr="000F2D4C">
        <w:t xml:space="preserve">tinued </w:t>
      </w:r>
      <w:r w:rsidRPr="000F2D4C">
        <w:t>effort by governments ha</w:t>
      </w:r>
      <w:r w:rsidR="005A401E" w:rsidRPr="000F2D4C">
        <w:t>s</w:t>
      </w:r>
      <w:r w:rsidRPr="000F2D4C">
        <w:t xml:space="preserve"> led to good consistency for many </w:t>
      </w:r>
      <w:r w:rsidR="004D5379" w:rsidRPr="000F2D4C">
        <w:t xml:space="preserve">of the </w:t>
      </w:r>
      <w:r w:rsidRPr="000F2D4C">
        <w:t>data collections list</w:t>
      </w:r>
      <w:r w:rsidR="0DBDCB05" w:rsidRPr="000F2D4C">
        <w:t>ed</w:t>
      </w:r>
      <w:r w:rsidRPr="000F2D4C">
        <w:t xml:space="preserve"> above</w:t>
      </w:r>
      <w:r w:rsidR="004D5379" w:rsidRPr="000F2D4C">
        <w:t>. These data set</w:t>
      </w:r>
      <w:r w:rsidR="4A667D7F" w:rsidRPr="000F2D4C">
        <w:t>s</w:t>
      </w:r>
      <w:r w:rsidR="004D5379" w:rsidRPr="000F2D4C">
        <w:t xml:space="preserve"> are often </w:t>
      </w:r>
      <w:r w:rsidRPr="000F2D4C">
        <w:t xml:space="preserve">hosted by the </w:t>
      </w:r>
      <w:r w:rsidR="3C0668FF" w:rsidRPr="000F2D4C">
        <w:t>Austral</w:t>
      </w:r>
      <w:r w:rsidR="61A6C941" w:rsidRPr="000F2D4C">
        <w:t>i</w:t>
      </w:r>
      <w:r w:rsidR="3C0668FF" w:rsidRPr="000F2D4C">
        <w:t>an Institu</w:t>
      </w:r>
      <w:r w:rsidR="64ADF04F" w:rsidRPr="000F2D4C">
        <w:t>t</w:t>
      </w:r>
      <w:r w:rsidR="3C0668FF" w:rsidRPr="000F2D4C">
        <w:t>e of Health and We</w:t>
      </w:r>
      <w:r w:rsidR="3FE33659" w:rsidRPr="000F2D4C">
        <w:t>l</w:t>
      </w:r>
      <w:r w:rsidR="3C0668FF" w:rsidRPr="000F2D4C">
        <w:t>fare (</w:t>
      </w:r>
      <w:r w:rsidRPr="000F2D4C">
        <w:t>AIHW</w:t>
      </w:r>
      <w:r w:rsidR="06454C81" w:rsidRPr="000F2D4C">
        <w:t>)</w:t>
      </w:r>
      <w:r w:rsidRPr="000F2D4C">
        <w:t xml:space="preserve"> </w:t>
      </w:r>
      <w:r w:rsidR="004D5379" w:rsidRPr="000F2D4C">
        <w:t xml:space="preserve">and based on </w:t>
      </w:r>
      <w:r w:rsidRPr="000F2D4C">
        <w:t>contribut</w:t>
      </w:r>
      <w:r w:rsidR="004D5379" w:rsidRPr="000F2D4C">
        <w:t xml:space="preserve">ions </w:t>
      </w:r>
      <w:r w:rsidRPr="000F2D4C">
        <w:t xml:space="preserve">by various jurisdictions. This improves the ability to evaluate across different States and Territories in a consistent way. </w:t>
      </w:r>
      <w:r w:rsidR="00D27686" w:rsidRPr="000F2D4C">
        <w:t xml:space="preserve">Even if this consistent data is used, it will generally be </w:t>
      </w:r>
      <w:r w:rsidR="00815A7D" w:rsidRPr="000F2D4C">
        <w:t xml:space="preserve">more timely </w:t>
      </w:r>
      <w:r w:rsidR="00D27686" w:rsidRPr="000F2D4C">
        <w:t>to draw data from a jurisdiction directly.</w:t>
      </w:r>
    </w:p>
    <w:p w14:paraId="2E613ECB" w14:textId="6330A321" w:rsidR="00A70900" w:rsidRPr="000F2D4C" w:rsidRDefault="00A70900" w:rsidP="00A70900">
      <w:r w:rsidRPr="000F2D4C">
        <w:rPr>
          <w:b/>
        </w:rPr>
        <w:t>Why use linked data</w:t>
      </w:r>
      <w:r w:rsidRPr="000F2D4C">
        <w:t>: Administrative data is particularly powerful when linked. More routine data linkage is part of the National Agreement and can serve a range of purposes:</w:t>
      </w:r>
    </w:p>
    <w:p w14:paraId="63B2BCAC" w14:textId="5730F443" w:rsidR="00A70900" w:rsidRPr="000F2D4C" w:rsidRDefault="00A70900" w:rsidP="00FC2CEE">
      <w:pPr>
        <w:pStyle w:val="Bullet11"/>
        <w:numPr>
          <w:ilvl w:val="0"/>
          <w:numId w:val="29"/>
        </w:numPr>
      </w:pPr>
      <w:r w:rsidRPr="000F2D4C">
        <w:t xml:space="preserve">Seeing longitudinal pathways for people receiving support through various </w:t>
      </w:r>
      <w:r w:rsidR="005F5F14" w:rsidRPr="000F2D4C">
        <w:t>programs</w:t>
      </w:r>
      <w:r w:rsidR="00356809" w:rsidRPr="000F2D4C">
        <w:t>.</w:t>
      </w:r>
      <w:r w:rsidRPr="000F2D4C">
        <w:t xml:space="preserve"> </w:t>
      </w:r>
    </w:p>
    <w:p w14:paraId="5AFD04E6" w14:textId="38E19A06" w:rsidR="00A70900" w:rsidRPr="000F2D4C" w:rsidRDefault="00A70900" w:rsidP="00FC2CEE">
      <w:pPr>
        <w:pStyle w:val="Bullet11"/>
        <w:numPr>
          <w:ilvl w:val="0"/>
          <w:numId w:val="29"/>
        </w:numPr>
      </w:pPr>
      <w:r w:rsidRPr="000F2D4C">
        <w:t>Improv</w:t>
      </w:r>
      <w:r w:rsidR="0090285B" w:rsidRPr="000F2D4C">
        <w:t>ing</w:t>
      </w:r>
      <w:r w:rsidRPr="000F2D4C">
        <w:t xml:space="preserve"> statistical control (finding people who are otherwise similar to a program as a comparison group, or just </w:t>
      </w:r>
      <w:r w:rsidR="466F07B8" w:rsidRPr="000F2D4C">
        <w:t xml:space="preserve">a </w:t>
      </w:r>
      <w:r w:rsidRPr="000F2D4C">
        <w:t>better understand</w:t>
      </w:r>
      <w:r w:rsidR="006A7C9D" w:rsidRPr="000F2D4C">
        <w:t>ing</w:t>
      </w:r>
      <w:r w:rsidRPr="000F2D4C">
        <w:t xml:space="preserve"> </w:t>
      </w:r>
      <w:r w:rsidR="21BF71FC" w:rsidRPr="000F2D4C">
        <w:t xml:space="preserve">of </w:t>
      </w:r>
      <w:r w:rsidRPr="000F2D4C">
        <w:t>risk factors)</w:t>
      </w:r>
      <w:r w:rsidR="00356809" w:rsidRPr="000F2D4C">
        <w:t>.</w:t>
      </w:r>
    </w:p>
    <w:p w14:paraId="37B1D368" w14:textId="36DE98E3" w:rsidR="00A70900" w:rsidRPr="000F2D4C" w:rsidRDefault="00A70900" w:rsidP="00FC2CEE">
      <w:pPr>
        <w:pStyle w:val="Bullet11"/>
        <w:numPr>
          <w:ilvl w:val="0"/>
          <w:numId w:val="29"/>
        </w:numPr>
      </w:pPr>
      <w:r w:rsidRPr="000F2D4C">
        <w:t>Testing impact on additional outcomes (e.g.</w:t>
      </w:r>
      <w:r w:rsidR="673381A9" w:rsidRPr="000F2D4C">
        <w:t>,</w:t>
      </w:r>
      <w:r w:rsidRPr="000F2D4C">
        <w:t xml:space="preserve"> mental health re-presentations) that would not otherwise be available</w:t>
      </w:r>
      <w:r w:rsidR="00356809" w:rsidRPr="000F2D4C">
        <w:t>.</w:t>
      </w:r>
    </w:p>
    <w:p w14:paraId="3C080D2E" w14:textId="78F29CA1" w:rsidR="00A70900" w:rsidRPr="000F2D4C" w:rsidRDefault="00A70900" w:rsidP="00FC2CEE">
      <w:pPr>
        <w:pStyle w:val="Bullet11"/>
        <w:numPr>
          <w:ilvl w:val="0"/>
          <w:numId w:val="29"/>
        </w:numPr>
      </w:pPr>
      <w:r w:rsidRPr="000F2D4C">
        <w:lastRenderedPageBreak/>
        <w:t>Tying shorter-term outcomes (e.g.</w:t>
      </w:r>
      <w:r w:rsidR="7B8E207B" w:rsidRPr="000F2D4C">
        <w:t>,</w:t>
      </w:r>
      <w:r w:rsidRPr="000F2D4C">
        <w:t xml:space="preserve"> K-10 improvement in a program) to longer-term ones. For example, participant-reported improvements can be linked to reduced rates of hospital admission or other adverse outcomes. </w:t>
      </w:r>
    </w:p>
    <w:p w14:paraId="1BEE73BB" w14:textId="77777777" w:rsidR="00A70900" w:rsidRPr="000F2D4C" w:rsidRDefault="00A70900" w:rsidP="00FC2CEE">
      <w:pPr>
        <w:pStyle w:val="Bullet11"/>
        <w:numPr>
          <w:ilvl w:val="0"/>
          <w:numId w:val="29"/>
        </w:numPr>
      </w:pPr>
      <w:r w:rsidRPr="000F2D4C">
        <w:t xml:space="preserve">Providing more of a ‘systems’ view – particularly relevant for systems evaluation, but important more generally for understanding how people are interacting with other services. </w:t>
      </w:r>
    </w:p>
    <w:p w14:paraId="25DA947E" w14:textId="605B97E0" w:rsidR="00A70900" w:rsidRPr="000F2D4C" w:rsidRDefault="00A70900" w:rsidP="00A70900">
      <w:r w:rsidRPr="000F2D4C">
        <w:t xml:space="preserve">Accessing linked data almost always requires approval via </w:t>
      </w:r>
      <w:r w:rsidR="09EC9C06" w:rsidRPr="000F2D4C">
        <w:t xml:space="preserve">a </w:t>
      </w:r>
      <w:r w:rsidRPr="000F2D4C">
        <w:t>Human Research Ethics Committee, the approval and cooperation of relevant data custodians</w:t>
      </w:r>
      <w:r w:rsidR="541B5C87" w:rsidRPr="000F2D4C">
        <w:t>,</w:t>
      </w:r>
      <w:r w:rsidRPr="000F2D4C">
        <w:t xml:space="preserve"> and work by a linkage agency. </w:t>
      </w:r>
    </w:p>
    <w:p w14:paraId="4D7F6B28" w14:textId="6A9FBAF6" w:rsidR="00A70900" w:rsidRPr="000F2D4C" w:rsidRDefault="00A70900" w:rsidP="00A70900">
      <w:r w:rsidRPr="000F2D4C">
        <w:rPr>
          <w:b/>
        </w:rPr>
        <w:t>Considerations in deciding whether to use linked data</w:t>
      </w:r>
      <w:r w:rsidRPr="000F2D4C">
        <w:rPr>
          <w:b/>
          <w:bCs/>
        </w:rPr>
        <w:t xml:space="preserve">: </w:t>
      </w:r>
      <w:r w:rsidRPr="000F2D4C">
        <w:t>Some key considerations regarding the decision to use data linkage</w:t>
      </w:r>
      <w:r w:rsidR="6DBF622A" w:rsidRPr="000F2D4C">
        <w:t xml:space="preserve"> include the following</w:t>
      </w:r>
      <w:r w:rsidRPr="000F2D4C">
        <w:t>:</w:t>
      </w:r>
    </w:p>
    <w:p w14:paraId="2C3EBF04" w14:textId="44873005" w:rsidR="00A70900" w:rsidRPr="000F2D4C" w:rsidRDefault="00A70900" w:rsidP="00FC2CEE">
      <w:pPr>
        <w:pStyle w:val="Bullet11"/>
        <w:numPr>
          <w:ilvl w:val="0"/>
          <w:numId w:val="29"/>
        </w:numPr>
      </w:pPr>
      <w:r w:rsidRPr="000F2D4C">
        <w:t>Linking program participants onto existing collections requires identifiers to be collected (such as name, date of birth, address</w:t>
      </w:r>
      <w:r w:rsidR="0789A6BD" w:rsidRPr="000F2D4C">
        <w:t>,</w:t>
      </w:r>
      <w:r w:rsidRPr="000F2D4C">
        <w:t xml:space="preserve"> and Medicare number). The collection and permissions attached to identifiers will affect the feasibility of linkage. </w:t>
      </w:r>
    </w:p>
    <w:p w14:paraId="7E32BBFD" w14:textId="572617B4" w:rsidR="00A70900" w:rsidRPr="000F2D4C" w:rsidRDefault="00774165" w:rsidP="00FC2CEE">
      <w:pPr>
        <w:pStyle w:val="Bullet11"/>
        <w:numPr>
          <w:ilvl w:val="0"/>
          <w:numId w:val="29"/>
        </w:numPr>
      </w:pPr>
      <w:r w:rsidRPr="000F2D4C">
        <w:t>Custodian a</w:t>
      </w:r>
      <w:r w:rsidR="00A70900" w:rsidRPr="000F2D4C">
        <w:t>pproval and data provision can be time</w:t>
      </w:r>
      <w:r w:rsidR="74C98BEA" w:rsidRPr="000F2D4C">
        <w:t>-</w:t>
      </w:r>
      <w:r w:rsidR="00A70900" w:rsidRPr="000F2D4C">
        <w:t xml:space="preserve">consuming, given strong governance processes. While processes will be more streamlined over time (for example, using enduring linkage programs such as the NDDA or PLIDA), governance processes are rigorous. </w:t>
      </w:r>
    </w:p>
    <w:p w14:paraId="7B62DA4F" w14:textId="5D65F1E0" w:rsidR="00A70900" w:rsidRPr="000F2D4C" w:rsidRDefault="00A70900" w:rsidP="00FC2CEE">
      <w:pPr>
        <w:pStyle w:val="Bullet11"/>
        <w:numPr>
          <w:ilvl w:val="0"/>
          <w:numId w:val="29"/>
        </w:numPr>
      </w:pPr>
      <w:r w:rsidRPr="000F2D4C">
        <w:t>Data lags similarly need consideration – 6 to 12 month</w:t>
      </w:r>
      <w:r w:rsidR="195819D3" w:rsidRPr="000F2D4C">
        <w:t>s</w:t>
      </w:r>
      <w:r w:rsidRPr="000F2D4C">
        <w:t xml:space="preserve"> delays in administrative data are not uncommon. Sometimes </w:t>
      </w:r>
      <w:r w:rsidR="4E49D5A8" w:rsidRPr="000F2D4C">
        <w:t>s</w:t>
      </w:r>
      <w:r w:rsidRPr="000F2D4C">
        <w:t xml:space="preserve">tate or </w:t>
      </w:r>
      <w:r w:rsidR="540D5FC5" w:rsidRPr="000F2D4C">
        <w:t>t</w:t>
      </w:r>
      <w:r w:rsidRPr="000F2D4C">
        <w:t xml:space="preserve">erritory data provision (rather than national collections) can be more timely. </w:t>
      </w:r>
    </w:p>
    <w:p w14:paraId="1A5DFD37" w14:textId="724D941F" w:rsidR="00A70900" w:rsidRPr="000F2D4C" w:rsidRDefault="00A70900" w:rsidP="00FC2CEE">
      <w:pPr>
        <w:pStyle w:val="Bullet11"/>
        <w:numPr>
          <w:ilvl w:val="0"/>
          <w:numId w:val="29"/>
        </w:numPr>
      </w:pPr>
      <w:r w:rsidRPr="000F2D4C">
        <w:t>Privacy requirements are typically tight. Small cohorts can have identifiability concerns, limiting what analysis is possible. This can affect analyses of less common events (such as numbers of people who die by suicide)</w:t>
      </w:r>
      <w:r w:rsidR="00BB6B54" w:rsidRPr="000F2D4C">
        <w:t>.</w:t>
      </w:r>
    </w:p>
    <w:p w14:paraId="22C7EBD7" w14:textId="6A452891" w:rsidR="00A70900" w:rsidRPr="000F2D4C" w:rsidRDefault="00A70900" w:rsidP="77F51893">
      <w:pPr>
        <w:pStyle w:val="Bullet11"/>
        <w:numPr>
          <w:ilvl w:val="0"/>
          <w:numId w:val="29"/>
        </w:numPr>
        <w:rPr>
          <w:rStyle w:val="normaltextrun"/>
          <w:rFonts w:ascii="Segoe UI" w:hAnsi="Segoe UI" w:cs="Segoe UI"/>
          <w:color w:val="000000"/>
          <w:shd w:val="clear" w:color="auto" w:fill="FFFFFF"/>
        </w:rPr>
      </w:pPr>
      <w:r w:rsidRPr="000F2D4C">
        <w:rPr>
          <w:rStyle w:val="normaltextrun"/>
          <w:rFonts w:ascii="Segoe UI" w:hAnsi="Segoe UI" w:cs="Segoe UI"/>
          <w:color w:val="000000"/>
          <w:shd w:val="clear" w:color="auto" w:fill="FFFFFF"/>
        </w:rPr>
        <w:t xml:space="preserve">Care </w:t>
      </w:r>
      <w:r w:rsidR="36D5E811" w:rsidRPr="000F2D4C">
        <w:rPr>
          <w:rStyle w:val="normaltextrun"/>
          <w:rFonts w:ascii="Segoe UI" w:hAnsi="Segoe UI" w:cs="Segoe UI"/>
          <w:color w:val="000000" w:themeColor="text2"/>
        </w:rPr>
        <w:t xml:space="preserve">is </w:t>
      </w:r>
      <w:r w:rsidRPr="000F2D4C">
        <w:rPr>
          <w:rStyle w:val="normaltextrun"/>
          <w:rFonts w:ascii="Segoe UI" w:hAnsi="Segoe UI" w:cs="Segoe UI"/>
          <w:color w:val="000000"/>
          <w:shd w:val="clear" w:color="auto" w:fill="FFFFFF"/>
        </w:rPr>
        <w:t>needed in interpretation of service use. In some cases</w:t>
      </w:r>
      <w:r w:rsidR="296DF0E5" w:rsidRPr="000F2D4C">
        <w:rPr>
          <w:rStyle w:val="normaltextrun"/>
          <w:rFonts w:ascii="Segoe UI" w:hAnsi="Segoe UI" w:cs="Segoe UI"/>
          <w:color w:val="000000" w:themeColor="text2"/>
        </w:rPr>
        <w:t>,</w:t>
      </w:r>
      <w:r w:rsidRPr="000F2D4C">
        <w:rPr>
          <w:rStyle w:val="normaltextrun"/>
          <w:rFonts w:ascii="Segoe UI" w:hAnsi="Segoe UI" w:cs="Segoe UI"/>
          <w:color w:val="000000"/>
          <w:shd w:val="clear" w:color="auto" w:fill="FFFFFF"/>
        </w:rPr>
        <w:t xml:space="preserve"> an increase in service use could be considered a good thing (e.g.</w:t>
      </w:r>
      <w:r w:rsidR="657F2670" w:rsidRPr="000F2D4C">
        <w:rPr>
          <w:rStyle w:val="normaltextrun"/>
          <w:rFonts w:ascii="Segoe UI" w:hAnsi="Segoe UI" w:cs="Segoe UI"/>
          <w:color w:val="000000"/>
          <w:shd w:val="clear" w:color="auto" w:fill="FFFFFF"/>
        </w:rPr>
        <w:t>,</w:t>
      </w:r>
      <w:r w:rsidRPr="000F2D4C">
        <w:rPr>
          <w:rStyle w:val="normaltextrun"/>
          <w:rFonts w:ascii="Segoe UI" w:hAnsi="Segoe UI" w:cs="Segoe UI"/>
          <w:color w:val="000000"/>
          <w:shd w:val="clear" w:color="auto" w:fill="FFFFFF"/>
        </w:rPr>
        <w:t xml:space="preserve"> a person managing a condition by regularly taking medication or having psychology appointments), and other times not (e.g.</w:t>
      </w:r>
      <w:r w:rsidR="386AD93F" w:rsidRPr="000F2D4C">
        <w:rPr>
          <w:rStyle w:val="normaltextrun"/>
          <w:rFonts w:ascii="Segoe UI" w:hAnsi="Segoe UI" w:cs="Segoe UI"/>
          <w:color w:val="000000"/>
          <w:shd w:val="clear" w:color="auto" w:fill="FFFFFF"/>
        </w:rPr>
        <w:t>,</w:t>
      </w:r>
      <w:r w:rsidRPr="000F2D4C">
        <w:rPr>
          <w:rStyle w:val="normaltextrun"/>
          <w:rFonts w:ascii="Segoe UI" w:hAnsi="Segoe UI" w:cs="Segoe UI"/>
          <w:color w:val="000000"/>
          <w:shd w:val="clear" w:color="auto" w:fill="FFFFFF"/>
        </w:rPr>
        <w:t xml:space="preserve"> hospital admissions may indicate a deterioration). </w:t>
      </w:r>
    </w:p>
    <w:p w14:paraId="6AAF6E2B" w14:textId="77777777" w:rsidR="00A70900" w:rsidRPr="000F2D4C" w:rsidRDefault="00A70900" w:rsidP="00FC2CEE">
      <w:pPr>
        <w:pStyle w:val="Bullet11"/>
        <w:numPr>
          <w:ilvl w:val="0"/>
          <w:numId w:val="29"/>
        </w:numPr>
        <w:rPr>
          <w:rStyle w:val="normaltextrun"/>
          <w:rFonts w:ascii="Segoe UI" w:hAnsi="Segoe UI" w:cs="Segoe UI"/>
          <w:color w:val="000000"/>
          <w:szCs w:val="20"/>
          <w:shd w:val="clear" w:color="auto" w:fill="FFFFFF"/>
        </w:rPr>
      </w:pPr>
      <w:r w:rsidRPr="000F2D4C">
        <w:rPr>
          <w:rStyle w:val="normaltextrun"/>
          <w:rFonts w:ascii="Segoe UI" w:hAnsi="Segoe UI" w:cs="Segoe UI"/>
          <w:color w:val="000000"/>
          <w:shd w:val="clear" w:color="auto" w:fill="FFFFFF"/>
        </w:rPr>
        <w:t>If using linkage to create a comparison group, a strong understanding of referral pathways is needed for a program to assess and manage the risk of selection effects that distort any comparison.</w:t>
      </w:r>
    </w:p>
    <w:p w14:paraId="67226A5E" w14:textId="764853E7" w:rsidR="00A70900" w:rsidRPr="000F2D4C" w:rsidRDefault="00A70900" w:rsidP="2D9C96A2">
      <w:pPr>
        <w:pStyle w:val="Bullet11"/>
        <w:numPr>
          <w:ilvl w:val="0"/>
          <w:numId w:val="29"/>
        </w:numPr>
        <w:rPr>
          <w:rStyle w:val="normaltextrun"/>
          <w:rFonts w:ascii="Segoe UI" w:hAnsi="Segoe UI" w:cs="Segoe UI"/>
          <w:color w:val="000000"/>
          <w:shd w:val="clear" w:color="auto" w:fill="FFFFFF"/>
        </w:rPr>
      </w:pPr>
      <w:r w:rsidRPr="000F2D4C">
        <w:rPr>
          <w:rStyle w:val="normaltextrun"/>
          <w:rFonts w:ascii="Segoe UI" w:hAnsi="Segoe UI" w:cs="Segoe UI"/>
          <w:color w:val="000000"/>
          <w:shd w:val="clear" w:color="auto" w:fill="FFFFFF"/>
        </w:rPr>
        <w:t>There are inherent limitations to administrative data for assessing mental health outcomes. For instance, ongoing use of antidepressant medication (using PBS data) could sometimes be considered a good outcome (a condition is being managed well), a poor outcome (a condition has not resolved)</w:t>
      </w:r>
      <w:r w:rsidR="2F6BF830" w:rsidRPr="000F2D4C">
        <w:rPr>
          <w:rStyle w:val="normaltextrun"/>
          <w:rFonts w:ascii="Segoe UI" w:hAnsi="Segoe UI" w:cs="Segoe UI"/>
          <w:color w:val="000000" w:themeColor="text2"/>
        </w:rPr>
        <w:t>,</w:t>
      </w:r>
      <w:r w:rsidRPr="000F2D4C">
        <w:rPr>
          <w:rStyle w:val="normaltextrun"/>
          <w:rFonts w:ascii="Segoe UI" w:hAnsi="Segoe UI" w:cs="Segoe UI"/>
          <w:color w:val="000000"/>
          <w:shd w:val="clear" w:color="auto" w:fill="FFFFFF"/>
        </w:rPr>
        <w:t xml:space="preserve"> or a spurious outcome (a drug is being used for a secondary purpose).</w:t>
      </w:r>
    </w:p>
    <w:p w14:paraId="2E5796EE" w14:textId="300D33FE" w:rsidR="00A70900" w:rsidRPr="000F2D4C" w:rsidRDefault="00A70900" w:rsidP="57450087">
      <w:pPr>
        <w:rPr>
          <w:rStyle w:val="normaltextrun"/>
          <w:rFonts w:ascii="Segoe UI" w:hAnsi="Segoe UI" w:cs="Segoe UI"/>
          <w:color w:val="000000"/>
          <w:szCs w:val="20"/>
          <w:shd w:val="clear" w:color="auto" w:fill="FFFFFF"/>
        </w:rPr>
      </w:pPr>
      <w:r w:rsidRPr="000F2D4C">
        <w:t xml:space="preserve">It places requirements on the quality of data collected by a </w:t>
      </w:r>
      <w:r w:rsidR="005F5F14" w:rsidRPr="000F2D4C">
        <w:t>program</w:t>
      </w:r>
      <w:r w:rsidRPr="000F2D4C">
        <w:t xml:space="preserve"> so that people can be linked, so is less suited to some forms of support services.</w:t>
      </w:r>
    </w:p>
    <w:p w14:paraId="7145E8D2" w14:textId="55428377" w:rsidR="00A70900" w:rsidRPr="000F2D4C" w:rsidRDefault="00A70900" w:rsidP="00A70900">
      <w:r w:rsidRPr="000F2D4C">
        <w:rPr>
          <w:b/>
        </w:rPr>
        <w:t>When it might be most appropriate</w:t>
      </w:r>
      <w:r w:rsidRPr="000F2D4C">
        <w:rPr>
          <w:b/>
          <w:bCs/>
        </w:rPr>
        <w:t>:</w:t>
      </w:r>
      <w:r w:rsidRPr="000F2D4C">
        <w:t xml:space="preserve"> Using linked data is usually appropriate for larger scale evaluations to ensure sufficient time, budget</w:t>
      </w:r>
      <w:r w:rsidR="3699FDC5" w:rsidRPr="000F2D4C">
        <w:t>,</w:t>
      </w:r>
      <w:r w:rsidRPr="000F2D4C">
        <w:t xml:space="preserve"> and a large enough sample size to identify findings in the linked data. </w:t>
      </w:r>
    </w:p>
    <w:p w14:paraId="2201C19E" w14:textId="0796FF12" w:rsidR="00A70900" w:rsidRPr="000F2D4C" w:rsidRDefault="00A70900" w:rsidP="00A70900">
      <w:pPr>
        <w:pStyle w:val="Heading4"/>
      </w:pPr>
      <w:r w:rsidRPr="000F2D4C">
        <w:lastRenderedPageBreak/>
        <w:t>Additional measures</w:t>
      </w:r>
    </w:p>
    <w:p w14:paraId="386D91A8" w14:textId="77777777" w:rsidR="00A70900" w:rsidRPr="000F2D4C" w:rsidRDefault="00A70900" w:rsidP="00A70900">
      <w:r w:rsidRPr="000F2D4C">
        <w:t xml:space="preserve">When considering additional quantitative data collection, the benefit and the burden of data collection should be balanced. </w:t>
      </w:r>
    </w:p>
    <w:p w14:paraId="5E79A9E7" w14:textId="50D7DB49" w:rsidR="00A70900" w:rsidRPr="000F2D4C" w:rsidRDefault="00A70900" w:rsidP="00A70900">
      <w:r w:rsidRPr="000F2D4C">
        <w:t>One consideration for additional data i</w:t>
      </w:r>
      <w:r w:rsidR="5A73B9D1" w:rsidRPr="000F2D4C">
        <w:t>s</w:t>
      </w:r>
      <w:r w:rsidRPr="000F2D4C">
        <w:t xml:space="preserve"> to match data items to existing population data (for example that collected through</w:t>
      </w:r>
      <w:r w:rsidR="0050720D" w:rsidRPr="000F2D4C">
        <w:t xml:space="preserve"> the</w:t>
      </w:r>
      <w:r w:rsidR="002D3B69" w:rsidRPr="000F2D4C">
        <w:t xml:space="preserve"> </w:t>
      </w:r>
      <w:hyperlink r:id="rId96" w:history="1">
        <w:r w:rsidR="002D3B69" w:rsidRPr="000F2D4C">
          <w:rPr>
            <w:rStyle w:val="Hyperlink"/>
          </w:rPr>
          <w:t>National Study of Mental Health and Wellbeing</w:t>
        </w:r>
        <w:r w:rsidRPr="000F2D4C">
          <w:rPr>
            <w:rStyle w:val="Hyperlink"/>
          </w:rPr>
          <w:t>, HILDA</w:t>
        </w:r>
      </w:hyperlink>
      <w:r w:rsidRPr="000F2D4C">
        <w:t>). This can provide – albeit, a fairly weak – comparison between the people in the program and the general population.</w:t>
      </w:r>
    </w:p>
    <w:p w14:paraId="16088A87" w14:textId="194E73F7" w:rsidR="00C0378C" w:rsidRPr="000F2D4C" w:rsidRDefault="0085670D" w:rsidP="00A70900">
      <w:r w:rsidRPr="000F2D4C">
        <w:t>One additional type of measure to consider is a quality of life measure. This could be useful for supporting economic evaluation</w:t>
      </w:r>
      <w:r w:rsidR="00B65268" w:rsidRPr="000F2D4C">
        <w:t>, support synthesis or outcomes across programs</w:t>
      </w:r>
      <w:r w:rsidR="45B18A2A" w:rsidRPr="000F2D4C">
        <w:t>,</w:t>
      </w:r>
      <w:r w:rsidR="00B65268" w:rsidRPr="000F2D4C">
        <w:t xml:space="preserve"> and enable</w:t>
      </w:r>
      <w:r w:rsidR="005E6F57" w:rsidRPr="000F2D4C">
        <w:t xml:space="preserve"> comparisons of outcomes across health conditions</w:t>
      </w:r>
      <w:r w:rsidR="000A3AC5" w:rsidRPr="000F2D4C">
        <w:t>.</w:t>
      </w:r>
      <w:r w:rsidR="00C0378C" w:rsidRPr="000F2D4C">
        <w:t xml:space="preserve"> </w:t>
      </w:r>
    </w:p>
    <w:p w14:paraId="7C77F4E1" w14:textId="269E0AE3" w:rsidR="00A70900" w:rsidRPr="000F2D4C" w:rsidRDefault="0064773B" w:rsidP="00A70900">
      <w:r w:rsidRPr="000F2D4C">
        <w:t xml:space="preserve">Given the </w:t>
      </w:r>
      <w:r w:rsidR="00A70900" w:rsidRPr="000F2D4C">
        <w:t xml:space="preserve"> broader factors impacting mental health and suicide</w:t>
      </w:r>
      <w:r w:rsidRPr="000F2D4C">
        <w:t>, considering these can also be useful in evaluation</w:t>
      </w:r>
      <w:r w:rsidR="00A70900" w:rsidRPr="000F2D4C">
        <w:t>. Data on the social determinants of health could be useful to consider. The World Health Organisation lists the following as social determinants</w:t>
      </w:r>
      <w:r w:rsidR="10219487" w:rsidRPr="000F2D4C">
        <w:t xml:space="preserve"> that</w:t>
      </w:r>
      <w:r w:rsidR="00A70900" w:rsidRPr="000F2D4C">
        <w:t xml:space="preserve"> can influence health equity in positive and negative ways:</w:t>
      </w:r>
    </w:p>
    <w:p w14:paraId="20FA6682" w14:textId="77777777" w:rsidR="00A70900" w:rsidRPr="000F2D4C" w:rsidRDefault="00A70900" w:rsidP="00A70900">
      <w:pPr>
        <w:pStyle w:val="ListBullet"/>
      </w:pPr>
      <w:r w:rsidRPr="000F2D4C">
        <w:t>income and social protection</w:t>
      </w:r>
    </w:p>
    <w:p w14:paraId="413B4BFD" w14:textId="77777777" w:rsidR="00A70900" w:rsidRPr="000F2D4C" w:rsidRDefault="00A70900" w:rsidP="00A70900">
      <w:pPr>
        <w:pStyle w:val="ListBullet"/>
      </w:pPr>
      <w:r w:rsidRPr="000F2D4C">
        <w:t>education</w:t>
      </w:r>
    </w:p>
    <w:p w14:paraId="1ADEFCAF" w14:textId="77777777" w:rsidR="00A70900" w:rsidRPr="000F2D4C" w:rsidRDefault="00A70900" w:rsidP="00A70900">
      <w:pPr>
        <w:pStyle w:val="ListBullet"/>
      </w:pPr>
      <w:r w:rsidRPr="000F2D4C">
        <w:t>unemployment and job insecurity</w:t>
      </w:r>
    </w:p>
    <w:p w14:paraId="77907BE5" w14:textId="77777777" w:rsidR="00A70900" w:rsidRPr="000F2D4C" w:rsidRDefault="00A70900" w:rsidP="00A70900">
      <w:pPr>
        <w:pStyle w:val="ListBullet"/>
      </w:pPr>
      <w:r w:rsidRPr="000F2D4C">
        <w:t>working life conditions</w:t>
      </w:r>
    </w:p>
    <w:p w14:paraId="7CEDF47A" w14:textId="77777777" w:rsidR="00A70900" w:rsidRPr="000F2D4C" w:rsidRDefault="00A70900" w:rsidP="00A70900">
      <w:pPr>
        <w:pStyle w:val="ListBullet"/>
      </w:pPr>
      <w:r w:rsidRPr="000F2D4C">
        <w:t>food insecurity</w:t>
      </w:r>
    </w:p>
    <w:p w14:paraId="4FC8E8ED" w14:textId="3BB95723" w:rsidR="00A70900" w:rsidRPr="000F2D4C" w:rsidRDefault="00A70900" w:rsidP="00A70900">
      <w:pPr>
        <w:pStyle w:val="ListBullet"/>
      </w:pPr>
      <w:r w:rsidRPr="000F2D4C">
        <w:t>housing, basic amenities</w:t>
      </w:r>
      <w:r w:rsidR="5B9C64A4" w:rsidRPr="000F2D4C">
        <w:t>,</w:t>
      </w:r>
      <w:r w:rsidRPr="000F2D4C">
        <w:t xml:space="preserve"> and the environment</w:t>
      </w:r>
    </w:p>
    <w:p w14:paraId="699CA8A2" w14:textId="77777777" w:rsidR="00A70900" w:rsidRPr="000F2D4C" w:rsidRDefault="00A70900" w:rsidP="00A70900">
      <w:pPr>
        <w:pStyle w:val="ListBullet"/>
      </w:pPr>
      <w:r w:rsidRPr="000F2D4C">
        <w:t>early childhood development</w:t>
      </w:r>
    </w:p>
    <w:p w14:paraId="39FE3534" w14:textId="77777777" w:rsidR="00A70900" w:rsidRPr="000F2D4C" w:rsidRDefault="00A70900" w:rsidP="00A70900">
      <w:pPr>
        <w:pStyle w:val="ListBullet"/>
      </w:pPr>
      <w:r w:rsidRPr="000F2D4C">
        <w:t>social inclusion and non-discrimination</w:t>
      </w:r>
    </w:p>
    <w:p w14:paraId="684BEA60" w14:textId="77777777" w:rsidR="00A70900" w:rsidRPr="000F2D4C" w:rsidRDefault="00A70900" w:rsidP="00A70900">
      <w:pPr>
        <w:pStyle w:val="ListBullet"/>
      </w:pPr>
      <w:r w:rsidRPr="000F2D4C">
        <w:t>structural conflict</w:t>
      </w:r>
    </w:p>
    <w:p w14:paraId="436B4096" w14:textId="77777777" w:rsidR="00A70900" w:rsidRPr="000F2D4C" w:rsidRDefault="00A70900" w:rsidP="00A70900">
      <w:pPr>
        <w:pStyle w:val="ListBullet"/>
      </w:pPr>
      <w:r w:rsidRPr="000F2D4C">
        <w:t>access to affordable health services of decent quality.</w:t>
      </w:r>
      <w:r w:rsidRPr="000F2D4C">
        <w:rPr>
          <w:rStyle w:val="FootnoteReference"/>
        </w:rPr>
        <w:footnoteReference w:id="36"/>
      </w:r>
    </w:p>
    <w:p w14:paraId="0499A0EC" w14:textId="77777777" w:rsidR="00A70900" w:rsidRPr="000F2D4C" w:rsidRDefault="00A70900" w:rsidP="00A70900">
      <w:pPr>
        <w:pStyle w:val="ListBullet"/>
        <w:numPr>
          <w:ilvl w:val="0"/>
          <w:numId w:val="0"/>
        </w:numPr>
        <w:ind w:left="360" w:hanging="360"/>
      </w:pPr>
    </w:p>
    <w:p w14:paraId="14BF3CD4" w14:textId="77777777" w:rsidR="00A70900" w:rsidRPr="000F2D4C" w:rsidRDefault="00A70900" w:rsidP="001226B5">
      <w:pPr>
        <w:pStyle w:val="Boxheading"/>
      </w:pPr>
      <w:r w:rsidRPr="000F2D4C">
        <w:t>Data on social determinants of health</w:t>
      </w:r>
    </w:p>
    <w:p w14:paraId="078D423F" w14:textId="7142E3E7" w:rsidR="00A70900" w:rsidRPr="000F2D4C" w:rsidRDefault="00A70900" w:rsidP="00A80F8E">
      <w:pPr>
        <w:pStyle w:val="Boxtext0"/>
      </w:pPr>
      <w:r w:rsidRPr="000F2D4C">
        <w:t xml:space="preserve">The Australian Institute of Health and Welfare </w:t>
      </w:r>
      <w:hyperlink r:id="rId97" w:history="1">
        <w:r w:rsidRPr="00D16154">
          <w:rPr>
            <w:rStyle w:val="Hyperlink"/>
          </w:rPr>
          <w:t>identifies existing data on these social determinants</w:t>
        </w:r>
      </w:hyperlink>
      <w:r w:rsidR="00D16154">
        <w:t xml:space="preserve">. </w:t>
      </w:r>
      <w:r w:rsidRPr="000F2D4C">
        <w:t xml:space="preserve"> </w:t>
      </w:r>
    </w:p>
    <w:p w14:paraId="03600373" w14:textId="533EA498" w:rsidR="00B30D4F" w:rsidRPr="000F2D4C" w:rsidRDefault="009442BF" w:rsidP="001226B5">
      <w:pPr>
        <w:pStyle w:val="Boxheading"/>
        <w:rPr>
          <w:bCs/>
        </w:rPr>
      </w:pPr>
      <w:r w:rsidRPr="000F2D4C">
        <w:t xml:space="preserve">What Australian </w:t>
      </w:r>
      <w:r w:rsidRPr="000F2D4C">
        <w:rPr>
          <w:bCs/>
        </w:rPr>
        <w:t>Government data can be shared</w:t>
      </w:r>
    </w:p>
    <w:p w14:paraId="5D088012" w14:textId="35793D35" w:rsidR="00A80F8E" w:rsidRPr="000F2D4C" w:rsidRDefault="00A80F8E" w:rsidP="00A80F8E">
      <w:pPr>
        <w:pStyle w:val="Boxtext0"/>
      </w:pPr>
      <w:r w:rsidRPr="000F2D4C">
        <w:t>From October 2022, All organisations can make a request to access Australian Government data through Dataplace</w:t>
      </w:r>
      <w:r w:rsidR="00F153D2" w:rsidRPr="000F2D4C">
        <w:t xml:space="preserve">. </w:t>
      </w:r>
    </w:p>
    <w:p w14:paraId="3CD061AC" w14:textId="0A457AA8" w:rsidR="009442BF" w:rsidRPr="00D16154" w:rsidRDefault="00A80F8E" w:rsidP="00A80F8E">
      <w:pPr>
        <w:pStyle w:val="Boxtext0"/>
        <w:rPr>
          <w:rFonts w:ascii="Poppins" w:eastAsia="Times New Roman" w:hAnsi="Poppins" w:cs="Poppins"/>
          <w:color w:val="000000"/>
          <w:sz w:val="24"/>
          <w:szCs w:val="24"/>
          <w:lang w:eastAsia="en-AU"/>
        </w:rPr>
      </w:pPr>
      <w:r w:rsidRPr="000F2D4C">
        <w:t>Free, open datasets are available at data.gov.au. Open data includes the datasets published by Australian, state and local government agencies, as well as publicly-funded research data and datasets from private institutions that are in the public interest</w:t>
      </w:r>
      <w:r w:rsidRPr="000F2D4C">
        <w:rPr>
          <w:rFonts w:ascii="Poppins" w:eastAsia="Times New Roman" w:hAnsi="Poppins" w:cs="Poppins"/>
          <w:color w:val="000000"/>
          <w:sz w:val="24"/>
          <w:szCs w:val="24"/>
          <w:lang w:eastAsia="en-AU"/>
        </w:rPr>
        <w:t>.</w:t>
      </w:r>
      <w:r w:rsidR="00F153D2" w:rsidRPr="000F2D4C">
        <w:rPr>
          <w:rFonts w:ascii="Poppins" w:eastAsia="Times New Roman" w:hAnsi="Poppins" w:cs="Poppins"/>
          <w:color w:val="000000"/>
          <w:sz w:val="24"/>
          <w:szCs w:val="24"/>
          <w:lang w:eastAsia="en-AU"/>
        </w:rPr>
        <w:t xml:space="preserve"> </w:t>
      </w:r>
      <w:r w:rsidR="00D16154">
        <w:rPr>
          <w:rFonts w:ascii="Poppins" w:eastAsia="Times New Roman" w:hAnsi="Poppins" w:cs="Poppins"/>
          <w:color w:val="000000"/>
          <w:sz w:val="24"/>
          <w:szCs w:val="24"/>
          <w:lang w:eastAsia="en-AU"/>
        </w:rPr>
        <w:br/>
      </w:r>
      <w:hyperlink r:id="rId98" w:history="1">
        <w:r w:rsidR="00F153D2" w:rsidRPr="000F2D4C">
          <w:rPr>
            <w:rStyle w:val="Hyperlink"/>
          </w:rPr>
          <w:t>Share Data | Office of the National Data Commissioner</w:t>
        </w:r>
      </w:hyperlink>
      <w:r w:rsidR="00D16154">
        <w:rPr>
          <w:rStyle w:val="Hyperlink"/>
        </w:rPr>
        <w:br/>
      </w:r>
    </w:p>
    <w:p w14:paraId="25677130" w14:textId="4104D295" w:rsidR="00A70900" w:rsidRPr="000F2D4C" w:rsidRDefault="00A70900" w:rsidP="00A70900">
      <w:pPr>
        <w:pStyle w:val="Heading3"/>
      </w:pPr>
      <w:bookmarkStart w:id="65" w:name="_Toc146206789"/>
      <w:r w:rsidRPr="000F2D4C">
        <w:lastRenderedPageBreak/>
        <w:t xml:space="preserve">Economic evaluation </w:t>
      </w:r>
      <w:bookmarkEnd w:id="65"/>
    </w:p>
    <w:p w14:paraId="0C6E0C97" w14:textId="5C78D181" w:rsidR="00A70900" w:rsidRPr="000F2D4C" w:rsidRDefault="00A70900" w:rsidP="00A70900">
      <w:pPr>
        <w:rPr>
          <w:rFonts w:ascii="Segoe UI" w:hAnsi="Segoe UI" w:cs="Segoe UI"/>
          <w:color w:val="000000"/>
          <w:szCs w:val="20"/>
          <w:shd w:val="clear" w:color="auto" w:fill="FFFFFF"/>
        </w:rPr>
      </w:pPr>
      <w:r w:rsidRPr="000F2D4C">
        <w:rPr>
          <w:rStyle w:val="normaltextrun"/>
          <w:rFonts w:ascii="Segoe UI" w:hAnsi="Segoe UI" w:cs="Segoe UI"/>
          <w:color w:val="000000"/>
          <w:szCs w:val="20"/>
          <w:shd w:val="clear" w:color="auto" w:fill="FFFFFF"/>
        </w:rPr>
        <w:t>This section identifies considerations for the use of different economic evaluation approaches</w:t>
      </w:r>
      <w:r w:rsidR="00E741CF" w:rsidRPr="000F2D4C">
        <w:rPr>
          <w:rStyle w:val="normaltextrun"/>
          <w:rFonts w:ascii="Segoe UI" w:hAnsi="Segoe UI" w:cs="Segoe UI"/>
          <w:color w:val="000000"/>
          <w:szCs w:val="20"/>
          <w:shd w:val="clear" w:color="auto" w:fill="FFFFFF"/>
        </w:rPr>
        <w:t xml:space="preserve"> depending on the context and available data</w:t>
      </w:r>
      <w:r w:rsidRPr="000F2D4C">
        <w:rPr>
          <w:rStyle w:val="normaltextrun"/>
          <w:rFonts w:ascii="Segoe UI" w:hAnsi="Segoe UI" w:cs="Segoe UI"/>
          <w:color w:val="000000"/>
          <w:szCs w:val="20"/>
          <w:shd w:val="clear" w:color="auto" w:fill="FFFFFF"/>
        </w:rPr>
        <w:t xml:space="preserve">. More detailed guidance on the technical aspects of evaluation is available from state and territory governments and other sources (see </w:t>
      </w:r>
      <w:r w:rsidR="00E741CF" w:rsidRPr="000F2D4C">
        <w:rPr>
          <w:rStyle w:val="normaltextrun"/>
          <w:rFonts w:ascii="Segoe UI" w:hAnsi="Segoe UI" w:cs="Segoe UI"/>
          <w:color w:val="000000"/>
          <w:szCs w:val="20"/>
          <w:shd w:val="clear" w:color="auto" w:fill="FFFFFF"/>
        </w:rPr>
        <w:t>below</w:t>
      </w:r>
      <w:r w:rsidRPr="000F2D4C">
        <w:rPr>
          <w:rStyle w:val="normaltextrun"/>
          <w:rFonts w:ascii="Segoe UI" w:hAnsi="Segoe UI" w:cs="Segoe UI"/>
          <w:color w:val="000000"/>
          <w:szCs w:val="20"/>
          <w:shd w:val="clear" w:color="auto" w:fill="FFFFFF"/>
        </w:rPr>
        <w:t xml:space="preserve">). </w:t>
      </w:r>
    </w:p>
    <w:p w14:paraId="74E5C1A3" w14:textId="77777777" w:rsidR="00A70900" w:rsidRPr="000F2D4C" w:rsidRDefault="00A70900" w:rsidP="00A70900">
      <w:pPr>
        <w:pStyle w:val="Heading4"/>
      </w:pPr>
      <w:r w:rsidRPr="000F2D4C">
        <w:t>Thinking about the economic benefits of mental health and suicide prevention programs</w:t>
      </w:r>
    </w:p>
    <w:p w14:paraId="2D4280AE" w14:textId="33270227" w:rsidR="00A70900" w:rsidRPr="000F2D4C" w:rsidRDefault="00A70900" w:rsidP="00A70900">
      <w:r w:rsidRPr="000F2D4C">
        <w:t>Mental ill</w:t>
      </w:r>
      <w:r w:rsidR="2685196E" w:rsidRPr="000F2D4C">
        <w:t>-</w:t>
      </w:r>
      <w:r w:rsidRPr="000F2D4C">
        <w:t>health and suicide have significant social and economic costs – for individuals, their families and supporters, governments</w:t>
      </w:r>
      <w:r w:rsidR="3F3505AF" w:rsidRPr="000F2D4C">
        <w:t>,</w:t>
      </w:r>
      <w:r w:rsidRPr="000F2D4C">
        <w:t xml:space="preserve"> and society. The Productivity Commission Inquiry into Mental Health (2020) recognised several broad categories of economic benefit resulting from improved mental health</w:t>
      </w:r>
      <w:r w:rsidR="00E62D24" w:rsidRPr="000F2D4C">
        <w:t>, including:</w:t>
      </w:r>
    </w:p>
    <w:p w14:paraId="6B4F4D6E" w14:textId="13C7D398" w:rsidR="00A70900" w:rsidRPr="000F2D4C" w:rsidRDefault="00BF47B9" w:rsidP="00A70900">
      <w:pPr>
        <w:pStyle w:val="ListBullet"/>
        <w:rPr>
          <w:rStyle w:val="normaltextrun"/>
          <w:rFonts w:ascii="Segoe UI" w:hAnsi="Segoe UI" w:cs="Segoe UI"/>
          <w:color w:val="000000"/>
          <w:shd w:val="clear" w:color="auto" w:fill="FFFFFF"/>
        </w:rPr>
      </w:pPr>
      <w:r w:rsidRPr="000F2D4C">
        <w:rPr>
          <w:rStyle w:val="normaltextrun"/>
          <w:rFonts w:ascii="Segoe UI" w:hAnsi="Segoe UI" w:cs="Segoe UI"/>
          <w:color w:val="000000"/>
          <w:shd w:val="clear" w:color="auto" w:fill="FFFFFF"/>
        </w:rPr>
        <w:t xml:space="preserve">reduced </w:t>
      </w:r>
      <w:r w:rsidR="00A70900" w:rsidRPr="000F2D4C">
        <w:rPr>
          <w:rStyle w:val="normaltextrun"/>
          <w:rFonts w:ascii="Segoe UI" w:hAnsi="Segoe UI" w:cs="Segoe UI"/>
          <w:color w:val="000000"/>
          <w:shd w:val="clear" w:color="auto" w:fill="FFFFFF"/>
        </w:rPr>
        <w:t xml:space="preserve">disability and death related to mental health conditions and suicide </w:t>
      </w:r>
    </w:p>
    <w:p w14:paraId="5C5A53F8" w14:textId="77777777" w:rsidR="00A70900" w:rsidRPr="000F2D4C" w:rsidRDefault="00A70900" w:rsidP="00A70900">
      <w:pPr>
        <w:pStyle w:val="ListBullet"/>
        <w:rPr>
          <w:rStyle w:val="normaltextrun"/>
          <w:rFonts w:ascii="Segoe UI" w:hAnsi="Segoe UI" w:cs="Segoe UI"/>
          <w:color w:val="000000"/>
          <w:shd w:val="clear" w:color="auto" w:fill="FFFFFF"/>
        </w:rPr>
      </w:pPr>
      <w:r w:rsidRPr="000F2D4C">
        <w:rPr>
          <w:rStyle w:val="normaltextrun"/>
          <w:rFonts w:ascii="Segoe UI" w:hAnsi="Segoe UI" w:cs="Segoe UI"/>
          <w:color w:val="000000"/>
          <w:shd w:val="clear" w:color="auto" w:fill="FFFFFF"/>
        </w:rPr>
        <w:t xml:space="preserve">improved productivity (for example, higher employment rates, lower absenteeism and presenteeism) </w:t>
      </w:r>
    </w:p>
    <w:p w14:paraId="10543739" w14:textId="77777777" w:rsidR="00A70900" w:rsidRPr="000F2D4C" w:rsidRDefault="00A70900" w:rsidP="00A70900">
      <w:pPr>
        <w:pStyle w:val="ListBullet"/>
        <w:spacing w:after="240"/>
        <w:rPr>
          <w:rStyle w:val="normaltextrun"/>
          <w:rFonts w:ascii="Segoe UI" w:hAnsi="Segoe UI" w:cs="Segoe UI"/>
          <w:color w:val="000000"/>
          <w:shd w:val="clear" w:color="auto" w:fill="FFFFFF"/>
        </w:rPr>
      </w:pPr>
      <w:r w:rsidRPr="000F2D4C">
        <w:rPr>
          <w:rStyle w:val="normaltextrun"/>
          <w:rFonts w:ascii="Segoe UI" w:hAnsi="Segoe UI" w:cs="Segoe UI"/>
          <w:color w:val="000000"/>
          <w:shd w:val="clear" w:color="auto" w:fill="FFFFFF"/>
        </w:rPr>
        <w:t>reduced government expenditure (for example, due to reduced use of emergency hospital services, reduced need for other health services).</w:t>
      </w:r>
    </w:p>
    <w:p w14:paraId="09D74F4A" w14:textId="77777777" w:rsidR="00A70900" w:rsidRPr="000F2D4C" w:rsidRDefault="00A70900" w:rsidP="00A70900">
      <w:pPr>
        <w:rPr>
          <w:rStyle w:val="normaltextrun"/>
          <w:rFonts w:ascii="Segoe UI" w:hAnsi="Segoe UI" w:cs="Segoe UI"/>
          <w:color w:val="000000"/>
          <w:szCs w:val="20"/>
          <w:shd w:val="clear" w:color="auto" w:fill="FFFFFF"/>
        </w:rPr>
      </w:pPr>
      <w:r w:rsidRPr="000F2D4C">
        <w:rPr>
          <w:rStyle w:val="normaltextrun"/>
          <w:rFonts w:ascii="Segoe UI" w:hAnsi="Segoe UI" w:cs="Segoe UI"/>
          <w:color w:val="000000"/>
          <w:szCs w:val="20"/>
          <w:shd w:val="clear" w:color="auto" w:fill="FFFFFF"/>
        </w:rPr>
        <w:t>This provides a scaffold for thinking about the benefits to be assessed in economic evaluations of mental health and suicide prevention programs. However, economic evaluation of mental health and suicide prevention programs is challenging, given the limitations of costs and outcomes data, barriers and timelines to access data, the difficulty of quantifying all benefits, and the complexity of factors affecting mental health and suicide.</w:t>
      </w:r>
    </w:p>
    <w:p w14:paraId="24098B99" w14:textId="77777777" w:rsidR="00A70900" w:rsidRPr="000F2D4C" w:rsidRDefault="00A70900" w:rsidP="00A70900">
      <w:pPr>
        <w:rPr>
          <w:rStyle w:val="normaltextrun"/>
          <w:rFonts w:ascii="Segoe UI" w:hAnsi="Segoe UI" w:cs="Segoe UI"/>
          <w:color w:val="000000"/>
          <w:szCs w:val="20"/>
          <w:shd w:val="clear" w:color="auto" w:fill="FFFFFF"/>
        </w:rPr>
      </w:pPr>
      <w:r w:rsidRPr="000F2D4C">
        <w:rPr>
          <w:rStyle w:val="normaltextrun"/>
          <w:rFonts w:ascii="Segoe UI" w:hAnsi="Segoe UI" w:cs="Segoe UI"/>
          <w:color w:val="000000"/>
          <w:szCs w:val="20"/>
          <w:shd w:val="clear" w:color="auto" w:fill="FFFFFF"/>
        </w:rPr>
        <w:t xml:space="preserve">It will not be possible or appropriate to try to put a dollar value on the benefits resulting from all mental health and suicide prevention programs, but it is possible to strengthen analysis of program costs – which can help to consider whether efficiencies might be possible – and to undertake economic evaluation when appropriate. </w:t>
      </w:r>
    </w:p>
    <w:p w14:paraId="1D3D2B86" w14:textId="4F2666EC" w:rsidR="00A70900" w:rsidRPr="000F2D4C" w:rsidRDefault="00E741CF" w:rsidP="00A70900">
      <w:pPr>
        <w:pStyle w:val="Heading4"/>
        <w:rPr>
          <w:rStyle w:val="normaltextrun"/>
        </w:rPr>
      </w:pPr>
      <w:r w:rsidRPr="000F2D4C">
        <w:rPr>
          <w:rStyle w:val="normaltextrun"/>
        </w:rPr>
        <w:t>the</w:t>
      </w:r>
      <w:r w:rsidR="00A70900" w:rsidRPr="000F2D4C">
        <w:rPr>
          <w:rStyle w:val="normaltextrun"/>
        </w:rPr>
        <w:t xml:space="preserve"> data needed</w:t>
      </w:r>
    </w:p>
    <w:p w14:paraId="4EBB7D55" w14:textId="77777777" w:rsidR="00A70900" w:rsidRPr="000F2D4C" w:rsidRDefault="00A70900" w:rsidP="00A70900">
      <w:pPr>
        <w:rPr>
          <w:rStyle w:val="normaltextrun"/>
          <w:rFonts w:ascii="Segoe UI" w:hAnsi="Segoe UI" w:cs="Segoe UI"/>
          <w:color w:val="000000"/>
          <w:szCs w:val="20"/>
          <w:shd w:val="clear" w:color="auto" w:fill="FFFFFF"/>
        </w:rPr>
      </w:pPr>
      <w:r w:rsidRPr="000F2D4C">
        <w:rPr>
          <w:rStyle w:val="normaltextrun"/>
          <w:rFonts w:ascii="Segoe UI" w:hAnsi="Segoe UI" w:cs="Segoe UI"/>
          <w:color w:val="000000"/>
          <w:szCs w:val="20"/>
          <w:shd w:val="clear" w:color="auto" w:fill="FFFFFF"/>
        </w:rPr>
        <w:t>The first thing required for this kind of analysis is complete data on costs/ expenditure. This should cover actual costs, rather than budgeted costs. For new programs, it should split start-up costs from ongoing costs. And for all programs, it should break down costs into consistent categories, such as staffing.</w:t>
      </w:r>
    </w:p>
    <w:p w14:paraId="09C414ED" w14:textId="77777777" w:rsidR="00A70900" w:rsidRPr="000F2D4C" w:rsidRDefault="00A70900" w:rsidP="00A70900">
      <w:pPr>
        <w:rPr>
          <w:rStyle w:val="normaltextrun"/>
          <w:rFonts w:ascii="Segoe UI" w:hAnsi="Segoe UI" w:cs="Segoe UI"/>
          <w:color w:val="000000"/>
          <w:szCs w:val="20"/>
          <w:shd w:val="clear" w:color="auto" w:fill="FFFFFF"/>
        </w:rPr>
      </w:pPr>
      <w:r w:rsidRPr="000F2D4C">
        <w:rPr>
          <w:rStyle w:val="normaltextrun"/>
          <w:rFonts w:ascii="Segoe UI" w:hAnsi="Segoe UI" w:cs="Segoe UI"/>
          <w:color w:val="000000"/>
          <w:szCs w:val="20"/>
          <w:shd w:val="clear" w:color="auto" w:fill="FFFFFF"/>
        </w:rPr>
        <w:t xml:space="preserve">The second input required is complete and consistent quantitative data on outcomes for participants. This can include individual outcomes measures, such as those collected through standard outcomes data collections, as well as administrative data collected by health services on service usage. </w:t>
      </w:r>
    </w:p>
    <w:p w14:paraId="426382EB" w14:textId="1A69C20E" w:rsidR="00A70900" w:rsidRPr="000F2D4C" w:rsidRDefault="00A70900" w:rsidP="00A70900">
      <w:pPr>
        <w:rPr>
          <w:rStyle w:val="normaltextrun"/>
          <w:rFonts w:ascii="Segoe UI" w:hAnsi="Segoe UI" w:cs="Segoe UI"/>
          <w:color w:val="000000"/>
          <w:shd w:val="clear" w:color="auto" w:fill="FFFFFF"/>
        </w:rPr>
      </w:pPr>
      <w:r w:rsidRPr="000F2D4C">
        <w:rPr>
          <w:rStyle w:val="normaltextrun"/>
          <w:rFonts w:ascii="Segoe UI" w:hAnsi="Segoe UI" w:cs="Segoe UI"/>
          <w:color w:val="000000"/>
          <w:shd w:val="clear" w:color="auto" w:fill="FFFFFF"/>
        </w:rPr>
        <w:t>For some economic evaluation methods, such as Cost</w:t>
      </w:r>
      <w:r w:rsidR="22585FFB" w:rsidRPr="000F2D4C">
        <w:rPr>
          <w:rStyle w:val="normaltextrun"/>
          <w:rFonts w:ascii="Segoe UI" w:hAnsi="Segoe UI" w:cs="Segoe UI"/>
          <w:color w:val="000000"/>
          <w:shd w:val="clear" w:color="auto" w:fill="FFFFFF"/>
        </w:rPr>
        <w:t>-</w:t>
      </w:r>
      <w:r w:rsidRPr="000F2D4C">
        <w:rPr>
          <w:rStyle w:val="normaltextrun"/>
          <w:rFonts w:ascii="Segoe UI" w:hAnsi="Segoe UI" w:cs="Segoe UI"/>
          <w:color w:val="000000"/>
          <w:shd w:val="clear" w:color="auto" w:fill="FFFFFF"/>
        </w:rPr>
        <w:t xml:space="preserve">Benefit Analysis, a certain kind of outcomes measure – one that can be monetised – is required. </w:t>
      </w:r>
    </w:p>
    <w:p w14:paraId="7EA23B66" w14:textId="77777777" w:rsidR="00A70900" w:rsidRPr="000F2D4C" w:rsidRDefault="00A70900" w:rsidP="00A70900">
      <w:pPr>
        <w:rPr>
          <w:rStyle w:val="normaltextrun"/>
          <w:rFonts w:ascii="Segoe UI" w:hAnsi="Segoe UI" w:cs="Segoe UI"/>
          <w:color w:val="000000"/>
          <w:szCs w:val="20"/>
          <w:shd w:val="clear" w:color="auto" w:fill="FFFFFF"/>
        </w:rPr>
      </w:pPr>
      <w:r w:rsidRPr="000F2D4C">
        <w:rPr>
          <w:rStyle w:val="normaltextrun"/>
          <w:rFonts w:ascii="Segoe UI" w:hAnsi="Segoe UI" w:cs="Segoe UI"/>
          <w:color w:val="000000"/>
          <w:szCs w:val="20"/>
          <w:shd w:val="clear" w:color="auto" w:fill="FFFFFF"/>
        </w:rPr>
        <w:lastRenderedPageBreak/>
        <w:t>Economic evaluation also requires at least two alternatives to compare in terms of costs and outcomes – one of these options might be the current standard care or the “status quo”.</w:t>
      </w:r>
      <w:r w:rsidRPr="000F2D4C">
        <w:rPr>
          <w:rStyle w:val="eop"/>
          <w:rFonts w:ascii="Segoe UI" w:hAnsi="Segoe UI" w:cs="Segoe UI"/>
          <w:color w:val="000000"/>
          <w:szCs w:val="20"/>
          <w:shd w:val="clear" w:color="auto" w:fill="FFFFFF"/>
        </w:rPr>
        <w:t> </w:t>
      </w:r>
    </w:p>
    <w:p w14:paraId="30CDA394" w14:textId="77777777" w:rsidR="00A70900" w:rsidRPr="000F2D4C" w:rsidRDefault="00A70900" w:rsidP="00A70900">
      <w:pPr>
        <w:pStyle w:val="Heading4"/>
      </w:pPr>
      <w:r w:rsidRPr="000F2D4C">
        <w:t>Key considerations</w:t>
      </w:r>
    </w:p>
    <w:p w14:paraId="5C09316A" w14:textId="77777777" w:rsidR="00A70900" w:rsidRPr="000F2D4C" w:rsidRDefault="00A70900" w:rsidP="00A70900">
      <w:pPr>
        <w:keepNext/>
      </w:pPr>
      <w:r w:rsidRPr="000F2D4C">
        <w:t>A number of key considerations are important in designing effective value for money or economic evaluations. A brief overview of these is provided below, with more detailed guidance available in Australian Government and state and territory resources listed at the end of this section.</w:t>
      </w:r>
    </w:p>
    <w:p w14:paraId="67B9A8BD" w14:textId="77777777" w:rsidR="00A70900" w:rsidRPr="000F2D4C" w:rsidRDefault="00A70900" w:rsidP="003A40F9">
      <w:pPr>
        <w:pStyle w:val="ListBullet"/>
      </w:pPr>
      <w:r w:rsidRPr="000F2D4C">
        <w:rPr>
          <w:b/>
          <w:bCs/>
        </w:rPr>
        <w:t>Comparison against a baseline or counterfactual</w:t>
      </w:r>
      <w:r w:rsidRPr="000F2D4C">
        <w:t>: Ideally, economic evaluations should compare costs and benefits of a policy intervention against a baseline – typically, what benefits and costs would have occurred if the intervention had not been implemented. This relies on experimental or quasi-experimental evaluation designs.</w:t>
      </w:r>
    </w:p>
    <w:p w14:paraId="588B56D1" w14:textId="3DEBE337" w:rsidR="00A70900" w:rsidRPr="000F2D4C" w:rsidRDefault="00A70900" w:rsidP="003A40F9">
      <w:pPr>
        <w:pStyle w:val="ListBullet"/>
      </w:pPr>
      <w:r w:rsidRPr="000F2D4C">
        <w:rPr>
          <w:b/>
          <w:bCs/>
        </w:rPr>
        <w:t>Who benefits and who incurs costs</w:t>
      </w:r>
      <w:r w:rsidRPr="000F2D4C">
        <w:t xml:space="preserve">: A large number of stakeholders may potentially benefit from a mental health and suicide prevention policy intervention. Evaluations should always make clear which stakeholders are included in the analysis of costs and benefits. </w:t>
      </w:r>
      <w:r w:rsidR="000358D0" w:rsidRPr="000F2D4C">
        <w:t xml:space="preserve">Common categories </w:t>
      </w:r>
      <w:r w:rsidR="005260B0" w:rsidRPr="000F2D4C">
        <w:t>of stakeholders who may benefit</w:t>
      </w:r>
      <w:r w:rsidR="00B45095" w:rsidRPr="000F2D4C">
        <w:t xml:space="preserve"> </w:t>
      </w:r>
      <w:r w:rsidR="000358D0" w:rsidRPr="000F2D4C">
        <w:t xml:space="preserve">include </w:t>
      </w:r>
      <w:r w:rsidR="0067427A" w:rsidRPr="000F2D4C">
        <w:t>funding agenc</w:t>
      </w:r>
      <w:r w:rsidR="002E062B" w:rsidRPr="000F2D4C">
        <w:t>ies</w:t>
      </w:r>
      <w:r w:rsidR="0067427A" w:rsidRPr="000F2D4C">
        <w:t xml:space="preserve">, broader government, </w:t>
      </w:r>
      <w:r w:rsidR="00F12ED8" w:rsidRPr="000F2D4C">
        <w:t xml:space="preserve">service users, their </w:t>
      </w:r>
      <w:r w:rsidR="00292782" w:rsidRPr="000F2D4C">
        <w:t xml:space="preserve">friends, </w:t>
      </w:r>
      <w:r w:rsidR="00F12ED8" w:rsidRPr="000F2D4C">
        <w:t>family and support person</w:t>
      </w:r>
      <w:r w:rsidR="00292782" w:rsidRPr="000F2D4C">
        <w:t>s</w:t>
      </w:r>
      <w:r w:rsidR="0067427A" w:rsidRPr="000F2D4C">
        <w:t xml:space="preserve">, and the broader community. </w:t>
      </w:r>
      <w:r w:rsidRPr="000F2D4C">
        <w:t xml:space="preserve">For example, an evaluation of a new mental health program may focus solely on costs and benefits for the program’s clients and the </w:t>
      </w:r>
      <w:r w:rsidR="00E741CF" w:rsidRPr="000F2D4C">
        <w:t>agency that</w:t>
      </w:r>
      <w:r w:rsidRPr="000F2D4C">
        <w:t xml:space="preserve"> funds it, or it could consider </w:t>
      </w:r>
      <w:r w:rsidR="00471D6F" w:rsidRPr="000F2D4C">
        <w:t xml:space="preserve">additional </w:t>
      </w:r>
      <w:r w:rsidRPr="000F2D4C">
        <w:t>impacts on other groups (</w:t>
      </w:r>
      <w:r w:rsidR="006773F5" w:rsidRPr="000F2D4C">
        <w:t>such as benefits to</w:t>
      </w:r>
      <w:r w:rsidRPr="000F2D4C">
        <w:t xml:space="preserve"> the client’s family, or </w:t>
      </w:r>
      <w:r w:rsidR="006773F5" w:rsidRPr="000F2D4C">
        <w:t>reductions in</w:t>
      </w:r>
      <w:r w:rsidRPr="000F2D4C">
        <w:t xml:space="preserve"> the client’s need for support from other areas of government). The approach used and rationale should always be made clear.</w:t>
      </w:r>
      <w:r w:rsidR="007145ED" w:rsidRPr="000F2D4C">
        <w:t xml:space="preserve"> </w:t>
      </w:r>
      <w:r w:rsidR="00B14256" w:rsidRPr="000F2D4C">
        <w:t xml:space="preserve">Examples of </w:t>
      </w:r>
      <w:r w:rsidR="00266803" w:rsidRPr="000F2D4C">
        <w:t xml:space="preserve">costs </w:t>
      </w:r>
      <w:r w:rsidR="00F23FBA" w:rsidRPr="000F2D4C">
        <w:t>and benefits</w:t>
      </w:r>
      <w:r w:rsidR="00266803" w:rsidRPr="000F2D4C">
        <w:t xml:space="preserve"> that may impact people other than the </w:t>
      </w:r>
      <w:r w:rsidR="00A21205" w:rsidRPr="000F2D4C">
        <w:t xml:space="preserve">service user </w:t>
      </w:r>
      <w:r w:rsidR="00266803" w:rsidRPr="000F2D4C">
        <w:t>and the funding agency</w:t>
      </w:r>
      <w:r w:rsidR="00814D4D" w:rsidRPr="000F2D4C">
        <w:t xml:space="preserve"> (the ‘referent groups’)</w:t>
      </w:r>
      <w:r w:rsidR="00266803" w:rsidRPr="000F2D4C">
        <w:t xml:space="preserve"> include:</w:t>
      </w:r>
    </w:p>
    <w:p w14:paraId="165CB74D" w14:textId="662EBD77" w:rsidR="00A70900" w:rsidRPr="000F2D4C" w:rsidRDefault="1688FEA2" w:rsidP="006E1278">
      <w:pPr>
        <w:pStyle w:val="ListBullet"/>
        <w:numPr>
          <w:ilvl w:val="0"/>
          <w:numId w:val="54"/>
        </w:numPr>
        <w:rPr>
          <w:rFonts w:ascii="Segoe UI" w:hAnsi="Segoe UI"/>
        </w:rPr>
      </w:pPr>
      <w:r w:rsidRPr="000F2D4C">
        <w:rPr>
          <w:rFonts w:ascii="Segoe UI" w:hAnsi="Segoe UI"/>
          <w:b/>
          <w:bCs/>
        </w:rPr>
        <w:t>e</w:t>
      </w:r>
      <w:r w:rsidR="00A70900" w:rsidRPr="000F2D4C">
        <w:rPr>
          <w:rFonts w:ascii="Segoe UI" w:hAnsi="Segoe UI"/>
          <w:b/>
          <w:bCs/>
        </w:rPr>
        <w:t>xternalities/</w:t>
      </w:r>
      <w:r w:rsidR="00E741CF" w:rsidRPr="000F2D4C">
        <w:rPr>
          <w:rFonts w:ascii="Segoe UI" w:hAnsi="Segoe UI"/>
          <w:b/>
          <w:bCs/>
        </w:rPr>
        <w:t xml:space="preserve"> s</w:t>
      </w:r>
      <w:r w:rsidR="00A70900" w:rsidRPr="000F2D4C">
        <w:rPr>
          <w:rFonts w:ascii="Segoe UI" w:hAnsi="Segoe UI"/>
          <w:b/>
          <w:bCs/>
        </w:rPr>
        <w:t xml:space="preserve">pillovers: </w:t>
      </w:r>
      <w:r w:rsidR="00CC4853" w:rsidRPr="000F2D4C">
        <w:rPr>
          <w:rFonts w:ascii="Segoe UI" w:hAnsi="Segoe UI"/>
        </w:rPr>
        <w:t>S</w:t>
      </w:r>
      <w:r w:rsidR="00A70900" w:rsidRPr="000F2D4C">
        <w:rPr>
          <w:rFonts w:ascii="Segoe UI" w:hAnsi="Segoe UI"/>
        </w:rPr>
        <w:t xml:space="preserve">econdary benefits or costs that are not immediately apparent, often accruing to parties not in the groups </w:t>
      </w:r>
      <w:r w:rsidR="00E741CF" w:rsidRPr="000F2D4C">
        <w:rPr>
          <w:rFonts w:ascii="Segoe UI" w:hAnsi="Segoe UI"/>
        </w:rPr>
        <w:t xml:space="preserve">directly </w:t>
      </w:r>
      <w:r w:rsidR="00A70900" w:rsidRPr="000F2D4C">
        <w:rPr>
          <w:rFonts w:ascii="Segoe UI" w:hAnsi="Segoe UI"/>
        </w:rPr>
        <w:t>considered. In cases where positive spillovers are significant, they can justify the investment in the program</w:t>
      </w:r>
      <w:r w:rsidR="00E741CF" w:rsidRPr="000F2D4C">
        <w:rPr>
          <w:rFonts w:ascii="Segoe UI" w:hAnsi="Segoe UI"/>
        </w:rPr>
        <w:t>, f</w:t>
      </w:r>
      <w:r w:rsidR="00A70900" w:rsidRPr="000F2D4C">
        <w:rPr>
          <w:rFonts w:ascii="Segoe UI" w:hAnsi="Segoe UI"/>
        </w:rPr>
        <w:t>or example, beneficial impacts on family members.</w:t>
      </w:r>
    </w:p>
    <w:p w14:paraId="29BEAA98" w14:textId="3E822514" w:rsidR="00A70900" w:rsidRPr="000F2D4C" w:rsidRDefault="347B43CC" w:rsidP="006E1278">
      <w:pPr>
        <w:pStyle w:val="ListBullet"/>
        <w:numPr>
          <w:ilvl w:val="0"/>
          <w:numId w:val="54"/>
        </w:numPr>
        <w:rPr>
          <w:rFonts w:ascii="Segoe UI" w:hAnsi="Segoe UI"/>
        </w:rPr>
      </w:pPr>
      <w:r w:rsidRPr="000F2D4C">
        <w:rPr>
          <w:rFonts w:ascii="Segoe UI" w:hAnsi="Segoe UI"/>
          <w:b/>
          <w:bCs/>
        </w:rPr>
        <w:t>f</w:t>
      </w:r>
      <w:r w:rsidR="00A70900" w:rsidRPr="000F2D4C">
        <w:rPr>
          <w:rFonts w:ascii="Segoe UI" w:hAnsi="Segoe UI"/>
          <w:b/>
          <w:bCs/>
        </w:rPr>
        <w:t xml:space="preserve">low-on effects: </w:t>
      </w:r>
      <w:r w:rsidR="00943EAA" w:rsidRPr="000F2D4C">
        <w:rPr>
          <w:rFonts w:ascii="Segoe UI" w:hAnsi="Segoe UI"/>
        </w:rPr>
        <w:t>The</w:t>
      </w:r>
      <w:r w:rsidR="00F23FBA" w:rsidRPr="000F2D4C">
        <w:rPr>
          <w:rFonts w:ascii="Segoe UI" w:hAnsi="Segoe UI"/>
        </w:rPr>
        <w:t xml:space="preserve"> impact of spending generated by </w:t>
      </w:r>
      <w:r w:rsidR="00F704FF" w:rsidRPr="000F2D4C">
        <w:rPr>
          <w:rFonts w:ascii="Segoe UI" w:hAnsi="Segoe UI"/>
        </w:rPr>
        <w:t xml:space="preserve">the program </w:t>
      </w:r>
      <w:r w:rsidR="00F23FBA" w:rsidRPr="000F2D4C">
        <w:rPr>
          <w:rFonts w:ascii="Segoe UI" w:hAnsi="Segoe UI"/>
        </w:rPr>
        <w:t>on the economy.</w:t>
      </w:r>
      <w:r w:rsidR="00A70900" w:rsidRPr="000F2D4C">
        <w:rPr>
          <w:rFonts w:ascii="Segoe UI" w:hAnsi="Segoe UI"/>
        </w:rPr>
        <w:t xml:space="preserve"> These should be considered only in so far as they are real. That is, they should be included only if these effects would not have been generated by an alternative project or use of funds</w:t>
      </w:r>
      <w:r w:rsidR="00E741CF" w:rsidRPr="000F2D4C">
        <w:rPr>
          <w:rFonts w:ascii="Segoe UI" w:hAnsi="Segoe UI"/>
        </w:rPr>
        <w:t>.</w:t>
      </w:r>
      <w:r w:rsidR="00F23FBA" w:rsidRPr="000F2D4C">
        <w:rPr>
          <w:rFonts w:ascii="Segoe UI" w:hAnsi="Segoe UI"/>
        </w:rPr>
        <w:t xml:space="preserve"> In practice, these are typically not allowed for, as there is rarely evidence that spending on an alternative project would not generate similar flow-on effects.</w:t>
      </w:r>
    </w:p>
    <w:p w14:paraId="7DF0BF0A" w14:textId="2A008649" w:rsidR="00A70900" w:rsidRPr="000F2D4C" w:rsidRDefault="00A70900" w:rsidP="00333279">
      <w:pPr>
        <w:pStyle w:val="ListBullet"/>
      </w:pPr>
      <w:r w:rsidRPr="000F2D4C">
        <w:rPr>
          <w:b/>
          <w:bCs/>
        </w:rPr>
        <w:t>Time horizon for measuring costs and benefits</w:t>
      </w:r>
      <w:r w:rsidRPr="000F2D4C">
        <w:t>: A suitable time horizon for measuring costs and benefits should be selected and made clear, considering the nature of the program, stage of implementation</w:t>
      </w:r>
      <w:r w:rsidR="512AC1D9" w:rsidRPr="000F2D4C">
        <w:t>,</w:t>
      </w:r>
      <w:r w:rsidRPr="000F2D4C">
        <w:t xml:space="preserve"> and objectives of the evaluation. </w:t>
      </w:r>
    </w:p>
    <w:p w14:paraId="1AF62933" w14:textId="0709372E" w:rsidR="00A70900" w:rsidRPr="000F2D4C" w:rsidRDefault="00A70900" w:rsidP="00333279">
      <w:pPr>
        <w:pStyle w:val="ListBullet"/>
      </w:pPr>
      <w:r w:rsidRPr="000F2D4C">
        <w:rPr>
          <w:b/>
          <w:bCs/>
        </w:rPr>
        <w:t>Sensitivity analysis</w:t>
      </w:r>
      <w:r w:rsidRPr="000F2D4C">
        <w:t>: There may be considerable uncertainty in the assumptions used to estimate costs and benefits. These should be made transparent. Sensitivity (what-if) analysis should be performed to assess how changes in different assumptions would affect the conclusions drawn from the evaluation. A range of results should be reported allowing for variation in the assumptions.</w:t>
      </w:r>
    </w:p>
    <w:p w14:paraId="17DDDA12" w14:textId="77777777" w:rsidR="00A70900" w:rsidRPr="000F2D4C" w:rsidRDefault="00A70900" w:rsidP="00333279">
      <w:pPr>
        <w:pStyle w:val="ListBullet"/>
      </w:pPr>
      <w:r w:rsidRPr="000F2D4C">
        <w:rPr>
          <w:b/>
          <w:bCs/>
        </w:rPr>
        <w:t>Discounting future costs and benefits</w:t>
      </w:r>
      <w:r w:rsidRPr="000F2D4C">
        <w:t xml:space="preserve">: It is well established that individuals and governments would prefer to receive a dollar now, rather than a dollar in the future. This time preference should be taken into account by discounting costs and benefits that </w:t>
      </w:r>
      <w:r w:rsidRPr="000F2D4C">
        <w:lastRenderedPageBreak/>
        <w:t>occur in the future. Consideration is needed in selecting an appropriate ‘discount rate’ – see the resources at the end of this section.</w:t>
      </w:r>
    </w:p>
    <w:p w14:paraId="3503ACB2" w14:textId="77777777" w:rsidR="00A70900" w:rsidRPr="000F2D4C" w:rsidRDefault="00A70900" w:rsidP="00333279">
      <w:pPr>
        <w:pStyle w:val="ListBullet"/>
      </w:pPr>
      <w:r w:rsidRPr="000F2D4C">
        <w:rPr>
          <w:b/>
          <w:bCs/>
        </w:rPr>
        <w:t>Allowing for inflation</w:t>
      </w:r>
      <w:r w:rsidRPr="000F2D4C">
        <w:t>: Inflation is another reason that a dollar in the future is worth less than a dollar now. Costs and benefits should be shown consistently either in constant or current dollar values. Where constant (current) dollar values are used, real (nominal) discount rates should be applied.</w:t>
      </w:r>
    </w:p>
    <w:p w14:paraId="3794CBA5" w14:textId="77777777" w:rsidR="00A70900" w:rsidRPr="000F2D4C" w:rsidRDefault="00A70900" w:rsidP="00A70900">
      <w:pPr>
        <w:pStyle w:val="ListBullet"/>
        <w:numPr>
          <w:ilvl w:val="0"/>
          <w:numId w:val="0"/>
        </w:numPr>
        <w:ind w:left="454"/>
      </w:pPr>
    </w:p>
    <w:p w14:paraId="625537CE" w14:textId="3122605C" w:rsidR="00A70900" w:rsidRPr="000F2D4C" w:rsidRDefault="00A70900" w:rsidP="00615025">
      <w:pPr>
        <w:pStyle w:val="Boxheading"/>
      </w:pPr>
      <w:r w:rsidRPr="000F2D4C">
        <w:t xml:space="preserve">Resources: </w:t>
      </w:r>
      <w:r w:rsidR="0AE70206" w:rsidRPr="000F2D4C">
        <w:t>S</w:t>
      </w:r>
      <w:r w:rsidRPr="000F2D4C">
        <w:t>tate, territory and Commonwealth guidance on economic evaluations</w:t>
      </w:r>
    </w:p>
    <w:p w14:paraId="7A4AC2E2" w14:textId="77777777" w:rsidR="00A70900" w:rsidRPr="000F2D4C" w:rsidRDefault="00A70900" w:rsidP="00A70900">
      <w:pPr>
        <w:pStyle w:val="Boxtext0"/>
      </w:pPr>
      <w:r w:rsidRPr="000F2D4C">
        <w:t>State, territory and Commonwealth governments have produced a wide range of guidance materials with more details on economic evaluations. Examples include:</w:t>
      </w:r>
    </w:p>
    <w:p w14:paraId="21234B45" w14:textId="236DA13D" w:rsidR="00A70900" w:rsidRPr="000F2D4C" w:rsidRDefault="00A70900" w:rsidP="00A70900">
      <w:pPr>
        <w:pStyle w:val="ListBullet"/>
        <w:shd w:val="clear" w:color="auto" w:fill="EAF5F7" w:themeFill="background2"/>
      </w:pPr>
      <w:r w:rsidRPr="000F2D4C">
        <w:t xml:space="preserve">NSW Treasury (2023). </w:t>
      </w:r>
      <w:hyperlink r:id="rId99">
        <w:r w:rsidRPr="000F2D4C">
          <w:rPr>
            <w:rStyle w:val="Hyperlink"/>
            <w:i/>
            <w:iCs/>
          </w:rPr>
          <w:t>Guidelines: Cost-Benefit Analysis</w:t>
        </w:r>
      </w:hyperlink>
      <w:r w:rsidRPr="000F2D4C">
        <w:t xml:space="preserve">. NSW Government. </w:t>
      </w:r>
    </w:p>
    <w:p w14:paraId="620B5095" w14:textId="1A4529AC" w:rsidR="00A70900" w:rsidRPr="000F2D4C" w:rsidRDefault="00A70900" w:rsidP="00A70900">
      <w:pPr>
        <w:pStyle w:val="ListBullet"/>
        <w:shd w:val="clear" w:color="auto" w:fill="EAF5F7" w:themeFill="background2"/>
      </w:pPr>
      <w:r w:rsidRPr="000F2D4C">
        <w:t xml:space="preserve">Department of Finance (2021). </w:t>
      </w:r>
      <w:hyperlink r:id="rId100">
        <w:r w:rsidRPr="000F2D4C">
          <w:rPr>
            <w:rStyle w:val="Hyperlink"/>
            <w:i/>
            <w:iCs/>
          </w:rPr>
          <w:t>Commonwealth Evaluation Policy</w:t>
        </w:r>
      </w:hyperlink>
      <w:r w:rsidRPr="000F2D4C">
        <w:rPr>
          <w:rStyle w:val="Hyperlink"/>
          <w:i/>
          <w:iCs/>
        </w:rPr>
        <w:t>.</w:t>
      </w:r>
      <w:r w:rsidRPr="000F2D4C">
        <w:t xml:space="preserve"> Australian Government.  </w:t>
      </w:r>
    </w:p>
    <w:p w14:paraId="671F5F02" w14:textId="4FCD8EF6" w:rsidR="00A70900" w:rsidRPr="000F2D4C" w:rsidRDefault="00A70900" w:rsidP="00A70900">
      <w:pPr>
        <w:pStyle w:val="ListBullet"/>
        <w:shd w:val="clear" w:color="auto" w:fill="EAF5F7" w:themeFill="background2"/>
      </w:pPr>
      <w:r w:rsidRPr="000F2D4C">
        <w:t xml:space="preserve">SA Department of Treasury and Finance (2014). </w:t>
      </w:r>
      <w:hyperlink r:id="rId101">
        <w:r w:rsidRPr="000F2D4C">
          <w:rPr>
            <w:rStyle w:val="Hyperlink"/>
            <w:i/>
            <w:iCs/>
          </w:rPr>
          <w:t>Guidelines for evaluation of public sector initiatives. Part B Investment Evaluation Process.</w:t>
        </w:r>
      </w:hyperlink>
      <w:r w:rsidRPr="000F2D4C">
        <w:rPr>
          <w:rStyle w:val="Hyperlink"/>
          <w:i/>
          <w:iCs/>
        </w:rPr>
        <w:t xml:space="preserve"> </w:t>
      </w:r>
      <w:r w:rsidRPr="000F2D4C">
        <w:t xml:space="preserve">SA Government. </w:t>
      </w:r>
    </w:p>
    <w:p w14:paraId="398CCBBC" w14:textId="24F1F534" w:rsidR="00A70900" w:rsidRPr="000F2D4C" w:rsidRDefault="00A70900" w:rsidP="00A70900">
      <w:pPr>
        <w:pStyle w:val="ListBullet"/>
        <w:shd w:val="clear" w:color="auto" w:fill="EAF5F7" w:themeFill="background2"/>
      </w:pPr>
      <w:r w:rsidRPr="000F2D4C">
        <w:t>V</w:t>
      </w:r>
      <w:r w:rsidR="00E97C85" w:rsidRPr="000F2D4C">
        <w:t>ic</w:t>
      </w:r>
      <w:r w:rsidRPr="000F2D4C">
        <w:t xml:space="preserve"> Department of Treasury and Finance (2023). </w:t>
      </w:r>
      <w:hyperlink r:id="rId102">
        <w:r w:rsidRPr="000F2D4C">
          <w:rPr>
            <w:rStyle w:val="Hyperlink"/>
            <w:i/>
            <w:iCs/>
          </w:rPr>
          <w:t>The Resource Management Framework.</w:t>
        </w:r>
      </w:hyperlink>
      <w:r w:rsidRPr="000F2D4C">
        <w:rPr>
          <w:rStyle w:val="Hyperlink"/>
          <w:i/>
          <w:iCs/>
        </w:rPr>
        <w:t xml:space="preserve"> </w:t>
      </w:r>
      <w:r w:rsidRPr="000F2D4C">
        <w:t>Vi</w:t>
      </w:r>
      <w:r w:rsidR="00E97C85" w:rsidRPr="000F2D4C">
        <w:t>c</w:t>
      </w:r>
      <w:r w:rsidRPr="000F2D4C">
        <w:t xml:space="preserve"> Government. </w:t>
      </w:r>
    </w:p>
    <w:p w14:paraId="6970B65F" w14:textId="6AD4B1D8" w:rsidR="00A70900" w:rsidRPr="000F2D4C" w:rsidRDefault="00A70900" w:rsidP="00A70900">
      <w:pPr>
        <w:pStyle w:val="ListBullet"/>
        <w:shd w:val="clear" w:color="auto" w:fill="EAF5F7" w:themeFill="background2"/>
      </w:pPr>
      <w:r w:rsidRPr="000F2D4C">
        <w:t>V</w:t>
      </w:r>
      <w:r w:rsidR="00E97C85" w:rsidRPr="000F2D4C">
        <w:t>ic</w:t>
      </w:r>
      <w:r w:rsidRPr="000F2D4C">
        <w:t xml:space="preserve"> Department of Treasury and Finance (2023).</w:t>
      </w:r>
      <w:r w:rsidR="000E687A" w:rsidRPr="000F2D4C">
        <w:t xml:space="preserve"> </w:t>
      </w:r>
      <w:hyperlink r:id="rId103">
        <w:r w:rsidR="000E687A" w:rsidRPr="000F2D4C">
          <w:rPr>
            <w:rStyle w:val="Hyperlink"/>
            <w:i/>
            <w:iCs/>
          </w:rPr>
          <w:t>Economic Evaluation</w:t>
        </w:r>
      </w:hyperlink>
      <w:r w:rsidRPr="000F2D4C">
        <w:t> V</w:t>
      </w:r>
      <w:r w:rsidR="00E97C85" w:rsidRPr="000F2D4C">
        <w:t>ic</w:t>
      </w:r>
      <w:r w:rsidRPr="000F2D4C">
        <w:t xml:space="preserve"> Government.</w:t>
      </w:r>
    </w:p>
    <w:p w14:paraId="24115ADE" w14:textId="17CE9271" w:rsidR="00A70900" w:rsidRPr="000F2D4C" w:rsidRDefault="00A70900" w:rsidP="00A70900">
      <w:pPr>
        <w:pStyle w:val="ListBullet"/>
        <w:shd w:val="clear" w:color="auto" w:fill="EAF5F7" w:themeFill="background2"/>
      </w:pPr>
      <w:r w:rsidRPr="000F2D4C">
        <w:t xml:space="preserve">Queensland Treasury (2020). </w:t>
      </w:r>
      <w:hyperlink r:id="rId104">
        <w:r w:rsidRPr="000F2D4C">
          <w:rPr>
            <w:rStyle w:val="Hyperlink"/>
            <w:i/>
            <w:iCs/>
          </w:rPr>
          <w:t>Program Evaluation Guidelines. Second Ed</w:t>
        </w:r>
      </w:hyperlink>
      <w:r w:rsidRPr="000F2D4C">
        <w:rPr>
          <w:color w:val="215565" w:themeColor="accent2" w:themeShade="80"/>
        </w:rPr>
        <w:t xml:space="preserve"> </w:t>
      </w:r>
      <w:r w:rsidRPr="000F2D4C">
        <w:t xml:space="preserve">Queensland Government. </w:t>
      </w:r>
    </w:p>
    <w:p w14:paraId="48D7AFE5" w14:textId="3B7B1942" w:rsidR="00A70900" w:rsidRPr="000F2D4C" w:rsidRDefault="00A70900" w:rsidP="00A70900">
      <w:pPr>
        <w:pStyle w:val="ListBullet"/>
        <w:shd w:val="clear" w:color="auto" w:fill="EAF5F7" w:themeFill="background2"/>
      </w:pPr>
      <w:r w:rsidRPr="000F2D4C">
        <w:t xml:space="preserve">WA Department of Treasury (2020). </w:t>
      </w:r>
      <w:hyperlink r:id="rId105">
        <w:r w:rsidRPr="000F2D4C">
          <w:rPr>
            <w:rStyle w:val="Hyperlink"/>
            <w:i/>
            <w:iCs/>
          </w:rPr>
          <w:t>Program Evaluation Guide</w:t>
        </w:r>
      </w:hyperlink>
      <w:r w:rsidRPr="000F2D4C">
        <w:t xml:space="preserve"> Government of </w:t>
      </w:r>
      <w:r w:rsidR="008A56B8" w:rsidRPr="000F2D4C">
        <w:br/>
      </w:r>
      <w:r w:rsidRPr="000F2D4C">
        <w:t xml:space="preserve">Western Australia. </w:t>
      </w:r>
      <w:r w:rsidR="008A56B8" w:rsidRPr="000F2D4C">
        <w:br/>
      </w:r>
    </w:p>
    <w:p w14:paraId="1583B557" w14:textId="77777777" w:rsidR="00A70900" w:rsidRPr="000F2D4C" w:rsidRDefault="00A70900" w:rsidP="00A70900">
      <w:pPr>
        <w:pStyle w:val="Heading4"/>
        <w:rPr>
          <w:rStyle w:val="normaltextrun"/>
          <w:rFonts w:ascii="Segoe UI" w:hAnsi="Segoe UI" w:cs="Segoe UI"/>
          <w:color w:val="000000"/>
          <w:szCs w:val="20"/>
          <w:shd w:val="clear" w:color="auto" w:fill="FFFFFF"/>
        </w:rPr>
      </w:pPr>
      <w:r w:rsidRPr="000F2D4C">
        <w:rPr>
          <w:rStyle w:val="normaltextrun"/>
        </w:rPr>
        <w:t>Cost</w:t>
      </w:r>
      <w:r w:rsidRPr="000F2D4C">
        <w:rPr>
          <w:rStyle w:val="normaltextrun"/>
          <w:rFonts w:ascii="Segoe UI" w:hAnsi="Segoe UI" w:cs="Segoe UI"/>
          <w:color w:val="000000"/>
          <w:szCs w:val="20"/>
          <w:shd w:val="clear" w:color="auto" w:fill="FFFFFF"/>
        </w:rPr>
        <w:t xml:space="preserve"> </w:t>
      </w:r>
      <w:r w:rsidRPr="000F2D4C">
        <w:rPr>
          <w:rStyle w:val="normaltextrun"/>
        </w:rPr>
        <w:t>analysis</w:t>
      </w:r>
    </w:p>
    <w:p w14:paraId="78D09994" w14:textId="77777777" w:rsidR="00A70900" w:rsidRPr="000F2D4C" w:rsidRDefault="00A70900" w:rsidP="00A70900">
      <w:r w:rsidRPr="000F2D4C">
        <w:t xml:space="preserve">For programs at an early stage of development, it may not be appropriate to conduct a more comprehensive economic evaluation, but it should be possible to assess the costs. </w:t>
      </w:r>
    </w:p>
    <w:p w14:paraId="75A0ADD6" w14:textId="77777777" w:rsidR="00A70900" w:rsidRPr="000F2D4C" w:rsidRDefault="00A70900" w:rsidP="00A70900">
      <w:r w:rsidRPr="000F2D4C">
        <w:t>The costs of delivering a program often include:</w:t>
      </w:r>
    </w:p>
    <w:p w14:paraId="3039DA50" w14:textId="34B528CF" w:rsidR="00A70900" w:rsidRPr="000F2D4C" w:rsidRDefault="59922CA2" w:rsidP="00333279">
      <w:pPr>
        <w:pStyle w:val="ListBullet"/>
      </w:pPr>
      <w:r w:rsidRPr="000F2D4C">
        <w:t>s</w:t>
      </w:r>
      <w:r w:rsidR="00A70900" w:rsidRPr="000F2D4C">
        <w:t>alaries for staff, e.g</w:t>
      </w:r>
      <w:r w:rsidR="3CA31EE5" w:rsidRPr="000F2D4C">
        <w:t>.</w:t>
      </w:r>
      <w:r w:rsidR="5FCFF513" w:rsidRPr="000F2D4C">
        <w:t>,</w:t>
      </w:r>
      <w:r w:rsidR="00A70900" w:rsidRPr="000F2D4C">
        <w:t xml:space="preserve"> support staff and management </w:t>
      </w:r>
    </w:p>
    <w:p w14:paraId="3678F45F" w14:textId="32295322" w:rsidR="00A70900" w:rsidRPr="000F2D4C" w:rsidRDefault="59922CA2" w:rsidP="00333279">
      <w:pPr>
        <w:pStyle w:val="ListBullet"/>
      </w:pPr>
      <w:r w:rsidRPr="000F2D4C">
        <w:t>a</w:t>
      </w:r>
      <w:r w:rsidR="00A70900" w:rsidRPr="000F2D4C">
        <w:t>dministration costs, e.g</w:t>
      </w:r>
      <w:r w:rsidR="330A8BF8" w:rsidRPr="000F2D4C">
        <w:t>.</w:t>
      </w:r>
      <w:r w:rsidR="5F351921" w:rsidRPr="000F2D4C">
        <w:t>,</w:t>
      </w:r>
      <w:r w:rsidR="00A70900" w:rsidRPr="000F2D4C">
        <w:t xml:space="preserve"> IT, rent</w:t>
      </w:r>
      <w:r w:rsidR="48A2CCDC" w:rsidRPr="000F2D4C">
        <w:t>,</w:t>
      </w:r>
      <w:r w:rsidR="00A70900" w:rsidRPr="000F2D4C">
        <w:t xml:space="preserve"> and insurance</w:t>
      </w:r>
    </w:p>
    <w:p w14:paraId="02BA4A03" w14:textId="025362F9" w:rsidR="00333279" w:rsidRPr="000F2D4C" w:rsidRDefault="7FB899E5" w:rsidP="00A70900">
      <w:pPr>
        <w:pStyle w:val="ListBullet"/>
      </w:pPr>
      <w:r w:rsidRPr="000F2D4C">
        <w:t>o</w:t>
      </w:r>
      <w:r w:rsidR="00A70900" w:rsidRPr="000F2D4C">
        <w:t>ther costs</w:t>
      </w:r>
      <w:r w:rsidR="3ED7F58A" w:rsidRPr="000F2D4C">
        <w:t>,</w:t>
      </w:r>
      <w:r w:rsidR="3FBA16C7" w:rsidRPr="000F2D4C">
        <w:t xml:space="preserve"> </w:t>
      </w:r>
      <w:r w:rsidR="00A70900" w:rsidRPr="000F2D4C">
        <w:t>e.g</w:t>
      </w:r>
      <w:r w:rsidR="3ED7F58A" w:rsidRPr="000F2D4C">
        <w:t>.</w:t>
      </w:r>
      <w:r w:rsidR="0A518FDC" w:rsidRPr="000F2D4C">
        <w:t>,</w:t>
      </w:r>
      <w:r w:rsidR="00A70900" w:rsidRPr="000F2D4C">
        <w:t xml:space="preserve"> staff training, travel</w:t>
      </w:r>
      <w:r w:rsidR="58854152" w:rsidRPr="000F2D4C">
        <w:t>,</w:t>
      </w:r>
      <w:r w:rsidR="00A70900" w:rsidRPr="000F2D4C">
        <w:t xml:space="preserve"> and vehicle expenses.</w:t>
      </w:r>
    </w:p>
    <w:p w14:paraId="67DC5FCD" w14:textId="77777777" w:rsidR="00333279" w:rsidRPr="000F2D4C" w:rsidRDefault="00333279" w:rsidP="00333279">
      <w:pPr>
        <w:pStyle w:val="ListBullet"/>
        <w:numPr>
          <w:ilvl w:val="0"/>
          <w:numId w:val="0"/>
        </w:numPr>
        <w:ind w:left="360"/>
      </w:pPr>
    </w:p>
    <w:p w14:paraId="166ABF35" w14:textId="3BDF5B31" w:rsidR="00A70900" w:rsidRPr="000F2D4C" w:rsidRDefault="00A70900" w:rsidP="00A70900">
      <w:r w:rsidRPr="000F2D4C">
        <w:t xml:space="preserve">Where relevant to the program, it may also be important to consider out-of-pocket expenses incurred by people who access programs and services. </w:t>
      </w:r>
    </w:p>
    <w:p w14:paraId="1836088E" w14:textId="77777777" w:rsidR="00A70900" w:rsidRPr="000F2D4C" w:rsidRDefault="00A70900" w:rsidP="00A70900">
      <w:r w:rsidRPr="000F2D4C">
        <w:t>For new programs, start-up costs should be isolated from ongoing program costs to provide a more accurate picture of costs.</w:t>
      </w:r>
    </w:p>
    <w:p w14:paraId="6BF3012E" w14:textId="77777777" w:rsidR="00A70900" w:rsidRPr="000F2D4C" w:rsidRDefault="00A70900" w:rsidP="00A70900">
      <w:r w:rsidRPr="000F2D4C">
        <w:t>It may also be possible to compare the unit cost of delivering the program to the status quo or to a similar alternative program. This may be in the form of a cost per person supported or cost per hour of support provided. In doing so, the limitations of comparing only costs (without taking into account benefits) should always be made clear – for example, it is possible that a new service may cost more than the status quo, but still be value for money if it produces better outcomes. Equity should also be a key consideration, noting that it can cost more to reach certain populations.</w:t>
      </w:r>
    </w:p>
    <w:p w14:paraId="64813A7E" w14:textId="5F5168E2" w:rsidR="00A70900" w:rsidRPr="000F2D4C" w:rsidRDefault="00A70900" w:rsidP="00A70900">
      <w:r w:rsidRPr="000F2D4C">
        <w:lastRenderedPageBreak/>
        <w:t>Exploring costs – either the make</w:t>
      </w:r>
      <w:r w:rsidR="42F59735" w:rsidRPr="000F2D4C">
        <w:t>-</w:t>
      </w:r>
      <w:r w:rsidRPr="000F2D4C">
        <w:t>up of program costs or comparisons to other programs –can help to identify whether efficiencies are possible without compromising effectiveness. When looking at potential efficiencies, it is important to consider what costs could be streamlined without compromising outcomes</w:t>
      </w:r>
      <w:r w:rsidR="00BB387B" w:rsidRPr="000F2D4C">
        <w:t>, equity</w:t>
      </w:r>
      <w:r w:rsidR="7AED9577" w:rsidRPr="000F2D4C">
        <w:t>,</w:t>
      </w:r>
      <w:r w:rsidR="00BB387B" w:rsidRPr="000F2D4C">
        <w:t xml:space="preserve"> or accessibility</w:t>
      </w:r>
      <w:r w:rsidRPr="000F2D4C">
        <w:t>. For example, it might be more cost efficient to deliver a service over the phone, but if other data suggests the face</w:t>
      </w:r>
      <w:r w:rsidR="187EB6E1" w:rsidRPr="000F2D4C">
        <w:t>-</w:t>
      </w:r>
      <w:r w:rsidRPr="000F2D4C">
        <w:t>to</w:t>
      </w:r>
      <w:r w:rsidR="33D295AD" w:rsidRPr="000F2D4C">
        <w:t>-</w:t>
      </w:r>
      <w:r w:rsidRPr="000F2D4C">
        <w:t>face relationship is critical to outcomes, this is unlikely to be a viable approach.</w:t>
      </w:r>
    </w:p>
    <w:p w14:paraId="4CADEC7C" w14:textId="77777777" w:rsidR="00A70900" w:rsidRPr="000F2D4C" w:rsidRDefault="00A70900" w:rsidP="00A70900">
      <w:r w:rsidRPr="000F2D4C">
        <w:rPr>
          <w:b/>
          <w:bCs/>
        </w:rPr>
        <w:t>What data is required</w:t>
      </w:r>
      <w:r w:rsidRPr="000F2D4C">
        <w:t>: This analysis requires information on the cost of delivering the program, which can often be found in the financial statements. To understand the unit costs of delivering the program, service activity data is needed in the form of number of persons supported or number of support hours provided. </w:t>
      </w:r>
    </w:p>
    <w:p w14:paraId="47561C6D" w14:textId="7984C429" w:rsidR="00A70900" w:rsidRPr="000F2D4C" w:rsidRDefault="00A70900" w:rsidP="00A70900">
      <w:pPr>
        <w:pStyle w:val="Heading4"/>
      </w:pPr>
      <w:r w:rsidRPr="000F2D4C">
        <w:t>COST-MINIMI</w:t>
      </w:r>
      <w:r w:rsidR="00991524" w:rsidRPr="000F2D4C">
        <w:t>S</w:t>
      </w:r>
      <w:r w:rsidRPr="000F2D4C">
        <w:t xml:space="preserve">ATION ANALYSIS </w:t>
      </w:r>
    </w:p>
    <w:p w14:paraId="4D8D5119" w14:textId="77777777" w:rsidR="00A70900" w:rsidRPr="000F2D4C" w:rsidRDefault="00A70900" w:rsidP="00A70900">
      <w:r w:rsidRPr="000F2D4C">
        <w:t xml:space="preserve">Cost-minimisation analysis (CMA) is the simplest form of economic analysis. This type of analysis is suitable for situations where two or more programs have been demonstrated to be equivalent in terms of their health outcomes and the objective is to identify which of the equivalent programs is the least costly. </w:t>
      </w:r>
    </w:p>
    <w:p w14:paraId="416CFB35" w14:textId="6730BB85" w:rsidR="00A70900" w:rsidRPr="000F2D4C" w:rsidRDefault="00A70900" w:rsidP="00A70900">
      <w:r w:rsidRPr="000F2D4C">
        <w:t>Cost-minimisation analysis has limited applicability</w:t>
      </w:r>
      <w:r w:rsidR="004643BE" w:rsidRPr="000F2D4C">
        <w:t xml:space="preserve"> (Table </w:t>
      </w:r>
      <w:r w:rsidR="00E741CF" w:rsidRPr="000F2D4C">
        <w:t>6</w:t>
      </w:r>
      <w:r w:rsidR="004643BE" w:rsidRPr="000F2D4C">
        <w:t>)</w:t>
      </w:r>
      <w:r w:rsidRPr="000F2D4C">
        <w:t>.</w:t>
      </w:r>
    </w:p>
    <w:p w14:paraId="0CEDF2E7" w14:textId="435A2F22" w:rsidR="00A70900" w:rsidRPr="000F2D4C" w:rsidRDefault="00A70900" w:rsidP="00A70900">
      <w:pPr>
        <w:pStyle w:val="TableHeading"/>
      </w:pPr>
      <w:r w:rsidRPr="000F2D4C">
        <w:t xml:space="preserve">Cost minimisation applicability </w:t>
      </w:r>
    </w:p>
    <w:tbl>
      <w:tblPr>
        <w:tblStyle w:val="ARTDTable"/>
        <w:tblW w:w="0" w:type="auto"/>
        <w:tblLook w:val="04A0" w:firstRow="1" w:lastRow="0" w:firstColumn="1" w:lastColumn="0" w:noHBand="0" w:noVBand="1"/>
      </w:tblPr>
      <w:tblGrid>
        <w:gridCol w:w="4082"/>
        <w:gridCol w:w="4081"/>
      </w:tblGrid>
      <w:tr w:rsidR="00A70900" w:rsidRPr="000F2D4C" w14:paraId="075FCA9B" w14:textId="77777777">
        <w:trPr>
          <w:cnfStyle w:val="100000000000" w:firstRow="1" w:lastRow="0" w:firstColumn="0" w:lastColumn="0" w:oddVBand="0" w:evenVBand="0" w:oddHBand="0" w:evenHBand="0" w:firstRowFirstColumn="0" w:firstRowLastColumn="0" w:lastRowFirstColumn="0" w:lastRowLastColumn="0"/>
        </w:trPr>
        <w:tc>
          <w:tcPr>
            <w:tcW w:w="4082" w:type="dxa"/>
          </w:tcPr>
          <w:p w14:paraId="1F8C48CF" w14:textId="77777777" w:rsidR="00A70900" w:rsidRPr="000F2D4C" w:rsidRDefault="00A70900">
            <w:pPr>
              <w:pStyle w:val="Tablecolumnheading"/>
            </w:pPr>
            <w:r w:rsidRPr="000F2D4C">
              <w:t>Advantages</w:t>
            </w:r>
          </w:p>
        </w:tc>
        <w:tc>
          <w:tcPr>
            <w:tcW w:w="4081" w:type="dxa"/>
          </w:tcPr>
          <w:p w14:paraId="63D1EC36" w14:textId="77777777" w:rsidR="00A70900" w:rsidRPr="000F2D4C" w:rsidRDefault="00A70900">
            <w:pPr>
              <w:pStyle w:val="Tablecolumnheading"/>
            </w:pPr>
            <w:r w:rsidRPr="000F2D4C">
              <w:t>Disadvantages</w:t>
            </w:r>
          </w:p>
        </w:tc>
      </w:tr>
      <w:tr w:rsidR="00A70900" w:rsidRPr="000F2D4C" w14:paraId="13F45D14" w14:textId="77777777">
        <w:trPr>
          <w:cnfStyle w:val="000000100000" w:firstRow="0" w:lastRow="0" w:firstColumn="0" w:lastColumn="0" w:oddVBand="0" w:evenVBand="0" w:oddHBand="1" w:evenHBand="0" w:firstRowFirstColumn="0" w:firstRowLastColumn="0" w:lastRowFirstColumn="0" w:lastRowLastColumn="0"/>
        </w:trPr>
        <w:tc>
          <w:tcPr>
            <w:tcW w:w="4082" w:type="dxa"/>
          </w:tcPr>
          <w:p w14:paraId="00EC60DF" w14:textId="77777777" w:rsidR="00A70900" w:rsidRPr="000F2D4C" w:rsidRDefault="00A70900">
            <w:pPr>
              <w:pStyle w:val="Tablebullet"/>
            </w:pPr>
            <w:r w:rsidRPr="000F2D4C">
              <w:t xml:space="preserve">It is straightforward because it only compares costs. This means that the data burden is low. Data on costs are more straightforward to access relative to data on outcomes. </w:t>
            </w:r>
          </w:p>
          <w:p w14:paraId="074D0635" w14:textId="21C563C4" w:rsidR="00A70900" w:rsidRPr="000F2D4C" w:rsidRDefault="00A70900">
            <w:pPr>
              <w:pStyle w:val="Tablebullet"/>
            </w:pPr>
            <w:r w:rsidRPr="000F2D4C">
              <w:t xml:space="preserve">Useful when the effectiveness of two or more </w:t>
            </w:r>
            <w:r w:rsidR="00CC0A56" w:rsidRPr="000F2D4C">
              <w:t xml:space="preserve">similar </w:t>
            </w:r>
            <w:r w:rsidRPr="000F2D4C">
              <w:t>programs is established to be equivalent.</w:t>
            </w:r>
          </w:p>
        </w:tc>
        <w:tc>
          <w:tcPr>
            <w:tcW w:w="4081" w:type="dxa"/>
          </w:tcPr>
          <w:p w14:paraId="30F3E5C4" w14:textId="77777777" w:rsidR="00A70900" w:rsidRPr="000F2D4C" w:rsidRDefault="00A70900">
            <w:pPr>
              <w:pStyle w:val="Tablebullet"/>
            </w:pPr>
            <w:r w:rsidRPr="000F2D4C">
              <w:t xml:space="preserve">Applicability is limited since it assumes mental health outcomes of the compared programs are equivalent. </w:t>
            </w:r>
          </w:p>
          <w:p w14:paraId="17C24C43" w14:textId="77777777" w:rsidR="00A70900" w:rsidRPr="000F2D4C" w:rsidRDefault="00A70900">
            <w:pPr>
              <w:pStyle w:val="Tablebullet"/>
            </w:pPr>
            <w:r w:rsidRPr="000F2D4C">
              <w:t>It doesn't provide information about the value or benefit of an intervention in relation to its cost.</w:t>
            </w:r>
          </w:p>
        </w:tc>
      </w:tr>
    </w:tbl>
    <w:p w14:paraId="20A382F9" w14:textId="77777777" w:rsidR="00A70900" w:rsidRPr="000F2D4C" w:rsidRDefault="00A70900" w:rsidP="00A70900">
      <w:pPr>
        <w:rPr>
          <w:b/>
          <w:bCs/>
        </w:rPr>
      </w:pPr>
    </w:p>
    <w:p w14:paraId="3BE45D37" w14:textId="77777777" w:rsidR="00A70900" w:rsidRPr="000F2D4C" w:rsidRDefault="00A70900" w:rsidP="00A70900">
      <w:r w:rsidRPr="000F2D4C">
        <w:rPr>
          <w:b/>
          <w:bCs/>
        </w:rPr>
        <w:t>What data is required</w:t>
      </w:r>
      <w:r w:rsidRPr="000F2D4C">
        <w:t>: This analysis requires two programs with outcomes data defined in the same terms. For a CMA to be valid, the assumption of equivalent health outcomes must be robust. Cost-minimisation is only appropriate when the difference in effects between programs is known to be small, and the cost difference is large. If the difference in effects is not known to be small from prior knowledge, the difference should ideally be established by an equivalence trial. If there's any uncertainty about the equivalency of outcomes, other methods of economic evaluation should be considered. </w:t>
      </w:r>
    </w:p>
    <w:p w14:paraId="42D8E581" w14:textId="77777777" w:rsidR="00A70900" w:rsidRPr="000F2D4C" w:rsidRDefault="00A70900" w:rsidP="00A70900">
      <w:pPr>
        <w:pStyle w:val="Heading4"/>
      </w:pPr>
      <w:r w:rsidRPr="000F2D4C">
        <w:t>COST-EFFECTIVENESS ANALYSIS</w:t>
      </w:r>
    </w:p>
    <w:p w14:paraId="15E951D8" w14:textId="751A9103" w:rsidR="00A70900" w:rsidRPr="000F2D4C" w:rsidRDefault="00A70900" w:rsidP="00A70900">
      <w:r w:rsidRPr="000F2D4C">
        <w:t>Cost-Effectiveness Analysis (CEA) is an economic evaluation tool used to compare the relative costs and outcomes (effects) of different programs using a common outcome</w:t>
      </w:r>
      <w:r w:rsidR="008D7D33" w:rsidRPr="000F2D4C">
        <w:t>s</w:t>
      </w:r>
      <w:r w:rsidRPr="000F2D4C">
        <w:t xml:space="preserve"> measure to determine which offers the best value for money. Typically, it measures costs in monetary </w:t>
      </w:r>
      <w:r w:rsidRPr="000F2D4C">
        <w:lastRenderedPageBreak/>
        <w:t xml:space="preserve">terms, and outcomes in natural units, such as life-years gained, or symptom-free days (rather than in monetary terms). </w:t>
      </w:r>
    </w:p>
    <w:p w14:paraId="32F585FD" w14:textId="506E4EB2" w:rsidR="00A70900" w:rsidRPr="000F2D4C" w:rsidRDefault="00A70900" w:rsidP="00A70900">
      <w:r w:rsidRPr="000F2D4C">
        <w:t>Often, the focus of CEA is on the incremental cost-effectiveness ratio (ICER). This measure indicates the additional cost of achieving an additional unit of outcome with one intervention compared to another. The ICER is more sophisticated than a simple average cost</w:t>
      </w:r>
      <w:r w:rsidR="280FE760" w:rsidRPr="000F2D4C">
        <w:t>-</w:t>
      </w:r>
      <w:r w:rsidR="3AC2FCC8" w:rsidRPr="000F2D4C">
        <w:t xml:space="preserve"> effectiveness</w:t>
      </w:r>
      <w:r w:rsidRPr="000F2D4C">
        <w:t xml:space="preserve"> ratio (ACER) because it helps decision-makers understand the specific value added by the new intervention, taking into account the existing standard of care, provi</w:t>
      </w:r>
      <w:r w:rsidR="34AB9B4D" w:rsidRPr="000F2D4C">
        <w:t>di</w:t>
      </w:r>
      <w:r w:rsidRPr="000F2D4C">
        <w:t xml:space="preserve">ng better information for resource allocation and treatment strategies. </w:t>
      </w:r>
    </w:p>
    <w:p w14:paraId="10220F6F" w14:textId="0B010366" w:rsidR="00A70900" w:rsidRPr="000F2D4C" w:rsidRDefault="00A70900" w:rsidP="00A70900">
      <w:r w:rsidRPr="000F2D4C">
        <w:t xml:space="preserve">While it has advantages and disadvantages (see </w:t>
      </w:r>
      <w:r w:rsidR="00E80C1B" w:rsidRPr="000F2D4C">
        <w:t xml:space="preserve">Table </w:t>
      </w:r>
      <w:r w:rsidR="00E741CF" w:rsidRPr="000F2D4C">
        <w:t>7</w:t>
      </w:r>
      <w:r w:rsidR="00E80C1B" w:rsidRPr="000F2D4C">
        <w:t xml:space="preserve"> </w:t>
      </w:r>
      <w:r w:rsidRPr="000F2D4C">
        <w:t>below), it seems to be more commonly used in mental health evaluation.</w:t>
      </w:r>
      <w:r w:rsidRPr="000F2D4C">
        <w:rPr>
          <w:rStyle w:val="FootnoteReference"/>
        </w:rPr>
        <w:t xml:space="preserve"> </w:t>
      </w:r>
      <w:r w:rsidRPr="000F2D4C">
        <w:rPr>
          <w:rStyle w:val="FootnoteReference"/>
        </w:rPr>
        <w:footnoteReference w:id="37"/>
      </w:r>
      <w:r w:rsidRPr="000F2D4C">
        <w:t xml:space="preserve">  </w:t>
      </w:r>
    </w:p>
    <w:p w14:paraId="05B6C49C" w14:textId="0681C690" w:rsidR="00A70900" w:rsidRPr="000F2D4C" w:rsidRDefault="00A70900" w:rsidP="00A70900">
      <w:pPr>
        <w:pStyle w:val="TableHeading"/>
      </w:pPr>
      <w:r w:rsidRPr="000F2D4C">
        <w:t xml:space="preserve">Cost </w:t>
      </w:r>
      <w:r w:rsidR="00750D6F" w:rsidRPr="000F2D4C">
        <w:t xml:space="preserve">effectiveness </w:t>
      </w:r>
      <w:r w:rsidRPr="000F2D4C">
        <w:t xml:space="preserve"> applicability </w:t>
      </w:r>
    </w:p>
    <w:tbl>
      <w:tblPr>
        <w:tblStyle w:val="ARTDTable"/>
        <w:tblW w:w="0" w:type="auto"/>
        <w:tblLook w:val="04A0" w:firstRow="1" w:lastRow="0" w:firstColumn="1" w:lastColumn="0" w:noHBand="0" w:noVBand="1"/>
      </w:tblPr>
      <w:tblGrid>
        <w:gridCol w:w="4082"/>
        <w:gridCol w:w="4081"/>
      </w:tblGrid>
      <w:tr w:rsidR="00A70900" w:rsidRPr="000F2D4C" w14:paraId="23E4C440" w14:textId="77777777">
        <w:trPr>
          <w:cnfStyle w:val="100000000000" w:firstRow="1" w:lastRow="0" w:firstColumn="0" w:lastColumn="0" w:oddVBand="0" w:evenVBand="0" w:oddHBand="0" w:evenHBand="0" w:firstRowFirstColumn="0" w:firstRowLastColumn="0" w:lastRowFirstColumn="0" w:lastRowLastColumn="0"/>
        </w:trPr>
        <w:tc>
          <w:tcPr>
            <w:tcW w:w="4082" w:type="dxa"/>
          </w:tcPr>
          <w:p w14:paraId="4FA13963" w14:textId="77777777" w:rsidR="00A70900" w:rsidRPr="000F2D4C" w:rsidRDefault="00A70900">
            <w:pPr>
              <w:pStyle w:val="Tablecolumnheading"/>
            </w:pPr>
            <w:r w:rsidRPr="000F2D4C">
              <w:t>Advantages</w:t>
            </w:r>
          </w:p>
        </w:tc>
        <w:tc>
          <w:tcPr>
            <w:tcW w:w="4081" w:type="dxa"/>
          </w:tcPr>
          <w:p w14:paraId="772364F3" w14:textId="77777777" w:rsidR="00A70900" w:rsidRPr="000F2D4C" w:rsidRDefault="00A70900">
            <w:pPr>
              <w:pStyle w:val="Tablecolumnheading"/>
            </w:pPr>
            <w:r w:rsidRPr="000F2D4C">
              <w:t>Disadvantages</w:t>
            </w:r>
          </w:p>
        </w:tc>
      </w:tr>
      <w:tr w:rsidR="00A70900" w:rsidRPr="000F2D4C" w14:paraId="73527636" w14:textId="77777777">
        <w:trPr>
          <w:cnfStyle w:val="000000100000" w:firstRow="0" w:lastRow="0" w:firstColumn="0" w:lastColumn="0" w:oddVBand="0" w:evenVBand="0" w:oddHBand="1" w:evenHBand="0" w:firstRowFirstColumn="0" w:firstRowLastColumn="0" w:lastRowFirstColumn="0" w:lastRowLastColumn="0"/>
        </w:trPr>
        <w:tc>
          <w:tcPr>
            <w:tcW w:w="4082" w:type="dxa"/>
          </w:tcPr>
          <w:p w14:paraId="1A499C66" w14:textId="77777777" w:rsidR="00A70900" w:rsidRPr="000F2D4C" w:rsidRDefault="00A70900">
            <w:pPr>
              <w:pStyle w:val="Tablebullet"/>
            </w:pPr>
            <w:r w:rsidRPr="000F2D4C">
              <w:t xml:space="preserve">Provides policymakers with information about how to achieve the best outcome for a given budget or the lowest cost for a desired outcome. </w:t>
            </w:r>
          </w:p>
          <w:p w14:paraId="1501C408" w14:textId="504ACB3B" w:rsidR="00A70900" w:rsidRPr="000F2D4C" w:rsidRDefault="00A70900">
            <w:pPr>
              <w:pStyle w:val="Tablebullet"/>
            </w:pPr>
            <w:r w:rsidRPr="000F2D4C">
              <w:t xml:space="preserve">By not converting mental health outcomes into monetary units, it avoids the ethical issues related to placing a monetary value on health and wellbeing, and concerns about the accuracy of the calculations. </w:t>
            </w:r>
          </w:p>
          <w:p w14:paraId="7FCA2B9D" w14:textId="247EA591" w:rsidR="00A70900" w:rsidRPr="000F2D4C" w:rsidRDefault="00A70900">
            <w:pPr>
              <w:pStyle w:val="Tablebullet"/>
            </w:pPr>
            <w:r w:rsidRPr="000F2D4C">
              <w:t>Different types of outcomes can be used depending on the program, such as symptom-free days for depression</w:t>
            </w:r>
            <w:r w:rsidR="38BF3ED8" w:rsidRPr="000F2D4C">
              <w:t>,</w:t>
            </w:r>
            <w:r w:rsidRPr="000F2D4C">
              <w:t xml:space="preserve"> or life-years gained for interventions that increase lifespan.</w:t>
            </w:r>
          </w:p>
        </w:tc>
        <w:tc>
          <w:tcPr>
            <w:tcW w:w="4081" w:type="dxa"/>
          </w:tcPr>
          <w:p w14:paraId="09F81588" w14:textId="77777777" w:rsidR="00A70900" w:rsidRPr="000F2D4C" w:rsidRDefault="00A70900">
            <w:pPr>
              <w:pStyle w:val="Tablebullet"/>
            </w:pPr>
            <w:r w:rsidRPr="000F2D4C">
              <w:t xml:space="preserve">If different interventions (or studies) use different outcomes, it becomes challenging to compare them directly. </w:t>
            </w:r>
          </w:p>
          <w:p w14:paraId="0D5EC0AD" w14:textId="77777777" w:rsidR="00A70900" w:rsidRPr="000F2D4C" w:rsidRDefault="00A70900">
            <w:pPr>
              <w:pStyle w:val="Tablebullet"/>
            </w:pPr>
            <w:r w:rsidRPr="000F2D4C">
              <w:t xml:space="preserve">CEA often requires assumptions about future costs and outcomes, which can introduce uncertainty. </w:t>
            </w:r>
          </w:p>
          <w:p w14:paraId="07125E27" w14:textId="77777777" w:rsidR="00A70900" w:rsidRPr="000F2D4C" w:rsidRDefault="00A70900">
            <w:pPr>
              <w:pStyle w:val="Tablebullet"/>
            </w:pPr>
            <w:r w:rsidRPr="000F2D4C">
              <w:t xml:space="preserve">CEA might not be able to capture long-term program benefits. </w:t>
            </w:r>
          </w:p>
          <w:p w14:paraId="53D9912D" w14:textId="77777777" w:rsidR="00A70900" w:rsidRPr="000F2D4C" w:rsidRDefault="00A70900">
            <w:pPr>
              <w:pStyle w:val="Tablebullet"/>
            </w:pPr>
            <w:r w:rsidRPr="000F2D4C">
              <w:t>Some broader benefits, especially those not directly related to mental health, might be excluded. For example, productivity increments post an intervention.</w:t>
            </w:r>
          </w:p>
          <w:p w14:paraId="66B2C593" w14:textId="15D05AAC" w:rsidR="00A70900" w:rsidRPr="000F2D4C" w:rsidRDefault="00F16CBC">
            <w:pPr>
              <w:pStyle w:val="Tablebullet"/>
            </w:pPr>
            <w:r w:rsidRPr="000F2D4C">
              <w:t>May not capture consumer defined recovery.</w:t>
            </w:r>
          </w:p>
        </w:tc>
      </w:tr>
    </w:tbl>
    <w:p w14:paraId="03BB836D" w14:textId="77777777" w:rsidR="00A70900" w:rsidRPr="000F2D4C" w:rsidRDefault="00A70900" w:rsidP="00A70900">
      <w:pPr>
        <w:rPr>
          <w:b/>
        </w:rPr>
      </w:pPr>
    </w:p>
    <w:p w14:paraId="06BDF1D6" w14:textId="1EA0391B" w:rsidR="00A70900" w:rsidRPr="000F2D4C" w:rsidRDefault="00A70900" w:rsidP="00A70900">
      <w:r w:rsidRPr="000F2D4C">
        <w:rPr>
          <w:b/>
          <w:bCs/>
        </w:rPr>
        <w:t>What data is required</w:t>
      </w:r>
      <w:r w:rsidRPr="000F2D4C">
        <w:t xml:space="preserve">: CEA requires consistent collection of outcomes data for participants. </w:t>
      </w:r>
    </w:p>
    <w:p w14:paraId="3FF3616E" w14:textId="6140DD49" w:rsidR="00A70900" w:rsidRPr="000F2D4C" w:rsidRDefault="00A70900" w:rsidP="00A70900">
      <w:r w:rsidRPr="000F2D4C">
        <w:t>CEA is normally possible with the minimum data set for the mental health</w:t>
      </w:r>
      <w:r w:rsidR="000C575D" w:rsidRPr="000F2D4C">
        <w:t xml:space="preserve"> and</w:t>
      </w:r>
      <w:r w:rsidRPr="000F2D4C">
        <w:t xml:space="preserve"> suicide prevention measures collected. </w:t>
      </w:r>
    </w:p>
    <w:p w14:paraId="76ED85C2" w14:textId="0A2014AF" w:rsidR="00A70900" w:rsidRPr="000F2D4C" w:rsidRDefault="00A70900" w:rsidP="00A70900">
      <w:r w:rsidRPr="000F2D4C">
        <w:t>Linked data would generally not be required. The exception to this would be if there is a strong desire to understand an outcome</w:t>
      </w:r>
      <w:r w:rsidR="008D7D33" w:rsidRPr="000F2D4C">
        <w:t>s</w:t>
      </w:r>
      <w:r w:rsidRPr="000F2D4C">
        <w:t xml:space="preserve"> measure not available in the minimum data</w:t>
      </w:r>
      <w:r w:rsidR="30CDF097" w:rsidRPr="000F2D4C">
        <w:t xml:space="preserve"> </w:t>
      </w:r>
      <w:r w:rsidRPr="000F2D4C">
        <w:t>set, e.g.</w:t>
      </w:r>
      <w:r w:rsidR="4FE531E3" w:rsidRPr="000F2D4C">
        <w:t>,</w:t>
      </w:r>
      <w:r w:rsidRPr="000F2D4C">
        <w:t xml:space="preserve"> the reduction in time in hospital per dollar spent on a </w:t>
      </w:r>
      <w:r w:rsidR="005F5F14" w:rsidRPr="000F2D4C">
        <w:t>program</w:t>
      </w:r>
      <w:r w:rsidRPr="000F2D4C">
        <w:t xml:space="preserve">. </w:t>
      </w:r>
    </w:p>
    <w:p w14:paraId="11316AA6" w14:textId="75CEF8E6" w:rsidR="00A70900" w:rsidRPr="000F2D4C" w:rsidRDefault="00A70900" w:rsidP="00A70900">
      <w:pPr>
        <w:pStyle w:val="Heading4"/>
      </w:pPr>
      <w:r w:rsidRPr="000F2D4C">
        <w:lastRenderedPageBreak/>
        <w:t>COST-BENEFIT ANALYSIS</w:t>
      </w:r>
    </w:p>
    <w:p w14:paraId="2FD52FDB" w14:textId="77777777" w:rsidR="00A70900" w:rsidRPr="000F2D4C" w:rsidRDefault="00A70900" w:rsidP="00A70900">
      <w:r w:rsidRPr="000F2D4C">
        <w:t xml:space="preserve">Cost-Benefit Analysis (CBA) involves comparing the total costs to the benefits of a particular program or policy, with both the costs and benefits expressed in monetary terms. The main objective of CBA is to determine if an investment or decision is sound by verifying if the benefits outweigh the costs, and by how many dollars. </w:t>
      </w:r>
    </w:p>
    <w:p w14:paraId="2099BE53" w14:textId="6D6242D2" w:rsidR="00A70900" w:rsidRPr="000F2D4C" w:rsidRDefault="00A70900" w:rsidP="009E2B7C">
      <w:pPr>
        <w:rPr>
          <w:sz w:val="18"/>
          <w:szCs w:val="18"/>
        </w:rPr>
      </w:pPr>
      <w:r w:rsidRPr="000F2D4C">
        <w:rPr>
          <w:rStyle w:val="normaltextrun"/>
          <w:rFonts w:ascii="Segoe UI" w:hAnsi="Segoe UI" w:cs="Segoe UI"/>
          <w:szCs w:val="20"/>
        </w:rPr>
        <w:t>While</w:t>
      </w:r>
      <w:r w:rsidR="00583B1E" w:rsidRPr="000F2D4C">
        <w:rPr>
          <w:rStyle w:val="normaltextrun"/>
          <w:rFonts w:ascii="Segoe UI" w:hAnsi="Segoe UI" w:cs="Segoe UI"/>
          <w:szCs w:val="20"/>
        </w:rPr>
        <w:t xml:space="preserve"> </w:t>
      </w:r>
      <w:r w:rsidRPr="000F2D4C">
        <w:rPr>
          <w:rStyle w:val="normaltextrun"/>
          <w:rFonts w:ascii="Segoe UI" w:hAnsi="Segoe UI" w:cs="Segoe UI"/>
          <w:szCs w:val="20"/>
        </w:rPr>
        <w:t>CBA is often considered the “gold standard” in assessing the economic feasibility and desirability of programs, it has been less commonly used in mental health and suicide prevention programs, for which its disadvantages can be particularly constraining</w:t>
      </w:r>
      <w:r w:rsidR="00E80C1B" w:rsidRPr="000F2D4C">
        <w:rPr>
          <w:rStyle w:val="normaltextrun"/>
          <w:rFonts w:ascii="Segoe UI" w:hAnsi="Segoe UI" w:cs="Segoe UI"/>
          <w:szCs w:val="20"/>
        </w:rPr>
        <w:t xml:space="preserve"> (See Table </w:t>
      </w:r>
      <w:r w:rsidR="00E741CF" w:rsidRPr="000F2D4C">
        <w:rPr>
          <w:rStyle w:val="normaltextrun"/>
          <w:rFonts w:ascii="Segoe UI" w:hAnsi="Segoe UI" w:cs="Segoe UI"/>
          <w:szCs w:val="20"/>
        </w:rPr>
        <w:t>8</w:t>
      </w:r>
      <w:r w:rsidR="00E80C1B" w:rsidRPr="000F2D4C">
        <w:rPr>
          <w:rStyle w:val="normaltextrun"/>
          <w:rFonts w:ascii="Segoe UI" w:hAnsi="Segoe UI" w:cs="Segoe UI"/>
          <w:szCs w:val="20"/>
        </w:rPr>
        <w:t>)</w:t>
      </w:r>
      <w:r w:rsidRPr="000F2D4C">
        <w:rPr>
          <w:rStyle w:val="normaltextrun"/>
          <w:rFonts w:ascii="Segoe UI" w:hAnsi="Segoe UI" w:cs="Segoe UI"/>
          <w:szCs w:val="20"/>
        </w:rPr>
        <w:t>.</w:t>
      </w:r>
      <w:r w:rsidRPr="000F2D4C">
        <w:rPr>
          <w:rStyle w:val="eop"/>
          <w:rFonts w:ascii="Segoe UI" w:hAnsi="Segoe UI" w:cs="Segoe UI"/>
          <w:szCs w:val="20"/>
        </w:rPr>
        <w:t> </w:t>
      </w:r>
    </w:p>
    <w:p w14:paraId="452740DB" w14:textId="07408B65" w:rsidR="00A70900" w:rsidRPr="000F2D4C" w:rsidRDefault="00A70900" w:rsidP="00A70900">
      <w:pPr>
        <w:pStyle w:val="TableHeading"/>
        <w:keepNext/>
        <w:keepLines/>
      </w:pPr>
      <w:r w:rsidRPr="000F2D4C">
        <w:t>Cost</w:t>
      </w:r>
      <w:r w:rsidR="4ECFE757" w:rsidRPr="000F2D4C">
        <w:t>-</w:t>
      </w:r>
      <w:r w:rsidRPr="000F2D4C">
        <w:t xml:space="preserve">benefit ANALYSIS applicability </w:t>
      </w:r>
    </w:p>
    <w:tbl>
      <w:tblPr>
        <w:tblStyle w:val="ARTDTable"/>
        <w:tblW w:w="0" w:type="auto"/>
        <w:tblLook w:val="04A0" w:firstRow="1" w:lastRow="0" w:firstColumn="1" w:lastColumn="0" w:noHBand="0" w:noVBand="1"/>
      </w:tblPr>
      <w:tblGrid>
        <w:gridCol w:w="4080"/>
        <w:gridCol w:w="4083"/>
      </w:tblGrid>
      <w:tr w:rsidR="00A70900" w:rsidRPr="000F2D4C" w14:paraId="2292F29B" w14:textId="77777777" w:rsidTr="7A3237F6">
        <w:trPr>
          <w:cnfStyle w:val="100000000000" w:firstRow="1" w:lastRow="0" w:firstColumn="0" w:lastColumn="0" w:oddVBand="0" w:evenVBand="0" w:oddHBand="0" w:evenHBand="0" w:firstRowFirstColumn="0" w:firstRowLastColumn="0" w:lastRowFirstColumn="0" w:lastRowLastColumn="0"/>
        </w:trPr>
        <w:tc>
          <w:tcPr>
            <w:tcW w:w="4080" w:type="dxa"/>
          </w:tcPr>
          <w:p w14:paraId="0DEFEF13" w14:textId="77777777" w:rsidR="00A70900" w:rsidRPr="000F2D4C" w:rsidRDefault="00A70900">
            <w:pPr>
              <w:pStyle w:val="Tablecolumnheading"/>
              <w:keepNext/>
              <w:keepLines/>
            </w:pPr>
            <w:r w:rsidRPr="000F2D4C">
              <w:t>Advantages</w:t>
            </w:r>
          </w:p>
        </w:tc>
        <w:tc>
          <w:tcPr>
            <w:tcW w:w="4083" w:type="dxa"/>
          </w:tcPr>
          <w:p w14:paraId="48B35364" w14:textId="77777777" w:rsidR="00A70900" w:rsidRPr="000F2D4C" w:rsidRDefault="00A70900">
            <w:pPr>
              <w:pStyle w:val="Tablecolumnheading"/>
              <w:keepNext/>
              <w:keepLines/>
            </w:pPr>
            <w:r w:rsidRPr="000F2D4C">
              <w:t>Disadvantages</w:t>
            </w:r>
          </w:p>
        </w:tc>
      </w:tr>
      <w:tr w:rsidR="00A70900" w:rsidRPr="000F2D4C" w14:paraId="0D3E6620" w14:textId="77777777" w:rsidTr="7A3237F6">
        <w:trPr>
          <w:cnfStyle w:val="000000100000" w:firstRow="0" w:lastRow="0" w:firstColumn="0" w:lastColumn="0" w:oddVBand="0" w:evenVBand="0" w:oddHBand="1" w:evenHBand="0" w:firstRowFirstColumn="0" w:firstRowLastColumn="0" w:lastRowFirstColumn="0" w:lastRowLastColumn="0"/>
        </w:trPr>
        <w:tc>
          <w:tcPr>
            <w:tcW w:w="4080" w:type="dxa"/>
          </w:tcPr>
          <w:p w14:paraId="7A71DE86" w14:textId="77777777" w:rsidR="00A70900" w:rsidRPr="000F2D4C" w:rsidRDefault="00A70900">
            <w:pPr>
              <w:pStyle w:val="Tablebullet"/>
              <w:keepNext/>
              <w:keepLines/>
            </w:pPr>
            <w:r w:rsidRPr="000F2D4C">
              <w:t xml:space="preserve">By understanding which programs or policies offer the greatest net benefit, service providers and governments can ensure that resources (money, time, labour) are allocated to where they will generate the most value. This can help to rank alternatives when resources are limited. </w:t>
            </w:r>
          </w:p>
          <w:p w14:paraId="7D72C00C" w14:textId="77777777" w:rsidR="00A70900" w:rsidRPr="000F2D4C" w:rsidRDefault="00A70900">
            <w:pPr>
              <w:pStyle w:val="Tablebullet"/>
              <w:keepNext/>
              <w:keepLines/>
            </w:pPr>
            <w:r w:rsidRPr="000F2D4C">
              <w:t xml:space="preserve">CBA allows for the comparison of multiple programs on a consistent scale to inform decision-making. </w:t>
            </w:r>
          </w:p>
          <w:p w14:paraId="363E98DA" w14:textId="77777777" w:rsidR="00A70900" w:rsidRPr="000F2D4C" w:rsidRDefault="00A70900">
            <w:pPr>
              <w:pStyle w:val="Tablebullet"/>
              <w:keepNext/>
              <w:keepLines/>
            </w:pPr>
            <w:r w:rsidRPr="000F2D4C">
              <w:t xml:space="preserve">The process of CBA often involves considering different scenarios, including best-case and worst-case projections. This helps in identifying potential risks and uncertainties associated with a program or policy. </w:t>
            </w:r>
          </w:p>
          <w:p w14:paraId="1A7AACDA" w14:textId="602B9121" w:rsidR="00A70900" w:rsidRPr="000F2D4C" w:rsidRDefault="00A70900">
            <w:pPr>
              <w:pStyle w:val="Tablebullet"/>
              <w:keepNext/>
              <w:keepLines/>
            </w:pPr>
            <w:r w:rsidRPr="000F2D4C">
              <w:t>The process of CBA requires considering long-term impacts, not just immediate costs and benefits</w:t>
            </w:r>
            <w:r w:rsidR="1979EBEF" w:rsidRPr="000F2D4C">
              <w:t>,</w:t>
            </w:r>
            <w:r w:rsidRPr="000F2D4C">
              <w:t xml:space="preserve"> to ensure sustainable decision-making. </w:t>
            </w:r>
          </w:p>
          <w:p w14:paraId="6F45EFE0" w14:textId="77777777" w:rsidR="00A70900" w:rsidRPr="000F2D4C" w:rsidRDefault="00A70900">
            <w:pPr>
              <w:pStyle w:val="Tablebullet"/>
              <w:keepNext/>
              <w:keepLines/>
            </w:pPr>
            <w:r w:rsidRPr="000F2D4C">
              <w:t>CBA encourages the consideration of externalities, or the indirect costs and benefits that affect third parties. This can lead to a more holistic understanding of the impact of a program or policy.</w:t>
            </w:r>
          </w:p>
        </w:tc>
        <w:tc>
          <w:tcPr>
            <w:tcW w:w="4083" w:type="dxa"/>
          </w:tcPr>
          <w:p w14:paraId="34B8ACFB" w14:textId="64F32E04" w:rsidR="003774CF" w:rsidRPr="000F2D4C" w:rsidRDefault="00F959F7" w:rsidP="00DD24B7">
            <w:pPr>
              <w:pStyle w:val="Tablebullet"/>
              <w:keepNext/>
              <w:keepLines/>
            </w:pPr>
            <w:r w:rsidRPr="000F2D4C">
              <w:t xml:space="preserve">Fluctuations in mental health and suicide rates can make benefits difficult to establish and attribute. </w:t>
            </w:r>
          </w:p>
          <w:p w14:paraId="6910458E" w14:textId="404BBDAF" w:rsidR="00A70900" w:rsidRPr="000F2D4C" w:rsidRDefault="00A70900">
            <w:pPr>
              <w:pStyle w:val="Tablebullet"/>
              <w:keepNext/>
              <w:keepLines/>
            </w:pPr>
            <w:r w:rsidRPr="000F2D4C">
              <w:t xml:space="preserve">Some benefits are intangible or difficult to assign a monetary value to, especially in the mental health context. </w:t>
            </w:r>
          </w:p>
          <w:p w14:paraId="3049490E" w14:textId="77777777" w:rsidR="00A70900" w:rsidRPr="000F2D4C" w:rsidRDefault="00A70900">
            <w:pPr>
              <w:pStyle w:val="Tablebullet"/>
              <w:keepNext/>
              <w:keepLines/>
            </w:pPr>
            <w:r w:rsidRPr="000F2D4C">
              <w:t xml:space="preserve">The choice of discount rate or the method to assign monetary value to specific benefits can be subjective, leading to greatly different outcomes based on different assumptions. </w:t>
            </w:r>
          </w:p>
          <w:p w14:paraId="06846A38" w14:textId="77777777" w:rsidR="00A70900" w:rsidRPr="000F2D4C" w:rsidRDefault="00A70900">
            <w:pPr>
              <w:pStyle w:val="Tablebullet"/>
              <w:keepNext/>
              <w:keepLines/>
            </w:pPr>
            <w:r w:rsidRPr="000F2D4C">
              <w:t xml:space="preserve">Predictions of long-term costs and benefits can be of dubious value, especially in dynamic environments. </w:t>
            </w:r>
          </w:p>
          <w:p w14:paraId="20EB8870" w14:textId="006D8B93" w:rsidR="00A70900" w:rsidRPr="000F2D4C" w:rsidRDefault="00A70900">
            <w:pPr>
              <w:pStyle w:val="Tablebullet"/>
              <w:keepNext/>
              <w:keepLines/>
            </w:pPr>
            <w:r w:rsidRPr="000F2D4C">
              <w:t xml:space="preserve">Focusing solely on monetary values </w:t>
            </w:r>
            <w:r w:rsidR="23073995" w:rsidRPr="000F2D4C">
              <w:t xml:space="preserve">may </w:t>
            </w:r>
            <w:r w:rsidR="12F29663" w:rsidRPr="000F2D4C">
              <w:t>cause</w:t>
            </w:r>
            <w:r w:rsidRPr="000F2D4C">
              <w:t xml:space="preserve"> equity concerns</w:t>
            </w:r>
            <w:r w:rsidR="12F29663" w:rsidRPr="000F2D4C">
              <w:t xml:space="preserve"> to be overlooked</w:t>
            </w:r>
            <w:r w:rsidRPr="000F2D4C">
              <w:t>. For example, a program or intervention might have a cost benefit but disproportionately impact a vulnerable segment of the population.</w:t>
            </w:r>
          </w:p>
          <w:p w14:paraId="06DDFCF8" w14:textId="77777777" w:rsidR="00A70900" w:rsidRPr="000F2D4C" w:rsidRDefault="00A70900">
            <w:pPr>
              <w:pStyle w:val="Tablebullet"/>
              <w:keepNext/>
              <w:keepLines/>
            </w:pPr>
            <w:r w:rsidRPr="000F2D4C">
              <w:t>May need to make numerous assumptions.</w:t>
            </w:r>
          </w:p>
        </w:tc>
      </w:tr>
    </w:tbl>
    <w:p w14:paraId="2DE09DA9" w14:textId="77777777" w:rsidR="00A70900" w:rsidRPr="000F2D4C" w:rsidRDefault="00A70900" w:rsidP="00A70900"/>
    <w:p w14:paraId="1D0D338A" w14:textId="3E9EBFEB" w:rsidR="00A70900" w:rsidRPr="000F2D4C" w:rsidRDefault="00A70900" w:rsidP="00A70900">
      <w:r w:rsidRPr="000F2D4C">
        <w:rPr>
          <w:b/>
          <w:bCs/>
        </w:rPr>
        <w:t>What data is required</w:t>
      </w:r>
      <w:r w:rsidRPr="000F2D4C">
        <w:t xml:space="preserve">: A CBA requires that all expenses related to a program or policy are identified and calculated. This includes not only the direct and indirect costs but also opportunity costs (loss of other alternatives when one alternative is chosen), and any other associated expenses. Likewise, it requires that all the benefits from </w:t>
      </w:r>
      <w:r w:rsidR="0AAE7A95" w:rsidRPr="000F2D4C">
        <w:t xml:space="preserve">a </w:t>
      </w:r>
      <w:r w:rsidRPr="000F2D4C">
        <w:t xml:space="preserve">program or policy are identified, quantified and assigned a monetary value. This can be straightforward in some cases but challenging for others. </w:t>
      </w:r>
    </w:p>
    <w:p w14:paraId="1E7EF220" w14:textId="77777777" w:rsidR="00A70900" w:rsidRPr="000F2D4C" w:rsidRDefault="00A70900" w:rsidP="00A70900">
      <w:r w:rsidRPr="000F2D4C">
        <w:lastRenderedPageBreak/>
        <w:t>Since costs and benefits often occur over different timeframes, there is also a need to bring future values into present terms through a process called discounting.</w:t>
      </w:r>
    </w:p>
    <w:p w14:paraId="071B89EC" w14:textId="4057A4AC" w:rsidR="00A70900" w:rsidRPr="000F2D4C" w:rsidRDefault="00A70900" w:rsidP="00A70900">
      <w:bookmarkStart w:id="66" w:name="_Hlk146014478"/>
      <w:r w:rsidRPr="000F2D4C">
        <w:t xml:space="preserve">A CBA would be very limited by using only the minimum data sets for mental health and suicide prevention </w:t>
      </w:r>
      <w:r w:rsidR="005F5F14" w:rsidRPr="000F2D4C">
        <w:t>programs</w:t>
      </w:r>
      <w:r w:rsidR="29970468" w:rsidRPr="000F2D4C">
        <w:t>,</w:t>
      </w:r>
      <w:r w:rsidRPr="000F2D4C">
        <w:t xml:space="preserve"> due to the limited</w:t>
      </w:r>
      <w:r w:rsidR="00915397" w:rsidRPr="000F2D4C">
        <w:t xml:space="preserve"> number</w:t>
      </w:r>
      <w:r w:rsidRPr="000F2D4C">
        <w:t xml:space="preserve"> of outcomes being captured. It would require the collection of additional data on outcomes for individuals. </w:t>
      </w:r>
    </w:p>
    <w:p w14:paraId="4686E379" w14:textId="73E0D0EF" w:rsidR="00A70900" w:rsidRPr="000F2D4C" w:rsidRDefault="00A70900" w:rsidP="00A70900">
      <w:r w:rsidRPr="000F2D4C">
        <w:t xml:space="preserve">In many cases, the use of linked data is likely needed to capture the full range of benefits. </w:t>
      </w:r>
      <w:bookmarkEnd w:id="66"/>
      <w:r w:rsidRPr="000F2D4C">
        <w:t>For example, if a program w</w:t>
      </w:r>
      <w:r w:rsidR="287F3D23" w:rsidRPr="000F2D4C">
        <w:t>as</w:t>
      </w:r>
      <w:r w:rsidRPr="000F2D4C">
        <w:t xml:space="preserve"> able to demonstrate a reduction in the length of hospital admission stay, a </w:t>
      </w:r>
      <w:r w:rsidR="007D17F3" w:rsidRPr="000F2D4C">
        <w:t xml:space="preserve">program </w:t>
      </w:r>
      <w:r w:rsidRPr="000F2D4C">
        <w:t xml:space="preserve">benefit could be calculated </w:t>
      </w:r>
      <w:r w:rsidR="004112E1" w:rsidRPr="000F2D4C">
        <w:t xml:space="preserve">related to the </w:t>
      </w:r>
      <w:r w:rsidRPr="000F2D4C">
        <w:t>avoided days spent in hospital. The administrative data sets likely to be most useful for economic analysis are:</w:t>
      </w:r>
    </w:p>
    <w:p w14:paraId="3FD17066" w14:textId="77777777" w:rsidR="00A70900" w:rsidRPr="000F2D4C" w:rsidRDefault="00A70900" w:rsidP="00A70900">
      <w:pPr>
        <w:pStyle w:val="ListBullet"/>
      </w:pPr>
      <w:r w:rsidRPr="000F2D4C">
        <w:t>Emergency Department presentations</w:t>
      </w:r>
    </w:p>
    <w:p w14:paraId="60D1D1EB" w14:textId="3D93EA8C" w:rsidR="00A70900" w:rsidRPr="000F2D4C" w:rsidRDefault="2F01C625" w:rsidP="00A70900">
      <w:pPr>
        <w:pStyle w:val="ListBullet"/>
      </w:pPr>
      <w:r w:rsidRPr="000F2D4C">
        <w:t>c</w:t>
      </w:r>
      <w:r w:rsidR="00A70900" w:rsidRPr="000F2D4C">
        <w:t>ommunity mental health care</w:t>
      </w:r>
    </w:p>
    <w:p w14:paraId="6C6F0E8B" w14:textId="723AB7FA" w:rsidR="00A70900" w:rsidRPr="000F2D4C" w:rsidRDefault="4E98055F" w:rsidP="00A70900">
      <w:pPr>
        <w:pStyle w:val="ListBullet"/>
      </w:pPr>
      <w:r w:rsidRPr="000F2D4C">
        <w:t>a</w:t>
      </w:r>
      <w:r w:rsidR="00A70900" w:rsidRPr="000F2D4C">
        <w:t>mbulance data</w:t>
      </w:r>
    </w:p>
    <w:p w14:paraId="7B8DD318" w14:textId="01E3F960" w:rsidR="00A70900" w:rsidRPr="000F2D4C" w:rsidRDefault="52380CDA" w:rsidP="00A70900">
      <w:pPr>
        <w:pStyle w:val="ListBullet"/>
      </w:pPr>
      <w:r w:rsidRPr="000F2D4C">
        <w:t>a</w:t>
      </w:r>
      <w:r w:rsidR="00A70900" w:rsidRPr="000F2D4C">
        <w:t>dmitted patient data sets</w:t>
      </w:r>
    </w:p>
    <w:p w14:paraId="0AE82F71" w14:textId="78CC5F06" w:rsidR="00A70900" w:rsidRPr="000F2D4C" w:rsidRDefault="00A70900" w:rsidP="00A70900">
      <w:pPr>
        <w:pStyle w:val="ListBullet"/>
      </w:pPr>
      <w:r w:rsidRPr="000F2D4C">
        <w:t>Medicare Benefits Schedule (MBS)</w:t>
      </w:r>
      <w:r w:rsidR="03BAC616" w:rsidRPr="000F2D4C">
        <w:t>,</w:t>
      </w:r>
      <w:r w:rsidRPr="000F2D4C">
        <w:t xml:space="preserve"> which provides mental health items</w:t>
      </w:r>
    </w:p>
    <w:p w14:paraId="0870AEF0" w14:textId="45C62F93" w:rsidR="00A70900" w:rsidRPr="000F2D4C" w:rsidRDefault="00A70900" w:rsidP="00A70900">
      <w:pPr>
        <w:pStyle w:val="ListBullet"/>
      </w:pPr>
      <w:r w:rsidRPr="000F2D4C">
        <w:t>Pharmaceutical Benefits Scheme (PBS), which provides psychotropic medications.</w:t>
      </w:r>
    </w:p>
    <w:p w14:paraId="65F3D918" w14:textId="77777777" w:rsidR="00A70900" w:rsidRPr="000F2D4C" w:rsidRDefault="00A70900" w:rsidP="00A70900">
      <w:pPr>
        <w:pStyle w:val="Heading4"/>
      </w:pPr>
      <w:r w:rsidRPr="000F2D4C">
        <w:t xml:space="preserve">COST-UTILITY ANALYSIS </w:t>
      </w:r>
    </w:p>
    <w:p w14:paraId="56DC587E" w14:textId="77777777" w:rsidR="00A70900" w:rsidRPr="000F2D4C" w:rsidRDefault="00A70900" w:rsidP="00A70900">
      <w:r w:rsidRPr="000F2D4C">
        <w:t xml:space="preserve">Cost-Utility Analysis (CUA) is a subtype of cost-effectiveness analysis that compares the costs (in monetary terms) of different programs to their outcomes in terms of utility, typically to the patient. The outcomes in CUA are measured using scales such as quality-adjusted life years (QALYs), disability-adjusted life years (DALYs), healthy years equivalent (HYE), and wellbeing years (WELLBY). </w:t>
      </w:r>
    </w:p>
    <w:p w14:paraId="5E3BAD64" w14:textId="02A9E0A4" w:rsidR="00A70900" w:rsidRPr="000F2D4C" w:rsidRDefault="00A70900" w:rsidP="00A70900">
      <w:pPr>
        <w:rPr>
          <w:rStyle w:val="normaltextrun"/>
          <w:rFonts w:ascii="Segoe UI" w:hAnsi="Segoe UI" w:cs="Segoe UI"/>
          <w:color w:val="000000"/>
          <w:szCs w:val="20"/>
          <w:shd w:val="clear" w:color="auto" w:fill="FFFFFF"/>
        </w:rPr>
      </w:pPr>
      <w:r w:rsidRPr="000F2D4C">
        <w:rPr>
          <w:rStyle w:val="normaltextrun"/>
          <w:rFonts w:ascii="Segoe UI" w:hAnsi="Segoe UI" w:cs="Segoe UI"/>
          <w:color w:val="000000"/>
          <w:szCs w:val="20"/>
          <w:shd w:val="clear" w:color="auto" w:fill="FFFFFF"/>
        </w:rPr>
        <w:t xml:space="preserve">Compared to CEA, it requires additional assumptions and statistical modelling to transform observed outcomes into utility terms. While it is compelling because it enables </w:t>
      </w:r>
      <w:r w:rsidRPr="000F2D4C">
        <w:t>standardised comparisons</w:t>
      </w:r>
      <w:r w:rsidRPr="000F2D4C">
        <w:rPr>
          <w:rStyle w:val="normaltextrun"/>
          <w:rFonts w:ascii="Segoe UI" w:hAnsi="Segoe UI" w:cs="Segoe UI"/>
          <w:color w:val="000000"/>
          <w:szCs w:val="20"/>
          <w:shd w:val="clear" w:color="auto" w:fill="FFFFFF"/>
        </w:rPr>
        <w:t>, its application is challenging in mental health</w:t>
      </w:r>
      <w:r w:rsidR="00E80C1B" w:rsidRPr="000F2D4C">
        <w:rPr>
          <w:rStyle w:val="normaltextrun"/>
          <w:rFonts w:ascii="Segoe UI" w:hAnsi="Segoe UI" w:cs="Segoe UI"/>
          <w:color w:val="000000"/>
          <w:szCs w:val="20"/>
          <w:shd w:val="clear" w:color="auto" w:fill="FFFFFF"/>
        </w:rPr>
        <w:t xml:space="preserve"> (see Table </w:t>
      </w:r>
      <w:r w:rsidR="00E741CF" w:rsidRPr="000F2D4C">
        <w:rPr>
          <w:rStyle w:val="normaltextrun"/>
          <w:rFonts w:ascii="Segoe UI" w:hAnsi="Segoe UI" w:cs="Segoe UI"/>
          <w:color w:val="000000"/>
          <w:szCs w:val="20"/>
          <w:shd w:val="clear" w:color="auto" w:fill="FFFFFF"/>
        </w:rPr>
        <w:t>9</w:t>
      </w:r>
      <w:r w:rsidR="00E80C1B" w:rsidRPr="000F2D4C">
        <w:rPr>
          <w:rStyle w:val="normaltextrun"/>
          <w:rFonts w:ascii="Segoe UI" w:hAnsi="Segoe UI" w:cs="Segoe UI"/>
          <w:color w:val="000000"/>
          <w:szCs w:val="20"/>
          <w:shd w:val="clear" w:color="auto" w:fill="FFFFFF"/>
        </w:rPr>
        <w:t>)</w:t>
      </w:r>
      <w:r w:rsidRPr="000F2D4C">
        <w:rPr>
          <w:rStyle w:val="normaltextrun"/>
          <w:rFonts w:ascii="Segoe UI" w:hAnsi="Segoe UI" w:cs="Segoe UI"/>
          <w:color w:val="000000"/>
          <w:szCs w:val="20"/>
          <w:shd w:val="clear" w:color="auto" w:fill="FFFFFF"/>
        </w:rPr>
        <w:t>.</w:t>
      </w:r>
    </w:p>
    <w:p w14:paraId="3277CA71" w14:textId="77777777" w:rsidR="00A70900" w:rsidRPr="000F2D4C" w:rsidRDefault="00A70900" w:rsidP="00A70900">
      <w:pPr>
        <w:pStyle w:val="TableHeading"/>
      </w:pPr>
      <w:r w:rsidRPr="000F2D4C">
        <w:t xml:space="preserve">Cost utility ANALYSIS applicability </w:t>
      </w:r>
    </w:p>
    <w:tbl>
      <w:tblPr>
        <w:tblStyle w:val="ARTDTable"/>
        <w:tblW w:w="0" w:type="auto"/>
        <w:tblLook w:val="04A0" w:firstRow="1" w:lastRow="0" w:firstColumn="1" w:lastColumn="0" w:noHBand="0" w:noVBand="1"/>
      </w:tblPr>
      <w:tblGrid>
        <w:gridCol w:w="4082"/>
        <w:gridCol w:w="4081"/>
      </w:tblGrid>
      <w:tr w:rsidR="00A70900" w:rsidRPr="000F2D4C" w14:paraId="6850493F" w14:textId="77777777" w:rsidTr="00D16154">
        <w:trPr>
          <w:cnfStyle w:val="100000000000" w:firstRow="1" w:lastRow="0" w:firstColumn="0" w:lastColumn="0" w:oddVBand="0" w:evenVBand="0" w:oddHBand="0" w:evenHBand="0" w:firstRowFirstColumn="0" w:firstRowLastColumn="0" w:lastRowFirstColumn="0" w:lastRowLastColumn="0"/>
          <w:tblHeader/>
        </w:trPr>
        <w:tc>
          <w:tcPr>
            <w:tcW w:w="4082" w:type="dxa"/>
          </w:tcPr>
          <w:p w14:paraId="389E2738" w14:textId="77777777" w:rsidR="00A70900" w:rsidRPr="000F2D4C" w:rsidRDefault="00A70900">
            <w:pPr>
              <w:pStyle w:val="Tablecolumnheading"/>
            </w:pPr>
            <w:r w:rsidRPr="000F2D4C">
              <w:t>Advantages</w:t>
            </w:r>
          </w:p>
        </w:tc>
        <w:tc>
          <w:tcPr>
            <w:tcW w:w="4081" w:type="dxa"/>
          </w:tcPr>
          <w:p w14:paraId="265364D7" w14:textId="77777777" w:rsidR="00A70900" w:rsidRPr="000F2D4C" w:rsidRDefault="00A70900">
            <w:pPr>
              <w:pStyle w:val="Tablecolumnheading"/>
            </w:pPr>
            <w:r w:rsidRPr="000F2D4C">
              <w:t>Disadvantages</w:t>
            </w:r>
          </w:p>
        </w:tc>
      </w:tr>
      <w:tr w:rsidR="00A70900" w:rsidRPr="000F2D4C" w14:paraId="323133CB" w14:textId="77777777" w:rsidTr="7A3237F6">
        <w:trPr>
          <w:cnfStyle w:val="000000100000" w:firstRow="0" w:lastRow="0" w:firstColumn="0" w:lastColumn="0" w:oddVBand="0" w:evenVBand="0" w:oddHBand="1" w:evenHBand="0" w:firstRowFirstColumn="0" w:firstRowLastColumn="0" w:lastRowFirstColumn="0" w:lastRowLastColumn="0"/>
        </w:trPr>
        <w:tc>
          <w:tcPr>
            <w:tcW w:w="4082" w:type="dxa"/>
          </w:tcPr>
          <w:p w14:paraId="6B16D81E" w14:textId="08E5B03B" w:rsidR="00A70900" w:rsidRPr="000F2D4C" w:rsidRDefault="00A70900">
            <w:pPr>
              <w:pStyle w:val="Tablebullet"/>
            </w:pPr>
            <w:r w:rsidRPr="000F2D4C">
              <w:t xml:space="preserve">Typically, the </w:t>
            </w:r>
            <w:r w:rsidR="00780AD4" w:rsidRPr="000F2D4C">
              <w:t>outcomes</w:t>
            </w:r>
            <w:r w:rsidRPr="000F2D4C">
              <w:t xml:space="preserve"> measures in CUA combine both the quality and quantity of life into a single metric. This allows for direct comparisons between diverse programs affecting different aspects of health. </w:t>
            </w:r>
          </w:p>
          <w:p w14:paraId="666DD5C1" w14:textId="77777777" w:rsidR="00A70900" w:rsidRPr="000F2D4C" w:rsidRDefault="00A70900">
            <w:pPr>
              <w:pStyle w:val="Tablebullet"/>
            </w:pPr>
            <w:r w:rsidRPr="000F2D4C">
              <w:t xml:space="preserve">By translating health outcomes into a standardised unit (like QALYs), policymakers can compare the cost-effectiveness of programs across various health domains to make informed decisions about allocating resources to maximise health benefits within a constrained budget. </w:t>
            </w:r>
          </w:p>
          <w:p w14:paraId="1EAE4BD2" w14:textId="77777777" w:rsidR="00A70900" w:rsidRPr="000F2D4C" w:rsidRDefault="00A70900">
            <w:pPr>
              <w:pStyle w:val="Tablebullet"/>
            </w:pPr>
            <w:r w:rsidRPr="000F2D4C">
              <w:lastRenderedPageBreak/>
              <w:t xml:space="preserve">Measures like QALYs are able to incorporate patient or societal preferences about different health states, making the outcomes more reflective of values and preferences of the population. </w:t>
            </w:r>
          </w:p>
          <w:p w14:paraId="1F9F70B0" w14:textId="144A59EF" w:rsidR="00A70900" w:rsidRPr="000F2D4C" w:rsidRDefault="00A70900">
            <w:pPr>
              <w:pStyle w:val="Tablebullet"/>
            </w:pPr>
            <w:r w:rsidRPr="000F2D4C">
              <w:t>Outcome</w:t>
            </w:r>
            <w:r w:rsidR="008D7D33" w:rsidRPr="000F2D4C">
              <w:t>s</w:t>
            </w:r>
            <w:r w:rsidRPr="000F2D4C">
              <w:t xml:space="preserve"> measures in CUA consider both morbidity and mortality, offering a more comprehensive view of impact on mental health. </w:t>
            </w:r>
          </w:p>
          <w:p w14:paraId="42B2C8A9" w14:textId="45CA3373" w:rsidR="00A70900" w:rsidRPr="000F2D4C" w:rsidRDefault="00A70900">
            <w:pPr>
              <w:pStyle w:val="Tablebullet"/>
            </w:pPr>
            <w:r w:rsidRPr="000F2D4C">
              <w:t>Service providers and the government can establish thresholds (e.g.</w:t>
            </w:r>
            <w:r w:rsidR="27F43F1F" w:rsidRPr="000F2D4C">
              <w:t>,</w:t>
            </w:r>
            <w:r w:rsidRPr="000F2D4C">
              <w:t xml:space="preserve"> cost per QALY) to guide decisions about what </w:t>
            </w:r>
            <w:r w:rsidR="005F5F14" w:rsidRPr="000F2D4C">
              <w:t>programs</w:t>
            </w:r>
            <w:r w:rsidRPr="000F2D4C">
              <w:t xml:space="preserve"> are considered cost</w:t>
            </w:r>
            <w:r w:rsidR="08DC7413" w:rsidRPr="000F2D4C">
              <w:t>-</w:t>
            </w:r>
            <w:r w:rsidRPr="000F2D4C">
              <w:t xml:space="preserve">effective. </w:t>
            </w:r>
          </w:p>
        </w:tc>
        <w:tc>
          <w:tcPr>
            <w:tcW w:w="4081" w:type="dxa"/>
          </w:tcPr>
          <w:p w14:paraId="5FC8C220" w14:textId="1566A8DD" w:rsidR="00A70900" w:rsidRPr="000F2D4C" w:rsidRDefault="00A70900">
            <w:pPr>
              <w:pStyle w:val="Tablebullet"/>
            </w:pPr>
            <w:r w:rsidRPr="000F2D4C">
              <w:lastRenderedPageBreak/>
              <w:t xml:space="preserve">Accurately measuring and valuing </w:t>
            </w:r>
            <w:r w:rsidR="008D7D33" w:rsidRPr="000F2D4C">
              <w:t>outcomes</w:t>
            </w:r>
            <w:r w:rsidRPr="000F2D4C">
              <w:t xml:space="preserve"> measures can be challenging. For example, different tools or instruments used to measure QALYs might yield slightly different values, leading to variability in outcomes. </w:t>
            </w:r>
          </w:p>
          <w:p w14:paraId="33CC3173" w14:textId="2DCBC9D6" w:rsidR="00A70900" w:rsidRPr="000F2D4C" w:rsidRDefault="00A70900">
            <w:pPr>
              <w:pStyle w:val="Tablebullet"/>
            </w:pPr>
            <w:r w:rsidRPr="000F2D4C">
              <w:t xml:space="preserve">Some stakeholders think the use of QALY type </w:t>
            </w:r>
            <w:r w:rsidR="008D7D33" w:rsidRPr="000F2D4C">
              <w:t xml:space="preserve">outcomes </w:t>
            </w:r>
            <w:r w:rsidRPr="000F2D4C">
              <w:t xml:space="preserve">measures are discriminatory, especially towards the elderly or those with disabilities. This is because the value assigned to a year of life in perfect health might differ across populations, potentially leading to </w:t>
            </w:r>
            <w:r w:rsidRPr="000F2D4C">
              <w:lastRenderedPageBreak/>
              <w:t xml:space="preserve">decisions that favour certain groups over others. </w:t>
            </w:r>
          </w:p>
          <w:p w14:paraId="3B91CADD" w14:textId="0CC5EBD4" w:rsidR="00A70900" w:rsidRPr="000F2D4C" w:rsidRDefault="00A70900">
            <w:pPr>
              <w:pStyle w:val="Tablebullet"/>
            </w:pPr>
            <w:r w:rsidRPr="000F2D4C">
              <w:t xml:space="preserve">The utility values used to calculate QALYs often come from subjective measures of wellbeing or health state preferences, which can vary among individuals and cultures. </w:t>
            </w:r>
          </w:p>
          <w:p w14:paraId="63206211" w14:textId="648F98FD" w:rsidR="00A70900" w:rsidRPr="000F2D4C" w:rsidRDefault="00A70900">
            <w:pPr>
              <w:pStyle w:val="Tablebullet"/>
            </w:pPr>
            <w:r w:rsidRPr="000F2D4C">
              <w:t>The results of CUA from one context or population might not be directly applicable to another. Differences in health</w:t>
            </w:r>
            <w:r w:rsidR="69840A68" w:rsidRPr="000F2D4C">
              <w:t xml:space="preserve"> </w:t>
            </w:r>
            <w:r w:rsidRPr="000F2D4C">
              <w:t xml:space="preserve">care costs, population demographics, or health state preferences can influence outcomes. </w:t>
            </w:r>
          </w:p>
          <w:p w14:paraId="6C5F0196" w14:textId="77777777" w:rsidR="00A70900" w:rsidRPr="000F2D4C" w:rsidRDefault="00A70900">
            <w:pPr>
              <w:pStyle w:val="Tablebullet"/>
            </w:pPr>
            <w:r w:rsidRPr="000F2D4C">
              <w:t xml:space="preserve">CUA often requires advanced economic and statistical methods, requiring technical expertise. </w:t>
            </w:r>
          </w:p>
          <w:p w14:paraId="13CCC86A" w14:textId="77777777" w:rsidR="00A70900" w:rsidRPr="000F2D4C" w:rsidRDefault="00A70900">
            <w:pPr>
              <w:pStyle w:val="Tablebullet"/>
            </w:pPr>
            <w:r w:rsidRPr="000F2D4C">
              <w:t xml:space="preserve">The issue of whether and how to discount future health benefits (i.e., giving them less weight than immediate benefits) can be contentious and can significantly influence CUA results. </w:t>
            </w:r>
          </w:p>
        </w:tc>
      </w:tr>
    </w:tbl>
    <w:p w14:paraId="2EDD029B" w14:textId="616D1959" w:rsidR="00A70900" w:rsidRPr="000F2D4C" w:rsidRDefault="00D16154" w:rsidP="00D16154">
      <w:pPr>
        <w:spacing w:before="60" w:after="120"/>
      </w:pPr>
      <w:r>
        <w:rPr>
          <w:b/>
          <w:bCs/>
        </w:rPr>
        <w:lastRenderedPageBreak/>
        <w:br/>
      </w:r>
      <w:r w:rsidR="00A70900" w:rsidRPr="000F2D4C">
        <w:rPr>
          <w:b/>
          <w:bCs/>
        </w:rPr>
        <w:t>What data is required</w:t>
      </w:r>
      <w:r w:rsidR="00A70900" w:rsidRPr="000F2D4C">
        <w:t xml:space="preserve">: This analysis requires outcomes measured using scales such as quality-adjusted life years (QALYs), disability-adjusted life years (DALYs), healthy years equivalent (HYE), and wellbeing years (WELLBY). </w:t>
      </w:r>
    </w:p>
    <w:p w14:paraId="6FB9B5F1" w14:textId="2D4C516D" w:rsidR="00A70900" w:rsidRPr="000F2D4C" w:rsidRDefault="00A70900" w:rsidP="00D16154">
      <w:pPr>
        <w:spacing w:before="60" w:after="120"/>
      </w:pPr>
      <w:r w:rsidRPr="000F2D4C">
        <w:t xml:space="preserve">A CUA would not be possible using only the minimum data sets for mental health and suicide prevention </w:t>
      </w:r>
      <w:r w:rsidR="005F5F14" w:rsidRPr="000F2D4C">
        <w:t>programs</w:t>
      </w:r>
      <w:r w:rsidRPr="000F2D4C">
        <w:t>. It would require the collection of additional data on outcomes for individuals. It is unlikely that linked data would be required.</w:t>
      </w:r>
    </w:p>
    <w:p w14:paraId="4285E340" w14:textId="77777777" w:rsidR="00A70900" w:rsidRPr="000F2D4C" w:rsidRDefault="00A70900" w:rsidP="00A70900">
      <w:pPr>
        <w:pStyle w:val="Heading4"/>
      </w:pPr>
      <w:r w:rsidRPr="000F2D4C">
        <w:t>Deciding what approach to use</w:t>
      </w:r>
    </w:p>
    <w:p w14:paraId="256BDC1A" w14:textId="573D0519" w:rsidR="00A70900" w:rsidRPr="000F2D4C" w:rsidRDefault="00A70900" w:rsidP="00A70900">
      <w:r w:rsidRPr="000F2D4C">
        <w:t>To consider what approach is most appropriate should involve considering</w:t>
      </w:r>
      <w:r w:rsidR="32C682DE" w:rsidRPr="000F2D4C">
        <w:t xml:space="preserve"> the following</w:t>
      </w:r>
      <w:r w:rsidRPr="000F2D4C">
        <w:t>:</w:t>
      </w:r>
    </w:p>
    <w:p w14:paraId="35E7A0B8" w14:textId="391F92E2" w:rsidR="00A70900" w:rsidRPr="000F2D4C" w:rsidRDefault="00A70900" w:rsidP="00FB3EAA">
      <w:pPr>
        <w:pStyle w:val="ListBullet"/>
      </w:pPr>
      <w:r w:rsidRPr="000F2D4C">
        <w:rPr>
          <w:b/>
          <w:bCs/>
        </w:rPr>
        <w:t>The availability and quality of data</w:t>
      </w:r>
      <w:r w:rsidRPr="000F2D4C">
        <w:t xml:space="preserve">: The most important consideration is </w:t>
      </w:r>
      <w:r w:rsidR="00B41965" w:rsidRPr="000F2D4C">
        <w:t>wh</w:t>
      </w:r>
      <w:r w:rsidR="00CC41B7" w:rsidRPr="000F2D4C">
        <w:t xml:space="preserve">at data is </w:t>
      </w:r>
      <w:r w:rsidRPr="000F2D4C">
        <w:t>available. The above sections provide guidance on what data is required for different types of economic analysis. Most of the methods will require data additional to standard minimum data</w:t>
      </w:r>
      <w:r w:rsidR="6605968E" w:rsidRPr="000F2D4C">
        <w:t xml:space="preserve"> </w:t>
      </w:r>
      <w:r w:rsidRPr="000F2D4C">
        <w:t>sets and this needs to be planned for to allow the collection of robust data. CBA will require more comprehensive data than CEA.</w:t>
      </w:r>
    </w:p>
    <w:p w14:paraId="120D936E" w14:textId="29B580FB" w:rsidR="00A70900" w:rsidRPr="000F2D4C" w:rsidRDefault="00A70900" w:rsidP="00FB3EAA">
      <w:pPr>
        <w:pStyle w:val="ListBullet"/>
      </w:pPr>
      <w:r w:rsidRPr="000F2D4C">
        <w:rPr>
          <w:b/>
          <w:bCs/>
        </w:rPr>
        <w:t>Program scale</w:t>
      </w:r>
      <w:r w:rsidRPr="000F2D4C">
        <w:t>: A more comprehensive economic evaluation will be more warranted for larger scale programs with more significant investment. Geographic diversity leads to variations in health</w:t>
      </w:r>
      <w:r w:rsidR="0B7E58D1" w:rsidRPr="000F2D4C">
        <w:t xml:space="preserve"> </w:t>
      </w:r>
      <w:r w:rsidRPr="000F2D4C">
        <w:t>care practices, costs, and outcomes. CEA provides a consistent method to evaluate the cost-effectiveness of interventions across these diverse regions, ensuring that recommendations are tailored to local contexts while still maintaining a standardi</w:t>
      </w:r>
      <w:r w:rsidR="495A0639" w:rsidRPr="000F2D4C">
        <w:t>s</w:t>
      </w:r>
      <w:r w:rsidRPr="000F2D4C">
        <w:t>ed comparison metric.</w:t>
      </w:r>
    </w:p>
    <w:p w14:paraId="2DDD9B9C" w14:textId="77777777" w:rsidR="00A70900" w:rsidRPr="000F2D4C" w:rsidRDefault="00A70900" w:rsidP="00FB3EAA">
      <w:pPr>
        <w:pStyle w:val="ListBullet"/>
      </w:pPr>
      <w:r w:rsidRPr="000F2D4C">
        <w:rPr>
          <w:b/>
          <w:bCs/>
        </w:rPr>
        <w:t>Maturity of the program</w:t>
      </w:r>
      <w:r w:rsidRPr="000F2D4C">
        <w:t xml:space="preserve">: As programs mature, their outcomes tend to stabilise and become more predictable. </w:t>
      </w:r>
    </w:p>
    <w:p w14:paraId="29A76F70" w14:textId="4A4FDC55" w:rsidR="00A70900" w:rsidRPr="000F2D4C" w:rsidRDefault="00A70900" w:rsidP="00FB3EAA">
      <w:pPr>
        <w:pStyle w:val="ListBullet"/>
      </w:pPr>
      <w:r w:rsidRPr="000F2D4C">
        <w:rPr>
          <w:b/>
          <w:bCs/>
        </w:rPr>
        <w:lastRenderedPageBreak/>
        <w:t>Nature of the program</w:t>
      </w:r>
      <w:r w:rsidRPr="000F2D4C">
        <w:t xml:space="preserve">: Some programs offer benefits beyond just health outcomes, impacting areas like societal wellbeing or economic productivity. In such cases, CUA and CBA capture these varied benefits, providing a more comprehensive assessment. </w:t>
      </w:r>
    </w:p>
    <w:p w14:paraId="176AE545" w14:textId="77777777" w:rsidR="00A70900" w:rsidRPr="000F2D4C" w:rsidRDefault="00A70900" w:rsidP="00FB3EAA">
      <w:pPr>
        <w:pStyle w:val="ListBullet"/>
      </w:pPr>
      <w:r w:rsidRPr="000F2D4C">
        <w:rPr>
          <w:b/>
          <w:bCs/>
        </w:rPr>
        <w:t>Duration of the program</w:t>
      </w:r>
      <w:r w:rsidRPr="000F2D4C">
        <w:t xml:space="preserve">: Longer-programs have outcomes and costs that change over time. CEA and CBA can evaluate the program's cost-effectiveness over its entire duration, accounting for changes in health outcomes and costs. </w:t>
      </w:r>
    </w:p>
    <w:p w14:paraId="6FBBB3CA" w14:textId="172EE119" w:rsidR="00E21AD7" w:rsidRPr="000F2D4C" w:rsidRDefault="00E21AD7" w:rsidP="00E21AD7">
      <w:pPr>
        <w:pStyle w:val="Heading3"/>
      </w:pPr>
      <w:r w:rsidRPr="000F2D4C">
        <w:t>Meta</w:t>
      </w:r>
      <w:r w:rsidR="5D28E4FD" w:rsidRPr="000F2D4C">
        <w:t>-</w:t>
      </w:r>
      <w:r w:rsidRPr="000F2D4C">
        <w:t xml:space="preserve">analysis </w:t>
      </w:r>
    </w:p>
    <w:p w14:paraId="1D6FC55B" w14:textId="77777777" w:rsidR="002C3E34" w:rsidRPr="000F2D4C" w:rsidRDefault="002C3E34" w:rsidP="00D16154">
      <w:pPr>
        <w:spacing w:before="60" w:after="120"/>
      </w:pPr>
      <w:r w:rsidRPr="000F2D4C">
        <w:t>One of the benefits of having a more consistent approach to evaluation, and sharing individual evaluation results, is the ability to provide a better understanding of the mental health and suicide prevention system. Together, if shared, individual evaluations will be a powerful source of evidence for driving more consistent and effective responses to improve mental health and wellbeing and reduce suicide.</w:t>
      </w:r>
    </w:p>
    <w:p w14:paraId="63F2F039" w14:textId="71C55489" w:rsidR="002C3E34" w:rsidRPr="000F2D4C" w:rsidRDefault="002C3E34" w:rsidP="00D16154">
      <w:pPr>
        <w:spacing w:before="60" w:after="120"/>
      </w:pPr>
      <w:r w:rsidRPr="000F2D4C">
        <w:t>A meta-analysis may seek to identify patterns and themes from individual evaluations to generate findings that may be useful for developing new acti</w:t>
      </w:r>
      <w:r w:rsidR="00F57895" w:rsidRPr="000F2D4C">
        <w:t xml:space="preserve">vities </w:t>
      </w:r>
      <w:r w:rsidRPr="000F2D4C">
        <w:t>or refining existing acti</w:t>
      </w:r>
      <w:r w:rsidR="00F57895" w:rsidRPr="000F2D4C">
        <w:t>vities</w:t>
      </w:r>
      <w:r w:rsidRPr="000F2D4C">
        <w:t xml:space="preserve">. Meta-analysis takes the data from evaluations of the same type of program to determine overall patterns about how and for whom outcomes were generated. </w:t>
      </w:r>
    </w:p>
    <w:p w14:paraId="79F6B570" w14:textId="77777777" w:rsidR="002C3E34" w:rsidRPr="000F2D4C" w:rsidRDefault="002C3E34" w:rsidP="002C3E34">
      <w:r w:rsidRPr="000F2D4C">
        <w:t>Where appropriate and relevant, meta-analysis could involve:</w:t>
      </w:r>
    </w:p>
    <w:p w14:paraId="089B77C3" w14:textId="7DAD3894" w:rsidR="002C3E34" w:rsidRPr="000F2D4C" w:rsidRDefault="06E83393" w:rsidP="002C3E34">
      <w:pPr>
        <w:pStyle w:val="ListNumber"/>
        <w:numPr>
          <w:ilvl w:val="0"/>
          <w:numId w:val="56"/>
        </w:numPr>
        <w:spacing w:after="240"/>
        <w:contextualSpacing/>
        <w:rPr>
          <w:lang w:val="en-AU"/>
        </w:rPr>
      </w:pPr>
      <w:r w:rsidRPr="000F2D4C">
        <w:rPr>
          <w:lang w:val="en-AU"/>
        </w:rPr>
        <w:t>c</w:t>
      </w:r>
      <w:r w:rsidR="002C3E34" w:rsidRPr="000F2D4C">
        <w:rPr>
          <w:lang w:val="en-AU"/>
        </w:rPr>
        <w:t>lassifying the evaluations by type of initiative.</w:t>
      </w:r>
    </w:p>
    <w:p w14:paraId="4F4E20DF" w14:textId="08282C39" w:rsidR="002C3E34" w:rsidRPr="000F2D4C" w:rsidRDefault="42732550" w:rsidP="002C3E34">
      <w:pPr>
        <w:pStyle w:val="ListNumber"/>
        <w:numPr>
          <w:ilvl w:val="0"/>
          <w:numId w:val="56"/>
        </w:numPr>
        <w:spacing w:after="240"/>
        <w:contextualSpacing/>
        <w:rPr>
          <w:lang w:val="en-AU"/>
        </w:rPr>
      </w:pPr>
      <w:r w:rsidRPr="000F2D4C">
        <w:rPr>
          <w:lang w:val="en-AU"/>
        </w:rPr>
        <w:t>the d</w:t>
      </w:r>
      <w:r w:rsidR="002C3E34" w:rsidRPr="000F2D4C">
        <w:rPr>
          <w:lang w:val="en-AU"/>
        </w:rPr>
        <w:t>evelopment of a framework to guide the extraction and re-analysis of data from each evaluation.</w:t>
      </w:r>
    </w:p>
    <w:p w14:paraId="034FEB39" w14:textId="7D4AEBA4" w:rsidR="002C3E34" w:rsidRPr="000F2D4C" w:rsidRDefault="67B119C3" w:rsidP="002C3E34">
      <w:pPr>
        <w:pStyle w:val="ListNumber"/>
        <w:numPr>
          <w:ilvl w:val="0"/>
          <w:numId w:val="56"/>
        </w:numPr>
        <w:spacing w:after="240"/>
        <w:contextualSpacing/>
        <w:rPr>
          <w:lang w:val="en-AU"/>
        </w:rPr>
      </w:pPr>
      <w:r w:rsidRPr="000F2D4C">
        <w:rPr>
          <w:lang w:val="en-AU"/>
        </w:rPr>
        <w:t>a review</w:t>
      </w:r>
      <w:r w:rsidR="002C3E34" w:rsidRPr="000F2D4C">
        <w:rPr>
          <w:lang w:val="en-AU"/>
        </w:rPr>
        <w:t xml:space="preserve"> of each evaluation, extraction and analysis of quantitative and qualitative data.</w:t>
      </w:r>
    </w:p>
    <w:p w14:paraId="2BFFA5E0" w14:textId="5F0AF7C5" w:rsidR="002C3E34" w:rsidRPr="000F2D4C" w:rsidRDefault="6C8DF1F1" w:rsidP="002C3E34">
      <w:pPr>
        <w:pStyle w:val="ListNumber"/>
        <w:numPr>
          <w:ilvl w:val="0"/>
          <w:numId w:val="56"/>
        </w:numPr>
        <w:spacing w:after="240"/>
        <w:contextualSpacing/>
        <w:rPr>
          <w:rFonts w:ascii="Segoe UI" w:hAnsi="Segoe UI"/>
          <w:lang w:val="en-AU"/>
        </w:rPr>
      </w:pPr>
      <w:r w:rsidRPr="000F2D4C">
        <w:rPr>
          <w:lang w:val="en-AU"/>
        </w:rPr>
        <w:t>a s</w:t>
      </w:r>
      <w:r w:rsidR="002C3E34" w:rsidRPr="000F2D4C">
        <w:rPr>
          <w:lang w:val="en-AU"/>
        </w:rPr>
        <w:t>ynthesis of findings and preparation of a brief report, or chapter in the final evaluation report about lessons learnt from different types of programs.</w:t>
      </w:r>
    </w:p>
    <w:p w14:paraId="098B56C0" w14:textId="0844E0BA" w:rsidR="002C3E34" w:rsidRPr="000F2D4C" w:rsidRDefault="002C3E34" w:rsidP="002C3E34">
      <w:pPr>
        <w:pStyle w:val="Boxtext0"/>
      </w:pPr>
      <w:r w:rsidRPr="000F2D4C">
        <w:t>A modified version of the EMMIE framework</w:t>
      </w:r>
      <w:r w:rsidRPr="000F2D4C">
        <w:rPr>
          <w:rStyle w:val="FootnoteReference"/>
        </w:rPr>
        <w:footnoteReference w:id="38"/>
      </w:r>
      <w:r w:rsidRPr="000F2D4C">
        <w:t xml:space="preserve"> may provide a useful starting point for sharing information to continue building an evidence base of what works in varying contexts. This framework was developed for policymakers seeking practical evidence for decision-making about social policy and crime prevention programs to provide a consistent means of reviewing and extracting information from different types of evaluations.  </w:t>
      </w:r>
    </w:p>
    <w:p w14:paraId="418BBC19" w14:textId="77777777" w:rsidR="002C3E34" w:rsidRPr="000F2D4C" w:rsidRDefault="002C3E34" w:rsidP="002C3E34">
      <w:pPr>
        <w:pStyle w:val="Boxtext0"/>
        <w:rPr>
          <w:rFonts w:ascii="Times New Roman" w:eastAsia="Times New Roman" w:hAnsi="Times New Roman"/>
          <w:color w:val="131313"/>
          <w:szCs w:val="24"/>
          <w:lang w:eastAsia="en-AU"/>
        </w:rPr>
      </w:pPr>
      <w:r w:rsidRPr="000F2D4C">
        <w:t>Using EMMIE, the following information could be extracted from evaluations for sharing:</w:t>
      </w:r>
    </w:p>
    <w:p w14:paraId="28BBD556" w14:textId="77777777" w:rsidR="002C3E34" w:rsidRPr="000F2D4C" w:rsidRDefault="002C3E34" w:rsidP="002C3E34">
      <w:pPr>
        <w:pStyle w:val="Boxtext0"/>
      </w:pPr>
      <w:r w:rsidRPr="000F2D4C">
        <w:rPr>
          <w:b/>
          <w:bCs/>
        </w:rPr>
        <w:t xml:space="preserve">E </w:t>
      </w:r>
      <w:r w:rsidRPr="000F2D4C">
        <w:t xml:space="preserve">the effectiveness or outcomes of an evaluation (where relevant this could include the effect direction and size of an outcome and the confidence that should be placed on that estimate) </w:t>
      </w:r>
    </w:p>
    <w:p w14:paraId="48F41E4E" w14:textId="77777777" w:rsidR="002C3E34" w:rsidRPr="000F2D4C" w:rsidRDefault="002C3E34" w:rsidP="002C3E34">
      <w:pPr>
        <w:pStyle w:val="Boxtext0"/>
      </w:pPr>
      <w:r w:rsidRPr="000F2D4C">
        <w:rPr>
          <w:b/>
          <w:bCs/>
        </w:rPr>
        <w:t>M</w:t>
      </w:r>
      <w:r w:rsidRPr="000F2D4C">
        <w:t xml:space="preserve"> the means by which the outcomes were achieved (the mechanisms activated by the policy, practice or program in question)</w:t>
      </w:r>
    </w:p>
    <w:p w14:paraId="583B7CE9" w14:textId="77777777" w:rsidR="002C3E34" w:rsidRPr="000F2D4C" w:rsidRDefault="002C3E34" w:rsidP="002C3E34">
      <w:pPr>
        <w:pStyle w:val="Boxtext0"/>
      </w:pPr>
      <w:r w:rsidRPr="000F2D4C">
        <w:rPr>
          <w:b/>
          <w:bCs/>
        </w:rPr>
        <w:t>M</w:t>
      </w:r>
      <w:r w:rsidRPr="000F2D4C">
        <w:t xml:space="preserve"> the moderators or contexts relevant to the evaluation (what caused the outcomes to vary for different people in different places)</w:t>
      </w:r>
    </w:p>
    <w:p w14:paraId="7D33EA08" w14:textId="3046DB74" w:rsidR="002C3E34" w:rsidRPr="000F2D4C" w:rsidRDefault="002C3E34" w:rsidP="002C3E34">
      <w:pPr>
        <w:pStyle w:val="Boxtext0"/>
      </w:pPr>
      <w:r w:rsidRPr="000F2D4C">
        <w:rPr>
          <w:b/>
          <w:bCs/>
        </w:rPr>
        <w:t>I</w:t>
      </w:r>
      <w:r w:rsidRPr="000F2D4C">
        <w:t xml:space="preserve"> the insights into the success and failure in implementing the policy, practice or program, and system</w:t>
      </w:r>
      <w:r w:rsidR="769BA464" w:rsidRPr="000F2D4C">
        <w:t>-</w:t>
      </w:r>
      <w:r w:rsidRPr="000F2D4C">
        <w:t>level factors</w:t>
      </w:r>
    </w:p>
    <w:p w14:paraId="4BA62A9E" w14:textId="77777777" w:rsidR="002C3E34" w:rsidRPr="000F2D4C" w:rsidRDefault="002C3E34" w:rsidP="002C3E34">
      <w:pPr>
        <w:pStyle w:val="Boxtext0"/>
      </w:pPr>
      <w:r w:rsidRPr="000F2D4C">
        <w:rPr>
          <w:b/>
          <w:bCs/>
        </w:rPr>
        <w:t>E</w:t>
      </w:r>
      <w:r w:rsidRPr="000F2D4C">
        <w:t xml:space="preserve"> the economic costs (and benefits) associated with the policy, practice or program.</w:t>
      </w:r>
    </w:p>
    <w:p w14:paraId="40BDD706" w14:textId="46BBF8E3" w:rsidR="002C3E34" w:rsidRPr="000F2D4C" w:rsidRDefault="002C3E34" w:rsidP="002C3E34">
      <w:r w:rsidRPr="000F2D4C">
        <w:lastRenderedPageBreak/>
        <w:br/>
        <w:t>The Framework provides a template for sharing information in those circumstances where the sharing of full reports may not be possible</w:t>
      </w:r>
      <w:r w:rsidR="087E32CD" w:rsidRPr="000F2D4C">
        <w:t>,</w:t>
      </w:r>
      <w:r w:rsidRPr="000F2D4C">
        <w:t xml:space="preserve"> as well as to facilitate meta-analysis where full reports are shared</w:t>
      </w:r>
      <w:r w:rsidR="00023026" w:rsidRPr="000F2D4C">
        <w:t xml:space="preserve"> (see Appendix 6)</w:t>
      </w:r>
      <w:r w:rsidRPr="000F2D4C">
        <w:t xml:space="preserve">.  </w:t>
      </w:r>
    </w:p>
    <w:p w14:paraId="1931F638" w14:textId="28B7E2BC" w:rsidR="005D3B12" w:rsidRPr="000F2D4C" w:rsidRDefault="00C50D27" w:rsidP="00C50D27">
      <w:pPr>
        <w:pStyle w:val="Heading2"/>
      </w:pPr>
      <w:bookmarkStart w:id="67" w:name="_Toc149919003"/>
      <w:r w:rsidRPr="000F2D4C">
        <w:t>Engaging service users</w:t>
      </w:r>
      <w:r w:rsidR="00111D93" w:rsidRPr="000F2D4C">
        <w:t xml:space="preserve"> in </w:t>
      </w:r>
      <w:r w:rsidR="00A70900" w:rsidRPr="000F2D4C">
        <w:t>evaluation</w:t>
      </w:r>
      <w:bookmarkEnd w:id="67"/>
    </w:p>
    <w:p w14:paraId="4ADAEB25" w14:textId="62E9035A" w:rsidR="005D3B12" w:rsidRPr="000F2D4C" w:rsidRDefault="00A70900" w:rsidP="005D3B12">
      <w:r w:rsidRPr="000F2D4C">
        <w:t>It</w:t>
      </w:r>
      <w:r w:rsidR="005D3B12" w:rsidRPr="000F2D4C">
        <w:t xml:space="preserve"> is important that evaluations of mental health and suicide prevention programs engage </w:t>
      </w:r>
      <w:r w:rsidR="00996DC8" w:rsidRPr="000F2D4C">
        <w:t>people with lived and/or living experience who access, seek to access</w:t>
      </w:r>
      <w:r w:rsidR="62A6CC0F" w:rsidRPr="000F2D4C">
        <w:t>,</w:t>
      </w:r>
      <w:r w:rsidR="00996DC8" w:rsidRPr="000F2D4C">
        <w:t xml:space="preserve"> or may have tried to access services</w:t>
      </w:r>
      <w:r w:rsidR="007459CD" w:rsidRPr="000F2D4C">
        <w:t xml:space="preserve"> (referred to throughout this section as service users)</w:t>
      </w:r>
      <w:r w:rsidR="31EA36D7" w:rsidRPr="000F2D4C">
        <w:t>,</w:t>
      </w:r>
      <w:r w:rsidR="005D3B12" w:rsidRPr="000F2D4C">
        <w:t xml:space="preserve"> as they can give valuable insights about their experience, including which aspects of a program contribute to, or hinder, its effectiveness.</w:t>
      </w:r>
      <w:r w:rsidR="005D3B12" w:rsidRPr="000F2D4C">
        <w:rPr>
          <w:rStyle w:val="FootnoteReference"/>
        </w:rPr>
        <w:footnoteReference w:id="39"/>
      </w:r>
      <w:r w:rsidR="00711B43" w:rsidRPr="000F2D4C">
        <w:t xml:space="preserve"> </w:t>
      </w:r>
    </w:p>
    <w:p w14:paraId="1D6CD47D" w14:textId="77777777" w:rsidR="00825BA2" w:rsidRPr="000F2D4C" w:rsidRDefault="00A70900" w:rsidP="00A70900">
      <w:r w:rsidRPr="000F2D4C">
        <w:t>Standard outcomes measures and administrative data alone are likely to be insufficient to capture the full value of a program to the people accessing it. Qualitative data can help to understand what matters to people accessing the program and its value to them, as well as help interpret the administrative data.</w:t>
      </w:r>
      <w:r w:rsidR="00E75ED9" w:rsidRPr="000F2D4C">
        <w:t xml:space="preserve"> </w:t>
      </w:r>
    </w:p>
    <w:p w14:paraId="7167D17D" w14:textId="46B91A9B" w:rsidR="00A70900" w:rsidRPr="000F2D4C" w:rsidRDefault="00E75ED9" w:rsidP="00A70900">
      <w:r w:rsidRPr="000F2D4C">
        <w:t xml:space="preserve">It </w:t>
      </w:r>
      <w:r w:rsidR="002545A4" w:rsidRPr="000F2D4C">
        <w:t>can also</w:t>
      </w:r>
      <w:r w:rsidR="003566CE" w:rsidRPr="000F2D4C">
        <w:t xml:space="preserve"> help to understand </w:t>
      </w:r>
      <w:r w:rsidR="2BFE2D46" w:rsidRPr="000F2D4C">
        <w:t>the</w:t>
      </w:r>
      <w:r w:rsidR="003566CE" w:rsidRPr="000F2D4C">
        <w:t xml:space="preserve"> experiences of people who had trouble accessing the </w:t>
      </w:r>
      <w:r w:rsidR="00FC4D7F" w:rsidRPr="000F2D4C">
        <w:t>program or service, and who did not feel safe to do so</w:t>
      </w:r>
      <w:r w:rsidR="00825BA2" w:rsidRPr="000F2D4C">
        <w:t xml:space="preserve"> although it can be difficult to reach these groups in evaluation</w:t>
      </w:r>
      <w:r w:rsidR="00FC4D7F" w:rsidRPr="000F2D4C">
        <w:t>.</w:t>
      </w:r>
    </w:p>
    <w:p w14:paraId="5EF829C8" w14:textId="66C6A601" w:rsidR="00A70900" w:rsidRPr="000F2D4C" w:rsidRDefault="00A70900" w:rsidP="00A70900">
      <w:pPr>
        <w:pStyle w:val="Heading4"/>
      </w:pPr>
      <w:r w:rsidRPr="000F2D4C">
        <w:t>Trauma</w:t>
      </w:r>
      <w:r w:rsidR="00AD2750" w:rsidRPr="000F2D4C">
        <w:t>-</w:t>
      </w:r>
      <w:r w:rsidRPr="000F2D4C">
        <w:t>informed approach</w:t>
      </w:r>
    </w:p>
    <w:p w14:paraId="4B7BD9DC" w14:textId="37141658" w:rsidR="005D3B12" w:rsidRPr="000F2D4C" w:rsidRDefault="005D3B12" w:rsidP="005D3B12">
      <w:r w:rsidRPr="000F2D4C">
        <w:t xml:space="preserve">Taking a </w:t>
      </w:r>
      <w:r w:rsidRPr="000F2D4C">
        <w:rPr>
          <w:b/>
          <w:bCs/>
        </w:rPr>
        <w:t>trauma-informed approach</w:t>
      </w:r>
      <w:r w:rsidRPr="000F2D4C">
        <w:t xml:space="preserve"> to engaging </w:t>
      </w:r>
      <w:r w:rsidR="00512EA0" w:rsidRPr="000F2D4C">
        <w:t>people with lived and/or living experience</w:t>
      </w:r>
      <w:r w:rsidRPr="000F2D4C">
        <w:t xml:space="preserve"> in evaluation is essential to helping them feel comfortable and safe to contribute and </w:t>
      </w:r>
      <w:r w:rsidR="00AD2750" w:rsidRPr="000F2D4C">
        <w:t xml:space="preserve">to minimise the risk of </w:t>
      </w:r>
      <w:r w:rsidRPr="000F2D4C">
        <w:t>their contribution result</w:t>
      </w:r>
      <w:r w:rsidR="00AD2750" w:rsidRPr="000F2D4C">
        <w:t>ing</w:t>
      </w:r>
      <w:r w:rsidRPr="000F2D4C">
        <w:t xml:space="preserve"> in traumatisation. A trauma-informed approach involves:  </w:t>
      </w:r>
    </w:p>
    <w:p w14:paraId="6961AA94" w14:textId="5D30F599" w:rsidR="005D3B12" w:rsidRPr="000F2D4C" w:rsidRDefault="005D3B12" w:rsidP="005D3B12">
      <w:pPr>
        <w:pStyle w:val="ListBullet"/>
      </w:pPr>
      <w:r w:rsidRPr="000F2D4C">
        <w:t>prioritising safety – seeking to avoid re-traumatisation</w:t>
      </w:r>
      <w:r w:rsidR="00EF5344" w:rsidRPr="000F2D4C">
        <w:t xml:space="preserve"> by not requiring someone to repeat events and stories</w:t>
      </w:r>
      <w:r w:rsidRPr="000F2D4C">
        <w:t>, emphasising physical, psychological, and emotional safety</w:t>
      </w:r>
    </w:p>
    <w:p w14:paraId="62D9F1EA" w14:textId="647F690E" w:rsidR="005D3B12" w:rsidRPr="000F2D4C" w:rsidRDefault="005D3B12" w:rsidP="005D3B12">
      <w:pPr>
        <w:pStyle w:val="ListBullet"/>
      </w:pPr>
      <w:r w:rsidRPr="000F2D4C">
        <w:t>understanding the neurological, cognitive, spiritual, biological, psychological, behavioural</w:t>
      </w:r>
      <w:r w:rsidR="29D515C4" w:rsidRPr="000F2D4C">
        <w:t>,</w:t>
      </w:r>
      <w:r w:rsidRPr="000F2D4C">
        <w:t xml:space="preserve"> and social </w:t>
      </w:r>
      <w:r w:rsidR="00574B21" w:rsidRPr="000F2D4C">
        <w:t xml:space="preserve">impacts </w:t>
      </w:r>
      <w:r w:rsidRPr="000F2D4C">
        <w:t>of trauma and violence</w:t>
      </w:r>
      <w:r w:rsidR="00574B21" w:rsidRPr="000F2D4C">
        <w:t>, which at times can be lifelong</w:t>
      </w:r>
    </w:p>
    <w:p w14:paraId="5E228B67" w14:textId="77777777" w:rsidR="005D3B12" w:rsidRPr="000F2D4C" w:rsidRDefault="005D3B12" w:rsidP="005D3B12">
      <w:pPr>
        <w:pStyle w:val="ListBullet"/>
      </w:pPr>
      <w:r w:rsidRPr="000F2D4C">
        <w:t>recognising indicators that a person has experienced trauma</w:t>
      </w:r>
    </w:p>
    <w:p w14:paraId="6E4ACFBF" w14:textId="77777777" w:rsidR="005D3B12" w:rsidRPr="000F2D4C" w:rsidRDefault="005D3B12" w:rsidP="005D3B12">
      <w:pPr>
        <w:pStyle w:val="ListBullet"/>
      </w:pPr>
      <w:r w:rsidRPr="000F2D4C">
        <w:t>responding appropriately through sensitive engagement and compassionate response protocols that emphasise choice and control.</w:t>
      </w:r>
    </w:p>
    <w:p w14:paraId="4710D0B7" w14:textId="77777777" w:rsidR="005D3B12" w:rsidRPr="000F2D4C" w:rsidRDefault="005D3B12" w:rsidP="005D3B12">
      <w:pPr>
        <w:pStyle w:val="ListBullet"/>
        <w:numPr>
          <w:ilvl w:val="0"/>
          <w:numId w:val="0"/>
        </w:numPr>
        <w:ind w:left="360"/>
      </w:pPr>
    </w:p>
    <w:p w14:paraId="6B23DFE8" w14:textId="77777777" w:rsidR="005D3B12" w:rsidRPr="000F2D4C" w:rsidRDefault="005D3B12" w:rsidP="00615025">
      <w:pPr>
        <w:pStyle w:val="Boxheading"/>
      </w:pPr>
      <w:r w:rsidRPr="000F2D4C">
        <w:t>Principles of trauma-informed care</w:t>
      </w:r>
      <w:r w:rsidRPr="000F2D4C">
        <w:rPr>
          <w:rStyle w:val="FootnoteReference"/>
        </w:rPr>
        <w:footnoteReference w:id="40"/>
      </w:r>
    </w:p>
    <w:p w14:paraId="5A51C8E8" w14:textId="2F7C9F8D" w:rsidR="005D3B12" w:rsidRPr="000F2D4C" w:rsidRDefault="005D3B12" w:rsidP="005D3B12">
      <w:pPr>
        <w:pStyle w:val="Boxtext0"/>
      </w:pPr>
      <w:r w:rsidRPr="000F2D4C">
        <w:t>Key principles of trauma</w:t>
      </w:r>
      <w:r w:rsidR="6D05A950" w:rsidRPr="000F2D4C">
        <w:t>-</w:t>
      </w:r>
      <w:r w:rsidRPr="000F2D4C">
        <w:t>informed care are safety</w:t>
      </w:r>
      <w:r w:rsidR="005B6411" w:rsidRPr="000F2D4C">
        <w:t>,</w:t>
      </w:r>
      <w:r w:rsidRPr="000F2D4C">
        <w:t xml:space="preserve"> trustworthiness</w:t>
      </w:r>
      <w:r w:rsidR="005B6411" w:rsidRPr="000F2D4C">
        <w:t>,</w:t>
      </w:r>
      <w:r w:rsidRPr="000F2D4C">
        <w:t xml:space="preserve"> choice</w:t>
      </w:r>
      <w:r w:rsidR="005B6411" w:rsidRPr="000F2D4C">
        <w:t>,</w:t>
      </w:r>
      <w:r w:rsidRPr="000F2D4C">
        <w:t xml:space="preserve"> collaboration</w:t>
      </w:r>
      <w:r w:rsidR="005B6411" w:rsidRPr="000F2D4C">
        <w:t>, and</w:t>
      </w:r>
      <w:r w:rsidRPr="000F2D4C">
        <w:t xml:space="preserve"> empowerment.</w:t>
      </w:r>
    </w:p>
    <w:p w14:paraId="0E954F6A" w14:textId="6ABFF909" w:rsidR="005D3B12" w:rsidRPr="000F2D4C" w:rsidRDefault="005D3B12" w:rsidP="005D3B12">
      <w:pPr>
        <w:pStyle w:val="Boxtext0"/>
      </w:pPr>
      <w:r w:rsidRPr="000F2D4C">
        <w:lastRenderedPageBreak/>
        <w:t>This means that evaluators</w:t>
      </w:r>
      <w:r w:rsidR="006B49BF" w:rsidRPr="000F2D4C">
        <w:t xml:space="preserve"> </w:t>
      </w:r>
      <w:r w:rsidRPr="000F2D4C">
        <w:t>need to:</w:t>
      </w:r>
    </w:p>
    <w:p w14:paraId="111454E6" w14:textId="6C521F0C" w:rsidR="005D3B12" w:rsidRPr="000F2D4C" w:rsidRDefault="005D3B12" w:rsidP="005D3B12">
      <w:pPr>
        <w:pStyle w:val="Boxbullets"/>
      </w:pPr>
      <w:r w:rsidRPr="000F2D4C">
        <w:t>recognise the impact of power, and aim to maximise autonomy, choice</w:t>
      </w:r>
      <w:r w:rsidR="3210CC13" w:rsidRPr="000F2D4C">
        <w:t>,</w:t>
      </w:r>
      <w:r w:rsidRPr="000F2D4C">
        <w:t xml:space="preserve"> and safety</w:t>
      </w:r>
    </w:p>
    <w:p w14:paraId="5409C8A8" w14:textId="77777777" w:rsidR="005D3B12" w:rsidRPr="000F2D4C" w:rsidRDefault="005D3B12" w:rsidP="005D3B12">
      <w:pPr>
        <w:pStyle w:val="Boxbullets"/>
      </w:pPr>
      <w:r w:rsidRPr="000F2D4C">
        <w:t>recognise that response to trauma varies widely between individuals</w:t>
      </w:r>
    </w:p>
    <w:p w14:paraId="1663AB5A" w14:textId="77777777" w:rsidR="005D3B12" w:rsidRPr="000F2D4C" w:rsidRDefault="005D3B12" w:rsidP="005D3B12">
      <w:pPr>
        <w:pStyle w:val="Boxbullets"/>
      </w:pPr>
      <w:r w:rsidRPr="000F2D4C">
        <w:t>understand that the behaviours of people affected by trauma can represent adaptive responses to past traumatic experiences</w:t>
      </w:r>
    </w:p>
    <w:p w14:paraId="08B158C4" w14:textId="77777777" w:rsidR="005D3B12" w:rsidRPr="000F2D4C" w:rsidRDefault="005D3B12" w:rsidP="005D3B12">
      <w:pPr>
        <w:pStyle w:val="Boxbullets"/>
      </w:pPr>
      <w:r w:rsidRPr="000F2D4C">
        <w:t>understand how trauma can impact people’s relationships with others, including with services</w:t>
      </w:r>
    </w:p>
    <w:p w14:paraId="16A70C1B" w14:textId="77777777" w:rsidR="005D3B12" w:rsidRPr="000F2D4C" w:rsidRDefault="005D3B12" w:rsidP="005D3B12">
      <w:pPr>
        <w:pStyle w:val="Boxbullets"/>
      </w:pPr>
      <w:r w:rsidRPr="000F2D4C">
        <w:t>understand that the impacts of trauma can be cumulative across the lifespan of the individual</w:t>
      </w:r>
    </w:p>
    <w:p w14:paraId="2188246E" w14:textId="0BB84A8A" w:rsidR="005D3B12" w:rsidRPr="000F2D4C" w:rsidRDefault="005D3B12" w:rsidP="005D3B12">
      <w:pPr>
        <w:pStyle w:val="Boxbullets"/>
      </w:pPr>
      <w:r w:rsidRPr="000F2D4C">
        <w:t>understand the specific ways that trauma acts on/ impacts children – their social, emotional</w:t>
      </w:r>
      <w:r w:rsidR="703B2471" w:rsidRPr="000F2D4C">
        <w:t>,</w:t>
      </w:r>
      <w:r w:rsidRPr="000F2D4C">
        <w:t xml:space="preserve"> and cognitive development, and attachment </w:t>
      </w:r>
    </w:p>
    <w:p w14:paraId="563E75E4" w14:textId="77777777" w:rsidR="005146DC" w:rsidRPr="000F2D4C" w:rsidRDefault="005D3B12" w:rsidP="00191415">
      <w:pPr>
        <w:pStyle w:val="Boxbullets"/>
      </w:pPr>
      <w:r w:rsidRPr="000F2D4C">
        <w:t>identify the importance of self-care for professionals and recognise the risks of vicarious trauma to workers and staff</w:t>
      </w:r>
    </w:p>
    <w:p w14:paraId="13C146EB" w14:textId="3E92171E" w:rsidR="005146DC" w:rsidRPr="000F2D4C" w:rsidRDefault="005146DC" w:rsidP="005146DC">
      <w:pPr>
        <w:pStyle w:val="Boxbullets"/>
      </w:pPr>
      <w:r w:rsidRPr="000F2D4C">
        <w:t>remain collaborative, consistent, truthful</w:t>
      </w:r>
      <w:r w:rsidR="7E6B7A33" w:rsidRPr="000F2D4C">
        <w:t>,</w:t>
      </w:r>
      <w:r w:rsidRPr="000F2D4C">
        <w:t xml:space="preserve"> and compassionate</w:t>
      </w:r>
    </w:p>
    <w:p w14:paraId="7EEA4169" w14:textId="7A84673D" w:rsidR="005D3B12" w:rsidRPr="000F2D4C" w:rsidRDefault="005146DC" w:rsidP="005D3B12">
      <w:pPr>
        <w:pStyle w:val="Boxbullets"/>
        <w:spacing w:after="240"/>
      </w:pPr>
      <w:r w:rsidRPr="000F2D4C">
        <w:t>consider the physical and emotional safety of the person</w:t>
      </w:r>
      <w:r w:rsidR="005D3B12" w:rsidRPr="000F2D4C">
        <w:t>.</w:t>
      </w:r>
      <w:r w:rsidR="00D16154">
        <w:br/>
      </w:r>
    </w:p>
    <w:p w14:paraId="7BDC54D9" w14:textId="189AB0CE" w:rsidR="005D3B12" w:rsidRPr="000F2D4C" w:rsidRDefault="005D3B12" w:rsidP="005D3B12">
      <w:r w:rsidRPr="000F2D4C">
        <w:t xml:space="preserve">In practice, taking a trauma-informed approach applies to both design and data collection, and requires measures to be put in place to protect the wellbeing of both </w:t>
      </w:r>
      <w:r w:rsidR="00996DC8" w:rsidRPr="000F2D4C">
        <w:t>people with lived and/or living experience</w:t>
      </w:r>
      <w:r w:rsidRPr="000F2D4C">
        <w:t xml:space="preserve"> and staff. A trauma-informed approach will help to ensure processes are safe and accessible to people from priority populations.</w:t>
      </w:r>
    </w:p>
    <w:p w14:paraId="5F6DDF8C" w14:textId="0AB1292D" w:rsidR="00A70900" w:rsidRPr="000F2D4C" w:rsidRDefault="00CD00A4" w:rsidP="005D3B12">
      <w:pPr>
        <w:pStyle w:val="Heading4"/>
      </w:pPr>
      <w:r w:rsidRPr="000F2D4C">
        <w:t>S</w:t>
      </w:r>
      <w:r w:rsidR="00A70900" w:rsidRPr="000F2D4C">
        <w:t>electing appropriate methods</w:t>
      </w:r>
    </w:p>
    <w:p w14:paraId="0A73D5BA" w14:textId="7F2BCF59" w:rsidR="00A70900" w:rsidRPr="000F2D4C" w:rsidRDefault="00A70900" w:rsidP="00A70900">
      <w:r w:rsidRPr="000F2D4C">
        <w:t>The types of methods (and modes) for collecting qualitative data will depend on the context, type of information you are seeking, preferences/ needs of participants</w:t>
      </w:r>
      <w:r w:rsidR="5F90EDDD" w:rsidRPr="000F2D4C">
        <w:t>,</w:t>
      </w:r>
      <w:r w:rsidRPr="000F2D4C">
        <w:t xml:space="preserve"> and budget for the evaluation. </w:t>
      </w:r>
    </w:p>
    <w:p w14:paraId="18DAED75" w14:textId="7019FD35" w:rsidR="00A70900" w:rsidRPr="000F2D4C" w:rsidRDefault="00A70900" w:rsidP="00FC2CEE">
      <w:pPr>
        <w:pStyle w:val="ListBullet"/>
        <w:numPr>
          <w:ilvl w:val="0"/>
          <w:numId w:val="34"/>
        </w:numPr>
      </w:pPr>
      <w:r w:rsidRPr="000F2D4C">
        <w:rPr>
          <w:b/>
          <w:bCs/>
        </w:rPr>
        <w:t>Individual interviews</w:t>
      </w:r>
      <w:r w:rsidRPr="000F2D4C">
        <w:t xml:space="preserve"> are appropriate when the subject is sensitive and </w:t>
      </w:r>
      <w:r w:rsidR="000A4D63" w:rsidRPr="000F2D4C">
        <w:t xml:space="preserve">it </w:t>
      </w:r>
      <w:r w:rsidRPr="000F2D4C">
        <w:t xml:space="preserve">may be uncomfortable for people to share in a group setting, you are interested in individual experiences with a service or pathways through a system, and/or you are intending to develop case studies to illustrate particular stories. </w:t>
      </w:r>
    </w:p>
    <w:p w14:paraId="21D44D6A" w14:textId="646F5B06" w:rsidR="00A70900" w:rsidRPr="000F2D4C" w:rsidRDefault="5E6AFF95" w:rsidP="00FC2CEE">
      <w:pPr>
        <w:pStyle w:val="ListBullet"/>
        <w:numPr>
          <w:ilvl w:val="0"/>
          <w:numId w:val="34"/>
        </w:numPr>
      </w:pPr>
      <w:r w:rsidRPr="000F2D4C">
        <w:rPr>
          <w:b/>
          <w:bCs/>
        </w:rPr>
        <w:t>Group interviews</w:t>
      </w:r>
      <w:r w:rsidR="00A70900" w:rsidRPr="000F2D4C">
        <w:t xml:space="preserve"> are appropriate when </w:t>
      </w:r>
      <w:r w:rsidR="591B8170" w:rsidRPr="000F2D4C">
        <w:t xml:space="preserve">the </w:t>
      </w:r>
      <w:r w:rsidR="00A70900" w:rsidRPr="000F2D4C">
        <w:t xml:space="preserve">subject matter is </w:t>
      </w:r>
      <w:r w:rsidR="00AB156C" w:rsidRPr="000F2D4C">
        <w:t xml:space="preserve">less </w:t>
      </w:r>
      <w:r w:rsidR="00A70900" w:rsidRPr="000F2D4C">
        <w:t>sensitive, individual stories are not the main focus, and/or group experiences are of interest (e.g.</w:t>
      </w:r>
      <w:r w:rsidR="501FB6B1" w:rsidRPr="000F2D4C">
        <w:t>,</w:t>
      </w:r>
      <w:r w:rsidR="00A70900" w:rsidRPr="000F2D4C">
        <w:t xml:space="preserve"> peer support groups). </w:t>
      </w:r>
    </w:p>
    <w:p w14:paraId="68AA9FEA" w14:textId="2EA24302" w:rsidR="00A70900" w:rsidRPr="000F2D4C" w:rsidRDefault="00A70900" w:rsidP="00FC2CEE">
      <w:pPr>
        <w:pStyle w:val="ListParagraph"/>
        <w:numPr>
          <w:ilvl w:val="0"/>
          <w:numId w:val="34"/>
        </w:numPr>
      </w:pPr>
      <w:r w:rsidRPr="000F2D4C">
        <w:rPr>
          <w:b/>
          <w:bCs/>
        </w:rPr>
        <w:t xml:space="preserve">Observations </w:t>
      </w:r>
      <w:r w:rsidRPr="000F2D4C">
        <w:t>may be appropriate for group settings (e.g.</w:t>
      </w:r>
      <w:r w:rsidR="30C0337C" w:rsidRPr="000F2D4C">
        <w:t>,</w:t>
      </w:r>
      <w:r w:rsidRPr="000F2D4C">
        <w:t xml:space="preserve"> peer support groups, co-design workshops) to gain insight into session characteristics, environment, presentation content, participant engagement and understanding, group dynamics</w:t>
      </w:r>
      <w:r w:rsidR="776F2FD2" w:rsidRPr="000F2D4C">
        <w:t>,</w:t>
      </w:r>
      <w:r w:rsidRPr="000F2D4C">
        <w:t xml:space="preserve"> and overall observations. However, there might be sensitivities about using this approach.</w:t>
      </w:r>
    </w:p>
    <w:p w14:paraId="74C5CDFD" w14:textId="44B6B931" w:rsidR="00A70900" w:rsidRPr="000F2D4C" w:rsidRDefault="00A70900" w:rsidP="00FC2CEE">
      <w:pPr>
        <w:pStyle w:val="ListParagraph"/>
        <w:numPr>
          <w:ilvl w:val="0"/>
          <w:numId w:val="34"/>
        </w:numPr>
      </w:pPr>
      <w:r w:rsidRPr="000F2D4C">
        <w:rPr>
          <w:b/>
          <w:bCs/>
        </w:rPr>
        <w:t>Open text questions in surveys</w:t>
      </w:r>
      <w:r w:rsidRPr="000F2D4C">
        <w:t xml:space="preserve"> are useful for allowing people to explain their responses to closed questions and describe their experiences and outcomes of a service in their own words. However, questions should be focused on the respondent’s experiences and outcomes from the service to avoid the risk of distress and re-traumatisation.  </w:t>
      </w:r>
    </w:p>
    <w:p w14:paraId="637C5805" w14:textId="45ED98FA" w:rsidR="00A70900" w:rsidRPr="000F2D4C" w:rsidRDefault="00A70900" w:rsidP="00FC2CEE">
      <w:pPr>
        <w:pStyle w:val="ListParagraph"/>
        <w:numPr>
          <w:ilvl w:val="0"/>
          <w:numId w:val="34"/>
        </w:numPr>
      </w:pPr>
      <w:r w:rsidRPr="000F2D4C">
        <w:rPr>
          <w:b/>
          <w:bCs/>
        </w:rPr>
        <w:t xml:space="preserve">Online forums </w:t>
      </w:r>
      <w:r w:rsidRPr="000F2D4C">
        <w:t xml:space="preserve">(i.e. </w:t>
      </w:r>
      <w:r w:rsidRPr="000F2D4C">
        <w:rPr>
          <w:rStyle w:val="normaltextrun"/>
          <w:rFonts w:ascii="Segoe UI" w:hAnsi="Segoe UI" w:cs="Segoe UI"/>
          <w:color w:val="000000"/>
          <w:shd w:val="clear" w:color="auto" w:fill="FFFFFF"/>
        </w:rPr>
        <w:t>a webpage where participants respond to prompts, questions and material, e.g.</w:t>
      </w:r>
      <w:r w:rsidR="3624D0DB" w:rsidRPr="000F2D4C">
        <w:rPr>
          <w:rStyle w:val="normaltextrun"/>
          <w:rFonts w:ascii="Segoe UI" w:hAnsi="Segoe UI" w:cs="Segoe UI"/>
          <w:color w:val="000000"/>
          <w:shd w:val="clear" w:color="auto" w:fill="FFFFFF"/>
        </w:rPr>
        <w:t>,</w:t>
      </w:r>
      <w:r w:rsidRPr="000F2D4C">
        <w:rPr>
          <w:rStyle w:val="normaltextrun"/>
          <w:rFonts w:ascii="Segoe UI" w:hAnsi="Segoe UI" w:cs="Segoe UI"/>
          <w:color w:val="000000"/>
          <w:shd w:val="clear" w:color="auto" w:fill="FFFFFF"/>
        </w:rPr>
        <w:t xml:space="preserve"> ‘things I learned’) allow people to participate at times that suit them without being publicly identified (using a pseudonym linked to a basic set of </w:t>
      </w:r>
      <w:r w:rsidRPr="000F2D4C">
        <w:rPr>
          <w:rStyle w:val="normaltextrun"/>
          <w:rFonts w:ascii="Segoe UI" w:hAnsi="Segoe UI" w:cs="Segoe UI"/>
          <w:color w:val="000000"/>
          <w:shd w:val="clear" w:color="auto" w:fill="FFFFFF"/>
        </w:rPr>
        <w:lastRenderedPageBreak/>
        <w:t>demographic information that they can complete</w:t>
      </w:r>
      <w:r w:rsidR="54E3EC9E" w:rsidRPr="000F2D4C">
        <w:rPr>
          <w:rStyle w:val="normaltextrun"/>
          <w:rFonts w:ascii="Segoe UI" w:hAnsi="Segoe UI" w:cs="Segoe UI"/>
          <w:color w:val="000000" w:themeColor="text2"/>
        </w:rPr>
        <w:t>,</w:t>
      </w:r>
      <w:r w:rsidRPr="000F2D4C">
        <w:rPr>
          <w:rStyle w:val="normaltextrun"/>
          <w:rFonts w:ascii="Segoe UI" w:hAnsi="Segoe UI" w:cs="Segoe UI"/>
          <w:color w:val="000000"/>
          <w:shd w:val="clear" w:color="auto" w:fill="FFFFFF"/>
        </w:rPr>
        <w:t xml:space="preserve"> and contact information that will only be visible to the evaluation team). This means they can provide feedback without the pressure or anxiety that could, for some, be associated with engaging with an unknown stranger.</w:t>
      </w:r>
      <w:r w:rsidRPr="000F2D4C">
        <w:rPr>
          <w:rStyle w:val="eop"/>
          <w:rFonts w:ascii="Segoe UI" w:hAnsi="Segoe UI" w:cs="Segoe UI"/>
          <w:color w:val="000000"/>
          <w:shd w:val="clear" w:color="auto" w:fill="FFFFFF"/>
        </w:rPr>
        <w:t> </w:t>
      </w:r>
      <w:r w:rsidRPr="000F2D4C">
        <w:t xml:space="preserve">   </w:t>
      </w:r>
    </w:p>
    <w:p w14:paraId="3449B46C" w14:textId="77777777" w:rsidR="00A70900" w:rsidRPr="000F2D4C" w:rsidRDefault="00A70900" w:rsidP="00FC2CEE">
      <w:pPr>
        <w:pStyle w:val="ListParagraph"/>
        <w:numPr>
          <w:ilvl w:val="0"/>
          <w:numId w:val="34"/>
        </w:numPr>
      </w:pPr>
      <w:r w:rsidRPr="000F2D4C">
        <w:rPr>
          <w:b/>
          <w:bCs/>
        </w:rPr>
        <w:t>Other asynchronous methods</w:t>
      </w:r>
      <w:r w:rsidRPr="000F2D4C">
        <w:t xml:space="preserve"> (such as audio or video recordings, diaries, written documents) are useful for capturing longitudinal data and provide people with additional options for expressing themselves and their experiences. Asynchronous interviews, such as interviews conducted via text or web chat over several days, also give people time to think about and formulate their responses, which may be preferable or more accessible for some people.</w:t>
      </w:r>
    </w:p>
    <w:p w14:paraId="4EB004D6" w14:textId="77777777" w:rsidR="005D3B12" w:rsidRPr="000F2D4C" w:rsidRDefault="005D3B12" w:rsidP="005D3B12">
      <w:pPr>
        <w:pStyle w:val="Heading4"/>
      </w:pPr>
      <w:r w:rsidRPr="000F2D4C">
        <w:t xml:space="preserve">Service user selection </w:t>
      </w:r>
    </w:p>
    <w:p w14:paraId="51B67742" w14:textId="3B3F7074" w:rsidR="005D3B12" w:rsidRPr="000F2D4C" w:rsidRDefault="005D3B12" w:rsidP="005D3B12">
      <w:r w:rsidRPr="000F2D4C">
        <w:t>Consistent with the </w:t>
      </w:r>
      <w:r w:rsidRPr="000F2D4C">
        <w:rPr>
          <w:i/>
          <w:iCs/>
        </w:rPr>
        <w:t>National Statement on Ethical Conduct in Human Research</w:t>
      </w:r>
      <w:r w:rsidRPr="000F2D4C">
        <w:rPr>
          <w:rStyle w:val="FootnoteReference"/>
          <w:i/>
          <w:iCs/>
        </w:rPr>
        <w:footnoteReference w:id="41"/>
      </w:r>
      <w:r w:rsidRPr="000F2D4C">
        <w:rPr>
          <w:i/>
          <w:iCs/>
        </w:rPr>
        <w:t xml:space="preserve"> </w:t>
      </w:r>
      <w:r w:rsidRPr="000F2D4C">
        <w:t xml:space="preserve">(Section </w:t>
      </w:r>
      <w:r w:rsidR="00420481" w:rsidRPr="000F2D4C">
        <w:t>8</w:t>
      </w:r>
      <w:r w:rsidRPr="000F2D4C">
        <w:t xml:space="preserve">.1 and </w:t>
      </w:r>
      <w:r w:rsidR="00420481" w:rsidRPr="000F2D4C">
        <w:t>8.2</w:t>
      </w:r>
      <w:r w:rsidRPr="000F2D4C">
        <w:t xml:space="preserve">), before inviting service users to participate in the evaluation it is important to develop </w:t>
      </w:r>
      <w:r w:rsidRPr="000F2D4C">
        <w:rPr>
          <w:b/>
          <w:bCs/>
        </w:rPr>
        <w:t>inclusion and exclusion criteria</w:t>
      </w:r>
      <w:r w:rsidRPr="000F2D4C">
        <w:t xml:space="preserve"> designed to minimise any potential risk to participants</w:t>
      </w:r>
      <w:r w:rsidR="0028190C" w:rsidRPr="000F2D4C">
        <w:t xml:space="preserve"> and ensure people with the most relevant </w:t>
      </w:r>
      <w:r w:rsidR="00A053F7" w:rsidRPr="000F2D4C">
        <w:t>experience</w:t>
      </w:r>
      <w:r w:rsidR="0028190C" w:rsidRPr="000F2D4C">
        <w:t xml:space="preserve"> are able to contribute</w:t>
      </w:r>
      <w:r w:rsidRPr="000F2D4C">
        <w:t xml:space="preserve">. Some things evaluators may consider include: </w:t>
      </w:r>
    </w:p>
    <w:p w14:paraId="6009FFEF" w14:textId="091F1779" w:rsidR="005D3B12" w:rsidRPr="000F2D4C" w:rsidRDefault="005D3B12" w:rsidP="005D3B12">
      <w:pPr>
        <w:pStyle w:val="ListBullet"/>
      </w:pPr>
      <w:r w:rsidRPr="000F2D4C">
        <w:t>age of the participant</w:t>
      </w:r>
    </w:p>
    <w:p w14:paraId="7AAC4F4F" w14:textId="77777777" w:rsidR="005D3B12" w:rsidRPr="000F2D4C" w:rsidRDefault="005D3B12" w:rsidP="005D3B12">
      <w:pPr>
        <w:pStyle w:val="ListBullet"/>
      </w:pPr>
      <w:r w:rsidRPr="000F2D4C">
        <w:t>length of time the participant has been accessing the program</w:t>
      </w:r>
    </w:p>
    <w:p w14:paraId="3F6B8196" w14:textId="77777777" w:rsidR="005D3B12" w:rsidRPr="000F2D4C" w:rsidRDefault="005D3B12" w:rsidP="005D3B12">
      <w:pPr>
        <w:pStyle w:val="ListBullet"/>
      </w:pPr>
      <w:r w:rsidRPr="000F2D4C">
        <w:t xml:space="preserve">whether the participant is a current or past service user </w:t>
      </w:r>
    </w:p>
    <w:p w14:paraId="1A5722F3" w14:textId="77777777" w:rsidR="005D3B12" w:rsidRPr="000F2D4C" w:rsidRDefault="005D3B12" w:rsidP="005D3B12">
      <w:pPr>
        <w:pStyle w:val="ListBullet"/>
      </w:pPr>
      <w:r w:rsidRPr="000F2D4C">
        <w:t>whether the participant has made an informed decision about their readiness to participate in the evaluation</w:t>
      </w:r>
    </w:p>
    <w:p w14:paraId="1BE47462" w14:textId="2DBC400F" w:rsidR="005D3B12" w:rsidRPr="000F2D4C" w:rsidRDefault="005D3B12" w:rsidP="005D3B12">
      <w:pPr>
        <w:pStyle w:val="ListBullet"/>
      </w:pPr>
      <w:r w:rsidRPr="000F2D4C">
        <w:t>if there is increased concern about risk</w:t>
      </w:r>
      <w:r w:rsidR="00A053F7" w:rsidRPr="000F2D4C">
        <w:t>.</w:t>
      </w:r>
      <w:r w:rsidRPr="000F2D4C">
        <w:t xml:space="preserve"> </w:t>
      </w:r>
    </w:p>
    <w:p w14:paraId="7992072F" w14:textId="77777777" w:rsidR="00775915" w:rsidRPr="000F2D4C" w:rsidRDefault="00775915" w:rsidP="00775915">
      <w:pPr>
        <w:pStyle w:val="ListBullet"/>
        <w:numPr>
          <w:ilvl w:val="0"/>
          <w:numId w:val="0"/>
        </w:numPr>
        <w:rPr>
          <w:rFonts w:ascii="Segoe UI" w:hAnsi="Segoe UI"/>
        </w:rPr>
      </w:pPr>
    </w:p>
    <w:p w14:paraId="3174AA0B" w14:textId="2AC3EFE5" w:rsidR="00131BCC" w:rsidRPr="000F2D4C" w:rsidRDefault="00775915" w:rsidP="00775915">
      <w:pPr>
        <w:pStyle w:val="ListBullet"/>
        <w:numPr>
          <w:ilvl w:val="0"/>
          <w:numId w:val="0"/>
        </w:numPr>
        <w:rPr>
          <w:rFonts w:ascii="Segoe UI" w:hAnsi="Segoe UI"/>
        </w:rPr>
      </w:pPr>
      <w:r w:rsidRPr="000F2D4C">
        <w:rPr>
          <w:rFonts w:ascii="Segoe UI" w:hAnsi="Segoe UI"/>
        </w:rPr>
        <w:t>I</w:t>
      </w:r>
      <w:r w:rsidR="005D3B12" w:rsidRPr="000F2D4C">
        <w:rPr>
          <w:rFonts w:ascii="Segoe UI" w:hAnsi="Segoe UI"/>
        </w:rPr>
        <w:t xml:space="preserve">f people are able to consent to health </w:t>
      </w:r>
      <w:r w:rsidR="00682F7E" w:rsidRPr="000F2D4C">
        <w:rPr>
          <w:rFonts w:ascii="Segoe UI" w:hAnsi="Segoe UI"/>
        </w:rPr>
        <w:t>or social care services,</w:t>
      </w:r>
      <w:r w:rsidR="005D3B12" w:rsidRPr="000F2D4C">
        <w:rPr>
          <w:rFonts w:ascii="Segoe UI" w:hAnsi="Segoe UI"/>
        </w:rPr>
        <w:t xml:space="preserve"> this can be considered an indication that they are able to consent to participate in an evaluation. People with mental health conditions and experiencing suicidal thoughts and behaviours are still generally able to participate in an informed consent process and have the right to make their own decisions about their readiness and willingness to participate</w:t>
      </w:r>
      <w:r w:rsidR="0030057C" w:rsidRPr="000F2D4C">
        <w:rPr>
          <w:rFonts w:ascii="Segoe UI" w:hAnsi="Segoe UI"/>
        </w:rPr>
        <w:t xml:space="preserve"> in </w:t>
      </w:r>
      <w:r w:rsidR="00D73F7D" w:rsidRPr="000F2D4C">
        <w:rPr>
          <w:rFonts w:ascii="Segoe UI" w:hAnsi="Segoe UI"/>
        </w:rPr>
        <w:t xml:space="preserve">an </w:t>
      </w:r>
      <w:r w:rsidR="0030057C" w:rsidRPr="000F2D4C">
        <w:rPr>
          <w:rFonts w:ascii="Segoe UI" w:hAnsi="Segoe UI"/>
        </w:rPr>
        <w:t>evalu</w:t>
      </w:r>
      <w:r w:rsidR="00D73F7D" w:rsidRPr="000F2D4C">
        <w:rPr>
          <w:rFonts w:ascii="Segoe UI" w:hAnsi="Segoe UI"/>
        </w:rPr>
        <w:t>a</w:t>
      </w:r>
      <w:r w:rsidR="0030057C" w:rsidRPr="000F2D4C">
        <w:rPr>
          <w:rFonts w:ascii="Segoe UI" w:hAnsi="Segoe UI"/>
        </w:rPr>
        <w:t>ti</w:t>
      </w:r>
      <w:r w:rsidR="00D73F7D" w:rsidRPr="000F2D4C">
        <w:rPr>
          <w:rFonts w:ascii="Segoe UI" w:hAnsi="Segoe UI"/>
        </w:rPr>
        <w:t>on</w:t>
      </w:r>
      <w:r w:rsidR="005D3B12" w:rsidRPr="000F2D4C">
        <w:rPr>
          <w:rFonts w:ascii="Segoe UI" w:hAnsi="Segoe UI"/>
        </w:rPr>
        <w:t xml:space="preserve">. </w:t>
      </w:r>
      <w:r w:rsidR="00164E4C" w:rsidRPr="000F2D4C">
        <w:rPr>
          <w:rFonts w:ascii="Segoe UI" w:hAnsi="Segoe UI"/>
        </w:rPr>
        <w:t xml:space="preserve">This is not for service staff to decide for them. </w:t>
      </w:r>
    </w:p>
    <w:p w14:paraId="2F58A0EA" w14:textId="45929035" w:rsidR="00022924" w:rsidRPr="000F2D4C" w:rsidRDefault="00022924" w:rsidP="00775915">
      <w:pPr>
        <w:pStyle w:val="ListBullet"/>
        <w:numPr>
          <w:ilvl w:val="0"/>
          <w:numId w:val="0"/>
        </w:numPr>
        <w:rPr>
          <w:rFonts w:ascii="Segoe UI" w:hAnsi="Segoe UI"/>
        </w:rPr>
      </w:pPr>
    </w:p>
    <w:p w14:paraId="313DF99F" w14:textId="3D45D19E" w:rsidR="00022924" w:rsidRPr="000F2D4C" w:rsidRDefault="00022924" w:rsidP="00775915">
      <w:pPr>
        <w:pStyle w:val="ListBullet"/>
        <w:numPr>
          <w:ilvl w:val="0"/>
          <w:numId w:val="0"/>
        </w:numPr>
        <w:rPr>
          <w:rStyle w:val="CommentReference"/>
        </w:rPr>
      </w:pPr>
      <w:r w:rsidRPr="000F2D4C">
        <w:rPr>
          <w:rFonts w:ascii="Segoe UI" w:hAnsi="Segoe UI"/>
        </w:rPr>
        <w:t>In the case of children and young people,</w:t>
      </w:r>
      <w:r w:rsidRPr="000F2D4C">
        <w:t xml:space="preserve"> the</w:t>
      </w:r>
      <w:r w:rsidR="00A053F7" w:rsidRPr="000F2D4C">
        <w:t>re is a need to consider</w:t>
      </w:r>
      <w:r w:rsidRPr="000F2D4C">
        <w:t xml:space="preserve"> consent of a parent, carer or guardian </w:t>
      </w:r>
      <w:r w:rsidR="00A053F7" w:rsidRPr="000F2D4C">
        <w:t>in addition to the assent of the child.</w:t>
      </w:r>
    </w:p>
    <w:p w14:paraId="1F653964" w14:textId="77777777" w:rsidR="00131BCC" w:rsidRPr="000F2D4C" w:rsidRDefault="00131BCC" w:rsidP="00775915">
      <w:pPr>
        <w:pStyle w:val="ListBullet"/>
        <w:numPr>
          <w:ilvl w:val="0"/>
          <w:numId w:val="0"/>
        </w:numPr>
        <w:rPr>
          <w:rStyle w:val="CommentReference"/>
        </w:rPr>
      </w:pPr>
    </w:p>
    <w:p w14:paraId="26519E9B" w14:textId="54A8AC19" w:rsidR="005D3B12" w:rsidRPr="000F2D4C" w:rsidRDefault="00AC6671" w:rsidP="00775915">
      <w:pPr>
        <w:pStyle w:val="ListBullet"/>
        <w:numPr>
          <w:ilvl w:val="0"/>
          <w:numId w:val="0"/>
        </w:numPr>
        <w:rPr>
          <w:rFonts w:ascii="Segoe UI" w:hAnsi="Segoe UI"/>
        </w:rPr>
      </w:pPr>
      <w:r w:rsidRPr="000F2D4C">
        <w:rPr>
          <w:rStyle w:val="CommentReference"/>
        </w:rPr>
        <w:t>I</w:t>
      </w:r>
      <w:r w:rsidR="00D0167C" w:rsidRPr="000F2D4C">
        <w:rPr>
          <w:rFonts w:ascii="Segoe UI" w:hAnsi="Segoe UI"/>
        </w:rPr>
        <w:t xml:space="preserve">f, during their participation, </w:t>
      </w:r>
      <w:r w:rsidRPr="000F2D4C">
        <w:rPr>
          <w:rFonts w:ascii="Segoe UI" w:hAnsi="Segoe UI"/>
        </w:rPr>
        <w:t>a service user becomes</w:t>
      </w:r>
      <w:r w:rsidR="00D0167C" w:rsidRPr="000F2D4C">
        <w:rPr>
          <w:rFonts w:ascii="Segoe UI" w:hAnsi="Segoe UI"/>
        </w:rPr>
        <w:t xml:space="preserve"> distresse</w:t>
      </w:r>
      <w:r w:rsidR="008E5510" w:rsidRPr="000F2D4C">
        <w:rPr>
          <w:rFonts w:ascii="Segoe UI" w:hAnsi="Segoe UI"/>
        </w:rPr>
        <w:t>d</w:t>
      </w:r>
      <w:r w:rsidR="0056476D" w:rsidRPr="000F2D4C">
        <w:rPr>
          <w:rFonts w:ascii="Segoe UI" w:hAnsi="Segoe UI"/>
        </w:rPr>
        <w:t xml:space="preserve"> (e.g.</w:t>
      </w:r>
      <w:r w:rsidR="5D283C35" w:rsidRPr="000F2D4C">
        <w:rPr>
          <w:rFonts w:ascii="Segoe UI" w:hAnsi="Segoe UI"/>
        </w:rPr>
        <w:t>,</w:t>
      </w:r>
      <w:r w:rsidR="0056476D" w:rsidRPr="000F2D4C">
        <w:rPr>
          <w:rFonts w:ascii="Segoe UI" w:hAnsi="Segoe UI"/>
        </w:rPr>
        <w:t xml:space="preserve"> </w:t>
      </w:r>
      <w:r w:rsidR="00F21157" w:rsidRPr="000F2D4C">
        <w:rPr>
          <w:rFonts w:ascii="Segoe UI" w:hAnsi="Segoe UI"/>
        </w:rPr>
        <w:t xml:space="preserve">because </w:t>
      </w:r>
      <w:r w:rsidR="0056476D" w:rsidRPr="000F2D4C">
        <w:rPr>
          <w:rFonts w:ascii="Segoe UI" w:hAnsi="Segoe UI"/>
        </w:rPr>
        <w:t xml:space="preserve">sharing their experience brings up unexpected </w:t>
      </w:r>
      <w:r w:rsidR="00F21157" w:rsidRPr="000F2D4C">
        <w:rPr>
          <w:rFonts w:ascii="Segoe UI" w:hAnsi="Segoe UI"/>
        </w:rPr>
        <w:t>emotions, the</w:t>
      </w:r>
      <w:r w:rsidR="00131BCC" w:rsidRPr="000F2D4C">
        <w:rPr>
          <w:rFonts w:ascii="Segoe UI" w:hAnsi="Segoe UI"/>
        </w:rPr>
        <w:t>re are other things in their life they are dealing with</w:t>
      </w:r>
      <w:r w:rsidR="00AE76AD" w:rsidRPr="000F2D4C">
        <w:rPr>
          <w:rFonts w:ascii="Segoe UI" w:hAnsi="Segoe UI"/>
        </w:rPr>
        <w:t xml:space="preserve"> </w:t>
      </w:r>
      <w:r w:rsidR="00D63FE9" w:rsidRPr="000F2D4C">
        <w:rPr>
          <w:rFonts w:ascii="Segoe UI" w:hAnsi="Segoe UI"/>
        </w:rPr>
        <w:t>on that day, they real</w:t>
      </w:r>
      <w:r w:rsidR="00233C76" w:rsidRPr="000F2D4C">
        <w:rPr>
          <w:rFonts w:ascii="Segoe UI" w:hAnsi="Segoe UI"/>
        </w:rPr>
        <w:t>ise they misunderstood the focus of the evaluation, etc.)</w:t>
      </w:r>
      <w:r w:rsidR="009D5187" w:rsidRPr="000F2D4C">
        <w:rPr>
          <w:rFonts w:ascii="Segoe UI" w:hAnsi="Segoe UI"/>
        </w:rPr>
        <w:t xml:space="preserve">, </w:t>
      </w:r>
      <w:r w:rsidR="00D0167C" w:rsidRPr="000F2D4C">
        <w:rPr>
          <w:rFonts w:ascii="Segoe UI" w:hAnsi="Segoe UI"/>
        </w:rPr>
        <w:t xml:space="preserve">the evaluation team should </w:t>
      </w:r>
      <w:r w:rsidR="009D5187" w:rsidRPr="000F2D4C">
        <w:rPr>
          <w:rFonts w:ascii="Segoe UI" w:hAnsi="Segoe UI"/>
        </w:rPr>
        <w:t xml:space="preserve">be experienced at recognising these signs and </w:t>
      </w:r>
      <w:r w:rsidR="0056476D" w:rsidRPr="000F2D4C">
        <w:rPr>
          <w:rFonts w:ascii="Segoe UI" w:hAnsi="Segoe UI"/>
        </w:rPr>
        <w:t>have appropriate response protocols in place to manage this (see ‘Data collection’ section below).</w:t>
      </w:r>
      <w:r w:rsidR="003D4160" w:rsidRPr="000F2D4C">
        <w:rPr>
          <w:rFonts w:ascii="Segoe UI" w:hAnsi="Segoe UI"/>
        </w:rPr>
        <w:t xml:space="preserve">  </w:t>
      </w:r>
    </w:p>
    <w:p w14:paraId="278FDB7E" w14:textId="68B75F51" w:rsidR="00E94FBF" w:rsidRPr="000F2D4C" w:rsidRDefault="00E94FBF" w:rsidP="00E94FBF">
      <w:pPr>
        <w:pStyle w:val="Heading4"/>
      </w:pPr>
      <w:r w:rsidRPr="000F2D4C">
        <w:lastRenderedPageBreak/>
        <w:t>Gathering participant information and informed consent</w:t>
      </w:r>
    </w:p>
    <w:p w14:paraId="359C191D" w14:textId="528644E7" w:rsidR="00BA60D0" w:rsidRPr="000F2D4C" w:rsidRDefault="00E94FBF" w:rsidP="00E94FBF">
      <w:r w:rsidRPr="000F2D4C">
        <w:t xml:space="preserve">Evaluators should develop an </w:t>
      </w:r>
      <w:r w:rsidRPr="000F2D4C">
        <w:rPr>
          <w:b/>
          <w:bCs/>
        </w:rPr>
        <w:t>information sheet and consent form</w:t>
      </w:r>
      <w:r w:rsidRPr="000F2D4C">
        <w:t xml:space="preserve"> that </w:t>
      </w:r>
      <w:r w:rsidR="002F602B" w:rsidRPr="000F2D4C">
        <w:t xml:space="preserve">uses simple language to </w:t>
      </w:r>
      <w:r w:rsidRPr="000F2D4C">
        <w:t>clearly outline the purpose of the evaluation, why the person has been invited to participate</w:t>
      </w:r>
      <w:r w:rsidR="717C1D85" w:rsidRPr="000F2D4C">
        <w:t>,</w:t>
      </w:r>
      <w:r w:rsidRPr="000F2D4C">
        <w:t xml:space="preserve"> and what participation will involve – including, the </w:t>
      </w:r>
      <w:r w:rsidRPr="000F2D4C">
        <w:rPr>
          <w:b/>
          <w:bCs/>
        </w:rPr>
        <w:t>benefits and potential risks</w:t>
      </w:r>
      <w:r w:rsidRPr="000F2D4C">
        <w:t xml:space="preserve"> to the participant of being involved, </w:t>
      </w:r>
      <w:r w:rsidRPr="000F2D4C">
        <w:rPr>
          <w:b/>
          <w:bCs/>
        </w:rPr>
        <w:t>how their data will be used and stored</w:t>
      </w:r>
      <w:r w:rsidR="25F9991E" w:rsidRPr="000F2D4C">
        <w:t>,</w:t>
      </w:r>
      <w:r w:rsidRPr="000F2D4C">
        <w:t xml:space="preserve"> and who to contact if they have questions. This will allow service users to make their own </w:t>
      </w:r>
      <w:r w:rsidRPr="000F2D4C">
        <w:rPr>
          <w:b/>
          <w:bCs/>
        </w:rPr>
        <w:t>informed decision</w:t>
      </w:r>
      <w:r w:rsidRPr="000F2D4C">
        <w:t xml:space="preserve"> about whether to participate. </w:t>
      </w:r>
    </w:p>
    <w:p w14:paraId="52F892C3" w14:textId="4994EE96" w:rsidR="00E94FBF" w:rsidRPr="000F2D4C" w:rsidRDefault="00BA60D0" w:rsidP="00E94FBF">
      <w:r w:rsidRPr="000F2D4C">
        <w:t xml:space="preserve">In designing the consent process, evaluators should consider their audience and </w:t>
      </w:r>
      <w:r w:rsidR="00286DCA" w:rsidRPr="000F2D4C">
        <w:t xml:space="preserve">produce information and consent processes tailored to them – for example, </w:t>
      </w:r>
      <w:r w:rsidR="00C053FB" w:rsidRPr="000F2D4C">
        <w:t>a video explaining the evaluation</w:t>
      </w:r>
      <w:r w:rsidR="68F833C8" w:rsidRPr="000F2D4C">
        <w:t>,</w:t>
      </w:r>
      <w:r w:rsidR="00C053FB" w:rsidRPr="000F2D4C">
        <w:t xml:space="preserve"> or information sheets in </w:t>
      </w:r>
      <w:r w:rsidR="00344825" w:rsidRPr="000F2D4C">
        <w:t>different languages.</w:t>
      </w:r>
      <w:r w:rsidR="00256E99" w:rsidRPr="000F2D4C">
        <w:t xml:space="preserve"> </w:t>
      </w:r>
      <w:r w:rsidR="00E94FBF" w:rsidRPr="000F2D4C">
        <w:t>When obtaining consent, it will also be necessary to collect other relevant information for the data collection, including:</w:t>
      </w:r>
    </w:p>
    <w:p w14:paraId="25231B7B" w14:textId="68B75F51" w:rsidR="00E94FBF" w:rsidRPr="000F2D4C" w:rsidRDefault="00E94FBF" w:rsidP="00E94FBF">
      <w:pPr>
        <w:pStyle w:val="ListBullet"/>
      </w:pPr>
      <w:r w:rsidRPr="000F2D4C">
        <w:t xml:space="preserve">personal information – name, pronouns, contact details, state or territory (if relevant) </w:t>
      </w:r>
    </w:p>
    <w:p w14:paraId="4EE212F4" w14:textId="68B75F51" w:rsidR="00E94FBF" w:rsidRPr="000F2D4C" w:rsidRDefault="00E94FBF" w:rsidP="00E94FBF">
      <w:pPr>
        <w:pStyle w:val="ListBullet"/>
      </w:pPr>
      <w:r w:rsidRPr="000F2D4C">
        <w:t xml:space="preserve">communication preferences </w:t>
      </w:r>
    </w:p>
    <w:p w14:paraId="51FDE93D" w14:textId="4143A6F3" w:rsidR="00E94FBF" w:rsidRPr="000F2D4C" w:rsidRDefault="00E94FBF" w:rsidP="00E94FBF">
      <w:pPr>
        <w:pStyle w:val="ListBullet"/>
      </w:pPr>
      <w:r w:rsidRPr="000F2D4C">
        <w:t>options for participation – e.g.</w:t>
      </w:r>
      <w:r w:rsidR="6A7C8B7A" w:rsidRPr="000F2D4C">
        <w:t>,</w:t>
      </w:r>
      <w:r w:rsidRPr="000F2D4C">
        <w:t xml:space="preserve"> mode for the survey, mode for the interview, preferred characteristics of the interviewer </w:t>
      </w:r>
    </w:p>
    <w:p w14:paraId="14E9B7C2" w14:textId="68B75F51" w:rsidR="00E94FBF" w:rsidRPr="000F2D4C" w:rsidRDefault="00E94FBF" w:rsidP="00E94FBF">
      <w:pPr>
        <w:pStyle w:val="ListBullet"/>
      </w:pPr>
      <w:r w:rsidRPr="000F2D4C">
        <w:t>accessibility requirements</w:t>
      </w:r>
    </w:p>
    <w:p w14:paraId="653B44D9" w14:textId="68B75F51" w:rsidR="00E94FBF" w:rsidRPr="000F2D4C" w:rsidRDefault="00E94FBF" w:rsidP="00E94FBF">
      <w:pPr>
        <w:pStyle w:val="ListBullet"/>
      </w:pPr>
      <w:r w:rsidRPr="000F2D4C">
        <w:t>preferred days and times for the interview</w:t>
      </w:r>
    </w:p>
    <w:p w14:paraId="2DCD1B97" w14:textId="68B75F51" w:rsidR="00E94FBF" w:rsidRPr="000F2D4C" w:rsidRDefault="00E94FBF" w:rsidP="00E94FBF">
      <w:pPr>
        <w:pStyle w:val="ListBullet"/>
        <w:spacing w:after="240"/>
      </w:pPr>
      <w:r w:rsidRPr="000F2D4C">
        <w:t>anything else they would like the evaluation team to know.</w:t>
      </w:r>
    </w:p>
    <w:p w14:paraId="30A832C5" w14:textId="4C7E2E95" w:rsidR="00E94FBF" w:rsidRPr="000F2D4C" w:rsidRDefault="00E94FBF" w:rsidP="00E94FBF">
      <w:pPr>
        <w:pStyle w:val="ListBullet"/>
        <w:numPr>
          <w:ilvl w:val="0"/>
          <w:numId w:val="0"/>
        </w:numPr>
      </w:pPr>
      <w:r w:rsidRPr="000F2D4C">
        <w:t xml:space="preserve">If this information is collected online, the evaluation team could consider </w:t>
      </w:r>
      <w:r w:rsidRPr="000F2D4C">
        <w:rPr>
          <w:b/>
          <w:bCs/>
        </w:rPr>
        <w:t xml:space="preserve">calling </w:t>
      </w:r>
      <w:r w:rsidR="00D90B3E" w:rsidRPr="000F2D4C">
        <w:rPr>
          <w:b/>
          <w:bCs/>
        </w:rPr>
        <w:t xml:space="preserve">or emailing </w:t>
      </w:r>
      <w:r w:rsidRPr="000F2D4C">
        <w:rPr>
          <w:b/>
          <w:bCs/>
        </w:rPr>
        <w:t>the participant</w:t>
      </w:r>
      <w:r w:rsidRPr="000F2D4C">
        <w:t xml:space="preserve"> (depending on their communication preferences) to confirm they have received their consent form and information, ensure they understand the purpose and nature of their involvement, and confirm a time and day for the interview. As this is the participant’s first contact with the team, this call can help to introduce the team, alleviate any hesitation or confusion</w:t>
      </w:r>
      <w:r w:rsidR="5CC4A29A" w:rsidRPr="000F2D4C">
        <w:t>,</w:t>
      </w:r>
      <w:r w:rsidRPr="000F2D4C">
        <w:t xml:space="preserve"> and ensure the participant is comfortable to be involved. If the person does not answer, send a follow-up email with this information and the offer of </w:t>
      </w:r>
      <w:r w:rsidR="607CDFED" w:rsidRPr="000F2D4C">
        <w:t xml:space="preserve">a </w:t>
      </w:r>
      <w:r w:rsidRPr="000F2D4C">
        <w:t xml:space="preserve">call back at a time that suits them. </w:t>
      </w:r>
    </w:p>
    <w:p w14:paraId="3FB06AE9" w14:textId="68B75F51" w:rsidR="00E94FBF" w:rsidRPr="000F2D4C" w:rsidRDefault="00E94FBF" w:rsidP="00E94FBF">
      <w:pPr>
        <w:pStyle w:val="ListBullet"/>
        <w:numPr>
          <w:ilvl w:val="0"/>
          <w:numId w:val="0"/>
        </w:numPr>
      </w:pPr>
    </w:p>
    <w:p w14:paraId="6E024116" w14:textId="2F796021" w:rsidR="00E94FBF" w:rsidRPr="000F2D4C" w:rsidRDefault="00E94FBF" w:rsidP="00E94FBF">
      <w:pPr>
        <w:pStyle w:val="ListBullet"/>
        <w:numPr>
          <w:ilvl w:val="0"/>
          <w:numId w:val="0"/>
        </w:numPr>
      </w:pPr>
      <w:r w:rsidRPr="000F2D4C">
        <w:t xml:space="preserve">If the person doing the interview is different to the person managing recruitment, it is also advised that </w:t>
      </w:r>
      <w:r w:rsidRPr="000F2D4C">
        <w:rPr>
          <w:b/>
          <w:bCs/>
        </w:rPr>
        <w:t>the interviewer contact the participant in the week before the interview</w:t>
      </w:r>
      <w:r w:rsidRPr="000F2D4C">
        <w:t xml:space="preserve"> to introduce themselves, confirm the time for the interview</w:t>
      </w:r>
      <w:r w:rsidR="70207B00" w:rsidRPr="000F2D4C">
        <w:t>,</w:t>
      </w:r>
      <w:r w:rsidRPr="000F2D4C">
        <w:t xml:space="preserve"> and answer any final questions they may have. </w:t>
      </w:r>
    </w:p>
    <w:p w14:paraId="6787DE07" w14:textId="68B75F51" w:rsidR="00E94FBF" w:rsidRPr="000F2D4C" w:rsidRDefault="00E94FBF" w:rsidP="00E94FBF">
      <w:pPr>
        <w:pStyle w:val="ListBullet"/>
        <w:numPr>
          <w:ilvl w:val="0"/>
          <w:numId w:val="0"/>
        </w:numPr>
      </w:pPr>
    </w:p>
    <w:p w14:paraId="625DA841" w14:textId="5EBECB91" w:rsidR="00E94FBF" w:rsidRPr="000F2D4C" w:rsidRDefault="00E94FBF" w:rsidP="00E94FBF">
      <w:r w:rsidRPr="000F2D4C">
        <w:rPr>
          <w:b/>
          <w:bCs/>
        </w:rPr>
        <w:t>Interview questions should also be provided to participants ahead of time</w:t>
      </w:r>
      <w:r w:rsidRPr="000F2D4C">
        <w:t xml:space="preserve"> to allow them to prepare and reflect and identify if there are </w:t>
      </w:r>
      <w:r w:rsidR="001B305A" w:rsidRPr="000F2D4C">
        <w:t xml:space="preserve">any </w:t>
      </w:r>
      <w:r w:rsidRPr="000F2D4C">
        <w:t xml:space="preserve">questions they do not wish to answer. The evaluation team should make themselves available ahead of the interview to discuss with participants any questions they may not wish to answer. </w:t>
      </w:r>
    </w:p>
    <w:p w14:paraId="3E0CAD2A" w14:textId="68B75F51" w:rsidR="00E94FBF" w:rsidRPr="000F2D4C" w:rsidRDefault="00E94FBF" w:rsidP="00615025">
      <w:pPr>
        <w:pStyle w:val="Boxheading"/>
      </w:pPr>
      <w:r w:rsidRPr="000F2D4C">
        <w:t>Avoiding coercion</w:t>
      </w:r>
    </w:p>
    <w:p w14:paraId="6DC7F14D" w14:textId="36980572" w:rsidR="0086529E" w:rsidRPr="000F2D4C" w:rsidRDefault="00E94FBF" w:rsidP="00E94FBF">
      <w:pPr>
        <w:pStyle w:val="Boxtext0"/>
      </w:pPr>
      <w:r w:rsidRPr="000F2D4C">
        <w:t>The information sheet should make it clear that</w:t>
      </w:r>
      <w:r w:rsidR="0086529E" w:rsidRPr="000F2D4C">
        <w:t>:</w:t>
      </w:r>
    </w:p>
    <w:p w14:paraId="41D96041" w14:textId="7B02D710" w:rsidR="0086529E" w:rsidRPr="000F2D4C" w:rsidRDefault="00E94FBF" w:rsidP="002F330B">
      <w:pPr>
        <w:pStyle w:val="Boxbullets"/>
      </w:pPr>
      <w:r w:rsidRPr="000F2D4C">
        <w:t xml:space="preserve">participation is </w:t>
      </w:r>
      <w:r w:rsidRPr="000F2D4C">
        <w:rPr>
          <w:b/>
          <w:bCs/>
        </w:rPr>
        <w:t>voluntary</w:t>
      </w:r>
    </w:p>
    <w:p w14:paraId="0093B452" w14:textId="77777777" w:rsidR="0086529E" w:rsidRPr="000F2D4C" w:rsidRDefault="0086529E" w:rsidP="002F330B">
      <w:pPr>
        <w:pStyle w:val="Boxbullets"/>
      </w:pPr>
      <w:r w:rsidRPr="000F2D4C">
        <w:t xml:space="preserve">their contributions will remain </w:t>
      </w:r>
      <w:r w:rsidRPr="000F2D4C">
        <w:rPr>
          <w:b/>
          <w:bCs/>
        </w:rPr>
        <w:t>anonymous</w:t>
      </w:r>
    </w:p>
    <w:p w14:paraId="6A005B45" w14:textId="084E5390" w:rsidR="0086529E" w:rsidRPr="000F2D4C" w:rsidRDefault="00325A66" w:rsidP="002F330B">
      <w:pPr>
        <w:pStyle w:val="Boxbullets"/>
      </w:pPr>
      <w:r w:rsidRPr="000F2D4C">
        <w:t xml:space="preserve">participation (or not) </w:t>
      </w:r>
      <w:r w:rsidR="00E94FBF" w:rsidRPr="000F2D4C">
        <w:t xml:space="preserve">will </w:t>
      </w:r>
      <w:r w:rsidR="009D341D" w:rsidRPr="000F2D4C">
        <w:t xml:space="preserve">not </w:t>
      </w:r>
      <w:r w:rsidR="00E94FBF" w:rsidRPr="000F2D4C">
        <w:t xml:space="preserve">affect their </w:t>
      </w:r>
      <w:r w:rsidR="00E94FBF" w:rsidRPr="000F2D4C">
        <w:rPr>
          <w:b/>
          <w:bCs/>
        </w:rPr>
        <w:t>access to services and supports</w:t>
      </w:r>
      <w:r w:rsidR="0086529E" w:rsidRPr="000F2D4C">
        <w:t xml:space="preserve">, nor the </w:t>
      </w:r>
      <w:r w:rsidR="0086529E" w:rsidRPr="000F2D4C">
        <w:rPr>
          <w:b/>
          <w:bCs/>
        </w:rPr>
        <w:t xml:space="preserve">quality </w:t>
      </w:r>
      <w:r w:rsidR="0086529E" w:rsidRPr="000F2D4C">
        <w:t>of their support</w:t>
      </w:r>
    </w:p>
    <w:p w14:paraId="075BFF26" w14:textId="79F7A5C8" w:rsidR="00E94FBF" w:rsidRPr="000F2D4C" w:rsidRDefault="00E94FBF" w:rsidP="002F330B">
      <w:pPr>
        <w:pStyle w:val="Boxbullets"/>
      </w:pPr>
      <w:r w:rsidRPr="000F2D4C">
        <w:lastRenderedPageBreak/>
        <w:t xml:space="preserve">there are </w:t>
      </w:r>
      <w:r w:rsidRPr="000F2D4C">
        <w:rPr>
          <w:b/>
        </w:rPr>
        <w:t>no consequences</w:t>
      </w:r>
      <w:r w:rsidRPr="000F2D4C">
        <w:t xml:space="preserve"> if they decide not to take part and they can choose </w:t>
      </w:r>
      <w:r w:rsidRPr="000F2D4C">
        <w:rPr>
          <w:b/>
          <w:bCs/>
        </w:rPr>
        <w:t>to opt out later</w:t>
      </w:r>
      <w:r w:rsidRPr="000F2D4C">
        <w:t xml:space="preserve"> if they change their mind. </w:t>
      </w:r>
    </w:p>
    <w:p w14:paraId="3962E46F" w14:textId="77777777" w:rsidR="0086529E" w:rsidRPr="000F2D4C" w:rsidRDefault="0086529E" w:rsidP="00EA102A">
      <w:pPr>
        <w:pStyle w:val="Boxbullets"/>
        <w:numPr>
          <w:ilvl w:val="0"/>
          <w:numId w:val="0"/>
        </w:numPr>
      </w:pPr>
    </w:p>
    <w:p w14:paraId="6F5814F1" w14:textId="44799668" w:rsidR="00E94FBF" w:rsidRPr="000F2D4C" w:rsidRDefault="00E94FBF" w:rsidP="00E94FBF">
      <w:pPr>
        <w:pStyle w:val="Boxtext0"/>
      </w:pPr>
      <w:r w:rsidRPr="000F2D4C">
        <w:t xml:space="preserve">While services distributing invitations to participate in the evaluation is important for engagement, service users should be required to </w:t>
      </w:r>
      <w:r w:rsidRPr="000F2D4C">
        <w:rPr>
          <w:b/>
          <w:bCs/>
        </w:rPr>
        <w:t>contact the evaluation team to opt in</w:t>
      </w:r>
      <w:r w:rsidRPr="000F2D4C">
        <w:t>. This will avoid service users feeling pressure from the service</w:t>
      </w:r>
      <w:r w:rsidR="008A557A" w:rsidRPr="000F2D4C">
        <w:t xml:space="preserve"> and allow </w:t>
      </w:r>
      <w:r w:rsidR="002266E3" w:rsidRPr="000F2D4C">
        <w:t>them to make their own informed decision about whether they would like to be involved</w:t>
      </w:r>
      <w:r w:rsidRPr="000F2D4C">
        <w:t xml:space="preserve">. The evaluation team should provide service staff with advice about how to answer questions in order to help ensure service users do not feel pressured to participate. </w:t>
      </w:r>
      <w:r w:rsidR="00D16154">
        <w:br/>
      </w:r>
    </w:p>
    <w:p w14:paraId="7CB0FB98" w14:textId="77777777" w:rsidR="00110DF6" w:rsidRPr="000F2D4C" w:rsidRDefault="00110DF6" w:rsidP="00110DF6">
      <w:pPr>
        <w:pStyle w:val="Heading4"/>
      </w:pPr>
      <w:r w:rsidRPr="000F2D4C">
        <w:t>Remuneration</w:t>
      </w:r>
    </w:p>
    <w:p w14:paraId="2CB10003" w14:textId="42FEDD5D" w:rsidR="00110DF6" w:rsidRPr="000F2D4C" w:rsidRDefault="00110DF6" w:rsidP="00110DF6">
      <w:r w:rsidRPr="000F2D4C">
        <w:t xml:space="preserve">Where possible, it is important to remunerate participants for their involvement in the evaluation to </w:t>
      </w:r>
      <w:r w:rsidRPr="000F2D4C">
        <w:rPr>
          <w:b/>
          <w:bCs/>
        </w:rPr>
        <w:t>ensure their time and expertise is recognised, respected and valued</w:t>
      </w:r>
      <w:r w:rsidRPr="000F2D4C">
        <w:t xml:space="preserve">. They should be provided with options for how they would like to receive this payment – cash, direct debit, gift card – to ensure they are paid in ways that are most valuable to them and </w:t>
      </w:r>
      <w:r w:rsidR="00AB0AA9" w:rsidRPr="000F2D4C">
        <w:t xml:space="preserve"> avoid them feeling as though</w:t>
      </w:r>
      <w:r w:rsidRPr="000F2D4C">
        <w:t xml:space="preserve"> their participation has been tokenistic</w:t>
      </w:r>
      <w:r w:rsidR="00AB0AA9" w:rsidRPr="000F2D4C">
        <w:t xml:space="preserve"> or a box ticking exercise</w:t>
      </w:r>
      <w:r w:rsidRPr="000F2D4C">
        <w:t xml:space="preserve">.  </w:t>
      </w:r>
    </w:p>
    <w:p w14:paraId="3E1835EA" w14:textId="43528F80" w:rsidR="00E277D7" w:rsidRPr="000F2D4C" w:rsidRDefault="00E277D7" w:rsidP="00615025">
      <w:pPr>
        <w:pStyle w:val="Boxheading"/>
      </w:pPr>
      <w:r w:rsidRPr="000F2D4C">
        <w:t xml:space="preserve">Guidance on </w:t>
      </w:r>
      <w:r w:rsidR="008A5789" w:rsidRPr="000F2D4C">
        <w:t>appropriate renumeration</w:t>
      </w:r>
      <w:r w:rsidR="009E1005" w:rsidRPr="000F2D4C">
        <w:t xml:space="preserve"> </w:t>
      </w:r>
    </w:p>
    <w:p w14:paraId="6B3B0EC8" w14:textId="078BE861" w:rsidR="009C6164" w:rsidRPr="000F2D4C" w:rsidRDefault="009E1005" w:rsidP="00E277D7">
      <w:pPr>
        <w:pStyle w:val="Boxtext0"/>
        <w:rPr>
          <w:i/>
          <w:iCs/>
        </w:rPr>
      </w:pPr>
      <w:r w:rsidRPr="000F2D4C">
        <w:t xml:space="preserve">Guidance on appropriate renumeration </w:t>
      </w:r>
      <w:r w:rsidR="009C6164" w:rsidRPr="000F2D4C">
        <w:t xml:space="preserve">can be found in the </w:t>
      </w:r>
      <w:hyperlink r:id="rId106">
        <w:r w:rsidR="009C6164" w:rsidRPr="000F2D4C">
          <w:rPr>
            <w:rStyle w:val="Hyperlink"/>
            <w:i/>
            <w:iCs/>
          </w:rPr>
          <w:t>National Mental Health Commission's Paid Participation Policy 2020</w:t>
        </w:r>
      </w:hyperlink>
      <w:r w:rsidR="009C6164" w:rsidRPr="000F2D4C">
        <w:rPr>
          <w:i/>
          <w:iCs/>
        </w:rPr>
        <w:t xml:space="preserve"> </w:t>
      </w:r>
      <w:r w:rsidR="00D16154">
        <w:rPr>
          <w:i/>
          <w:iCs/>
        </w:rPr>
        <w:br/>
      </w:r>
    </w:p>
    <w:p w14:paraId="243E7355" w14:textId="77777777" w:rsidR="005D3B12" w:rsidRPr="000F2D4C" w:rsidRDefault="005D3B12" w:rsidP="005D3B12">
      <w:pPr>
        <w:pStyle w:val="Heading4"/>
      </w:pPr>
      <w:r w:rsidRPr="000F2D4C">
        <w:t>Data collection design</w:t>
      </w:r>
    </w:p>
    <w:p w14:paraId="382392DC" w14:textId="77777777" w:rsidR="0016251E" w:rsidRPr="000F2D4C" w:rsidRDefault="005D3B12" w:rsidP="00F16CBC">
      <w:r w:rsidRPr="000F2D4C">
        <w:t xml:space="preserve">Once eligibility has been determined, the next step is ensuring data collection tools are designed to minimise and manage the potential risk of distress to participants. Some ways to do this through the process of data collection involve the design of surveys or interviews/ </w:t>
      </w:r>
      <w:r w:rsidR="1B2889AB" w:rsidRPr="000F2D4C">
        <w:t>group interviews</w:t>
      </w:r>
      <w:r w:rsidRPr="000F2D4C">
        <w:t xml:space="preserve"> </w:t>
      </w:r>
      <w:r w:rsidR="00F16CBC" w:rsidRPr="000F2D4C">
        <w:t xml:space="preserve"> are listed below.</w:t>
      </w:r>
    </w:p>
    <w:p w14:paraId="1862DEAA" w14:textId="5B1462EA" w:rsidR="005D3B12" w:rsidRPr="000F2D4C" w:rsidRDefault="005D3B12" w:rsidP="0016251E">
      <w:pPr>
        <w:pStyle w:val="ListBullet"/>
      </w:pPr>
      <w:r w:rsidRPr="000F2D4C">
        <w:t>Survey</w:t>
      </w:r>
    </w:p>
    <w:p w14:paraId="2404CBE5" w14:textId="63AAA1D4" w:rsidR="005D3B12" w:rsidRPr="000F2D4C" w:rsidRDefault="005D3B12" w:rsidP="00FC2CEE">
      <w:pPr>
        <w:pStyle w:val="ListBullet"/>
        <w:numPr>
          <w:ilvl w:val="0"/>
          <w:numId w:val="45"/>
        </w:numPr>
      </w:pPr>
      <w:r w:rsidRPr="000F2D4C">
        <w:t>questions are focused on the person’s experience with the service</w:t>
      </w:r>
    </w:p>
    <w:p w14:paraId="670EC324" w14:textId="4C667979" w:rsidR="005D3B12" w:rsidRPr="000F2D4C" w:rsidRDefault="005D3B12" w:rsidP="00FC2CEE">
      <w:pPr>
        <w:pStyle w:val="ListBullet"/>
        <w:numPr>
          <w:ilvl w:val="0"/>
          <w:numId w:val="45"/>
        </w:numPr>
      </w:pPr>
      <w:r w:rsidRPr="000F2D4C">
        <w:t xml:space="preserve">questions are </w:t>
      </w:r>
      <w:r w:rsidR="00662522" w:rsidRPr="000F2D4C">
        <w:t xml:space="preserve">mostly </w:t>
      </w:r>
      <w:r w:rsidRPr="000F2D4C">
        <w:t>selection-responses rather than open text</w:t>
      </w:r>
    </w:p>
    <w:p w14:paraId="3C6129B3" w14:textId="77777777" w:rsidR="005D3B12" w:rsidRPr="000F2D4C" w:rsidRDefault="005D3B12" w:rsidP="00FC2CEE">
      <w:pPr>
        <w:pStyle w:val="ListBullet"/>
        <w:numPr>
          <w:ilvl w:val="0"/>
          <w:numId w:val="45"/>
        </w:numPr>
      </w:pPr>
      <w:r w:rsidRPr="000F2D4C">
        <w:t xml:space="preserve">all questions are voluntary, with the exception of those that are necessary for determining which sets of questions people are asked </w:t>
      </w:r>
    </w:p>
    <w:p w14:paraId="736FBEF6" w14:textId="7B198E08" w:rsidR="00192AF1" w:rsidRPr="000F2D4C" w:rsidRDefault="00192AF1" w:rsidP="00192AF1">
      <w:pPr>
        <w:pStyle w:val="ListBullet"/>
        <w:numPr>
          <w:ilvl w:val="0"/>
          <w:numId w:val="45"/>
        </w:numPr>
      </w:pPr>
      <w:r w:rsidRPr="000F2D4C">
        <w:t>the format of the survey is accessible (e.g.</w:t>
      </w:r>
      <w:r w:rsidR="1AD41211" w:rsidRPr="000F2D4C">
        <w:t>,</w:t>
      </w:r>
      <w:r w:rsidRPr="000F2D4C">
        <w:t xml:space="preserve"> consider text size, questions in audio format, images to support the text) </w:t>
      </w:r>
    </w:p>
    <w:p w14:paraId="768987E6" w14:textId="77777777" w:rsidR="005D3B12" w:rsidRPr="000F2D4C" w:rsidRDefault="005D3B12" w:rsidP="00FC2CEE">
      <w:pPr>
        <w:pStyle w:val="ListBullet"/>
        <w:numPr>
          <w:ilvl w:val="0"/>
          <w:numId w:val="45"/>
        </w:numPr>
      </w:pPr>
      <w:r w:rsidRPr="000F2D4C">
        <w:t>participants are reminded in the survey introduction that they do not need to answer any questions if they do not feel comfortable or would prefer not to</w:t>
      </w:r>
    </w:p>
    <w:p w14:paraId="152F7486" w14:textId="77777777" w:rsidR="005D3B12" w:rsidRPr="000F2D4C" w:rsidRDefault="005D3B12" w:rsidP="00FC2CEE">
      <w:pPr>
        <w:pStyle w:val="ListBullet"/>
        <w:numPr>
          <w:ilvl w:val="0"/>
          <w:numId w:val="45"/>
        </w:numPr>
      </w:pPr>
      <w:r w:rsidRPr="000F2D4C">
        <w:t>the survey introduction includes a link to a readiness to contribute guide</w:t>
      </w:r>
    </w:p>
    <w:p w14:paraId="5895F6CB" w14:textId="77777777" w:rsidR="005D3B12" w:rsidRPr="000F2D4C" w:rsidRDefault="005D3B12" w:rsidP="00FC2CEE">
      <w:pPr>
        <w:pStyle w:val="ListBullet"/>
        <w:numPr>
          <w:ilvl w:val="0"/>
          <w:numId w:val="45"/>
        </w:numPr>
      </w:pPr>
      <w:r w:rsidRPr="000F2D4C">
        <w:t>participants are provided with mental health support line numbers and other relevant contacts before the survey and once the survey is complete.</w:t>
      </w:r>
    </w:p>
    <w:p w14:paraId="0C29B9D8" w14:textId="1B629053" w:rsidR="005D3B12" w:rsidRPr="000F2D4C" w:rsidRDefault="005D3B12" w:rsidP="005D3B12">
      <w:pPr>
        <w:pStyle w:val="ListBullet"/>
      </w:pPr>
      <w:r w:rsidRPr="000F2D4C">
        <w:t>Interviews/ group</w:t>
      </w:r>
      <w:r w:rsidR="07DCCD9C" w:rsidRPr="000F2D4C">
        <w:t xml:space="preserve"> interview</w:t>
      </w:r>
      <w:r w:rsidRPr="000F2D4C">
        <w:t>s</w:t>
      </w:r>
    </w:p>
    <w:p w14:paraId="37CB3CC1" w14:textId="33D47051" w:rsidR="005D3B12" w:rsidRPr="000F2D4C" w:rsidRDefault="005D3B12" w:rsidP="00FC2CEE">
      <w:pPr>
        <w:pStyle w:val="ListBullet"/>
        <w:numPr>
          <w:ilvl w:val="0"/>
          <w:numId w:val="45"/>
        </w:numPr>
      </w:pPr>
      <w:r w:rsidRPr="000F2D4C">
        <w:t>guides focus on experience with services, rather than the underlying factors and situation that contributed to mental</w:t>
      </w:r>
      <w:r w:rsidR="246C7EA5" w:rsidRPr="000F2D4C">
        <w:t xml:space="preserve"> </w:t>
      </w:r>
      <w:r w:rsidRPr="000F2D4C">
        <w:t>ill</w:t>
      </w:r>
      <w:r w:rsidR="246C7EA5" w:rsidRPr="000F2D4C">
        <w:t>-</w:t>
      </w:r>
      <w:r w:rsidRPr="000F2D4C">
        <w:t xml:space="preserve">health or suicidality  </w:t>
      </w:r>
    </w:p>
    <w:p w14:paraId="0AE6952E" w14:textId="77777777" w:rsidR="005D3B12" w:rsidRPr="000F2D4C" w:rsidRDefault="005D3B12" w:rsidP="00FC2CEE">
      <w:pPr>
        <w:pStyle w:val="ListBullet"/>
        <w:numPr>
          <w:ilvl w:val="0"/>
          <w:numId w:val="45"/>
        </w:numPr>
      </w:pPr>
      <w:r w:rsidRPr="000F2D4C">
        <w:t>guides are informed by an understanding of trauma-informed practice</w:t>
      </w:r>
    </w:p>
    <w:p w14:paraId="4AF5A9C0" w14:textId="10251101" w:rsidR="005D3B12" w:rsidRPr="000F2D4C" w:rsidRDefault="005D3B12" w:rsidP="00FC2CEE">
      <w:pPr>
        <w:pStyle w:val="ListBullet"/>
        <w:numPr>
          <w:ilvl w:val="0"/>
          <w:numId w:val="45"/>
        </w:numPr>
      </w:pPr>
      <w:r w:rsidRPr="000F2D4C">
        <w:t xml:space="preserve">guides are designed to provide participants with the </w:t>
      </w:r>
      <w:r w:rsidR="004C5A01" w:rsidRPr="000F2D4C">
        <w:t xml:space="preserve">opportunity </w:t>
      </w:r>
      <w:r w:rsidRPr="000F2D4C">
        <w:t>to tell their story, following the flow of their engagement with a service</w:t>
      </w:r>
    </w:p>
    <w:p w14:paraId="4D7E12C0" w14:textId="77777777" w:rsidR="005D3B12" w:rsidRPr="000F2D4C" w:rsidRDefault="005D3B12" w:rsidP="00FC2CEE">
      <w:pPr>
        <w:pStyle w:val="ListBullet"/>
        <w:numPr>
          <w:ilvl w:val="0"/>
          <w:numId w:val="45"/>
        </w:numPr>
      </w:pPr>
      <w:r w:rsidRPr="000F2D4C">
        <w:lastRenderedPageBreak/>
        <w:t xml:space="preserve">questions are designed to allow participants to answer in a level of detail they determine </w:t>
      </w:r>
    </w:p>
    <w:p w14:paraId="78A22E15" w14:textId="3AF83F4B" w:rsidR="005D3B12" w:rsidRPr="000F2D4C" w:rsidRDefault="005D3B12" w:rsidP="00FC2CEE">
      <w:pPr>
        <w:pStyle w:val="ListBullet"/>
        <w:numPr>
          <w:ilvl w:val="0"/>
          <w:numId w:val="45"/>
        </w:numPr>
      </w:pPr>
      <w:r w:rsidRPr="000F2D4C">
        <w:t xml:space="preserve">some narrative text </w:t>
      </w:r>
      <w:r w:rsidR="004C5A01" w:rsidRPr="000F2D4C">
        <w:t xml:space="preserve">is included </w:t>
      </w:r>
      <w:r w:rsidRPr="000F2D4C">
        <w:t>around the questions, so there is a clear rationale for what is being asked and to give participants some breathing space between questions</w:t>
      </w:r>
    </w:p>
    <w:p w14:paraId="00CECFC6" w14:textId="27310521" w:rsidR="005D3B12" w:rsidRPr="000F2D4C" w:rsidRDefault="005D3B12" w:rsidP="00FC2CEE">
      <w:pPr>
        <w:pStyle w:val="ListBullet"/>
        <w:numPr>
          <w:ilvl w:val="0"/>
          <w:numId w:val="45"/>
        </w:numPr>
      </w:pPr>
      <w:r w:rsidRPr="000F2D4C">
        <w:t xml:space="preserve">examples </w:t>
      </w:r>
      <w:r w:rsidR="004C5A01" w:rsidRPr="000F2D4C">
        <w:t xml:space="preserve">are included </w:t>
      </w:r>
      <w:r w:rsidRPr="000F2D4C">
        <w:t xml:space="preserve">as prompts in case participants are unsure of the meaning of the question.  </w:t>
      </w:r>
    </w:p>
    <w:p w14:paraId="19058106" w14:textId="77777777" w:rsidR="005D3B12" w:rsidRPr="000F2D4C" w:rsidRDefault="005D3B12" w:rsidP="005D3B12">
      <w:pPr>
        <w:pStyle w:val="ListBullet2"/>
        <w:numPr>
          <w:ilvl w:val="0"/>
          <w:numId w:val="0"/>
        </w:numPr>
      </w:pPr>
    </w:p>
    <w:p w14:paraId="03338F76" w14:textId="1FF90060" w:rsidR="005D3B12" w:rsidRPr="000F2D4C" w:rsidRDefault="005D3B12" w:rsidP="005D3B12">
      <w:pPr>
        <w:pStyle w:val="ListBullet2"/>
        <w:numPr>
          <w:ilvl w:val="1"/>
          <w:numId w:val="0"/>
        </w:numPr>
      </w:pPr>
      <w:r w:rsidRPr="000F2D4C">
        <w:t>Where possible, involving people with lived and</w:t>
      </w:r>
      <w:r w:rsidR="003276F3" w:rsidRPr="000F2D4C">
        <w:t>/or</w:t>
      </w:r>
      <w:r w:rsidRPr="000F2D4C">
        <w:t xml:space="preserve"> living experience of mental ill-health and</w:t>
      </w:r>
      <w:r w:rsidR="003276F3" w:rsidRPr="000F2D4C">
        <w:t>/or</w:t>
      </w:r>
      <w:r w:rsidRPr="000F2D4C">
        <w:t xml:space="preserve"> suicide</w:t>
      </w:r>
      <w:r w:rsidR="003276F3" w:rsidRPr="000F2D4C">
        <w:t>,</w:t>
      </w:r>
      <w:r w:rsidRPr="000F2D4C">
        <w:t xml:space="preserve"> and those </w:t>
      </w:r>
      <w:r w:rsidR="003276F3" w:rsidRPr="000F2D4C">
        <w:t>with experiences as families, carers and support people,</w:t>
      </w:r>
      <w:r w:rsidRPr="000F2D4C">
        <w:t xml:space="preserve"> in design can assist to identify questions that may be distressing or cause harm, and help to </w:t>
      </w:r>
      <w:r w:rsidRPr="000F2D4C">
        <w:rPr>
          <w:b/>
          <w:bCs/>
        </w:rPr>
        <w:t>ensure language is accessible and appropriate</w:t>
      </w:r>
      <w:r w:rsidRPr="000F2D4C">
        <w:t xml:space="preserve"> for service users participating in the evaluation (see </w:t>
      </w:r>
      <w:r w:rsidR="0070060D" w:rsidRPr="000F2D4C">
        <w:t>Appendix 3</w:t>
      </w:r>
      <w:r w:rsidRPr="000F2D4C">
        <w:t xml:space="preserve"> for detailed guidance about involving people with lived and/or living </w:t>
      </w:r>
      <w:r w:rsidR="128927B1" w:rsidRPr="000F2D4C">
        <w:t>experience</w:t>
      </w:r>
      <w:r w:rsidRPr="000F2D4C">
        <w:t xml:space="preserve"> of mental ill-health and</w:t>
      </w:r>
      <w:r w:rsidR="003276F3" w:rsidRPr="000F2D4C">
        <w:t>/or</w:t>
      </w:r>
      <w:r w:rsidRPr="000F2D4C">
        <w:t xml:space="preserve"> suicide as part of the evaluation team). </w:t>
      </w:r>
    </w:p>
    <w:p w14:paraId="61C0F30F" w14:textId="77777777" w:rsidR="00E96595" w:rsidRPr="000F2D4C" w:rsidRDefault="00E96595" w:rsidP="00615025">
      <w:pPr>
        <w:pStyle w:val="Boxheading"/>
      </w:pPr>
      <w:r w:rsidRPr="000F2D4C">
        <w:t>Example: Methods for engaging with children and young people</w:t>
      </w:r>
    </w:p>
    <w:p w14:paraId="42397E42" w14:textId="77777777" w:rsidR="00E96595" w:rsidRPr="000F2D4C" w:rsidRDefault="00E96595" w:rsidP="00E96595">
      <w:pPr>
        <w:pStyle w:val="Boxtext0"/>
      </w:pPr>
      <w:r w:rsidRPr="000F2D4C">
        <w:t xml:space="preserve">Interviews with </w:t>
      </w:r>
      <w:r w:rsidRPr="000F2D4C">
        <w:rPr>
          <w:b/>
          <w:bCs/>
        </w:rPr>
        <w:t>children</w:t>
      </w:r>
      <w:r w:rsidRPr="000F2D4C">
        <w:t xml:space="preserve"> may involve activities such as:</w:t>
      </w:r>
    </w:p>
    <w:p w14:paraId="32AD94D3" w14:textId="4104025B" w:rsidR="00E96595" w:rsidRPr="000F2D4C" w:rsidRDefault="00E96595" w:rsidP="00E96595">
      <w:pPr>
        <w:pStyle w:val="Boxbullets"/>
      </w:pPr>
      <w:r w:rsidRPr="000F2D4C">
        <w:t xml:space="preserve">‘emotion faces’ for participants to describe </w:t>
      </w:r>
      <w:r w:rsidR="00DA74A7" w:rsidRPr="000F2D4C">
        <w:t>the feeling associated with their response to</w:t>
      </w:r>
      <w:r w:rsidRPr="000F2D4C">
        <w:t xml:space="preserve"> a question</w:t>
      </w:r>
    </w:p>
    <w:p w14:paraId="48333D3E" w14:textId="77777777" w:rsidR="00E96595" w:rsidRPr="000F2D4C" w:rsidRDefault="00E96595" w:rsidP="00E96595">
      <w:pPr>
        <w:pStyle w:val="Boxbullets"/>
      </w:pPr>
      <w:r w:rsidRPr="000F2D4C">
        <w:t xml:space="preserve">sets of cards/ photos where children are asked to choose a card that describes what they think about their worker(s)  </w:t>
      </w:r>
    </w:p>
    <w:p w14:paraId="70C13E26" w14:textId="77777777" w:rsidR="00E96595" w:rsidRPr="000F2D4C" w:rsidRDefault="00E96595" w:rsidP="00E96595">
      <w:pPr>
        <w:pStyle w:val="Boxbullets"/>
      </w:pPr>
      <w:r w:rsidRPr="000F2D4C">
        <w:t>asking children to draw their experience with the service using pen and paper, and then talk about or explain their drawing.</w:t>
      </w:r>
    </w:p>
    <w:p w14:paraId="407A34B6" w14:textId="77777777" w:rsidR="00E96595" w:rsidRPr="000F2D4C" w:rsidRDefault="00E96595" w:rsidP="00E96595">
      <w:pPr>
        <w:pStyle w:val="Boxbullets"/>
        <w:numPr>
          <w:ilvl w:val="0"/>
          <w:numId w:val="0"/>
        </w:numPr>
      </w:pPr>
    </w:p>
    <w:p w14:paraId="2B44FC2A" w14:textId="77777777" w:rsidR="00E96595" w:rsidRPr="000F2D4C" w:rsidRDefault="00E96595" w:rsidP="00E96595">
      <w:pPr>
        <w:pStyle w:val="Boxtext0"/>
      </w:pPr>
      <w:r w:rsidRPr="000F2D4C">
        <w:t xml:space="preserve">Interviews with </w:t>
      </w:r>
      <w:r w:rsidRPr="000F2D4C">
        <w:rPr>
          <w:b/>
          <w:bCs/>
        </w:rPr>
        <w:t>adolescents and young adults</w:t>
      </w:r>
      <w:r w:rsidRPr="000F2D4C">
        <w:t xml:space="preserve"> may involve allowing them to choose between:</w:t>
      </w:r>
    </w:p>
    <w:p w14:paraId="108AAD21" w14:textId="77777777" w:rsidR="00E96595" w:rsidRPr="000F2D4C" w:rsidRDefault="00E96595" w:rsidP="00E96595">
      <w:pPr>
        <w:pStyle w:val="Boxbullets"/>
      </w:pPr>
      <w:r w:rsidRPr="000F2D4C">
        <w:t>an online forum</w:t>
      </w:r>
    </w:p>
    <w:p w14:paraId="3320849C" w14:textId="77777777" w:rsidR="00E96595" w:rsidRPr="000F2D4C" w:rsidRDefault="00E96595" w:rsidP="00E96595">
      <w:pPr>
        <w:pStyle w:val="Boxbullets"/>
      </w:pPr>
      <w:r w:rsidRPr="000F2D4C">
        <w:t>asynchronous interviews</w:t>
      </w:r>
    </w:p>
    <w:p w14:paraId="018C224D" w14:textId="34BC2983" w:rsidR="00E96595" w:rsidRPr="000F2D4C" w:rsidRDefault="00E96595" w:rsidP="00E96595">
      <w:pPr>
        <w:pStyle w:val="Boxbullets"/>
      </w:pPr>
      <w:r w:rsidRPr="000F2D4C">
        <w:t>individual interviews, with a greater focus on asking questions rather than using the activities.</w:t>
      </w:r>
      <w:r w:rsidR="00D16154">
        <w:br/>
      </w:r>
    </w:p>
    <w:p w14:paraId="6C135D65" w14:textId="77777777" w:rsidR="005D3B12" w:rsidRPr="000F2D4C" w:rsidRDefault="005D3B12" w:rsidP="005D3B12">
      <w:pPr>
        <w:pStyle w:val="Heading4"/>
      </w:pPr>
      <w:r w:rsidRPr="000F2D4C">
        <w:t>Options for participation</w:t>
      </w:r>
    </w:p>
    <w:p w14:paraId="3DF2E4BE" w14:textId="77777777" w:rsidR="005D3B12" w:rsidRPr="000F2D4C" w:rsidRDefault="005D3B12" w:rsidP="005D3B12">
      <w:r w:rsidRPr="000F2D4C">
        <w:t xml:space="preserve">It is also important to provide options for how service users can be involved so they feel safe and comfortable and their individual communication needs and preferences are addressed. </w:t>
      </w:r>
    </w:p>
    <w:p w14:paraId="2A3E1555" w14:textId="0F38B0C7" w:rsidR="005D3B12" w:rsidRPr="000F2D4C" w:rsidRDefault="005D3B12" w:rsidP="005D3B12">
      <w:r w:rsidRPr="000F2D4C">
        <w:t>This will likely mean offering people choices between different methods for providing feedback (e.g.</w:t>
      </w:r>
      <w:r w:rsidR="709E7E8B" w:rsidRPr="000F2D4C">
        <w:t>,</w:t>
      </w:r>
      <w:r w:rsidRPr="000F2D4C">
        <w:t xml:space="preserve"> survey or interview) and options within each method. </w:t>
      </w:r>
    </w:p>
    <w:p w14:paraId="2AC51C39" w14:textId="77777777" w:rsidR="005D3B12" w:rsidRPr="000F2D4C" w:rsidRDefault="005D3B12" w:rsidP="005D3B12">
      <w:pPr>
        <w:pStyle w:val="ListBullet"/>
      </w:pPr>
      <w:r w:rsidRPr="000F2D4C">
        <w:t xml:space="preserve">Choices for surveys </w:t>
      </w:r>
    </w:p>
    <w:p w14:paraId="66D86EFA" w14:textId="41AA09A0" w:rsidR="005D3B12" w:rsidRPr="000F2D4C" w:rsidRDefault="0779DEA6" w:rsidP="00FC2CEE">
      <w:pPr>
        <w:pStyle w:val="ListBullet"/>
        <w:numPr>
          <w:ilvl w:val="0"/>
          <w:numId w:val="45"/>
        </w:numPr>
      </w:pPr>
      <w:r w:rsidRPr="000F2D4C">
        <w:t>o</w:t>
      </w:r>
      <w:r w:rsidR="005D3B12" w:rsidRPr="000F2D4C">
        <w:t>ffer participants the choice between an online and paper survey</w:t>
      </w:r>
    </w:p>
    <w:p w14:paraId="18265679" w14:textId="72CAB30D" w:rsidR="005D3B12" w:rsidRPr="000F2D4C" w:rsidRDefault="60092D61" w:rsidP="00FC2CEE">
      <w:pPr>
        <w:pStyle w:val="ListBullet"/>
        <w:numPr>
          <w:ilvl w:val="0"/>
          <w:numId w:val="45"/>
        </w:numPr>
      </w:pPr>
      <w:r w:rsidRPr="000F2D4C">
        <w:t>o</w:t>
      </w:r>
      <w:r w:rsidR="005D3B12" w:rsidRPr="000F2D4C">
        <w:t>ffer participants the option to have someone assist them to complete the survey if they wish.</w:t>
      </w:r>
    </w:p>
    <w:p w14:paraId="772D137E" w14:textId="4750B1BC" w:rsidR="005D3B12" w:rsidRPr="000F2D4C" w:rsidRDefault="005D3B12" w:rsidP="00FC2CEE">
      <w:pPr>
        <w:pStyle w:val="ListBullet"/>
        <w:numPr>
          <w:ilvl w:val="0"/>
          <w:numId w:val="45"/>
        </w:numPr>
      </w:pPr>
      <w:r w:rsidRPr="000F2D4C">
        <w:t>Choices for interviews/ group</w:t>
      </w:r>
      <w:r w:rsidR="5CBC74E6" w:rsidRPr="000F2D4C">
        <w:t xml:space="preserve"> interview</w:t>
      </w:r>
      <w:r w:rsidRPr="000F2D4C">
        <w:t>s</w:t>
      </w:r>
      <w:r w:rsidR="0016251E" w:rsidRPr="000F2D4C">
        <w:t xml:space="preserve"> </w:t>
      </w:r>
      <w:r w:rsidR="24ED044E" w:rsidRPr="000F2D4C">
        <w:t>o</w:t>
      </w:r>
      <w:r w:rsidRPr="000F2D4C">
        <w:t>ffer participants a choice about the mode of interview or group</w:t>
      </w:r>
      <w:r w:rsidR="1A2CA2E6" w:rsidRPr="000F2D4C">
        <w:t xml:space="preserve"> interview</w:t>
      </w:r>
      <w:r w:rsidRPr="000F2D4C">
        <w:t>. This may be in person, via telephone</w:t>
      </w:r>
      <w:r w:rsidR="707C5C4B" w:rsidRPr="000F2D4C">
        <w:t>,</w:t>
      </w:r>
      <w:r w:rsidRPr="000F2D4C">
        <w:t xml:space="preserve"> or via videoconference; the options you offer will likely depend on the available resources </w:t>
      </w:r>
      <w:r w:rsidRPr="000F2D4C">
        <w:lastRenderedPageBreak/>
        <w:t>of the evaluation and location of participants. If in person, interviews should be undertaken in a neutral, private and safe location such as the service offices, a park or other public location. Interviews should not be conducted in people’s homes to maintain appropriate safety protocols and boundaries.</w:t>
      </w:r>
    </w:p>
    <w:p w14:paraId="1751BFB0" w14:textId="4B7F5F40" w:rsidR="005D3B12" w:rsidRPr="000F2D4C" w:rsidRDefault="005D3B12" w:rsidP="00FC2CEE">
      <w:pPr>
        <w:pStyle w:val="ListBullet"/>
        <w:numPr>
          <w:ilvl w:val="0"/>
          <w:numId w:val="45"/>
        </w:numPr>
      </w:pPr>
      <w:r w:rsidRPr="000F2D4C">
        <w:t>For interviews, ask participants to request times that work for them. For group</w:t>
      </w:r>
      <w:r w:rsidR="1D289700" w:rsidRPr="000F2D4C">
        <w:t xml:space="preserve"> interview</w:t>
      </w:r>
      <w:r w:rsidRPr="000F2D4C">
        <w:t>s, offer multiple groups on different days and at different times of day so participants can choose one that works for them</w:t>
      </w:r>
    </w:p>
    <w:p w14:paraId="3633809B" w14:textId="0BE7AD0E" w:rsidR="005D3B12" w:rsidRPr="000F2D4C" w:rsidRDefault="3BB16024" w:rsidP="00FC2CEE">
      <w:pPr>
        <w:pStyle w:val="ListBullet"/>
        <w:numPr>
          <w:ilvl w:val="0"/>
          <w:numId w:val="45"/>
        </w:numPr>
      </w:pPr>
      <w:r w:rsidRPr="000F2D4C">
        <w:t>o</w:t>
      </w:r>
      <w:r w:rsidR="005D3B12" w:rsidRPr="000F2D4C">
        <w:t>ffer participants the option of bringing along a support person of their choice if they wish</w:t>
      </w:r>
    </w:p>
    <w:p w14:paraId="70D98097" w14:textId="0D49299B" w:rsidR="005D3B12" w:rsidRPr="000F2D4C" w:rsidRDefault="7F8A0D06" w:rsidP="00FC2CEE">
      <w:pPr>
        <w:pStyle w:val="ListBullet"/>
        <w:numPr>
          <w:ilvl w:val="0"/>
          <w:numId w:val="45"/>
        </w:numPr>
      </w:pPr>
      <w:r w:rsidRPr="000F2D4C">
        <w:t>w</w:t>
      </w:r>
      <w:r w:rsidR="005D3B12" w:rsidRPr="000F2D4C">
        <w:t>here possible, offer participants some choice in terms of characteristics of the interviewer – a person with lived and/or living experience or not, gender, age (e.g.</w:t>
      </w:r>
      <w:r w:rsidR="52825A48" w:rsidRPr="000F2D4C">
        <w:t>,</w:t>
      </w:r>
      <w:r w:rsidR="005D3B12" w:rsidRPr="000F2D4C">
        <w:t xml:space="preserve"> for young people), location (e.g.</w:t>
      </w:r>
      <w:r w:rsidR="0E2A0B6B" w:rsidRPr="000F2D4C">
        <w:t>,</w:t>
      </w:r>
      <w:r w:rsidR="005D3B12" w:rsidRPr="000F2D4C">
        <w:t xml:space="preserve"> for rural and remote communities) and cultural and/or sexual identity.</w:t>
      </w:r>
    </w:p>
    <w:p w14:paraId="52082CD0" w14:textId="77777777" w:rsidR="00CC3587" w:rsidRPr="000F2D4C" w:rsidRDefault="00CC3587" w:rsidP="00CC3587">
      <w:pPr>
        <w:pStyle w:val="ListBullet"/>
        <w:numPr>
          <w:ilvl w:val="0"/>
          <w:numId w:val="0"/>
        </w:numPr>
        <w:ind w:left="360" w:hanging="360"/>
      </w:pPr>
    </w:p>
    <w:p w14:paraId="7F857615" w14:textId="65F32B56" w:rsidR="009E5100" w:rsidRPr="000F2D4C" w:rsidRDefault="009E5100" w:rsidP="00FB5D34">
      <w:pPr>
        <w:pStyle w:val="ListBullet"/>
        <w:numPr>
          <w:ilvl w:val="0"/>
          <w:numId w:val="0"/>
        </w:numPr>
      </w:pPr>
      <w:r w:rsidRPr="000F2D4C">
        <w:t>There is also a need to consider accessibility, such as whether the participant will require language translating and interpreting services, including AUSLAN interpreters, and assistive communication devices for people with sensory or vision needs.</w:t>
      </w:r>
    </w:p>
    <w:p w14:paraId="1503B536" w14:textId="605F0013" w:rsidR="005D3B12" w:rsidRPr="000F2D4C" w:rsidRDefault="005D3B12" w:rsidP="005D3B12">
      <w:pPr>
        <w:pStyle w:val="Heading4"/>
      </w:pPr>
      <w:r w:rsidRPr="000F2D4C">
        <w:t>Dat</w:t>
      </w:r>
      <w:r w:rsidR="00FB5D34" w:rsidRPr="000F2D4C">
        <w:t>a</w:t>
      </w:r>
      <w:r w:rsidRPr="000F2D4C">
        <w:t xml:space="preserve"> collection</w:t>
      </w:r>
    </w:p>
    <w:p w14:paraId="4A4B8F8A" w14:textId="0F9E0A87" w:rsidR="005D3B12" w:rsidRPr="000F2D4C" w:rsidRDefault="005D3B12" w:rsidP="005D3B12">
      <w:r w:rsidRPr="000F2D4C">
        <w:t>The following are some ways to ensure all stages of the interview are trauma</w:t>
      </w:r>
      <w:r w:rsidR="002D5154" w:rsidRPr="000F2D4C">
        <w:t>-</w:t>
      </w:r>
      <w:r w:rsidRPr="000F2D4C">
        <w:t xml:space="preserve">informed. </w:t>
      </w:r>
    </w:p>
    <w:p w14:paraId="4FCE8071" w14:textId="77777777" w:rsidR="005D3B12" w:rsidRPr="000F2D4C" w:rsidRDefault="005D3B12" w:rsidP="005D3B12">
      <w:pPr>
        <w:rPr>
          <w:b/>
          <w:bCs/>
        </w:rPr>
      </w:pPr>
      <w:r w:rsidRPr="000F2D4C">
        <w:rPr>
          <w:b/>
          <w:bCs/>
        </w:rPr>
        <w:t>Start of the interview</w:t>
      </w:r>
    </w:p>
    <w:p w14:paraId="40224AB0" w14:textId="77777777" w:rsidR="005D3B12" w:rsidRPr="000F2D4C" w:rsidRDefault="005D3B12" w:rsidP="005D3B12">
      <w:pPr>
        <w:pStyle w:val="ListBullet"/>
      </w:pPr>
      <w:r w:rsidRPr="000F2D4C">
        <w:t>Introduce yourself and ask the participant how they are going.</w:t>
      </w:r>
    </w:p>
    <w:p w14:paraId="7E982165" w14:textId="77777777" w:rsidR="005D3B12" w:rsidRPr="000F2D4C" w:rsidRDefault="005D3B12" w:rsidP="005D3B12">
      <w:pPr>
        <w:pStyle w:val="ListBullet"/>
      </w:pPr>
      <w:r w:rsidRPr="000F2D4C">
        <w:t>Check it is still a good time for the interview and whether they would still like to be involved.</w:t>
      </w:r>
    </w:p>
    <w:p w14:paraId="2D460944" w14:textId="77777777" w:rsidR="005D3B12" w:rsidRPr="000F2D4C" w:rsidRDefault="005D3B12" w:rsidP="005D3B12">
      <w:pPr>
        <w:pStyle w:val="ListBullet"/>
      </w:pPr>
      <w:r w:rsidRPr="000F2D4C">
        <w:t>Thank them for making the time to speak to you and tell them a bit more about yourself if you wish.</w:t>
      </w:r>
    </w:p>
    <w:p w14:paraId="72DE4CFE" w14:textId="520D9C1F" w:rsidR="005D3B12" w:rsidRPr="000F2D4C" w:rsidRDefault="005D3B12" w:rsidP="005D3B12">
      <w:pPr>
        <w:pStyle w:val="ListBullet"/>
      </w:pPr>
      <w:r w:rsidRPr="000F2D4C">
        <w:t xml:space="preserve">Remind them </w:t>
      </w:r>
      <w:r w:rsidR="004A48D5" w:rsidRPr="000F2D4C">
        <w:t xml:space="preserve">of </w:t>
      </w:r>
      <w:r w:rsidRPr="000F2D4C">
        <w:t>how long the interview will take.</w:t>
      </w:r>
    </w:p>
    <w:p w14:paraId="553C9D90" w14:textId="77777777" w:rsidR="005D3B12" w:rsidRPr="000F2D4C" w:rsidRDefault="005D3B12" w:rsidP="005D3B12">
      <w:pPr>
        <w:pStyle w:val="ListBullet"/>
      </w:pPr>
      <w:r w:rsidRPr="000F2D4C">
        <w:t>Remind them of the purpose of the evaluation and what the interview will cover.</w:t>
      </w:r>
    </w:p>
    <w:p w14:paraId="11758FBB" w14:textId="73995B4D" w:rsidR="005D3B12" w:rsidRPr="000F2D4C" w:rsidRDefault="005D3B12" w:rsidP="005D3B12">
      <w:pPr>
        <w:pStyle w:val="ListBullet"/>
      </w:pPr>
      <w:r w:rsidRPr="000F2D4C">
        <w:t>Acknowledge that sharing one's personal experiences can be difficult and may bring up unexpected things either at the time or at a later date. Let them know that if this happens, they can take a break, stop the interview</w:t>
      </w:r>
      <w:r w:rsidR="30B176BB" w:rsidRPr="000F2D4C">
        <w:t>,</w:t>
      </w:r>
      <w:r w:rsidRPr="000F2D4C">
        <w:t xml:space="preserve"> or choose not to answer particular questions.</w:t>
      </w:r>
    </w:p>
    <w:p w14:paraId="6617BA6B" w14:textId="77777777" w:rsidR="005D3B12" w:rsidRPr="000F2D4C" w:rsidRDefault="005D3B12" w:rsidP="005D3B12">
      <w:pPr>
        <w:pStyle w:val="ListBullet"/>
      </w:pPr>
      <w:r w:rsidRPr="000F2D4C">
        <w:t>Check they are somewhere they feel comfortable to have the discussion.</w:t>
      </w:r>
    </w:p>
    <w:p w14:paraId="375791A2" w14:textId="77777777" w:rsidR="005D3B12" w:rsidRPr="000F2D4C" w:rsidRDefault="005D3B12" w:rsidP="005D3B12">
      <w:pPr>
        <w:pStyle w:val="ListBullet"/>
      </w:pPr>
      <w:r w:rsidRPr="000F2D4C">
        <w:t>Advise them there are no right or wrong answers, you want to know what they really think.</w:t>
      </w:r>
    </w:p>
    <w:p w14:paraId="357AC9DF" w14:textId="02B02BE4" w:rsidR="005D3B12" w:rsidRPr="000F2D4C" w:rsidRDefault="005D3B12" w:rsidP="005D3B12">
      <w:pPr>
        <w:pStyle w:val="ListBullet"/>
      </w:pPr>
      <w:r w:rsidRPr="000F2D4C">
        <w:t>Remind them how the information they provide will be used in reporting and that they will not be identified in any way</w:t>
      </w:r>
      <w:r w:rsidR="004A48D5" w:rsidRPr="000F2D4C">
        <w:t>,</w:t>
      </w:r>
      <w:r w:rsidRPr="000F2D4C">
        <w:t xml:space="preserve"> to reinforce that the information they provide is confidential. </w:t>
      </w:r>
    </w:p>
    <w:p w14:paraId="429F3792" w14:textId="27255A0B" w:rsidR="005D3B12" w:rsidRPr="000F2D4C" w:rsidRDefault="005D3B12" w:rsidP="005D3B12">
      <w:pPr>
        <w:pStyle w:val="ListBullet"/>
      </w:pPr>
      <w:r w:rsidRPr="000F2D4C">
        <w:t xml:space="preserve">Explain that you have a duty of care to share what they have said if you are </w:t>
      </w:r>
      <w:r w:rsidR="004A48D5" w:rsidRPr="000F2D4C">
        <w:t>seriously</w:t>
      </w:r>
      <w:r w:rsidRPr="000F2D4C">
        <w:t xml:space="preserve"> concerned about their or someone else’s safety, but that this </w:t>
      </w:r>
      <w:r w:rsidR="00A378D6" w:rsidRPr="000F2D4C">
        <w:t>does not often happen</w:t>
      </w:r>
      <w:r w:rsidRPr="000F2D4C">
        <w:t xml:space="preserve"> and that you will tell them if you are going to do this.</w:t>
      </w:r>
      <w:r w:rsidR="00B85294" w:rsidRPr="000F2D4C">
        <w:t xml:space="preserve"> You should also advise them who you will be telling if you have to </w:t>
      </w:r>
      <w:r w:rsidR="008C5BE1" w:rsidRPr="000F2D4C">
        <w:t>do this.</w:t>
      </w:r>
    </w:p>
    <w:p w14:paraId="7123A16C" w14:textId="77777777" w:rsidR="005D3B12" w:rsidRPr="000F2D4C" w:rsidRDefault="005D3B12" w:rsidP="005D3B12">
      <w:pPr>
        <w:pStyle w:val="ListBullet"/>
      </w:pPr>
      <w:r w:rsidRPr="000F2D4C">
        <w:t xml:space="preserve">Ask if they have any questions before you begin. </w:t>
      </w:r>
    </w:p>
    <w:p w14:paraId="7EF48DB6" w14:textId="0449DF4C" w:rsidR="005D3B12" w:rsidRPr="000F2D4C" w:rsidRDefault="005D3B12" w:rsidP="005D3B12">
      <w:pPr>
        <w:pStyle w:val="ListBullet"/>
      </w:pPr>
      <w:r w:rsidRPr="000F2D4C">
        <w:t>If recording the interview, explain the purpose for doing so (e.g.</w:t>
      </w:r>
      <w:r w:rsidR="5224BD62" w:rsidRPr="000F2D4C">
        <w:t>,</w:t>
      </w:r>
      <w:r w:rsidRPr="000F2D4C">
        <w:t xml:space="preserve"> for notetaking purposes)</w:t>
      </w:r>
      <w:r w:rsidR="023BE534" w:rsidRPr="000F2D4C">
        <w:t>,</w:t>
      </w:r>
      <w:r w:rsidRPr="000F2D4C">
        <w:t xml:space="preserve"> and ask them if they are okay with this. If not, take notes.</w:t>
      </w:r>
    </w:p>
    <w:p w14:paraId="06ED8B76" w14:textId="77777777" w:rsidR="005D3B12" w:rsidRPr="000F2D4C" w:rsidRDefault="005D3B12" w:rsidP="005D3B12">
      <w:pPr>
        <w:pStyle w:val="ListBullet"/>
        <w:numPr>
          <w:ilvl w:val="0"/>
          <w:numId w:val="0"/>
        </w:numPr>
      </w:pPr>
    </w:p>
    <w:p w14:paraId="620BE995" w14:textId="04632A80" w:rsidR="005D3B12" w:rsidRPr="000F2D4C" w:rsidRDefault="005D3B12" w:rsidP="005D3B12">
      <w:pPr>
        <w:rPr>
          <w:b/>
          <w:bCs/>
        </w:rPr>
      </w:pPr>
      <w:r w:rsidRPr="000F2D4C">
        <w:rPr>
          <w:b/>
          <w:bCs/>
        </w:rPr>
        <w:t xml:space="preserve">During </w:t>
      </w:r>
      <w:r w:rsidR="20C05B19" w:rsidRPr="000F2D4C">
        <w:rPr>
          <w:b/>
          <w:bCs/>
        </w:rPr>
        <w:t xml:space="preserve">the </w:t>
      </w:r>
      <w:r w:rsidRPr="000F2D4C">
        <w:rPr>
          <w:b/>
          <w:bCs/>
        </w:rPr>
        <w:t>interview</w:t>
      </w:r>
    </w:p>
    <w:p w14:paraId="7E0CF069" w14:textId="09F02AC1" w:rsidR="005D3B12" w:rsidRPr="000F2D4C" w:rsidRDefault="005D3B12" w:rsidP="005D3B12">
      <w:pPr>
        <w:pStyle w:val="ListBullet"/>
      </w:pPr>
      <w:r w:rsidRPr="000F2D4C">
        <w:t xml:space="preserve">Check in with the participant at least once during the interview to make sure they are feeling </w:t>
      </w:r>
      <w:r w:rsidR="007A69BC" w:rsidRPr="000F2D4C">
        <w:t xml:space="preserve">alright </w:t>
      </w:r>
      <w:r w:rsidRPr="000F2D4C">
        <w:t xml:space="preserve">and ask whether they would like a break. </w:t>
      </w:r>
    </w:p>
    <w:p w14:paraId="516FF2F1" w14:textId="2983BDFF" w:rsidR="005D3B12" w:rsidRPr="000F2D4C" w:rsidRDefault="005D3B12" w:rsidP="005D3B12">
      <w:pPr>
        <w:pStyle w:val="ListBullet"/>
      </w:pPr>
      <w:r w:rsidRPr="000F2D4C">
        <w:t>Be attuned to the difference between someone reflecting emotionally on what was a difficult experience versus becoming distressed. Signs of distress may be overt – for example, shutting down, becoming quiet and withdrawn, dissociating – or more subtle, such as looking away.</w:t>
      </w:r>
      <w:r w:rsidR="00B5592F" w:rsidRPr="000F2D4C">
        <w:t xml:space="preserve"> But it is important not to make assumptions about the reasons for an individual’s behaviour and </w:t>
      </w:r>
      <w:r w:rsidR="4A62EB16" w:rsidRPr="000F2D4C">
        <w:t xml:space="preserve">to </w:t>
      </w:r>
      <w:r w:rsidR="00B5592F" w:rsidRPr="000F2D4C">
        <w:t>check in.</w:t>
      </w:r>
    </w:p>
    <w:p w14:paraId="4EC7D8B3" w14:textId="77777777" w:rsidR="005D3B12" w:rsidRPr="000F2D4C" w:rsidRDefault="005D3B12" w:rsidP="005D3B12">
      <w:pPr>
        <w:pStyle w:val="ListBullet"/>
      </w:pPr>
      <w:r w:rsidRPr="000F2D4C">
        <w:t>If the person becomes distressed, pause the interview and check in with the person. Assure them that it is completely okay to:</w:t>
      </w:r>
    </w:p>
    <w:p w14:paraId="63D11A00" w14:textId="77777777" w:rsidR="005D3B12" w:rsidRPr="000F2D4C" w:rsidRDefault="005D3B12" w:rsidP="00FC2CEE">
      <w:pPr>
        <w:pStyle w:val="ListBullet"/>
        <w:numPr>
          <w:ilvl w:val="0"/>
          <w:numId w:val="45"/>
        </w:numPr>
      </w:pPr>
      <w:r w:rsidRPr="000F2D4C">
        <w:t>take a break</w:t>
      </w:r>
    </w:p>
    <w:p w14:paraId="67DF5D12" w14:textId="77777777" w:rsidR="005D3B12" w:rsidRPr="000F2D4C" w:rsidRDefault="005D3B12" w:rsidP="00FC2CEE">
      <w:pPr>
        <w:pStyle w:val="ListBullet"/>
        <w:numPr>
          <w:ilvl w:val="0"/>
          <w:numId w:val="45"/>
        </w:numPr>
      </w:pPr>
      <w:r w:rsidRPr="000F2D4C">
        <w:t>not answer a particular question or group of questions</w:t>
      </w:r>
    </w:p>
    <w:p w14:paraId="49652DD7" w14:textId="77777777" w:rsidR="00E0558B" w:rsidRPr="000F2D4C" w:rsidRDefault="00E0558B" w:rsidP="00FC2CEE">
      <w:pPr>
        <w:pStyle w:val="ListBullet"/>
        <w:numPr>
          <w:ilvl w:val="0"/>
          <w:numId w:val="45"/>
        </w:numPr>
      </w:pPr>
      <w:r w:rsidRPr="000F2D4C">
        <w:t>pause the interview to resume at another time</w:t>
      </w:r>
    </w:p>
    <w:p w14:paraId="7F026B07" w14:textId="16508A25" w:rsidR="005D3B12" w:rsidRPr="000F2D4C" w:rsidRDefault="005D3B12" w:rsidP="00FC2CEE">
      <w:pPr>
        <w:pStyle w:val="ListBullet"/>
        <w:numPr>
          <w:ilvl w:val="0"/>
          <w:numId w:val="45"/>
        </w:numPr>
      </w:pPr>
      <w:r w:rsidRPr="000F2D4C">
        <w:t>or end the interview all together – if this is the case, let them know that none of the information they have provided in the interview will be used</w:t>
      </w:r>
      <w:r w:rsidR="005D1BB2" w:rsidRPr="000F2D4C">
        <w:t>, and that they will still be remunerated for their time.</w:t>
      </w:r>
    </w:p>
    <w:p w14:paraId="1AD0F68A" w14:textId="0ABAB933" w:rsidR="005D3B12" w:rsidRPr="000F2D4C" w:rsidRDefault="005D3B12" w:rsidP="005D3B12">
      <w:pPr>
        <w:pStyle w:val="ListBullet"/>
      </w:pPr>
      <w:r w:rsidRPr="000F2D4C">
        <w:t>Respect the participant’s decision about whether or not to continue the interview</w:t>
      </w:r>
      <w:r w:rsidR="0022418B" w:rsidRPr="000F2D4C">
        <w:t xml:space="preserve">. If they are upset but wish to continue, </w:t>
      </w:r>
      <w:r w:rsidRPr="000F2D4C">
        <w:t xml:space="preserve">adjust the pace of the interview. If appropriate, pause and allow the interviewee space to re-ground in the moment by sensing the space around them, or by reflecting on a question, such as </w:t>
      </w:r>
      <w:r w:rsidR="6E472A89" w:rsidRPr="000F2D4C">
        <w:t>“</w:t>
      </w:r>
      <w:r w:rsidRPr="000F2D4C">
        <w:t xml:space="preserve">can you tell me about all of the sounds you can hear at the moment where you are?" </w:t>
      </w:r>
    </w:p>
    <w:p w14:paraId="5D8EBD82" w14:textId="77777777" w:rsidR="005D3B12" w:rsidRPr="000F2D4C" w:rsidRDefault="005D3B12" w:rsidP="005D3B12">
      <w:pPr>
        <w:pStyle w:val="ListBullet"/>
      </w:pPr>
      <w:r w:rsidRPr="000F2D4C">
        <w:t>Remind the person about mental health support line numbers and provide those if necessary – acknowledging that some people may find these impersonal – and suggest the person contact their nominated support person.</w:t>
      </w:r>
    </w:p>
    <w:p w14:paraId="480918F7" w14:textId="5217F93D" w:rsidR="005D3B12" w:rsidRPr="000F2D4C" w:rsidRDefault="005D3B12" w:rsidP="005D3B12">
      <w:pPr>
        <w:pStyle w:val="ListBullet"/>
      </w:pPr>
      <w:r w:rsidRPr="000F2D4C">
        <w:t xml:space="preserve">If the person is still accessing the service they are providing feedback about, or they are a past service user, offer to reconnect the person to the service for support, provided they have not just raised any issues </w:t>
      </w:r>
      <w:r w:rsidR="001C39F0" w:rsidRPr="000F2D4C">
        <w:t xml:space="preserve">about </w:t>
      </w:r>
      <w:r w:rsidRPr="000F2D4C">
        <w:t>the service or their worker that would make this an inappropriate offer. If the latter is the case, refer the person to mental health support lines.</w:t>
      </w:r>
    </w:p>
    <w:p w14:paraId="200F956C" w14:textId="77777777" w:rsidR="005D3B12" w:rsidRPr="000F2D4C" w:rsidRDefault="005D3B12" w:rsidP="005D3B12">
      <w:pPr>
        <w:pStyle w:val="ListBullet"/>
        <w:numPr>
          <w:ilvl w:val="0"/>
          <w:numId w:val="0"/>
        </w:numPr>
        <w:ind w:left="360" w:hanging="360"/>
      </w:pPr>
    </w:p>
    <w:p w14:paraId="10E413F9" w14:textId="77777777" w:rsidR="005D3B12" w:rsidRPr="000F2D4C" w:rsidRDefault="005D3B12" w:rsidP="005D3B12">
      <w:pPr>
        <w:pStyle w:val="ListBullet"/>
        <w:numPr>
          <w:ilvl w:val="0"/>
          <w:numId w:val="0"/>
        </w:numPr>
        <w:spacing w:after="240"/>
        <w:ind w:left="360" w:hanging="360"/>
        <w:rPr>
          <w:b/>
          <w:bCs/>
        </w:rPr>
      </w:pPr>
      <w:r w:rsidRPr="000F2D4C">
        <w:rPr>
          <w:b/>
          <w:bCs/>
        </w:rPr>
        <w:t>End of the interview</w:t>
      </w:r>
    </w:p>
    <w:p w14:paraId="18DEF2BA" w14:textId="72649B2F" w:rsidR="005D3B12" w:rsidRPr="000F2D4C" w:rsidRDefault="005D3B12" w:rsidP="005D3B12">
      <w:pPr>
        <w:pStyle w:val="ListBullet"/>
      </w:pPr>
      <w:r w:rsidRPr="000F2D4C">
        <w:t>Thank the participant again for their time</w:t>
      </w:r>
      <w:r w:rsidR="001C39F0" w:rsidRPr="000F2D4C">
        <w:t xml:space="preserve">, openness and honesty, </w:t>
      </w:r>
      <w:r w:rsidRPr="000F2D4C">
        <w:t>and willingness to participate.</w:t>
      </w:r>
    </w:p>
    <w:p w14:paraId="3C12970C" w14:textId="77777777" w:rsidR="005D3B12" w:rsidRPr="000F2D4C" w:rsidRDefault="005D3B12" w:rsidP="005D3B12">
      <w:pPr>
        <w:pStyle w:val="ListBullet"/>
      </w:pPr>
      <w:r w:rsidRPr="000F2D4C">
        <w:t>Check in again about how they are feeling now the interview is over.</w:t>
      </w:r>
    </w:p>
    <w:p w14:paraId="30397A28" w14:textId="49D8461D" w:rsidR="005D3B12" w:rsidRPr="000F2D4C" w:rsidRDefault="005D3B12" w:rsidP="005D3B12">
      <w:pPr>
        <w:pStyle w:val="ListBullet"/>
      </w:pPr>
      <w:r w:rsidRPr="000F2D4C">
        <w:t xml:space="preserve">Remind them to practice self-care in whatever form that </w:t>
      </w:r>
      <w:r w:rsidR="00D93443" w:rsidRPr="000F2D4C">
        <w:t>takes for</w:t>
      </w:r>
      <w:r w:rsidRPr="000F2D4C">
        <w:t xml:space="preserve"> them (e.g.</w:t>
      </w:r>
      <w:r w:rsidR="2C70EC08" w:rsidRPr="000F2D4C">
        <w:t>,</w:t>
      </w:r>
      <w:r w:rsidRPr="000F2D4C">
        <w:t xml:space="preserve"> do something they enjoy</w:t>
      </w:r>
      <w:r w:rsidR="5E582DC1" w:rsidRPr="000F2D4C">
        <w:t>,</w:t>
      </w:r>
      <w:r w:rsidRPr="000F2D4C">
        <w:t xml:space="preserve"> like catching up with a friend or going for a walk) over the coming days. </w:t>
      </w:r>
    </w:p>
    <w:p w14:paraId="28101F5C" w14:textId="68F2E19F" w:rsidR="005D3B12" w:rsidRPr="000F2D4C" w:rsidRDefault="005D3B12" w:rsidP="005D3B12">
      <w:pPr>
        <w:pStyle w:val="ListBullet"/>
      </w:pPr>
      <w:r w:rsidRPr="000F2D4C">
        <w:t>If concerned, suggest they contact someone they would normally go to for support (e.g.</w:t>
      </w:r>
      <w:r w:rsidR="204E6ED2" w:rsidRPr="000F2D4C">
        <w:t>,</w:t>
      </w:r>
      <w:r w:rsidRPr="000F2D4C">
        <w:t xml:space="preserve"> a friend/ family member, GP, other clinical support) and remind them of the mental health support line numbers. For participants still accessing the service they are providing feedback about, or who have accessed the service in the past, offer to reconnect them to the service for further support. </w:t>
      </w:r>
    </w:p>
    <w:p w14:paraId="0D8FC333" w14:textId="3713BE3C" w:rsidR="005D3B12" w:rsidRPr="000F2D4C" w:rsidRDefault="005D3B12" w:rsidP="005D3B12">
      <w:pPr>
        <w:pStyle w:val="ListBullet"/>
      </w:pPr>
      <w:r w:rsidRPr="000F2D4C">
        <w:t>Advise the participant on next steps for analysis and reporting (be clear about whether or not the report will be published) and remind them about confidentiality. If the report is to be published, ask if they would like to be sent a copy.</w:t>
      </w:r>
    </w:p>
    <w:p w14:paraId="5F402689" w14:textId="77777777" w:rsidR="005D3B12" w:rsidRPr="000F2D4C" w:rsidRDefault="005D3B12" w:rsidP="005D3B12">
      <w:pPr>
        <w:pStyle w:val="ListBullet"/>
      </w:pPr>
      <w:r w:rsidRPr="000F2D4C">
        <w:lastRenderedPageBreak/>
        <w:t xml:space="preserve">Advise them that they can contact you at any point if there is anything they wish to add or retract.  </w:t>
      </w:r>
    </w:p>
    <w:p w14:paraId="3B1339A6" w14:textId="77777777" w:rsidR="005D3B12" w:rsidRPr="000F2D4C" w:rsidRDefault="005D3B12" w:rsidP="005D3B12">
      <w:pPr>
        <w:pStyle w:val="ListBullet"/>
      </w:pPr>
      <w:r w:rsidRPr="000F2D4C">
        <w:t>Let them know you will send a follow-up text or email, depending on their preference, the next day.</w:t>
      </w:r>
    </w:p>
    <w:p w14:paraId="35CAFF96" w14:textId="05684459" w:rsidR="00D15C6C" w:rsidRPr="000F2D4C" w:rsidRDefault="00D15C6C" w:rsidP="00D15C6C">
      <w:pPr>
        <w:pStyle w:val="ListBullet"/>
      </w:pPr>
      <w:r w:rsidRPr="000F2D4C">
        <w:t>Provide follow up check-in options for the participant if necessary (see ‘after the interview’).</w:t>
      </w:r>
    </w:p>
    <w:p w14:paraId="6B977403" w14:textId="77777777" w:rsidR="005D3B12" w:rsidRPr="000F2D4C" w:rsidRDefault="005D3B12" w:rsidP="005D3B12">
      <w:pPr>
        <w:pStyle w:val="ListBullet"/>
        <w:numPr>
          <w:ilvl w:val="0"/>
          <w:numId w:val="0"/>
        </w:numPr>
        <w:ind w:left="360" w:hanging="360"/>
      </w:pPr>
    </w:p>
    <w:p w14:paraId="2C4A87B5" w14:textId="23EAAAE2" w:rsidR="005D3B12" w:rsidRPr="000F2D4C" w:rsidRDefault="005D3B12" w:rsidP="005D3B12">
      <w:pPr>
        <w:pStyle w:val="ListBullet"/>
        <w:numPr>
          <w:ilvl w:val="0"/>
          <w:numId w:val="0"/>
        </w:numPr>
        <w:spacing w:after="240"/>
        <w:ind w:left="360" w:hanging="360"/>
        <w:rPr>
          <w:b/>
          <w:bCs/>
        </w:rPr>
      </w:pPr>
      <w:r w:rsidRPr="000F2D4C">
        <w:rPr>
          <w:b/>
          <w:bCs/>
        </w:rPr>
        <w:t>After the interview</w:t>
      </w:r>
    </w:p>
    <w:p w14:paraId="424504E5" w14:textId="77777777" w:rsidR="005D3B12" w:rsidRPr="000F2D4C" w:rsidRDefault="005D3B12" w:rsidP="005D3B12">
      <w:pPr>
        <w:pStyle w:val="ListBullet"/>
      </w:pPr>
      <w:r w:rsidRPr="000F2D4C">
        <w:t>Send a follow-up text or email the next day to:</w:t>
      </w:r>
    </w:p>
    <w:p w14:paraId="6CD98C5F" w14:textId="592C748F" w:rsidR="005D3B12" w:rsidRPr="000F2D4C" w:rsidRDefault="005D3B12" w:rsidP="005D3B12">
      <w:pPr>
        <w:pStyle w:val="ListBullet2"/>
      </w:pPr>
      <w:r w:rsidRPr="000F2D4C">
        <w:t>thank them for their contribution</w:t>
      </w:r>
      <w:r w:rsidR="002D5154" w:rsidRPr="000F2D4C">
        <w:t xml:space="preserve"> and explain how feedback will be considered/</w:t>
      </w:r>
      <w:r w:rsidR="61C72839" w:rsidRPr="000F2D4C">
        <w:t xml:space="preserve"> </w:t>
      </w:r>
      <w:r w:rsidR="002D5154" w:rsidRPr="000F2D4C">
        <w:t>what the next steps in the process might be</w:t>
      </w:r>
    </w:p>
    <w:p w14:paraId="70EB07C7" w14:textId="793DAFF1" w:rsidR="005D3B12" w:rsidRPr="000F2D4C" w:rsidRDefault="005D3B12" w:rsidP="005D3B12">
      <w:pPr>
        <w:pStyle w:val="ListBullet2"/>
      </w:pPr>
      <w:r w:rsidRPr="000F2D4C">
        <w:t>acknowledge that these experiences can cause discomfort or distress and  encourage people to consider self-care and remind them about the mental health support line numbers</w:t>
      </w:r>
    </w:p>
    <w:p w14:paraId="03965375" w14:textId="65C78AD3" w:rsidR="005D3B12" w:rsidRPr="000F2D4C" w:rsidRDefault="005D3B12" w:rsidP="005D3B12">
      <w:pPr>
        <w:pStyle w:val="ListBullet2"/>
      </w:pPr>
      <w:r w:rsidRPr="000F2D4C">
        <w:t>advise them of the amount they will be paid for participating, how this will be paid</w:t>
      </w:r>
      <w:r w:rsidR="0B1C0653" w:rsidRPr="000F2D4C">
        <w:t>,</w:t>
      </w:r>
      <w:r w:rsidRPr="000F2D4C">
        <w:t xml:space="preserve"> and when they can expect to receive the payment.</w:t>
      </w:r>
    </w:p>
    <w:p w14:paraId="45FC35E4" w14:textId="1B5D0FAC" w:rsidR="002D0553" w:rsidRPr="000F2D4C" w:rsidRDefault="002D0553" w:rsidP="0016251E">
      <w:pPr>
        <w:pStyle w:val="ListBullet2"/>
        <w:numPr>
          <w:ilvl w:val="0"/>
          <w:numId w:val="101"/>
        </w:numPr>
      </w:pPr>
      <w:r w:rsidRPr="000F2D4C">
        <w:t>You might also consider offering the person the opportunity to review their transcript if they would like.</w:t>
      </w:r>
    </w:p>
    <w:p w14:paraId="00B3DA0F" w14:textId="77777777" w:rsidR="00157B9F" w:rsidRPr="000F2D4C" w:rsidRDefault="00157B9F" w:rsidP="00157B9F">
      <w:pPr>
        <w:pStyle w:val="Heading1"/>
      </w:pPr>
      <w:bookmarkStart w:id="70" w:name="_Toc149919004"/>
      <w:r w:rsidRPr="000F2D4C">
        <w:lastRenderedPageBreak/>
        <w:t>Ensuring the evaluation is conducted ethically</w:t>
      </w:r>
      <w:bookmarkEnd w:id="70"/>
    </w:p>
    <w:p w14:paraId="0EC13137" w14:textId="2D774605" w:rsidR="00157B9F" w:rsidRPr="000F2D4C" w:rsidRDefault="00157B9F" w:rsidP="00157B9F">
      <w:r w:rsidRPr="000F2D4C">
        <w:t xml:space="preserve">All evaluation must be conducted ethically – whether or not you need formal approval of a Human Research Ethics Committee (HREC). The ethical issues that may arise during the conduct of </w:t>
      </w:r>
      <w:r w:rsidR="0FA1B8A3" w:rsidRPr="000F2D4C">
        <w:t xml:space="preserve">an </w:t>
      </w:r>
      <w:r w:rsidRPr="000F2D4C">
        <w:t xml:space="preserve">evaluation include protection of privacy and confidentiality, risk of possible distress to participants, and sharing or distribution of benefits.  </w:t>
      </w:r>
    </w:p>
    <w:p w14:paraId="2489D490" w14:textId="77777777" w:rsidR="00157B9F" w:rsidRPr="000F2D4C" w:rsidRDefault="00157B9F" w:rsidP="00157B9F">
      <w:pPr>
        <w:pStyle w:val="Heading2"/>
      </w:pPr>
      <w:bookmarkStart w:id="71" w:name="_Toc149919005"/>
      <w:r w:rsidRPr="000F2D4C">
        <w:t>Key ethical considerations</w:t>
      </w:r>
      <w:bookmarkEnd w:id="71"/>
    </w:p>
    <w:p w14:paraId="56AC6586" w14:textId="77777777" w:rsidR="00157B9F" w:rsidRPr="000F2D4C" w:rsidRDefault="00157B9F" w:rsidP="00157B9F">
      <w:r w:rsidRPr="000F2D4C">
        <w:t xml:space="preserve">The </w:t>
      </w:r>
      <w:hyperlink r:id="rId107" w:history="1">
        <w:r w:rsidRPr="000F2D4C">
          <w:rPr>
            <w:rStyle w:val="Hyperlink"/>
            <w:i/>
            <w:iCs/>
          </w:rPr>
          <w:t>National Statement on Ethical Conduct in Human Research (2023)</w:t>
        </w:r>
      </w:hyperlink>
      <w:r w:rsidRPr="000F2D4C">
        <w:t xml:space="preserve"> outlines how to ensure evaluations are conducted ethically. </w:t>
      </w:r>
    </w:p>
    <w:p w14:paraId="2EBFB9A2" w14:textId="77777777" w:rsidR="00157B9F" w:rsidRPr="000F2D4C" w:rsidRDefault="00157B9F" w:rsidP="00157B9F">
      <w:r w:rsidRPr="000F2D4C">
        <w:t xml:space="preserve">Key considerations for the ethical conduct of evaluations include the following components. </w:t>
      </w:r>
    </w:p>
    <w:p w14:paraId="0C4145E2" w14:textId="752DD959" w:rsidR="00157B9F" w:rsidRPr="000F2D4C" w:rsidRDefault="00157B9F" w:rsidP="00FC2CEE">
      <w:pPr>
        <w:pStyle w:val="ListParagraph"/>
        <w:numPr>
          <w:ilvl w:val="0"/>
          <w:numId w:val="48"/>
        </w:numPr>
      </w:pPr>
      <w:r w:rsidRPr="000F2D4C">
        <w:rPr>
          <w:b/>
          <w:bCs/>
        </w:rPr>
        <w:t>Informed consent</w:t>
      </w:r>
      <w:r w:rsidRPr="000F2D4C">
        <w:t>: People participating in an evaluation need to be aware of the purpose of the project, who or what group is funding it, how the findings will be used, if there are any potential adverse impacts of their participation</w:t>
      </w:r>
      <w:r w:rsidR="168B7F5B" w:rsidRPr="000F2D4C">
        <w:t>,</w:t>
      </w:r>
      <w:r w:rsidRPr="000F2D4C">
        <w:t xml:space="preserve"> and who will have access to the findings. The main purpose of informed consent is to ensure that the participant </w:t>
      </w:r>
      <w:r w:rsidR="008A3A0D" w:rsidRPr="000F2D4C">
        <w:t>has all the information they need to be</w:t>
      </w:r>
      <w:r w:rsidRPr="000F2D4C">
        <w:t xml:space="preserve"> able to make an informed decision as to whether they will participate in the evaluation or not. Additional information should also be provided in the event that the participant becomes distressed in any way during their participation.</w:t>
      </w:r>
    </w:p>
    <w:p w14:paraId="3F22B443" w14:textId="77777777" w:rsidR="00157B9F" w:rsidRPr="000F2D4C" w:rsidRDefault="00157B9F" w:rsidP="00157B9F">
      <w:pPr>
        <w:pStyle w:val="ListParagraph"/>
      </w:pPr>
    </w:p>
    <w:p w14:paraId="316A3AEB" w14:textId="77777777" w:rsidR="00157B9F" w:rsidRPr="000F2D4C" w:rsidRDefault="00157B9F" w:rsidP="00FC2CEE">
      <w:pPr>
        <w:pStyle w:val="ListParagraph"/>
        <w:numPr>
          <w:ilvl w:val="0"/>
          <w:numId w:val="48"/>
        </w:numPr>
      </w:pPr>
      <w:r w:rsidRPr="000F2D4C">
        <w:rPr>
          <w:b/>
          <w:bCs/>
        </w:rPr>
        <w:t>Voluntary participation</w:t>
      </w:r>
      <w:r w:rsidRPr="000F2D4C">
        <w:t>: This means that people participate in the evaluation free from coercion. Participants are free to not participate in the evaluation at all, or to withdraw their participation at any time without negatively impacting on their involvement in the program (or future programs). It is the right of participants to leave a program of this nature at any time, therefore no pressure should be placed on those who choose not to continue. Explanations are also not required.</w:t>
      </w:r>
    </w:p>
    <w:p w14:paraId="53631546" w14:textId="77777777" w:rsidR="00157B9F" w:rsidRPr="000F2D4C" w:rsidRDefault="00157B9F" w:rsidP="00157B9F">
      <w:pPr>
        <w:pStyle w:val="ListParagraph"/>
        <w:ind w:left="360"/>
      </w:pPr>
    </w:p>
    <w:p w14:paraId="1B33F859" w14:textId="4744016B" w:rsidR="00157B9F" w:rsidRPr="000F2D4C" w:rsidRDefault="00157B9F" w:rsidP="00FC2CEE">
      <w:pPr>
        <w:pStyle w:val="ListParagraph"/>
        <w:numPr>
          <w:ilvl w:val="0"/>
          <w:numId w:val="48"/>
        </w:numPr>
      </w:pPr>
      <w:r w:rsidRPr="000F2D4C">
        <w:rPr>
          <w:b/>
          <w:bCs/>
        </w:rPr>
        <w:t>Do no harm</w:t>
      </w:r>
      <w:r w:rsidRPr="000F2D4C">
        <w:t>: Harm can be both physical and/or psychological and, therefore, can be in the form of stress, pain, anxiety, diminishing self-esteem</w:t>
      </w:r>
      <w:r w:rsidR="0B9A953D" w:rsidRPr="000F2D4C">
        <w:t>,</w:t>
      </w:r>
      <w:r w:rsidRPr="000F2D4C">
        <w:t xml:space="preserve"> or an invasion of privacy. It is very important that the evaluation process does not in any way harm (unintended or otherwise) participants.</w:t>
      </w:r>
    </w:p>
    <w:p w14:paraId="33CB209C" w14:textId="77777777" w:rsidR="00157B9F" w:rsidRPr="000F2D4C" w:rsidRDefault="00157B9F" w:rsidP="00157B9F">
      <w:pPr>
        <w:pStyle w:val="ListParagraph"/>
        <w:ind w:left="360"/>
      </w:pPr>
    </w:p>
    <w:p w14:paraId="12AED5F2" w14:textId="7A4257AF" w:rsidR="00157B9F" w:rsidRPr="000F2D4C" w:rsidRDefault="00157B9F" w:rsidP="00FC2CEE">
      <w:pPr>
        <w:pStyle w:val="ListParagraph"/>
        <w:numPr>
          <w:ilvl w:val="0"/>
          <w:numId w:val="48"/>
        </w:numPr>
      </w:pPr>
      <w:r w:rsidRPr="000F2D4C">
        <w:rPr>
          <w:b/>
          <w:bCs/>
        </w:rPr>
        <w:t>Confidentiality</w:t>
      </w:r>
      <w:r w:rsidRPr="000F2D4C">
        <w:t>: This means that any identifying information is not made available to, or accessed by</w:t>
      </w:r>
      <w:r w:rsidR="4015F1FB" w:rsidRPr="000F2D4C">
        <w:t>,</w:t>
      </w:r>
      <w:r w:rsidRPr="000F2D4C">
        <w:t xml:space="preserve"> anyone but the evaluators. Confidentiality also ensures such identifying information is excluded from any reports or published documents. Given that there may be small numbers of participants in some programs, it is very important to consider how reports are worded to ensure that there is no opportunity for people to be identified even though names are not used.</w:t>
      </w:r>
    </w:p>
    <w:p w14:paraId="58524D26" w14:textId="0A1708D9" w:rsidR="00157B9F" w:rsidRPr="000F2D4C" w:rsidRDefault="00157B9F" w:rsidP="00157B9F">
      <w:pPr>
        <w:pStyle w:val="Heading2"/>
      </w:pPr>
      <w:bookmarkStart w:id="72" w:name="_Toc146206792"/>
      <w:bookmarkStart w:id="73" w:name="_Toc149919006"/>
      <w:r w:rsidRPr="000F2D4C">
        <w:lastRenderedPageBreak/>
        <w:t xml:space="preserve">Formal </w:t>
      </w:r>
      <w:r w:rsidR="00C36A78" w:rsidRPr="000F2D4C">
        <w:t>e</w:t>
      </w:r>
      <w:r w:rsidRPr="000F2D4C">
        <w:t>thics approval</w:t>
      </w:r>
      <w:bookmarkEnd w:id="72"/>
      <w:bookmarkEnd w:id="73"/>
    </w:p>
    <w:p w14:paraId="68669966" w14:textId="619DF597" w:rsidR="00157B9F" w:rsidRPr="000F2D4C" w:rsidRDefault="00157B9F" w:rsidP="00157B9F">
      <w:r w:rsidRPr="000F2D4C">
        <w:t>The distinction between research and evaluation is somewhat blurred and it can be difficult to judge whether formal ethics approval is required. Triggers for considering formal ethical review include an intention to use the data for secondary purposes (such as publication), to compare groups of people, or to test non-standard or innovative protocols or models of care</w:t>
      </w:r>
      <w:r w:rsidRPr="000F2D4C">
        <w:rPr>
          <w:rStyle w:val="FootnoteReference"/>
        </w:rPr>
        <w:footnoteReference w:id="42"/>
      </w:r>
      <w:r w:rsidRPr="000F2D4C">
        <w:t>. The use of linked administrative data will almost always require formal ethical review. When Aboriginal and Torres Strait Islander people are represented among people who access the programs and services being evaluated at a higher proportion than exists in the population as a whole</w:t>
      </w:r>
      <w:r w:rsidR="162B5FE5" w:rsidRPr="000F2D4C">
        <w:t>,</w:t>
      </w:r>
      <w:r w:rsidRPr="000F2D4C">
        <w:t xml:space="preserve"> there is a greater likelihood of the need for ethics approval</w:t>
      </w:r>
      <w:r w:rsidRPr="000F2D4C">
        <w:rPr>
          <w:rStyle w:val="FootnoteReference"/>
        </w:rPr>
        <w:footnoteReference w:id="43"/>
      </w:r>
      <w:r w:rsidRPr="000F2D4C">
        <w:rPr>
          <w:vertAlign w:val="superscript"/>
        </w:rPr>
        <w:t>,</w:t>
      </w:r>
      <w:r w:rsidRPr="000F2D4C">
        <w:rPr>
          <w:rStyle w:val="FootnoteReference"/>
        </w:rPr>
        <w:footnoteReference w:id="44"/>
      </w:r>
      <w:r w:rsidRPr="000F2D4C">
        <w:t xml:space="preserve">. Evaluations of programs for Aboriginal and Torres Strait Islander communities and those involving analysis of outcomes for Aboriginal and Torres Strait Islander communities will also have additional ethical considerations (see section </w:t>
      </w:r>
      <w:r w:rsidR="00984436" w:rsidRPr="000F2D4C">
        <w:t>8.3</w:t>
      </w:r>
      <w:r w:rsidRPr="000F2D4C">
        <w:t>).</w:t>
      </w:r>
    </w:p>
    <w:p w14:paraId="4317BBCA" w14:textId="433986A1" w:rsidR="00157B9F" w:rsidRPr="000F2D4C" w:rsidRDefault="00157B9F" w:rsidP="00157B9F">
      <w:r w:rsidRPr="000F2D4C">
        <w:t xml:space="preserve">The </w:t>
      </w:r>
      <w:r w:rsidRPr="000F2D4C">
        <w:rPr>
          <w:i/>
        </w:rPr>
        <w:t>National Statement on Ethical Conduct in Human Research 2023</w:t>
      </w:r>
      <w:r w:rsidRPr="000F2D4C">
        <w:t xml:space="preserve"> (the National Statement) states that formal ethics approval by a Human Research Ethics Committee is required when research exceeds a ‘lower risk’ rating</w:t>
      </w:r>
      <w:r w:rsidRPr="000F2D4C">
        <w:rPr>
          <w:rStyle w:val="FootnoteReference"/>
        </w:rPr>
        <w:footnoteReference w:id="45"/>
      </w:r>
      <w:r w:rsidRPr="000F2D4C">
        <w:t xml:space="preserve">. These ratings are given by the extent of the potential </w:t>
      </w:r>
      <w:r w:rsidRPr="000F2D4C">
        <w:rPr>
          <w:i/>
        </w:rPr>
        <w:t>harm</w:t>
      </w:r>
      <w:r w:rsidRPr="000F2D4C">
        <w:t xml:space="preserve"> or </w:t>
      </w:r>
      <w:r w:rsidRPr="000F2D4C">
        <w:rPr>
          <w:i/>
        </w:rPr>
        <w:t>discomfort</w:t>
      </w:r>
      <w:r w:rsidRPr="000F2D4C">
        <w:t xml:space="preserve"> caused by the research (Table </w:t>
      </w:r>
      <w:r w:rsidR="00E61B63" w:rsidRPr="000F2D4C">
        <w:t>10</w:t>
      </w:r>
      <w:r w:rsidRPr="000F2D4C">
        <w:t xml:space="preserve">). Organisations may choose to review research under alternative processes if it does not exceed a lower risk rating. </w:t>
      </w:r>
    </w:p>
    <w:p w14:paraId="008C1724" w14:textId="77777777" w:rsidR="00157B9F" w:rsidRPr="000F2D4C" w:rsidRDefault="00157B9F" w:rsidP="00157B9F">
      <w:pPr>
        <w:pStyle w:val="TableHeading"/>
      </w:pPr>
      <w:r w:rsidRPr="000F2D4C">
        <w:t xml:space="preserve">Assessing ethical risk </w:t>
      </w:r>
    </w:p>
    <w:tbl>
      <w:tblPr>
        <w:tblStyle w:val="ARTDTable"/>
        <w:tblW w:w="0" w:type="auto"/>
        <w:tblLook w:val="04A0" w:firstRow="1" w:lastRow="0" w:firstColumn="1" w:lastColumn="0" w:noHBand="0" w:noVBand="1"/>
      </w:tblPr>
      <w:tblGrid>
        <w:gridCol w:w="2005"/>
        <w:gridCol w:w="2020"/>
        <w:gridCol w:w="4138"/>
      </w:tblGrid>
      <w:tr w:rsidR="00157B9F" w:rsidRPr="000F2D4C" w14:paraId="3E82334B" w14:textId="77777777">
        <w:trPr>
          <w:cnfStyle w:val="100000000000" w:firstRow="1" w:lastRow="0" w:firstColumn="0" w:lastColumn="0" w:oddVBand="0" w:evenVBand="0" w:oddHBand="0" w:evenHBand="0" w:firstRowFirstColumn="0" w:firstRowLastColumn="0" w:lastRowFirstColumn="0" w:lastRowLastColumn="0"/>
        </w:trPr>
        <w:tc>
          <w:tcPr>
            <w:tcW w:w="2005" w:type="dxa"/>
          </w:tcPr>
          <w:p w14:paraId="196082FE" w14:textId="77777777" w:rsidR="00157B9F" w:rsidRPr="000F2D4C" w:rsidRDefault="00157B9F">
            <w:pPr>
              <w:pStyle w:val="Tablecolumnheading"/>
            </w:pPr>
            <w:r w:rsidRPr="000F2D4C">
              <w:t>Risk</w:t>
            </w:r>
          </w:p>
        </w:tc>
        <w:tc>
          <w:tcPr>
            <w:tcW w:w="2020" w:type="dxa"/>
          </w:tcPr>
          <w:p w14:paraId="268E059F" w14:textId="77777777" w:rsidR="00157B9F" w:rsidRPr="000F2D4C" w:rsidRDefault="00157B9F">
            <w:pPr>
              <w:pStyle w:val="Tablecolumnheading"/>
            </w:pPr>
            <w:r w:rsidRPr="000F2D4C">
              <w:t>Sub-risk</w:t>
            </w:r>
          </w:p>
        </w:tc>
        <w:tc>
          <w:tcPr>
            <w:tcW w:w="4138" w:type="dxa"/>
          </w:tcPr>
          <w:p w14:paraId="317A5E58" w14:textId="77777777" w:rsidR="00157B9F" w:rsidRPr="000F2D4C" w:rsidRDefault="00157B9F">
            <w:pPr>
              <w:pStyle w:val="Tablecolumnheading"/>
            </w:pPr>
            <w:r w:rsidRPr="000F2D4C">
              <w:t>Description</w:t>
            </w:r>
          </w:p>
        </w:tc>
      </w:tr>
      <w:tr w:rsidR="00610B9C" w:rsidRPr="000F2D4C" w14:paraId="3E93F34C" w14:textId="77777777">
        <w:trPr>
          <w:cnfStyle w:val="000000100000" w:firstRow="0" w:lastRow="0" w:firstColumn="0" w:lastColumn="0" w:oddVBand="0" w:evenVBand="0" w:oddHBand="1" w:evenHBand="0" w:firstRowFirstColumn="0" w:firstRowLastColumn="0" w:lastRowFirstColumn="0" w:lastRowLastColumn="0"/>
        </w:trPr>
        <w:tc>
          <w:tcPr>
            <w:tcW w:w="2005" w:type="dxa"/>
            <w:shd w:val="clear" w:color="auto" w:fill="auto"/>
            <w:vAlign w:val="center"/>
          </w:tcPr>
          <w:p w14:paraId="23F693DC" w14:textId="77777777" w:rsidR="00610B9C" w:rsidRPr="000F2D4C" w:rsidRDefault="00610B9C">
            <w:pPr>
              <w:pStyle w:val="Tablebodytext"/>
            </w:pPr>
            <w:r w:rsidRPr="000F2D4C">
              <w:t>Lower risk</w:t>
            </w:r>
          </w:p>
        </w:tc>
        <w:tc>
          <w:tcPr>
            <w:tcW w:w="2020" w:type="dxa"/>
            <w:shd w:val="clear" w:color="auto" w:fill="auto"/>
            <w:vAlign w:val="center"/>
          </w:tcPr>
          <w:p w14:paraId="4593255B" w14:textId="77777777" w:rsidR="00610B9C" w:rsidRPr="000F2D4C" w:rsidRDefault="00610B9C">
            <w:pPr>
              <w:pStyle w:val="Tablebodytext"/>
            </w:pPr>
            <w:r w:rsidRPr="000F2D4C">
              <w:t>Minimal</w:t>
            </w:r>
          </w:p>
        </w:tc>
        <w:tc>
          <w:tcPr>
            <w:tcW w:w="4138" w:type="dxa"/>
            <w:shd w:val="clear" w:color="auto" w:fill="auto"/>
          </w:tcPr>
          <w:p w14:paraId="390CE402" w14:textId="77777777" w:rsidR="00610B9C" w:rsidRPr="000F2D4C" w:rsidRDefault="00610B9C">
            <w:pPr>
              <w:pStyle w:val="Tablebodytext"/>
            </w:pPr>
            <w:r w:rsidRPr="000F2D4C">
              <w:t>No risk of harm or discomfort; potential for minor burden or inconvenience</w:t>
            </w:r>
          </w:p>
        </w:tc>
      </w:tr>
      <w:tr w:rsidR="00610B9C" w:rsidRPr="000F2D4C" w14:paraId="70A29B48" w14:textId="77777777">
        <w:trPr>
          <w:cnfStyle w:val="000000010000" w:firstRow="0" w:lastRow="0" w:firstColumn="0" w:lastColumn="0" w:oddVBand="0" w:evenVBand="0" w:oddHBand="0" w:evenHBand="1" w:firstRowFirstColumn="0" w:firstRowLastColumn="0" w:lastRowFirstColumn="0" w:lastRowLastColumn="0"/>
        </w:trPr>
        <w:tc>
          <w:tcPr>
            <w:tcW w:w="2005" w:type="dxa"/>
            <w:shd w:val="clear" w:color="auto" w:fill="auto"/>
          </w:tcPr>
          <w:p w14:paraId="4CE98AE4" w14:textId="77777777" w:rsidR="00610B9C" w:rsidRPr="000F2D4C" w:rsidRDefault="00610B9C">
            <w:pPr>
              <w:pStyle w:val="Tablebodytext"/>
            </w:pPr>
          </w:p>
        </w:tc>
        <w:tc>
          <w:tcPr>
            <w:tcW w:w="2020" w:type="dxa"/>
            <w:shd w:val="clear" w:color="auto" w:fill="auto"/>
            <w:vAlign w:val="center"/>
          </w:tcPr>
          <w:p w14:paraId="36823654" w14:textId="77777777" w:rsidR="00610B9C" w:rsidRPr="000F2D4C" w:rsidRDefault="00610B9C">
            <w:pPr>
              <w:pStyle w:val="Tablebodytext"/>
            </w:pPr>
            <w:r w:rsidRPr="000F2D4C">
              <w:t>Low</w:t>
            </w:r>
          </w:p>
        </w:tc>
        <w:tc>
          <w:tcPr>
            <w:tcW w:w="4138" w:type="dxa"/>
            <w:shd w:val="clear" w:color="auto" w:fill="auto"/>
          </w:tcPr>
          <w:p w14:paraId="3C6B04C4" w14:textId="77777777" w:rsidR="00610B9C" w:rsidRPr="000F2D4C" w:rsidRDefault="00610B9C">
            <w:pPr>
              <w:pStyle w:val="Tablebodytext"/>
            </w:pPr>
            <w:r w:rsidRPr="000F2D4C">
              <w:t>No risk of harm; risk of discomfort (with acknowledgement of potential burden)</w:t>
            </w:r>
          </w:p>
        </w:tc>
      </w:tr>
      <w:tr w:rsidR="00610B9C" w:rsidRPr="000F2D4C" w14:paraId="0302091F" w14:textId="77777777">
        <w:trPr>
          <w:cnfStyle w:val="000000100000" w:firstRow="0" w:lastRow="0" w:firstColumn="0" w:lastColumn="0" w:oddVBand="0" w:evenVBand="0" w:oddHBand="1" w:evenHBand="0" w:firstRowFirstColumn="0" w:firstRowLastColumn="0" w:lastRowFirstColumn="0" w:lastRowLastColumn="0"/>
        </w:trPr>
        <w:tc>
          <w:tcPr>
            <w:tcW w:w="2005" w:type="dxa"/>
            <w:shd w:val="clear" w:color="auto" w:fill="auto"/>
            <w:vAlign w:val="center"/>
          </w:tcPr>
          <w:p w14:paraId="292C0F52" w14:textId="77777777" w:rsidR="00610B9C" w:rsidRPr="000F2D4C" w:rsidRDefault="00610B9C">
            <w:pPr>
              <w:pStyle w:val="Tablebodytext"/>
            </w:pPr>
            <w:r w:rsidRPr="000F2D4C">
              <w:t>Higher risk</w:t>
            </w:r>
          </w:p>
        </w:tc>
        <w:tc>
          <w:tcPr>
            <w:tcW w:w="2020" w:type="dxa"/>
            <w:shd w:val="clear" w:color="auto" w:fill="auto"/>
            <w:vAlign w:val="center"/>
          </w:tcPr>
          <w:p w14:paraId="1A548180" w14:textId="77777777" w:rsidR="00610B9C" w:rsidRPr="000F2D4C" w:rsidRDefault="00610B9C">
            <w:pPr>
              <w:pStyle w:val="Tablebodytext"/>
            </w:pPr>
            <w:r w:rsidRPr="000F2D4C">
              <w:t>Greater than low</w:t>
            </w:r>
          </w:p>
        </w:tc>
        <w:tc>
          <w:tcPr>
            <w:tcW w:w="4138" w:type="dxa"/>
            <w:shd w:val="clear" w:color="auto" w:fill="auto"/>
          </w:tcPr>
          <w:p w14:paraId="36F8D4A2" w14:textId="77777777" w:rsidR="00610B9C" w:rsidRPr="000F2D4C" w:rsidRDefault="00610B9C">
            <w:pPr>
              <w:pStyle w:val="Tablebodytext"/>
            </w:pPr>
            <w:r w:rsidRPr="000F2D4C">
              <w:t>Risk of harm (with acknowledgement of potential burden)</w:t>
            </w:r>
          </w:p>
        </w:tc>
      </w:tr>
      <w:tr w:rsidR="00610B9C" w:rsidRPr="000F2D4C" w14:paraId="74B42415" w14:textId="77777777">
        <w:trPr>
          <w:cnfStyle w:val="000000010000" w:firstRow="0" w:lastRow="0" w:firstColumn="0" w:lastColumn="0" w:oddVBand="0" w:evenVBand="0" w:oddHBand="0" w:evenHBand="1" w:firstRowFirstColumn="0" w:firstRowLastColumn="0" w:lastRowFirstColumn="0" w:lastRowLastColumn="0"/>
        </w:trPr>
        <w:tc>
          <w:tcPr>
            <w:tcW w:w="2005" w:type="dxa"/>
            <w:shd w:val="clear" w:color="auto" w:fill="auto"/>
          </w:tcPr>
          <w:p w14:paraId="00249B92" w14:textId="77777777" w:rsidR="00610B9C" w:rsidRPr="000F2D4C" w:rsidRDefault="00610B9C">
            <w:pPr>
              <w:pStyle w:val="Tablebodytext"/>
              <w:rPr>
                <w:color w:val="auto"/>
              </w:rPr>
            </w:pPr>
          </w:p>
        </w:tc>
        <w:tc>
          <w:tcPr>
            <w:tcW w:w="2020" w:type="dxa"/>
            <w:shd w:val="clear" w:color="auto" w:fill="auto"/>
            <w:vAlign w:val="center"/>
          </w:tcPr>
          <w:p w14:paraId="1770D116" w14:textId="77777777" w:rsidR="00610B9C" w:rsidRPr="000F2D4C" w:rsidRDefault="00610B9C">
            <w:pPr>
              <w:pStyle w:val="Tablebodytext"/>
              <w:rPr>
                <w:color w:val="auto"/>
              </w:rPr>
            </w:pPr>
            <w:r w:rsidRPr="000F2D4C">
              <w:rPr>
                <w:color w:val="auto"/>
              </w:rPr>
              <w:t>High</w:t>
            </w:r>
          </w:p>
        </w:tc>
        <w:tc>
          <w:tcPr>
            <w:tcW w:w="4138" w:type="dxa"/>
            <w:shd w:val="clear" w:color="auto" w:fill="auto"/>
          </w:tcPr>
          <w:p w14:paraId="5E12076F" w14:textId="77777777" w:rsidR="00610B9C" w:rsidRPr="000F2D4C" w:rsidRDefault="00610B9C">
            <w:pPr>
              <w:pStyle w:val="Tablebodytext"/>
              <w:rPr>
                <w:color w:val="auto"/>
              </w:rPr>
            </w:pPr>
            <w:r w:rsidRPr="000F2D4C">
              <w:rPr>
                <w:color w:val="auto"/>
              </w:rPr>
              <w:t>Risk of significant harm (</w:t>
            </w:r>
            <w:r w:rsidRPr="000F2D4C">
              <w:t>with acknowledgement of potential</w:t>
            </w:r>
            <w:r w:rsidRPr="000F2D4C">
              <w:rPr>
                <w:color w:val="auto"/>
              </w:rPr>
              <w:t xml:space="preserve"> burden)</w:t>
            </w:r>
          </w:p>
        </w:tc>
      </w:tr>
    </w:tbl>
    <w:p w14:paraId="3DD93603" w14:textId="6048247C" w:rsidR="00157B9F" w:rsidRPr="000F2D4C" w:rsidRDefault="00157B9F" w:rsidP="00157B9F">
      <w:pPr>
        <w:pStyle w:val="Heading2"/>
      </w:pPr>
      <w:bookmarkStart w:id="74" w:name="_Toc149919007"/>
      <w:r w:rsidRPr="000F2D4C">
        <w:lastRenderedPageBreak/>
        <w:t>Ethical requirements for evaluations involving A</w:t>
      </w:r>
      <w:r w:rsidR="00984436" w:rsidRPr="000F2D4C">
        <w:t>b</w:t>
      </w:r>
      <w:r w:rsidRPr="000F2D4C">
        <w:t>original and Torres Strait Islander communities</w:t>
      </w:r>
      <w:bookmarkEnd w:id="74"/>
    </w:p>
    <w:p w14:paraId="50F9D8A5" w14:textId="6791B05B" w:rsidR="00157B9F" w:rsidRPr="000F2D4C" w:rsidRDefault="00157B9F" w:rsidP="00157B9F">
      <w:r w:rsidRPr="000F2D4C">
        <w:t xml:space="preserve">Evaluations of </w:t>
      </w:r>
      <w:r w:rsidRPr="000F2D4C">
        <w:rPr>
          <w:rFonts w:asciiTheme="majorHAnsi" w:hAnsiTheme="majorHAnsi" w:cstheme="majorBidi"/>
        </w:rPr>
        <w:t>Aboriginal and Torres Strait Islander</w:t>
      </w:r>
      <w:r w:rsidR="3B38C3B6" w:rsidRPr="000F2D4C">
        <w:rPr>
          <w:rFonts w:asciiTheme="majorHAnsi" w:hAnsiTheme="majorHAnsi" w:cstheme="majorBidi"/>
        </w:rPr>
        <w:t>-</w:t>
      </w:r>
      <w:r w:rsidRPr="000F2D4C">
        <w:rPr>
          <w:rFonts w:asciiTheme="majorHAnsi" w:hAnsiTheme="majorHAnsi" w:cstheme="majorBidi"/>
        </w:rPr>
        <w:t>specific programs and mainstream programs with analysis of outcomes for Aboriginal and Torres Strait Islander communities have specific ethics approval requirements.</w:t>
      </w:r>
    </w:p>
    <w:p w14:paraId="1BF91DB1" w14:textId="77777777" w:rsidR="00157B9F" w:rsidRPr="000F2D4C" w:rsidRDefault="00157B9F" w:rsidP="00157B9F">
      <w:pPr>
        <w:rPr>
          <w:rFonts w:asciiTheme="majorHAnsi" w:hAnsiTheme="majorHAnsi" w:cstheme="majorBidi"/>
        </w:rPr>
      </w:pPr>
      <w:r w:rsidRPr="000F2D4C">
        <w:rPr>
          <w:rFonts w:asciiTheme="majorHAnsi" w:hAnsiTheme="majorHAnsi" w:cstheme="majorBidi"/>
        </w:rPr>
        <w:t>Evaluations must demonstrate the core values of responsibility, reciprocity, respect, equality, survival and protection, and spirit and integrity; together with core principles related to consent, research agreements, cultural and intellectual property and cultural competency.</w:t>
      </w:r>
      <w:r w:rsidRPr="000F2D4C">
        <w:rPr>
          <w:rStyle w:val="FootnoteReference"/>
        </w:rPr>
        <w:footnoteReference w:id="46"/>
      </w:r>
      <w:r w:rsidRPr="000F2D4C">
        <w:rPr>
          <w:rFonts w:asciiTheme="majorHAnsi" w:hAnsiTheme="majorHAnsi" w:cstheme="majorBidi"/>
          <w:vertAlign w:val="superscript"/>
        </w:rPr>
        <w:t>,</w:t>
      </w:r>
      <w:r w:rsidRPr="000F2D4C">
        <w:rPr>
          <w:rStyle w:val="FootnoteReference"/>
          <w:rFonts w:asciiTheme="majorHAnsi" w:hAnsiTheme="majorHAnsi" w:cstheme="majorBidi"/>
        </w:rPr>
        <w:footnoteReference w:id="47"/>
      </w:r>
      <w:r w:rsidRPr="000F2D4C">
        <w:rPr>
          <w:rFonts w:asciiTheme="majorHAnsi" w:hAnsiTheme="majorHAnsi" w:cstheme="majorBidi"/>
          <w:vertAlign w:val="superscript"/>
        </w:rPr>
        <w:t>,</w:t>
      </w:r>
      <w:r w:rsidRPr="000F2D4C">
        <w:rPr>
          <w:rStyle w:val="FootnoteReference"/>
          <w:rFonts w:asciiTheme="majorHAnsi" w:hAnsiTheme="majorHAnsi" w:cstheme="majorBidi"/>
        </w:rPr>
        <w:footnoteReference w:id="48"/>
      </w:r>
      <w:r w:rsidRPr="000F2D4C">
        <w:rPr>
          <w:rFonts w:asciiTheme="majorHAnsi" w:hAnsiTheme="majorHAnsi" w:cstheme="majorBidi"/>
        </w:rPr>
        <w:t xml:space="preserve"> </w:t>
      </w:r>
    </w:p>
    <w:p w14:paraId="3EF4CA6B" w14:textId="77777777" w:rsidR="00157B9F" w:rsidRPr="000F2D4C" w:rsidRDefault="00157B9F" w:rsidP="00157B9F">
      <w:pPr>
        <w:rPr>
          <w:rFonts w:asciiTheme="majorHAnsi" w:hAnsiTheme="majorHAnsi" w:cstheme="majorHAnsi"/>
        </w:rPr>
      </w:pPr>
      <w:r w:rsidRPr="000F2D4C">
        <w:rPr>
          <w:rFonts w:asciiTheme="majorHAnsi" w:hAnsiTheme="majorHAnsi" w:cstheme="majorBidi"/>
        </w:rPr>
        <w:t xml:space="preserve">A culturally safe evaluation: </w:t>
      </w:r>
    </w:p>
    <w:p w14:paraId="500650C6" w14:textId="77777777" w:rsidR="00157B9F" w:rsidRPr="000F2D4C" w:rsidRDefault="00157B9F" w:rsidP="00157B9F">
      <w:pPr>
        <w:pStyle w:val="ListBullet"/>
      </w:pPr>
      <w:r w:rsidRPr="000F2D4C">
        <w:t>recognises the diversity and uniqueness of peoples and individuals</w:t>
      </w:r>
    </w:p>
    <w:p w14:paraId="1D5596F8" w14:textId="77777777" w:rsidR="00157B9F" w:rsidRPr="000F2D4C" w:rsidRDefault="00157B9F" w:rsidP="00157B9F">
      <w:pPr>
        <w:pStyle w:val="ListBullet"/>
      </w:pPr>
      <w:bookmarkStart w:id="75" w:name="_Hlk533439100"/>
      <w:r w:rsidRPr="000F2D4C">
        <w:t>recognises Aboriginal rights to self-determination and rights to control of research about their communities</w:t>
      </w:r>
    </w:p>
    <w:bookmarkEnd w:id="75"/>
    <w:p w14:paraId="778D762A" w14:textId="52857C23" w:rsidR="00157B9F" w:rsidRPr="000F2D4C" w:rsidRDefault="00157B9F" w:rsidP="00157B9F">
      <w:pPr>
        <w:pStyle w:val="ListBullet"/>
      </w:pPr>
      <w:r w:rsidRPr="000F2D4C">
        <w:t>respects Aboriginal knowledge, practices</w:t>
      </w:r>
      <w:r w:rsidR="4EAB1501" w:rsidRPr="000F2D4C">
        <w:t>,</w:t>
      </w:r>
      <w:r w:rsidRPr="000F2D4C">
        <w:t xml:space="preserve"> and innovations</w:t>
      </w:r>
    </w:p>
    <w:p w14:paraId="08FB33CE" w14:textId="195709D8" w:rsidR="00157B9F" w:rsidRPr="000F2D4C" w:rsidRDefault="00157B9F" w:rsidP="00157B9F">
      <w:pPr>
        <w:pStyle w:val="ListBullet"/>
      </w:pPr>
      <w:r w:rsidRPr="000F2D4C">
        <w:t>establishes relationships through consultation and negotiation</w:t>
      </w:r>
      <w:r w:rsidR="12085BFF" w:rsidRPr="000F2D4C">
        <w:t>,</w:t>
      </w:r>
      <w:r w:rsidRPr="000F2D4C">
        <w:t xml:space="preserve"> and recognises that consultation is an ongoing process and should achieve mutual understanding</w:t>
      </w:r>
    </w:p>
    <w:p w14:paraId="27FF13C5" w14:textId="77777777" w:rsidR="00157B9F" w:rsidRPr="000F2D4C" w:rsidRDefault="00157B9F" w:rsidP="00157B9F">
      <w:pPr>
        <w:pStyle w:val="ListBullet"/>
      </w:pPr>
      <w:r w:rsidRPr="000F2D4C">
        <w:t>ensures free, prior and informed consent for research participants</w:t>
      </w:r>
    </w:p>
    <w:p w14:paraId="7FA62D4D" w14:textId="77777777" w:rsidR="00157B9F" w:rsidRPr="000F2D4C" w:rsidRDefault="00157B9F" w:rsidP="00157B9F">
      <w:pPr>
        <w:pStyle w:val="ListBullet"/>
      </w:pPr>
      <w:bookmarkStart w:id="76" w:name="_Hlk533439191"/>
      <w:r w:rsidRPr="000F2D4C">
        <w:t xml:space="preserve">enacts Aboriginal people’s right to full participation appropriate to their skills and experiences </w:t>
      </w:r>
    </w:p>
    <w:p w14:paraId="2524E0C7" w14:textId="7E9B10AB" w:rsidR="00157B9F" w:rsidRPr="000F2D4C" w:rsidRDefault="00157B9F" w:rsidP="00157B9F">
      <w:pPr>
        <w:pStyle w:val="ListBullet"/>
      </w:pPr>
      <w:r w:rsidRPr="000F2D4C">
        <w:t>ensures research be of benefit to the community and reflect</w:t>
      </w:r>
      <w:r w:rsidR="0C0E623A" w:rsidRPr="000F2D4C">
        <w:t>s</w:t>
      </w:r>
      <w:r w:rsidRPr="000F2D4C">
        <w:t xml:space="preserve"> the needs and interests of the community</w:t>
      </w:r>
    </w:p>
    <w:bookmarkEnd w:id="76"/>
    <w:p w14:paraId="12D00B3C" w14:textId="77777777" w:rsidR="00157B9F" w:rsidRPr="000F2D4C" w:rsidRDefault="00157B9F" w:rsidP="00157B9F">
      <w:pPr>
        <w:pStyle w:val="ListBullet"/>
      </w:pPr>
      <w:r w:rsidRPr="000F2D4C">
        <w:t>shares the research findings with the researched community.</w:t>
      </w:r>
    </w:p>
    <w:p w14:paraId="524BC793" w14:textId="77777777" w:rsidR="00157B9F" w:rsidRPr="000F2D4C" w:rsidRDefault="00157B9F" w:rsidP="00157B9F">
      <w:pPr>
        <w:pStyle w:val="ListBullet"/>
        <w:numPr>
          <w:ilvl w:val="0"/>
          <w:numId w:val="0"/>
        </w:numPr>
        <w:ind w:left="360"/>
      </w:pPr>
    </w:p>
    <w:p w14:paraId="403436E2" w14:textId="77777777" w:rsidR="00157B9F" w:rsidRPr="000F2D4C" w:rsidRDefault="00157B9F" w:rsidP="00157B9F">
      <w:pPr>
        <w:pStyle w:val="Boxtext0"/>
        <w:rPr>
          <w:b/>
          <w:bCs/>
          <w:lang w:eastAsia="en-AU"/>
        </w:rPr>
      </w:pPr>
      <w:r w:rsidRPr="000F2D4C">
        <w:rPr>
          <w:b/>
          <w:bCs/>
          <w:lang w:eastAsia="en-AU"/>
        </w:rPr>
        <w:t>Ethical evaluation references for Aboriginal and Torres Strait Islander communities</w:t>
      </w:r>
    </w:p>
    <w:p w14:paraId="2E2A45D5" w14:textId="0DC4E3C7" w:rsidR="00157B9F" w:rsidRPr="000F2D4C" w:rsidRDefault="00157B9F" w:rsidP="00157B9F">
      <w:pPr>
        <w:pStyle w:val="Boxtext0"/>
        <w:rPr>
          <w:lang w:eastAsia="en-AU"/>
        </w:rPr>
      </w:pPr>
      <w:r w:rsidRPr="000F2D4C">
        <w:rPr>
          <w:lang w:eastAsia="en-AU"/>
        </w:rPr>
        <w:t xml:space="preserve">Australian Institute of Aboriginal and Torres Strait Islander Studies (2020). </w:t>
      </w:r>
      <w:hyperlink r:id="rId108" w:history="1">
        <w:r w:rsidRPr="000F2D4C">
          <w:rPr>
            <w:rStyle w:val="Hyperlink"/>
            <w:i/>
            <w:iCs/>
            <w:lang w:eastAsia="en-AU"/>
          </w:rPr>
          <w:t>AIATSIS Code of Ethics for Aboriginal and Torres Strait Islander Research</w:t>
        </w:r>
      </w:hyperlink>
      <w:r w:rsidR="00327A2C" w:rsidRPr="000F2D4C">
        <w:rPr>
          <w:i/>
          <w:iCs/>
          <w:lang w:eastAsia="en-AU"/>
        </w:rPr>
        <w:t xml:space="preserve">. </w:t>
      </w:r>
      <w:r w:rsidRPr="000F2D4C">
        <w:rPr>
          <w:lang w:eastAsia="en-AU"/>
        </w:rPr>
        <w:t xml:space="preserve"> </w:t>
      </w:r>
    </w:p>
    <w:p w14:paraId="26C5CC08" w14:textId="30D99402" w:rsidR="00157B9F" w:rsidRPr="000F2D4C" w:rsidRDefault="00157B9F" w:rsidP="00157B9F">
      <w:pPr>
        <w:pStyle w:val="Boxtext0"/>
        <w:rPr>
          <w:lang w:eastAsia="en-AU"/>
        </w:rPr>
      </w:pPr>
      <w:r w:rsidRPr="000F2D4C">
        <w:rPr>
          <w:lang w:eastAsia="en-AU"/>
        </w:rPr>
        <w:t xml:space="preserve">National Health and Medical Research Council (2018). </w:t>
      </w:r>
      <w:hyperlink r:id="rId109" w:history="1">
        <w:r w:rsidRPr="000F2D4C">
          <w:rPr>
            <w:rStyle w:val="Hyperlink"/>
            <w:lang w:eastAsia="en-AU"/>
          </w:rPr>
          <w:t>Ethical conduct in research with Aboriginal and Torres Strait Islander Peoples and communities: Guidelines for researchers and stakeholders</w:t>
        </w:r>
      </w:hyperlink>
      <w:r w:rsidR="00327A2C" w:rsidRPr="000F2D4C">
        <w:rPr>
          <w:lang w:eastAsia="en-AU"/>
        </w:rPr>
        <w:t>,</w:t>
      </w:r>
      <w:r w:rsidRPr="000F2D4C">
        <w:rPr>
          <w:lang w:eastAsia="en-AU"/>
        </w:rPr>
        <w:t xml:space="preserve"> Canberra: Commonwealth of Australia</w:t>
      </w:r>
      <w:r w:rsidR="00327A2C" w:rsidRPr="000F2D4C">
        <w:rPr>
          <w:lang w:eastAsia="en-AU"/>
        </w:rPr>
        <w:t xml:space="preserve">. </w:t>
      </w:r>
    </w:p>
    <w:p w14:paraId="0D31059B" w14:textId="1359359A" w:rsidR="00157B9F" w:rsidRPr="000F2D4C" w:rsidRDefault="00157B9F" w:rsidP="00157B9F">
      <w:pPr>
        <w:pStyle w:val="Boxtext0"/>
        <w:rPr>
          <w:lang w:eastAsia="en-AU"/>
        </w:rPr>
      </w:pPr>
      <w:r w:rsidRPr="000F2D4C">
        <w:rPr>
          <w:rFonts w:asciiTheme="majorHAnsi" w:hAnsiTheme="majorHAnsi" w:cstheme="majorBidi"/>
        </w:rPr>
        <w:t xml:space="preserve">Australian Evaluation Society, 2021, </w:t>
      </w:r>
      <w:hyperlink r:id="rId110" w:history="1">
        <w:r w:rsidRPr="000F2D4C">
          <w:rPr>
            <w:rStyle w:val="Hyperlink"/>
            <w:i/>
            <w:iCs/>
            <w:lang w:eastAsia="en-AU"/>
          </w:rPr>
          <w:t>First Nations Cultural Safety Framework</w:t>
        </w:r>
      </w:hyperlink>
      <w:r w:rsidR="00327A2C" w:rsidRPr="000F2D4C">
        <w:rPr>
          <w:lang w:eastAsia="en-AU"/>
        </w:rPr>
        <w:t xml:space="preserve">. </w:t>
      </w:r>
      <w:r w:rsidR="00327A2C" w:rsidRPr="000F2D4C">
        <w:rPr>
          <w:lang w:eastAsia="en-AU"/>
        </w:rPr>
        <w:br/>
      </w:r>
      <w:r w:rsidRPr="000F2D4C">
        <w:rPr>
          <w:lang w:eastAsia="en-AU"/>
        </w:rPr>
        <w:t xml:space="preserve"> </w:t>
      </w:r>
    </w:p>
    <w:p w14:paraId="2CB0D5B7" w14:textId="32CDCAA9" w:rsidR="00157B9F" w:rsidRPr="000F2D4C" w:rsidRDefault="00157B9F" w:rsidP="00157B9F">
      <w:pPr>
        <w:pStyle w:val="Heading4"/>
      </w:pPr>
      <w:r w:rsidRPr="000F2D4C">
        <w:lastRenderedPageBreak/>
        <w:t xml:space="preserve">Indigenous </w:t>
      </w:r>
      <w:r w:rsidR="500CD877" w:rsidRPr="000F2D4C">
        <w:t>D</w:t>
      </w:r>
      <w:r w:rsidR="336EAE41" w:rsidRPr="000F2D4C">
        <w:t>ata</w:t>
      </w:r>
      <w:r w:rsidR="500CD877" w:rsidRPr="000F2D4C">
        <w:t xml:space="preserve"> S</w:t>
      </w:r>
      <w:r w:rsidR="2A9F3F0F" w:rsidRPr="000F2D4C">
        <w:t>overeignty</w:t>
      </w:r>
    </w:p>
    <w:p w14:paraId="2E5D7341" w14:textId="77777777" w:rsidR="00785E86" w:rsidRPr="000F2D4C" w:rsidRDefault="00157B9F" w:rsidP="00157B9F">
      <w:r w:rsidRPr="000F2D4C">
        <w:t xml:space="preserve">It is important that evaluations consider the evolving requirements for Indigenous Data Sovereignty. Indigenous </w:t>
      </w:r>
      <w:r w:rsidR="0095C1F2" w:rsidRPr="000F2D4C">
        <w:t>D</w:t>
      </w:r>
      <w:r w:rsidRPr="000F2D4C">
        <w:t xml:space="preserve">ata refers to information or knowledge, in any format or medium, which is about and may affect Indigenous peoples both collectively and individually. </w:t>
      </w:r>
    </w:p>
    <w:p w14:paraId="6E7881B5" w14:textId="2C1F604C" w:rsidR="002B537D" w:rsidRPr="000F2D4C" w:rsidRDefault="00785E86" w:rsidP="00157B9F">
      <w:r w:rsidRPr="000F2D4C">
        <w:t xml:space="preserve">An Australian Public Service-wide framework </w:t>
      </w:r>
      <w:r w:rsidR="00B310C8" w:rsidRPr="000F2D4C">
        <w:t xml:space="preserve">for </w:t>
      </w:r>
      <w:hyperlink r:id="rId111" w:history="1">
        <w:r w:rsidR="00B310C8" w:rsidRPr="000F2D4C">
          <w:rPr>
            <w:rStyle w:val="Hyperlink"/>
          </w:rPr>
          <w:t>Indigenous Data and Governance</w:t>
        </w:r>
      </w:hyperlink>
      <w:r w:rsidR="00B310C8" w:rsidRPr="000F2D4C">
        <w:t xml:space="preserve"> is being developed </w:t>
      </w:r>
      <w:r w:rsidRPr="000F2D4C">
        <w:t xml:space="preserve">with </w:t>
      </w:r>
      <w:r w:rsidR="00E92DF5" w:rsidRPr="000F2D4C">
        <w:t xml:space="preserve">Aboriginal and Torres Strait Islander </w:t>
      </w:r>
      <w:r w:rsidRPr="000F2D4C">
        <w:t xml:space="preserve">partners. The Framework </w:t>
      </w:r>
      <w:r w:rsidR="008D7794" w:rsidRPr="000F2D4C">
        <w:t xml:space="preserve">for Indigenous Data and Governance </w:t>
      </w:r>
      <w:r w:rsidRPr="000F2D4C">
        <w:t xml:space="preserve">aims to improve the accessibility, relevance, interpretability, and timeliness of government-held data for </w:t>
      </w:r>
      <w:r w:rsidR="008D7794" w:rsidRPr="000F2D4C">
        <w:t xml:space="preserve">Aboriginal and Torres Strait Islander </w:t>
      </w:r>
      <w:r w:rsidRPr="000F2D4C">
        <w:t xml:space="preserve">peoples. The </w:t>
      </w:r>
      <w:r w:rsidR="008D7794" w:rsidRPr="000F2D4C">
        <w:t>Framework for Indigenous Data and Governance</w:t>
      </w:r>
      <w:r w:rsidRPr="000F2D4C">
        <w:t xml:space="preserve"> will also explore the practical intersection between Australian Government objectives and those of the Indigenous Data Sovereignty movement in Australia.</w:t>
      </w:r>
      <w:r w:rsidR="00A727FA" w:rsidRPr="000F2D4C">
        <w:t xml:space="preserve"> This work is aligned with </w:t>
      </w:r>
      <w:r w:rsidR="00202669" w:rsidRPr="000F2D4C">
        <w:t>Closing the Gap Priority</w:t>
      </w:r>
      <w:r w:rsidR="00A727FA" w:rsidRPr="000F2D4C">
        <w:t xml:space="preserve"> Reforms </w:t>
      </w:r>
      <w:r w:rsidR="00202669" w:rsidRPr="000F2D4C">
        <w:t>T</w:t>
      </w:r>
      <w:r w:rsidR="00A727FA" w:rsidRPr="000F2D4C">
        <w:t xml:space="preserve">hree and </w:t>
      </w:r>
      <w:r w:rsidR="00202669" w:rsidRPr="000F2D4C">
        <w:t>F</w:t>
      </w:r>
      <w:r w:rsidR="00A727FA" w:rsidRPr="000F2D4C">
        <w:t>our</w:t>
      </w:r>
      <w:r w:rsidR="00202669" w:rsidRPr="000F2D4C">
        <w:t>.</w:t>
      </w:r>
    </w:p>
    <w:p w14:paraId="17038F1F" w14:textId="199B1B71" w:rsidR="00157B9F" w:rsidRPr="000F2D4C" w:rsidRDefault="00157B9F" w:rsidP="00157B9F">
      <w:r w:rsidRPr="000F2D4C">
        <w:t>The Maiam nayri Wingara Indigenous Data Sovereignty Principles</w:t>
      </w:r>
      <w:r w:rsidRPr="000F2D4C">
        <w:rPr>
          <w:rStyle w:val="FootnoteReference"/>
        </w:rPr>
        <w:footnoteReference w:id="49"/>
      </w:r>
      <w:r w:rsidRPr="000F2D4C">
        <w:t xml:space="preserve"> assert that in Australia, Aboriginal and Torres Strait Islander people have the right to:</w:t>
      </w:r>
    </w:p>
    <w:p w14:paraId="7E96503B" w14:textId="1AB964BB" w:rsidR="00157B9F" w:rsidRPr="000F2D4C" w:rsidRDefault="3701E7E2" w:rsidP="00FC2CEE">
      <w:pPr>
        <w:numPr>
          <w:ilvl w:val="0"/>
          <w:numId w:val="43"/>
        </w:numPr>
        <w:spacing w:before="100" w:beforeAutospacing="1" w:after="100" w:afterAutospacing="1" w:line="240" w:lineRule="auto"/>
      </w:pPr>
      <w:r w:rsidRPr="000F2D4C">
        <w:t>e</w:t>
      </w:r>
      <w:r w:rsidR="00157B9F" w:rsidRPr="000F2D4C">
        <w:t>xercise control of the data ecosystem</w:t>
      </w:r>
      <w:r w:rsidR="3385E7A9" w:rsidRPr="000F2D4C">
        <w:t>,</w:t>
      </w:r>
      <w:r w:rsidR="00157B9F" w:rsidRPr="000F2D4C">
        <w:t xml:space="preserve"> including creation, development, stewardship, analysis, dissemination</w:t>
      </w:r>
      <w:r w:rsidR="43B961B5" w:rsidRPr="000F2D4C">
        <w:t>,</w:t>
      </w:r>
      <w:r w:rsidR="00157B9F" w:rsidRPr="000F2D4C">
        <w:t xml:space="preserve"> and infrastructure.</w:t>
      </w:r>
    </w:p>
    <w:p w14:paraId="6790DB92" w14:textId="0B849160" w:rsidR="00157B9F" w:rsidRPr="000F2D4C" w:rsidRDefault="109F8FCD" w:rsidP="00FC2CEE">
      <w:pPr>
        <w:numPr>
          <w:ilvl w:val="0"/>
          <w:numId w:val="43"/>
        </w:numPr>
        <w:spacing w:before="100" w:beforeAutospacing="1" w:after="100" w:afterAutospacing="1" w:line="240" w:lineRule="auto"/>
      </w:pPr>
      <w:r w:rsidRPr="000F2D4C">
        <w:t>d</w:t>
      </w:r>
      <w:r w:rsidR="00157B9F" w:rsidRPr="000F2D4C">
        <w:t>ata that are contextual and disaggregated (available and accessible at individual, community and First Nations levels).</w:t>
      </w:r>
    </w:p>
    <w:p w14:paraId="3B445EDC" w14:textId="7BC9FABC" w:rsidR="00157B9F" w:rsidRPr="000F2D4C" w:rsidRDefault="77BDE09D" w:rsidP="00FC2CEE">
      <w:pPr>
        <w:numPr>
          <w:ilvl w:val="0"/>
          <w:numId w:val="43"/>
        </w:numPr>
        <w:spacing w:before="100" w:beforeAutospacing="1" w:after="100" w:afterAutospacing="1" w:line="240" w:lineRule="auto"/>
      </w:pPr>
      <w:r w:rsidRPr="000F2D4C">
        <w:t>d</w:t>
      </w:r>
      <w:r w:rsidR="00157B9F" w:rsidRPr="000F2D4C">
        <w:t>ata that are relevant and empower sustainable self-determination and effective self-governance.</w:t>
      </w:r>
    </w:p>
    <w:p w14:paraId="48F7EA33" w14:textId="5E30EAD3" w:rsidR="00157B9F" w:rsidRPr="000F2D4C" w:rsidRDefault="01C85A4A" w:rsidP="00FC2CEE">
      <w:pPr>
        <w:numPr>
          <w:ilvl w:val="0"/>
          <w:numId w:val="43"/>
        </w:numPr>
        <w:spacing w:before="100" w:beforeAutospacing="1" w:after="100" w:afterAutospacing="1" w:line="240" w:lineRule="auto"/>
      </w:pPr>
      <w:r w:rsidRPr="000F2D4C">
        <w:t>d</w:t>
      </w:r>
      <w:r w:rsidR="00157B9F" w:rsidRPr="000F2D4C">
        <w:t>ata structures that are accountable to Indigenous peoples and First Nations.</w:t>
      </w:r>
    </w:p>
    <w:p w14:paraId="69E07CEB" w14:textId="600A9480" w:rsidR="00157B9F" w:rsidRPr="000F2D4C" w:rsidRDefault="728D10D8" w:rsidP="00FC2CEE">
      <w:pPr>
        <w:numPr>
          <w:ilvl w:val="0"/>
          <w:numId w:val="43"/>
        </w:numPr>
        <w:spacing w:before="100" w:beforeAutospacing="1" w:after="100" w:afterAutospacing="1" w:line="240" w:lineRule="auto"/>
      </w:pPr>
      <w:r w:rsidRPr="000F2D4C">
        <w:t>d</w:t>
      </w:r>
      <w:r w:rsidR="00157B9F" w:rsidRPr="000F2D4C">
        <w:t>ata that are protective and respect individual and collective interests.</w:t>
      </w:r>
    </w:p>
    <w:p w14:paraId="64252DC4" w14:textId="2C46331B" w:rsidR="00157B9F" w:rsidRPr="000F2D4C" w:rsidRDefault="00157B9F" w:rsidP="00157B9F">
      <w:r w:rsidRPr="000F2D4C">
        <w:t>Indigenous Data Governance enables Aboriginal and Torres Strait Islander people, and their representative and governing bodies</w:t>
      </w:r>
      <w:r w:rsidR="3BDEF749" w:rsidRPr="000F2D4C">
        <w:t>,</w:t>
      </w:r>
      <w:r w:rsidRPr="000F2D4C">
        <w:t xml:space="preserve"> to accurately reflect Aboriginal and Torres Strait Islander stories, providing the necessary tools to identify what works, what does not</w:t>
      </w:r>
      <w:r w:rsidR="3472D4D1" w:rsidRPr="000F2D4C">
        <w:t>,</w:t>
      </w:r>
      <w:r w:rsidRPr="000F2D4C">
        <w:t xml:space="preserve"> and why. Effective Aboriginal and Torres Strait Indigenous Data Governance empowers Indigenous peoples to make the best decisions to support their communities in the ways that meet their development needs and aspirations.</w:t>
      </w:r>
      <w:r w:rsidRPr="000F2D4C">
        <w:rPr>
          <w:rStyle w:val="FootnoteReference"/>
        </w:rPr>
        <w:t xml:space="preserve"> </w:t>
      </w:r>
      <w:r w:rsidRPr="000F2D4C">
        <w:rPr>
          <w:rStyle w:val="FootnoteReference"/>
        </w:rPr>
        <w:footnoteReference w:id="50"/>
      </w:r>
    </w:p>
    <w:p w14:paraId="42FCC5BB" w14:textId="1CFFC2CB" w:rsidR="00C842FB" w:rsidRPr="000F2D4C" w:rsidRDefault="00C842FB" w:rsidP="00C842FB">
      <w:pPr>
        <w:pStyle w:val="Heading1"/>
      </w:pPr>
      <w:bookmarkStart w:id="77" w:name="_Toc149919008"/>
      <w:r w:rsidRPr="000F2D4C">
        <w:lastRenderedPageBreak/>
        <w:t>Analysi</w:t>
      </w:r>
      <w:r w:rsidR="00D075C9" w:rsidRPr="000F2D4C">
        <w:t>ng</w:t>
      </w:r>
      <w:r w:rsidRPr="000F2D4C">
        <w:t xml:space="preserve"> and reporting</w:t>
      </w:r>
      <w:bookmarkEnd w:id="59"/>
      <w:bookmarkEnd w:id="60"/>
      <w:bookmarkEnd w:id="77"/>
    </w:p>
    <w:p w14:paraId="7905D76C" w14:textId="4EF9B37F" w:rsidR="0005356D" w:rsidRPr="000F2D4C" w:rsidRDefault="0005356D" w:rsidP="0005356D">
      <w:pPr>
        <w:pStyle w:val="Heading2"/>
      </w:pPr>
      <w:bookmarkStart w:id="78" w:name="_Toc146031460"/>
      <w:bookmarkStart w:id="79" w:name="_Toc146206796"/>
      <w:bookmarkStart w:id="80" w:name="_Toc149919009"/>
      <w:r w:rsidRPr="000F2D4C">
        <w:t>Analysis</w:t>
      </w:r>
      <w:bookmarkEnd w:id="78"/>
      <w:bookmarkEnd w:id="79"/>
      <w:bookmarkEnd w:id="80"/>
    </w:p>
    <w:p w14:paraId="66DEA5FA" w14:textId="0ADFED01" w:rsidR="00943661" w:rsidRPr="000F2D4C" w:rsidRDefault="00CC3669" w:rsidP="00D210FB">
      <w:pPr>
        <w:pStyle w:val="ListBullet"/>
        <w:numPr>
          <w:ilvl w:val="0"/>
          <w:numId w:val="0"/>
        </w:numPr>
      </w:pPr>
      <w:r w:rsidRPr="000F2D4C">
        <w:t>Analysing data to summarise it and look for patterns is an important part of every evaluation.</w:t>
      </w:r>
      <w:r w:rsidR="00F16CBC" w:rsidRPr="000F2D4C">
        <w:t xml:space="preserve"> The type of analysis you use will depend on your evaluation design, the nature of the data collected and data quality.</w:t>
      </w:r>
      <w:r w:rsidR="00FB3EAA" w:rsidRPr="000F2D4C">
        <w:t xml:space="preserve"> </w:t>
      </w:r>
      <w:r w:rsidR="00D210FB" w:rsidRPr="000F2D4C">
        <w:t xml:space="preserve">The tables below </w:t>
      </w:r>
      <w:r w:rsidR="00E80C1B" w:rsidRPr="000F2D4C">
        <w:t xml:space="preserve">(Tables 11 and 12) </w:t>
      </w:r>
      <w:r w:rsidR="00D210FB" w:rsidRPr="000F2D4C">
        <w:t>describe some common types of analysis for qualitative and quantitative data.</w:t>
      </w:r>
    </w:p>
    <w:p w14:paraId="69CB84C2" w14:textId="77777777" w:rsidR="002B15EF" w:rsidRPr="000F2D4C" w:rsidRDefault="002B15EF" w:rsidP="00283C5A">
      <w:pPr>
        <w:pStyle w:val="TableHeading"/>
      </w:pPr>
      <w:bookmarkStart w:id="81" w:name="_Toc67420389"/>
      <w:r w:rsidRPr="000F2D4C">
        <w:t>Common types of analysis for qualitative data</w:t>
      </w:r>
      <w:bookmarkEnd w:id="81"/>
    </w:p>
    <w:tbl>
      <w:tblPr>
        <w:tblStyle w:val="ARTDTable"/>
        <w:tblW w:w="0" w:type="auto"/>
        <w:tblLook w:val="01E0" w:firstRow="1" w:lastRow="1" w:firstColumn="1" w:lastColumn="1" w:noHBand="0" w:noVBand="0"/>
      </w:tblPr>
      <w:tblGrid>
        <w:gridCol w:w="2199"/>
        <w:gridCol w:w="2994"/>
        <w:gridCol w:w="2970"/>
      </w:tblGrid>
      <w:tr w:rsidR="002B15EF" w:rsidRPr="000F2D4C" w14:paraId="549EA208" w14:textId="77777777" w:rsidTr="00610B9C">
        <w:trPr>
          <w:cnfStyle w:val="100000000000" w:firstRow="1" w:lastRow="0" w:firstColumn="0" w:lastColumn="0" w:oddVBand="0" w:evenVBand="0" w:oddHBand="0" w:evenHBand="0" w:firstRowFirstColumn="0" w:firstRowLastColumn="0" w:lastRowFirstColumn="0" w:lastRowLastColumn="0"/>
          <w:tblHeader/>
        </w:trPr>
        <w:tc>
          <w:tcPr>
            <w:tcW w:w="2199" w:type="dxa"/>
          </w:tcPr>
          <w:p w14:paraId="3FB0FCB7" w14:textId="77777777" w:rsidR="002B15EF" w:rsidRPr="000F2D4C" w:rsidRDefault="002B15EF">
            <w:pPr>
              <w:widowControl w:val="0"/>
              <w:spacing w:before="120" w:after="120" w:line="240" w:lineRule="auto"/>
              <w:jc w:val="center"/>
              <w:rPr>
                <w:rFonts w:eastAsia="Times New Roman" w:cstheme="minorHAnsi"/>
                <w:b w:val="0"/>
                <w:szCs w:val="20"/>
              </w:rPr>
            </w:pPr>
            <w:r w:rsidRPr="000F2D4C">
              <w:rPr>
                <w:rFonts w:eastAsia="Times New Roman" w:cstheme="minorHAnsi"/>
                <w:b w:val="0"/>
                <w:szCs w:val="20"/>
              </w:rPr>
              <w:t>Type of analysis</w:t>
            </w:r>
          </w:p>
        </w:tc>
        <w:tc>
          <w:tcPr>
            <w:tcW w:w="2994" w:type="dxa"/>
          </w:tcPr>
          <w:p w14:paraId="03DBC416" w14:textId="73AA7776" w:rsidR="002B15EF" w:rsidRPr="000F2D4C" w:rsidRDefault="002B15EF">
            <w:pPr>
              <w:widowControl w:val="0"/>
              <w:spacing w:before="120" w:after="120" w:line="240" w:lineRule="auto"/>
              <w:jc w:val="center"/>
              <w:rPr>
                <w:rFonts w:eastAsia="Times New Roman" w:cstheme="minorBidi"/>
                <w:b w:val="0"/>
              </w:rPr>
            </w:pPr>
            <w:r w:rsidRPr="000F2D4C">
              <w:rPr>
                <w:rFonts w:eastAsia="Times New Roman" w:cstheme="minorBidi"/>
                <w:b w:val="0"/>
              </w:rPr>
              <w:t xml:space="preserve">Description of </w:t>
            </w:r>
            <w:r w:rsidR="0D70EC37" w:rsidRPr="000F2D4C">
              <w:rPr>
                <w:rFonts w:eastAsia="Times New Roman" w:cstheme="minorBidi"/>
                <w:b w:val="0"/>
              </w:rPr>
              <w:t>a</w:t>
            </w:r>
            <w:r w:rsidRPr="000F2D4C">
              <w:rPr>
                <w:rFonts w:eastAsia="Times New Roman" w:cstheme="minorBidi"/>
                <w:b w:val="0"/>
              </w:rPr>
              <w:t>pproach</w:t>
            </w:r>
          </w:p>
        </w:tc>
        <w:tc>
          <w:tcPr>
            <w:tcW w:w="2970" w:type="dxa"/>
          </w:tcPr>
          <w:p w14:paraId="20FE3E09" w14:textId="0D5C97E6" w:rsidR="002B15EF" w:rsidRPr="000F2D4C" w:rsidRDefault="002B15EF">
            <w:pPr>
              <w:widowControl w:val="0"/>
              <w:spacing w:before="120" w:after="120" w:line="240" w:lineRule="auto"/>
              <w:jc w:val="center"/>
              <w:rPr>
                <w:rFonts w:eastAsia="Times New Roman" w:cstheme="minorBidi"/>
                <w:b w:val="0"/>
              </w:rPr>
            </w:pPr>
            <w:r w:rsidRPr="000F2D4C">
              <w:rPr>
                <w:rFonts w:eastAsia="Times New Roman" w:cstheme="minorBidi"/>
                <w:b w:val="0"/>
              </w:rPr>
              <w:t xml:space="preserve">Common </w:t>
            </w:r>
            <w:r w:rsidR="195A2B1D" w:rsidRPr="000F2D4C">
              <w:rPr>
                <w:rFonts w:eastAsia="Times New Roman" w:cstheme="minorBidi"/>
                <w:b w:val="0"/>
              </w:rPr>
              <w:t>a</w:t>
            </w:r>
            <w:r w:rsidRPr="000F2D4C">
              <w:rPr>
                <w:rFonts w:eastAsia="Times New Roman" w:cstheme="minorBidi"/>
                <w:b w:val="0"/>
              </w:rPr>
              <w:t>pplications</w:t>
            </w:r>
          </w:p>
        </w:tc>
      </w:tr>
      <w:tr w:rsidR="00610B9C" w:rsidRPr="000F2D4C" w14:paraId="6A6094E7" w14:textId="77777777" w:rsidTr="00610B9C">
        <w:trPr>
          <w:cnfStyle w:val="000000100000" w:firstRow="0" w:lastRow="0" w:firstColumn="0" w:lastColumn="0" w:oddVBand="0" w:evenVBand="0" w:oddHBand="1" w:evenHBand="0" w:firstRowFirstColumn="0" w:firstRowLastColumn="0" w:lastRowFirstColumn="0" w:lastRowLastColumn="0"/>
        </w:trPr>
        <w:tc>
          <w:tcPr>
            <w:tcW w:w="2199" w:type="dxa"/>
          </w:tcPr>
          <w:p w14:paraId="64BAE0AD" w14:textId="77777777" w:rsidR="00610B9C" w:rsidRPr="000F2D4C" w:rsidRDefault="00610B9C">
            <w:pPr>
              <w:widowControl w:val="0"/>
              <w:spacing w:before="120" w:after="120" w:line="240" w:lineRule="auto"/>
              <w:rPr>
                <w:rFonts w:eastAsia="Times New Roman" w:cstheme="minorHAnsi"/>
                <w:szCs w:val="20"/>
              </w:rPr>
            </w:pPr>
            <w:r w:rsidRPr="000F2D4C">
              <w:rPr>
                <w:rFonts w:eastAsia="Times New Roman" w:cstheme="minorHAnsi"/>
                <w:szCs w:val="20"/>
              </w:rPr>
              <w:t>Thematic analysis</w:t>
            </w:r>
          </w:p>
        </w:tc>
        <w:tc>
          <w:tcPr>
            <w:tcW w:w="2994" w:type="dxa"/>
          </w:tcPr>
          <w:p w14:paraId="704A2988" w14:textId="64E10826" w:rsidR="00610B9C" w:rsidRPr="000F2D4C" w:rsidRDefault="00610B9C">
            <w:pPr>
              <w:widowControl w:val="0"/>
              <w:spacing w:before="120" w:after="120" w:line="240" w:lineRule="auto"/>
              <w:rPr>
                <w:rFonts w:eastAsia="Times New Roman" w:cstheme="minorBidi"/>
              </w:rPr>
            </w:pPr>
            <w:r w:rsidRPr="000F2D4C">
              <w:rPr>
                <w:rFonts w:eastAsia="Times New Roman" w:cstheme="minorBidi"/>
              </w:rPr>
              <w:t>Iterative: Interviews, observation, documents, or group data are explored with an eye to identifying key emergent themes</w:t>
            </w:r>
          </w:p>
        </w:tc>
        <w:tc>
          <w:tcPr>
            <w:tcW w:w="2970" w:type="dxa"/>
          </w:tcPr>
          <w:p w14:paraId="68283AB1" w14:textId="77777777" w:rsidR="00610B9C" w:rsidRPr="000F2D4C" w:rsidRDefault="00610B9C">
            <w:pPr>
              <w:widowControl w:val="0"/>
              <w:spacing w:before="120" w:after="120" w:line="240" w:lineRule="auto"/>
              <w:rPr>
                <w:rFonts w:eastAsia="Times New Roman" w:cstheme="minorHAnsi"/>
                <w:szCs w:val="20"/>
              </w:rPr>
            </w:pPr>
            <w:r w:rsidRPr="000F2D4C">
              <w:rPr>
                <w:rFonts w:eastAsia="Times New Roman" w:cstheme="minorHAnsi"/>
                <w:szCs w:val="20"/>
              </w:rPr>
              <w:t>Thematic analysis of this nature takes more time than other forms of analysis</w:t>
            </w:r>
          </w:p>
        </w:tc>
      </w:tr>
      <w:tr w:rsidR="00610B9C" w:rsidRPr="000F2D4C" w14:paraId="0104554E" w14:textId="77777777" w:rsidTr="00610B9C">
        <w:trPr>
          <w:cnfStyle w:val="000000010000" w:firstRow="0" w:lastRow="0" w:firstColumn="0" w:lastColumn="0" w:oddVBand="0" w:evenVBand="0" w:oddHBand="0" w:evenHBand="1" w:firstRowFirstColumn="0" w:firstRowLastColumn="0" w:lastRowFirstColumn="0" w:lastRowLastColumn="0"/>
        </w:trPr>
        <w:tc>
          <w:tcPr>
            <w:tcW w:w="2199" w:type="dxa"/>
          </w:tcPr>
          <w:p w14:paraId="163D64BF" w14:textId="77777777" w:rsidR="00610B9C" w:rsidRPr="000F2D4C" w:rsidRDefault="00610B9C">
            <w:pPr>
              <w:widowControl w:val="0"/>
              <w:spacing w:before="120" w:after="120" w:line="240" w:lineRule="auto"/>
              <w:rPr>
                <w:rFonts w:eastAsia="Times New Roman" w:cstheme="minorHAnsi"/>
                <w:szCs w:val="20"/>
              </w:rPr>
            </w:pPr>
          </w:p>
        </w:tc>
        <w:tc>
          <w:tcPr>
            <w:tcW w:w="2994" w:type="dxa"/>
          </w:tcPr>
          <w:p w14:paraId="4C4EAC68" w14:textId="62C48217" w:rsidR="00610B9C" w:rsidRPr="000F2D4C" w:rsidRDefault="00610B9C">
            <w:pPr>
              <w:widowControl w:val="0"/>
              <w:spacing w:before="120" w:after="120" w:line="240" w:lineRule="auto"/>
              <w:rPr>
                <w:rFonts w:eastAsia="Times New Roman" w:cstheme="minorBidi"/>
              </w:rPr>
            </w:pPr>
            <w:r w:rsidRPr="000F2D4C">
              <w:rPr>
                <w:rFonts w:eastAsia="Times New Roman" w:cstheme="minorBidi"/>
              </w:rPr>
              <w:t>Prescriptive theory driven: Interviews, documents, or group data is mined for evidence that pertains to particular themes that have been identified, before analysis begins</w:t>
            </w:r>
          </w:p>
        </w:tc>
        <w:tc>
          <w:tcPr>
            <w:tcW w:w="2970" w:type="dxa"/>
          </w:tcPr>
          <w:p w14:paraId="0138F464" w14:textId="77777777" w:rsidR="00610B9C" w:rsidRPr="000F2D4C" w:rsidRDefault="00610B9C">
            <w:pPr>
              <w:widowControl w:val="0"/>
              <w:spacing w:before="120" w:after="120" w:line="240" w:lineRule="auto"/>
              <w:rPr>
                <w:rFonts w:eastAsia="Times New Roman" w:cstheme="minorHAnsi"/>
                <w:szCs w:val="20"/>
              </w:rPr>
            </w:pPr>
            <w:r w:rsidRPr="000F2D4C">
              <w:rPr>
                <w:rFonts w:eastAsia="Times New Roman" w:cstheme="minorHAnsi"/>
                <w:szCs w:val="20"/>
              </w:rPr>
              <w:t>Requires a strong theory or principles identified ahead of time that can then be applied to the data gathered</w:t>
            </w:r>
          </w:p>
        </w:tc>
      </w:tr>
      <w:tr w:rsidR="002B15EF" w:rsidRPr="000F2D4C" w14:paraId="03AB754B" w14:textId="77777777" w:rsidTr="00610B9C">
        <w:trPr>
          <w:cnfStyle w:val="000000100000" w:firstRow="0" w:lastRow="0" w:firstColumn="0" w:lastColumn="0" w:oddVBand="0" w:evenVBand="0" w:oddHBand="1" w:evenHBand="0" w:firstRowFirstColumn="0" w:firstRowLastColumn="0" w:lastRowFirstColumn="0" w:lastRowLastColumn="0"/>
        </w:trPr>
        <w:tc>
          <w:tcPr>
            <w:tcW w:w="2199" w:type="dxa"/>
          </w:tcPr>
          <w:p w14:paraId="1E4954ED" w14:textId="77777777" w:rsidR="002B15EF" w:rsidRPr="000F2D4C" w:rsidRDefault="002B15EF">
            <w:pPr>
              <w:widowControl w:val="0"/>
              <w:spacing w:before="120" w:after="120" w:line="240" w:lineRule="auto"/>
              <w:rPr>
                <w:rFonts w:eastAsia="Times New Roman" w:cstheme="minorHAnsi"/>
                <w:szCs w:val="20"/>
              </w:rPr>
            </w:pPr>
            <w:r w:rsidRPr="000F2D4C">
              <w:rPr>
                <w:rFonts w:eastAsia="Times New Roman" w:cstheme="minorHAnsi"/>
                <w:szCs w:val="20"/>
              </w:rPr>
              <w:t>Narrative account</w:t>
            </w:r>
          </w:p>
        </w:tc>
        <w:tc>
          <w:tcPr>
            <w:tcW w:w="2994" w:type="dxa"/>
          </w:tcPr>
          <w:p w14:paraId="7E4BC0ED" w14:textId="77777777" w:rsidR="002B15EF" w:rsidRPr="000F2D4C" w:rsidRDefault="002B15EF">
            <w:pPr>
              <w:widowControl w:val="0"/>
              <w:spacing w:before="120" w:after="120" w:line="240" w:lineRule="auto"/>
              <w:rPr>
                <w:rFonts w:eastAsia="Times New Roman" w:cstheme="minorHAnsi"/>
                <w:szCs w:val="20"/>
              </w:rPr>
            </w:pPr>
            <w:r w:rsidRPr="000F2D4C">
              <w:rPr>
                <w:rFonts w:eastAsia="Times New Roman" w:cstheme="minorHAnsi"/>
                <w:szCs w:val="20"/>
              </w:rPr>
              <w:t>Various sources are used to build a chronological and analytical description of how events occurred over time</w:t>
            </w:r>
          </w:p>
        </w:tc>
        <w:tc>
          <w:tcPr>
            <w:tcW w:w="2970" w:type="dxa"/>
          </w:tcPr>
          <w:p w14:paraId="3B3537D3" w14:textId="607BA80C" w:rsidR="002B15EF" w:rsidRPr="000F2D4C" w:rsidRDefault="002B15EF">
            <w:pPr>
              <w:widowControl w:val="0"/>
              <w:spacing w:before="120" w:after="120" w:line="240" w:lineRule="auto"/>
              <w:rPr>
                <w:rFonts w:eastAsia="Times New Roman" w:cstheme="minorHAnsi"/>
                <w:szCs w:val="20"/>
              </w:rPr>
            </w:pPr>
            <w:r w:rsidRPr="000F2D4C">
              <w:rPr>
                <w:rFonts w:eastAsia="Times New Roman" w:cstheme="minorHAnsi"/>
                <w:szCs w:val="20"/>
              </w:rPr>
              <w:t xml:space="preserve">Describing the development of a </w:t>
            </w:r>
            <w:r w:rsidR="005F5F14" w:rsidRPr="000F2D4C">
              <w:rPr>
                <w:rFonts w:eastAsia="Times New Roman" w:cstheme="minorHAnsi"/>
                <w:szCs w:val="20"/>
              </w:rPr>
              <w:t>program</w:t>
            </w:r>
            <w:r w:rsidRPr="000F2D4C">
              <w:rPr>
                <w:rFonts w:eastAsia="Times New Roman" w:cstheme="minorHAnsi"/>
                <w:szCs w:val="20"/>
              </w:rPr>
              <w:t>, describing how consumers move through a program</w:t>
            </w:r>
          </w:p>
        </w:tc>
      </w:tr>
      <w:tr w:rsidR="002B15EF" w:rsidRPr="000F2D4C" w14:paraId="38997B6C" w14:textId="77777777" w:rsidTr="00610B9C">
        <w:trPr>
          <w:cnfStyle w:val="000000010000" w:firstRow="0" w:lastRow="0" w:firstColumn="0" w:lastColumn="0" w:oddVBand="0" w:evenVBand="0" w:oddHBand="0" w:evenHBand="1" w:firstRowFirstColumn="0" w:firstRowLastColumn="0" w:lastRowFirstColumn="0" w:lastRowLastColumn="0"/>
        </w:trPr>
        <w:tc>
          <w:tcPr>
            <w:tcW w:w="2199" w:type="dxa"/>
          </w:tcPr>
          <w:p w14:paraId="63BF7757" w14:textId="77777777" w:rsidR="002B15EF" w:rsidRPr="000F2D4C" w:rsidRDefault="002B15EF">
            <w:pPr>
              <w:widowControl w:val="0"/>
              <w:spacing w:before="120" w:after="120" w:line="240" w:lineRule="auto"/>
              <w:rPr>
                <w:rFonts w:eastAsia="Times New Roman" w:cstheme="minorHAnsi"/>
                <w:szCs w:val="20"/>
              </w:rPr>
            </w:pPr>
            <w:r w:rsidRPr="000F2D4C">
              <w:rPr>
                <w:rFonts w:eastAsia="Times New Roman" w:cstheme="minorHAnsi"/>
                <w:szCs w:val="20"/>
              </w:rPr>
              <w:t>Illustrative</w:t>
            </w:r>
          </w:p>
        </w:tc>
        <w:tc>
          <w:tcPr>
            <w:tcW w:w="2994" w:type="dxa"/>
          </w:tcPr>
          <w:p w14:paraId="43522E2E" w14:textId="77777777" w:rsidR="002B15EF" w:rsidRPr="000F2D4C" w:rsidRDefault="002B15EF">
            <w:pPr>
              <w:widowControl w:val="0"/>
              <w:spacing w:before="120" w:after="120" w:line="240" w:lineRule="auto"/>
              <w:rPr>
                <w:rFonts w:eastAsia="Times New Roman" w:cstheme="minorHAnsi"/>
                <w:szCs w:val="20"/>
              </w:rPr>
            </w:pPr>
            <w:r w:rsidRPr="000F2D4C">
              <w:rPr>
                <w:rFonts w:eastAsia="Times New Roman" w:cstheme="minorHAnsi"/>
                <w:szCs w:val="20"/>
              </w:rPr>
              <w:t>Excerpts or brief summaries from qualitative data (either quotations or descriptions) are used to illustrate the findings from quantitative data</w:t>
            </w:r>
          </w:p>
        </w:tc>
        <w:tc>
          <w:tcPr>
            <w:tcW w:w="2970" w:type="dxa"/>
          </w:tcPr>
          <w:p w14:paraId="42C271ED" w14:textId="77777777" w:rsidR="002B15EF" w:rsidRPr="000F2D4C" w:rsidRDefault="002B15EF">
            <w:pPr>
              <w:widowControl w:val="0"/>
              <w:spacing w:before="120" w:after="120" w:line="240" w:lineRule="auto"/>
              <w:rPr>
                <w:rFonts w:eastAsia="Times New Roman" w:cstheme="minorHAnsi"/>
                <w:szCs w:val="20"/>
              </w:rPr>
            </w:pPr>
            <w:r w:rsidRPr="000F2D4C">
              <w:rPr>
                <w:rFonts w:eastAsia="Times New Roman" w:cstheme="minorHAnsi"/>
                <w:szCs w:val="20"/>
              </w:rPr>
              <w:t>When reporting is intended to provide users with the overall patterns and some understanding of what this looks like for individuals</w:t>
            </w:r>
          </w:p>
        </w:tc>
      </w:tr>
      <w:tr w:rsidR="002B15EF" w:rsidRPr="000F2D4C" w14:paraId="33341E80" w14:textId="77777777" w:rsidTr="00610B9C">
        <w:trPr>
          <w:cnfStyle w:val="000000100000" w:firstRow="0" w:lastRow="0" w:firstColumn="0" w:lastColumn="0" w:oddVBand="0" w:evenVBand="0" w:oddHBand="1" w:evenHBand="0" w:firstRowFirstColumn="0" w:firstRowLastColumn="0" w:lastRowFirstColumn="0" w:lastRowLastColumn="0"/>
        </w:trPr>
        <w:tc>
          <w:tcPr>
            <w:tcW w:w="2199" w:type="dxa"/>
          </w:tcPr>
          <w:p w14:paraId="7320AE68" w14:textId="77777777" w:rsidR="002B15EF" w:rsidRPr="000F2D4C" w:rsidRDefault="002B15EF">
            <w:pPr>
              <w:widowControl w:val="0"/>
              <w:spacing w:before="120" w:after="120" w:line="240" w:lineRule="auto"/>
              <w:rPr>
                <w:rFonts w:eastAsia="Times New Roman" w:cstheme="minorHAnsi"/>
                <w:szCs w:val="20"/>
              </w:rPr>
            </w:pPr>
            <w:r w:rsidRPr="000F2D4C">
              <w:rPr>
                <w:rFonts w:eastAsia="Times New Roman" w:cstheme="minorHAnsi"/>
                <w:szCs w:val="20"/>
              </w:rPr>
              <w:t xml:space="preserve">Content analysis  </w:t>
            </w:r>
          </w:p>
        </w:tc>
        <w:tc>
          <w:tcPr>
            <w:tcW w:w="2994" w:type="dxa"/>
          </w:tcPr>
          <w:p w14:paraId="47CFB342" w14:textId="47917868" w:rsidR="002B15EF" w:rsidRPr="000F2D4C" w:rsidRDefault="002B15EF">
            <w:pPr>
              <w:widowControl w:val="0"/>
              <w:spacing w:before="120" w:after="120" w:line="240" w:lineRule="auto"/>
              <w:rPr>
                <w:rFonts w:eastAsia="Times New Roman" w:cstheme="minorBidi"/>
              </w:rPr>
            </w:pPr>
            <w:r w:rsidRPr="000F2D4C">
              <w:rPr>
                <w:rFonts w:eastAsia="Times New Roman" w:cstheme="minorBidi"/>
              </w:rPr>
              <w:t>Quasi-statistical</w:t>
            </w:r>
          </w:p>
          <w:p w14:paraId="061CBEFA" w14:textId="77777777" w:rsidR="002B15EF" w:rsidRPr="000F2D4C" w:rsidRDefault="002B15EF">
            <w:pPr>
              <w:widowControl w:val="0"/>
              <w:spacing w:before="120" w:after="120" w:line="240" w:lineRule="auto"/>
              <w:rPr>
                <w:rFonts w:eastAsia="Times New Roman" w:cstheme="minorHAnsi"/>
                <w:szCs w:val="20"/>
              </w:rPr>
            </w:pPr>
            <w:r w:rsidRPr="000F2D4C">
              <w:rPr>
                <w:rFonts w:eastAsia="Times New Roman" w:cstheme="minorHAnsi"/>
                <w:szCs w:val="20"/>
              </w:rPr>
              <w:t>Frequency counts of particular comments or words used</w:t>
            </w:r>
          </w:p>
        </w:tc>
        <w:tc>
          <w:tcPr>
            <w:tcW w:w="2970" w:type="dxa"/>
          </w:tcPr>
          <w:p w14:paraId="17D721B0" w14:textId="77777777" w:rsidR="002B15EF" w:rsidRPr="000F2D4C" w:rsidRDefault="002B15EF">
            <w:pPr>
              <w:widowControl w:val="0"/>
              <w:spacing w:before="120" w:after="120" w:line="240" w:lineRule="auto"/>
              <w:rPr>
                <w:rFonts w:eastAsia="Times New Roman" w:cstheme="minorHAnsi"/>
                <w:szCs w:val="20"/>
              </w:rPr>
            </w:pPr>
            <w:r w:rsidRPr="000F2D4C">
              <w:rPr>
                <w:rFonts w:eastAsia="Times New Roman" w:cstheme="minorHAnsi"/>
                <w:szCs w:val="20"/>
              </w:rPr>
              <w:t>In highly structured qualitative evaluations, such as analysing media coverage of an event</w:t>
            </w:r>
          </w:p>
        </w:tc>
      </w:tr>
      <w:tr w:rsidR="002B15EF" w:rsidRPr="000F2D4C" w14:paraId="2C088B71" w14:textId="77777777" w:rsidTr="00610B9C">
        <w:trPr>
          <w:cnfStyle w:val="010000000000" w:firstRow="0" w:lastRow="1" w:firstColumn="0" w:lastColumn="0" w:oddVBand="0" w:evenVBand="0" w:oddHBand="0" w:evenHBand="0" w:firstRowFirstColumn="0" w:firstRowLastColumn="0" w:lastRowFirstColumn="0" w:lastRowLastColumn="0"/>
          <w:trHeight w:val="363"/>
        </w:trPr>
        <w:tc>
          <w:tcPr>
            <w:tcW w:w="2199" w:type="dxa"/>
            <w:shd w:val="clear" w:color="auto" w:fill="FFFFFF" w:themeFill="text1"/>
          </w:tcPr>
          <w:p w14:paraId="7182EBDD" w14:textId="77777777" w:rsidR="002B15EF" w:rsidRPr="000F2D4C" w:rsidRDefault="002B15EF">
            <w:pPr>
              <w:widowControl w:val="0"/>
              <w:spacing w:before="120" w:after="120" w:line="240" w:lineRule="auto"/>
              <w:rPr>
                <w:rFonts w:eastAsia="Times New Roman" w:cstheme="minorBidi"/>
                <w:b/>
                <w:color w:val="auto"/>
              </w:rPr>
            </w:pPr>
            <w:r w:rsidRPr="000F2D4C">
              <w:rPr>
                <w:rFonts w:eastAsia="Times New Roman" w:cstheme="minorHAnsi"/>
                <w:color w:val="auto"/>
                <w:szCs w:val="20"/>
              </w:rPr>
              <w:t>Qualitative Comparative Analysis</w:t>
            </w:r>
          </w:p>
        </w:tc>
        <w:tc>
          <w:tcPr>
            <w:tcW w:w="2994" w:type="dxa"/>
            <w:shd w:val="clear" w:color="auto" w:fill="FFFFFF" w:themeFill="text1"/>
          </w:tcPr>
          <w:p w14:paraId="469F758C" w14:textId="0AC9AA15" w:rsidR="002B15EF" w:rsidRPr="000F2D4C" w:rsidRDefault="002B15EF">
            <w:pPr>
              <w:widowControl w:val="0"/>
              <w:spacing w:before="120" w:after="120" w:line="240" w:lineRule="auto"/>
              <w:rPr>
                <w:rFonts w:eastAsia="Times New Roman" w:cstheme="minorBidi"/>
                <w:color w:val="auto"/>
              </w:rPr>
            </w:pPr>
            <w:r w:rsidRPr="000F2D4C">
              <w:rPr>
                <w:rFonts w:eastAsia="Times New Roman" w:cstheme="minorBidi"/>
                <w:color w:val="auto"/>
              </w:rPr>
              <w:t>Mixed method</w:t>
            </w:r>
            <w:r w:rsidR="632E24D5" w:rsidRPr="000F2D4C">
              <w:rPr>
                <w:rFonts w:eastAsia="Times New Roman" w:cstheme="minorBidi"/>
                <w:color w:val="auto"/>
              </w:rPr>
              <w:t>s</w:t>
            </w:r>
            <w:r w:rsidRPr="000F2D4C">
              <w:rPr>
                <w:rFonts w:eastAsia="Times New Roman" w:cstheme="minorBidi"/>
                <w:color w:val="auto"/>
              </w:rPr>
              <w:t xml:space="preserve"> approach</w:t>
            </w:r>
          </w:p>
          <w:p w14:paraId="6E6D43DD" w14:textId="77777777" w:rsidR="002B15EF" w:rsidRPr="000F2D4C" w:rsidRDefault="002B15EF">
            <w:pPr>
              <w:widowControl w:val="0"/>
              <w:spacing w:before="120" w:after="120" w:line="240" w:lineRule="auto"/>
              <w:rPr>
                <w:rFonts w:eastAsia="Times New Roman" w:cstheme="minorHAnsi"/>
                <w:color w:val="auto"/>
                <w:szCs w:val="20"/>
              </w:rPr>
            </w:pPr>
            <w:r w:rsidRPr="000F2D4C">
              <w:rPr>
                <w:rFonts w:eastAsia="Times New Roman" w:cstheme="minorHAnsi"/>
                <w:color w:val="auto"/>
                <w:szCs w:val="20"/>
              </w:rPr>
              <w:t>Causal analysis of different combinations of factors that lead to outcomes</w:t>
            </w:r>
          </w:p>
        </w:tc>
        <w:tc>
          <w:tcPr>
            <w:tcW w:w="2970" w:type="dxa"/>
            <w:shd w:val="clear" w:color="auto" w:fill="FFFFFF" w:themeFill="text1"/>
          </w:tcPr>
          <w:p w14:paraId="70D1647A" w14:textId="77777777" w:rsidR="002B15EF" w:rsidRPr="000F2D4C" w:rsidRDefault="002B15EF">
            <w:pPr>
              <w:widowControl w:val="0"/>
              <w:spacing w:before="120" w:after="120" w:line="240" w:lineRule="auto"/>
              <w:rPr>
                <w:rFonts w:eastAsia="Times New Roman" w:cstheme="minorHAnsi"/>
                <w:color w:val="auto"/>
                <w:szCs w:val="20"/>
              </w:rPr>
            </w:pPr>
            <w:r w:rsidRPr="000F2D4C">
              <w:rPr>
                <w:rFonts w:eastAsia="Times New Roman" w:cstheme="minorHAnsi"/>
                <w:color w:val="auto"/>
                <w:szCs w:val="20"/>
              </w:rPr>
              <w:t xml:space="preserve">When the program is being implemented at multiple sites and it is important to understand the role of context to support transferability </w:t>
            </w:r>
          </w:p>
        </w:tc>
      </w:tr>
    </w:tbl>
    <w:p w14:paraId="5EDA2FE9" w14:textId="77777777" w:rsidR="002B15EF" w:rsidRPr="000F2D4C" w:rsidRDefault="002B15EF" w:rsidP="00283C5A">
      <w:pPr>
        <w:pStyle w:val="TableHeading"/>
      </w:pPr>
      <w:bookmarkStart w:id="82" w:name="_Toc67420390"/>
      <w:r w:rsidRPr="000F2D4C">
        <w:lastRenderedPageBreak/>
        <w:t>Common types of analysis for quantitative data</w:t>
      </w:r>
      <w:bookmarkEnd w:id="82"/>
    </w:p>
    <w:tbl>
      <w:tblPr>
        <w:tblStyle w:val="ARTDTable"/>
        <w:tblW w:w="8222" w:type="dxa"/>
        <w:tblLook w:val="01E0" w:firstRow="1" w:lastRow="1" w:firstColumn="1" w:lastColumn="1" w:noHBand="0" w:noVBand="0"/>
      </w:tblPr>
      <w:tblGrid>
        <w:gridCol w:w="2287"/>
        <w:gridCol w:w="2958"/>
        <w:gridCol w:w="2977"/>
      </w:tblGrid>
      <w:tr w:rsidR="002B15EF" w:rsidRPr="000F2D4C" w14:paraId="68EB65A1" w14:textId="77777777">
        <w:trPr>
          <w:cnfStyle w:val="100000000000" w:firstRow="1" w:lastRow="0" w:firstColumn="0" w:lastColumn="0" w:oddVBand="0" w:evenVBand="0" w:oddHBand="0" w:evenHBand="0" w:firstRowFirstColumn="0" w:firstRowLastColumn="0" w:lastRowFirstColumn="0" w:lastRowLastColumn="0"/>
          <w:tblHeader/>
        </w:trPr>
        <w:tc>
          <w:tcPr>
            <w:tcW w:w="2287" w:type="dxa"/>
          </w:tcPr>
          <w:p w14:paraId="736CF0E2" w14:textId="77777777" w:rsidR="002B15EF" w:rsidRPr="000F2D4C" w:rsidRDefault="002B15EF">
            <w:pPr>
              <w:keepNext/>
              <w:spacing w:before="120" w:after="120" w:line="240" w:lineRule="auto"/>
              <w:jc w:val="center"/>
              <w:rPr>
                <w:rFonts w:eastAsia="Times New Roman" w:cstheme="minorHAnsi"/>
                <w:b w:val="0"/>
                <w:szCs w:val="20"/>
              </w:rPr>
            </w:pPr>
            <w:r w:rsidRPr="000F2D4C">
              <w:rPr>
                <w:rFonts w:eastAsia="Times New Roman" w:cstheme="minorHAnsi"/>
                <w:b w:val="0"/>
                <w:szCs w:val="20"/>
              </w:rPr>
              <w:t>Type of analysis</w:t>
            </w:r>
          </w:p>
        </w:tc>
        <w:tc>
          <w:tcPr>
            <w:tcW w:w="2958" w:type="dxa"/>
          </w:tcPr>
          <w:p w14:paraId="3561F5E1" w14:textId="61A9E771" w:rsidR="002B15EF" w:rsidRPr="000F2D4C" w:rsidRDefault="002B15EF">
            <w:pPr>
              <w:keepNext/>
              <w:spacing w:before="120" w:after="120" w:line="240" w:lineRule="auto"/>
              <w:jc w:val="center"/>
              <w:rPr>
                <w:rFonts w:eastAsia="Times New Roman" w:cstheme="minorBidi"/>
                <w:b w:val="0"/>
              </w:rPr>
            </w:pPr>
            <w:r w:rsidRPr="000F2D4C">
              <w:rPr>
                <w:rFonts w:eastAsia="Times New Roman" w:cstheme="minorBidi"/>
                <w:b w:val="0"/>
              </w:rPr>
              <w:t xml:space="preserve">Description of </w:t>
            </w:r>
            <w:r w:rsidR="3FE2403A" w:rsidRPr="000F2D4C">
              <w:rPr>
                <w:rFonts w:eastAsia="Times New Roman" w:cstheme="minorBidi"/>
                <w:b w:val="0"/>
              </w:rPr>
              <w:t>a</w:t>
            </w:r>
            <w:r w:rsidRPr="000F2D4C">
              <w:rPr>
                <w:rFonts w:eastAsia="Times New Roman" w:cstheme="minorBidi"/>
                <w:b w:val="0"/>
              </w:rPr>
              <w:t>pproach</w:t>
            </w:r>
          </w:p>
        </w:tc>
        <w:tc>
          <w:tcPr>
            <w:tcW w:w="2977" w:type="dxa"/>
          </w:tcPr>
          <w:p w14:paraId="0A22823F" w14:textId="18DA7148" w:rsidR="002B15EF" w:rsidRPr="000F2D4C" w:rsidRDefault="002B15EF">
            <w:pPr>
              <w:keepNext/>
              <w:spacing w:before="120" w:after="120" w:line="240" w:lineRule="auto"/>
              <w:jc w:val="center"/>
              <w:rPr>
                <w:rFonts w:eastAsia="Times New Roman" w:cstheme="minorBidi"/>
                <w:b w:val="0"/>
              </w:rPr>
            </w:pPr>
            <w:r w:rsidRPr="000F2D4C">
              <w:rPr>
                <w:rFonts w:eastAsia="Times New Roman" w:cstheme="minorBidi"/>
                <w:b w:val="0"/>
              </w:rPr>
              <w:t xml:space="preserve">Common </w:t>
            </w:r>
            <w:r w:rsidR="039B0544" w:rsidRPr="000F2D4C">
              <w:rPr>
                <w:rFonts w:eastAsia="Times New Roman" w:cstheme="minorBidi"/>
                <w:b w:val="0"/>
              </w:rPr>
              <w:t>a</w:t>
            </w:r>
            <w:r w:rsidRPr="000F2D4C">
              <w:rPr>
                <w:rFonts w:eastAsia="Times New Roman" w:cstheme="minorBidi"/>
                <w:b w:val="0"/>
              </w:rPr>
              <w:t>pplications</w:t>
            </w:r>
          </w:p>
        </w:tc>
      </w:tr>
      <w:tr w:rsidR="002B15EF" w:rsidRPr="000F2D4C" w14:paraId="30855E7E" w14:textId="77777777">
        <w:trPr>
          <w:cnfStyle w:val="000000100000" w:firstRow="0" w:lastRow="0" w:firstColumn="0" w:lastColumn="0" w:oddVBand="0" w:evenVBand="0" w:oddHBand="1" w:evenHBand="0" w:firstRowFirstColumn="0" w:firstRowLastColumn="0" w:lastRowFirstColumn="0" w:lastRowLastColumn="0"/>
        </w:trPr>
        <w:tc>
          <w:tcPr>
            <w:tcW w:w="2287" w:type="dxa"/>
          </w:tcPr>
          <w:p w14:paraId="29A6BAEA" w14:textId="784E6DB1" w:rsidR="002B15EF" w:rsidRPr="000F2D4C" w:rsidRDefault="0094549A">
            <w:pPr>
              <w:spacing w:before="120" w:after="120" w:line="240" w:lineRule="auto"/>
              <w:rPr>
                <w:rFonts w:eastAsia="Times New Roman" w:cstheme="minorHAnsi"/>
                <w:szCs w:val="20"/>
              </w:rPr>
            </w:pPr>
            <w:r w:rsidRPr="000F2D4C">
              <w:rPr>
                <w:rFonts w:eastAsia="Times New Roman" w:cstheme="minorHAnsi"/>
                <w:szCs w:val="20"/>
              </w:rPr>
              <w:t>Descriptive</w:t>
            </w:r>
          </w:p>
        </w:tc>
        <w:tc>
          <w:tcPr>
            <w:tcW w:w="2958" w:type="dxa"/>
          </w:tcPr>
          <w:p w14:paraId="7C5D6C49" w14:textId="1DBE517F" w:rsidR="002B15EF" w:rsidRPr="000F2D4C" w:rsidRDefault="0094549A">
            <w:pPr>
              <w:spacing w:before="120" w:after="120" w:line="240" w:lineRule="auto"/>
              <w:rPr>
                <w:rFonts w:eastAsia="Times New Roman" w:cstheme="minorHAnsi"/>
                <w:szCs w:val="20"/>
              </w:rPr>
            </w:pPr>
            <w:r w:rsidRPr="000F2D4C">
              <w:rPr>
                <w:rFonts w:eastAsia="Times New Roman" w:cstheme="minorHAnsi"/>
                <w:szCs w:val="20"/>
              </w:rPr>
              <w:t>D</w:t>
            </w:r>
            <w:r w:rsidR="002B15EF" w:rsidRPr="000F2D4C">
              <w:rPr>
                <w:rFonts w:eastAsia="Times New Roman" w:cstheme="minorHAnsi"/>
                <w:szCs w:val="20"/>
              </w:rPr>
              <w:t>escribing the data from a sample or population</w:t>
            </w:r>
          </w:p>
        </w:tc>
        <w:tc>
          <w:tcPr>
            <w:tcW w:w="2977" w:type="dxa"/>
          </w:tcPr>
          <w:p w14:paraId="27101F16" w14:textId="77777777" w:rsidR="002B15EF" w:rsidRPr="000F2D4C" w:rsidRDefault="002B15EF">
            <w:pPr>
              <w:spacing w:before="120" w:after="120" w:line="240" w:lineRule="auto"/>
              <w:rPr>
                <w:rFonts w:eastAsia="Times New Roman" w:cstheme="minorHAnsi"/>
                <w:szCs w:val="20"/>
              </w:rPr>
            </w:pPr>
            <w:r w:rsidRPr="000F2D4C">
              <w:rPr>
                <w:rFonts w:eastAsia="Times New Roman" w:cstheme="minorHAnsi"/>
                <w:szCs w:val="20"/>
              </w:rPr>
              <w:t>Inferential – inferring the characteristics of a population from a sample of data</w:t>
            </w:r>
          </w:p>
        </w:tc>
      </w:tr>
      <w:tr w:rsidR="002B15EF" w:rsidRPr="000F2D4C" w14:paraId="1D5E8A49" w14:textId="77777777">
        <w:trPr>
          <w:cnfStyle w:val="000000010000" w:firstRow="0" w:lastRow="0" w:firstColumn="0" w:lastColumn="0" w:oddVBand="0" w:evenVBand="0" w:oddHBand="0" w:evenHBand="1" w:firstRowFirstColumn="0" w:firstRowLastColumn="0" w:lastRowFirstColumn="0" w:lastRowLastColumn="0"/>
        </w:trPr>
        <w:tc>
          <w:tcPr>
            <w:tcW w:w="2287" w:type="dxa"/>
          </w:tcPr>
          <w:p w14:paraId="0786D6E7" w14:textId="77777777" w:rsidR="002B15EF" w:rsidRPr="000F2D4C" w:rsidRDefault="002B15EF">
            <w:pPr>
              <w:spacing w:before="120" w:after="120" w:line="240" w:lineRule="auto"/>
              <w:rPr>
                <w:rFonts w:eastAsia="Times New Roman" w:cstheme="minorHAnsi"/>
                <w:szCs w:val="20"/>
              </w:rPr>
            </w:pPr>
            <w:r w:rsidRPr="000F2D4C">
              <w:rPr>
                <w:rFonts w:eastAsia="Times New Roman" w:cstheme="minorHAnsi"/>
                <w:szCs w:val="20"/>
              </w:rPr>
              <w:t>Univariate – one variable at a time</w:t>
            </w:r>
          </w:p>
        </w:tc>
        <w:tc>
          <w:tcPr>
            <w:tcW w:w="2958" w:type="dxa"/>
          </w:tcPr>
          <w:p w14:paraId="5AEF0833" w14:textId="77777777" w:rsidR="002B15EF" w:rsidRPr="000F2D4C" w:rsidRDefault="002B15EF">
            <w:pPr>
              <w:spacing w:before="120" w:after="120" w:line="240" w:lineRule="auto"/>
              <w:rPr>
                <w:rFonts w:eastAsia="Times New Roman" w:cstheme="minorHAnsi"/>
                <w:szCs w:val="20"/>
              </w:rPr>
            </w:pPr>
            <w:r w:rsidRPr="000F2D4C">
              <w:rPr>
                <w:rFonts w:eastAsia="Times New Roman" w:cstheme="minorHAnsi"/>
                <w:szCs w:val="20"/>
              </w:rPr>
              <w:t>Frequency tables</w:t>
            </w:r>
          </w:p>
          <w:p w14:paraId="1F1A73C8" w14:textId="77777777" w:rsidR="002B15EF" w:rsidRPr="000F2D4C" w:rsidRDefault="002B15EF">
            <w:pPr>
              <w:spacing w:before="120" w:after="120" w:line="240" w:lineRule="auto"/>
              <w:rPr>
                <w:rFonts w:eastAsia="Times New Roman" w:cstheme="minorHAnsi"/>
                <w:szCs w:val="20"/>
              </w:rPr>
            </w:pPr>
            <w:r w:rsidRPr="000F2D4C">
              <w:rPr>
                <w:rFonts w:eastAsia="Times New Roman" w:cstheme="minorHAnsi"/>
                <w:szCs w:val="20"/>
              </w:rPr>
              <w:t>Mean, median, mode</w:t>
            </w:r>
          </w:p>
          <w:p w14:paraId="54D87EAC" w14:textId="77777777" w:rsidR="002B15EF" w:rsidRPr="000F2D4C" w:rsidRDefault="002B15EF">
            <w:pPr>
              <w:spacing w:before="120" w:after="120" w:line="240" w:lineRule="auto"/>
              <w:rPr>
                <w:rFonts w:eastAsia="Times New Roman" w:cstheme="minorHAnsi"/>
                <w:szCs w:val="20"/>
              </w:rPr>
            </w:pPr>
            <w:r w:rsidRPr="000F2D4C">
              <w:rPr>
                <w:rFonts w:eastAsia="Times New Roman" w:cstheme="minorHAnsi"/>
                <w:szCs w:val="20"/>
              </w:rPr>
              <w:t>Range, standard deviation</w:t>
            </w:r>
          </w:p>
          <w:p w14:paraId="10805D1C" w14:textId="77777777" w:rsidR="002B15EF" w:rsidRPr="000F2D4C" w:rsidRDefault="002B15EF">
            <w:pPr>
              <w:spacing w:before="120" w:after="120" w:line="240" w:lineRule="auto"/>
              <w:rPr>
                <w:rFonts w:eastAsia="Times New Roman" w:cstheme="minorHAnsi"/>
                <w:szCs w:val="20"/>
              </w:rPr>
            </w:pPr>
            <w:r w:rsidRPr="000F2D4C">
              <w:rPr>
                <w:rFonts w:eastAsia="Times New Roman" w:cstheme="minorHAnsi"/>
                <w:szCs w:val="20"/>
              </w:rPr>
              <w:t>Graphical analysis</w:t>
            </w:r>
          </w:p>
        </w:tc>
        <w:tc>
          <w:tcPr>
            <w:tcW w:w="2977" w:type="dxa"/>
          </w:tcPr>
          <w:p w14:paraId="2780BFBC" w14:textId="77777777" w:rsidR="002B15EF" w:rsidRPr="000F2D4C" w:rsidRDefault="002B15EF">
            <w:pPr>
              <w:spacing w:before="120" w:after="120" w:line="240" w:lineRule="auto"/>
              <w:rPr>
                <w:rFonts w:eastAsia="Times New Roman" w:cstheme="minorHAnsi"/>
                <w:szCs w:val="20"/>
              </w:rPr>
            </w:pPr>
            <w:r w:rsidRPr="000F2D4C">
              <w:rPr>
                <w:rFonts w:eastAsia="Times New Roman" w:cstheme="minorHAnsi"/>
                <w:szCs w:val="20"/>
              </w:rPr>
              <w:t>Chi-square goodness of fit</w:t>
            </w:r>
          </w:p>
          <w:p w14:paraId="11484A7E" w14:textId="77777777" w:rsidR="002B15EF" w:rsidRPr="000F2D4C" w:rsidRDefault="002B15EF">
            <w:pPr>
              <w:spacing w:before="120" w:after="120" w:line="240" w:lineRule="auto"/>
              <w:rPr>
                <w:rFonts w:eastAsia="Times New Roman" w:cstheme="minorHAnsi"/>
                <w:szCs w:val="20"/>
              </w:rPr>
            </w:pPr>
            <w:r w:rsidRPr="000F2D4C">
              <w:rPr>
                <w:rFonts w:eastAsia="Times New Roman" w:cstheme="minorHAnsi"/>
                <w:szCs w:val="20"/>
              </w:rPr>
              <w:t>T-test</w:t>
            </w:r>
          </w:p>
        </w:tc>
      </w:tr>
      <w:tr w:rsidR="002B15EF" w:rsidRPr="000F2D4C" w14:paraId="1059BD7E" w14:textId="77777777">
        <w:trPr>
          <w:cnfStyle w:val="000000100000" w:firstRow="0" w:lastRow="0" w:firstColumn="0" w:lastColumn="0" w:oddVBand="0" w:evenVBand="0" w:oddHBand="1" w:evenHBand="0" w:firstRowFirstColumn="0" w:firstRowLastColumn="0" w:lastRowFirstColumn="0" w:lastRowLastColumn="0"/>
        </w:trPr>
        <w:tc>
          <w:tcPr>
            <w:tcW w:w="2287" w:type="dxa"/>
          </w:tcPr>
          <w:p w14:paraId="4EEBC313" w14:textId="77777777" w:rsidR="002B15EF" w:rsidRPr="000F2D4C" w:rsidRDefault="002B15EF">
            <w:pPr>
              <w:spacing w:before="120" w:after="120" w:line="240" w:lineRule="auto"/>
              <w:rPr>
                <w:rFonts w:eastAsia="Times New Roman" w:cstheme="minorHAnsi"/>
                <w:szCs w:val="20"/>
              </w:rPr>
            </w:pPr>
            <w:r w:rsidRPr="000F2D4C">
              <w:rPr>
                <w:rFonts w:eastAsia="Times New Roman" w:cstheme="minorHAnsi"/>
                <w:szCs w:val="20"/>
              </w:rPr>
              <w:t>Bivariate analysing two variables</w:t>
            </w:r>
          </w:p>
        </w:tc>
        <w:tc>
          <w:tcPr>
            <w:tcW w:w="2958" w:type="dxa"/>
          </w:tcPr>
          <w:p w14:paraId="45A77E5A" w14:textId="77777777" w:rsidR="002B15EF" w:rsidRPr="000F2D4C" w:rsidRDefault="002B15EF">
            <w:pPr>
              <w:spacing w:before="120" w:after="120" w:line="240" w:lineRule="auto"/>
              <w:rPr>
                <w:rFonts w:eastAsia="Times New Roman" w:cstheme="minorHAnsi"/>
                <w:szCs w:val="20"/>
              </w:rPr>
            </w:pPr>
            <w:r w:rsidRPr="000F2D4C">
              <w:rPr>
                <w:rFonts w:eastAsia="Times New Roman" w:cstheme="minorHAnsi"/>
                <w:szCs w:val="20"/>
              </w:rPr>
              <w:t>Simple cross-tabulations</w:t>
            </w:r>
          </w:p>
          <w:p w14:paraId="45A7235A" w14:textId="56883FF5" w:rsidR="002B15EF" w:rsidRPr="000F2D4C" w:rsidRDefault="002B15EF">
            <w:pPr>
              <w:spacing w:before="120" w:after="120" w:line="240" w:lineRule="auto"/>
              <w:rPr>
                <w:rFonts w:eastAsia="Times New Roman" w:cstheme="minorHAnsi"/>
                <w:szCs w:val="20"/>
              </w:rPr>
            </w:pPr>
            <w:r w:rsidRPr="000F2D4C">
              <w:rPr>
                <w:rFonts w:eastAsia="Times New Roman" w:cstheme="minorHAnsi"/>
                <w:szCs w:val="20"/>
              </w:rPr>
              <w:t>Correlation co-</w:t>
            </w:r>
            <w:r w:rsidR="00F23C51" w:rsidRPr="000F2D4C">
              <w:rPr>
                <w:rFonts w:eastAsia="Times New Roman" w:cstheme="minorHAnsi"/>
                <w:szCs w:val="20"/>
              </w:rPr>
              <w:t>efficient</w:t>
            </w:r>
          </w:p>
        </w:tc>
        <w:tc>
          <w:tcPr>
            <w:tcW w:w="2977" w:type="dxa"/>
          </w:tcPr>
          <w:p w14:paraId="380419AC" w14:textId="77777777" w:rsidR="002B15EF" w:rsidRPr="000F2D4C" w:rsidRDefault="002B15EF">
            <w:pPr>
              <w:spacing w:before="120" w:after="120" w:line="240" w:lineRule="auto"/>
              <w:rPr>
                <w:rFonts w:eastAsia="Times New Roman" w:cstheme="minorHAnsi"/>
                <w:szCs w:val="20"/>
              </w:rPr>
            </w:pPr>
            <w:r w:rsidRPr="000F2D4C">
              <w:rPr>
                <w:rFonts w:eastAsia="Times New Roman" w:cstheme="minorHAnsi"/>
                <w:szCs w:val="20"/>
              </w:rPr>
              <w:t>Chi-square</w:t>
            </w:r>
          </w:p>
        </w:tc>
      </w:tr>
      <w:tr w:rsidR="002B15EF" w:rsidRPr="000F2D4C" w14:paraId="67DDFE42" w14:textId="77777777">
        <w:trPr>
          <w:cnfStyle w:val="010000000000" w:firstRow="0" w:lastRow="1" w:firstColumn="0" w:lastColumn="0" w:oddVBand="0" w:evenVBand="0" w:oddHBand="0" w:evenHBand="0" w:firstRowFirstColumn="0" w:firstRowLastColumn="0" w:lastRowFirstColumn="0" w:lastRowLastColumn="0"/>
          <w:trHeight w:val="512"/>
        </w:trPr>
        <w:tc>
          <w:tcPr>
            <w:tcW w:w="2287" w:type="dxa"/>
            <w:shd w:val="clear" w:color="auto" w:fill="FFFFFF" w:themeFill="text1"/>
          </w:tcPr>
          <w:p w14:paraId="5DC754BA" w14:textId="77777777" w:rsidR="002B15EF" w:rsidRPr="000F2D4C" w:rsidRDefault="002B15EF">
            <w:pPr>
              <w:spacing w:before="120" w:after="120" w:line="240" w:lineRule="auto"/>
              <w:rPr>
                <w:rFonts w:eastAsia="Times New Roman" w:cstheme="minorHAnsi"/>
                <w:color w:val="auto"/>
                <w:szCs w:val="20"/>
              </w:rPr>
            </w:pPr>
            <w:r w:rsidRPr="000F2D4C">
              <w:rPr>
                <w:rFonts w:eastAsia="Times New Roman" w:cstheme="minorHAnsi"/>
                <w:color w:val="auto"/>
                <w:szCs w:val="20"/>
              </w:rPr>
              <w:t>Multivariate – several variables at once</w:t>
            </w:r>
          </w:p>
        </w:tc>
        <w:tc>
          <w:tcPr>
            <w:tcW w:w="2958" w:type="dxa"/>
            <w:shd w:val="clear" w:color="auto" w:fill="FFFFFF" w:themeFill="text1"/>
          </w:tcPr>
          <w:p w14:paraId="430A4820" w14:textId="77777777" w:rsidR="002B15EF" w:rsidRPr="000F2D4C" w:rsidRDefault="002B15EF">
            <w:pPr>
              <w:spacing w:before="120" w:after="120" w:line="240" w:lineRule="auto"/>
              <w:rPr>
                <w:rFonts w:eastAsia="Times New Roman" w:cstheme="minorHAnsi"/>
                <w:color w:val="auto"/>
                <w:szCs w:val="20"/>
              </w:rPr>
            </w:pPr>
            <w:r w:rsidRPr="000F2D4C">
              <w:rPr>
                <w:rFonts w:eastAsia="Times New Roman" w:cstheme="minorHAnsi"/>
                <w:color w:val="auto"/>
                <w:szCs w:val="20"/>
              </w:rPr>
              <w:t>Disaggregated cross-tabulations</w:t>
            </w:r>
          </w:p>
          <w:p w14:paraId="7C7DC452" w14:textId="77777777" w:rsidR="002B15EF" w:rsidRPr="000F2D4C" w:rsidRDefault="002B15EF">
            <w:pPr>
              <w:spacing w:before="120" w:after="120" w:line="240" w:lineRule="auto"/>
              <w:rPr>
                <w:rFonts w:eastAsia="Times New Roman" w:cstheme="minorHAnsi"/>
                <w:color w:val="auto"/>
                <w:szCs w:val="20"/>
              </w:rPr>
            </w:pPr>
            <w:r w:rsidRPr="000F2D4C">
              <w:rPr>
                <w:rFonts w:eastAsia="Times New Roman" w:cstheme="minorHAnsi"/>
                <w:color w:val="auto"/>
                <w:szCs w:val="20"/>
              </w:rPr>
              <w:t>Multiple regression, logistic regression, structural equation modelling</w:t>
            </w:r>
          </w:p>
          <w:p w14:paraId="7FE16FAD" w14:textId="77777777" w:rsidR="002B15EF" w:rsidRPr="000F2D4C" w:rsidRDefault="002B15EF">
            <w:pPr>
              <w:spacing w:before="120" w:after="120" w:line="240" w:lineRule="auto"/>
              <w:rPr>
                <w:rFonts w:eastAsia="Times New Roman" w:cstheme="minorHAnsi"/>
                <w:color w:val="auto"/>
                <w:szCs w:val="20"/>
              </w:rPr>
            </w:pPr>
            <w:r w:rsidRPr="000F2D4C">
              <w:rPr>
                <w:rFonts w:eastAsia="Times New Roman" w:cstheme="minorHAnsi"/>
                <w:color w:val="auto"/>
                <w:szCs w:val="20"/>
              </w:rPr>
              <w:t>Factor analysis, cluster analysis</w:t>
            </w:r>
          </w:p>
        </w:tc>
        <w:tc>
          <w:tcPr>
            <w:tcW w:w="2977" w:type="dxa"/>
            <w:shd w:val="clear" w:color="auto" w:fill="FFFFFF" w:themeFill="text1"/>
          </w:tcPr>
          <w:p w14:paraId="068643A6" w14:textId="77777777" w:rsidR="002B15EF" w:rsidRPr="000F2D4C" w:rsidRDefault="002B15EF">
            <w:pPr>
              <w:spacing w:before="120" w:after="120" w:line="240" w:lineRule="auto"/>
              <w:rPr>
                <w:rFonts w:eastAsia="Times New Roman" w:cstheme="minorHAnsi"/>
                <w:color w:val="auto"/>
                <w:szCs w:val="20"/>
              </w:rPr>
            </w:pPr>
            <w:r w:rsidRPr="000F2D4C">
              <w:rPr>
                <w:rFonts w:eastAsia="Times New Roman" w:cstheme="minorHAnsi"/>
                <w:color w:val="auto"/>
                <w:szCs w:val="20"/>
              </w:rPr>
              <w:t>ANOVA, MANOVA</w:t>
            </w:r>
          </w:p>
        </w:tc>
      </w:tr>
    </w:tbl>
    <w:p w14:paraId="4A702AB4" w14:textId="77777777" w:rsidR="002B15EF" w:rsidRPr="000F2D4C" w:rsidRDefault="002B15EF" w:rsidP="002B15EF"/>
    <w:p w14:paraId="4C23177A" w14:textId="517969DA" w:rsidR="002B15EF" w:rsidRPr="000F2D4C" w:rsidRDefault="002B15EF" w:rsidP="002B15EF">
      <w:r w:rsidRPr="000F2D4C">
        <w:t xml:space="preserve">It </w:t>
      </w:r>
      <w:r w:rsidR="0094549A" w:rsidRPr="000F2D4C">
        <w:t>can be</w:t>
      </w:r>
      <w:r w:rsidRPr="000F2D4C">
        <w:t xml:space="preserve"> helpful to do a trial run of the data analysis process to ensure that the </w:t>
      </w:r>
      <w:r w:rsidR="0094549A" w:rsidRPr="000F2D4C">
        <w:t>data</w:t>
      </w:r>
      <w:r w:rsidRPr="000F2D4C">
        <w:t xml:space="preserve"> you are gathering addresses the key questions and information needs of key stakeholders. </w:t>
      </w:r>
    </w:p>
    <w:p w14:paraId="1B038DD3" w14:textId="15D9DB83" w:rsidR="004A1B22" w:rsidRPr="000F2D4C" w:rsidRDefault="004A1B22" w:rsidP="004A1B22">
      <w:r w:rsidRPr="000F2D4C">
        <w:t xml:space="preserve">It is critical that the analysis identifies the </w:t>
      </w:r>
      <w:r w:rsidRPr="000F2D4C">
        <w:rPr>
          <w:b/>
        </w:rPr>
        <w:t>limitations</w:t>
      </w:r>
      <w:r w:rsidRPr="000F2D4C">
        <w:t xml:space="preserve">. That is, any factors that may have affected the results either directly or indirectly. </w:t>
      </w:r>
    </w:p>
    <w:p w14:paraId="0D3DD41F" w14:textId="77777777" w:rsidR="004A1B22" w:rsidRPr="000F2D4C" w:rsidRDefault="004A1B22" w:rsidP="004A1B22">
      <w:pPr>
        <w:pStyle w:val="Boxtext0"/>
        <w:rPr>
          <w:b/>
          <w:color w:val="215565" w:themeColor="accent2" w:themeShade="80"/>
        </w:rPr>
      </w:pPr>
      <w:r w:rsidRPr="000F2D4C">
        <w:rPr>
          <w:b/>
          <w:color w:val="215565" w:themeColor="accent2" w:themeShade="80"/>
        </w:rPr>
        <w:t>Other resources on analysis</w:t>
      </w:r>
    </w:p>
    <w:p w14:paraId="6895D2A8" w14:textId="0E1BDD74" w:rsidR="006B7C61" w:rsidRPr="000F2D4C" w:rsidRDefault="006B7C61" w:rsidP="006B7C61">
      <w:pPr>
        <w:pStyle w:val="Boxbullets"/>
        <w:rPr>
          <w:i/>
          <w:iCs/>
        </w:rPr>
      </w:pPr>
      <w:hyperlink r:id="rId112">
        <w:r w:rsidRPr="000F2D4C">
          <w:rPr>
            <w:rStyle w:val="Hyperlink"/>
            <w:i/>
            <w:iCs/>
          </w:rPr>
          <w:t>Better Evaluation: Rainbow Framework</w:t>
        </w:r>
      </w:hyperlink>
    </w:p>
    <w:p w14:paraId="17785702" w14:textId="3E4A300D" w:rsidR="004E181F" w:rsidRPr="000F2D4C" w:rsidRDefault="006965ED" w:rsidP="006B7C61">
      <w:pPr>
        <w:pStyle w:val="Boxbullets"/>
        <w:rPr>
          <w:i/>
          <w:iCs/>
        </w:rPr>
      </w:pPr>
      <w:hyperlink r:id="rId113">
        <w:r w:rsidRPr="000F2D4C">
          <w:rPr>
            <w:rStyle w:val="Hyperlink"/>
            <w:i/>
            <w:iCs/>
          </w:rPr>
          <w:t>Commonwealth Evaluation Toolkit</w:t>
        </w:r>
      </w:hyperlink>
    </w:p>
    <w:p w14:paraId="17293E96" w14:textId="497AE719" w:rsidR="00D46074" w:rsidRPr="000F2D4C" w:rsidRDefault="00791236" w:rsidP="006B7C61">
      <w:pPr>
        <w:pStyle w:val="Boxbullets"/>
        <w:rPr>
          <w:i/>
          <w:iCs/>
        </w:rPr>
      </w:pPr>
      <w:hyperlink r:id="rId114">
        <w:r w:rsidRPr="000F2D4C">
          <w:rPr>
            <w:rStyle w:val="Hyperlink"/>
            <w:i/>
            <w:iCs/>
          </w:rPr>
          <w:t xml:space="preserve">AIFS: Making the most </w:t>
        </w:r>
        <w:r w:rsidR="00F16CBC" w:rsidRPr="000F2D4C">
          <w:rPr>
            <w:rStyle w:val="Hyperlink"/>
            <w:i/>
            <w:iCs/>
          </w:rPr>
          <w:t xml:space="preserve">out </w:t>
        </w:r>
        <w:r w:rsidRPr="000F2D4C">
          <w:rPr>
            <w:rStyle w:val="Hyperlink"/>
            <w:i/>
            <w:iCs/>
          </w:rPr>
          <w:t>of evaluation</w:t>
        </w:r>
      </w:hyperlink>
    </w:p>
    <w:p w14:paraId="066FAAB7" w14:textId="3FEC4A53" w:rsidR="004A1B22" w:rsidRPr="000F2D4C" w:rsidRDefault="004A1B22" w:rsidP="004A1B22">
      <w:pPr>
        <w:pStyle w:val="Boxtext0"/>
      </w:pPr>
    </w:p>
    <w:p w14:paraId="0C2FCAE2" w14:textId="74D66BAE" w:rsidR="004A1B22" w:rsidRPr="000F2D4C" w:rsidRDefault="004A1B22" w:rsidP="004A1B22">
      <w:pPr>
        <w:pStyle w:val="Heading3"/>
      </w:pPr>
      <w:bookmarkStart w:id="83" w:name="_Toc146206797"/>
      <w:r w:rsidRPr="000F2D4C">
        <w:t>Synthesis and Interpretation</w:t>
      </w:r>
      <w:bookmarkEnd w:id="83"/>
    </w:p>
    <w:p w14:paraId="0FFB9528" w14:textId="1A1503B7" w:rsidR="004A1B22" w:rsidRPr="000F2D4C" w:rsidRDefault="00D052EB" w:rsidP="004A1B22">
      <w:r w:rsidRPr="000F2D4C">
        <w:t>The next step is to</w:t>
      </w:r>
      <w:r w:rsidR="004A1B22" w:rsidRPr="000F2D4C">
        <w:t xml:space="preserve"> synthesise and</w:t>
      </w:r>
      <w:r w:rsidRPr="000F2D4C">
        <w:t xml:space="preserve"> </w:t>
      </w:r>
      <w:r w:rsidRPr="000F2D4C">
        <w:rPr>
          <w:b/>
          <w:bCs/>
        </w:rPr>
        <w:t>interpret the data</w:t>
      </w:r>
      <w:r w:rsidR="00214FD1" w:rsidRPr="000F2D4C">
        <w:t xml:space="preserve">. This </w:t>
      </w:r>
      <w:r w:rsidR="00AB6F2D" w:rsidRPr="000F2D4C">
        <w:t xml:space="preserve">involves </w:t>
      </w:r>
      <w:r w:rsidR="00E94FBF" w:rsidRPr="000F2D4C">
        <w:t xml:space="preserve">bringing all data sources together to </w:t>
      </w:r>
      <w:r w:rsidR="00AB6F2D" w:rsidRPr="000F2D4C">
        <w:t>understan</w:t>
      </w:r>
      <w:r w:rsidR="00E94FBF" w:rsidRPr="000F2D4C">
        <w:t>d</w:t>
      </w:r>
      <w:r w:rsidR="00AB6F2D" w:rsidRPr="000F2D4C">
        <w:t xml:space="preserve"> what </w:t>
      </w:r>
      <w:r w:rsidR="00E94FBF" w:rsidRPr="000F2D4C">
        <w:t>– in combination – the</w:t>
      </w:r>
      <w:r w:rsidR="00AB6F2D" w:rsidRPr="000F2D4C">
        <w:t xml:space="preserve"> data </w:t>
      </w:r>
      <w:r w:rsidR="004A1B22" w:rsidRPr="000F2D4C">
        <w:t>sa</w:t>
      </w:r>
      <w:r w:rsidR="00E94FBF" w:rsidRPr="000F2D4C">
        <w:t>y</w:t>
      </w:r>
      <w:r w:rsidR="00AB6F2D" w:rsidRPr="000F2D4C">
        <w:t xml:space="preserve"> about the </w:t>
      </w:r>
      <w:r w:rsidR="004A1B22" w:rsidRPr="000F2D4C">
        <w:t>program</w:t>
      </w:r>
      <w:r w:rsidR="00AB6F2D" w:rsidRPr="000F2D4C">
        <w:t xml:space="preserve"> being evaluated. </w:t>
      </w:r>
      <w:r w:rsidR="00E94FBF" w:rsidRPr="000F2D4C">
        <w:t>The qualitative data should be able to help unpack and explain patterns in quantitative data.</w:t>
      </w:r>
    </w:p>
    <w:p w14:paraId="1E3A55D8" w14:textId="6C862B75" w:rsidR="002E7966" w:rsidRPr="000F2D4C" w:rsidRDefault="00541BCE" w:rsidP="004A1B22">
      <w:r w:rsidRPr="000F2D4C">
        <w:t xml:space="preserve">You may also consider discussing these </w:t>
      </w:r>
      <w:r w:rsidR="00714915" w:rsidRPr="000F2D4C">
        <w:t>findings</w:t>
      </w:r>
      <w:r w:rsidRPr="000F2D4C">
        <w:t xml:space="preserve"> with key </w:t>
      </w:r>
      <w:r w:rsidR="00714915" w:rsidRPr="000F2D4C">
        <w:t>stakeholders</w:t>
      </w:r>
      <w:r w:rsidRPr="000F2D4C">
        <w:t xml:space="preserve"> </w:t>
      </w:r>
      <w:r w:rsidR="00714915" w:rsidRPr="000F2D4C">
        <w:t>to make sense of the findings from multiple perspectives.</w:t>
      </w:r>
      <w:r w:rsidR="004A1B22" w:rsidRPr="000F2D4C">
        <w:t xml:space="preserve"> This can help to ensure findings are interpreted in context.</w:t>
      </w:r>
      <w:r w:rsidR="00714915" w:rsidRPr="000F2D4C">
        <w:t xml:space="preserve"> </w:t>
      </w:r>
      <w:r w:rsidR="004A1B22" w:rsidRPr="000F2D4C">
        <w:t>Engaging</w:t>
      </w:r>
      <w:r w:rsidR="002E7966" w:rsidRPr="000F2D4C">
        <w:t xml:space="preserve"> stakeholders and people with lived </w:t>
      </w:r>
      <w:r w:rsidR="005F06DE" w:rsidRPr="000F2D4C">
        <w:t>and/</w:t>
      </w:r>
      <w:r w:rsidR="002E7966" w:rsidRPr="000F2D4C">
        <w:t>or living experience of mental ill-</w:t>
      </w:r>
      <w:r w:rsidR="002E7966" w:rsidRPr="000F2D4C">
        <w:lastRenderedPageBreak/>
        <w:t>health and</w:t>
      </w:r>
      <w:r w:rsidR="005F06DE" w:rsidRPr="000F2D4C">
        <w:t>/or</w:t>
      </w:r>
      <w:r w:rsidR="002E7966" w:rsidRPr="000F2D4C">
        <w:t xml:space="preserve"> suicide in the interpretation of data </w:t>
      </w:r>
      <w:r w:rsidR="004A1B22" w:rsidRPr="000F2D4C">
        <w:t>can</w:t>
      </w:r>
      <w:r w:rsidR="002E7966" w:rsidRPr="000F2D4C">
        <w:t xml:space="preserve"> ensure the range of factors impacting on the data are considered.  </w:t>
      </w:r>
    </w:p>
    <w:p w14:paraId="370AB0D0" w14:textId="51DAB1B0" w:rsidR="00A457CE" w:rsidRPr="000F2D4C" w:rsidRDefault="00A457CE" w:rsidP="0005356D">
      <w:pPr>
        <w:pStyle w:val="Heading2"/>
      </w:pPr>
      <w:bookmarkStart w:id="84" w:name="_Toc146031461"/>
      <w:bookmarkStart w:id="85" w:name="_Toc146206798"/>
      <w:bookmarkStart w:id="86" w:name="_Toc149919010"/>
      <w:r w:rsidRPr="000F2D4C">
        <w:t>Keeping stakeholders informed of progress</w:t>
      </w:r>
      <w:bookmarkEnd w:id="84"/>
      <w:bookmarkEnd w:id="85"/>
      <w:bookmarkEnd w:id="86"/>
    </w:p>
    <w:p w14:paraId="6F9391EC" w14:textId="0687E5F0" w:rsidR="00A457CE" w:rsidRPr="000F2D4C" w:rsidRDefault="00D77871" w:rsidP="00D77871">
      <w:r w:rsidRPr="000F2D4C">
        <w:t xml:space="preserve">It is valuable to provide regular updates to </w:t>
      </w:r>
      <w:r w:rsidR="00946CF5" w:rsidRPr="000F2D4C">
        <w:t>key</w:t>
      </w:r>
      <w:r w:rsidRPr="000F2D4C">
        <w:t xml:space="preserve"> stakeholders during the evaluation to keep them up to date with emerging findings, and to </w:t>
      </w:r>
      <w:r w:rsidR="00946CF5" w:rsidRPr="000F2D4C">
        <w:t>help</w:t>
      </w:r>
      <w:r w:rsidRPr="000F2D4C">
        <w:t xml:space="preserve"> staff </w:t>
      </w:r>
      <w:r w:rsidR="00946CF5" w:rsidRPr="000F2D4C">
        <w:t xml:space="preserve">and program managers </w:t>
      </w:r>
      <w:r w:rsidRPr="000F2D4C">
        <w:t>in considering the implications of the evaluation for their work.</w:t>
      </w:r>
    </w:p>
    <w:p w14:paraId="14EF96A5" w14:textId="02455928" w:rsidR="006345C1" w:rsidRPr="000F2D4C" w:rsidRDefault="006345C1" w:rsidP="0005356D">
      <w:pPr>
        <w:pStyle w:val="Heading2"/>
      </w:pPr>
      <w:bookmarkStart w:id="87" w:name="_Toc146031462"/>
      <w:bookmarkStart w:id="88" w:name="_Toc146206799"/>
      <w:bookmarkStart w:id="89" w:name="_Toc149919011"/>
      <w:r w:rsidRPr="000F2D4C">
        <w:t>Reporting</w:t>
      </w:r>
      <w:bookmarkEnd w:id="87"/>
      <w:bookmarkEnd w:id="88"/>
      <w:bookmarkEnd w:id="89"/>
    </w:p>
    <w:p w14:paraId="43290877" w14:textId="5C4050BE" w:rsidR="009B0F3F" w:rsidRPr="000F2D4C" w:rsidRDefault="009A317A" w:rsidP="006345C1">
      <w:r w:rsidRPr="000F2D4C">
        <w:t xml:space="preserve">An evaluation report should answer the key evaluation questions to make a clear and contextualised judgement of the value of the program. </w:t>
      </w:r>
      <w:r w:rsidR="00717F64" w:rsidRPr="000F2D4C">
        <w:t>When considering reporting</w:t>
      </w:r>
      <w:r w:rsidR="73278042" w:rsidRPr="000F2D4C">
        <w:t>,</w:t>
      </w:r>
      <w:r w:rsidR="00717F64" w:rsidRPr="000F2D4C">
        <w:t xml:space="preserve"> it is helpful to:</w:t>
      </w:r>
    </w:p>
    <w:p w14:paraId="0FB15593" w14:textId="19FA829D" w:rsidR="00B272F1" w:rsidRPr="000F2D4C" w:rsidRDefault="2C479E18" w:rsidP="00FC2CEE">
      <w:pPr>
        <w:pStyle w:val="ListBullet"/>
        <w:numPr>
          <w:ilvl w:val="0"/>
          <w:numId w:val="44"/>
        </w:numPr>
      </w:pPr>
      <w:r w:rsidRPr="000F2D4C">
        <w:t>c</w:t>
      </w:r>
      <w:r w:rsidR="005A529D" w:rsidRPr="000F2D4C">
        <w:t xml:space="preserve">larify the </w:t>
      </w:r>
      <w:r w:rsidR="005A529D" w:rsidRPr="000F2D4C">
        <w:rPr>
          <w:b/>
        </w:rPr>
        <w:t>purpose</w:t>
      </w:r>
      <w:r w:rsidR="005A529D" w:rsidRPr="000F2D4C">
        <w:t xml:space="preserve"> of </w:t>
      </w:r>
      <w:r w:rsidR="00F54B67" w:rsidRPr="000F2D4C">
        <w:t>the</w:t>
      </w:r>
      <w:r w:rsidR="005A529D" w:rsidRPr="000F2D4C">
        <w:t xml:space="preserve"> report. </w:t>
      </w:r>
      <w:r w:rsidR="00B272F1" w:rsidRPr="000F2D4C">
        <w:t>Will your report be used for decision</w:t>
      </w:r>
      <w:r w:rsidR="7C6A3C8C" w:rsidRPr="000F2D4C">
        <w:t>-</w:t>
      </w:r>
      <w:r w:rsidR="00B272F1" w:rsidRPr="000F2D4C">
        <w:t xml:space="preserve">making, </w:t>
      </w:r>
      <w:r w:rsidR="00E71C1D" w:rsidRPr="000F2D4C">
        <w:t>for</w:t>
      </w:r>
      <w:r w:rsidR="00B272F1" w:rsidRPr="000F2D4C">
        <w:t xml:space="preserve"> learning and understanding</w:t>
      </w:r>
      <w:r w:rsidR="00E71C1D" w:rsidRPr="000F2D4C">
        <w:t>,</w:t>
      </w:r>
      <w:r w:rsidR="00B272F1" w:rsidRPr="000F2D4C">
        <w:t xml:space="preserve"> or for strategic or political purposes</w:t>
      </w:r>
    </w:p>
    <w:p w14:paraId="5726D590" w14:textId="08545052" w:rsidR="0057672C" w:rsidRPr="000F2D4C" w:rsidRDefault="5954B984" w:rsidP="00FC2CEE">
      <w:pPr>
        <w:pStyle w:val="ListBullet"/>
        <w:numPr>
          <w:ilvl w:val="0"/>
          <w:numId w:val="44"/>
        </w:numPr>
      </w:pPr>
      <w:r w:rsidRPr="000F2D4C">
        <w:t>c</w:t>
      </w:r>
      <w:r w:rsidR="0057672C" w:rsidRPr="000F2D4C">
        <w:t xml:space="preserve">larify the key </w:t>
      </w:r>
      <w:r w:rsidR="0057672C" w:rsidRPr="000F2D4C">
        <w:rPr>
          <w:b/>
          <w:bCs/>
        </w:rPr>
        <w:t>audience</w:t>
      </w:r>
      <w:r w:rsidR="0057672C" w:rsidRPr="000F2D4C">
        <w:t xml:space="preserve"> or audiences for the report. It may be possible to meet the needs of all audiences in one report, but often </w:t>
      </w:r>
      <w:r w:rsidR="00ED3442" w:rsidRPr="000F2D4C">
        <w:t>it can help to complement a report with p</w:t>
      </w:r>
      <w:r w:rsidR="0057672C" w:rsidRPr="000F2D4C">
        <w:t xml:space="preserve">resentations, written formats, electronic documents, video or audio formats. </w:t>
      </w:r>
    </w:p>
    <w:p w14:paraId="1EC27977" w14:textId="7BEA5E7E" w:rsidR="00B272F1" w:rsidRPr="000F2D4C" w:rsidRDefault="1C54639C" w:rsidP="00FC2CEE">
      <w:pPr>
        <w:pStyle w:val="ListBullet"/>
        <w:numPr>
          <w:ilvl w:val="0"/>
          <w:numId w:val="44"/>
        </w:numPr>
      </w:pPr>
      <w:r w:rsidRPr="000F2D4C">
        <w:t>d</w:t>
      </w:r>
      <w:r w:rsidR="00B272F1" w:rsidRPr="000F2D4C">
        <w:t xml:space="preserve">evelop an </w:t>
      </w:r>
      <w:r w:rsidR="00B272F1" w:rsidRPr="000F2D4C">
        <w:rPr>
          <w:b/>
        </w:rPr>
        <w:t>outline</w:t>
      </w:r>
      <w:r w:rsidR="00B272F1" w:rsidRPr="000F2D4C">
        <w:t xml:space="preserve"> for </w:t>
      </w:r>
      <w:r w:rsidR="00F54B67" w:rsidRPr="000F2D4C">
        <w:t>the</w:t>
      </w:r>
      <w:r w:rsidR="00B272F1" w:rsidRPr="000F2D4C">
        <w:t xml:space="preserve"> report. Often this may be structured around your key evaluation questions.</w:t>
      </w:r>
      <w:r w:rsidR="009A317A" w:rsidRPr="000F2D4C">
        <w:t xml:space="preserve"> It might also be structured around the logic model of the program.</w:t>
      </w:r>
    </w:p>
    <w:p w14:paraId="534BCD72" w14:textId="77777777" w:rsidR="00FA5634" w:rsidRPr="000F2D4C" w:rsidRDefault="00FA5634" w:rsidP="00FA5634">
      <w:pPr>
        <w:pStyle w:val="ListBullet"/>
        <w:numPr>
          <w:ilvl w:val="0"/>
          <w:numId w:val="0"/>
        </w:numPr>
        <w:ind w:left="360" w:hanging="360"/>
      </w:pPr>
    </w:p>
    <w:p w14:paraId="1A82A322" w14:textId="735AAB12" w:rsidR="00131690" w:rsidRPr="000F2D4C" w:rsidRDefault="00F54B67" w:rsidP="00131690">
      <w:r w:rsidRPr="000F2D4C">
        <w:t>The</w:t>
      </w:r>
      <w:r w:rsidR="006F63A5" w:rsidRPr="000F2D4C">
        <w:t xml:space="preserve"> report </w:t>
      </w:r>
      <w:r w:rsidRPr="000F2D4C">
        <w:t>should generally</w:t>
      </w:r>
      <w:r w:rsidR="006F63A5" w:rsidRPr="000F2D4C">
        <w:t xml:space="preserve"> include a series of </w:t>
      </w:r>
      <w:r w:rsidR="006F63A5" w:rsidRPr="000F2D4C">
        <w:rPr>
          <w:b/>
        </w:rPr>
        <w:t>recommendations</w:t>
      </w:r>
      <w:r w:rsidR="009A317A" w:rsidRPr="000F2D4C">
        <w:rPr>
          <w:b/>
        </w:rPr>
        <w:t xml:space="preserve"> or implications</w:t>
      </w:r>
      <w:r w:rsidR="006F63A5" w:rsidRPr="000F2D4C">
        <w:t xml:space="preserve">. </w:t>
      </w:r>
      <w:r w:rsidR="009A317A" w:rsidRPr="000F2D4C">
        <w:t>These</w:t>
      </w:r>
      <w:r w:rsidR="006345C1" w:rsidRPr="000F2D4C">
        <w:t xml:space="preserve"> are usually most useful</w:t>
      </w:r>
      <w:r w:rsidR="0057672C" w:rsidRPr="000F2D4C">
        <w:t xml:space="preserve"> – strategic and feasible –</w:t>
      </w:r>
      <w:r w:rsidR="006345C1" w:rsidRPr="000F2D4C">
        <w:t xml:space="preserve"> </w:t>
      </w:r>
      <w:r w:rsidR="0057672C" w:rsidRPr="000F2D4C">
        <w:t>i</w:t>
      </w:r>
      <w:r w:rsidR="006345C1" w:rsidRPr="000F2D4C">
        <w:t xml:space="preserve">f developed collaboratively with those responsible for the </w:t>
      </w:r>
      <w:r w:rsidR="00C21673" w:rsidRPr="000F2D4C">
        <w:t xml:space="preserve">program </w:t>
      </w:r>
      <w:r w:rsidR="006345C1" w:rsidRPr="000F2D4C">
        <w:t xml:space="preserve">being evaluated.  </w:t>
      </w:r>
    </w:p>
    <w:p w14:paraId="7AE91325" w14:textId="03C96EEA" w:rsidR="00CA6577" w:rsidRPr="000F2D4C" w:rsidRDefault="00CA6577" w:rsidP="00131690">
      <w:r w:rsidRPr="000F2D4C">
        <w:t xml:space="preserve">All reports should make clear the </w:t>
      </w:r>
      <w:r w:rsidRPr="000F2D4C">
        <w:rPr>
          <w:b/>
          <w:bCs/>
        </w:rPr>
        <w:t>methods</w:t>
      </w:r>
      <w:r w:rsidRPr="000F2D4C">
        <w:t xml:space="preserve"> used and their </w:t>
      </w:r>
      <w:r w:rsidRPr="000F2D4C">
        <w:rPr>
          <w:b/>
          <w:bCs/>
        </w:rPr>
        <w:t>limitations</w:t>
      </w:r>
      <w:r w:rsidR="366DF844" w:rsidRPr="000F2D4C">
        <w:t>,</w:t>
      </w:r>
      <w:r w:rsidRPr="000F2D4C">
        <w:t xml:space="preserve"> to facilitate interpretation of findings</w:t>
      </w:r>
      <w:r w:rsidR="00F54B67" w:rsidRPr="000F2D4C">
        <w:t>, and support future evaluation.</w:t>
      </w:r>
    </w:p>
    <w:p w14:paraId="3554047F" w14:textId="48BD508D" w:rsidR="00C45173" w:rsidRPr="000F2D4C" w:rsidRDefault="00C45173" w:rsidP="00131690">
      <w:r w:rsidRPr="000F2D4C">
        <w:t xml:space="preserve">Reports should also </w:t>
      </w:r>
      <w:r w:rsidR="00F57A54" w:rsidRPr="000F2D4C">
        <w:t>acknowledge</w:t>
      </w:r>
      <w:r w:rsidRPr="000F2D4C">
        <w:t xml:space="preserve"> those who </w:t>
      </w:r>
      <w:r w:rsidR="004E3411" w:rsidRPr="000F2D4C">
        <w:t xml:space="preserve">contributed to the report, such as </w:t>
      </w:r>
      <w:r w:rsidR="00363B69" w:rsidRPr="000F2D4C">
        <w:t xml:space="preserve">staff members from the commissioning organisation, </w:t>
      </w:r>
      <w:r w:rsidR="006B748E" w:rsidRPr="000F2D4C">
        <w:t>service users</w:t>
      </w:r>
      <w:r w:rsidR="00191C3F" w:rsidRPr="000F2D4C">
        <w:t xml:space="preserve"> (though not by name)</w:t>
      </w:r>
      <w:r w:rsidR="006B748E" w:rsidRPr="000F2D4C">
        <w:t xml:space="preserve">, </w:t>
      </w:r>
      <w:r w:rsidR="602182B0" w:rsidRPr="000F2D4C">
        <w:t xml:space="preserve">and </w:t>
      </w:r>
      <w:r w:rsidR="00363B69" w:rsidRPr="000F2D4C">
        <w:t>evaluation team members</w:t>
      </w:r>
      <w:r w:rsidR="00191C3F" w:rsidRPr="000F2D4C">
        <w:t xml:space="preserve">, </w:t>
      </w:r>
      <w:r w:rsidR="00363B69" w:rsidRPr="000F2D4C">
        <w:t>including those with lived and/or living experience</w:t>
      </w:r>
      <w:r w:rsidR="006B748E" w:rsidRPr="000F2D4C">
        <w:t xml:space="preserve">. </w:t>
      </w:r>
    </w:p>
    <w:p w14:paraId="3F1B97B7" w14:textId="25CC0B7D" w:rsidR="00FD764F" w:rsidRPr="000F2D4C" w:rsidRDefault="00FD764F" w:rsidP="00FD764F">
      <w:r w:rsidRPr="000F2D4C">
        <w:t>See Appendix 6 for an example of a template, based on a modified version of the EMMIE framework</w:t>
      </w:r>
      <w:r w:rsidRPr="000F2D4C">
        <w:rPr>
          <w:rStyle w:val="FootnoteReference"/>
        </w:rPr>
        <w:footnoteReference w:id="51"/>
      </w:r>
      <w:r w:rsidRPr="000F2D4C">
        <w:t xml:space="preserve"> which may provide guidance </w:t>
      </w:r>
      <w:r w:rsidR="00143DF4" w:rsidRPr="000F2D4C">
        <w:t>f</w:t>
      </w:r>
      <w:r w:rsidRPr="000F2D4C">
        <w:t xml:space="preserve">or </w:t>
      </w:r>
      <w:r w:rsidR="00143DF4" w:rsidRPr="000F2D4C">
        <w:t xml:space="preserve">consistently </w:t>
      </w:r>
      <w:r w:rsidRPr="000F2D4C">
        <w:t xml:space="preserve">sharing information </w:t>
      </w:r>
      <w:r w:rsidR="00143DF4" w:rsidRPr="000F2D4C">
        <w:t xml:space="preserve">about evaluation </w:t>
      </w:r>
      <w:r w:rsidRPr="000F2D4C">
        <w:t>to continue building an evidence base of what works in varying contexts.</w:t>
      </w:r>
      <w:r w:rsidR="00F809A1" w:rsidRPr="000F2D4C">
        <w:t xml:space="preserve"> This </w:t>
      </w:r>
      <w:r w:rsidR="00090C8B" w:rsidRPr="000F2D4C">
        <w:t xml:space="preserve">could be used together with the sharing guidelines. </w:t>
      </w:r>
      <w:r w:rsidR="00F809A1" w:rsidRPr="000F2D4C">
        <w:t xml:space="preserve"> </w:t>
      </w:r>
    </w:p>
    <w:p w14:paraId="12B8B11D" w14:textId="7A4DD58B" w:rsidR="005E1961" w:rsidRPr="000F2D4C" w:rsidRDefault="007528AA" w:rsidP="0057672C">
      <w:pPr>
        <w:pStyle w:val="Boxtext0"/>
      </w:pPr>
      <w:r w:rsidRPr="000F2D4C">
        <w:rPr>
          <w:b/>
          <w:bCs/>
        </w:rPr>
        <w:t>Guidance o</w:t>
      </w:r>
      <w:r w:rsidR="0051500A" w:rsidRPr="000F2D4C">
        <w:rPr>
          <w:b/>
          <w:bCs/>
        </w:rPr>
        <w:t>n</w:t>
      </w:r>
      <w:r w:rsidRPr="000F2D4C">
        <w:rPr>
          <w:b/>
          <w:bCs/>
        </w:rPr>
        <w:t xml:space="preserve"> using evaluation findings and </w:t>
      </w:r>
      <w:r w:rsidR="0051500A" w:rsidRPr="000F2D4C">
        <w:rPr>
          <w:b/>
          <w:bCs/>
        </w:rPr>
        <w:t>reporting can be found here</w:t>
      </w:r>
      <w:r w:rsidR="0051500A" w:rsidRPr="000F2D4C">
        <w:t>:</w:t>
      </w:r>
    </w:p>
    <w:p w14:paraId="65F1C64C" w14:textId="77777777" w:rsidR="00B26F6C" w:rsidRPr="000F2D4C" w:rsidRDefault="00B26F6C" w:rsidP="00B26F6C">
      <w:pPr>
        <w:pStyle w:val="Boxbullets"/>
        <w:rPr>
          <w:i/>
          <w:iCs/>
        </w:rPr>
      </w:pPr>
      <w:hyperlink r:id="rId115">
        <w:r w:rsidRPr="000F2D4C">
          <w:rPr>
            <w:rStyle w:val="Hyperlink"/>
            <w:i/>
            <w:iCs/>
          </w:rPr>
          <w:t>Commonwealth Evaluation Toolkit</w:t>
        </w:r>
      </w:hyperlink>
    </w:p>
    <w:p w14:paraId="1A22207D" w14:textId="75FD6AAA" w:rsidR="0051500A" w:rsidRPr="000F2D4C" w:rsidRDefault="00FF41F3" w:rsidP="0057672C">
      <w:pPr>
        <w:pStyle w:val="Boxbullets"/>
        <w:rPr>
          <w:i/>
          <w:iCs/>
        </w:rPr>
      </w:pPr>
      <w:hyperlink r:id="rId116">
        <w:r w:rsidRPr="000F2D4C">
          <w:rPr>
            <w:rStyle w:val="Hyperlink"/>
            <w:i/>
            <w:iCs/>
          </w:rPr>
          <w:t>Better Evaluation: Using Evaluation Findings</w:t>
        </w:r>
      </w:hyperlink>
      <w:r w:rsidR="000F2D4C" w:rsidRPr="000F2D4C">
        <w:rPr>
          <w:rStyle w:val="Hyperlink"/>
          <w:i/>
          <w:iCs/>
        </w:rPr>
        <w:br/>
      </w:r>
    </w:p>
    <w:p w14:paraId="5CE3D8BA" w14:textId="0ACA3E22" w:rsidR="0005356D" w:rsidRPr="000F2D4C" w:rsidRDefault="0005356D" w:rsidP="00550A8D">
      <w:pPr>
        <w:pStyle w:val="Appendix"/>
      </w:pPr>
      <w:bookmarkStart w:id="90" w:name="_Toc146031465"/>
      <w:bookmarkStart w:id="91" w:name="_Toc146206806"/>
      <w:bookmarkStart w:id="92" w:name="_Toc149919012"/>
      <w:r w:rsidRPr="000F2D4C">
        <w:lastRenderedPageBreak/>
        <w:t>Key concepts</w:t>
      </w:r>
      <w:bookmarkEnd w:id="90"/>
      <w:bookmarkEnd w:id="91"/>
      <w:bookmarkEnd w:id="92"/>
      <w:r w:rsidRPr="000F2D4C">
        <w:t xml:space="preserve"> </w:t>
      </w:r>
    </w:p>
    <w:p w14:paraId="2BFE46C4" w14:textId="6FE6E893" w:rsidR="0005356D" w:rsidRPr="000F2D4C" w:rsidRDefault="0005356D" w:rsidP="0005356D">
      <w:r w:rsidRPr="000F2D4C">
        <w:t>This section will include definitions of key terms, such as monitoring, evaluation, outcomes,</w:t>
      </w:r>
      <w:r w:rsidR="000F2D4C" w:rsidRPr="000F2D4C">
        <w:t xml:space="preserve"> and </w:t>
      </w:r>
      <w:r w:rsidRPr="000F2D4C">
        <w:t>impact.</w:t>
      </w:r>
    </w:p>
    <w:p w14:paraId="7653096E" w14:textId="77777777" w:rsidR="000C2570" w:rsidRPr="000F2D4C" w:rsidRDefault="000C2570" w:rsidP="00DE0F92">
      <w:pPr>
        <w:pStyle w:val="ListNumber"/>
        <w:numPr>
          <w:ilvl w:val="0"/>
          <w:numId w:val="0"/>
        </w:numPr>
        <w:ind w:left="360"/>
        <w:rPr>
          <w:lang w:val="en-AU"/>
        </w:rPr>
      </w:pPr>
    </w:p>
    <w:tbl>
      <w:tblPr>
        <w:tblStyle w:val="ARTDTable"/>
        <w:tblW w:w="7723" w:type="dxa"/>
        <w:tblInd w:w="357" w:type="dxa"/>
        <w:tblLook w:val="04A0" w:firstRow="1" w:lastRow="0" w:firstColumn="1" w:lastColumn="0" w:noHBand="0" w:noVBand="1"/>
      </w:tblPr>
      <w:tblGrid>
        <w:gridCol w:w="1888"/>
        <w:gridCol w:w="5835"/>
      </w:tblGrid>
      <w:tr w:rsidR="00857640" w:rsidRPr="000F2D4C" w14:paraId="3A410060" w14:textId="77777777" w:rsidTr="76054678">
        <w:trPr>
          <w:cnfStyle w:val="100000000000" w:firstRow="1" w:lastRow="0" w:firstColumn="0" w:lastColumn="0" w:oddVBand="0" w:evenVBand="0" w:oddHBand="0" w:evenHBand="0" w:firstRowFirstColumn="0" w:firstRowLastColumn="0" w:lastRowFirstColumn="0" w:lastRowLastColumn="0"/>
        </w:trPr>
        <w:tc>
          <w:tcPr>
            <w:tcW w:w="1888" w:type="dxa"/>
          </w:tcPr>
          <w:p w14:paraId="59C9EB85" w14:textId="7981603C" w:rsidR="00857640" w:rsidRPr="000F2D4C" w:rsidRDefault="00EA1B26" w:rsidP="00DE0F92">
            <w:pPr>
              <w:pStyle w:val="ListNumber"/>
              <w:numPr>
                <w:ilvl w:val="0"/>
                <w:numId w:val="0"/>
              </w:numPr>
              <w:rPr>
                <w:lang w:val="en-AU"/>
              </w:rPr>
            </w:pPr>
            <w:r w:rsidRPr="000F2D4C">
              <w:rPr>
                <w:lang w:val="en-AU"/>
              </w:rPr>
              <w:t>Term</w:t>
            </w:r>
          </w:p>
        </w:tc>
        <w:tc>
          <w:tcPr>
            <w:tcW w:w="5835" w:type="dxa"/>
          </w:tcPr>
          <w:p w14:paraId="325D2429" w14:textId="566CD622" w:rsidR="00857640" w:rsidRPr="000F2D4C" w:rsidRDefault="00EA1B26" w:rsidP="00DE0F92">
            <w:pPr>
              <w:pStyle w:val="ListNumber"/>
              <w:numPr>
                <w:ilvl w:val="0"/>
                <w:numId w:val="0"/>
              </w:numPr>
              <w:rPr>
                <w:lang w:val="en-AU"/>
              </w:rPr>
            </w:pPr>
            <w:r w:rsidRPr="000F2D4C">
              <w:rPr>
                <w:lang w:val="en-AU"/>
              </w:rPr>
              <w:t>Definition</w:t>
            </w:r>
          </w:p>
        </w:tc>
      </w:tr>
      <w:tr w:rsidR="00857640" w:rsidRPr="000F2D4C" w14:paraId="7C36B6C2" w14:textId="77777777" w:rsidTr="76054678">
        <w:trPr>
          <w:cnfStyle w:val="000000100000" w:firstRow="0" w:lastRow="0" w:firstColumn="0" w:lastColumn="0" w:oddVBand="0" w:evenVBand="0" w:oddHBand="1" w:evenHBand="0" w:firstRowFirstColumn="0" w:firstRowLastColumn="0" w:lastRowFirstColumn="0" w:lastRowLastColumn="0"/>
        </w:trPr>
        <w:tc>
          <w:tcPr>
            <w:tcW w:w="1888" w:type="dxa"/>
          </w:tcPr>
          <w:p w14:paraId="5B9020C7" w14:textId="1007B0DA" w:rsidR="00857640" w:rsidRPr="000F2D4C" w:rsidRDefault="004C2B5E" w:rsidP="00DE0F92">
            <w:pPr>
              <w:pStyle w:val="ListNumber"/>
              <w:numPr>
                <w:ilvl w:val="0"/>
                <w:numId w:val="0"/>
              </w:numPr>
              <w:rPr>
                <w:rFonts w:cstheme="minorHAnsi"/>
                <w:szCs w:val="18"/>
                <w:lang w:val="en-AU"/>
              </w:rPr>
            </w:pPr>
            <w:r w:rsidRPr="000F2D4C">
              <w:rPr>
                <w:rFonts w:cstheme="minorHAnsi"/>
                <w:szCs w:val="18"/>
                <w:lang w:val="en-AU"/>
              </w:rPr>
              <w:t>Access</w:t>
            </w:r>
          </w:p>
        </w:tc>
        <w:tc>
          <w:tcPr>
            <w:tcW w:w="5835" w:type="dxa"/>
          </w:tcPr>
          <w:p w14:paraId="434654F9" w14:textId="240D95A6" w:rsidR="00857640" w:rsidRPr="000F2D4C" w:rsidRDefault="005C6FE6" w:rsidP="00DE0F92">
            <w:pPr>
              <w:pStyle w:val="ListNumber"/>
              <w:numPr>
                <w:ilvl w:val="0"/>
                <w:numId w:val="0"/>
              </w:numPr>
              <w:rPr>
                <w:rFonts w:cstheme="minorHAnsi"/>
                <w:szCs w:val="18"/>
                <w:lang w:val="en-AU"/>
              </w:rPr>
            </w:pPr>
            <w:r w:rsidRPr="000F2D4C">
              <w:rPr>
                <w:rFonts w:cstheme="minorHAnsi"/>
                <w:color w:val="212529"/>
                <w:szCs w:val="18"/>
                <w:shd w:val="clear" w:color="auto" w:fill="FFFFFF"/>
                <w:lang w:val="en-AU"/>
              </w:rPr>
              <w:t>People can obtain health care at the right place and right time, taking account of different population needs and the affordability of care.</w:t>
            </w:r>
          </w:p>
        </w:tc>
      </w:tr>
      <w:tr w:rsidR="00857640" w:rsidRPr="000F2D4C" w14:paraId="28C049DF" w14:textId="77777777" w:rsidTr="76054678">
        <w:trPr>
          <w:cnfStyle w:val="000000010000" w:firstRow="0" w:lastRow="0" w:firstColumn="0" w:lastColumn="0" w:oddVBand="0" w:evenVBand="0" w:oddHBand="0" w:evenHBand="1" w:firstRowFirstColumn="0" w:firstRowLastColumn="0" w:lastRowFirstColumn="0" w:lastRowLastColumn="0"/>
        </w:trPr>
        <w:tc>
          <w:tcPr>
            <w:tcW w:w="1888" w:type="dxa"/>
          </w:tcPr>
          <w:p w14:paraId="5A0E3CAB" w14:textId="10A6BFCC" w:rsidR="00857640" w:rsidRPr="000F2D4C" w:rsidRDefault="005F4E84" w:rsidP="00DE0F92">
            <w:pPr>
              <w:pStyle w:val="ListNumber"/>
              <w:numPr>
                <w:ilvl w:val="0"/>
                <w:numId w:val="0"/>
              </w:numPr>
              <w:rPr>
                <w:rFonts w:cstheme="minorHAnsi"/>
                <w:szCs w:val="18"/>
                <w:lang w:val="en-AU"/>
              </w:rPr>
            </w:pPr>
            <w:r w:rsidRPr="000F2D4C">
              <w:rPr>
                <w:rFonts w:cstheme="minorHAnsi"/>
                <w:szCs w:val="18"/>
                <w:lang w:val="en-AU"/>
              </w:rPr>
              <w:t xml:space="preserve">Appropriateness </w:t>
            </w:r>
          </w:p>
        </w:tc>
        <w:tc>
          <w:tcPr>
            <w:tcW w:w="5835" w:type="dxa"/>
          </w:tcPr>
          <w:p w14:paraId="6F3A4043" w14:textId="309A183D" w:rsidR="00B53B50" w:rsidRPr="000F2D4C" w:rsidRDefault="00B919BC" w:rsidP="00DE0F92">
            <w:pPr>
              <w:pStyle w:val="ListNumber"/>
              <w:numPr>
                <w:ilvl w:val="0"/>
                <w:numId w:val="0"/>
              </w:numPr>
              <w:rPr>
                <w:rFonts w:cstheme="minorBidi"/>
                <w:lang w:val="en-AU"/>
              </w:rPr>
            </w:pPr>
            <w:r w:rsidRPr="000F2D4C">
              <w:rPr>
                <w:rFonts w:cstheme="minorBidi"/>
                <w:lang w:val="en-AU"/>
              </w:rPr>
              <w:t xml:space="preserve">In evaluation, appropriateness may relate to the extent to which a </w:t>
            </w:r>
            <w:r w:rsidR="00503F73" w:rsidRPr="000F2D4C">
              <w:rPr>
                <w:rFonts w:cstheme="minorBidi"/>
                <w:lang w:val="en-AU"/>
              </w:rPr>
              <w:t>program</w:t>
            </w:r>
            <w:r w:rsidRPr="000F2D4C">
              <w:rPr>
                <w:rFonts w:cstheme="minorBidi"/>
                <w:lang w:val="en-AU"/>
              </w:rPr>
              <w:t xml:space="preserve"> addresses an identified need </w:t>
            </w:r>
            <w:r w:rsidR="53FF1D46" w:rsidRPr="000F2D4C">
              <w:rPr>
                <w:rFonts w:cstheme="minorBidi"/>
                <w:lang w:val="en-AU"/>
              </w:rPr>
              <w:t xml:space="preserve">or </w:t>
            </w:r>
            <w:r w:rsidRPr="000F2D4C">
              <w:rPr>
                <w:rFonts w:cstheme="minorBidi"/>
                <w:lang w:val="en-AU"/>
              </w:rPr>
              <w:t>is suitable for a community or context</w:t>
            </w:r>
            <w:r w:rsidR="00190708" w:rsidRPr="000F2D4C">
              <w:rPr>
                <w:rFonts w:cstheme="minorBidi"/>
                <w:lang w:val="en-AU"/>
              </w:rPr>
              <w:t>. For example,</w:t>
            </w:r>
            <w:r w:rsidR="158FDA3B" w:rsidRPr="000F2D4C">
              <w:rPr>
                <w:rFonts w:cstheme="minorBidi"/>
                <w:lang w:val="en-AU"/>
              </w:rPr>
              <w:t xml:space="preserve"> the</w:t>
            </w:r>
            <w:r w:rsidR="00190708" w:rsidRPr="000F2D4C">
              <w:rPr>
                <w:rFonts w:cstheme="minorBidi"/>
                <w:lang w:val="en-AU"/>
              </w:rPr>
              <w:t xml:space="preserve"> </w:t>
            </w:r>
            <w:r w:rsidR="00503F73" w:rsidRPr="000F2D4C">
              <w:rPr>
                <w:rFonts w:cstheme="minorBidi"/>
                <w:lang w:val="en-AU"/>
              </w:rPr>
              <w:t>program</w:t>
            </w:r>
            <w:r w:rsidR="00190708" w:rsidRPr="000F2D4C">
              <w:rPr>
                <w:rFonts w:cstheme="minorBidi"/>
                <w:lang w:val="en-AU"/>
              </w:rPr>
              <w:t xml:space="preserve"> </w:t>
            </w:r>
            <w:r w:rsidR="4F5A0618" w:rsidRPr="000F2D4C">
              <w:rPr>
                <w:rFonts w:cstheme="minorBidi"/>
                <w:lang w:val="en-AU"/>
              </w:rPr>
              <w:t xml:space="preserve">is </w:t>
            </w:r>
            <w:r w:rsidR="52F6F29E" w:rsidRPr="000F2D4C">
              <w:rPr>
                <w:rFonts w:cstheme="minorBidi"/>
                <w:lang w:val="en-AU"/>
              </w:rPr>
              <w:t>person</w:t>
            </w:r>
            <w:r w:rsidR="00B53B50" w:rsidRPr="000F2D4C">
              <w:rPr>
                <w:rFonts w:cstheme="minorBidi"/>
                <w:lang w:val="en-AU"/>
              </w:rPr>
              <w:t>-</w:t>
            </w:r>
            <w:r w:rsidR="000F2D4C" w:rsidRPr="000F2D4C">
              <w:rPr>
                <w:rFonts w:cstheme="minorBidi"/>
                <w:lang w:val="en-AU"/>
              </w:rPr>
              <w:t>centered</w:t>
            </w:r>
            <w:r w:rsidR="00B53B50" w:rsidRPr="000F2D4C">
              <w:rPr>
                <w:rFonts w:cstheme="minorBidi"/>
                <w:lang w:val="en-AU"/>
              </w:rPr>
              <w:t>, culturally appropriate, rights-based, trauma-informed</w:t>
            </w:r>
            <w:r w:rsidR="5FAE263B" w:rsidRPr="000F2D4C">
              <w:rPr>
                <w:rFonts w:cstheme="minorBidi"/>
                <w:lang w:val="en-AU"/>
              </w:rPr>
              <w:t>,</w:t>
            </w:r>
            <w:r w:rsidR="00B53B50" w:rsidRPr="000F2D4C">
              <w:rPr>
                <w:rFonts w:cstheme="minorBidi"/>
                <w:lang w:val="en-AU"/>
              </w:rPr>
              <w:t xml:space="preserve"> and recovery oriented. Mental health consumers and carers are treated with dignity and confidentiality and encouraged to participate in choices related to their care. Consumers and carers report positive experiences</w:t>
            </w:r>
            <w:r w:rsidR="443496E0" w:rsidRPr="000F2D4C">
              <w:rPr>
                <w:rFonts w:cstheme="minorBidi"/>
                <w:lang w:val="en-AU"/>
              </w:rPr>
              <w:t>.</w:t>
            </w:r>
          </w:p>
        </w:tc>
      </w:tr>
      <w:tr w:rsidR="00857640" w:rsidRPr="000F2D4C" w14:paraId="33A75E53" w14:textId="77777777" w:rsidTr="76054678">
        <w:trPr>
          <w:cnfStyle w:val="000000100000" w:firstRow="0" w:lastRow="0" w:firstColumn="0" w:lastColumn="0" w:oddVBand="0" w:evenVBand="0" w:oddHBand="1" w:evenHBand="0" w:firstRowFirstColumn="0" w:firstRowLastColumn="0" w:lastRowFirstColumn="0" w:lastRowLastColumn="0"/>
        </w:trPr>
        <w:tc>
          <w:tcPr>
            <w:tcW w:w="1888" w:type="dxa"/>
          </w:tcPr>
          <w:p w14:paraId="71154A8B" w14:textId="4A0F0EBF" w:rsidR="00857640" w:rsidRPr="000F2D4C" w:rsidRDefault="008E36E9" w:rsidP="00DE0F92">
            <w:pPr>
              <w:pStyle w:val="ListNumber"/>
              <w:numPr>
                <w:ilvl w:val="0"/>
                <w:numId w:val="0"/>
              </w:numPr>
              <w:rPr>
                <w:rFonts w:cstheme="minorHAnsi"/>
                <w:szCs w:val="18"/>
                <w:lang w:val="en-AU"/>
              </w:rPr>
            </w:pPr>
            <w:r w:rsidRPr="000F2D4C">
              <w:rPr>
                <w:rFonts w:cstheme="minorHAnsi"/>
                <w:szCs w:val="18"/>
                <w:lang w:val="en-AU"/>
              </w:rPr>
              <w:t>Continuity of care</w:t>
            </w:r>
          </w:p>
        </w:tc>
        <w:tc>
          <w:tcPr>
            <w:tcW w:w="5835" w:type="dxa"/>
          </w:tcPr>
          <w:p w14:paraId="58D9B952" w14:textId="399549B2" w:rsidR="00857640" w:rsidRPr="000F2D4C" w:rsidRDefault="000317C5" w:rsidP="00DE0F92">
            <w:pPr>
              <w:pStyle w:val="ListNumber"/>
              <w:numPr>
                <w:ilvl w:val="0"/>
                <w:numId w:val="0"/>
              </w:numPr>
              <w:rPr>
                <w:rFonts w:cstheme="minorHAnsi"/>
                <w:szCs w:val="18"/>
                <w:lang w:val="en-AU"/>
              </w:rPr>
            </w:pPr>
            <w:r w:rsidRPr="000F2D4C">
              <w:rPr>
                <w:rFonts w:cstheme="minorHAnsi"/>
                <w:color w:val="212529"/>
                <w:szCs w:val="18"/>
                <w:shd w:val="clear" w:color="auto" w:fill="FFFFFF"/>
                <w:lang w:val="en-AU"/>
              </w:rPr>
              <w:t>Ability to provide uninterrupted and integrated care or service across program, practitioners over time. Coordination mechanisms work for mental health consumers, carers</w:t>
            </w:r>
            <w:r w:rsidR="15292597" w:rsidRPr="000F2D4C">
              <w:rPr>
                <w:rFonts w:cstheme="minorBidi"/>
                <w:color w:val="212529"/>
                <w:shd w:val="clear" w:color="auto" w:fill="FFFFFF"/>
                <w:lang w:val="en-AU"/>
              </w:rPr>
              <w:t>,</w:t>
            </w:r>
            <w:r w:rsidRPr="000F2D4C">
              <w:rPr>
                <w:rFonts w:cstheme="minorHAnsi"/>
                <w:color w:val="212529"/>
                <w:szCs w:val="18"/>
                <w:shd w:val="clear" w:color="auto" w:fill="FFFFFF"/>
                <w:lang w:val="en-AU"/>
              </w:rPr>
              <w:t xml:space="preserve"> and health care providers. Care and support is holistic</w:t>
            </w:r>
            <w:r w:rsidR="37934CE2" w:rsidRPr="000F2D4C">
              <w:rPr>
                <w:rFonts w:cstheme="minorBidi"/>
                <w:color w:val="212529"/>
                <w:shd w:val="clear" w:color="auto" w:fill="FFFFFF"/>
                <w:lang w:val="en-AU"/>
              </w:rPr>
              <w:t>,</w:t>
            </w:r>
            <w:r w:rsidRPr="000F2D4C">
              <w:rPr>
                <w:rFonts w:cstheme="minorHAnsi"/>
                <w:color w:val="212529"/>
                <w:szCs w:val="18"/>
                <w:shd w:val="clear" w:color="auto" w:fill="FFFFFF"/>
                <w:lang w:val="en-AU"/>
              </w:rPr>
              <w:t xml:space="preserve"> and includes psychosocial and physical dimensions.</w:t>
            </w:r>
          </w:p>
        </w:tc>
      </w:tr>
      <w:tr w:rsidR="00857640" w:rsidRPr="000F2D4C" w14:paraId="290A8E28" w14:textId="77777777" w:rsidTr="76054678">
        <w:trPr>
          <w:cnfStyle w:val="000000010000" w:firstRow="0" w:lastRow="0" w:firstColumn="0" w:lastColumn="0" w:oddVBand="0" w:evenVBand="0" w:oddHBand="0" w:evenHBand="1" w:firstRowFirstColumn="0" w:firstRowLastColumn="0" w:lastRowFirstColumn="0" w:lastRowLastColumn="0"/>
        </w:trPr>
        <w:tc>
          <w:tcPr>
            <w:tcW w:w="1888" w:type="dxa"/>
          </w:tcPr>
          <w:p w14:paraId="36DA6055" w14:textId="58E4E90B" w:rsidR="00857640" w:rsidRPr="000F2D4C" w:rsidRDefault="00C225A1" w:rsidP="00DE0F92">
            <w:pPr>
              <w:pStyle w:val="ListNumber"/>
              <w:numPr>
                <w:ilvl w:val="0"/>
                <w:numId w:val="0"/>
              </w:numPr>
              <w:rPr>
                <w:rFonts w:cstheme="minorHAnsi"/>
                <w:szCs w:val="18"/>
                <w:lang w:val="en-AU"/>
              </w:rPr>
            </w:pPr>
            <w:r w:rsidRPr="000F2D4C">
              <w:rPr>
                <w:rFonts w:cstheme="minorHAnsi"/>
                <w:szCs w:val="18"/>
                <w:lang w:val="en-AU"/>
              </w:rPr>
              <w:t>Cultural appropriateness</w:t>
            </w:r>
          </w:p>
        </w:tc>
        <w:tc>
          <w:tcPr>
            <w:tcW w:w="5835" w:type="dxa"/>
          </w:tcPr>
          <w:p w14:paraId="72AE6FF9" w14:textId="2B578F57" w:rsidR="00857640" w:rsidRPr="000F2D4C" w:rsidRDefault="00C225A1" w:rsidP="00DE0F92">
            <w:pPr>
              <w:pStyle w:val="ListNumber"/>
              <w:numPr>
                <w:ilvl w:val="0"/>
                <w:numId w:val="0"/>
              </w:numPr>
              <w:rPr>
                <w:rFonts w:cstheme="minorHAnsi"/>
                <w:szCs w:val="18"/>
                <w:lang w:val="en-AU"/>
              </w:rPr>
            </w:pPr>
            <w:r w:rsidRPr="000F2D4C">
              <w:rPr>
                <w:rFonts w:cstheme="minorHAnsi"/>
                <w:szCs w:val="18"/>
                <w:lang w:val="en-AU"/>
              </w:rPr>
              <w:t>The extent to which evaluation activities recognise, respect</w:t>
            </w:r>
            <w:r w:rsidR="672C514B" w:rsidRPr="000F2D4C">
              <w:rPr>
                <w:rFonts w:cstheme="minorBidi"/>
                <w:lang w:val="en-AU"/>
              </w:rPr>
              <w:t>,</w:t>
            </w:r>
            <w:r w:rsidRPr="000F2D4C">
              <w:rPr>
                <w:rFonts w:cstheme="minorHAnsi"/>
                <w:szCs w:val="18"/>
                <w:lang w:val="en-AU"/>
              </w:rPr>
              <w:t xml:space="preserve"> and </w:t>
            </w:r>
            <w:r w:rsidR="0026097E" w:rsidRPr="000F2D4C">
              <w:rPr>
                <w:rFonts w:cstheme="minorHAnsi"/>
                <w:szCs w:val="18"/>
                <w:lang w:val="en-AU"/>
              </w:rPr>
              <w:t xml:space="preserve">respond to the </w:t>
            </w:r>
            <w:r w:rsidRPr="000F2D4C">
              <w:rPr>
                <w:rFonts w:cstheme="minorHAnsi"/>
                <w:szCs w:val="18"/>
                <w:lang w:val="en-AU"/>
              </w:rPr>
              <w:t xml:space="preserve">culture and values of the participants and communities in which the </w:t>
            </w:r>
            <w:r w:rsidR="00503F73" w:rsidRPr="000F2D4C">
              <w:rPr>
                <w:rFonts w:cstheme="minorHAnsi"/>
                <w:szCs w:val="18"/>
                <w:lang w:val="en-AU"/>
              </w:rPr>
              <w:t>program</w:t>
            </w:r>
            <w:r w:rsidRPr="000F2D4C">
              <w:rPr>
                <w:rFonts w:cstheme="minorHAnsi"/>
                <w:szCs w:val="18"/>
                <w:lang w:val="en-AU"/>
              </w:rPr>
              <w:t xml:space="preserve"> operates</w:t>
            </w:r>
            <w:r w:rsidR="009231DD" w:rsidRPr="000F2D4C">
              <w:rPr>
                <w:rFonts w:cstheme="minorHAnsi"/>
                <w:szCs w:val="18"/>
                <w:lang w:val="en-AU"/>
              </w:rPr>
              <w:t>.</w:t>
            </w:r>
          </w:p>
        </w:tc>
      </w:tr>
      <w:tr w:rsidR="00857640" w:rsidRPr="000F2D4C" w14:paraId="095FE76D" w14:textId="77777777" w:rsidTr="76054678">
        <w:trPr>
          <w:cnfStyle w:val="000000100000" w:firstRow="0" w:lastRow="0" w:firstColumn="0" w:lastColumn="0" w:oddVBand="0" w:evenVBand="0" w:oddHBand="1" w:evenHBand="0" w:firstRowFirstColumn="0" w:firstRowLastColumn="0" w:lastRowFirstColumn="0" w:lastRowLastColumn="0"/>
        </w:trPr>
        <w:tc>
          <w:tcPr>
            <w:tcW w:w="1888" w:type="dxa"/>
          </w:tcPr>
          <w:p w14:paraId="1D2B77C5" w14:textId="20FE8E1E" w:rsidR="00857640" w:rsidRPr="000F2D4C" w:rsidRDefault="00623B7E" w:rsidP="00DE0F92">
            <w:pPr>
              <w:pStyle w:val="ListNumber"/>
              <w:numPr>
                <w:ilvl w:val="0"/>
                <w:numId w:val="0"/>
              </w:numPr>
              <w:rPr>
                <w:rFonts w:cstheme="minorHAnsi"/>
                <w:szCs w:val="18"/>
                <w:lang w:val="en-AU"/>
              </w:rPr>
            </w:pPr>
            <w:r w:rsidRPr="000F2D4C">
              <w:rPr>
                <w:rFonts w:cstheme="minorHAnsi"/>
                <w:szCs w:val="18"/>
                <w:lang w:val="en-AU"/>
              </w:rPr>
              <w:t>Effectiveness</w:t>
            </w:r>
          </w:p>
        </w:tc>
        <w:tc>
          <w:tcPr>
            <w:tcW w:w="5835" w:type="dxa"/>
          </w:tcPr>
          <w:p w14:paraId="279E9251" w14:textId="678C86B8" w:rsidR="00857640" w:rsidRPr="000F2D4C" w:rsidRDefault="006A778A" w:rsidP="00DE0F92">
            <w:pPr>
              <w:pStyle w:val="ListNumber"/>
              <w:numPr>
                <w:ilvl w:val="0"/>
                <w:numId w:val="0"/>
              </w:numPr>
              <w:rPr>
                <w:rFonts w:cstheme="minorHAnsi"/>
                <w:szCs w:val="18"/>
                <w:lang w:val="en-AU"/>
              </w:rPr>
            </w:pPr>
            <w:r w:rsidRPr="000F2D4C">
              <w:rPr>
                <w:rFonts w:cstheme="minorHAnsi"/>
                <w:szCs w:val="18"/>
                <w:lang w:val="en-AU"/>
              </w:rPr>
              <w:t xml:space="preserve">The </w:t>
            </w:r>
            <w:r w:rsidR="00503F73" w:rsidRPr="000F2D4C">
              <w:rPr>
                <w:rFonts w:cstheme="minorHAnsi"/>
                <w:szCs w:val="18"/>
                <w:lang w:val="en-AU"/>
              </w:rPr>
              <w:t>program</w:t>
            </w:r>
            <w:r w:rsidRPr="000F2D4C">
              <w:rPr>
                <w:rFonts w:cstheme="minorHAnsi"/>
                <w:szCs w:val="18"/>
                <w:lang w:val="en-AU"/>
              </w:rPr>
              <w:t xml:space="preserve"> </w:t>
            </w:r>
            <w:r w:rsidR="000317C5" w:rsidRPr="000F2D4C">
              <w:rPr>
                <w:rFonts w:cstheme="minorHAnsi"/>
                <w:szCs w:val="18"/>
                <w:lang w:val="en-AU"/>
              </w:rPr>
              <w:t>achieves the desired outcome</w:t>
            </w:r>
            <w:r w:rsidR="008D7D33" w:rsidRPr="000F2D4C">
              <w:rPr>
                <w:rFonts w:cstheme="minorHAnsi"/>
                <w:szCs w:val="18"/>
                <w:lang w:val="en-AU"/>
              </w:rPr>
              <w:t>s</w:t>
            </w:r>
            <w:r w:rsidR="000317C5" w:rsidRPr="000F2D4C">
              <w:rPr>
                <w:rFonts w:cstheme="minorHAnsi"/>
                <w:szCs w:val="18"/>
                <w:lang w:val="en-AU"/>
              </w:rPr>
              <w:t xml:space="preserve"> from </w:t>
            </w:r>
            <w:r w:rsidR="005D07C8" w:rsidRPr="000F2D4C">
              <w:rPr>
                <w:rFonts w:cstheme="minorHAnsi"/>
                <w:szCs w:val="18"/>
                <w:lang w:val="en-AU"/>
              </w:rPr>
              <w:t xml:space="preserve">the perspective of </w:t>
            </w:r>
            <w:r w:rsidRPr="000F2D4C">
              <w:rPr>
                <w:rFonts w:cstheme="minorHAnsi"/>
                <w:szCs w:val="18"/>
                <w:lang w:val="en-AU"/>
              </w:rPr>
              <w:t>the mental health consumer</w:t>
            </w:r>
            <w:r w:rsidR="00CA4C1B" w:rsidRPr="000F2D4C">
              <w:rPr>
                <w:rFonts w:cstheme="minorHAnsi"/>
                <w:szCs w:val="18"/>
                <w:lang w:val="en-AU"/>
              </w:rPr>
              <w:t xml:space="preserve">, support person or </w:t>
            </w:r>
            <w:r w:rsidRPr="000F2D4C">
              <w:rPr>
                <w:rFonts w:cstheme="minorHAnsi"/>
                <w:szCs w:val="18"/>
                <w:lang w:val="en-AU"/>
              </w:rPr>
              <w:t xml:space="preserve">carer, and the clinician or peer-worker. </w:t>
            </w:r>
          </w:p>
        </w:tc>
      </w:tr>
      <w:tr w:rsidR="00857640" w:rsidRPr="000F2D4C" w14:paraId="3E1559C1" w14:textId="77777777" w:rsidTr="76054678">
        <w:trPr>
          <w:cnfStyle w:val="000000010000" w:firstRow="0" w:lastRow="0" w:firstColumn="0" w:lastColumn="0" w:oddVBand="0" w:evenVBand="0" w:oddHBand="0" w:evenHBand="1" w:firstRowFirstColumn="0" w:firstRowLastColumn="0" w:lastRowFirstColumn="0" w:lastRowLastColumn="0"/>
        </w:trPr>
        <w:tc>
          <w:tcPr>
            <w:tcW w:w="1888" w:type="dxa"/>
          </w:tcPr>
          <w:p w14:paraId="3F3DE457" w14:textId="65A0C27A" w:rsidR="00857640" w:rsidRPr="000F2D4C" w:rsidRDefault="00623B7E" w:rsidP="00DE0F92">
            <w:pPr>
              <w:pStyle w:val="ListNumber"/>
              <w:numPr>
                <w:ilvl w:val="0"/>
                <w:numId w:val="0"/>
              </w:numPr>
              <w:rPr>
                <w:rFonts w:cstheme="minorHAnsi"/>
                <w:szCs w:val="18"/>
                <w:lang w:val="en-AU"/>
              </w:rPr>
            </w:pPr>
            <w:r w:rsidRPr="000F2D4C">
              <w:rPr>
                <w:rFonts w:cstheme="minorHAnsi"/>
                <w:szCs w:val="18"/>
                <w:lang w:val="en-AU"/>
              </w:rPr>
              <w:t>Efficiency</w:t>
            </w:r>
            <w:r w:rsidR="006C544E" w:rsidRPr="000F2D4C">
              <w:rPr>
                <w:rFonts w:cstheme="minorHAnsi"/>
                <w:szCs w:val="18"/>
                <w:lang w:val="en-AU"/>
              </w:rPr>
              <w:t xml:space="preserve"> and sustainability </w:t>
            </w:r>
          </w:p>
        </w:tc>
        <w:tc>
          <w:tcPr>
            <w:tcW w:w="5835" w:type="dxa"/>
          </w:tcPr>
          <w:p w14:paraId="446DA9BC" w14:textId="535C8CD9" w:rsidR="00857640" w:rsidRPr="000F2D4C" w:rsidRDefault="00522DB5" w:rsidP="00DE0F92">
            <w:pPr>
              <w:pStyle w:val="ListNumber"/>
              <w:numPr>
                <w:ilvl w:val="0"/>
                <w:numId w:val="0"/>
              </w:numPr>
              <w:rPr>
                <w:rFonts w:cstheme="minorHAnsi"/>
                <w:szCs w:val="18"/>
                <w:lang w:val="en-AU"/>
              </w:rPr>
            </w:pPr>
            <w:r w:rsidRPr="000F2D4C">
              <w:rPr>
                <w:rFonts w:cstheme="minorHAnsi"/>
                <w:color w:val="auto"/>
                <w:szCs w:val="18"/>
                <w:lang w:val="en-AU"/>
              </w:rPr>
              <w:t>The right care is delivered at minimum cost</w:t>
            </w:r>
            <w:r w:rsidR="09684581" w:rsidRPr="000F2D4C">
              <w:rPr>
                <w:rFonts w:cstheme="minorBidi"/>
                <w:color w:val="auto"/>
                <w:lang w:val="en-AU"/>
              </w:rPr>
              <w:t>,</w:t>
            </w:r>
            <w:r w:rsidRPr="000F2D4C">
              <w:rPr>
                <w:rFonts w:cstheme="minorHAnsi"/>
                <w:color w:val="auto"/>
                <w:szCs w:val="18"/>
                <w:lang w:val="en-AU"/>
              </w:rPr>
              <w:t xml:space="preserve"> and human and physical capital and technology are maintained and renewed </w:t>
            </w:r>
            <w:r w:rsidRPr="000F2D4C">
              <w:rPr>
                <w:rFonts w:cstheme="minorHAnsi"/>
                <w:i/>
                <w:iCs/>
                <w:color w:val="auto"/>
                <w:szCs w:val="18"/>
                <w:lang w:val="en-AU"/>
              </w:rPr>
              <w:t>while </w:t>
            </w:r>
            <w:r w:rsidRPr="000F2D4C">
              <w:rPr>
                <w:rFonts w:cstheme="minorHAnsi"/>
                <w:color w:val="auto"/>
                <w:szCs w:val="18"/>
                <w:lang w:val="en-AU"/>
              </w:rPr>
              <w:t>innovation occurs to improve efficiency and respond to emerging needs. Members of the workforce receive appropriate support and report positive experiences.</w:t>
            </w:r>
          </w:p>
        </w:tc>
      </w:tr>
      <w:tr w:rsidR="00857640" w:rsidRPr="000F2D4C" w14:paraId="3CFBFC3E" w14:textId="77777777" w:rsidTr="76054678">
        <w:trPr>
          <w:cnfStyle w:val="000000100000" w:firstRow="0" w:lastRow="0" w:firstColumn="0" w:lastColumn="0" w:oddVBand="0" w:evenVBand="0" w:oddHBand="1" w:evenHBand="0" w:firstRowFirstColumn="0" w:firstRowLastColumn="0" w:lastRowFirstColumn="0" w:lastRowLastColumn="0"/>
        </w:trPr>
        <w:tc>
          <w:tcPr>
            <w:tcW w:w="1888" w:type="dxa"/>
          </w:tcPr>
          <w:p w14:paraId="54210D64" w14:textId="1BA6F120" w:rsidR="00857640" w:rsidRPr="000F2D4C" w:rsidRDefault="00D87A88" w:rsidP="00DE0F92">
            <w:pPr>
              <w:pStyle w:val="ListNumber"/>
              <w:numPr>
                <w:ilvl w:val="0"/>
                <w:numId w:val="0"/>
              </w:numPr>
              <w:rPr>
                <w:rFonts w:cstheme="minorHAnsi"/>
                <w:szCs w:val="18"/>
                <w:lang w:val="en-AU"/>
              </w:rPr>
            </w:pPr>
            <w:r w:rsidRPr="000F2D4C">
              <w:rPr>
                <w:rFonts w:cstheme="minorHAnsi"/>
                <w:szCs w:val="18"/>
                <w:lang w:val="en-AU"/>
              </w:rPr>
              <w:t>Equity</w:t>
            </w:r>
          </w:p>
        </w:tc>
        <w:tc>
          <w:tcPr>
            <w:tcW w:w="5835" w:type="dxa"/>
          </w:tcPr>
          <w:p w14:paraId="130B8BB9" w14:textId="18B01E3F" w:rsidR="00857640" w:rsidRPr="000F2D4C" w:rsidRDefault="00A86FD7" w:rsidP="00DE0F92">
            <w:pPr>
              <w:pStyle w:val="ListNumber"/>
              <w:numPr>
                <w:ilvl w:val="0"/>
                <w:numId w:val="0"/>
              </w:numPr>
              <w:rPr>
                <w:rFonts w:ascii="Arial" w:eastAsia="Times New Roman" w:hAnsi="Arial" w:cs="Arial"/>
                <w:szCs w:val="20"/>
                <w:lang w:val="en-AU" w:eastAsia="en-AU"/>
              </w:rPr>
            </w:pPr>
            <w:r w:rsidRPr="000F2D4C">
              <w:rPr>
                <w:rFonts w:cstheme="minorHAnsi"/>
                <w:szCs w:val="18"/>
                <w:lang w:val="en-AU"/>
              </w:rPr>
              <w:t>All people should have a fair opportunity to attain their full health potential, and no</w:t>
            </w:r>
            <w:r w:rsidR="19D422BF" w:rsidRPr="000F2D4C">
              <w:rPr>
                <w:rFonts w:cstheme="minorBidi"/>
                <w:lang w:val="en-AU"/>
              </w:rPr>
              <w:t>-</w:t>
            </w:r>
            <w:r w:rsidRPr="000F2D4C">
              <w:rPr>
                <w:rFonts w:cstheme="minorHAnsi"/>
                <w:szCs w:val="18"/>
                <w:lang w:val="en-AU"/>
              </w:rPr>
              <w:t>one should be disadvantaged in achieving this potential if it can be avoided</w:t>
            </w:r>
            <w:r w:rsidR="00F5548E" w:rsidRPr="000F2D4C">
              <w:rPr>
                <w:rFonts w:cstheme="minorHAnsi"/>
                <w:szCs w:val="18"/>
                <w:lang w:val="en-AU"/>
              </w:rPr>
              <w:t>.</w:t>
            </w:r>
            <w:r w:rsidRPr="000F2D4C">
              <w:rPr>
                <w:rFonts w:ascii="Segoe UI" w:eastAsia="Times New Roman" w:hAnsi="Segoe UI" w:cs="Segoe UI"/>
                <w:szCs w:val="18"/>
                <w:lang w:val="en-AU" w:eastAsia="en-AU"/>
              </w:rPr>
              <w:t xml:space="preserve"> </w:t>
            </w:r>
          </w:p>
        </w:tc>
      </w:tr>
      <w:tr w:rsidR="00D87A88" w:rsidRPr="000F2D4C" w14:paraId="6DED06C9" w14:textId="77777777" w:rsidTr="76054678">
        <w:trPr>
          <w:cnfStyle w:val="000000010000" w:firstRow="0" w:lastRow="0" w:firstColumn="0" w:lastColumn="0" w:oddVBand="0" w:evenVBand="0" w:oddHBand="0" w:evenHBand="1" w:firstRowFirstColumn="0" w:firstRowLastColumn="0" w:lastRowFirstColumn="0" w:lastRowLastColumn="0"/>
        </w:trPr>
        <w:tc>
          <w:tcPr>
            <w:tcW w:w="1888" w:type="dxa"/>
          </w:tcPr>
          <w:p w14:paraId="2D730322" w14:textId="73B5F1AD" w:rsidR="00D87A88" w:rsidRPr="000F2D4C" w:rsidRDefault="00D87A88" w:rsidP="00DE0F92">
            <w:pPr>
              <w:pStyle w:val="ListNumber"/>
              <w:numPr>
                <w:ilvl w:val="0"/>
                <w:numId w:val="0"/>
              </w:numPr>
              <w:rPr>
                <w:rFonts w:cstheme="minorHAnsi"/>
                <w:szCs w:val="18"/>
                <w:lang w:val="en-AU"/>
              </w:rPr>
            </w:pPr>
            <w:r w:rsidRPr="000F2D4C">
              <w:rPr>
                <w:rFonts w:cstheme="minorHAnsi"/>
                <w:szCs w:val="18"/>
                <w:lang w:val="en-AU"/>
              </w:rPr>
              <w:t>Evaluation</w:t>
            </w:r>
          </w:p>
        </w:tc>
        <w:tc>
          <w:tcPr>
            <w:tcW w:w="5835" w:type="dxa"/>
          </w:tcPr>
          <w:p w14:paraId="304BFB1B" w14:textId="42741E35" w:rsidR="00D87A88" w:rsidRPr="000F2D4C" w:rsidRDefault="00217CA2" w:rsidP="00DE0F92">
            <w:pPr>
              <w:pStyle w:val="ListNumber"/>
              <w:numPr>
                <w:ilvl w:val="0"/>
                <w:numId w:val="0"/>
              </w:numPr>
              <w:rPr>
                <w:rFonts w:cstheme="minorHAnsi"/>
                <w:szCs w:val="18"/>
                <w:lang w:val="en-AU"/>
              </w:rPr>
            </w:pPr>
            <w:r w:rsidRPr="000F2D4C">
              <w:rPr>
                <w:rFonts w:cstheme="minorHAnsi"/>
                <w:szCs w:val="18"/>
                <w:lang w:val="en-AU"/>
              </w:rPr>
              <w:t xml:space="preserve">A process that can be used to systematically and transparently assess the merit or worth of </w:t>
            </w:r>
            <w:r w:rsidR="00505695" w:rsidRPr="000F2D4C">
              <w:rPr>
                <w:rFonts w:cstheme="minorHAnsi"/>
                <w:szCs w:val="18"/>
                <w:lang w:val="en-AU"/>
              </w:rPr>
              <w:t>a program</w:t>
            </w:r>
            <w:r w:rsidRPr="000F2D4C">
              <w:rPr>
                <w:rFonts w:cstheme="minorHAnsi"/>
                <w:szCs w:val="18"/>
                <w:lang w:val="en-AU"/>
              </w:rPr>
              <w:t>.</w:t>
            </w:r>
          </w:p>
        </w:tc>
      </w:tr>
      <w:tr w:rsidR="00D87A88" w:rsidRPr="000F2D4C" w14:paraId="5B3EC705" w14:textId="77777777" w:rsidTr="76054678">
        <w:trPr>
          <w:cnfStyle w:val="000000100000" w:firstRow="0" w:lastRow="0" w:firstColumn="0" w:lastColumn="0" w:oddVBand="0" w:evenVBand="0" w:oddHBand="1" w:evenHBand="0" w:firstRowFirstColumn="0" w:firstRowLastColumn="0" w:lastRowFirstColumn="0" w:lastRowLastColumn="0"/>
        </w:trPr>
        <w:tc>
          <w:tcPr>
            <w:tcW w:w="1888" w:type="dxa"/>
          </w:tcPr>
          <w:p w14:paraId="30741A10" w14:textId="0A83B683" w:rsidR="00D87A88" w:rsidRPr="000F2D4C" w:rsidRDefault="00D87A88" w:rsidP="00DE0F92">
            <w:pPr>
              <w:pStyle w:val="ListNumber"/>
              <w:numPr>
                <w:ilvl w:val="0"/>
                <w:numId w:val="0"/>
              </w:numPr>
              <w:rPr>
                <w:rFonts w:cstheme="minorHAnsi"/>
                <w:szCs w:val="18"/>
                <w:lang w:val="en-AU"/>
              </w:rPr>
            </w:pPr>
            <w:r w:rsidRPr="000F2D4C">
              <w:rPr>
                <w:rFonts w:cstheme="minorHAnsi"/>
                <w:szCs w:val="18"/>
                <w:lang w:val="en-AU"/>
              </w:rPr>
              <w:t xml:space="preserve">Evaluation </w:t>
            </w:r>
            <w:r w:rsidR="00BF1B2B" w:rsidRPr="000F2D4C">
              <w:rPr>
                <w:rFonts w:cstheme="minorHAnsi"/>
                <w:szCs w:val="18"/>
                <w:lang w:val="en-AU"/>
              </w:rPr>
              <w:t xml:space="preserve">approach or </w:t>
            </w:r>
            <w:r w:rsidRPr="000F2D4C">
              <w:rPr>
                <w:rFonts w:cstheme="minorHAnsi"/>
                <w:szCs w:val="18"/>
                <w:lang w:val="en-AU"/>
              </w:rPr>
              <w:t>design</w:t>
            </w:r>
          </w:p>
        </w:tc>
        <w:tc>
          <w:tcPr>
            <w:tcW w:w="5835" w:type="dxa"/>
          </w:tcPr>
          <w:p w14:paraId="7118B0AD" w14:textId="62A9F002" w:rsidR="00D87A88" w:rsidRPr="000F2D4C" w:rsidRDefault="009231DD" w:rsidP="00DE0F92">
            <w:pPr>
              <w:pStyle w:val="ListNumber"/>
              <w:numPr>
                <w:ilvl w:val="0"/>
                <w:numId w:val="0"/>
              </w:numPr>
              <w:rPr>
                <w:rFonts w:cstheme="minorHAnsi"/>
                <w:szCs w:val="18"/>
                <w:lang w:val="en-AU"/>
              </w:rPr>
            </w:pPr>
            <w:r w:rsidRPr="000F2D4C">
              <w:rPr>
                <w:rFonts w:cstheme="minorHAnsi"/>
                <w:szCs w:val="18"/>
                <w:lang w:val="en-AU"/>
              </w:rPr>
              <w:t xml:space="preserve">The </w:t>
            </w:r>
            <w:r w:rsidR="00C3504A" w:rsidRPr="000F2D4C">
              <w:rPr>
                <w:rFonts w:cstheme="minorHAnsi"/>
                <w:szCs w:val="18"/>
                <w:lang w:val="en-AU"/>
              </w:rPr>
              <w:t xml:space="preserve">lens through which an evaluation will be </w:t>
            </w:r>
            <w:r w:rsidR="00322B10" w:rsidRPr="000F2D4C">
              <w:rPr>
                <w:rFonts w:cstheme="minorHAnsi"/>
                <w:szCs w:val="18"/>
                <w:lang w:val="en-AU"/>
              </w:rPr>
              <w:t>viewed</w:t>
            </w:r>
            <w:r w:rsidR="0083736A" w:rsidRPr="000F2D4C">
              <w:rPr>
                <w:rFonts w:cstheme="minorHAnsi"/>
                <w:szCs w:val="18"/>
                <w:lang w:val="en-AU"/>
              </w:rPr>
              <w:t xml:space="preserve">. Often a reflection of the purpose. </w:t>
            </w:r>
          </w:p>
        </w:tc>
      </w:tr>
      <w:tr w:rsidR="00D87A88" w:rsidRPr="000F2D4C" w14:paraId="6E6D69CB" w14:textId="77777777" w:rsidTr="76054678">
        <w:trPr>
          <w:cnfStyle w:val="000000010000" w:firstRow="0" w:lastRow="0" w:firstColumn="0" w:lastColumn="0" w:oddVBand="0" w:evenVBand="0" w:oddHBand="0" w:evenHBand="1" w:firstRowFirstColumn="0" w:firstRowLastColumn="0" w:lastRowFirstColumn="0" w:lastRowLastColumn="0"/>
        </w:trPr>
        <w:tc>
          <w:tcPr>
            <w:tcW w:w="1888" w:type="dxa"/>
          </w:tcPr>
          <w:p w14:paraId="2053E113" w14:textId="47FFB48E" w:rsidR="00D87A88" w:rsidRPr="000F2D4C" w:rsidRDefault="00D87A88" w:rsidP="00DE0F92">
            <w:pPr>
              <w:pStyle w:val="ListNumber"/>
              <w:numPr>
                <w:ilvl w:val="0"/>
                <w:numId w:val="0"/>
              </w:numPr>
              <w:rPr>
                <w:rFonts w:cstheme="minorHAnsi"/>
                <w:szCs w:val="18"/>
                <w:lang w:val="en-AU"/>
              </w:rPr>
            </w:pPr>
            <w:r w:rsidRPr="000F2D4C">
              <w:rPr>
                <w:rFonts w:cstheme="minorHAnsi"/>
                <w:szCs w:val="18"/>
                <w:lang w:val="en-AU"/>
              </w:rPr>
              <w:t>Evaluation methods</w:t>
            </w:r>
          </w:p>
        </w:tc>
        <w:tc>
          <w:tcPr>
            <w:tcW w:w="5835" w:type="dxa"/>
          </w:tcPr>
          <w:p w14:paraId="4CEE5631" w14:textId="7DEF8184" w:rsidR="00D87A88" w:rsidRPr="000F2D4C" w:rsidRDefault="009D04F7" w:rsidP="00DE0F92">
            <w:pPr>
              <w:pStyle w:val="ListNumber"/>
              <w:numPr>
                <w:ilvl w:val="0"/>
                <w:numId w:val="0"/>
              </w:numPr>
              <w:rPr>
                <w:rFonts w:cstheme="minorHAnsi"/>
                <w:szCs w:val="18"/>
                <w:lang w:val="en-AU"/>
              </w:rPr>
            </w:pPr>
            <w:r w:rsidRPr="000F2D4C">
              <w:rPr>
                <w:rFonts w:cstheme="minorHAnsi"/>
                <w:szCs w:val="18"/>
                <w:lang w:val="en-AU"/>
              </w:rPr>
              <w:t>The tools (e.g</w:t>
            </w:r>
            <w:r w:rsidRPr="000F2D4C">
              <w:rPr>
                <w:rFonts w:cstheme="minorBidi"/>
                <w:lang w:val="en-AU"/>
              </w:rPr>
              <w:t>.</w:t>
            </w:r>
            <w:r w:rsidR="7F9B5A51" w:rsidRPr="000F2D4C">
              <w:rPr>
                <w:rFonts w:cstheme="minorBidi"/>
                <w:lang w:val="en-AU"/>
              </w:rPr>
              <w:t>,</w:t>
            </w:r>
            <w:r w:rsidRPr="000F2D4C">
              <w:rPr>
                <w:rFonts w:cstheme="minorHAnsi"/>
                <w:szCs w:val="18"/>
                <w:lang w:val="en-AU"/>
              </w:rPr>
              <w:t xml:space="preserve"> surveys</w:t>
            </w:r>
            <w:r w:rsidR="00630894" w:rsidRPr="000F2D4C">
              <w:rPr>
                <w:rFonts w:cstheme="minorHAnsi"/>
                <w:szCs w:val="18"/>
                <w:lang w:val="en-AU"/>
              </w:rPr>
              <w:t>, group interviews</w:t>
            </w:r>
            <w:r w:rsidRPr="000F2D4C">
              <w:rPr>
                <w:rFonts w:cstheme="minorHAnsi"/>
                <w:szCs w:val="18"/>
                <w:lang w:val="en-AU"/>
              </w:rPr>
              <w:t>) and procedures (e.g</w:t>
            </w:r>
            <w:r w:rsidR="3D3AA9FE" w:rsidRPr="000F2D4C">
              <w:rPr>
                <w:rFonts w:cstheme="minorBidi"/>
                <w:lang w:val="en-AU"/>
              </w:rPr>
              <w:t>.</w:t>
            </w:r>
            <w:r w:rsidR="238B0A3F" w:rsidRPr="000F2D4C">
              <w:rPr>
                <w:rFonts w:cstheme="minorBidi"/>
                <w:lang w:val="en-AU"/>
              </w:rPr>
              <w:t>,</w:t>
            </w:r>
            <w:r w:rsidRPr="000F2D4C">
              <w:rPr>
                <w:rFonts w:cstheme="minorHAnsi"/>
                <w:szCs w:val="18"/>
                <w:lang w:val="en-AU"/>
              </w:rPr>
              <w:t xml:space="preserve"> recruitment</w:t>
            </w:r>
            <w:r w:rsidR="00630894" w:rsidRPr="000F2D4C">
              <w:rPr>
                <w:rFonts w:cstheme="minorHAnsi"/>
                <w:szCs w:val="18"/>
                <w:lang w:val="en-AU"/>
              </w:rPr>
              <w:t>, consent</w:t>
            </w:r>
            <w:bookmarkStart w:id="93" w:name="_Int_rw12mNm1"/>
            <w:r w:rsidRPr="000F2D4C">
              <w:rPr>
                <w:rFonts w:cstheme="minorHAnsi"/>
                <w:szCs w:val="18"/>
                <w:lang w:val="en-AU"/>
              </w:rPr>
              <w:t xml:space="preserve">) </w:t>
            </w:r>
            <w:r w:rsidR="00630894" w:rsidRPr="000F2D4C">
              <w:rPr>
                <w:rFonts w:cstheme="minorHAnsi"/>
                <w:szCs w:val="18"/>
                <w:lang w:val="en-AU"/>
              </w:rPr>
              <w:t>that</w:t>
            </w:r>
            <w:bookmarkEnd w:id="93"/>
            <w:r w:rsidR="00630894" w:rsidRPr="000F2D4C">
              <w:rPr>
                <w:rFonts w:cstheme="minorHAnsi"/>
                <w:szCs w:val="18"/>
                <w:lang w:val="en-AU"/>
              </w:rPr>
              <w:t xml:space="preserve"> will be </w:t>
            </w:r>
            <w:r w:rsidRPr="000F2D4C">
              <w:rPr>
                <w:rFonts w:cstheme="minorHAnsi"/>
                <w:szCs w:val="18"/>
                <w:lang w:val="en-AU"/>
              </w:rPr>
              <w:t>used to collect and analyse data.</w:t>
            </w:r>
          </w:p>
        </w:tc>
      </w:tr>
      <w:tr w:rsidR="009C3E13" w:rsidRPr="000F2D4C" w14:paraId="77AA0D7F" w14:textId="77777777" w:rsidTr="76054678">
        <w:trPr>
          <w:cnfStyle w:val="000000100000" w:firstRow="0" w:lastRow="0" w:firstColumn="0" w:lastColumn="0" w:oddVBand="0" w:evenVBand="0" w:oddHBand="1" w:evenHBand="0" w:firstRowFirstColumn="0" w:firstRowLastColumn="0" w:lastRowFirstColumn="0" w:lastRowLastColumn="0"/>
        </w:trPr>
        <w:tc>
          <w:tcPr>
            <w:tcW w:w="1888" w:type="dxa"/>
          </w:tcPr>
          <w:p w14:paraId="2EE7CAF4" w14:textId="0F3B4BFD" w:rsidR="009C3E13" w:rsidRPr="000F2D4C" w:rsidRDefault="00C620CE" w:rsidP="00DE0F92">
            <w:pPr>
              <w:pStyle w:val="ListNumber"/>
              <w:numPr>
                <w:ilvl w:val="0"/>
                <w:numId w:val="0"/>
              </w:numPr>
              <w:rPr>
                <w:rFonts w:cstheme="minorHAnsi"/>
                <w:szCs w:val="18"/>
                <w:lang w:val="en-AU"/>
              </w:rPr>
            </w:pPr>
            <w:r w:rsidRPr="000F2D4C">
              <w:rPr>
                <w:rFonts w:cstheme="minorHAnsi"/>
                <w:szCs w:val="18"/>
                <w:lang w:val="en-AU"/>
              </w:rPr>
              <w:t xml:space="preserve">Indigenous </w:t>
            </w:r>
            <w:r w:rsidR="73E52408" w:rsidRPr="000F2D4C">
              <w:rPr>
                <w:rFonts w:cstheme="minorBidi"/>
                <w:lang w:val="en-AU"/>
              </w:rPr>
              <w:t>D</w:t>
            </w:r>
            <w:r w:rsidRPr="000F2D4C">
              <w:rPr>
                <w:rFonts w:cstheme="minorBidi"/>
                <w:lang w:val="en-AU"/>
              </w:rPr>
              <w:t>ata</w:t>
            </w:r>
          </w:p>
        </w:tc>
        <w:tc>
          <w:tcPr>
            <w:tcW w:w="5835" w:type="dxa"/>
          </w:tcPr>
          <w:p w14:paraId="0D61B003" w14:textId="2A9436C3" w:rsidR="009C3E13" w:rsidRPr="000F2D4C" w:rsidRDefault="00C620CE" w:rsidP="00C620CE">
            <w:pPr>
              <w:spacing w:before="100" w:beforeAutospacing="1" w:after="100" w:afterAutospacing="1" w:line="240" w:lineRule="auto"/>
              <w:rPr>
                <w:rFonts w:ascii="Arial" w:eastAsia="Times New Roman" w:hAnsi="Arial" w:cs="Arial"/>
                <w:szCs w:val="20"/>
                <w:lang w:eastAsia="en-AU"/>
              </w:rPr>
            </w:pPr>
            <w:r w:rsidRPr="000F2D4C">
              <w:rPr>
                <w:rFonts w:ascii="Segoe UI" w:eastAsia="Times New Roman" w:hAnsi="Segoe UI" w:cs="Segoe UI"/>
                <w:szCs w:val="18"/>
                <w:lang w:eastAsia="en-AU"/>
              </w:rPr>
              <w:t>Information or knowledge, in any format or medium, which is about and may affect Indigenous peoples both collectively and individually.</w:t>
            </w:r>
          </w:p>
        </w:tc>
      </w:tr>
      <w:tr w:rsidR="0041136E" w:rsidRPr="000F2D4C" w14:paraId="2480D5F3" w14:textId="77777777" w:rsidTr="76054678">
        <w:trPr>
          <w:cnfStyle w:val="000000010000" w:firstRow="0" w:lastRow="0" w:firstColumn="0" w:lastColumn="0" w:oddVBand="0" w:evenVBand="0" w:oddHBand="0" w:evenHBand="1" w:firstRowFirstColumn="0" w:firstRowLastColumn="0" w:lastRowFirstColumn="0" w:lastRowLastColumn="0"/>
        </w:trPr>
        <w:tc>
          <w:tcPr>
            <w:tcW w:w="1888" w:type="dxa"/>
          </w:tcPr>
          <w:p w14:paraId="7D11D1B2" w14:textId="517F8170" w:rsidR="0041136E" w:rsidRPr="000F2D4C" w:rsidRDefault="7ABA0DA4" w:rsidP="76054678">
            <w:pPr>
              <w:pStyle w:val="ListNumber"/>
              <w:numPr>
                <w:ilvl w:val="0"/>
                <w:numId w:val="0"/>
              </w:numPr>
              <w:rPr>
                <w:rFonts w:cstheme="minorBidi"/>
                <w:lang w:val="en-AU"/>
              </w:rPr>
            </w:pPr>
            <w:r w:rsidRPr="000F2D4C">
              <w:rPr>
                <w:rFonts w:cstheme="minorBidi"/>
                <w:lang w:val="en-AU"/>
              </w:rPr>
              <w:lastRenderedPageBreak/>
              <w:t xml:space="preserve">Indigenous </w:t>
            </w:r>
            <w:r w:rsidR="199A0196" w:rsidRPr="000F2D4C">
              <w:rPr>
                <w:rFonts w:cstheme="minorBidi"/>
                <w:lang w:val="en-AU"/>
              </w:rPr>
              <w:t>D</w:t>
            </w:r>
            <w:r w:rsidRPr="000F2D4C">
              <w:rPr>
                <w:rFonts w:cstheme="minorBidi"/>
                <w:lang w:val="en-AU"/>
              </w:rPr>
              <w:t xml:space="preserve">ata </w:t>
            </w:r>
            <w:r w:rsidR="48818A0E" w:rsidRPr="000F2D4C">
              <w:rPr>
                <w:rFonts w:cstheme="minorBidi"/>
                <w:lang w:val="en-AU"/>
              </w:rPr>
              <w:t>G</w:t>
            </w:r>
            <w:r w:rsidRPr="000F2D4C">
              <w:rPr>
                <w:rFonts w:cstheme="minorBidi"/>
                <w:lang w:val="en-AU"/>
              </w:rPr>
              <w:t>overnance</w:t>
            </w:r>
          </w:p>
        </w:tc>
        <w:tc>
          <w:tcPr>
            <w:tcW w:w="5835" w:type="dxa"/>
          </w:tcPr>
          <w:p w14:paraId="2FA693CC" w14:textId="208E6372" w:rsidR="0041136E" w:rsidRPr="000F2D4C" w:rsidRDefault="0041136E" w:rsidP="00C620CE">
            <w:pPr>
              <w:spacing w:before="100" w:beforeAutospacing="1" w:after="100" w:afterAutospacing="1" w:line="240" w:lineRule="auto"/>
              <w:rPr>
                <w:rFonts w:ascii="Arial" w:eastAsia="Times New Roman" w:hAnsi="Arial" w:cs="Arial"/>
                <w:szCs w:val="20"/>
                <w:lang w:eastAsia="en-AU"/>
              </w:rPr>
            </w:pPr>
            <w:r w:rsidRPr="000F2D4C">
              <w:rPr>
                <w:rFonts w:ascii="Segoe UI" w:eastAsia="Times New Roman" w:hAnsi="Segoe UI" w:cs="Segoe UI"/>
                <w:szCs w:val="18"/>
                <w:lang w:eastAsia="en-AU"/>
              </w:rPr>
              <w:t>The right of Indigenous</w:t>
            </w:r>
            <w:r w:rsidRPr="000F2D4C">
              <w:rPr>
                <w:rFonts w:ascii="Segoe UI" w:eastAsia="Times New Roman" w:hAnsi="Segoe UI" w:cs="Segoe UI"/>
                <w:i/>
                <w:iCs/>
                <w:szCs w:val="18"/>
                <w:lang w:eastAsia="en-AU"/>
              </w:rPr>
              <w:t xml:space="preserve"> </w:t>
            </w:r>
            <w:r w:rsidRPr="000F2D4C">
              <w:rPr>
                <w:rFonts w:ascii="Segoe UI" w:eastAsia="Times New Roman" w:hAnsi="Segoe UI" w:cs="Segoe UI"/>
                <w:szCs w:val="18"/>
                <w:lang w:eastAsia="en-AU"/>
              </w:rPr>
              <w:t>peoples to autonomously decide what, how</w:t>
            </w:r>
            <w:r w:rsidR="52D91476" w:rsidRPr="000F2D4C">
              <w:rPr>
                <w:rFonts w:ascii="Segoe UI" w:eastAsia="Times New Roman" w:hAnsi="Segoe UI" w:cs="Segoe UI"/>
                <w:lang w:eastAsia="en-AU"/>
              </w:rPr>
              <w:t>,</w:t>
            </w:r>
            <w:r w:rsidRPr="000F2D4C">
              <w:rPr>
                <w:rFonts w:ascii="Segoe UI" w:eastAsia="Times New Roman" w:hAnsi="Segoe UI" w:cs="Segoe UI"/>
                <w:szCs w:val="18"/>
                <w:lang w:eastAsia="en-AU"/>
              </w:rPr>
              <w:t xml:space="preserve"> and why Indigenous Data are collected, accessed and used. It ensures that data on or about Indigenous peoples reflects </w:t>
            </w:r>
            <w:r w:rsidR="00D23707" w:rsidRPr="000F2D4C">
              <w:rPr>
                <w:rFonts w:ascii="Segoe UI" w:eastAsia="Times New Roman" w:hAnsi="Segoe UI" w:cs="Segoe UI"/>
                <w:szCs w:val="18"/>
                <w:lang w:eastAsia="en-AU"/>
              </w:rPr>
              <w:t>their</w:t>
            </w:r>
            <w:r w:rsidRPr="000F2D4C">
              <w:rPr>
                <w:rFonts w:ascii="Segoe UI" w:eastAsia="Times New Roman" w:hAnsi="Segoe UI" w:cs="Segoe UI"/>
                <w:szCs w:val="18"/>
                <w:lang w:eastAsia="en-AU"/>
              </w:rPr>
              <w:t xml:space="preserve"> priorities, values, cultures, worldviews</w:t>
            </w:r>
            <w:r w:rsidR="25D1367D" w:rsidRPr="000F2D4C">
              <w:rPr>
                <w:rFonts w:ascii="Segoe UI" w:eastAsia="Times New Roman" w:hAnsi="Segoe UI" w:cs="Segoe UI"/>
                <w:lang w:eastAsia="en-AU"/>
              </w:rPr>
              <w:t>,</w:t>
            </w:r>
            <w:r w:rsidRPr="000F2D4C">
              <w:rPr>
                <w:rFonts w:ascii="Segoe UI" w:eastAsia="Times New Roman" w:hAnsi="Segoe UI" w:cs="Segoe UI"/>
                <w:szCs w:val="18"/>
                <w:lang w:eastAsia="en-AU"/>
              </w:rPr>
              <w:t xml:space="preserve"> and diversity.</w:t>
            </w:r>
          </w:p>
        </w:tc>
      </w:tr>
      <w:tr w:rsidR="009C3E13" w:rsidRPr="000F2D4C" w14:paraId="4F26336F" w14:textId="77777777" w:rsidTr="76054678">
        <w:trPr>
          <w:cnfStyle w:val="000000100000" w:firstRow="0" w:lastRow="0" w:firstColumn="0" w:lastColumn="0" w:oddVBand="0" w:evenVBand="0" w:oddHBand="1" w:evenHBand="0" w:firstRowFirstColumn="0" w:firstRowLastColumn="0" w:lastRowFirstColumn="0" w:lastRowLastColumn="0"/>
        </w:trPr>
        <w:tc>
          <w:tcPr>
            <w:tcW w:w="1888" w:type="dxa"/>
          </w:tcPr>
          <w:p w14:paraId="74F1747E" w14:textId="17B97208" w:rsidR="009C3E13" w:rsidRPr="000F2D4C" w:rsidRDefault="00C620CE" w:rsidP="00DE0F92">
            <w:pPr>
              <w:pStyle w:val="ListNumber"/>
              <w:numPr>
                <w:ilvl w:val="0"/>
                <w:numId w:val="0"/>
              </w:numPr>
              <w:rPr>
                <w:rFonts w:cstheme="minorHAnsi"/>
                <w:szCs w:val="18"/>
                <w:lang w:val="en-AU"/>
              </w:rPr>
            </w:pPr>
            <w:r w:rsidRPr="000F2D4C">
              <w:rPr>
                <w:rFonts w:cstheme="minorHAnsi"/>
                <w:szCs w:val="18"/>
                <w:lang w:val="en-AU"/>
              </w:rPr>
              <w:t xml:space="preserve">Indigenous </w:t>
            </w:r>
            <w:r w:rsidR="0E6E0770" w:rsidRPr="000F2D4C">
              <w:rPr>
                <w:rFonts w:cstheme="minorBidi"/>
                <w:lang w:val="en-AU"/>
              </w:rPr>
              <w:t>D</w:t>
            </w:r>
            <w:r w:rsidRPr="000F2D4C">
              <w:rPr>
                <w:rFonts w:cstheme="minorBidi"/>
                <w:lang w:val="en-AU"/>
              </w:rPr>
              <w:t xml:space="preserve">ata </w:t>
            </w:r>
            <w:r w:rsidR="517016F2" w:rsidRPr="000F2D4C">
              <w:rPr>
                <w:rFonts w:cstheme="minorBidi"/>
                <w:lang w:val="en-AU"/>
              </w:rPr>
              <w:t>S</w:t>
            </w:r>
            <w:r w:rsidR="0003386F" w:rsidRPr="000F2D4C">
              <w:rPr>
                <w:rFonts w:cstheme="minorBidi"/>
                <w:lang w:val="en-AU"/>
              </w:rPr>
              <w:t>overeignty</w:t>
            </w:r>
            <w:r w:rsidRPr="000F2D4C">
              <w:rPr>
                <w:rFonts w:cstheme="minorHAnsi"/>
                <w:szCs w:val="18"/>
                <w:lang w:val="en-AU"/>
              </w:rPr>
              <w:t xml:space="preserve"> </w:t>
            </w:r>
          </w:p>
        </w:tc>
        <w:tc>
          <w:tcPr>
            <w:tcW w:w="5835" w:type="dxa"/>
          </w:tcPr>
          <w:p w14:paraId="6E0EF6FD" w14:textId="0D09A6CA" w:rsidR="009C3E13" w:rsidRPr="000F2D4C" w:rsidRDefault="00FA7451" w:rsidP="0041136E">
            <w:pPr>
              <w:spacing w:before="100" w:beforeAutospacing="1" w:after="100" w:afterAutospacing="1" w:line="240" w:lineRule="auto"/>
              <w:rPr>
                <w:rFonts w:cstheme="minorHAnsi"/>
                <w:szCs w:val="18"/>
              </w:rPr>
            </w:pPr>
            <w:r w:rsidRPr="000F2D4C">
              <w:rPr>
                <w:rFonts w:ascii="Segoe UI" w:eastAsia="Times New Roman" w:hAnsi="Segoe UI" w:cs="Segoe UI"/>
                <w:szCs w:val="18"/>
                <w:lang w:eastAsia="en-AU"/>
              </w:rPr>
              <w:t xml:space="preserve">The </w:t>
            </w:r>
            <w:r w:rsidR="00CB4243" w:rsidRPr="000F2D4C">
              <w:rPr>
                <w:rFonts w:ascii="Segoe UI" w:eastAsia="Times New Roman" w:hAnsi="Segoe UI" w:cs="Segoe UI"/>
                <w:szCs w:val="18"/>
                <w:lang w:eastAsia="en-AU"/>
              </w:rPr>
              <w:t xml:space="preserve">right of Indigenous </w:t>
            </w:r>
            <w:r w:rsidR="00CB4243" w:rsidRPr="000F2D4C">
              <w:rPr>
                <w:rFonts w:ascii="Segoe UI" w:eastAsia="Times New Roman" w:hAnsi="Segoe UI" w:cs="Segoe UI"/>
                <w:lang w:eastAsia="en-AU"/>
              </w:rPr>
              <w:t>people</w:t>
            </w:r>
            <w:r w:rsidR="475D64A5" w:rsidRPr="000F2D4C">
              <w:rPr>
                <w:rFonts w:ascii="Segoe UI" w:eastAsia="Times New Roman" w:hAnsi="Segoe UI" w:cs="Segoe UI"/>
                <w:lang w:eastAsia="en-AU"/>
              </w:rPr>
              <w:t>s</w:t>
            </w:r>
            <w:r w:rsidR="00CB4243" w:rsidRPr="000F2D4C">
              <w:rPr>
                <w:rFonts w:ascii="Segoe UI" w:eastAsia="Times New Roman" w:hAnsi="Segoe UI" w:cs="Segoe UI"/>
                <w:szCs w:val="18"/>
                <w:lang w:eastAsia="en-AU"/>
              </w:rPr>
              <w:t xml:space="preserve"> to exercise ownership over Indigenous Data. Ownership of data can be expressed through the creation, collection, access, analysis, interpretation, management, dissemination</w:t>
            </w:r>
            <w:r w:rsidR="0C514527" w:rsidRPr="000F2D4C">
              <w:rPr>
                <w:rFonts w:ascii="Segoe UI" w:eastAsia="Times New Roman" w:hAnsi="Segoe UI" w:cs="Segoe UI"/>
                <w:lang w:eastAsia="en-AU"/>
              </w:rPr>
              <w:t>,</w:t>
            </w:r>
            <w:r w:rsidR="00CB4243" w:rsidRPr="000F2D4C">
              <w:rPr>
                <w:rFonts w:ascii="Segoe UI" w:eastAsia="Times New Roman" w:hAnsi="Segoe UI" w:cs="Segoe UI"/>
                <w:szCs w:val="18"/>
                <w:lang w:eastAsia="en-AU"/>
              </w:rPr>
              <w:t xml:space="preserve"> and reuse of Indigenous Data.</w:t>
            </w:r>
          </w:p>
        </w:tc>
      </w:tr>
      <w:tr w:rsidR="002F6A30" w:rsidRPr="000F2D4C" w14:paraId="03743C99" w14:textId="77777777" w:rsidTr="76054678">
        <w:trPr>
          <w:cnfStyle w:val="000000010000" w:firstRow="0" w:lastRow="0" w:firstColumn="0" w:lastColumn="0" w:oddVBand="0" w:evenVBand="0" w:oddHBand="0" w:evenHBand="1" w:firstRowFirstColumn="0" w:firstRowLastColumn="0" w:lastRowFirstColumn="0" w:lastRowLastColumn="0"/>
        </w:trPr>
        <w:tc>
          <w:tcPr>
            <w:tcW w:w="1888" w:type="dxa"/>
          </w:tcPr>
          <w:p w14:paraId="6CF0457B" w14:textId="5507711B" w:rsidR="002F6A30" w:rsidRPr="000F2D4C" w:rsidRDefault="002F6A30" w:rsidP="00DE0F92">
            <w:pPr>
              <w:pStyle w:val="ListNumber"/>
              <w:numPr>
                <w:ilvl w:val="0"/>
                <w:numId w:val="0"/>
              </w:numPr>
              <w:rPr>
                <w:rFonts w:cstheme="minorBidi"/>
                <w:lang w:val="en-AU"/>
              </w:rPr>
            </w:pPr>
            <w:r w:rsidRPr="000F2D4C">
              <w:rPr>
                <w:rFonts w:cstheme="minorBidi"/>
                <w:lang w:val="en-AU"/>
              </w:rPr>
              <w:t>Lived and</w:t>
            </w:r>
            <w:r w:rsidR="753EC374" w:rsidRPr="000F2D4C">
              <w:rPr>
                <w:rFonts w:cstheme="minorBidi"/>
                <w:lang w:val="en-AU"/>
              </w:rPr>
              <w:t>/or</w:t>
            </w:r>
            <w:r w:rsidRPr="000F2D4C">
              <w:rPr>
                <w:rFonts w:cstheme="minorBidi"/>
                <w:lang w:val="en-AU"/>
              </w:rPr>
              <w:t xml:space="preserve"> living experience</w:t>
            </w:r>
          </w:p>
        </w:tc>
        <w:tc>
          <w:tcPr>
            <w:tcW w:w="5835" w:type="dxa"/>
          </w:tcPr>
          <w:p w14:paraId="58A66B6E" w14:textId="7A47BF49" w:rsidR="002F6A30" w:rsidRPr="000F2D4C" w:rsidRDefault="00DB0C22" w:rsidP="00DE0F92">
            <w:pPr>
              <w:pStyle w:val="ListNumber"/>
              <w:numPr>
                <w:ilvl w:val="0"/>
                <w:numId w:val="0"/>
              </w:numPr>
              <w:rPr>
                <w:rFonts w:ascii="Open Sans" w:hAnsi="Open Sans" w:cs="Open Sans"/>
                <w:shd w:val="clear" w:color="auto" w:fill="FFFFFF"/>
                <w:lang w:val="en-AU"/>
              </w:rPr>
            </w:pPr>
            <w:r w:rsidRPr="000F2D4C">
              <w:rPr>
                <w:lang w:val="en-AU"/>
              </w:rPr>
              <w:t>People with lived and</w:t>
            </w:r>
            <w:r w:rsidR="6D2B36EE" w:rsidRPr="000F2D4C">
              <w:rPr>
                <w:lang w:val="en-AU"/>
              </w:rPr>
              <w:t>/or</w:t>
            </w:r>
            <w:r w:rsidRPr="000F2D4C">
              <w:rPr>
                <w:lang w:val="en-AU"/>
              </w:rPr>
              <w:t xml:space="preserve"> living experience of trauma, neurodiversity, mental health challenges, psychological distress, suicide, substance use or addiction, and their families, carers, supporters, those experiencing bereavement, advocate</w:t>
            </w:r>
            <w:r w:rsidR="00350BE7" w:rsidRPr="000F2D4C">
              <w:rPr>
                <w:lang w:val="en-AU"/>
              </w:rPr>
              <w:t xml:space="preserve">s and </w:t>
            </w:r>
            <w:r w:rsidRPr="000F2D4C">
              <w:rPr>
                <w:lang w:val="en-AU"/>
              </w:rPr>
              <w:t xml:space="preserve">allies. </w:t>
            </w:r>
          </w:p>
        </w:tc>
      </w:tr>
      <w:tr w:rsidR="001D3AE8" w:rsidRPr="000F2D4C" w14:paraId="6D53CB71" w14:textId="77777777" w:rsidTr="76054678">
        <w:trPr>
          <w:cnfStyle w:val="000000100000" w:firstRow="0" w:lastRow="0" w:firstColumn="0" w:lastColumn="0" w:oddVBand="0" w:evenVBand="0" w:oddHBand="1" w:evenHBand="0" w:firstRowFirstColumn="0" w:firstRowLastColumn="0" w:lastRowFirstColumn="0" w:lastRowLastColumn="0"/>
        </w:trPr>
        <w:tc>
          <w:tcPr>
            <w:tcW w:w="1888" w:type="dxa"/>
          </w:tcPr>
          <w:p w14:paraId="40FCC036" w14:textId="2D8069FC" w:rsidR="001D3AE8" w:rsidRPr="000F2D4C" w:rsidRDefault="001D3AE8" w:rsidP="00DE0F92">
            <w:pPr>
              <w:pStyle w:val="ListNumber"/>
              <w:numPr>
                <w:ilvl w:val="0"/>
                <w:numId w:val="0"/>
              </w:numPr>
              <w:rPr>
                <w:rFonts w:cstheme="minorHAnsi"/>
                <w:szCs w:val="18"/>
                <w:lang w:val="en-AU"/>
              </w:rPr>
            </w:pPr>
            <w:r w:rsidRPr="000F2D4C">
              <w:rPr>
                <w:rFonts w:cstheme="minorHAnsi"/>
                <w:szCs w:val="18"/>
                <w:lang w:val="en-AU"/>
              </w:rPr>
              <w:t>Meta-analysis</w:t>
            </w:r>
          </w:p>
        </w:tc>
        <w:tc>
          <w:tcPr>
            <w:tcW w:w="5835" w:type="dxa"/>
          </w:tcPr>
          <w:p w14:paraId="3B66AEFC" w14:textId="0F5B1E74" w:rsidR="001D3AE8" w:rsidRPr="000F2D4C" w:rsidRDefault="009F720C" w:rsidP="00DE0F92">
            <w:pPr>
              <w:pStyle w:val="ListNumber"/>
              <w:numPr>
                <w:ilvl w:val="0"/>
                <w:numId w:val="0"/>
              </w:numPr>
              <w:rPr>
                <w:lang w:val="en-AU"/>
              </w:rPr>
            </w:pPr>
            <w:r w:rsidRPr="000F2D4C">
              <w:rPr>
                <w:color w:val="000000" w:themeColor="text2"/>
                <w:lang w:val="en-AU"/>
              </w:rPr>
              <w:t>Meta-analysis is the statistical combination of results from two or more separate studies. Potential advantages of meta-analyses include an improvement in precision, the ability to answer questions not posed by individual studies, and the opportunity to settle controversies arising from conflicting claims.</w:t>
            </w:r>
          </w:p>
        </w:tc>
      </w:tr>
      <w:tr w:rsidR="00857640" w:rsidRPr="000F2D4C" w14:paraId="76C01E78" w14:textId="77777777" w:rsidTr="76054678">
        <w:trPr>
          <w:cnfStyle w:val="000000010000" w:firstRow="0" w:lastRow="0" w:firstColumn="0" w:lastColumn="0" w:oddVBand="0" w:evenVBand="0" w:oddHBand="0" w:evenHBand="1" w:firstRowFirstColumn="0" w:firstRowLastColumn="0" w:lastRowFirstColumn="0" w:lastRowLastColumn="0"/>
        </w:trPr>
        <w:tc>
          <w:tcPr>
            <w:tcW w:w="1888" w:type="dxa"/>
          </w:tcPr>
          <w:p w14:paraId="340D0E1E" w14:textId="4E85AFEA" w:rsidR="00857640" w:rsidRPr="000F2D4C" w:rsidRDefault="00EA1B26" w:rsidP="00DE0F92">
            <w:pPr>
              <w:pStyle w:val="ListNumber"/>
              <w:numPr>
                <w:ilvl w:val="0"/>
                <w:numId w:val="0"/>
              </w:numPr>
              <w:rPr>
                <w:rFonts w:cstheme="minorHAnsi"/>
                <w:szCs w:val="18"/>
                <w:lang w:val="en-AU"/>
              </w:rPr>
            </w:pPr>
            <w:r w:rsidRPr="000F2D4C">
              <w:rPr>
                <w:rFonts w:cstheme="minorHAnsi"/>
                <w:szCs w:val="18"/>
                <w:lang w:val="en-AU"/>
              </w:rPr>
              <w:t>Monitoring</w:t>
            </w:r>
          </w:p>
        </w:tc>
        <w:tc>
          <w:tcPr>
            <w:tcW w:w="5835" w:type="dxa"/>
          </w:tcPr>
          <w:p w14:paraId="73E36C56" w14:textId="6F06FFB7" w:rsidR="00857640" w:rsidRPr="000F2D4C" w:rsidRDefault="00AC10C2" w:rsidP="00DE0F92">
            <w:pPr>
              <w:pStyle w:val="ListNumber"/>
              <w:numPr>
                <w:ilvl w:val="0"/>
                <w:numId w:val="0"/>
              </w:numPr>
              <w:rPr>
                <w:rFonts w:cstheme="minorBidi"/>
                <w:lang w:val="en-AU"/>
              </w:rPr>
            </w:pPr>
            <w:r w:rsidRPr="000F2D4C">
              <w:rPr>
                <w:rFonts w:cstheme="minorBidi"/>
                <w:lang w:val="en-AU"/>
              </w:rPr>
              <w:t xml:space="preserve">Monitoring is a process of </w:t>
            </w:r>
            <w:r w:rsidR="00EA1B26" w:rsidRPr="000F2D4C">
              <w:rPr>
                <w:rFonts w:cstheme="minorBidi"/>
                <w:lang w:val="en-AU"/>
              </w:rPr>
              <w:t>collecting</w:t>
            </w:r>
            <w:r w:rsidR="00BE7830" w:rsidRPr="000F2D4C">
              <w:rPr>
                <w:rFonts w:cstheme="minorBidi"/>
                <w:lang w:val="en-AU"/>
              </w:rPr>
              <w:t xml:space="preserve">, </w:t>
            </w:r>
            <w:r w:rsidR="00EA1B26" w:rsidRPr="000F2D4C">
              <w:rPr>
                <w:rFonts w:cstheme="minorBidi"/>
                <w:lang w:val="en-AU"/>
              </w:rPr>
              <w:t>analysing</w:t>
            </w:r>
            <w:r w:rsidR="7699D3BC" w:rsidRPr="000F2D4C">
              <w:rPr>
                <w:rFonts w:cstheme="minorBidi"/>
                <w:lang w:val="en-AU"/>
              </w:rPr>
              <w:t>,</w:t>
            </w:r>
            <w:r w:rsidR="00EA1B26" w:rsidRPr="000F2D4C">
              <w:rPr>
                <w:rFonts w:cstheme="minorBidi"/>
                <w:lang w:val="en-AU"/>
              </w:rPr>
              <w:t xml:space="preserve"> </w:t>
            </w:r>
            <w:r w:rsidR="00BE7830" w:rsidRPr="000F2D4C">
              <w:rPr>
                <w:rFonts w:cstheme="minorBidi"/>
                <w:lang w:val="en-AU"/>
              </w:rPr>
              <w:t xml:space="preserve">and reporting </w:t>
            </w:r>
            <w:r w:rsidR="00EA1B26" w:rsidRPr="000F2D4C">
              <w:rPr>
                <w:rFonts w:cstheme="minorBidi"/>
                <w:lang w:val="en-AU"/>
              </w:rPr>
              <w:t xml:space="preserve">information about the implementation and impacts of a </w:t>
            </w:r>
            <w:r w:rsidR="00503F73" w:rsidRPr="000F2D4C">
              <w:rPr>
                <w:rFonts w:cstheme="minorBidi"/>
                <w:lang w:val="en-AU"/>
              </w:rPr>
              <w:t>program</w:t>
            </w:r>
            <w:r w:rsidR="003A6B5A" w:rsidRPr="000F2D4C">
              <w:rPr>
                <w:rFonts w:cstheme="minorBidi"/>
                <w:lang w:val="en-AU"/>
              </w:rPr>
              <w:t xml:space="preserve"> at regular intervals. Choose a few key indicators to track </w:t>
            </w:r>
            <w:r w:rsidR="003A547A" w:rsidRPr="000F2D4C">
              <w:rPr>
                <w:rFonts w:cstheme="minorBidi"/>
                <w:lang w:val="en-AU"/>
              </w:rPr>
              <w:t xml:space="preserve">over time to indicate </w:t>
            </w:r>
            <w:r w:rsidR="00EA1B26" w:rsidRPr="000F2D4C">
              <w:rPr>
                <w:rFonts w:cstheme="minorBidi"/>
                <w:lang w:val="en-AU"/>
              </w:rPr>
              <w:t xml:space="preserve">performance, support ongoing improvement, and inform evaluation. </w:t>
            </w:r>
          </w:p>
        </w:tc>
      </w:tr>
      <w:tr w:rsidR="00093ACB" w:rsidRPr="000F2D4C" w14:paraId="043E6D18" w14:textId="77777777" w:rsidTr="76054678">
        <w:trPr>
          <w:cnfStyle w:val="000000100000" w:firstRow="0" w:lastRow="0" w:firstColumn="0" w:lastColumn="0" w:oddVBand="0" w:evenVBand="0" w:oddHBand="1" w:evenHBand="0" w:firstRowFirstColumn="0" w:firstRowLastColumn="0" w:lastRowFirstColumn="0" w:lastRowLastColumn="0"/>
        </w:trPr>
        <w:tc>
          <w:tcPr>
            <w:tcW w:w="1888" w:type="dxa"/>
          </w:tcPr>
          <w:p w14:paraId="3BB756D5" w14:textId="678326B6" w:rsidR="00093ACB" w:rsidRPr="000F2D4C" w:rsidRDefault="00093ACB" w:rsidP="00DE0F92">
            <w:pPr>
              <w:pStyle w:val="ListNumber"/>
              <w:numPr>
                <w:ilvl w:val="0"/>
                <w:numId w:val="0"/>
              </w:numPr>
              <w:rPr>
                <w:rFonts w:cstheme="minorHAnsi"/>
                <w:szCs w:val="18"/>
                <w:lang w:val="en-AU"/>
              </w:rPr>
            </w:pPr>
            <w:r w:rsidRPr="000F2D4C">
              <w:rPr>
                <w:rFonts w:cstheme="minorHAnsi"/>
                <w:szCs w:val="18"/>
                <w:lang w:val="en-AU"/>
              </w:rPr>
              <w:t>Outcomes</w:t>
            </w:r>
          </w:p>
        </w:tc>
        <w:tc>
          <w:tcPr>
            <w:tcW w:w="5835" w:type="dxa"/>
          </w:tcPr>
          <w:p w14:paraId="038AF0A4" w14:textId="15F9205B" w:rsidR="00093ACB" w:rsidRPr="000F2D4C" w:rsidRDefault="00DA7D88" w:rsidP="00DE0F92">
            <w:pPr>
              <w:pStyle w:val="ListNumber"/>
              <w:numPr>
                <w:ilvl w:val="0"/>
                <w:numId w:val="0"/>
              </w:numPr>
              <w:rPr>
                <w:rFonts w:cstheme="minorHAnsi"/>
                <w:szCs w:val="18"/>
                <w:lang w:val="en-AU"/>
              </w:rPr>
            </w:pPr>
            <w:r w:rsidRPr="000F2D4C">
              <w:rPr>
                <w:szCs w:val="18"/>
                <w:lang w:val="en-AU"/>
              </w:rPr>
              <w:t>A result that can be measured or observed in terms of a changed condition of people, organisations</w:t>
            </w:r>
            <w:r w:rsidR="15F474E6" w:rsidRPr="000F2D4C">
              <w:rPr>
                <w:lang w:val="en-AU"/>
              </w:rPr>
              <w:t>,</w:t>
            </w:r>
            <w:r w:rsidRPr="000F2D4C">
              <w:rPr>
                <w:szCs w:val="18"/>
                <w:lang w:val="en-AU"/>
              </w:rPr>
              <w:t xml:space="preserve"> or systems</w:t>
            </w:r>
            <w:r w:rsidR="29CE24A6" w:rsidRPr="000F2D4C">
              <w:rPr>
                <w:lang w:val="en-AU"/>
              </w:rPr>
              <w:t>,</w:t>
            </w:r>
            <w:r w:rsidRPr="000F2D4C">
              <w:rPr>
                <w:szCs w:val="18"/>
                <w:lang w:val="en-AU"/>
              </w:rPr>
              <w:t xml:space="preserve"> attributable to a </w:t>
            </w:r>
            <w:r w:rsidR="00503F73" w:rsidRPr="000F2D4C">
              <w:rPr>
                <w:szCs w:val="18"/>
                <w:lang w:val="en-AU"/>
              </w:rPr>
              <w:t>program</w:t>
            </w:r>
            <w:r w:rsidRPr="000F2D4C">
              <w:rPr>
                <w:szCs w:val="18"/>
                <w:lang w:val="en-AU"/>
              </w:rPr>
              <w:t xml:space="preserve">. </w:t>
            </w:r>
          </w:p>
        </w:tc>
      </w:tr>
      <w:tr w:rsidR="00857640" w:rsidRPr="000F2D4C" w14:paraId="352489D8" w14:textId="77777777" w:rsidTr="76054678">
        <w:trPr>
          <w:cnfStyle w:val="000000010000" w:firstRow="0" w:lastRow="0" w:firstColumn="0" w:lastColumn="0" w:oddVBand="0" w:evenVBand="0" w:oddHBand="0" w:evenHBand="1" w:firstRowFirstColumn="0" w:firstRowLastColumn="0" w:lastRowFirstColumn="0" w:lastRowLastColumn="0"/>
        </w:trPr>
        <w:tc>
          <w:tcPr>
            <w:tcW w:w="1888" w:type="dxa"/>
          </w:tcPr>
          <w:p w14:paraId="435DCBEB" w14:textId="1F20998B" w:rsidR="00857640" w:rsidRPr="000F2D4C" w:rsidRDefault="006864F6" w:rsidP="00DE0F92">
            <w:pPr>
              <w:pStyle w:val="ListNumber"/>
              <w:numPr>
                <w:ilvl w:val="0"/>
                <w:numId w:val="0"/>
              </w:numPr>
              <w:rPr>
                <w:rFonts w:cstheme="minorHAnsi"/>
                <w:szCs w:val="18"/>
                <w:lang w:val="en-AU"/>
              </w:rPr>
            </w:pPr>
            <w:r w:rsidRPr="000F2D4C">
              <w:rPr>
                <w:rFonts w:cstheme="minorHAnsi"/>
                <w:szCs w:val="18"/>
                <w:lang w:val="en-AU"/>
              </w:rPr>
              <w:t>Process evaluation</w:t>
            </w:r>
          </w:p>
        </w:tc>
        <w:tc>
          <w:tcPr>
            <w:tcW w:w="5835" w:type="dxa"/>
          </w:tcPr>
          <w:p w14:paraId="0064C6A0" w14:textId="09D66516" w:rsidR="00857640" w:rsidRPr="000F2D4C" w:rsidRDefault="00B25C34" w:rsidP="00DE0F92">
            <w:pPr>
              <w:pStyle w:val="ListNumber"/>
              <w:numPr>
                <w:ilvl w:val="0"/>
                <w:numId w:val="0"/>
              </w:numPr>
              <w:rPr>
                <w:rFonts w:cstheme="minorHAnsi"/>
                <w:szCs w:val="18"/>
                <w:lang w:val="en-AU"/>
              </w:rPr>
            </w:pPr>
            <w:r w:rsidRPr="000F2D4C">
              <w:rPr>
                <w:rFonts w:cstheme="minorHAnsi"/>
                <w:szCs w:val="18"/>
                <w:lang w:val="en-AU"/>
              </w:rPr>
              <w:t xml:space="preserve">An evaluation of the implementation and delivery of a </w:t>
            </w:r>
            <w:r w:rsidR="00503F73" w:rsidRPr="000F2D4C">
              <w:rPr>
                <w:rFonts w:cstheme="minorHAnsi"/>
                <w:szCs w:val="18"/>
                <w:lang w:val="en-AU"/>
              </w:rPr>
              <w:t>program</w:t>
            </w:r>
            <w:r w:rsidRPr="000F2D4C">
              <w:rPr>
                <w:rFonts w:cstheme="minorHAnsi"/>
                <w:szCs w:val="18"/>
                <w:lang w:val="en-AU"/>
              </w:rPr>
              <w:t>. It focuses on the inputs, activities</w:t>
            </w:r>
            <w:r w:rsidR="7BA41AF2" w:rsidRPr="000F2D4C">
              <w:rPr>
                <w:rFonts w:cstheme="minorBidi"/>
                <w:lang w:val="en-AU"/>
              </w:rPr>
              <w:t>,</w:t>
            </w:r>
            <w:r w:rsidRPr="000F2D4C">
              <w:rPr>
                <w:rFonts w:cstheme="minorHAnsi"/>
                <w:szCs w:val="18"/>
                <w:lang w:val="en-AU"/>
              </w:rPr>
              <w:t xml:space="preserve"> and outputs of a </w:t>
            </w:r>
            <w:r w:rsidR="00503F73" w:rsidRPr="000F2D4C">
              <w:rPr>
                <w:rFonts w:cstheme="minorHAnsi"/>
                <w:szCs w:val="18"/>
                <w:lang w:val="en-AU"/>
              </w:rPr>
              <w:t>program</w:t>
            </w:r>
            <w:r w:rsidRPr="000F2D4C">
              <w:rPr>
                <w:rFonts w:cstheme="minorHAnsi"/>
                <w:szCs w:val="18"/>
                <w:lang w:val="en-AU"/>
              </w:rPr>
              <w:t>.</w:t>
            </w:r>
          </w:p>
        </w:tc>
      </w:tr>
      <w:tr w:rsidR="00857640" w:rsidRPr="000F2D4C" w14:paraId="65E43CB8" w14:textId="77777777" w:rsidTr="76054678">
        <w:trPr>
          <w:cnfStyle w:val="000000100000" w:firstRow="0" w:lastRow="0" w:firstColumn="0" w:lastColumn="0" w:oddVBand="0" w:evenVBand="0" w:oddHBand="1" w:evenHBand="0" w:firstRowFirstColumn="0" w:firstRowLastColumn="0" w:lastRowFirstColumn="0" w:lastRowLastColumn="0"/>
        </w:trPr>
        <w:tc>
          <w:tcPr>
            <w:tcW w:w="1888" w:type="dxa"/>
          </w:tcPr>
          <w:p w14:paraId="55C8F345" w14:textId="670684EF" w:rsidR="00857640" w:rsidRPr="000F2D4C" w:rsidRDefault="00DD00E6" w:rsidP="00DE0F92">
            <w:pPr>
              <w:pStyle w:val="ListNumber"/>
              <w:numPr>
                <w:ilvl w:val="0"/>
                <w:numId w:val="0"/>
              </w:numPr>
              <w:rPr>
                <w:rFonts w:cstheme="minorHAnsi"/>
                <w:szCs w:val="18"/>
                <w:lang w:val="en-AU"/>
              </w:rPr>
            </w:pPr>
            <w:r w:rsidRPr="000F2D4C">
              <w:rPr>
                <w:rFonts w:cstheme="minorHAnsi"/>
                <w:szCs w:val="18"/>
                <w:lang w:val="en-AU"/>
              </w:rPr>
              <w:t>Program logic</w:t>
            </w:r>
            <w:r w:rsidR="003E336E" w:rsidRPr="000F2D4C">
              <w:rPr>
                <w:rFonts w:cstheme="minorHAnsi"/>
                <w:szCs w:val="18"/>
                <w:lang w:val="en-AU"/>
              </w:rPr>
              <w:t xml:space="preserve"> model</w:t>
            </w:r>
          </w:p>
        </w:tc>
        <w:tc>
          <w:tcPr>
            <w:tcW w:w="5835" w:type="dxa"/>
          </w:tcPr>
          <w:p w14:paraId="19297117" w14:textId="7C465AA7" w:rsidR="00857640" w:rsidRPr="000F2D4C" w:rsidRDefault="00E54E4B" w:rsidP="00DE0F92">
            <w:pPr>
              <w:pStyle w:val="ListNumber"/>
              <w:numPr>
                <w:ilvl w:val="0"/>
                <w:numId w:val="0"/>
              </w:numPr>
              <w:rPr>
                <w:rFonts w:cstheme="minorHAnsi"/>
                <w:szCs w:val="18"/>
                <w:lang w:val="en-AU"/>
              </w:rPr>
            </w:pPr>
            <w:r w:rsidRPr="000F2D4C">
              <w:rPr>
                <w:szCs w:val="18"/>
                <w:lang w:val="en-AU"/>
              </w:rPr>
              <w:t xml:space="preserve">A one-page diagram that shows the components of a </w:t>
            </w:r>
            <w:r w:rsidR="00503F73" w:rsidRPr="000F2D4C">
              <w:rPr>
                <w:szCs w:val="18"/>
                <w:lang w:val="en-AU"/>
              </w:rPr>
              <w:t>program</w:t>
            </w:r>
            <w:r w:rsidRPr="000F2D4C">
              <w:rPr>
                <w:szCs w:val="18"/>
                <w:lang w:val="en-AU"/>
              </w:rPr>
              <w:t xml:space="preserve"> and how they are expected to work together to deliver outputs and outcomes and contribute to an intended impact. </w:t>
            </w:r>
          </w:p>
        </w:tc>
      </w:tr>
      <w:tr w:rsidR="001C4841" w:rsidRPr="000F2D4C" w14:paraId="6423564E" w14:textId="77777777" w:rsidTr="76054678">
        <w:trPr>
          <w:cnfStyle w:val="000000010000" w:firstRow="0" w:lastRow="0" w:firstColumn="0" w:lastColumn="0" w:oddVBand="0" w:evenVBand="0" w:oddHBand="0" w:evenHBand="1" w:firstRowFirstColumn="0" w:firstRowLastColumn="0" w:lastRowFirstColumn="0" w:lastRowLastColumn="0"/>
        </w:trPr>
        <w:tc>
          <w:tcPr>
            <w:tcW w:w="1888" w:type="dxa"/>
          </w:tcPr>
          <w:p w14:paraId="334DBEE4" w14:textId="115000F3" w:rsidR="001C4841" w:rsidRPr="000F2D4C" w:rsidRDefault="001C4841" w:rsidP="00DE0F92">
            <w:pPr>
              <w:pStyle w:val="ListNumber"/>
              <w:numPr>
                <w:ilvl w:val="0"/>
                <w:numId w:val="0"/>
              </w:numPr>
              <w:rPr>
                <w:rFonts w:cstheme="minorHAnsi"/>
                <w:szCs w:val="18"/>
                <w:lang w:val="en-AU"/>
              </w:rPr>
            </w:pPr>
            <w:r w:rsidRPr="000F2D4C">
              <w:rPr>
                <w:rFonts w:cstheme="minorHAnsi"/>
                <w:szCs w:val="18"/>
                <w:lang w:val="en-AU"/>
              </w:rPr>
              <w:t xml:space="preserve">Service users </w:t>
            </w:r>
          </w:p>
        </w:tc>
        <w:tc>
          <w:tcPr>
            <w:tcW w:w="5835" w:type="dxa"/>
          </w:tcPr>
          <w:p w14:paraId="48A10400" w14:textId="6A23E6B4" w:rsidR="001C4841" w:rsidRPr="000F2D4C" w:rsidRDefault="001C4841" w:rsidP="00DE0F92">
            <w:pPr>
              <w:pStyle w:val="ListNumber"/>
              <w:numPr>
                <w:ilvl w:val="0"/>
                <w:numId w:val="0"/>
              </w:numPr>
              <w:rPr>
                <w:szCs w:val="18"/>
                <w:lang w:val="en-AU"/>
              </w:rPr>
            </w:pPr>
            <w:r w:rsidRPr="000F2D4C">
              <w:rPr>
                <w:lang w:val="en-AU"/>
              </w:rPr>
              <w:t>People with lived and/or living experience who access, seek to access</w:t>
            </w:r>
            <w:r w:rsidR="093C7070" w:rsidRPr="000F2D4C">
              <w:rPr>
                <w:lang w:val="en-AU"/>
              </w:rPr>
              <w:t>,</w:t>
            </w:r>
            <w:r w:rsidRPr="000F2D4C">
              <w:rPr>
                <w:lang w:val="en-AU"/>
              </w:rPr>
              <w:t xml:space="preserve"> or may have tried to access mental health and/or suicide prevention services. </w:t>
            </w:r>
          </w:p>
        </w:tc>
      </w:tr>
    </w:tbl>
    <w:p w14:paraId="3D389241" w14:textId="77777777" w:rsidR="00857640" w:rsidRPr="000F2D4C" w:rsidRDefault="00857640" w:rsidP="00DE0F92">
      <w:pPr>
        <w:pStyle w:val="ListNumber"/>
        <w:numPr>
          <w:ilvl w:val="0"/>
          <w:numId w:val="0"/>
        </w:numPr>
        <w:rPr>
          <w:lang w:val="en-AU"/>
        </w:rPr>
      </w:pPr>
    </w:p>
    <w:p w14:paraId="0FAF93CA" w14:textId="77777777" w:rsidR="00857640" w:rsidRPr="000F2D4C" w:rsidRDefault="00857640" w:rsidP="00DE0F92">
      <w:pPr>
        <w:pStyle w:val="ListNumber"/>
        <w:numPr>
          <w:ilvl w:val="0"/>
          <w:numId w:val="0"/>
        </w:numPr>
        <w:rPr>
          <w:lang w:val="en-AU"/>
        </w:rPr>
      </w:pPr>
    </w:p>
    <w:p w14:paraId="2E6BED2F" w14:textId="742D22C6" w:rsidR="00E22741" w:rsidRPr="000F2D4C" w:rsidRDefault="00E22741" w:rsidP="009F026E">
      <w:pPr>
        <w:pStyle w:val="Appendix"/>
      </w:pPr>
      <w:bookmarkStart w:id="94" w:name="_Toc149919013"/>
      <w:bookmarkStart w:id="95" w:name="_Toc44523720"/>
      <w:bookmarkStart w:id="96" w:name="_Toc146031466"/>
      <w:bookmarkStart w:id="97" w:name="_Toc146206807"/>
      <w:r w:rsidRPr="000F2D4C">
        <w:lastRenderedPageBreak/>
        <w:t>Other relevant documents</w:t>
      </w:r>
      <w:bookmarkEnd w:id="94"/>
    </w:p>
    <w:p w14:paraId="64612983" w14:textId="77777777" w:rsidR="00E22741" w:rsidRPr="000F2D4C" w:rsidRDefault="00E22741" w:rsidP="00E22741">
      <w:pPr>
        <w:pStyle w:val="ListBullet"/>
        <w:numPr>
          <w:ilvl w:val="0"/>
          <w:numId w:val="0"/>
        </w:numPr>
      </w:pPr>
      <w:r w:rsidRPr="000F2D4C">
        <w:t xml:space="preserve">This Framework draws on, and intends to complement a range of other documents inclusive of but not limited to: </w:t>
      </w:r>
    </w:p>
    <w:p w14:paraId="7E82800C" w14:textId="77777777" w:rsidR="00E22741" w:rsidRPr="000F2D4C" w:rsidRDefault="00E22741" w:rsidP="00E22741">
      <w:pPr>
        <w:pStyle w:val="ListBullet"/>
        <w:numPr>
          <w:ilvl w:val="0"/>
          <w:numId w:val="0"/>
        </w:numPr>
        <w:ind w:left="360" w:hanging="360"/>
      </w:pPr>
      <w:r w:rsidRPr="000F2D4C">
        <w:t xml:space="preserve">  </w:t>
      </w:r>
    </w:p>
    <w:p w14:paraId="6F77370E" w14:textId="5DE80F7B" w:rsidR="00E22741" w:rsidRPr="000F2D4C" w:rsidRDefault="002E5061" w:rsidP="00FC2CEE">
      <w:pPr>
        <w:pStyle w:val="ListParagraph"/>
        <w:numPr>
          <w:ilvl w:val="0"/>
          <w:numId w:val="24"/>
        </w:numPr>
        <w:rPr>
          <w:color w:val="215565" w:themeColor="accent2" w:themeShade="80"/>
          <w:u w:val="single"/>
        </w:rPr>
      </w:pPr>
      <w:r w:rsidRPr="000F2D4C">
        <w:rPr>
          <w:rStyle w:val="Hyperlink"/>
          <w:color w:val="auto"/>
          <w:u w:val="none"/>
        </w:rPr>
        <w:t xml:space="preserve">The </w:t>
      </w:r>
      <w:hyperlink r:id="rId117" w:history="1">
        <w:r w:rsidR="00930A6A" w:rsidRPr="000F2D4C">
          <w:rPr>
            <w:rStyle w:val="Hyperlink"/>
            <w:b/>
            <w:bCs/>
          </w:rPr>
          <w:t>Evaluation in the Commonwealth Toolkit</w:t>
        </w:r>
      </w:hyperlink>
      <w:r w:rsidR="00930A6A" w:rsidRPr="000F2D4C">
        <w:rPr>
          <w:rStyle w:val="Hyperlink"/>
          <w:b/>
          <w:bCs/>
          <w:color w:val="auto"/>
          <w:u w:val="none"/>
        </w:rPr>
        <w:t xml:space="preserve"> </w:t>
      </w:r>
      <w:r w:rsidRPr="000F2D4C">
        <w:rPr>
          <w:rStyle w:val="Hyperlink"/>
          <w:color w:val="auto"/>
          <w:u w:val="none"/>
        </w:rPr>
        <w:t xml:space="preserve">and state and territory governments </w:t>
      </w:r>
      <w:r w:rsidR="00E22741" w:rsidRPr="000F2D4C">
        <w:t>evaluation guidelines, and the Department of Health and Aged Care’s evaluation strategy.</w:t>
      </w:r>
    </w:p>
    <w:p w14:paraId="4B88071A" w14:textId="2F8230A8" w:rsidR="00E22741" w:rsidRPr="000F2D4C" w:rsidRDefault="00E22741" w:rsidP="00FC2CEE">
      <w:pPr>
        <w:pStyle w:val="ListParagraph"/>
        <w:numPr>
          <w:ilvl w:val="0"/>
          <w:numId w:val="24"/>
        </w:numPr>
        <w:rPr>
          <w:color w:val="215565" w:themeColor="accent2" w:themeShade="80"/>
          <w:u w:val="single"/>
        </w:rPr>
      </w:pPr>
      <w:r w:rsidRPr="000F2D4C">
        <w:t xml:space="preserve">The </w:t>
      </w:r>
      <w:hyperlink r:id="rId118">
        <w:r w:rsidRPr="000F2D4C">
          <w:rPr>
            <w:rStyle w:val="Hyperlink"/>
            <w:b/>
            <w:bCs/>
          </w:rPr>
          <w:t>National Mental Health Performance Framework (NMHPF) 2020</w:t>
        </w:r>
      </w:hyperlink>
      <w:r w:rsidRPr="000F2D4C">
        <w:rPr>
          <w:b/>
          <w:bCs/>
        </w:rPr>
        <w:t>,</w:t>
      </w:r>
      <w:r w:rsidRPr="000F2D4C">
        <w:t xml:space="preserve"> which was developed for facilitating a culture of continuous quality improvement in mental health service delivery. The Framework supports </w:t>
      </w:r>
      <w:r w:rsidR="7DF6C888" w:rsidRPr="000F2D4C">
        <w:t xml:space="preserve">the </w:t>
      </w:r>
      <w:r w:rsidRPr="000F2D4C">
        <w:t xml:space="preserve">Australian </w:t>
      </w:r>
      <w:r w:rsidR="350D8037" w:rsidRPr="000F2D4C">
        <w:t>Government’s</w:t>
      </w:r>
      <w:r w:rsidRPr="000F2D4C">
        <w:t xml:space="preserve"> and state and territory governments’ commitment to improving accountability and transparency at the Mental Health Service Organisation level</w:t>
      </w:r>
      <w:r w:rsidR="7B0D48BB" w:rsidRPr="000F2D4C">
        <w:t>.</w:t>
      </w:r>
      <w:r w:rsidRPr="000F2D4C">
        <w:t xml:space="preserve"> </w:t>
      </w:r>
    </w:p>
    <w:p w14:paraId="3C854364" w14:textId="09852906" w:rsidR="00E22741" w:rsidRPr="000F2D4C" w:rsidRDefault="00E22741" w:rsidP="00FC2CEE">
      <w:pPr>
        <w:pStyle w:val="ListParagraph"/>
        <w:numPr>
          <w:ilvl w:val="0"/>
          <w:numId w:val="24"/>
        </w:numPr>
        <w:rPr>
          <w:rStyle w:val="Hyperlink"/>
        </w:rPr>
      </w:pPr>
      <w:r w:rsidRPr="000F2D4C">
        <w:t xml:space="preserve">The </w:t>
      </w:r>
      <w:hyperlink r:id="rId119">
        <w:r w:rsidRPr="000F2D4C">
          <w:rPr>
            <w:rStyle w:val="Hyperlink"/>
            <w:b/>
            <w:bCs/>
          </w:rPr>
          <w:t>Australian Health Performance Framework (AHPF)</w:t>
        </w:r>
      </w:hyperlink>
      <w:r w:rsidRPr="000F2D4C">
        <w:rPr>
          <w:b/>
          <w:bCs/>
        </w:rPr>
        <w:t xml:space="preserve">, </w:t>
      </w:r>
      <w:r w:rsidRPr="000F2D4C">
        <w:t>which is a tool for reporting on the health of Australians, the performance of health care in Australia</w:t>
      </w:r>
      <w:r w:rsidR="1FC739CC" w:rsidRPr="000F2D4C">
        <w:t>,</w:t>
      </w:r>
      <w:r w:rsidRPr="000F2D4C">
        <w:t xml:space="preserve"> and the Australian health system. The indicators within the Framework can be disaggregated and analysed through selected population groups, providing a rich source of information at the national, state and territory</w:t>
      </w:r>
      <w:r w:rsidR="7F035CC1" w:rsidRPr="000F2D4C">
        <w:t>,</w:t>
      </w:r>
      <w:r w:rsidRPr="000F2D4C">
        <w:t xml:space="preserve"> and local levels (where data </w:t>
      </w:r>
      <w:r w:rsidR="1E6FD04C" w:rsidRPr="000F2D4C">
        <w:t xml:space="preserve">is </w:t>
      </w:r>
      <w:r w:rsidRPr="000F2D4C">
        <w:t>available).</w:t>
      </w:r>
      <w:r w:rsidRPr="000F2D4C">
        <w:rPr>
          <w:rStyle w:val="Hyperlink"/>
        </w:rPr>
        <w:t xml:space="preserve">  </w:t>
      </w:r>
    </w:p>
    <w:p w14:paraId="5F773016" w14:textId="1EEB820B" w:rsidR="00E22741" w:rsidRPr="000F2D4C" w:rsidRDefault="00E22741" w:rsidP="00FC2CEE">
      <w:pPr>
        <w:pStyle w:val="ListParagraph"/>
        <w:numPr>
          <w:ilvl w:val="0"/>
          <w:numId w:val="24"/>
        </w:numPr>
        <w:rPr>
          <w:rStyle w:val="Hyperlink"/>
          <w:color w:val="auto"/>
          <w:u w:val="none"/>
        </w:rPr>
      </w:pPr>
      <w:r w:rsidRPr="000F2D4C">
        <w:t xml:space="preserve">The </w:t>
      </w:r>
      <w:hyperlink r:id="rId120">
        <w:r w:rsidRPr="000F2D4C">
          <w:rPr>
            <w:rStyle w:val="Hyperlink"/>
            <w:b/>
            <w:bCs/>
          </w:rPr>
          <w:t>Aboriginal and Torres Strait Islander Health Performance Framework</w:t>
        </w:r>
      </w:hyperlink>
      <w:r w:rsidRPr="000F2D4C">
        <w:rPr>
          <w:b/>
          <w:bCs/>
        </w:rPr>
        <w:t>,</w:t>
      </w:r>
      <w:r w:rsidRPr="000F2D4C">
        <w:t xml:space="preserve"> which brings together information from numerous sources to provide a comprehensive, up-to-date view of the state of Aboriginal and Torres Strait Islander health outcomes, health system performance</w:t>
      </w:r>
      <w:r w:rsidR="3D9A1B34" w:rsidRPr="000F2D4C">
        <w:t>,</w:t>
      </w:r>
      <w:r w:rsidRPr="000F2D4C">
        <w:t xml:space="preserve"> and the broader determinants of health in one area. It is designed to inform policy, planning, program development</w:t>
      </w:r>
      <w:r w:rsidR="6AA1CF05" w:rsidRPr="000F2D4C">
        <w:t>,</w:t>
      </w:r>
      <w:r w:rsidRPr="000F2D4C">
        <w:t xml:space="preserve"> and research. </w:t>
      </w:r>
    </w:p>
    <w:p w14:paraId="7A7CB73F" w14:textId="01B2C003" w:rsidR="00E22741" w:rsidRPr="000F2D4C" w:rsidRDefault="00E22741" w:rsidP="00FC2CEE">
      <w:pPr>
        <w:pStyle w:val="ListParagraph"/>
        <w:numPr>
          <w:ilvl w:val="0"/>
          <w:numId w:val="24"/>
        </w:numPr>
      </w:pPr>
      <w:r w:rsidRPr="000F2D4C">
        <w:t xml:space="preserve">The Productivity Commission’s </w:t>
      </w:r>
      <w:hyperlink r:id="rId121">
        <w:r w:rsidRPr="000F2D4C">
          <w:rPr>
            <w:rStyle w:val="Hyperlink"/>
            <w:b/>
            <w:bCs/>
          </w:rPr>
          <w:t>Indigenous Evaluation Strategy</w:t>
        </w:r>
      </w:hyperlink>
      <w:r w:rsidRPr="000F2D4C">
        <w:rPr>
          <w:b/>
          <w:bCs/>
        </w:rPr>
        <w:t>,</w:t>
      </w:r>
      <w:r w:rsidRPr="000F2D4C">
        <w:t xml:space="preserve"> which provides a whole-of-government framework for Australian Government agencies to use when selecting, planning, conducting</w:t>
      </w:r>
      <w:r w:rsidR="3A4810A9" w:rsidRPr="000F2D4C">
        <w:t>,</w:t>
      </w:r>
      <w:r w:rsidRPr="000F2D4C">
        <w:t xml:space="preserve"> and using evaluations of policies and programs affecting Aboriginal and Torres Strait Islander people. The Strategy puts Aboriginal and Torres Strait Islander people at its centre. It recognises the need to draw on the perspectives, priorities</w:t>
      </w:r>
      <w:r w:rsidR="415E1CB0" w:rsidRPr="000F2D4C">
        <w:t>,</w:t>
      </w:r>
      <w:r w:rsidRPr="000F2D4C">
        <w:t xml:space="preserve"> and knowledges of Aboriginal and Torres Strait Islander people if outcomes are to be improved. </w:t>
      </w:r>
    </w:p>
    <w:p w14:paraId="1D8EE460" w14:textId="77777777" w:rsidR="00E22741" w:rsidRPr="000F2D4C" w:rsidRDefault="00E22741" w:rsidP="00FC2CEE">
      <w:pPr>
        <w:pStyle w:val="ListParagraph"/>
        <w:numPr>
          <w:ilvl w:val="0"/>
          <w:numId w:val="24"/>
        </w:numPr>
      </w:pPr>
      <w:hyperlink r:id="rId122" w:history="1">
        <w:r w:rsidRPr="000F2D4C">
          <w:rPr>
            <w:rStyle w:val="Hyperlink"/>
            <w:b/>
            <w:bCs/>
          </w:rPr>
          <w:t>Closing the Gap</w:t>
        </w:r>
      </w:hyperlink>
      <w:r w:rsidRPr="000F2D4C">
        <w:t xml:space="preserve"> commitments and measures, which recognises the changes required in the way governments work with Aboriginal and Torres Strait Islander communities to close the gap, and tracks progress on key measures.</w:t>
      </w:r>
    </w:p>
    <w:p w14:paraId="0DDBED5A" w14:textId="09C3DC85" w:rsidR="00E22741" w:rsidRPr="000F2D4C" w:rsidRDefault="00E22741" w:rsidP="00FC2CEE">
      <w:pPr>
        <w:pStyle w:val="ListParagraph"/>
        <w:numPr>
          <w:ilvl w:val="0"/>
          <w:numId w:val="24"/>
        </w:numPr>
        <w:rPr>
          <w:rStyle w:val="field-content"/>
        </w:rPr>
      </w:pPr>
      <w:r w:rsidRPr="000F2D4C">
        <w:t xml:space="preserve">The </w:t>
      </w:r>
      <w:hyperlink r:id="rId123">
        <w:r w:rsidRPr="000F2D4C">
          <w:rPr>
            <w:rStyle w:val="Hyperlink"/>
            <w:b/>
            <w:bCs/>
          </w:rPr>
          <w:t>National Strategic Framework for Aboriginal and Torres Strait Islander Peoples’ Mental Health and Social and Emotional Wellbeing 2017–2023</w:t>
        </w:r>
      </w:hyperlink>
      <w:r w:rsidRPr="000F2D4C">
        <w:t xml:space="preserve">. </w:t>
      </w:r>
      <w:r w:rsidRPr="000F2D4C">
        <w:rPr>
          <w:rStyle w:val="field-content"/>
        </w:rPr>
        <w:t xml:space="preserve">This Framework has a dedicated focus on Aboriginal and Torres Strait Islander </w:t>
      </w:r>
      <w:r w:rsidR="023D8E35" w:rsidRPr="000F2D4C">
        <w:rPr>
          <w:rStyle w:val="field-content"/>
        </w:rPr>
        <w:t xml:space="preserve">people’s </w:t>
      </w:r>
      <w:r w:rsidRPr="000F2D4C">
        <w:rPr>
          <w:rStyle w:val="field-content"/>
        </w:rPr>
        <w:t>social and emotional wellbeing and mental health. It sets out a comprehensive and culturally appropriate stepped care model that is equally applicable to both Indigenous</w:t>
      </w:r>
      <w:r w:rsidR="3653FC92" w:rsidRPr="000F2D4C">
        <w:rPr>
          <w:rStyle w:val="field-content"/>
        </w:rPr>
        <w:t>-</w:t>
      </w:r>
      <w:r w:rsidRPr="000F2D4C">
        <w:rPr>
          <w:rStyle w:val="field-content"/>
        </w:rPr>
        <w:t xml:space="preserve">specific and mainstream health services. </w:t>
      </w:r>
    </w:p>
    <w:p w14:paraId="0E1E486B" w14:textId="1D6AF467" w:rsidR="00E22741" w:rsidRPr="000F2D4C" w:rsidRDefault="00E22741" w:rsidP="00FC2CEE">
      <w:pPr>
        <w:pStyle w:val="ListParagraph"/>
        <w:numPr>
          <w:ilvl w:val="0"/>
          <w:numId w:val="24"/>
        </w:numPr>
      </w:pPr>
      <w:hyperlink r:id="rId124">
        <w:r w:rsidRPr="000F2D4C">
          <w:rPr>
            <w:rStyle w:val="Hyperlink"/>
            <w:b/>
            <w:bCs/>
          </w:rPr>
          <w:t>Solutions th</w:t>
        </w:r>
        <w:r w:rsidR="00702C13" w:rsidRPr="000F2D4C">
          <w:rPr>
            <w:rStyle w:val="Hyperlink"/>
            <w:b/>
            <w:bCs/>
          </w:rPr>
          <w:t>at</w:t>
        </w:r>
        <w:r w:rsidRPr="000F2D4C">
          <w:rPr>
            <w:rStyle w:val="Hyperlink"/>
            <w:b/>
            <w:bCs/>
          </w:rPr>
          <w:t xml:space="preserve"> work: What the evidence and our people tell us, Aboriginal and Torres Strait Islander Suicide Prevention Evaluation Project Report</w:t>
        </w:r>
      </w:hyperlink>
      <w:r w:rsidRPr="000F2D4C">
        <w:rPr>
          <w:rStyle w:val="field-content"/>
          <w:b/>
          <w:bCs/>
        </w:rPr>
        <w:t>,</w:t>
      </w:r>
      <w:r w:rsidRPr="000F2D4C">
        <w:rPr>
          <w:rStyle w:val="field-content"/>
        </w:rPr>
        <w:t xml:space="preserve"> which identifies success factors for Aboriginal and Torres Strait Islander Suicide Prevention, suggests a framework for evaluating these </w:t>
      </w:r>
      <w:r w:rsidR="005F5F14" w:rsidRPr="000F2D4C">
        <w:rPr>
          <w:rStyle w:val="field-content"/>
        </w:rPr>
        <w:t>programs</w:t>
      </w:r>
      <w:r w:rsidRPr="000F2D4C">
        <w:rPr>
          <w:rStyle w:val="field-content"/>
        </w:rPr>
        <w:t>, and recommends the use of participatory action research for future suicide prevention research in Aboriginal and Torres Strait Islander communities</w:t>
      </w:r>
      <w:r w:rsidR="00CF5FC8" w:rsidRPr="000F2D4C">
        <w:rPr>
          <w:rStyle w:val="field-content"/>
        </w:rPr>
        <w:t>.</w:t>
      </w:r>
    </w:p>
    <w:p w14:paraId="1B6F4339" w14:textId="31CAAF87" w:rsidR="00652571" w:rsidRPr="000F2D4C" w:rsidRDefault="00652571" w:rsidP="00652571">
      <w:pPr>
        <w:pStyle w:val="Appendix"/>
      </w:pPr>
      <w:bookmarkStart w:id="98" w:name="_Toc149919014"/>
      <w:r w:rsidRPr="000F2D4C">
        <w:lastRenderedPageBreak/>
        <w:t>Engaging lived and</w:t>
      </w:r>
      <w:r w:rsidR="5F863BBC" w:rsidRPr="000F2D4C">
        <w:t>/or</w:t>
      </w:r>
      <w:r w:rsidRPr="000F2D4C">
        <w:t xml:space="preserve"> living experience team members</w:t>
      </w:r>
      <w:bookmarkEnd w:id="98"/>
    </w:p>
    <w:p w14:paraId="1672A48C" w14:textId="77777777" w:rsidR="00652571" w:rsidRPr="000F2D4C" w:rsidRDefault="00652571" w:rsidP="00652571">
      <w:pPr>
        <w:pStyle w:val="Appendix2"/>
      </w:pPr>
      <w:bookmarkStart w:id="99" w:name="_Toc146206774"/>
      <w:bookmarkStart w:id="100" w:name="_Toc149919015"/>
      <w:r w:rsidRPr="000F2D4C">
        <w:t>Key principles</w:t>
      </w:r>
      <w:bookmarkEnd w:id="99"/>
      <w:bookmarkEnd w:id="100"/>
      <w:r w:rsidRPr="000F2D4C">
        <w:t xml:space="preserve"> </w:t>
      </w:r>
    </w:p>
    <w:p w14:paraId="471F433C" w14:textId="08D55591" w:rsidR="00652571" w:rsidRPr="000F2D4C" w:rsidRDefault="00652571" w:rsidP="00652571">
      <w:r w:rsidRPr="000F2D4C">
        <w:t xml:space="preserve">Key principles </w:t>
      </w:r>
      <w:r w:rsidR="6AE1EE0B" w:rsidRPr="000F2D4C">
        <w:t xml:space="preserve">that </w:t>
      </w:r>
      <w:r w:rsidRPr="000F2D4C">
        <w:t xml:space="preserve">evaluators should follow when engaging with people with </w:t>
      </w:r>
      <w:r w:rsidR="001C4841" w:rsidRPr="000F2D4C">
        <w:t xml:space="preserve">lived and/or living experience </w:t>
      </w:r>
      <w:r w:rsidRPr="000F2D4C">
        <w:t>as team members in evaluation</w:t>
      </w:r>
      <w:r w:rsidR="75C91217" w:rsidRPr="000F2D4C">
        <w:t>,</w:t>
      </w:r>
      <w:r w:rsidRPr="000F2D4C">
        <w:t xml:space="preserve"> include</w:t>
      </w:r>
      <w:r w:rsidRPr="000F2D4C">
        <w:rPr>
          <w:rStyle w:val="FootnoteReference"/>
        </w:rPr>
        <w:footnoteReference w:id="52"/>
      </w:r>
      <w:r w:rsidRPr="000F2D4C">
        <w:rPr>
          <w:vertAlign w:val="superscript"/>
        </w:rPr>
        <w:t>,</w:t>
      </w:r>
      <w:r w:rsidRPr="000F2D4C">
        <w:rPr>
          <w:rStyle w:val="FootnoteReference"/>
        </w:rPr>
        <w:footnoteReference w:id="53"/>
      </w:r>
      <w:r w:rsidRPr="000F2D4C">
        <w:t>:</w:t>
      </w:r>
    </w:p>
    <w:p w14:paraId="15632D5D" w14:textId="55E02901" w:rsidR="00652571" w:rsidRPr="000F2D4C" w:rsidRDefault="00652571" w:rsidP="00652571">
      <w:pPr>
        <w:pStyle w:val="ListBullet"/>
      </w:pPr>
      <w:r w:rsidRPr="000F2D4C">
        <w:rPr>
          <w:b/>
          <w:bCs/>
        </w:rPr>
        <w:t>Flexibility</w:t>
      </w:r>
      <w:r w:rsidRPr="000F2D4C">
        <w:t>:</w:t>
      </w:r>
      <w:r w:rsidRPr="000F2D4C">
        <w:rPr>
          <w:b/>
          <w:bCs/>
        </w:rPr>
        <w:t xml:space="preserve"> </w:t>
      </w:r>
      <w:r w:rsidRPr="000F2D4C">
        <w:t xml:space="preserve">Team members with </w:t>
      </w:r>
      <w:r w:rsidR="625A15B2" w:rsidRPr="000F2D4C">
        <w:t>lived and/or living experience</w:t>
      </w:r>
      <w:r w:rsidRPr="000F2D4C">
        <w:t xml:space="preserve"> can choose how and when (e.g.</w:t>
      </w:r>
      <w:r w:rsidR="7FCFE582" w:rsidRPr="000F2D4C">
        <w:t>,</w:t>
      </w:r>
      <w:r w:rsidRPr="000F2D4C">
        <w:t xml:space="preserve"> at which stages of an evaluation) they want to be involved, balanced with the needs of the evaluation.</w:t>
      </w:r>
    </w:p>
    <w:p w14:paraId="00E2B45C" w14:textId="5771342B" w:rsidR="00FD38FA" w:rsidRPr="00FD38FA" w:rsidRDefault="368AE749" w:rsidP="00FD38FA">
      <w:pPr>
        <w:pStyle w:val="ListBullet"/>
      </w:pPr>
      <w:r w:rsidRPr="000F2D4C">
        <w:rPr>
          <w:b/>
          <w:bCs/>
        </w:rPr>
        <w:t>Accessibility and inclusion</w:t>
      </w:r>
      <w:r w:rsidRPr="000F2D4C">
        <w:t xml:space="preserve">: </w:t>
      </w:r>
      <w:r w:rsidR="00FD38FA" w:rsidRPr="00FD38FA">
        <w:t>All stages of the evaluation are accessible to and inclusive of people with diverse LLE. LLE is understood and valued in terms of its diversity</w:t>
      </w:r>
      <w:r w:rsidR="005222A2">
        <w:t>.</w:t>
      </w:r>
      <w:r w:rsidR="00FD38FA" w:rsidRPr="00FD38FA">
        <w:t> </w:t>
      </w:r>
    </w:p>
    <w:p w14:paraId="021279B8" w14:textId="67939622" w:rsidR="00652571" w:rsidRPr="000F2D4C" w:rsidRDefault="00652571" w:rsidP="00652571">
      <w:pPr>
        <w:pStyle w:val="ListBullet"/>
      </w:pPr>
      <w:r w:rsidRPr="000F2D4C">
        <w:rPr>
          <w:b/>
          <w:bCs/>
        </w:rPr>
        <w:t>Communication:</w:t>
      </w:r>
      <w:r w:rsidRPr="000F2D4C">
        <w:t xml:space="preserve"> Communication with team members with LLE is regular, accessible, and uses appropriate and accessible language.</w:t>
      </w:r>
    </w:p>
    <w:p w14:paraId="19D42957" w14:textId="00C6B468" w:rsidR="00652571" w:rsidRPr="000F2D4C" w:rsidRDefault="00652571" w:rsidP="00652571">
      <w:pPr>
        <w:pStyle w:val="ListBullet"/>
      </w:pPr>
      <w:r w:rsidRPr="000F2D4C">
        <w:rPr>
          <w:b/>
          <w:bCs/>
        </w:rPr>
        <w:t>Transparency:</w:t>
      </w:r>
      <w:r w:rsidRPr="000F2D4C">
        <w:t xml:space="preserve"> Clear roles are defined and team members with LLE are informed about the scope of the engagement and boundaries of what is possible to achieve. </w:t>
      </w:r>
    </w:p>
    <w:p w14:paraId="7B42A980" w14:textId="747630BC" w:rsidR="00652571" w:rsidRPr="000F2D4C" w:rsidRDefault="00652571" w:rsidP="00652571">
      <w:pPr>
        <w:pStyle w:val="ListBullet"/>
      </w:pPr>
      <w:r w:rsidRPr="000F2D4C">
        <w:rPr>
          <w:b/>
          <w:bCs/>
        </w:rPr>
        <w:t>Supportive and empowering:</w:t>
      </w:r>
      <w:r w:rsidRPr="000F2D4C">
        <w:t xml:space="preserve"> Power dynamics are considered and actively managed. Team members with LLE receive the emotional and practical support they may require to be successful and are supported to </w:t>
      </w:r>
      <w:r w:rsidR="5ECB50D9" w:rsidRPr="000F2D4C">
        <w:t>practi</w:t>
      </w:r>
      <w:r w:rsidRPr="000F2D4C">
        <w:t>s</w:t>
      </w:r>
      <w:r w:rsidR="5ECB50D9" w:rsidRPr="000F2D4C">
        <w:t>e</w:t>
      </w:r>
      <w:r w:rsidRPr="000F2D4C">
        <w:t xml:space="preserve"> self-care.  </w:t>
      </w:r>
    </w:p>
    <w:p w14:paraId="476D7B80" w14:textId="22C85B39" w:rsidR="00652571" w:rsidRPr="000F2D4C" w:rsidRDefault="00652571" w:rsidP="00652571">
      <w:pPr>
        <w:pStyle w:val="ListBullet"/>
      </w:pPr>
      <w:r w:rsidRPr="000F2D4C">
        <w:rPr>
          <w:b/>
          <w:bCs/>
        </w:rPr>
        <w:t>Mutually beneficial:</w:t>
      </w:r>
      <w:r w:rsidRPr="000F2D4C">
        <w:t xml:space="preserve"> Involvement is arguably as beneficial to people with LLE as it is to the organisation or evaluation itself. Team members with LLE are adequately remunerated for their time and expertise, given opportunities to further develop their skills, and work closely with evaluators to build lasting relationships and opportunities for future engagement. </w:t>
      </w:r>
    </w:p>
    <w:p w14:paraId="4E27BBD6" w14:textId="77777777" w:rsidR="00652571" w:rsidRPr="000F2D4C" w:rsidRDefault="00652571" w:rsidP="00652571">
      <w:pPr>
        <w:pStyle w:val="ListBullet"/>
        <w:numPr>
          <w:ilvl w:val="0"/>
          <w:numId w:val="0"/>
        </w:numPr>
        <w:ind w:left="360" w:hanging="360"/>
      </w:pPr>
    </w:p>
    <w:p w14:paraId="655DCE84" w14:textId="77777777" w:rsidR="00652571" w:rsidRPr="000F2D4C" w:rsidRDefault="00652571" w:rsidP="00652571">
      <w:pPr>
        <w:pStyle w:val="Quote"/>
        <w:rPr>
          <w:i w:val="0"/>
          <w:iCs w:val="0"/>
        </w:rPr>
      </w:pPr>
      <w:r w:rsidRPr="000F2D4C">
        <w:t>“Ultimately, it is not solely a person’s lived experience that matters, but the humanity and self brought to each interaction and experience and how they are supported to contribute to or lead the planning, design, implementation and evaluation of changes they seek in an ongoing way.”</w:t>
      </w:r>
      <w:r w:rsidRPr="000F2D4C">
        <w:rPr>
          <w:rStyle w:val="FootnoteReference"/>
        </w:rPr>
        <w:footnoteReference w:id="54"/>
      </w:r>
      <w:r w:rsidRPr="000F2D4C">
        <w:t xml:space="preserve"> </w:t>
      </w:r>
    </w:p>
    <w:p w14:paraId="5AC88C9F" w14:textId="77777777" w:rsidR="00652571" w:rsidRPr="000F2D4C" w:rsidRDefault="00652571" w:rsidP="00652571">
      <w:pPr>
        <w:pStyle w:val="Appendix2"/>
      </w:pPr>
      <w:bookmarkStart w:id="101" w:name="_Toc146206775"/>
      <w:bookmarkStart w:id="102" w:name="_Toc149919016"/>
      <w:r w:rsidRPr="000F2D4C">
        <w:t>Readiness</w:t>
      </w:r>
      <w:bookmarkEnd w:id="101"/>
      <w:bookmarkEnd w:id="102"/>
    </w:p>
    <w:p w14:paraId="5AC79477" w14:textId="0CE92410" w:rsidR="00652571" w:rsidRPr="000F2D4C" w:rsidRDefault="00652571" w:rsidP="00652571">
      <w:r w:rsidRPr="000F2D4C">
        <w:t xml:space="preserve">Engaging team members with LLE will work best when the right conditions are in place. Evaluation teams and funding organisations should consider their own readiness for working </w:t>
      </w:r>
      <w:r w:rsidRPr="000F2D4C">
        <w:lastRenderedPageBreak/>
        <w:t xml:space="preserve">with team members with </w:t>
      </w:r>
      <w:r w:rsidR="747F7B4B" w:rsidRPr="000F2D4C">
        <w:t>lived and/or living experience</w:t>
      </w:r>
      <w:r w:rsidR="368AE749" w:rsidRPr="000F2D4C">
        <w:t>.</w:t>
      </w:r>
      <w:r w:rsidRPr="000F2D4C">
        <w:rPr>
          <w:rStyle w:val="FootnoteReference"/>
        </w:rPr>
        <w:footnoteReference w:id="55"/>
      </w:r>
      <w:r w:rsidRPr="000F2D4C">
        <w:t xml:space="preserve"> </w:t>
      </w:r>
      <w:r w:rsidR="002D5A48" w:rsidRPr="000F2D4C">
        <w:t xml:space="preserve">This includes </w:t>
      </w:r>
      <w:r w:rsidR="00667330" w:rsidRPr="000F2D4C">
        <w:t>aligning with existing organisational policies and framework</w:t>
      </w:r>
      <w:r w:rsidR="00471BBD" w:rsidRPr="000F2D4C">
        <w:t>s</w:t>
      </w:r>
      <w:r w:rsidR="00667330" w:rsidRPr="000F2D4C">
        <w:t xml:space="preserve"> </w:t>
      </w:r>
      <w:r w:rsidR="00471BBD" w:rsidRPr="000F2D4C">
        <w:t>that</w:t>
      </w:r>
      <w:r w:rsidR="00667330" w:rsidRPr="000F2D4C">
        <w:t xml:space="preserve"> promote diversity and inclusion. </w:t>
      </w:r>
      <w:r w:rsidRPr="000F2D4C">
        <w:t>Factors that contribute to organisational readiness include:</w:t>
      </w:r>
    </w:p>
    <w:p w14:paraId="359777DE" w14:textId="7EA25D2C" w:rsidR="00652571" w:rsidRPr="000F2D4C" w:rsidRDefault="00652571" w:rsidP="00FC2CEE">
      <w:pPr>
        <w:pStyle w:val="ListBullet"/>
        <w:numPr>
          <w:ilvl w:val="0"/>
          <w:numId w:val="16"/>
        </w:numPr>
      </w:pPr>
      <w:r w:rsidRPr="000F2D4C">
        <w:t xml:space="preserve">leadership supportive of the engagement of people with </w:t>
      </w:r>
      <w:r w:rsidR="1D79EAC6" w:rsidRPr="000F2D4C">
        <w:t>lived and/or living experience</w:t>
      </w:r>
      <w:r w:rsidRPr="000F2D4C">
        <w:t xml:space="preserve"> and committed to centring their views</w:t>
      </w:r>
      <w:r w:rsidR="00B04E87" w:rsidRPr="000F2D4C">
        <w:t xml:space="preserve">, including leaders representing </w:t>
      </w:r>
      <w:r w:rsidR="13D38508" w:rsidRPr="000F2D4C">
        <w:t>lived and/or living experience</w:t>
      </w:r>
      <w:r w:rsidR="00B04E87" w:rsidRPr="000F2D4C">
        <w:t xml:space="preserve"> perspectives themselves </w:t>
      </w:r>
    </w:p>
    <w:p w14:paraId="0EDE42F0" w14:textId="43F16E54" w:rsidR="00652571" w:rsidRPr="000F2D4C" w:rsidRDefault="00652571" w:rsidP="00FC2CEE">
      <w:pPr>
        <w:pStyle w:val="ListBullet"/>
        <w:numPr>
          <w:ilvl w:val="0"/>
          <w:numId w:val="16"/>
        </w:numPr>
      </w:pPr>
      <w:r w:rsidRPr="000F2D4C">
        <w:t xml:space="preserve">open-mindedness to considering </w:t>
      </w:r>
      <w:r w:rsidR="00091B91" w:rsidRPr="000F2D4C">
        <w:t>lived and</w:t>
      </w:r>
      <w:r w:rsidR="6A425223" w:rsidRPr="000F2D4C">
        <w:t>/or</w:t>
      </w:r>
      <w:r w:rsidR="00091B91" w:rsidRPr="000F2D4C">
        <w:t xml:space="preserve"> living experience </w:t>
      </w:r>
      <w:r w:rsidRPr="000F2D4C">
        <w:t>viewpoints</w:t>
      </w:r>
      <w:r w:rsidR="614AD74B" w:rsidRPr="000F2D4C">
        <w:t>,</w:t>
      </w:r>
      <w:r w:rsidRPr="000F2D4C">
        <w:t xml:space="preserve"> and to </w:t>
      </w:r>
      <w:r w:rsidR="6981D439" w:rsidRPr="000F2D4C">
        <w:t xml:space="preserve">people with </w:t>
      </w:r>
      <w:r w:rsidR="544BDA78" w:rsidRPr="000F2D4C">
        <w:t>lived and/or living experience</w:t>
      </w:r>
      <w:r w:rsidRPr="000F2D4C">
        <w:t xml:space="preserve"> shaping evaluation in a meaningful way</w:t>
      </w:r>
    </w:p>
    <w:p w14:paraId="60777CDD" w14:textId="3C7B2231" w:rsidR="00603C26" w:rsidRPr="000F2D4C" w:rsidRDefault="00652571" w:rsidP="00652571">
      <w:pPr>
        <w:pStyle w:val="ListBullet"/>
        <w:numPr>
          <w:ilvl w:val="0"/>
          <w:numId w:val="16"/>
        </w:numPr>
      </w:pPr>
      <w:r w:rsidRPr="000F2D4C">
        <w:t xml:space="preserve">clear expectations about the role of </w:t>
      </w:r>
      <w:r w:rsidR="5B66E7EF" w:rsidRPr="000F2D4C">
        <w:t xml:space="preserve">people with </w:t>
      </w:r>
      <w:r w:rsidR="56928226" w:rsidRPr="000F2D4C">
        <w:t xml:space="preserve">lived and/or living experience </w:t>
      </w:r>
      <w:r w:rsidRPr="000F2D4C">
        <w:t xml:space="preserve">that value the perspectives </w:t>
      </w:r>
      <w:r w:rsidR="00E04DB8" w:rsidRPr="000F2D4C">
        <w:t xml:space="preserve">people with lived and/or living experience </w:t>
      </w:r>
      <w:r w:rsidRPr="000F2D4C">
        <w:t>bring</w:t>
      </w:r>
    </w:p>
    <w:p w14:paraId="7FBAA901" w14:textId="132DD600" w:rsidR="00652571" w:rsidRPr="000F2D4C" w:rsidRDefault="00603C26" w:rsidP="00FC2CEE">
      <w:pPr>
        <w:pStyle w:val="ListBullet"/>
        <w:numPr>
          <w:ilvl w:val="0"/>
          <w:numId w:val="16"/>
        </w:numPr>
      </w:pPr>
      <w:r w:rsidRPr="000F2D4C">
        <w:t>a commitment to learning and flexing over time if needed</w:t>
      </w:r>
    </w:p>
    <w:p w14:paraId="36F297EE" w14:textId="14F5A9E8" w:rsidR="00652571" w:rsidRPr="000F2D4C" w:rsidRDefault="00652571" w:rsidP="00FC2CEE">
      <w:pPr>
        <w:pStyle w:val="ListBullet"/>
        <w:numPr>
          <w:ilvl w:val="0"/>
          <w:numId w:val="16"/>
        </w:numPr>
      </w:pPr>
      <w:r w:rsidRPr="000F2D4C">
        <w:t>operational systems support collaboration (e.g.</w:t>
      </w:r>
      <w:r w:rsidR="375B15E2" w:rsidRPr="000F2D4C">
        <w:t>,</w:t>
      </w:r>
      <w:r w:rsidRPr="000F2D4C">
        <w:t xml:space="preserve"> shared editing of documents)</w:t>
      </w:r>
    </w:p>
    <w:p w14:paraId="13BB5603" w14:textId="6B06B8B6" w:rsidR="00652571" w:rsidRPr="000F2D4C" w:rsidRDefault="00652571" w:rsidP="00FC2CEE">
      <w:pPr>
        <w:pStyle w:val="ListBullet"/>
        <w:numPr>
          <w:ilvl w:val="0"/>
          <w:numId w:val="16"/>
        </w:numPr>
      </w:pPr>
      <w:r w:rsidRPr="000F2D4C">
        <w:t xml:space="preserve">appropriate resourcing </w:t>
      </w:r>
      <w:r w:rsidR="008968AE" w:rsidRPr="000F2D4C">
        <w:t xml:space="preserve">(including </w:t>
      </w:r>
      <w:r w:rsidR="00963B1F" w:rsidRPr="000F2D4C">
        <w:t xml:space="preserve">remuneration) </w:t>
      </w:r>
      <w:r w:rsidRPr="000F2D4C">
        <w:t xml:space="preserve">for </w:t>
      </w:r>
      <w:r w:rsidR="1FD0101A" w:rsidRPr="000F2D4C">
        <w:t>lived and/or living experience</w:t>
      </w:r>
      <w:r w:rsidRPr="000F2D4C">
        <w:t xml:space="preserve"> team members and for broader evaluation team members to take the time to effectively engage </w:t>
      </w:r>
      <w:r w:rsidR="39E287BF" w:rsidRPr="000F2D4C">
        <w:t>lived and/or living experience</w:t>
      </w:r>
      <w:r w:rsidR="146F707F" w:rsidRPr="000F2D4C">
        <w:t xml:space="preserve"> perspectives</w:t>
      </w:r>
    </w:p>
    <w:p w14:paraId="14DF6EAF" w14:textId="77777777" w:rsidR="00652571" w:rsidRPr="000F2D4C" w:rsidRDefault="00652571" w:rsidP="00FC2CEE">
      <w:pPr>
        <w:pStyle w:val="ListBullet"/>
        <w:numPr>
          <w:ilvl w:val="0"/>
          <w:numId w:val="16"/>
        </w:numPr>
      </w:pPr>
      <w:r w:rsidRPr="000F2D4C">
        <w:t>appropriate resourcing and training for evaluation team members</w:t>
      </w:r>
    </w:p>
    <w:p w14:paraId="5AA5EEE3" w14:textId="77777777" w:rsidR="00652571" w:rsidRPr="000F2D4C" w:rsidRDefault="00652571" w:rsidP="00FC2CEE">
      <w:pPr>
        <w:pStyle w:val="ListBullet"/>
        <w:numPr>
          <w:ilvl w:val="0"/>
          <w:numId w:val="16"/>
        </w:numPr>
        <w:rPr>
          <w:rFonts w:ascii="Segoe UI" w:hAnsi="Segoe UI"/>
        </w:rPr>
      </w:pPr>
      <w:r w:rsidRPr="000F2D4C">
        <w:rPr>
          <w:rFonts w:ascii="Segoe UI" w:hAnsi="Segoe UI"/>
        </w:rPr>
        <w:t>training for broader evaluation team members, for example, to effectively manage any challenging thoughts that may emerge in mental health discussions</w:t>
      </w:r>
    </w:p>
    <w:p w14:paraId="2ACA66F6" w14:textId="77777777" w:rsidR="00652571" w:rsidRPr="000F2D4C" w:rsidRDefault="00652571" w:rsidP="00FC2CEE">
      <w:pPr>
        <w:pStyle w:val="ListBullet"/>
        <w:numPr>
          <w:ilvl w:val="0"/>
          <w:numId w:val="16"/>
        </w:numPr>
        <w:spacing w:after="240"/>
        <w:rPr>
          <w:rFonts w:ascii="Segoe UI" w:hAnsi="Segoe UI"/>
        </w:rPr>
      </w:pPr>
      <w:r w:rsidRPr="000F2D4C">
        <w:rPr>
          <w:rFonts w:ascii="Segoe UI" w:hAnsi="Segoe UI"/>
        </w:rPr>
        <w:t xml:space="preserve">adequate human resource strategies and resources to deal with any associated stigma or discriminatory practice that may emerge. </w:t>
      </w:r>
    </w:p>
    <w:p w14:paraId="31DCC5CF" w14:textId="04945D9B" w:rsidR="00652571" w:rsidRPr="000F2D4C" w:rsidRDefault="00652571" w:rsidP="00652571">
      <w:r w:rsidRPr="000F2D4C">
        <w:t xml:space="preserve">Teams can also provide resources to support people with </w:t>
      </w:r>
      <w:r w:rsidR="32BDD79E" w:rsidRPr="000F2D4C">
        <w:t>lived and/or living experience</w:t>
      </w:r>
      <w:r w:rsidRPr="000F2D4C">
        <w:t xml:space="preserve"> to consider their preparedness to be part of an evaluation team. </w:t>
      </w:r>
      <w:r w:rsidR="005B7773" w:rsidRPr="000F2D4C">
        <w:t xml:space="preserve">People with lived and/or living experience identified three key aspects </w:t>
      </w:r>
      <w:r w:rsidR="00511EB6" w:rsidRPr="000F2D4C">
        <w:t xml:space="preserve">of readiness people </w:t>
      </w:r>
      <w:r w:rsidR="008A0E76" w:rsidRPr="000F2D4C">
        <w:t xml:space="preserve">should consider </w:t>
      </w:r>
      <w:r w:rsidR="005174BB" w:rsidRPr="000F2D4C">
        <w:t xml:space="preserve">when deciding whether to </w:t>
      </w:r>
      <w:r w:rsidR="009F7ADF" w:rsidRPr="000F2D4C">
        <w:t>take on a</w:t>
      </w:r>
      <w:r w:rsidR="006B331D" w:rsidRPr="000F2D4C">
        <w:t xml:space="preserve"> lived and/or living experience role in </w:t>
      </w:r>
      <w:r w:rsidR="009F7ADF" w:rsidRPr="000F2D4C">
        <w:t>evaluation</w:t>
      </w:r>
      <w:r w:rsidRPr="000F2D4C">
        <w:t xml:space="preserve">: </w:t>
      </w:r>
    </w:p>
    <w:p w14:paraId="7D9D52E3" w14:textId="56042205" w:rsidR="00652571" w:rsidRPr="000F2D4C" w:rsidRDefault="00652571" w:rsidP="00FC2CEE">
      <w:pPr>
        <w:pStyle w:val="ListBullet"/>
        <w:numPr>
          <w:ilvl w:val="0"/>
          <w:numId w:val="16"/>
        </w:numPr>
      </w:pPr>
      <w:r w:rsidRPr="000F2D4C">
        <w:rPr>
          <w:b/>
          <w:bCs/>
        </w:rPr>
        <w:t>emotional readiness</w:t>
      </w:r>
      <w:r w:rsidRPr="000F2D4C">
        <w:t xml:space="preserve">: anxiety </w:t>
      </w:r>
      <w:r w:rsidR="00B10CC8" w:rsidRPr="000F2D4C">
        <w:t xml:space="preserve">or uncertainty </w:t>
      </w:r>
      <w:r w:rsidRPr="000F2D4C">
        <w:t>about the process</w:t>
      </w:r>
      <w:r w:rsidR="005453D8" w:rsidRPr="000F2D4C">
        <w:t>;</w:t>
      </w:r>
      <w:r w:rsidRPr="000F2D4C">
        <w:t xml:space="preserve"> mental and emotional capacity to take on the work</w:t>
      </w:r>
      <w:r w:rsidR="005453D8" w:rsidRPr="000F2D4C">
        <w:t>;</w:t>
      </w:r>
      <w:r w:rsidRPr="000F2D4C">
        <w:t xml:space="preserve"> time since </w:t>
      </w:r>
      <w:r w:rsidR="005453D8" w:rsidRPr="000F2D4C">
        <w:t xml:space="preserve">trauma, </w:t>
      </w:r>
      <w:r w:rsidRPr="000F2D4C">
        <w:t>suicide attempt</w:t>
      </w:r>
      <w:r w:rsidR="350343AA" w:rsidRPr="000F2D4C">
        <w:t>,</w:t>
      </w:r>
      <w:r w:rsidRPr="000F2D4C">
        <w:t xml:space="preserve"> or loss</w:t>
      </w:r>
      <w:r w:rsidR="005453D8" w:rsidRPr="000F2D4C">
        <w:t>;</w:t>
      </w:r>
      <w:r w:rsidRPr="000F2D4C">
        <w:t xml:space="preserve"> supports and strategies in place to protect their own wellbeing</w:t>
      </w:r>
      <w:r w:rsidR="001E266B" w:rsidRPr="000F2D4C">
        <w:t>; awareness of personal warning signs and triggers</w:t>
      </w:r>
    </w:p>
    <w:p w14:paraId="1781D39D" w14:textId="35183394" w:rsidR="00652571" w:rsidRPr="000F2D4C" w:rsidRDefault="00652571" w:rsidP="00FC2CEE">
      <w:pPr>
        <w:pStyle w:val="ListBullet"/>
        <w:numPr>
          <w:ilvl w:val="0"/>
          <w:numId w:val="16"/>
        </w:numPr>
      </w:pPr>
      <w:r w:rsidRPr="000F2D4C">
        <w:rPr>
          <w:b/>
          <w:bCs/>
        </w:rPr>
        <w:t>skills and knowledge</w:t>
      </w:r>
      <w:r w:rsidRPr="000F2D4C">
        <w:t xml:space="preserve">: understanding </w:t>
      </w:r>
      <w:r w:rsidR="285A193A" w:rsidRPr="000F2D4C">
        <w:t>lived and/or living experience</w:t>
      </w:r>
      <w:r w:rsidRPr="000F2D4C">
        <w:t xml:space="preserve"> of mental ill-health and suicide and the role of people with </w:t>
      </w:r>
      <w:r w:rsidR="05C74F91" w:rsidRPr="000F2D4C">
        <w:t>lived and/or living experience</w:t>
      </w:r>
      <w:r w:rsidRPr="000F2D4C">
        <w:t xml:space="preserve"> in evaluation (e.g.</w:t>
      </w:r>
      <w:r w:rsidR="1F0DA288" w:rsidRPr="000F2D4C">
        <w:t>,</w:t>
      </w:r>
      <w:r w:rsidRPr="000F2D4C">
        <w:t xml:space="preserve"> the purpose and benefits)</w:t>
      </w:r>
      <w:r w:rsidR="005453D8" w:rsidRPr="000F2D4C">
        <w:t>;</w:t>
      </w:r>
      <w:r w:rsidRPr="000F2D4C">
        <w:t xml:space="preserve"> knowledge of trauma-informed approaches and understanding how to navigate knowledge and skill gaps</w:t>
      </w:r>
      <w:r w:rsidR="001E266B" w:rsidRPr="000F2D4C">
        <w:t>; understanding of the personal and unique nature of recovery</w:t>
      </w:r>
      <w:r w:rsidR="00A271A4" w:rsidRPr="000F2D4C">
        <w:t xml:space="preserve">; </w:t>
      </w:r>
      <w:r w:rsidR="008B4EDB" w:rsidRPr="000F2D4C">
        <w:t>understanding</w:t>
      </w:r>
      <w:r w:rsidR="00AC6324" w:rsidRPr="000F2D4C">
        <w:t xml:space="preserve"> of</w:t>
      </w:r>
      <w:r w:rsidR="001E266B" w:rsidRPr="000F2D4C">
        <w:t xml:space="preserve"> how to safely and appropriately use and share personal experiences</w:t>
      </w:r>
      <w:r w:rsidRPr="000F2D4C">
        <w:t xml:space="preserve"> </w:t>
      </w:r>
    </w:p>
    <w:p w14:paraId="6A9FFF55" w14:textId="04BCB1FC" w:rsidR="00652571" w:rsidRPr="000F2D4C" w:rsidRDefault="00652571" w:rsidP="00FC2CEE">
      <w:pPr>
        <w:pStyle w:val="ListBullet"/>
        <w:numPr>
          <w:ilvl w:val="0"/>
          <w:numId w:val="16"/>
        </w:numPr>
        <w:spacing w:after="240"/>
      </w:pPr>
      <w:r w:rsidRPr="000F2D4C">
        <w:rPr>
          <w:b/>
          <w:bCs/>
        </w:rPr>
        <w:t>biases</w:t>
      </w:r>
      <w:r w:rsidRPr="000F2D4C">
        <w:t>: understanding the types of knowledge and expertise they prioritise and acknowledging their gaps.</w:t>
      </w:r>
    </w:p>
    <w:p w14:paraId="17133CCB" w14:textId="2F7B25F8" w:rsidR="00652571" w:rsidRPr="000F2D4C" w:rsidRDefault="00652571" w:rsidP="00652571">
      <w:r w:rsidRPr="000F2D4C">
        <w:t xml:space="preserve">It is important to remember that people with </w:t>
      </w:r>
      <w:r w:rsidR="3C2280F6" w:rsidRPr="000F2D4C">
        <w:t>lived and/or living experience</w:t>
      </w:r>
      <w:r w:rsidRPr="000F2D4C">
        <w:t xml:space="preserve"> have the </w:t>
      </w:r>
      <w:r w:rsidRPr="000F2D4C">
        <w:rPr>
          <w:b/>
          <w:bCs/>
        </w:rPr>
        <w:t>dignity of risk</w:t>
      </w:r>
      <w:r w:rsidRPr="000F2D4C">
        <w:t xml:space="preserve"> to be involved – that is, they have the right to assess the level of risk associated with the role and decide for themselves whether they are ready to take it on</w:t>
      </w:r>
      <w:r w:rsidR="008B4EDB" w:rsidRPr="000F2D4C">
        <w:t xml:space="preserve"> </w:t>
      </w:r>
      <w:r w:rsidR="00FF3C19" w:rsidRPr="000F2D4C">
        <w:t>– they know themselves and their wellbeing best</w:t>
      </w:r>
      <w:r w:rsidRPr="000F2D4C">
        <w:t xml:space="preserve">. </w:t>
      </w:r>
    </w:p>
    <w:p w14:paraId="580FF436" w14:textId="6A41741E" w:rsidR="00652571" w:rsidRPr="000F2D4C" w:rsidRDefault="00652571" w:rsidP="00652571">
      <w:pPr>
        <w:pStyle w:val="Appendix2"/>
      </w:pPr>
      <w:bookmarkStart w:id="103" w:name="_Toc146206776"/>
      <w:bookmarkStart w:id="104" w:name="_Toc149919017"/>
      <w:r w:rsidRPr="000F2D4C">
        <w:lastRenderedPageBreak/>
        <w:t>Stages of engagement</w:t>
      </w:r>
      <w:bookmarkEnd w:id="103"/>
      <w:bookmarkEnd w:id="104"/>
      <w:r w:rsidRPr="000F2D4C">
        <w:t xml:space="preserve"> </w:t>
      </w:r>
    </w:p>
    <w:p w14:paraId="7718ABDB" w14:textId="64ED488C" w:rsidR="00652571" w:rsidRPr="000F2D4C" w:rsidRDefault="00652571" w:rsidP="00652571">
      <w:r w:rsidRPr="000F2D4C">
        <w:t xml:space="preserve">When planning to engage with team members with </w:t>
      </w:r>
      <w:r w:rsidR="57B06A5C" w:rsidRPr="000F2D4C">
        <w:t>lived and/or living experience</w:t>
      </w:r>
      <w:r w:rsidRPr="000F2D4C">
        <w:t>, evaluators should consider how they recruit, support</w:t>
      </w:r>
      <w:r w:rsidR="4068DB3E" w:rsidRPr="000F2D4C">
        <w:t>,</w:t>
      </w:r>
      <w:r w:rsidRPr="000F2D4C">
        <w:t xml:space="preserve"> and work with these team members</w:t>
      </w:r>
      <w:r w:rsidR="4165EC7D" w:rsidRPr="000F2D4C">
        <w:t>,</w:t>
      </w:r>
      <w:r w:rsidRPr="000F2D4C">
        <w:t xml:space="preserve"> as well as how they involve them in the various project phases</w:t>
      </w:r>
      <w:r w:rsidRPr="000F2D4C">
        <w:rPr>
          <w:rStyle w:val="FootnoteReference"/>
        </w:rPr>
        <w:footnoteReference w:id="56"/>
      </w:r>
      <w:r w:rsidRPr="000F2D4C">
        <w:rPr>
          <w:vertAlign w:val="superscript"/>
        </w:rPr>
        <w:t>,</w:t>
      </w:r>
      <w:r w:rsidRPr="000F2D4C">
        <w:rPr>
          <w:rStyle w:val="FootnoteReference"/>
        </w:rPr>
        <w:footnoteReference w:id="57"/>
      </w:r>
      <w:r w:rsidRPr="000F2D4C">
        <w:t>.</w:t>
      </w:r>
    </w:p>
    <w:p w14:paraId="0885F483" w14:textId="77777777" w:rsidR="00652571" w:rsidRPr="000F2D4C" w:rsidRDefault="00652571" w:rsidP="00652571">
      <w:pPr>
        <w:pStyle w:val="Heading4"/>
      </w:pPr>
      <w:r w:rsidRPr="000F2D4C">
        <w:t>Recruitment</w:t>
      </w:r>
    </w:p>
    <w:p w14:paraId="1601F420" w14:textId="03D8128A" w:rsidR="00652571" w:rsidRPr="000F2D4C" w:rsidRDefault="00652571" w:rsidP="00652571">
      <w:r w:rsidRPr="000F2D4C">
        <w:t xml:space="preserve">People with </w:t>
      </w:r>
      <w:r w:rsidR="5AAF8CBD" w:rsidRPr="000F2D4C">
        <w:t>lived and/or living experience</w:t>
      </w:r>
      <w:r w:rsidRPr="000F2D4C">
        <w:t xml:space="preserve"> can be recruited through the organisation running the program (e.g.</w:t>
      </w:r>
      <w:r w:rsidR="2B05677F" w:rsidRPr="000F2D4C">
        <w:t>,</w:t>
      </w:r>
      <w:r w:rsidRPr="000F2D4C">
        <w:t xml:space="preserve"> engaged members, members of a lived </w:t>
      </w:r>
      <w:r w:rsidR="304D8E92" w:rsidRPr="000F2D4C">
        <w:t xml:space="preserve">and/or living </w:t>
      </w:r>
      <w:r w:rsidRPr="000F2D4C">
        <w:t>experience advisory committee, former</w:t>
      </w:r>
      <w:r w:rsidR="009F0594" w:rsidRPr="000F2D4C">
        <w:t xml:space="preserve"> </w:t>
      </w:r>
      <w:r w:rsidRPr="000F2D4C">
        <w:t xml:space="preserve">program participants), </w:t>
      </w:r>
      <w:r w:rsidR="00B04E87" w:rsidRPr="000F2D4C">
        <w:t xml:space="preserve">lived </w:t>
      </w:r>
      <w:r w:rsidR="693F90B6" w:rsidRPr="000F2D4C">
        <w:t xml:space="preserve">and/or living </w:t>
      </w:r>
      <w:r w:rsidR="00B04E87" w:rsidRPr="000F2D4C">
        <w:t>experience organisations</w:t>
      </w:r>
      <w:r w:rsidR="6356B56C" w:rsidRPr="000F2D4C">
        <w:t>,</w:t>
      </w:r>
      <w:r w:rsidR="00B04E87" w:rsidRPr="000F2D4C">
        <w:t xml:space="preserve"> or broader</w:t>
      </w:r>
      <w:r w:rsidRPr="000F2D4C">
        <w:t xml:space="preserve"> mental health and suicide prevention organisations with pools of engaged members, or relevant job boards.</w:t>
      </w:r>
    </w:p>
    <w:p w14:paraId="63FF1B62" w14:textId="77777777" w:rsidR="00652571" w:rsidRPr="000F2D4C" w:rsidRDefault="00652571" w:rsidP="00652571">
      <w:r w:rsidRPr="000F2D4C">
        <w:t xml:space="preserve">To support recruitment, it is important to develop an </w:t>
      </w:r>
      <w:r w:rsidRPr="000F2D4C">
        <w:rPr>
          <w:b/>
          <w:bCs/>
        </w:rPr>
        <w:t>overview of the role</w:t>
      </w:r>
      <w:r w:rsidRPr="000F2D4C">
        <w:t xml:space="preserve"> that clearly and simply outlines:</w:t>
      </w:r>
    </w:p>
    <w:p w14:paraId="4CCA5B70" w14:textId="77777777" w:rsidR="00652571" w:rsidRPr="000F2D4C" w:rsidRDefault="00652571" w:rsidP="00BF4B7E">
      <w:pPr>
        <w:pStyle w:val="ListBullet"/>
        <w:numPr>
          <w:ilvl w:val="0"/>
          <w:numId w:val="105"/>
        </w:numPr>
      </w:pPr>
      <w:r w:rsidRPr="000F2D4C">
        <w:t>the evaluation</w:t>
      </w:r>
    </w:p>
    <w:p w14:paraId="0A22B38E" w14:textId="0F555E5F" w:rsidR="00652571" w:rsidRPr="000F2D4C" w:rsidRDefault="00652571" w:rsidP="00BF4B7E">
      <w:pPr>
        <w:pStyle w:val="ListBullet"/>
        <w:numPr>
          <w:ilvl w:val="0"/>
          <w:numId w:val="105"/>
        </w:numPr>
      </w:pPr>
      <w:r w:rsidRPr="000F2D4C">
        <w:t>the expected role of the lived and</w:t>
      </w:r>
      <w:r w:rsidR="7BF6792B" w:rsidRPr="000F2D4C">
        <w:t>/or</w:t>
      </w:r>
      <w:r w:rsidRPr="000F2D4C">
        <w:t xml:space="preserve"> living experience team members </w:t>
      </w:r>
    </w:p>
    <w:p w14:paraId="704EF638" w14:textId="7F547D07" w:rsidR="00652571" w:rsidRPr="000F2D4C" w:rsidRDefault="00652571" w:rsidP="00BF4B7E">
      <w:pPr>
        <w:pStyle w:val="ListBullet"/>
        <w:numPr>
          <w:ilvl w:val="0"/>
          <w:numId w:val="105"/>
        </w:numPr>
      </w:pPr>
      <w:r w:rsidRPr="000F2D4C">
        <w:t xml:space="preserve">the nature of lived </w:t>
      </w:r>
      <w:r w:rsidR="0C46702B" w:rsidRPr="000F2D4C">
        <w:t xml:space="preserve">and/or living </w:t>
      </w:r>
      <w:r w:rsidRPr="000F2D4C">
        <w:t>experience required</w:t>
      </w:r>
    </w:p>
    <w:p w14:paraId="2048C5EC" w14:textId="77777777" w:rsidR="00652571" w:rsidRPr="000F2D4C" w:rsidRDefault="00652571" w:rsidP="00BF4B7E">
      <w:pPr>
        <w:pStyle w:val="ListBullet"/>
        <w:numPr>
          <w:ilvl w:val="0"/>
          <w:numId w:val="105"/>
        </w:numPr>
      </w:pPr>
      <w:r w:rsidRPr="000F2D4C">
        <w:t xml:space="preserve">skills and experience required </w:t>
      </w:r>
    </w:p>
    <w:p w14:paraId="22DDA0B7" w14:textId="77777777" w:rsidR="00652571" w:rsidRPr="000F2D4C" w:rsidRDefault="00652571" w:rsidP="00BF4B7E">
      <w:pPr>
        <w:pStyle w:val="ListBullet"/>
        <w:numPr>
          <w:ilvl w:val="0"/>
          <w:numId w:val="105"/>
        </w:numPr>
      </w:pPr>
      <w:r w:rsidRPr="000F2D4C">
        <w:t>support and training that will be provided (for both wellbeing and skill building)</w:t>
      </w:r>
    </w:p>
    <w:p w14:paraId="2B6B45E1" w14:textId="77777777" w:rsidR="00652571" w:rsidRPr="000F2D4C" w:rsidRDefault="00652571" w:rsidP="00BF4B7E">
      <w:pPr>
        <w:pStyle w:val="ListBullet"/>
        <w:numPr>
          <w:ilvl w:val="0"/>
          <w:numId w:val="105"/>
        </w:numPr>
      </w:pPr>
      <w:r w:rsidRPr="000F2D4C">
        <w:t>remuneration.</w:t>
      </w:r>
    </w:p>
    <w:p w14:paraId="4D648175" w14:textId="77777777" w:rsidR="00652571" w:rsidRPr="000F2D4C" w:rsidRDefault="00652571" w:rsidP="00652571">
      <w:pPr>
        <w:pStyle w:val="ListBullet"/>
        <w:numPr>
          <w:ilvl w:val="0"/>
          <w:numId w:val="0"/>
        </w:numPr>
      </w:pPr>
    </w:p>
    <w:p w14:paraId="23C7529A" w14:textId="77777777" w:rsidR="00652571" w:rsidRPr="000F2D4C" w:rsidRDefault="00652571" w:rsidP="00615025">
      <w:pPr>
        <w:pStyle w:val="Boxheading"/>
      </w:pPr>
      <w:r w:rsidRPr="000F2D4C">
        <w:t>Remuneration</w:t>
      </w:r>
    </w:p>
    <w:p w14:paraId="30B8A368" w14:textId="66DF5005" w:rsidR="00652571" w:rsidRPr="000F2D4C" w:rsidRDefault="00652571" w:rsidP="00652571">
      <w:pPr>
        <w:pStyle w:val="Boxtext0"/>
      </w:pPr>
      <w:r w:rsidRPr="000F2D4C">
        <w:t>Remuneration for people with lived and</w:t>
      </w:r>
      <w:r w:rsidR="00B04E87" w:rsidRPr="000F2D4C">
        <w:t>/or</w:t>
      </w:r>
      <w:r w:rsidRPr="000F2D4C">
        <w:t xml:space="preserve"> living experience</w:t>
      </w:r>
      <w:r w:rsidR="00B04E87" w:rsidRPr="000F2D4C">
        <w:t>s</w:t>
      </w:r>
      <w:r w:rsidRPr="000F2D4C">
        <w:t xml:space="preserve"> of mental ill-health and</w:t>
      </w:r>
      <w:r w:rsidR="00B04E87" w:rsidRPr="000F2D4C">
        <w:t>/or</w:t>
      </w:r>
      <w:r w:rsidRPr="000F2D4C">
        <w:t xml:space="preserve"> suicide</w:t>
      </w:r>
      <w:r w:rsidR="00B04E87" w:rsidRPr="000F2D4C">
        <w:t>, and those with experiences as families,</w:t>
      </w:r>
      <w:r w:rsidRPr="000F2D4C">
        <w:t xml:space="preserve"> carers and support people</w:t>
      </w:r>
      <w:r w:rsidR="00B04E87" w:rsidRPr="000F2D4C">
        <w:t>,</w:t>
      </w:r>
      <w:r w:rsidRPr="000F2D4C">
        <w:t xml:space="preserve"> is essential to ensuring their time and expertise is recognised, respected and valued. </w:t>
      </w:r>
      <w:r w:rsidR="007658E2" w:rsidRPr="000F2D4C">
        <w:t>Remuneration for people with lived and</w:t>
      </w:r>
      <w:r w:rsidR="2E996D3E" w:rsidRPr="000F2D4C">
        <w:t>/or</w:t>
      </w:r>
      <w:r w:rsidR="007658E2" w:rsidRPr="000F2D4C">
        <w:t xml:space="preserve"> living experience should be factored into the budget for an evaluation. </w:t>
      </w:r>
    </w:p>
    <w:p w14:paraId="12026FA8" w14:textId="57693D58" w:rsidR="006C61CC" w:rsidRPr="000F2D4C" w:rsidRDefault="006C61CC" w:rsidP="00652571">
      <w:pPr>
        <w:pStyle w:val="Boxtext0"/>
        <w:rPr>
          <w:i/>
          <w:iCs/>
        </w:rPr>
      </w:pPr>
      <w:r w:rsidRPr="000F2D4C">
        <w:t xml:space="preserve">Guidance on appropriate renumeration can be found in the </w:t>
      </w:r>
      <w:hyperlink r:id="rId125" w:history="1">
        <w:r w:rsidRPr="000F2D4C">
          <w:rPr>
            <w:rStyle w:val="Hyperlink"/>
            <w:i/>
            <w:iCs/>
          </w:rPr>
          <w:t>National Mental Health Commission's Paid Participation Policy 2020</w:t>
        </w:r>
      </w:hyperlink>
      <w:r w:rsidR="00F545DD">
        <w:rPr>
          <w:rStyle w:val="Hyperlink"/>
          <w:i/>
          <w:iCs/>
        </w:rPr>
        <w:t>.</w:t>
      </w:r>
      <w:r w:rsidR="00F545DD">
        <w:rPr>
          <w:rStyle w:val="Hyperlink"/>
          <w:i/>
          <w:iCs/>
        </w:rPr>
        <w:br/>
      </w:r>
      <w:r w:rsidRPr="000F2D4C">
        <w:rPr>
          <w:i/>
          <w:iCs/>
        </w:rPr>
        <w:t xml:space="preserve"> </w:t>
      </w:r>
    </w:p>
    <w:p w14:paraId="57B2BC6E" w14:textId="77777777" w:rsidR="00652571" w:rsidRPr="000F2D4C" w:rsidRDefault="00652571" w:rsidP="00652571">
      <w:pPr>
        <w:pStyle w:val="ListBullet"/>
        <w:numPr>
          <w:ilvl w:val="0"/>
          <w:numId w:val="0"/>
        </w:numPr>
      </w:pPr>
    </w:p>
    <w:p w14:paraId="7EF3A35F" w14:textId="77777777" w:rsidR="00652571" w:rsidRPr="000F2D4C" w:rsidRDefault="00652571" w:rsidP="00652571">
      <w:r w:rsidRPr="000F2D4C">
        <w:t xml:space="preserve">It is important to </w:t>
      </w:r>
      <w:r w:rsidRPr="000F2D4C">
        <w:rPr>
          <w:b/>
        </w:rPr>
        <w:t xml:space="preserve">ensure no candidates are disadvantaged by the </w:t>
      </w:r>
      <w:r w:rsidRPr="000F2D4C">
        <w:rPr>
          <w:b/>
          <w:bCs/>
        </w:rPr>
        <w:t>assessment process</w:t>
      </w:r>
      <w:r w:rsidRPr="000F2D4C">
        <w:t xml:space="preserve"> by making it accessible. This can include: </w:t>
      </w:r>
    </w:p>
    <w:p w14:paraId="63CF646D" w14:textId="77777777" w:rsidR="00652571" w:rsidRPr="000F2D4C" w:rsidRDefault="00652571" w:rsidP="00652571">
      <w:pPr>
        <w:pStyle w:val="ListBullet"/>
      </w:pPr>
      <w:r w:rsidRPr="000F2D4C">
        <w:t>providing candidates with the interview questions ahead of time to allow them to prepare</w:t>
      </w:r>
    </w:p>
    <w:p w14:paraId="264C9F9D" w14:textId="4CA8F8BF" w:rsidR="00652571" w:rsidRPr="000F2D4C" w:rsidRDefault="00652571" w:rsidP="00652571">
      <w:pPr>
        <w:pStyle w:val="ListBullet"/>
        <w:spacing w:after="240"/>
      </w:pPr>
      <w:r w:rsidRPr="000F2D4C">
        <w:lastRenderedPageBreak/>
        <w:t xml:space="preserve">options </w:t>
      </w:r>
      <w:r w:rsidR="0011680C" w:rsidRPr="000F2D4C">
        <w:t>for</w:t>
      </w:r>
      <w:r w:rsidRPr="000F2D4C">
        <w:t xml:space="preserve"> how the interview is conducted to accommodate people’s communication preferences (e.g.</w:t>
      </w:r>
      <w:r w:rsidR="7E0E8FDE" w:rsidRPr="000F2D4C">
        <w:t>,</w:t>
      </w:r>
      <w:r w:rsidRPr="000F2D4C">
        <w:t xml:space="preserve"> different modes for the interview, support to access these modes, the ability to respond to questions in writing). </w:t>
      </w:r>
    </w:p>
    <w:p w14:paraId="649400BB" w14:textId="22A220C1" w:rsidR="00652571" w:rsidRPr="000F2D4C" w:rsidRDefault="00652571" w:rsidP="00652571">
      <w:r w:rsidRPr="000F2D4C">
        <w:t xml:space="preserve">The </w:t>
      </w:r>
      <w:r w:rsidRPr="000F2D4C">
        <w:rPr>
          <w:b/>
        </w:rPr>
        <w:t>number of people recruited</w:t>
      </w:r>
      <w:r w:rsidRPr="000F2D4C">
        <w:t xml:space="preserve"> will depend on the size and nature of the evaluation, but it is considered best practice to recruit multiple lived and</w:t>
      </w:r>
      <w:r w:rsidR="7430F781" w:rsidRPr="000F2D4C">
        <w:t>/or</w:t>
      </w:r>
      <w:r w:rsidRPr="000F2D4C">
        <w:t xml:space="preserve"> living experience team members to:</w:t>
      </w:r>
    </w:p>
    <w:p w14:paraId="1CECF6B4" w14:textId="094B77B9" w:rsidR="00652571" w:rsidRPr="000F2D4C" w:rsidRDefault="00652571" w:rsidP="00537977">
      <w:pPr>
        <w:pStyle w:val="ListBullet"/>
        <w:numPr>
          <w:ilvl w:val="0"/>
          <w:numId w:val="104"/>
        </w:numPr>
      </w:pPr>
      <w:r w:rsidRPr="000F2D4C">
        <w:t xml:space="preserve">account for people having different areas of interest in the evaluation </w:t>
      </w:r>
    </w:p>
    <w:p w14:paraId="49C11907" w14:textId="7AAB73E8" w:rsidR="00652571" w:rsidRPr="000F2D4C" w:rsidRDefault="00652571" w:rsidP="00537977">
      <w:pPr>
        <w:pStyle w:val="ListBullet"/>
        <w:numPr>
          <w:ilvl w:val="0"/>
          <w:numId w:val="104"/>
        </w:numPr>
      </w:pPr>
      <w:r w:rsidRPr="000F2D4C">
        <w:t>account for people needing to take a break or withdraw from the evaluation due to conflicting priorities or changes to their mental health</w:t>
      </w:r>
      <w:r w:rsidR="00D20245" w:rsidRPr="000F2D4C">
        <w:t xml:space="preserve"> </w:t>
      </w:r>
      <w:r w:rsidR="00A45723" w:rsidRPr="000F2D4C">
        <w:t>and/or suicidal distress levels</w:t>
      </w:r>
    </w:p>
    <w:p w14:paraId="0FE9FFE2" w14:textId="15D3BFD4" w:rsidR="00652571" w:rsidRPr="000F2D4C" w:rsidRDefault="00652571" w:rsidP="00537977">
      <w:pPr>
        <w:pStyle w:val="ListBullet"/>
        <w:numPr>
          <w:ilvl w:val="0"/>
          <w:numId w:val="104"/>
        </w:numPr>
      </w:pPr>
      <w:r w:rsidRPr="000F2D4C">
        <w:t>ensure a diverse range of perspectives and expertise – where possible, recruit people with diverse skills and experience, demographics</w:t>
      </w:r>
      <w:r w:rsidR="4DCE973D" w:rsidRPr="000F2D4C">
        <w:t>,</w:t>
      </w:r>
      <w:r w:rsidRPr="000F2D4C">
        <w:t xml:space="preserve"> and lived </w:t>
      </w:r>
      <w:r w:rsidR="056DFC2C" w:rsidRPr="000F2D4C">
        <w:t xml:space="preserve">and/or living </w:t>
      </w:r>
      <w:r w:rsidRPr="000F2D4C">
        <w:t>experience (without making disclosure a requirement)</w:t>
      </w:r>
      <w:r w:rsidRPr="000F2D4C">
        <w:rPr>
          <w:rStyle w:val="FootnoteReference"/>
        </w:rPr>
        <w:footnoteReference w:id="58"/>
      </w:r>
    </w:p>
    <w:p w14:paraId="0D03A3FC" w14:textId="77777777" w:rsidR="00540BCA" w:rsidRPr="000F2D4C" w:rsidRDefault="00652571" w:rsidP="00BF4B7E">
      <w:pPr>
        <w:pStyle w:val="ListBullet"/>
        <w:numPr>
          <w:ilvl w:val="0"/>
          <w:numId w:val="104"/>
        </w:numPr>
      </w:pPr>
      <w:r w:rsidRPr="000F2D4C">
        <w:t>enable team members to support each other and build on each other’s ideas</w:t>
      </w:r>
    </w:p>
    <w:p w14:paraId="1F0A2884" w14:textId="33675312" w:rsidR="00652571" w:rsidRPr="000F2D4C" w:rsidRDefault="00540BCA" w:rsidP="00537977">
      <w:pPr>
        <w:pStyle w:val="ListBullet"/>
        <w:numPr>
          <w:ilvl w:val="0"/>
          <w:numId w:val="104"/>
        </w:numPr>
        <w:spacing w:after="240"/>
      </w:pPr>
      <w:r w:rsidRPr="000F2D4C">
        <w:t>reduce tokenism</w:t>
      </w:r>
      <w:r w:rsidR="00EC6ED6" w:rsidRPr="000F2D4C">
        <w:t>.</w:t>
      </w:r>
    </w:p>
    <w:p w14:paraId="63C11842" w14:textId="68C50676" w:rsidR="00652571" w:rsidRPr="000F2D4C" w:rsidRDefault="00652571" w:rsidP="00652571">
      <w:r w:rsidRPr="000F2D4C">
        <w:t xml:space="preserve">It can be helpful to have people with </w:t>
      </w:r>
      <w:r w:rsidR="13573C9A" w:rsidRPr="000F2D4C">
        <w:t>lived and/or living experience</w:t>
      </w:r>
      <w:r w:rsidRPr="000F2D4C">
        <w:rPr>
          <w:b/>
          <w:bCs/>
        </w:rPr>
        <w:t xml:space="preserve"> involved in the assessment process </w:t>
      </w:r>
      <w:r w:rsidRPr="000F2D4C">
        <w:t xml:space="preserve">as they will often have a good understanding of the context of candidates’ previous experience and the expertise they will bring to the evaluation. This can also help to further integrate existing </w:t>
      </w:r>
      <w:r w:rsidR="5C4A76B7" w:rsidRPr="000F2D4C">
        <w:t>lived and/or living experience</w:t>
      </w:r>
      <w:r w:rsidRPr="000F2D4C">
        <w:t xml:space="preserve"> team members.</w:t>
      </w:r>
    </w:p>
    <w:p w14:paraId="01CC80AF" w14:textId="77777777" w:rsidR="00652571" w:rsidRPr="000F2D4C" w:rsidRDefault="00652571" w:rsidP="00652571">
      <w:pPr>
        <w:pStyle w:val="Heading4"/>
        <w:rPr>
          <w:rFonts w:ascii="Segoe UI" w:hAnsi="Segoe UI"/>
        </w:rPr>
      </w:pPr>
      <w:r w:rsidRPr="000F2D4C">
        <w:t>Induction, onboarding and relationship building</w:t>
      </w:r>
    </w:p>
    <w:p w14:paraId="52D1768C" w14:textId="77777777" w:rsidR="00F32AC4" w:rsidRPr="000F2D4C" w:rsidRDefault="00F32AC4" w:rsidP="00F32AC4">
      <w:r w:rsidRPr="000F2D4C">
        <w:t xml:space="preserve">To support the induction process, an </w:t>
      </w:r>
      <w:r w:rsidRPr="000F2D4C">
        <w:rPr>
          <w:b/>
          <w:bCs/>
        </w:rPr>
        <w:t>information pack</w:t>
      </w:r>
      <w:r w:rsidRPr="000F2D4C">
        <w:t xml:space="preserve"> can be helpful to clearly outline:</w:t>
      </w:r>
    </w:p>
    <w:p w14:paraId="48BDCCEC" w14:textId="77777777" w:rsidR="00F32AC4" w:rsidRPr="000F2D4C" w:rsidRDefault="00F32AC4" w:rsidP="00F32AC4">
      <w:pPr>
        <w:pStyle w:val="ListBullet"/>
        <w:numPr>
          <w:ilvl w:val="0"/>
          <w:numId w:val="106"/>
        </w:numPr>
      </w:pPr>
      <w:r w:rsidRPr="000F2D4C">
        <w:t>the team, project, and role and responsibilities</w:t>
      </w:r>
    </w:p>
    <w:p w14:paraId="346B6170" w14:textId="77777777" w:rsidR="00F32AC4" w:rsidRPr="000F2D4C" w:rsidRDefault="00F32AC4" w:rsidP="00F32AC4">
      <w:pPr>
        <w:pStyle w:val="ListBullet"/>
        <w:numPr>
          <w:ilvl w:val="0"/>
          <w:numId w:val="106"/>
        </w:numPr>
      </w:pPr>
      <w:r w:rsidRPr="000F2D4C">
        <w:t>training and support provided</w:t>
      </w:r>
    </w:p>
    <w:p w14:paraId="1685C827" w14:textId="77777777" w:rsidR="00F32AC4" w:rsidRPr="000F2D4C" w:rsidRDefault="00F32AC4" w:rsidP="00F32AC4">
      <w:pPr>
        <w:pStyle w:val="ListBullet"/>
        <w:numPr>
          <w:ilvl w:val="0"/>
          <w:numId w:val="106"/>
        </w:numPr>
      </w:pPr>
      <w:r w:rsidRPr="000F2D4C">
        <w:t xml:space="preserve">time commitment and remuneration </w:t>
      </w:r>
    </w:p>
    <w:p w14:paraId="255C3811" w14:textId="77777777" w:rsidR="00F32AC4" w:rsidRPr="000F2D4C" w:rsidRDefault="00F32AC4" w:rsidP="00F32AC4">
      <w:pPr>
        <w:pStyle w:val="ListBullet"/>
        <w:numPr>
          <w:ilvl w:val="0"/>
          <w:numId w:val="106"/>
        </w:numPr>
      </w:pPr>
      <w:r w:rsidRPr="000F2D4C">
        <w:t>key contacts in the team.</w:t>
      </w:r>
    </w:p>
    <w:p w14:paraId="5DDFAAFB" w14:textId="77777777" w:rsidR="00F32AC4" w:rsidRPr="000F2D4C" w:rsidRDefault="00F32AC4" w:rsidP="00F32AC4">
      <w:pPr>
        <w:pStyle w:val="ListBullet"/>
        <w:numPr>
          <w:ilvl w:val="0"/>
          <w:numId w:val="0"/>
        </w:numPr>
        <w:ind w:left="454"/>
      </w:pPr>
    </w:p>
    <w:p w14:paraId="68AF51F9" w14:textId="77777777" w:rsidR="00F32AC4" w:rsidRPr="000F2D4C" w:rsidRDefault="00F32AC4" w:rsidP="00F32AC4">
      <w:pPr>
        <w:rPr>
          <w:rFonts w:ascii="Segoe UI" w:hAnsi="Segoe UI"/>
        </w:rPr>
      </w:pPr>
      <w:r w:rsidRPr="000F2D4C">
        <w:rPr>
          <w:rFonts w:ascii="Segoe UI" w:hAnsi="Segoe UI"/>
        </w:rPr>
        <w:t xml:space="preserve">In an </w:t>
      </w:r>
      <w:r w:rsidRPr="000F2D4C">
        <w:rPr>
          <w:rFonts w:ascii="Segoe UI" w:hAnsi="Segoe UI"/>
          <w:b/>
          <w:bCs/>
        </w:rPr>
        <w:t>induction meeting</w:t>
      </w:r>
      <w:r w:rsidRPr="000F2D4C">
        <w:rPr>
          <w:rFonts w:ascii="Segoe UI" w:hAnsi="Segoe UI"/>
        </w:rPr>
        <w:t xml:space="preserve">, you can then talk through this document with the team, answer any of their questions, and spend some time getting to know each other. </w:t>
      </w:r>
      <w:r w:rsidRPr="000F2D4C">
        <w:rPr>
          <w:rFonts w:ascii="Segoe UI" w:hAnsi="Segoe UI"/>
          <w:b/>
          <w:bCs/>
        </w:rPr>
        <w:t>Relationship building</w:t>
      </w:r>
      <w:r w:rsidRPr="000F2D4C">
        <w:rPr>
          <w:rFonts w:ascii="Segoe UI" w:hAnsi="Segoe UI"/>
        </w:rPr>
        <w:t xml:space="preserve"> throughout the project helps people feel part of the team, and comfortable asking questions, leaning on each other for support, and speaking up if things become overwhelming and they need to take a break or if things are confusing or unclear. </w:t>
      </w:r>
    </w:p>
    <w:p w14:paraId="28E8A1CA" w14:textId="77777777" w:rsidR="00F32AC4" w:rsidRPr="000F2D4C" w:rsidRDefault="00F32AC4" w:rsidP="00F32AC4">
      <w:pPr>
        <w:rPr>
          <w:rFonts w:ascii="Segoe UI" w:hAnsi="Segoe UI"/>
        </w:rPr>
      </w:pPr>
      <w:r w:rsidRPr="000F2D4C">
        <w:rPr>
          <w:rFonts w:ascii="Segoe UI" w:hAnsi="Segoe UI"/>
        </w:rPr>
        <w:t>During onboarding, it is also important to determine people's communication preferences, availability, areas of interest in the evaluation, and any adjustments they feel they may need.</w:t>
      </w:r>
    </w:p>
    <w:p w14:paraId="54043427" w14:textId="77777777" w:rsidR="00652571" w:rsidRPr="000F2D4C" w:rsidRDefault="00652571" w:rsidP="00652571">
      <w:pPr>
        <w:pStyle w:val="Heading4"/>
        <w:rPr>
          <w:rFonts w:ascii="Segoe UI" w:hAnsi="Segoe UI"/>
        </w:rPr>
      </w:pPr>
      <w:r w:rsidRPr="000F2D4C">
        <w:t xml:space="preserve">Training and skills building </w:t>
      </w:r>
    </w:p>
    <w:p w14:paraId="4051A9CA" w14:textId="6C72D72E" w:rsidR="00652571" w:rsidRPr="000F2D4C" w:rsidRDefault="00652571" w:rsidP="00652571">
      <w:r w:rsidRPr="000F2D4C">
        <w:t xml:space="preserve">Depending on the training and experience of the </w:t>
      </w:r>
      <w:r w:rsidR="62A548F2" w:rsidRPr="000F2D4C">
        <w:t>lived and/or living experience</w:t>
      </w:r>
      <w:r w:rsidRPr="000F2D4C">
        <w:t xml:space="preserve"> team, additional </w:t>
      </w:r>
      <w:r w:rsidRPr="000F2D4C">
        <w:rPr>
          <w:b/>
          <w:bCs/>
        </w:rPr>
        <w:t>training</w:t>
      </w:r>
      <w:r w:rsidRPr="000F2D4C">
        <w:t xml:space="preserve"> in evaluation methods (e.g.</w:t>
      </w:r>
      <w:r w:rsidR="23B55556" w:rsidRPr="000F2D4C">
        <w:t>,</w:t>
      </w:r>
      <w:r w:rsidRPr="000F2D4C">
        <w:t xml:space="preserve"> interviewing/ facilitation skills, survey design and analysis) </w:t>
      </w:r>
      <w:r w:rsidR="007658E2" w:rsidRPr="000F2D4C">
        <w:t xml:space="preserve">might </w:t>
      </w:r>
      <w:r w:rsidRPr="000F2D4C">
        <w:t xml:space="preserve">be needed. It is also important to ask </w:t>
      </w:r>
      <w:r w:rsidR="2D7857B7" w:rsidRPr="000F2D4C">
        <w:t>lived and/or living experience</w:t>
      </w:r>
      <w:r w:rsidRPr="000F2D4C">
        <w:t xml:space="preserve"> team </w:t>
      </w:r>
      <w:r w:rsidRPr="000F2D4C">
        <w:lastRenderedPageBreak/>
        <w:t xml:space="preserve">members about the feedback they would like on their input to develop their skills – as individuals will have different preferences. Ongoing investment in people with </w:t>
      </w:r>
      <w:r w:rsidR="38A54D64" w:rsidRPr="000F2D4C">
        <w:t xml:space="preserve">lived and/or living experience </w:t>
      </w:r>
      <w:r w:rsidRPr="000F2D4C">
        <w:t>helps to build their skills and develops and supports ongoing relationships, which can be beneficial for both people with lived and</w:t>
      </w:r>
      <w:r w:rsidR="7E3A61C0" w:rsidRPr="000F2D4C">
        <w:t>/or</w:t>
      </w:r>
      <w:r w:rsidRPr="000F2D4C">
        <w:t xml:space="preserve"> living experience and the evaluation team. </w:t>
      </w:r>
    </w:p>
    <w:p w14:paraId="17EB7A42" w14:textId="1532A5E5" w:rsidR="00652571" w:rsidRPr="000F2D4C" w:rsidRDefault="0099113F" w:rsidP="00652571">
      <w:r w:rsidRPr="000F2D4C">
        <w:t>It is essential that all evaluation team members undertake trauma</w:t>
      </w:r>
      <w:r w:rsidR="10A32A5D" w:rsidRPr="000F2D4C">
        <w:t>-</w:t>
      </w:r>
      <w:r w:rsidRPr="000F2D4C">
        <w:t>informed training. While some may have done this in the past, it can be particularly</w:t>
      </w:r>
      <w:r w:rsidR="00652571" w:rsidRPr="000F2D4C">
        <w:t xml:space="preserve"> useful to have the whole team undertake trauma</w:t>
      </w:r>
      <w:r w:rsidR="41B3BBE2" w:rsidRPr="000F2D4C">
        <w:t>-</w:t>
      </w:r>
      <w:r w:rsidR="00652571" w:rsidRPr="000F2D4C">
        <w:t xml:space="preserve">informed training tailored to the evaluation, as a way of </w:t>
      </w:r>
      <w:r w:rsidRPr="000F2D4C">
        <w:t xml:space="preserve">understanding the </w:t>
      </w:r>
      <w:r w:rsidR="00365CE0" w:rsidRPr="000F2D4C">
        <w:t>risks specific to the evaluation</w:t>
      </w:r>
      <w:r w:rsidRPr="000F2D4C">
        <w:t xml:space="preserve"> and </w:t>
      </w:r>
      <w:r w:rsidR="00652571" w:rsidRPr="000F2D4C">
        <w:t xml:space="preserve">collectively </w:t>
      </w:r>
      <w:r w:rsidR="00017F92" w:rsidRPr="000F2D4C">
        <w:t>committing to</w:t>
      </w:r>
      <w:r w:rsidR="00652571" w:rsidRPr="000F2D4C">
        <w:t xml:space="preserve"> an approach.</w:t>
      </w:r>
    </w:p>
    <w:p w14:paraId="2596CF98" w14:textId="148FBE77" w:rsidR="00CD00A4" w:rsidRPr="000F2D4C" w:rsidRDefault="00A00D8B" w:rsidP="00615025">
      <w:pPr>
        <w:pStyle w:val="Boxheading"/>
      </w:pPr>
      <w:r w:rsidRPr="000F2D4C">
        <w:t>Training for lived and/or living experience researchers</w:t>
      </w:r>
    </w:p>
    <w:p w14:paraId="4E69AEA2" w14:textId="5BB713CD" w:rsidR="00C847A4" w:rsidRPr="000F2D4C" w:rsidRDefault="00C847A4" w:rsidP="00A00D8B">
      <w:pPr>
        <w:pStyle w:val="Boxtext0"/>
      </w:pPr>
      <w:r w:rsidRPr="000F2D4C">
        <w:t xml:space="preserve">People with lived and/or living experience participating in </w:t>
      </w:r>
      <w:r w:rsidR="00AC0194" w:rsidRPr="000F2D4C">
        <w:t>roles on an evaluation team</w:t>
      </w:r>
      <w:r w:rsidRPr="000F2D4C">
        <w:t xml:space="preserve"> will bring their own skills and expertise </w:t>
      </w:r>
      <w:r w:rsidR="0067514A" w:rsidRPr="000F2D4C">
        <w:t xml:space="preserve">from previous </w:t>
      </w:r>
      <w:r w:rsidR="00F44794" w:rsidRPr="000F2D4C">
        <w:t xml:space="preserve">roles </w:t>
      </w:r>
      <w:r w:rsidR="0057216C" w:rsidRPr="000F2D4C">
        <w:t>they have been in</w:t>
      </w:r>
      <w:r w:rsidR="00F44794" w:rsidRPr="000F2D4C">
        <w:t>. For example, they may have past experience in a learning and development role, which will assist with facilitating consultations</w:t>
      </w:r>
      <w:r w:rsidR="00F137BB" w:rsidRPr="000F2D4C">
        <w:t xml:space="preserve"> and workshops,</w:t>
      </w:r>
      <w:r w:rsidR="0057216C" w:rsidRPr="000F2D4C">
        <w:t xml:space="preserve"> or they </w:t>
      </w:r>
      <w:r w:rsidR="008501D4" w:rsidRPr="000F2D4C">
        <w:t xml:space="preserve">may </w:t>
      </w:r>
      <w:r w:rsidR="00A80B47" w:rsidRPr="000F2D4C">
        <w:t>be researchers in other fields</w:t>
      </w:r>
      <w:r w:rsidR="00F137BB" w:rsidRPr="000F2D4C">
        <w:t xml:space="preserve"> or </w:t>
      </w:r>
      <w:r w:rsidR="00446816" w:rsidRPr="000F2D4C">
        <w:t xml:space="preserve">have </w:t>
      </w:r>
      <w:r w:rsidR="00F137BB" w:rsidRPr="000F2D4C">
        <w:t>been involved on advisory committees.</w:t>
      </w:r>
    </w:p>
    <w:p w14:paraId="676E555D" w14:textId="42B53FA1" w:rsidR="00E07920" w:rsidRPr="000F2D4C" w:rsidRDefault="00F137BB" w:rsidP="00D23B07">
      <w:pPr>
        <w:pStyle w:val="Boxtext0"/>
      </w:pPr>
      <w:r w:rsidRPr="000F2D4C">
        <w:t>This, coupled with on-the-job training</w:t>
      </w:r>
      <w:r w:rsidR="00294D42" w:rsidRPr="000F2D4C">
        <w:t xml:space="preserve"> (see above)</w:t>
      </w:r>
      <w:r w:rsidRPr="000F2D4C">
        <w:t xml:space="preserve">, </w:t>
      </w:r>
      <w:r w:rsidR="00294D42" w:rsidRPr="000F2D4C">
        <w:t xml:space="preserve">should be sufficient to equip people </w:t>
      </w:r>
      <w:r w:rsidR="00095B80" w:rsidRPr="000F2D4C">
        <w:t xml:space="preserve">with lived and/or living experience </w:t>
      </w:r>
      <w:r w:rsidR="00AD12B6" w:rsidRPr="000F2D4C">
        <w:t xml:space="preserve">to participate </w:t>
      </w:r>
      <w:r w:rsidR="00D23B07" w:rsidRPr="000F2D4C">
        <w:t xml:space="preserve">as members of an evaluation team. However, </w:t>
      </w:r>
      <w:r w:rsidR="00E07920" w:rsidRPr="000F2D4C">
        <w:t>there are also some courses within the sector that may help to prepare people for these roles, including:</w:t>
      </w:r>
    </w:p>
    <w:p w14:paraId="5C2D9BBC" w14:textId="37A80828" w:rsidR="00E07920" w:rsidRPr="000F2D4C" w:rsidRDefault="00A1124F" w:rsidP="00E07920">
      <w:pPr>
        <w:pStyle w:val="Boxbullets"/>
      </w:pPr>
      <w:hyperlink r:id="rId126" w:history="1">
        <w:r w:rsidRPr="000F2D4C">
          <w:rPr>
            <w:rStyle w:val="Hyperlink"/>
          </w:rPr>
          <w:t>Roses in the Ocean’s range of capacity building workshops</w:t>
        </w:r>
        <w:r w:rsidR="00F12B0D" w:rsidRPr="000F2D4C">
          <w:rPr>
            <w:rStyle w:val="Hyperlink"/>
          </w:rPr>
          <w:t xml:space="preserve"> and resources</w:t>
        </w:r>
      </w:hyperlink>
    </w:p>
    <w:p w14:paraId="00409BA5" w14:textId="79178DBB" w:rsidR="009C4E41" w:rsidRPr="000F2D4C" w:rsidRDefault="009C4E41" w:rsidP="009C4E41">
      <w:pPr>
        <w:pStyle w:val="Boxbullets"/>
      </w:pPr>
      <w:hyperlink r:id="rId127" w:history="1">
        <w:r w:rsidRPr="000F2D4C">
          <w:rPr>
            <w:rStyle w:val="Hyperlink"/>
          </w:rPr>
          <w:t>VMIAC’s Lived and Living Experience Workforce Program</w:t>
        </w:r>
      </w:hyperlink>
    </w:p>
    <w:p w14:paraId="482D08B3" w14:textId="0FDC74AD" w:rsidR="001D0D7B" w:rsidRPr="000F2D4C" w:rsidRDefault="00E07E03" w:rsidP="000347C1">
      <w:pPr>
        <w:pStyle w:val="Boxbullets"/>
      </w:pPr>
      <w:hyperlink r:id="rId128" w:anchor="becoming-a-worker" w:history="1">
        <w:r w:rsidRPr="000F2D4C">
          <w:rPr>
            <w:rStyle w:val="Hyperlink"/>
          </w:rPr>
          <w:t>The Mental Health Coalition of SA (MHCSA) Lived Experience Workforce Program (LEWP)</w:t>
        </w:r>
      </w:hyperlink>
      <w:r w:rsidR="002F1A7E" w:rsidRPr="000F2D4C">
        <w:t xml:space="preserve">, which </w:t>
      </w:r>
      <w:r w:rsidR="00F12B0D" w:rsidRPr="000F2D4C">
        <w:t xml:space="preserve">provides training and resources for </w:t>
      </w:r>
      <w:r w:rsidR="001D0D7B" w:rsidRPr="000F2D4C">
        <w:t xml:space="preserve">people with lived and/or living experience who wish to become peer workers, and connections to other organisations and opportunities that will help </w:t>
      </w:r>
      <w:r w:rsidR="000347C1" w:rsidRPr="000F2D4C">
        <w:t>them</w:t>
      </w:r>
      <w:r w:rsidR="001D0D7B" w:rsidRPr="000F2D4C">
        <w:t xml:space="preserve"> build skills in </w:t>
      </w:r>
      <w:r w:rsidR="000347C1" w:rsidRPr="000F2D4C">
        <w:t xml:space="preserve">lived </w:t>
      </w:r>
      <w:r w:rsidR="6DDCCB58" w:rsidRPr="000F2D4C">
        <w:t xml:space="preserve">and/or living </w:t>
      </w:r>
      <w:r w:rsidR="000347C1" w:rsidRPr="000F2D4C">
        <w:t>experience</w:t>
      </w:r>
      <w:r w:rsidR="001D0D7B" w:rsidRPr="000F2D4C">
        <w:t xml:space="preserve"> advocacy </w:t>
      </w:r>
      <w:r w:rsidR="000347C1" w:rsidRPr="000F2D4C">
        <w:t>(</w:t>
      </w:r>
      <w:r w:rsidR="001D0D7B" w:rsidRPr="000F2D4C">
        <w:t>e.g.</w:t>
      </w:r>
      <w:r w:rsidR="2CE1D4C8" w:rsidRPr="000F2D4C">
        <w:t>,</w:t>
      </w:r>
      <w:r w:rsidR="001D0D7B" w:rsidRPr="000F2D4C">
        <w:t xml:space="preserve"> to influence systemic</w:t>
      </w:r>
      <w:r w:rsidR="000347C1" w:rsidRPr="000F2D4C">
        <w:t xml:space="preserve"> change)</w:t>
      </w:r>
      <w:r w:rsidR="37F390E4" w:rsidRPr="000F2D4C">
        <w:t>,</w:t>
      </w:r>
      <w:r w:rsidR="000347C1" w:rsidRPr="000F2D4C">
        <w:t xml:space="preserve"> and lived </w:t>
      </w:r>
      <w:r w:rsidR="7BA3C00B" w:rsidRPr="000F2D4C">
        <w:t xml:space="preserve">and/or living </w:t>
      </w:r>
      <w:r w:rsidR="000347C1" w:rsidRPr="000F2D4C">
        <w:t>experience representation (</w:t>
      </w:r>
      <w:r w:rsidR="001D0D7B" w:rsidRPr="000F2D4C">
        <w:t>e.g.</w:t>
      </w:r>
      <w:r w:rsidR="2B267547" w:rsidRPr="000F2D4C">
        <w:t>,</w:t>
      </w:r>
      <w:r w:rsidR="001D0D7B" w:rsidRPr="000F2D4C">
        <w:t xml:space="preserve"> sitting on committees</w:t>
      </w:r>
      <w:r w:rsidR="00E0184F" w:rsidRPr="000F2D4C">
        <w:t xml:space="preserve"> and panels</w:t>
      </w:r>
      <w:r w:rsidR="000347C1" w:rsidRPr="000F2D4C">
        <w:t xml:space="preserve">) </w:t>
      </w:r>
    </w:p>
    <w:p w14:paraId="12437CB7" w14:textId="3387AFA7" w:rsidR="001F0CE2" w:rsidRPr="000F2D4C" w:rsidRDefault="00AA7E25" w:rsidP="000347C1">
      <w:pPr>
        <w:pStyle w:val="Boxbullets"/>
      </w:pPr>
      <w:hyperlink r:id="rId129" w:history="1">
        <w:r w:rsidRPr="000F2D4C">
          <w:rPr>
            <w:rStyle w:val="Hyperlink"/>
          </w:rPr>
          <w:t xml:space="preserve">The </w:t>
        </w:r>
        <w:r w:rsidR="00A42B13" w:rsidRPr="000F2D4C">
          <w:rPr>
            <w:rStyle w:val="Hyperlink"/>
          </w:rPr>
          <w:t>ALIVE N</w:t>
        </w:r>
        <w:r w:rsidRPr="000F2D4C">
          <w:rPr>
            <w:rStyle w:val="Hyperlink"/>
          </w:rPr>
          <w:t>ational Centre for Mental Health Research Translation</w:t>
        </w:r>
        <w:r w:rsidR="0008754B" w:rsidRPr="000F2D4C">
          <w:rPr>
            <w:rStyle w:val="Hyperlink"/>
          </w:rPr>
          <w:t>’s Lived-Experience Collective Training</w:t>
        </w:r>
      </w:hyperlink>
      <w:r w:rsidR="00D25C1E" w:rsidRPr="000F2D4C">
        <w:t xml:space="preserve"> (e.g.</w:t>
      </w:r>
      <w:r w:rsidR="6049E136" w:rsidRPr="000F2D4C">
        <w:t>,</w:t>
      </w:r>
      <w:r w:rsidR="00D25C1E" w:rsidRPr="000F2D4C">
        <w:t xml:space="preserve"> </w:t>
      </w:r>
      <w:r w:rsidR="004D0470" w:rsidRPr="000F2D4C">
        <w:t>the One Day Short Course – Orientation to Applied Research for Lived-Experience Researchers</w:t>
      </w:r>
      <w:r w:rsidR="00F04F7E" w:rsidRPr="000F2D4C">
        <w:t>)</w:t>
      </w:r>
      <w:r w:rsidR="0008754B" w:rsidRPr="000F2D4C">
        <w:t xml:space="preserve">: </w:t>
      </w:r>
    </w:p>
    <w:p w14:paraId="1D0391D1" w14:textId="0CA799B3" w:rsidR="00B8573B" w:rsidRPr="000F2D4C" w:rsidRDefault="008271D7" w:rsidP="000347C1">
      <w:pPr>
        <w:pStyle w:val="Boxbullets"/>
      </w:pPr>
      <w:hyperlink r:id="rId130" w:history="1">
        <w:r w:rsidRPr="000F2D4C">
          <w:rPr>
            <w:rStyle w:val="Hyperlink"/>
          </w:rPr>
          <w:t>Lived Experience Australia</w:t>
        </w:r>
        <w:r w:rsidR="003E7814" w:rsidRPr="000F2D4C">
          <w:rPr>
            <w:rStyle w:val="Hyperlink"/>
          </w:rPr>
          <w:t>’s range of courses</w:t>
        </w:r>
      </w:hyperlink>
      <w:r w:rsidR="003E7814" w:rsidRPr="000F2D4C">
        <w:t xml:space="preserve"> to equip people with lived </w:t>
      </w:r>
      <w:r w:rsidR="00853AC9" w:rsidRPr="000F2D4C">
        <w:t xml:space="preserve">and/or living </w:t>
      </w:r>
      <w:r w:rsidR="003E7814" w:rsidRPr="000F2D4C">
        <w:t>experience for a variety of role</w:t>
      </w:r>
      <w:r w:rsidR="00853AC9" w:rsidRPr="000F2D4C">
        <w:t xml:space="preserve">s (and organisations to support them in these roles): </w:t>
      </w:r>
    </w:p>
    <w:p w14:paraId="4A6BB975" w14:textId="77777777" w:rsidR="00B75B3B" w:rsidRPr="000F2D4C" w:rsidRDefault="00B75B3B" w:rsidP="00B75B3B">
      <w:pPr>
        <w:pStyle w:val="Boxbullets"/>
        <w:numPr>
          <w:ilvl w:val="0"/>
          <w:numId w:val="0"/>
        </w:numPr>
        <w:ind w:left="360" w:hanging="360"/>
      </w:pPr>
    </w:p>
    <w:p w14:paraId="690D9DED" w14:textId="14C0241F" w:rsidR="00B75B3B" w:rsidRPr="000F2D4C" w:rsidRDefault="00B75B3B" w:rsidP="00AF1EAF">
      <w:pPr>
        <w:pStyle w:val="Boxtext0"/>
      </w:pPr>
      <w:r w:rsidRPr="000F2D4C">
        <w:t xml:space="preserve">A number of organisations </w:t>
      </w:r>
      <w:r w:rsidR="00E60869" w:rsidRPr="000F2D4C">
        <w:t xml:space="preserve">also </w:t>
      </w:r>
      <w:r w:rsidRPr="000F2D4C">
        <w:t xml:space="preserve">plan to/ are in the process of developing training that would support people with lived and/or living experience </w:t>
      </w:r>
      <w:r w:rsidR="003915E6" w:rsidRPr="000F2D4C">
        <w:t xml:space="preserve">to </w:t>
      </w:r>
      <w:r w:rsidR="000F6E8B" w:rsidRPr="000F2D4C">
        <w:t xml:space="preserve">participate </w:t>
      </w:r>
      <w:r w:rsidR="00E60869" w:rsidRPr="000F2D4C">
        <w:t xml:space="preserve">in evaluation roles. </w:t>
      </w:r>
      <w:r w:rsidR="000F6E8B" w:rsidRPr="000F2D4C">
        <w:t xml:space="preserve"> </w:t>
      </w:r>
      <w:r w:rsidR="00574100" w:rsidRPr="000F2D4C">
        <w:br/>
      </w:r>
    </w:p>
    <w:p w14:paraId="3FBE0194" w14:textId="77777777" w:rsidR="00652571" w:rsidRPr="000F2D4C" w:rsidRDefault="00652571" w:rsidP="00652571">
      <w:pPr>
        <w:pStyle w:val="Heading4"/>
      </w:pPr>
      <w:r w:rsidRPr="000F2D4C">
        <w:t xml:space="preserve">Ongoing emotional and practical support </w:t>
      </w:r>
    </w:p>
    <w:p w14:paraId="6DC24CBD" w14:textId="77777777" w:rsidR="00CA16D8" w:rsidRPr="000F2D4C" w:rsidRDefault="00CA16D8" w:rsidP="00CA16D8">
      <w:r w:rsidRPr="000F2D4C">
        <w:t xml:space="preserve">Evaluations in the mental health and suicide prevention sectors often deal with difficult content, which may bring up things that people didn’t expect, or lead to vicarious trauma – the distress, dissatisfaction, hopelessness, and serious mental and physical health problems that can arise from ongoing exposure to other people’s trauma. It is important to put in place emotional and practical supports for </w:t>
      </w:r>
      <w:r w:rsidRPr="000F2D4C">
        <w:rPr>
          <w:b/>
          <w:bCs/>
        </w:rPr>
        <w:t>all team members</w:t>
      </w:r>
      <w:r w:rsidRPr="000F2D4C">
        <w:t xml:space="preserve"> to access, if needed.</w:t>
      </w:r>
    </w:p>
    <w:p w14:paraId="5206EA71" w14:textId="77777777" w:rsidR="00CA16D8" w:rsidRPr="000F2D4C" w:rsidRDefault="00CA16D8" w:rsidP="00CA16D8">
      <w:r w:rsidRPr="000F2D4C">
        <w:lastRenderedPageBreak/>
        <w:t>It is also important to be clear from the beginning that people can change their involvement or withdraw at any time, and to pay particular attention to team members’ wellbeing throughout.</w:t>
      </w:r>
    </w:p>
    <w:p w14:paraId="6E5CCD96" w14:textId="77777777" w:rsidR="00CA16D8" w:rsidRPr="000F2D4C" w:rsidRDefault="00CA16D8" w:rsidP="00CA16D8">
      <w:r w:rsidRPr="000F2D4C">
        <w:t xml:space="preserve">Some forms of </w:t>
      </w:r>
      <w:r w:rsidRPr="000F2D4C">
        <w:rPr>
          <w:b/>
          <w:bCs/>
        </w:rPr>
        <w:t xml:space="preserve">internal support </w:t>
      </w:r>
      <w:r w:rsidRPr="000F2D4C">
        <w:t>that can be provided include the following:</w:t>
      </w:r>
    </w:p>
    <w:p w14:paraId="7947D9D7" w14:textId="77777777" w:rsidR="00CA16D8" w:rsidRPr="000F2D4C" w:rsidRDefault="00CA16D8" w:rsidP="00CA16D8">
      <w:pPr>
        <w:pStyle w:val="Listdashlevel2"/>
        <w:numPr>
          <w:ilvl w:val="0"/>
          <w:numId w:val="46"/>
        </w:numPr>
        <w:rPr>
          <w:b/>
        </w:rPr>
      </w:pPr>
      <w:r w:rsidRPr="000F2D4C">
        <w:rPr>
          <w:b/>
        </w:rPr>
        <w:t>Preparation</w:t>
      </w:r>
    </w:p>
    <w:p w14:paraId="547D121A" w14:textId="77777777" w:rsidR="00CA16D8" w:rsidRPr="000F2D4C" w:rsidRDefault="00CA16D8" w:rsidP="00CA16D8">
      <w:pPr>
        <w:pStyle w:val="Listdashlevel2"/>
        <w:ind w:left="720"/>
      </w:pPr>
      <w:r w:rsidRPr="000F2D4C">
        <w:t>meetings ahead of project activities, particularly data collection, to prepare for the task and their own potential reactions</w:t>
      </w:r>
    </w:p>
    <w:p w14:paraId="5D2C592B" w14:textId="77777777" w:rsidR="00CA16D8" w:rsidRPr="000F2D4C" w:rsidRDefault="00CA16D8" w:rsidP="00CA16D8">
      <w:pPr>
        <w:pStyle w:val="Listdashlevel2"/>
        <w:ind w:left="720"/>
      </w:pPr>
      <w:r w:rsidRPr="000F2D4C">
        <w:t xml:space="preserve">communication outside of meetings so everyone is comfortable with and clear about project activities </w:t>
      </w:r>
    </w:p>
    <w:p w14:paraId="0965ABC7" w14:textId="77777777" w:rsidR="00CA16D8" w:rsidRPr="000F2D4C" w:rsidRDefault="00CA16D8" w:rsidP="00CA16D8">
      <w:pPr>
        <w:pStyle w:val="Listdashlevel2"/>
        <w:ind w:left="720"/>
      </w:pPr>
      <w:r w:rsidRPr="000F2D4C">
        <w:t>established response protocols for direct data collection with stakeholders.</w:t>
      </w:r>
    </w:p>
    <w:p w14:paraId="1C7BAD03" w14:textId="77777777" w:rsidR="00CA16D8" w:rsidRPr="000F2D4C" w:rsidRDefault="00CA16D8" w:rsidP="00CA16D8">
      <w:pPr>
        <w:pStyle w:val="Listdashlevel2"/>
        <w:numPr>
          <w:ilvl w:val="0"/>
          <w:numId w:val="0"/>
        </w:numPr>
        <w:ind w:left="720"/>
      </w:pPr>
    </w:p>
    <w:p w14:paraId="4FA91D03" w14:textId="77777777" w:rsidR="00CA16D8" w:rsidRPr="000F2D4C" w:rsidRDefault="00CA16D8" w:rsidP="00CA16D8">
      <w:pPr>
        <w:pStyle w:val="Listdashlevel2"/>
        <w:numPr>
          <w:ilvl w:val="0"/>
          <w:numId w:val="46"/>
        </w:numPr>
        <w:rPr>
          <w:b/>
        </w:rPr>
      </w:pPr>
      <w:r w:rsidRPr="000F2D4C">
        <w:rPr>
          <w:b/>
        </w:rPr>
        <w:t>Debriefing</w:t>
      </w:r>
    </w:p>
    <w:p w14:paraId="25CADC86" w14:textId="77777777" w:rsidR="00CA16D8" w:rsidRPr="000F2D4C" w:rsidRDefault="00CA16D8" w:rsidP="00CA16D8">
      <w:pPr>
        <w:pStyle w:val="Listdashlevel2"/>
        <w:ind w:left="720"/>
      </w:pPr>
      <w:r w:rsidRPr="000F2D4C">
        <w:t>team debriefing: to reflect as a team on project activities, share learnings, and continuously improve data collection processes</w:t>
      </w:r>
    </w:p>
    <w:p w14:paraId="727AD1C0" w14:textId="77777777" w:rsidR="00CA16D8" w:rsidRPr="000F2D4C" w:rsidRDefault="00CA16D8" w:rsidP="00CA16D8">
      <w:pPr>
        <w:pStyle w:val="Listdashlevel2"/>
        <w:ind w:left="720"/>
      </w:pPr>
      <w:r w:rsidRPr="000F2D4C">
        <w:t>individual debriefing: offering team members the ability to request an individual debrief, especially during data collection if anything raises concerns for them.</w:t>
      </w:r>
    </w:p>
    <w:p w14:paraId="6CCDA11E" w14:textId="77777777" w:rsidR="00CA16D8" w:rsidRPr="000F2D4C" w:rsidRDefault="00CA16D8" w:rsidP="00CA16D8">
      <w:pPr>
        <w:pStyle w:val="Listdashlevel2"/>
        <w:numPr>
          <w:ilvl w:val="0"/>
          <w:numId w:val="0"/>
        </w:numPr>
        <w:ind w:left="720"/>
      </w:pPr>
      <w:r w:rsidRPr="000F2D4C">
        <w:t xml:space="preserve"> </w:t>
      </w:r>
    </w:p>
    <w:p w14:paraId="27AAEB2B" w14:textId="77777777" w:rsidR="00CA16D8" w:rsidRPr="000F2D4C" w:rsidRDefault="00CA16D8" w:rsidP="00CA16D8">
      <w:pPr>
        <w:pStyle w:val="Listdashlevel2"/>
        <w:numPr>
          <w:ilvl w:val="0"/>
          <w:numId w:val="46"/>
        </w:numPr>
        <w:rPr>
          <w:b/>
        </w:rPr>
      </w:pPr>
      <w:r w:rsidRPr="000F2D4C">
        <w:rPr>
          <w:b/>
        </w:rPr>
        <w:t>Team check-ins</w:t>
      </w:r>
    </w:p>
    <w:p w14:paraId="630CA06B" w14:textId="77777777" w:rsidR="00CA16D8" w:rsidRPr="000F2D4C" w:rsidRDefault="00CA16D8" w:rsidP="00CA16D8">
      <w:pPr>
        <w:pStyle w:val="Listdashlevel2"/>
        <w:ind w:left="720"/>
      </w:pPr>
      <w:r w:rsidRPr="000F2D4C">
        <w:t xml:space="preserve">regular communication to ensure lived and/or living experience members are engaged, feel included, and have adequate support and opportunity to be involved – some may desire this more than others, so it’s important to understand individual preferences </w:t>
      </w:r>
    </w:p>
    <w:p w14:paraId="767313DE" w14:textId="77777777" w:rsidR="00CA16D8" w:rsidRPr="000F2D4C" w:rsidRDefault="00CA16D8" w:rsidP="00CA16D8">
      <w:pPr>
        <w:pStyle w:val="Listdashlevel2"/>
        <w:ind w:left="720"/>
      </w:pPr>
      <w:r w:rsidRPr="000F2D4C">
        <w:t>regular meetings with the whole team during active phases of data collection to reflect on what is going well, what is proving challenging, whether the evaluation is on track, individual capacity, and identifying areas of data that team members may wish not to engage in, especially if the content is sensitive or may reveal distressing content</w:t>
      </w:r>
    </w:p>
    <w:p w14:paraId="37CE142D" w14:textId="77777777" w:rsidR="00CA16D8" w:rsidRPr="000F2D4C" w:rsidRDefault="00CA16D8" w:rsidP="00CA16D8">
      <w:pPr>
        <w:pStyle w:val="Listdashlevel2"/>
        <w:spacing w:after="240"/>
        <w:ind w:left="720"/>
      </w:pPr>
      <w:r w:rsidRPr="000F2D4C">
        <w:t xml:space="preserve">opportunities for feedback from lived and/or living experience team members on how the evaluation team can better engage with lived and/or living experience team members. </w:t>
      </w:r>
    </w:p>
    <w:p w14:paraId="77E8C4CE" w14:textId="77777777" w:rsidR="00CA16D8" w:rsidRPr="000F2D4C" w:rsidRDefault="00CA16D8" w:rsidP="00CA16D8">
      <w:r w:rsidRPr="000F2D4C">
        <w:t xml:space="preserve">Some forms of </w:t>
      </w:r>
      <w:r w:rsidRPr="000F2D4C">
        <w:rPr>
          <w:b/>
          <w:bCs/>
        </w:rPr>
        <w:t xml:space="preserve">external support </w:t>
      </w:r>
      <w:r w:rsidRPr="000F2D4C">
        <w:t>that could be provided include the following:</w:t>
      </w:r>
    </w:p>
    <w:p w14:paraId="37D31776" w14:textId="77777777" w:rsidR="00CA16D8" w:rsidRPr="000F2D4C" w:rsidRDefault="00CA16D8" w:rsidP="00CA16D8">
      <w:pPr>
        <w:pStyle w:val="Listdashlevel2"/>
        <w:numPr>
          <w:ilvl w:val="0"/>
          <w:numId w:val="46"/>
        </w:numPr>
      </w:pPr>
      <w:r w:rsidRPr="000F2D4C">
        <w:rPr>
          <w:b/>
          <w:bCs/>
        </w:rPr>
        <w:t>Employee Assistance Program (EAP)</w:t>
      </w:r>
      <w:r w:rsidRPr="000F2D4C">
        <w:t xml:space="preserve"> – ensure all team members are aware they can contact the organisation’s EAP for debriefing and support. If possible, set this up so there is tailored support for lived and/or living experience team members.</w:t>
      </w:r>
    </w:p>
    <w:p w14:paraId="3837D0D3" w14:textId="77777777" w:rsidR="00CA16D8" w:rsidRPr="000F2D4C" w:rsidRDefault="00CA16D8" w:rsidP="00CA16D8">
      <w:pPr>
        <w:pStyle w:val="Listdashlevel2"/>
        <w:numPr>
          <w:ilvl w:val="0"/>
          <w:numId w:val="46"/>
        </w:numPr>
      </w:pPr>
      <w:r w:rsidRPr="000F2D4C">
        <w:rPr>
          <w:b/>
        </w:rPr>
        <w:t>External supervision or mentoring</w:t>
      </w:r>
      <w:r w:rsidRPr="000F2D4C">
        <w:t xml:space="preserve"> – offer this to lived and/or living experience team members if they require or desire it during key periods of the evaluation (e.g., data collection).</w:t>
      </w:r>
    </w:p>
    <w:p w14:paraId="2AD8CC53" w14:textId="57E3B6C2" w:rsidR="00BD5DAD" w:rsidRPr="000F2D4C" w:rsidRDefault="00BD5DAD" w:rsidP="00FC2CEE">
      <w:pPr>
        <w:pStyle w:val="Listdashlevel2"/>
        <w:numPr>
          <w:ilvl w:val="0"/>
          <w:numId w:val="46"/>
        </w:numPr>
        <w:rPr>
          <w:b/>
          <w:bCs/>
        </w:rPr>
      </w:pPr>
      <w:r w:rsidRPr="000F2D4C">
        <w:rPr>
          <w:b/>
          <w:bCs/>
        </w:rPr>
        <w:t>Broader services and supports within the local area</w:t>
      </w:r>
      <w:r w:rsidR="00325E21" w:rsidRPr="000F2D4C">
        <w:rPr>
          <w:b/>
          <w:bCs/>
        </w:rPr>
        <w:t xml:space="preserve"> </w:t>
      </w:r>
      <w:r w:rsidR="00325E21" w:rsidRPr="000F2D4C">
        <w:t xml:space="preserve">– for example via </w:t>
      </w:r>
      <w:hyperlink r:id="rId131" w:history="1">
        <w:r w:rsidR="00325E21" w:rsidRPr="000F2D4C">
          <w:rPr>
            <w:rStyle w:val="Hyperlink"/>
            <w:i/>
            <w:iCs/>
          </w:rPr>
          <w:t>Head to Health</w:t>
        </w:r>
      </w:hyperlink>
      <w:r w:rsidR="00325E21" w:rsidRPr="000F2D4C">
        <w:t>.</w:t>
      </w:r>
    </w:p>
    <w:p w14:paraId="7BCBF7DE" w14:textId="77777777" w:rsidR="00652571" w:rsidRPr="000F2D4C" w:rsidRDefault="00652571" w:rsidP="00652571">
      <w:pPr>
        <w:pStyle w:val="Heading4"/>
      </w:pPr>
      <w:r w:rsidRPr="000F2D4C">
        <w:t>Involvement in project phases</w:t>
      </w:r>
    </w:p>
    <w:p w14:paraId="494E2A95" w14:textId="77777777" w:rsidR="00F309BB" w:rsidRPr="000F2D4C" w:rsidRDefault="00F309BB" w:rsidP="00F309BB">
      <w:r w:rsidRPr="000F2D4C">
        <w:t xml:space="preserve">There are multiple ways people with lived and/or living experience can be involved in </w:t>
      </w:r>
      <w:r w:rsidRPr="000F2D4C">
        <w:rPr>
          <w:b/>
          <w:bCs/>
        </w:rPr>
        <w:t>all phases of the evaluation</w:t>
      </w:r>
      <w:r w:rsidRPr="000F2D4C">
        <w:t xml:space="preserve"> to ensure the approach is sensitive and ethical for people with lived and/or living experience, the evaluation assesses what is important to people with lived </w:t>
      </w:r>
      <w:r w:rsidRPr="000F2D4C">
        <w:lastRenderedPageBreak/>
        <w:t>and/or living experience, and findings are interpreted from a lived and/or living experience perspective.</w:t>
      </w:r>
    </w:p>
    <w:p w14:paraId="56C47104" w14:textId="77777777" w:rsidR="00F309BB" w:rsidRPr="000F2D4C" w:rsidRDefault="00F309BB" w:rsidP="00F309BB">
      <w:r w:rsidRPr="000F2D4C">
        <w:t xml:space="preserve">It is important to give lived and/or living experience team members </w:t>
      </w:r>
      <w:r w:rsidRPr="000F2D4C">
        <w:rPr>
          <w:b/>
          <w:bCs/>
        </w:rPr>
        <w:t>choice in what tasks they would like to be involved in</w:t>
      </w:r>
      <w:r w:rsidRPr="000F2D4C">
        <w:t xml:space="preserve"> (based on their skills, interests, and time available for the evaluation), </w:t>
      </w:r>
      <w:r w:rsidRPr="000F2D4C">
        <w:rPr>
          <w:b/>
          <w:bCs/>
        </w:rPr>
        <w:t>and how they contribute to these tasks</w:t>
      </w:r>
      <w:r w:rsidRPr="000F2D4C">
        <w:t xml:space="preserve"> (e.g., online meetings, written contributions). </w:t>
      </w:r>
    </w:p>
    <w:p w14:paraId="49308CF4" w14:textId="77777777" w:rsidR="00F309BB" w:rsidRPr="000F2D4C" w:rsidRDefault="00F309BB" w:rsidP="00F309BB">
      <w:r w:rsidRPr="000F2D4C">
        <w:t xml:space="preserve">Some ways that lived and/or living experience team members can be involved in project phases include the following: </w:t>
      </w:r>
    </w:p>
    <w:p w14:paraId="669C590F" w14:textId="77777777" w:rsidR="00F309BB" w:rsidRPr="000F2D4C" w:rsidRDefault="00F309BB" w:rsidP="00F309BB">
      <w:pPr>
        <w:pStyle w:val="Listdashlevel2"/>
        <w:numPr>
          <w:ilvl w:val="0"/>
          <w:numId w:val="46"/>
        </w:numPr>
        <w:rPr>
          <w:b/>
        </w:rPr>
      </w:pPr>
      <w:r w:rsidRPr="000F2D4C">
        <w:rPr>
          <w:b/>
        </w:rPr>
        <w:t>Planning</w:t>
      </w:r>
    </w:p>
    <w:p w14:paraId="17118E49" w14:textId="77777777" w:rsidR="00F309BB" w:rsidRPr="000F2D4C" w:rsidRDefault="00F309BB" w:rsidP="00F309BB">
      <w:pPr>
        <w:pStyle w:val="Listdashlevel2"/>
        <w:ind w:left="720"/>
      </w:pPr>
      <w:r w:rsidRPr="000F2D4C">
        <w:t xml:space="preserve">advising on and developing a program logic for the evaluation </w:t>
      </w:r>
    </w:p>
    <w:p w14:paraId="178C4756" w14:textId="77777777" w:rsidR="00F309BB" w:rsidRPr="000F2D4C" w:rsidRDefault="00F309BB" w:rsidP="00F309BB">
      <w:pPr>
        <w:pStyle w:val="Listdashlevel2"/>
        <w:ind w:left="720"/>
      </w:pPr>
      <w:r w:rsidRPr="000F2D4C">
        <w:t>advising on and developing the approach to data collection to ensure it is sensitive and trauma-informed for people with lived and/or living experience</w:t>
      </w:r>
    </w:p>
    <w:p w14:paraId="7B996649" w14:textId="77777777" w:rsidR="00F309BB" w:rsidRPr="000F2D4C" w:rsidRDefault="00F309BB" w:rsidP="00F309BB">
      <w:pPr>
        <w:pStyle w:val="Listdashlevel2"/>
        <w:ind w:left="720"/>
      </w:pPr>
      <w:r w:rsidRPr="000F2D4C">
        <w:t xml:space="preserve">advising on and developing data collection tools (e.g., surveys, interview guides). </w:t>
      </w:r>
    </w:p>
    <w:p w14:paraId="46F5F9A0" w14:textId="77777777" w:rsidR="00F309BB" w:rsidRPr="000F2D4C" w:rsidRDefault="00F309BB" w:rsidP="00F309BB">
      <w:pPr>
        <w:pStyle w:val="Listdashlevel2"/>
        <w:numPr>
          <w:ilvl w:val="0"/>
          <w:numId w:val="0"/>
        </w:numPr>
        <w:ind w:left="720"/>
      </w:pPr>
    </w:p>
    <w:p w14:paraId="657659BF" w14:textId="77777777" w:rsidR="00F309BB" w:rsidRPr="000F2D4C" w:rsidRDefault="00F309BB" w:rsidP="00F309BB">
      <w:pPr>
        <w:pStyle w:val="Listdashlevel2"/>
        <w:numPr>
          <w:ilvl w:val="0"/>
          <w:numId w:val="46"/>
        </w:numPr>
        <w:rPr>
          <w:b/>
        </w:rPr>
      </w:pPr>
      <w:r w:rsidRPr="000F2D4C">
        <w:rPr>
          <w:b/>
        </w:rPr>
        <w:t>Data collection</w:t>
      </w:r>
    </w:p>
    <w:p w14:paraId="085DE070" w14:textId="77777777" w:rsidR="00F309BB" w:rsidRPr="000F2D4C" w:rsidRDefault="00F309BB" w:rsidP="00F309BB">
      <w:pPr>
        <w:pStyle w:val="Listdashlevel2"/>
        <w:ind w:left="720"/>
      </w:pPr>
      <w:r w:rsidRPr="000F2D4C">
        <w:t>conducting interviews or co-facilitating group interviews with people with lived and/or living experience (and other stakeholders if they desire)</w:t>
      </w:r>
    </w:p>
    <w:p w14:paraId="1477D952" w14:textId="77777777" w:rsidR="00F309BB" w:rsidRPr="000F2D4C" w:rsidRDefault="00F309BB" w:rsidP="00F309BB">
      <w:pPr>
        <w:pStyle w:val="Listdashlevel2"/>
        <w:ind w:left="720"/>
      </w:pPr>
      <w:r w:rsidRPr="000F2D4C">
        <w:t>co-facilitating workshops</w:t>
      </w:r>
    </w:p>
    <w:p w14:paraId="54D8CDD8" w14:textId="77777777" w:rsidR="00F309BB" w:rsidRPr="000F2D4C" w:rsidRDefault="00F309BB" w:rsidP="00F309BB">
      <w:pPr>
        <w:pStyle w:val="Listdashlevel2"/>
        <w:ind w:left="720"/>
      </w:pPr>
      <w:r w:rsidRPr="000F2D4C">
        <w:t>conducting structured observations (i.e. observing program sessions to assess accessibility, facilitator competency, and participant engagement).</w:t>
      </w:r>
    </w:p>
    <w:p w14:paraId="1C5DB402" w14:textId="77777777" w:rsidR="00F309BB" w:rsidRPr="000F2D4C" w:rsidRDefault="00F309BB" w:rsidP="00F309BB">
      <w:pPr>
        <w:pStyle w:val="Listdashlevel2"/>
        <w:numPr>
          <w:ilvl w:val="0"/>
          <w:numId w:val="0"/>
        </w:numPr>
        <w:ind w:left="720"/>
      </w:pPr>
    </w:p>
    <w:p w14:paraId="51CF70B7" w14:textId="77777777" w:rsidR="00F309BB" w:rsidRPr="000F2D4C" w:rsidRDefault="00F309BB" w:rsidP="00F309BB">
      <w:pPr>
        <w:pStyle w:val="Listdashlevel2"/>
        <w:numPr>
          <w:ilvl w:val="0"/>
          <w:numId w:val="46"/>
        </w:numPr>
        <w:rPr>
          <w:b/>
        </w:rPr>
      </w:pPr>
      <w:r w:rsidRPr="000F2D4C">
        <w:rPr>
          <w:b/>
        </w:rPr>
        <w:t>Analysis</w:t>
      </w:r>
    </w:p>
    <w:p w14:paraId="1E23FAF8" w14:textId="77777777" w:rsidR="00F309BB" w:rsidRPr="000F2D4C" w:rsidRDefault="00F309BB" w:rsidP="00F309BB">
      <w:pPr>
        <w:pStyle w:val="ListBullet"/>
        <w:numPr>
          <w:ilvl w:val="0"/>
          <w:numId w:val="45"/>
        </w:numPr>
      </w:pPr>
      <w:r w:rsidRPr="000F2D4C">
        <w:t>qualitative analysis – identification of themes, and coding data</w:t>
      </w:r>
    </w:p>
    <w:p w14:paraId="655FB171" w14:textId="77777777" w:rsidR="00F309BB" w:rsidRPr="000F2D4C" w:rsidRDefault="00F309BB" w:rsidP="00F309BB">
      <w:pPr>
        <w:pStyle w:val="ListBullet"/>
        <w:numPr>
          <w:ilvl w:val="0"/>
          <w:numId w:val="45"/>
        </w:numPr>
      </w:pPr>
      <w:r w:rsidRPr="000F2D4C">
        <w:t xml:space="preserve">quantitative analysis – </w:t>
      </w:r>
      <w:bookmarkStart w:id="105" w:name="_Int_tj7xjawk"/>
      <w:r w:rsidRPr="000F2D4C">
        <w:t>analysing</w:t>
      </w:r>
      <w:bookmarkEnd w:id="105"/>
      <w:r w:rsidRPr="000F2D4C">
        <w:t xml:space="preserve"> survey data. </w:t>
      </w:r>
    </w:p>
    <w:p w14:paraId="2327227B" w14:textId="77777777" w:rsidR="00F309BB" w:rsidRPr="000F2D4C" w:rsidRDefault="00F309BB" w:rsidP="00F309BB">
      <w:pPr>
        <w:pStyle w:val="Listdashlevel2"/>
        <w:numPr>
          <w:ilvl w:val="0"/>
          <w:numId w:val="0"/>
        </w:numPr>
        <w:ind w:left="720"/>
      </w:pPr>
    </w:p>
    <w:p w14:paraId="2F6287C6" w14:textId="77777777" w:rsidR="00F309BB" w:rsidRPr="000F2D4C" w:rsidRDefault="00F309BB" w:rsidP="00F309BB">
      <w:pPr>
        <w:pStyle w:val="Listdashlevel2"/>
        <w:numPr>
          <w:ilvl w:val="0"/>
          <w:numId w:val="46"/>
        </w:numPr>
        <w:rPr>
          <w:b/>
        </w:rPr>
      </w:pPr>
      <w:r w:rsidRPr="000F2D4C">
        <w:rPr>
          <w:b/>
        </w:rPr>
        <w:t>Synthesis and reporting</w:t>
      </w:r>
    </w:p>
    <w:p w14:paraId="71FF8E85" w14:textId="77777777" w:rsidR="00F309BB" w:rsidRPr="000F2D4C" w:rsidRDefault="00F309BB" w:rsidP="00F309BB">
      <w:pPr>
        <w:pStyle w:val="Listdashlevel2"/>
        <w:ind w:left="720"/>
      </w:pPr>
      <w:r w:rsidRPr="000F2D4C">
        <w:t>reflecting on key findings and helping the team interpret them in context</w:t>
      </w:r>
    </w:p>
    <w:p w14:paraId="740B6B1D" w14:textId="77777777" w:rsidR="00F309BB" w:rsidRPr="000F2D4C" w:rsidRDefault="00F309BB" w:rsidP="00F309BB">
      <w:pPr>
        <w:pStyle w:val="Listdashlevel2"/>
        <w:ind w:left="720"/>
      </w:pPr>
      <w:r w:rsidRPr="000F2D4C">
        <w:t xml:space="preserve">report writing </w:t>
      </w:r>
    </w:p>
    <w:p w14:paraId="75193FD4" w14:textId="77777777" w:rsidR="00F309BB" w:rsidRPr="000F2D4C" w:rsidRDefault="00F309BB" w:rsidP="00F309BB">
      <w:pPr>
        <w:pStyle w:val="Listdashlevel2"/>
        <w:spacing w:after="240"/>
        <w:ind w:left="720"/>
      </w:pPr>
      <w:r w:rsidRPr="000F2D4C">
        <w:t>reviewing reports, or key sections of reports (e.g., service user experiences and outcomes), and providing feedback, for example, on whether key points are covered, the communication is accessible, and the language appropriate.</w:t>
      </w:r>
    </w:p>
    <w:p w14:paraId="64B29170" w14:textId="77777777" w:rsidR="00F309BB" w:rsidRPr="000F2D4C" w:rsidRDefault="00F309BB" w:rsidP="00F309BB">
      <w:r w:rsidRPr="000F2D4C">
        <w:t>It is important to keep those who are not involved in particular tasks updated on how they are progressing, so they remain engaged and feel part of the team.</w:t>
      </w:r>
    </w:p>
    <w:p w14:paraId="0D54363F" w14:textId="77777777" w:rsidR="00652571" w:rsidRPr="000F2D4C" w:rsidRDefault="00652571" w:rsidP="00652571">
      <w:pPr>
        <w:pStyle w:val="Heading4"/>
      </w:pPr>
      <w:r w:rsidRPr="000F2D4C">
        <w:t xml:space="preserve">Offboarding at the end of the evaluation </w:t>
      </w:r>
    </w:p>
    <w:p w14:paraId="69D4D386" w14:textId="77777777" w:rsidR="009921FF" w:rsidRPr="000F2D4C" w:rsidRDefault="009921FF" w:rsidP="009921FF">
      <w:r w:rsidRPr="000F2D4C">
        <w:t>It is essential to offboard lived and/or living experience team members from the evaluation project to thank them for their time and contributions, reflect and learn as a team, and ensure lasting relationships. This also includes creating opportunities for feedback and clarity about how their contributions will be considered.</w:t>
      </w:r>
    </w:p>
    <w:p w14:paraId="747AFB78" w14:textId="77777777" w:rsidR="00F545DD" w:rsidRDefault="00F545DD">
      <w:pPr>
        <w:spacing w:after="0" w:line="240" w:lineRule="auto"/>
      </w:pPr>
      <w:r>
        <w:br w:type="page"/>
      </w:r>
    </w:p>
    <w:p w14:paraId="24C3BB96" w14:textId="7E17DCB5" w:rsidR="009921FF" w:rsidRPr="000F2D4C" w:rsidRDefault="009921FF" w:rsidP="009921FF">
      <w:r w:rsidRPr="000F2D4C">
        <w:lastRenderedPageBreak/>
        <w:t xml:space="preserve">Some options to consider at this stage include: </w:t>
      </w:r>
    </w:p>
    <w:p w14:paraId="04001F4B" w14:textId="77777777" w:rsidR="009921FF" w:rsidRPr="000F2D4C" w:rsidRDefault="009921FF" w:rsidP="009921FF">
      <w:pPr>
        <w:pStyle w:val="ListBullet"/>
        <w:numPr>
          <w:ilvl w:val="0"/>
          <w:numId w:val="16"/>
        </w:numPr>
      </w:pPr>
      <w:r w:rsidRPr="000F2D4C">
        <w:t>holding a meeting with the whole team to reflect on how the project went, thank people for their contribution, celebrate completion, and identify learnings</w:t>
      </w:r>
    </w:p>
    <w:p w14:paraId="13BD43C2" w14:textId="77777777" w:rsidR="009921FF" w:rsidRPr="000F2D4C" w:rsidRDefault="009921FF" w:rsidP="009921FF">
      <w:pPr>
        <w:pStyle w:val="ListBullet"/>
        <w:numPr>
          <w:ilvl w:val="0"/>
          <w:numId w:val="16"/>
        </w:numPr>
      </w:pPr>
      <w:r w:rsidRPr="000F2D4C">
        <w:t xml:space="preserve">gathering feedback from lived and/or living experience team members about the project and their involvement through an anonymous survey, or an exit interview/ conversation if they prefer </w:t>
      </w:r>
    </w:p>
    <w:p w14:paraId="5EDD3634" w14:textId="77777777" w:rsidR="009921FF" w:rsidRPr="000F2D4C" w:rsidRDefault="009921FF" w:rsidP="009921FF">
      <w:pPr>
        <w:pStyle w:val="ListBullet"/>
        <w:numPr>
          <w:ilvl w:val="0"/>
          <w:numId w:val="16"/>
        </w:numPr>
      </w:pPr>
      <w:r w:rsidRPr="000F2D4C">
        <w:t xml:space="preserve">gauging lived and/or living experience team members’ interest to be involved in future opportunities </w:t>
      </w:r>
    </w:p>
    <w:p w14:paraId="677542BA" w14:textId="77777777" w:rsidR="009921FF" w:rsidRPr="000F2D4C" w:rsidRDefault="009921FF" w:rsidP="009921FF">
      <w:pPr>
        <w:pStyle w:val="ListBullet"/>
        <w:numPr>
          <w:ilvl w:val="0"/>
          <w:numId w:val="16"/>
        </w:numPr>
      </w:pPr>
      <w:r w:rsidRPr="000F2D4C">
        <w:t>explaining how lived and/or living experience team members can use their involvement in the project on their CVs and resumes</w:t>
      </w:r>
    </w:p>
    <w:p w14:paraId="188DD19C" w14:textId="77777777" w:rsidR="009921FF" w:rsidRPr="000F2D4C" w:rsidRDefault="009921FF" w:rsidP="009921FF">
      <w:pPr>
        <w:pStyle w:val="ListBullet"/>
        <w:numPr>
          <w:ilvl w:val="0"/>
          <w:numId w:val="16"/>
        </w:numPr>
      </w:pPr>
      <w:r w:rsidRPr="000F2D4C">
        <w:t xml:space="preserve">clarifying whether there are expected to be more updates in the future (e.g., about how the evaluation has been used). </w:t>
      </w:r>
    </w:p>
    <w:p w14:paraId="13AF00B3" w14:textId="77777777" w:rsidR="009921FF" w:rsidRPr="000F2D4C" w:rsidRDefault="009921FF" w:rsidP="009921FF">
      <w:pPr>
        <w:pStyle w:val="ListNumber"/>
        <w:numPr>
          <w:ilvl w:val="0"/>
          <w:numId w:val="0"/>
        </w:numPr>
        <w:ind w:left="357" w:hanging="357"/>
        <w:rPr>
          <w:lang w:val="en-AU"/>
        </w:rPr>
      </w:pPr>
    </w:p>
    <w:p w14:paraId="3BBAA141" w14:textId="45AFBD3E" w:rsidR="009921FF" w:rsidRPr="000F2D4C" w:rsidRDefault="009921FF" w:rsidP="009921FF">
      <w:pPr>
        <w:pStyle w:val="Boxheading"/>
      </w:pPr>
      <w:r w:rsidRPr="000F2D4C">
        <w:t>Resources</w:t>
      </w:r>
    </w:p>
    <w:p w14:paraId="6042F7B4" w14:textId="57170C6D" w:rsidR="00A62A87" w:rsidRPr="000F2D4C" w:rsidRDefault="009921FF" w:rsidP="00652571">
      <w:pPr>
        <w:pStyle w:val="Boxbullets"/>
      </w:pPr>
      <w:r w:rsidRPr="000F2D4C">
        <w:t>Krysinska, K., Ozols, I., Ross, A. et al</w:t>
      </w:r>
      <w:r w:rsidR="0086625F" w:rsidRPr="000F2D4C">
        <w:t xml:space="preserve"> (2023).</w:t>
      </w:r>
      <w:r w:rsidRPr="000F2D4C">
        <w:t xml:space="preserve"> </w:t>
      </w:r>
      <w:hyperlink r:id="rId132" w:history="1">
        <w:r w:rsidRPr="000F2D4C">
          <w:rPr>
            <w:rStyle w:val="Hyperlink"/>
          </w:rPr>
          <w:t>Active involvement of people with lived experience of suicide in suicide research: a Delphi consensus study</w:t>
        </w:r>
      </w:hyperlink>
      <w:r w:rsidRPr="000F2D4C">
        <w:t xml:space="preserve">. </w:t>
      </w:r>
      <w:r w:rsidRPr="000F2D4C">
        <w:rPr>
          <w:i/>
          <w:iCs/>
        </w:rPr>
        <w:t>BMC Psychiatry</w:t>
      </w:r>
      <w:r w:rsidRPr="000F2D4C">
        <w:t xml:space="preserve"> 23, 496</w:t>
      </w:r>
      <w:r w:rsidR="0086625F" w:rsidRPr="000F2D4C">
        <w:t xml:space="preserve">. </w:t>
      </w:r>
    </w:p>
    <w:p w14:paraId="18061021" w14:textId="5A036E42" w:rsidR="009921FF" w:rsidRPr="000F2D4C" w:rsidRDefault="00652571" w:rsidP="009921FF">
      <w:pPr>
        <w:pStyle w:val="Boxbullets"/>
      </w:pPr>
      <w:r w:rsidRPr="000F2D4C">
        <w:t>Jo Farmer (2018).</w:t>
      </w:r>
      <w:r w:rsidR="009921FF" w:rsidRPr="000F2D4C">
        <w:t xml:space="preserve"> </w:t>
      </w:r>
      <w:hyperlink r:id="rId133" w:history="1">
        <w:r w:rsidR="009921FF" w:rsidRPr="000F2D4C">
          <w:rPr>
            <w:rStyle w:val="Hyperlink"/>
          </w:rPr>
          <w:t>Evaluating with a mental health lived experience</w:t>
        </w:r>
      </w:hyperlink>
      <w:r w:rsidR="009921FF" w:rsidRPr="000F2D4C">
        <w:t xml:space="preserve">. </w:t>
      </w:r>
    </w:p>
    <w:p w14:paraId="3BA57C83" w14:textId="6A0FEB9B" w:rsidR="009921FF" w:rsidRPr="000F2D4C" w:rsidRDefault="009921FF" w:rsidP="009921FF">
      <w:pPr>
        <w:pStyle w:val="Boxbullets"/>
      </w:pPr>
      <w:r w:rsidRPr="000F2D4C">
        <w:t xml:space="preserve">Suomi, </w:t>
      </w:r>
      <w:r w:rsidR="000C0179" w:rsidRPr="000F2D4C">
        <w:t>A.,</w:t>
      </w:r>
      <w:r w:rsidRPr="000F2D4C">
        <w:t xml:space="preserve"> Freeman</w:t>
      </w:r>
      <w:r w:rsidR="000C0179" w:rsidRPr="000F2D4C">
        <w:t xml:space="preserve">, B., </w:t>
      </w:r>
      <w:r w:rsidR="00652571" w:rsidRPr="000F2D4C">
        <w:t>&amp;</w:t>
      </w:r>
      <w:r w:rsidRPr="000F2D4C">
        <w:t xml:space="preserve"> Banfield</w:t>
      </w:r>
      <w:r w:rsidR="000C0179" w:rsidRPr="000F2D4C">
        <w:t>, M.</w:t>
      </w:r>
      <w:r w:rsidRPr="000F2D4C">
        <w:t xml:space="preserve"> (2018). </w:t>
      </w:r>
      <w:hyperlink r:id="rId134" w:history="1">
        <w:r w:rsidRPr="000F2D4C">
          <w:rPr>
            <w:rStyle w:val="Hyperlink"/>
          </w:rPr>
          <w:t>Framework for the engagement of people with a lived experience in program implementation and research: Review and report prepared for the LifeSpan suicide prevention project</w:t>
        </w:r>
      </w:hyperlink>
      <w:r w:rsidR="00296612" w:rsidRPr="000F2D4C">
        <w:t>. T</w:t>
      </w:r>
      <w:r w:rsidR="00652571" w:rsidRPr="000F2D4C">
        <w:t>he</w:t>
      </w:r>
      <w:r w:rsidRPr="000F2D4C">
        <w:t xml:space="preserve"> Australian National University, Black Dog Institute</w:t>
      </w:r>
      <w:r w:rsidR="00652571" w:rsidRPr="000F2D4C">
        <w:t>.</w:t>
      </w:r>
      <w:r w:rsidRPr="000F2D4C">
        <w:t xml:space="preserve"> </w:t>
      </w:r>
    </w:p>
    <w:p w14:paraId="56A672BF" w14:textId="733CA624" w:rsidR="009921FF" w:rsidRPr="000F2D4C" w:rsidRDefault="009921FF" w:rsidP="009921FF">
      <w:pPr>
        <w:pStyle w:val="Boxbullets"/>
        <w:rPr>
          <w:rFonts w:cstheme="minorHAnsi"/>
          <w:szCs w:val="20"/>
        </w:rPr>
      </w:pPr>
      <w:r w:rsidRPr="000F2D4C">
        <w:rPr>
          <w:rStyle w:val="cf01"/>
          <w:rFonts w:asciiTheme="minorHAnsi" w:hAnsiTheme="minorHAnsi" w:cstheme="minorBidi"/>
          <w:sz w:val="20"/>
          <w:szCs w:val="20"/>
        </w:rPr>
        <w:t xml:space="preserve">Hodges, E., Leditschke, A., Solonsch, L. (2023). </w:t>
      </w:r>
      <w:hyperlink r:id="rId135" w:history="1">
        <w:r w:rsidRPr="000F2D4C">
          <w:rPr>
            <w:rStyle w:val="Hyperlink"/>
            <w:rFonts w:cstheme="minorBidi"/>
            <w:szCs w:val="20"/>
          </w:rPr>
          <w:t>The Lived Experience Governance Framework: Centring People, Identity and Human Rights for the Benefit of All</w:t>
        </w:r>
      </w:hyperlink>
      <w:r w:rsidRPr="000F2D4C">
        <w:rPr>
          <w:rStyle w:val="cf01"/>
          <w:rFonts w:asciiTheme="minorHAnsi" w:hAnsiTheme="minorHAnsi" w:cstheme="minorBidi"/>
          <w:sz w:val="20"/>
          <w:szCs w:val="20"/>
        </w:rPr>
        <w:t xml:space="preserve">. Prepared by LELAN (SA Lived Experience Leadership &amp; Advocacy Network) for the National Mental Health Consumer and Carer Forum and the National PHN Mental Health Lived Experience Engagement Network. Mental Health Australia, Canberra. </w:t>
      </w:r>
    </w:p>
    <w:p w14:paraId="4A8CFC54" w14:textId="1E052132" w:rsidR="009921FF" w:rsidRPr="000F2D4C" w:rsidRDefault="009921FF" w:rsidP="009921FF">
      <w:pPr>
        <w:pStyle w:val="Boxbullets"/>
      </w:pPr>
      <w:r w:rsidRPr="000F2D4C">
        <w:t xml:space="preserve">Webb, </w:t>
      </w:r>
      <w:r w:rsidR="00174654" w:rsidRPr="000F2D4C">
        <w:t>M.,</w:t>
      </w:r>
      <w:r w:rsidRPr="000F2D4C">
        <w:t xml:space="preserve"> Cooper, </w:t>
      </w:r>
      <w:r w:rsidR="00174654" w:rsidRPr="000F2D4C">
        <w:t>C.,</w:t>
      </w:r>
      <w:r w:rsidRPr="000F2D4C">
        <w:t xml:space="preserve"> Hemming, </w:t>
      </w:r>
      <w:r w:rsidR="00174654" w:rsidRPr="000F2D4C">
        <w:t>L.,</w:t>
      </w:r>
      <w:r w:rsidRPr="000F2D4C">
        <w:t xml:space="preserve"> Dalton, </w:t>
      </w:r>
      <w:r w:rsidR="00174654" w:rsidRPr="000F2D4C">
        <w:t>A.,</w:t>
      </w:r>
      <w:r w:rsidRPr="000F2D4C">
        <w:t xml:space="preserve"> Unity, </w:t>
      </w:r>
      <w:r w:rsidR="00174654" w:rsidRPr="000F2D4C">
        <w:t>E.,</w:t>
      </w:r>
      <w:r w:rsidRPr="000F2D4C">
        <w:t xml:space="preserve"> Simmons, </w:t>
      </w:r>
      <w:r w:rsidR="00174654" w:rsidRPr="000F2D4C">
        <w:t>M.,</w:t>
      </w:r>
      <w:r w:rsidRPr="000F2D4C">
        <w:t xml:space="preserve"> Bendall, </w:t>
      </w:r>
      <w:r w:rsidR="00174654" w:rsidRPr="000F2D4C">
        <w:t>S. &amp;</w:t>
      </w:r>
      <w:r w:rsidRPr="000F2D4C">
        <w:t xml:space="preserve"> Robinson</w:t>
      </w:r>
      <w:r w:rsidR="00174654" w:rsidRPr="000F2D4C">
        <w:t>, J. (2023).</w:t>
      </w:r>
      <w:r w:rsidRPr="000F2D4C">
        <w:t xml:space="preserve"> </w:t>
      </w:r>
      <w:hyperlink r:id="rId136" w:history="1">
        <w:r w:rsidRPr="000F2D4C">
          <w:rPr>
            <w:rStyle w:val="Hyperlink"/>
          </w:rPr>
          <w:t>Guidelines for involving young people with lived and living experience of suicide in suicide research</w:t>
        </w:r>
      </w:hyperlink>
      <w:r w:rsidRPr="000F2D4C">
        <w:t>. Melbourne: Orygen</w:t>
      </w:r>
      <w:r w:rsidR="00104C91" w:rsidRPr="000F2D4C">
        <w:t xml:space="preserve">. </w:t>
      </w:r>
    </w:p>
    <w:p w14:paraId="1DB8EE6C" w14:textId="2C21A944" w:rsidR="009921FF" w:rsidRPr="000F2D4C" w:rsidRDefault="009921FF" w:rsidP="009921FF">
      <w:pPr>
        <w:pStyle w:val="Boxbullets"/>
      </w:pPr>
      <w:r w:rsidRPr="000F2D4C">
        <w:t xml:space="preserve">Roses in the </w:t>
      </w:r>
      <w:r w:rsidR="005B17B0" w:rsidRPr="000F2D4C">
        <w:t>Ocean</w:t>
      </w:r>
      <w:r w:rsidR="00A74BCC" w:rsidRPr="000F2D4C">
        <w:t xml:space="preserve"> (n.d.).</w:t>
      </w:r>
      <w:r w:rsidR="005B17B0" w:rsidRPr="000F2D4C">
        <w:t xml:space="preserve"> </w:t>
      </w:r>
      <w:hyperlink r:id="rId137" w:history="1">
        <w:r w:rsidR="00A74BCC" w:rsidRPr="000F2D4C">
          <w:rPr>
            <w:rStyle w:val="Hyperlink"/>
          </w:rPr>
          <w:t>R</w:t>
        </w:r>
        <w:r w:rsidR="005B17B0" w:rsidRPr="000F2D4C">
          <w:rPr>
            <w:rStyle w:val="Hyperlink"/>
          </w:rPr>
          <w:t>esources</w:t>
        </w:r>
        <w:r w:rsidRPr="000F2D4C">
          <w:rPr>
            <w:rStyle w:val="Hyperlink"/>
          </w:rPr>
          <w:t xml:space="preserve"> for organisations</w:t>
        </w:r>
      </w:hyperlink>
      <w:r w:rsidRPr="000F2D4C">
        <w:t xml:space="preserve">. </w:t>
      </w:r>
    </w:p>
    <w:p w14:paraId="5A9F58C9" w14:textId="22C2527E" w:rsidR="009921FF" w:rsidRPr="000F2D4C" w:rsidRDefault="009921FF" w:rsidP="009921FF">
      <w:pPr>
        <w:pStyle w:val="Boxbullets"/>
      </w:pPr>
      <w:r w:rsidRPr="000F2D4C">
        <w:t>Roses in the Ocean</w:t>
      </w:r>
      <w:r w:rsidR="00A74BCC" w:rsidRPr="000F2D4C">
        <w:t xml:space="preserve"> (2022</w:t>
      </w:r>
      <w:hyperlink r:id="rId138" w:history="1">
        <w:r w:rsidR="00A74BCC" w:rsidRPr="000F2D4C">
          <w:rPr>
            <w:rStyle w:val="Hyperlink"/>
          </w:rPr>
          <w:t>).</w:t>
        </w:r>
        <w:r w:rsidRPr="000F2D4C">
          <w:rPr>
            <w:rStyle w:val="Hyperlink"/>
          </w:rPr>
          <w:t xml:space="preserve"> Lived Experience of Suicide Engagement, Partnership and Integration (LESEPI) Implementation Toolkit</w:t>
        </w:r>
      </w:hyperlink>
      <w:r w:rsidR="00A74BCC" w:rsidRPr="000F2D4C">
        <w:t>.</w:t>
      </w:r>
      <w:r w:rsidRPr="000F2D4C">
        <w:t xml:space="preserve"> </w:t>
      </w:r>
    </w:p>
    <w:p w14:paraId="2E1DEFA9" w14:textId="33D4A785" w:rsidR="009921FF" w:rsidRPr="000F2D4C" w:rsidRDefault="009921FF" w:rsidP="009921FF">
      <w:pPr>
        <w:pStyle w:val="Boxbullets"/>
      </w:pPr>
      <w:r w:rsidRPr="000F2D4C">
        <w:t xml:space="preserve">Mental Health Commission of New South Wales. (2018). </w:t>
      </w:r>
      <w:hyperlink r:id="rId139" w:history="1">
        <w:r w:rsidRPr="000F2D4C">
          <w:rPr>
            <w:rStyle w:val="Hyperlink"/>
          </w:rPr>
          <w:t>Lived Experience Framework</w:t>
        </w:r>
      </w:hyperlink>
      <w:r w:rsidRPr="000F2D4C">
        <w:t xml:space="preserve">. </w:t>
      </w:r>
    </w:p>
    <w:p w14:paraId="4D7FFBAA" w14:textId="6693DAE2" w:rsidR="009921FF" w:rsidRPr="000F2D4C" w:rsidRDefault="009921FF" w:rsidP="009921FF">
      <w:pPr>
        <w:pStyle w:val="Boxbullets"/>
      </w:pPr>
      <w:r w:rsidRPr="000F2D4C">
        <w:t xml:space="preserve">Department of Health and Human Services Victoria. (2019). </w:t>
      </w:r>
      <w:hyperlink r:id="rId140" w:history="1">
        <w:r w:rsidRPr="000F2D4C">
          <w:rPr>
            <w:rStyle w:val="Hyperlink"/>
          </w:rPr>
          <w:t>Mental health lived experience framework</w:t>
        </w:r>
      </w:hyperlink>
      <w:r w:rsidRPr="000F2D4C">
        <w:t xml:space="preserve">. </w:t>
      </w:r>
    </w:p>
    <w:p w14:paraId="41E6775C" w14:textId="4C7B13AA" w:rsidR="009921FF" w:rsidRPr="000F2D4C" w:rsidRDefault="009921FF" w:rsidP="009921FF">
      <w:pPr>
        <w:pStyle w:val="Boxbullets"/>
      </w:pPr>
      <w:r w:rsidRPr="000F2D4C">
        <w:t xml:space="preserve">Roper, C., Grey, F., and Cadogen, E. (2018). Co-production: </w:t>
      </w:r>
      <w:hyperlink r:id="rId141" w:history="1">
        <w:r w:rsidRPr="000F2D4C">
          <w:rPr>
            <w:rStyle w:val="Hyperlink"/>
          </w:rPr>
          <w:t>Putting principles into practice in mental health contexts</w:t>
        </w:r>
      </w:hyperlink>
      <w:r w:rsidRPr="000F2D4C">
        <w:t xml:space="preserve">. </w:t>
      </w:r>
      <w:r w:rsidR="00104C91" w:rsidRPr="000F2D4C">
        <w:br/>
      </w:r>
    </w:p>
    <w:p w14:paraId="2C2768C5" w14:textId="481D7DB2" w:rsidR="00E6428A" w:rsidRPr="000F2D4C" w:rsidRDefault="00E6428A" w:rsidP="009F026E">
      <w:pPr>
        <w:pStyle w:val="Appendix"/>
      </w:pPr>
      <w:bookmarkStart w:id="106" w:name="_Toc149919018"/>
      <w:r w:rsidRPr="000F2D4C">
        <w:lastRenderedPageBreak/>
        <w:t xml:space="preserve">Evaluability assessment </w:t>
      </w:r>
      <w:r w:rsidRPr="000F2D4C">
        <w:tab/>
        <w:t>checklist</w:t>
      </w:r>
      <w:r w:rsidRPr="000F2D4C">
        <w:rPr>
          <w:rStyle w:val="FootnoteReference"/>
        </w:rPr>
        <w:footnoteReference w:id="59"/>
      </w:r>
      <w:bookmarkEnd w:id="95"/>
      <w:bookmarkEnd w:id="96"/>
      <w:bookmarkEnd w:id="97"/>
      <w:bookmarkEnd w:id="106"/>
    </w:p>
    <w:tbl>
      <w:tblPr>
        <w:tblStyle w:val="ARTDTable"/>
        <w:tblW w:w="9015" w:type="dxa"/>
        <w:tblLook w:val="04A0" w:firstRow="1" w:lastRow="0" w:firstColumn="1" w:lastColumn="0" w:noHBand="0" w:noVBand="1"/>
      </w:tblPr>
      <w:tblGrid>
        <w:gridCol w:w="1503"/>
        <w:gridCol w:w="4536"/>
        <w:gridCol w:w="2976"/>
      </w:tblGrid>
      <w:tr w:rsidR="006023D1" w:rsidRPr="000F2D4C" w14:paraId="4916B837" w14:textId="77777777">
        <w:trPr>
          <w:cnfStyle w:val="100000000000" w:firstRow="1" w:lastRow="0" w:firstColumn="0" w:lastColumn="0" w:oddVBand="0" w:evenVBand="0" w:oddHBand="0" w:evenHBand="0" w:firstRowFirstColumn="0" w:firstRowLastColumn="0" w:lastRowFirstColumn="0" w:lastRowLastColumn="0"/>
          <w:tblHeader/>
        </w:trPr>
        <w:tc>
          <w:tcPr>
            <w:tcW w:w="1503" w:type="dxa"/>
          </w:tcPr>
          <w:p w14:paraId="53DFDE6D" w14:textId="77777777" w:rsidR="006023D1" w:rsidRPr="000F2D4C" w:rsidRDefault="006023D1">
            <w:pPr>
              <w:pStyle w:val="Tablecolumnheading"/>
            </w:pPr>
            <w:r w:rsidRPr="000F2D4C">
              <w:t xml:space="preserve">Focus </w:t>
            </w:r>
          </w:p>
        </w:tc>
        <w:tc>
          <w:tcPr>
            <w:tcW w:w="4536" w:type="dxa"/>
          </w:tcPr>
          <w:p w14:paraId="4E64D3CA" w14:textId="77777777" w:rsidR="006023D1" w:rsidRPr="000F2D4C" w:rsidRDefault="006023D1">
            <w:pPr>
              <w:pStyle w:val="Tablecolumnheading"/>
            </w:pPr>
            <w:r w:rsidRPr="000F2D4C">
              <w:t>Question</w:t>
            </w:r>
          </w:p>
        </w:tc>
        <w:tc>
          <w:tcPr>
            <w:tcW w:w="2976" w:type="dxa"/>
          </w:tcPr>
          <w:p w14:paraId="0D1DBE35" w14:textId="77777777" w:rsidR="006023D1" w:rsidRPr="000F2D4C" w:rsidRDefault="006023D1">
            <w:pPr>
              <w:pStyle w:val="Tablecolumnheading"/>
            </w:pPr>
            <w:r w:rsidRPr="000F2D4C">
              <w:t>Response</w:t>
            </w:r>
          </w:p>
        </w:tc>
      </w:tr>
      <w:tr w:rsidR="006023D1" w:rsidRPr="000F2D4C" w14:paraId="507E5CC9" w14:textId="77777777">
        <w:trPr>
          <w:cnfStyle w:val="000000100000" w:firstRow="0" w:lastRow="0" w:firstColumn="0" w:lastColumn="0" w:oddVBand="0" w:evenVBand="0" w:oddHBand="1" w:evenHBand="0" w:firstRowFirstColumn="0" w:firstRowLastColumn="0" w:lastRowFirstColumn="0" w:lastRowLastColumn="0"/>
        </w:trPr>
        <w:tc>
          <w:tcPr>
            <w:tcW w:w="1503" w:type="dxa"/>
            <w:shd w:val="clear" w:color="auto" w:fill="BFBFBF" w:themeFill="text1" w:themeFillShade="BF"/>
          </w:tcPr>
          <w:p w14:paraId="07A60255" w14:textId="77777777" w:rsidR="006023D1" w:rsidRPr="000F2D4C" w:rsidRDefault="006023D1">
            <w:pPr>
              <w:pStyle w:val="Tablebodytext"/>
              <w:rPr>
                <w:b/>
              </w:rPr>
            </w:pPr>
            <w:r w:rsidRPr="000F2D4C">
              <w:rPr>
                <w:b/>
              </w:rPr>
              <w:t>Design</w:t>
            </w:r>
          </w:p>
        </w:tc>
        <w:tc>
          <w:tcPr>
            <w:tcW w:w="4536" w:type="dxa"/>
            <w:shd w:val="clear" w:color="auto" w:fill="BFBFBF" w:themeFill="text1" w:themeFillShade="BF"/>
          </w:tcPr>
          <w:p w14:paraId="06B41D05" w14:textId="77777777" w:rsidR="006023D1" w:rsidRPr="000F2D4C" w:rsidRDefault="006023D1">
            <w:pPr>
              <w:pStyle w:val="Tablebodytext"/>
            </w:pPr>
          </w:p>
        </w:tc>
        <w:tc>
          <w:tcPr>
            <w:tcW w:w="2976" w:type="dxa"/>
            <w:shd w:val="clear" w:color="auto" w:fill="BFBFBF" w:themeFill="text1" w:themeFillShade="BF"/>
          </w:tcPr>
          <w:p w14:paraId="46CA0DC0" w14:textId="77777777" w:rsidR="006023D1" w:rsidRPr="000F2D4C" w:rsidRDefault="006023D1">
            <w:pPr>
              <w:pStyle w:val="Tablebodytext"/>
            </w:pPr>
          </w:p>
        </w:tc>
      </w:tr>
      <w:tr w:rsidR="006023D1" w:rsidRPr="000F2D4C" w14:paraId="26AE7FA4" w14:textId="77777777">
        <w:trPr>
          <w:cnfStyle w:val="000000010000" w:firstRow="0" w:lastRow="0" w:firstColumn="0" w:lastColumn="0" w:oddVBand="0" w:evenVBand="0" w:oddHBand="0" w:evenHBand="1" w:firstRowFirstColumn="0" w:firstRowLastColumn="0" w:lastRowFirstColumn="0" w:lastRowLastColumn="0"/>
        </w:trPr>
        <w:tc>
          <w:tcPr>
            <w:tcW w:w="1503" w:type="dxa"/>
          </w:tcPr>
          <w:p w14:paraId="1ABA634A" w14:textId="77777777" w:rsidR="006023D1" w:rsidRPr="000F2D4C" w:rsidRDefault="006023D1">
            <w:pPr>
              <w:pStyle w:val="Tablebodytext"/>
              <w:rPr>
                <w:b/>
              </w:rPr>
            </w:pPr>
            <w:r w:rsidRPr="000F2D4C">
              <w:rPr>
                <w:b/>
              </w:rPr>
              <w:t>Related to need</w:t>
            </w:r>
          </w:p>
        </w:tc>
        <w:tc>
          <w:tcPr>
            <w:tcW w:w="4536" w:type="dxa"/>
          </w:tcPr>
          <w:p w14:paraId="7B7FC04E" w14:textId="77777777" w:rsidR="006023D1" w:rsidRPr="000F2D4C" w:rsidRDefault="006023D1">
            <w:pPr>
              <w:pStyle w:val="Tablebodytext"/>
            </w:pPr>
            <w:r w:rsidRPr="000F2D4C">
              <w:t>Is the project objective clearly relevant to the needs of the target group, as identified by any form of situation analysis, baseline study, or other evidence and argument?</w:t>
            </w:r>
          </w:p>
        </w:tc>
        <w:tc>
          <w:tcPr>
            <w:tcW w:w="2976" w:type="dxa"/>
          </w:tcPr>
          <w:p w14:paraId="6F0179E7" w14:textId="77777777" w:rsidR="006023D1" w:rsidRPr="000F2D4C" w:rsidRDefault="006023D1">
            <w:pPr>
              <w:pStyle w:val="Tablebodytext"/>
            </w:pPr>
          </w:p>
        </w:tc>
      </w:tr>
      <w:tr w:rsidR="006023D1" w:rsidRPr="000F2D4C" w14:paraId="155D7859" w14:textId="77777777">
        <w:trPr>
          <w:cnfStyle w:val="000000100000" w:firstRow="0" w:lastRow="0" w:firstColumn="0" w:lastColumn="0" w:oddVBand="0" w:evenVBand="0" w:oddHBand="1" w:evenHBand="0" w:firstRowFirstColumn="0" w:firstRowLastColumn="0" w:lastRowFirstColumn="0" w:lastRowLastColumn="0"/>
        </w:trPr>
        <w:tc>
          <w:tcPr>
            <w:tcW w:w="1503" w:type="dxa"/>
          </w:tcPr>
          <w:p w14:paraId="0F637FA3" w14:textId="77777777" w:rsidR="006023D1" w:rsidRPr="000F2D4C" w:rsidRDefault="006023D1">
            <w:pPr>
              <w:pStyle w:val="Tablebodytext"/>
            </w:pPr>
            <w:r w:rsidRPr="000F2D4C">
              <w:rPr>
                <w:b/>
              </w:rPr>
              <w:t>Clear logic</w:t>
            </w:r>
          </w:p>
        </w:tc>
        <w:tc>
          <w:tcPr>
            <w:tcW w:w="4536" w:type="dxa"/>
          </w:tcPr>
          <w:p w14:paraId="77244782" w14:textId="77777777" w:rsidR="006023D1" w:rsidRPr="000F2D4C" w:rsidRDefault="006023D1">
            <w:pPr>
              <w:pStyle w:val="Tablebodytext"/>
            </w:pPr>
            <w:r w:rsidRPr="000F2D4C">
              <w:t>Are the ultimate outcomes clearly identified, and are the proposed steps towards achieving these clearly defined? (logic model in place)</w:t>
            </w:r>
          </w:p>
        </w:tc>
        <w:tc>
          <w:tcPr>
            <w:tcW w:w="2976" w:type="dxa"/>
          </w:tcPr>
          <w:p w14:paraId="45D84861" w14:textId="77777777" w:rsidR="006023D1" w:rsidRPr="000F2D4C" w:rsidRDefault="006023D1">
            <w:pPr>
              <w:pStyle w:val="Tablebodytext"/>
            </w:pPr>
          </w:p>
        </w:tc>
      </w:tr>
      <w:tr w:rsidR="006023D1" w:rsidRPr="000F2D4C" w14:paraId="081593C8" w14:textId="77777777">
        <w:trPr>
          <w:cnfStyle w:val="000000010000" w:firstRow="0" w:lastRow="0" w:firstColumn="0" w:lastColumn="0" w:oddVBand="0" w:evenVBand="0" w:oddHBand="0" w:evenHBand="1" w:firstRowFirstColumn="0" w:firstRowLastColumn="0" w:lastRowFirstColumn="0" w:lastRowLastColumn="0"/>
        </w:trPr>
        <w:tc>
          <w:tcPr>
            <w:tcW w:w="1503" w:type="dxa"/>
          </w:tcPr>
          <w:p w14:paraId="3DDEB045" w14:textId="77777777" w:rsidR="006023D1" w:rsidRPr="000F2D4C" w:rsidRDefault="006023D1">
            <w:pPr>
              <w:pStyle w:val="Tablebodytext"/>
            </w:pPr>
            <w:r w:rsidRPr="000F2D4C">
              <w:rPr>
                <w:b/>
              </w:rPr>
              <w:t>Plausible logic</w:t>
            </w:r>
          </w:p>
        </w:tc>
        <w:tc>
          <w:tcPr>
            <w:tcW w:w="4536" w:type="dxa"/>
          </w:tcPr>
          <w:p w14:paraId="231D1AEA" w14:textId="77777777" w:rsidR="006023D1" w:rsidRPr="000F2D4C" w:rsidRDefault="006023D1">
            <w:pPr>
              <w:pStyle w:val="Tablebodytext"/>
            </w:pPr>
            <w:r w:rsidRPr="000F2D4C">
              <w:t>Is it likely that the outcomes could be achieved, given the planned programs, within the available time? Is there evidence from elsewhere that it could be achieved?</w:t>
            </w:r>
          </w:p>
        </w:tc>
        <w:tc>
          <w:tcPr>
            <w:tcW w:w="2976" w:type="dxa"/>
          </w:tcPr>
          <w:p w14:paraId="2E9E404D" w14:textId="77777777" w:rsidR="006023D1" w:rsidRPr="000F2D4C" w:rsidRDefault="006023D1">
            <w:pPr>
              <w:pStyle w:val="Tablebodytext"/>
            </w:pPr>
          </w:p>
        </w:tc>
      </w:tr>
      <w:tr w:rsidR="006023D1" w:rsidRPr="000F2D4C" w14:paraId="4673B28C" w14:textId="77777777">
        <w:trPr>
          <w:cnfStyle w:val="000000100000" w:firstRow="0" w:lastRow="0" w:firstColumn="0" w:lastColumn="0" w:oddVBand="0" w:evenVBand="0" w:oddHBand="1" w:evenHBand="0" w:firstRowFirstColumn="0" w:firstRowLastColumn="0" w:lastRowFirstColumn="0" w:lastRowLastColumn="0"/>
        </w:trPr>
        <w:tc>
          <w:tcPr>
            <w:tcW w:w="1503" w:type="dxa"/>
          </w:tcPr>
          <w:p w14:paraId="3ED30FE9" w14:textId="77777777" w:rsidR="006023D1" w:rsidRPr="000F2D4C" w:rsidRDefault="006023D1">
            <w:pPr>
              <w:pStyle w:val="Tablebodytext"/>
            </w:pPr>
            <w:r w:rsidRPr="000F2D4C">
              <w:rPr>
                <w:b/>
              </w:rPr>
              <w:t>SMART indicators</w:t>
            </w:r>
          </w:p>
        </w:tc>
        <w:tc>
          <w:tcPr>
            <w:tcW w:w="4536" w:type="dxa"/>
          </w:tcPr>
          <w:p w14:paraId="42163696" w14:textId="77777777" w:rsidR="006023D1" w:rsidRPr="000F2D4C" w:rsidRDefault="006023D1">
            <w:pPr>
              <w:pStyle w:val="Tablebodytext"/>
            </w:pPr>
            <w:r w:rsidRPr="000F2D4C">
              <w:t>Are there specific, measurable, achievable, relevant, and time-bound indicators aligned with the logic?</w:t>
            </w:r>
          </w:p>
        </w:tc>
        <w:tc>
          <w:tcPr>
            <w:tcW w:w="2976" w:type="dxa"/>
          </w:tcPr>
          <w:p w14:paraId="6938E345" w14:textId="77777777" w:rsidR="006023D1" w:rsidRPr="000F2D4C" w:rsidRDefault="006023D1">
            <w:pPr>
              <w:pStyle w:val="Tablebodytext"/>
            </w:pPr>
          </w:p>
        </w:tc>
      </w:tr>
      <w:tr w:rsidR="006023D1" w:rsidRPr="000F2D4C" w14:paraId="0B863182" w14:textId="77777777">
        <w:trPr>
          <w:cnfStyle w:val="000000010000" w:firstRow="0" w:lastRow="0" w:firstColumn="0" w:lastColumn="0" w:oddVBand="0" w:evenVBand="0" w:oddHBand="0" w:evenHBand="1" w:firstRowFirstColumn="0" w:firstRowLastColumn="0" w:lastRowFirstColumn="0" w:lastRowLastColumn="0"/>
          <w:trHeight w:val="637"/>
        </w:trPr>
        <w:tc>
          <w:tcPr>
            <w:tcW w:w="1503" w:type="dxa"/>
          </w:tcPr>
          <w:p w14:paraId="5F956E96" w14:textId="77777777" w:rsidR="006023D1" w:rsidRPr="000F2D4C" w:rsidRDefault="006023D1">
            <w:pPr>
              <w:pStyle w:val="Tablebodytext"/>
            </w:pPr>
            <w:r w:rsidRPr="000F2D4C">
              <w:rPr>
                <w:b/>
              </w:rPr>
              <w:t>Contextual factors identified</w:t>
            </w:r>
          </w:p>
        </w:tc>
        <w:tc>
          <w:tcPr>
            <w:tcW w:w="4536" w:type="dxa"/>
          </w:tcPr>
          <w:p w14:paraId="02C06682" w14:textId="77777777" w:rsidR="006023D1" w:rsidRPr="000F2D4C" w:rsidRDefault="006023D1">
            <w:pPr>
              <w:pStyle w:val="Tablebodytext"/>
            </w:pPr>
            <w:r w:rsidRPr="000F2D4C">
              <w:t>Have assumptions about the roles of factors besides the program been made explicit? Are these factors able to be monitored?</w:t>
            </w:r>
          </w:p>
        </w:tc>
        <w:tc>
          <w:tcPr>
            <w:tcW w:w="2976" w:type="dxa"/>
          </w:tcPr>
          <w:p w14:paraId="2A293FED" w14:textId="77777777" w:rsidR="006023D1" w:rsidRPr="000F2D4C" w:rsidRDefault="006023D1">
            <w:pPr>
              <w:pStyle w:val="Tablebodytext"/>
            </w:pPr>
          </w:p>
        </w:tc>
      </w:tr>
      <w:tr w:rsidR="006023D1" w:rsidRPr="000F2D4C" w14:paraId="4226C2DF" w14:textId="77777777">
        <w:trPr>
          <w:cnfStyle w:val="000000100000" w:firstRow="0" w:lastRow="0" w:firstColumn="0" w:lastColumn="0" w:oddVBand="0" w:evenVBand="0" w:oddHBand="1" w:evenHBand="0" w:firstRowFirstColumn="0" w:firstRowLastColumn="0" w:lastRowFirstColumn="0" w:lastRowLastColumn="0"/>
        </w:trPr>
        <w:tc>
          <w:tcPr>
            <w:tcW w:w="1503" w:type="dxa"/>
            <w:shd w:val="clear" w:color="auto" w:fill="BFBFBF" w:themeFill="text1" w:themeFillShade="BF"/>
          </w:tcPr>
          <w:p w14:paraId="3625FA81" w14:textId="77777777" w:rsidR="006023D1" w:rsidRPr="000F2D4C" w:rsidRDefault="006023D1">
            <w:pPr>
              <w:pStyle w:val="Tablebodytext"/>
              <w:rPr>
                <w:b/>
              </w:rPr>
            </w:pPr>
            <w:r w:rsidRPr="000F2D4C">
              <w:rPr>
                <w:b/>
              </w:rPr>
              <w:t>Information availability</w:t>
            </w:r>
          </w:p>
        </w:tc>
        <w:tc>
          <w:tcPr>
            <w:tcW w:w="4536" w:type="dxa"/>
            <w:shd w:val="clear" w:color="auto" w:fill="BFBFBF" w:themeFill="text1" w:themeFillShade="BF"/>
          </w:tcPr>
          <w:p w14:paraId="6A07FC21" w14:textId="77777777" w:rsidR="006023D1" w:rsidRPr="000F2D4C" w:rsidRDefault="006023D1">
            <w:pPr>
              <w:spacing w:before="120" w:after="120" w:line="240" w:lineRule="auto"/>
            </w:pPr>
          </w:p>
        </w:tc>
        <w:tc>
          <w:tcPr>
            <w:tcW w:w="2976" w:type="dxa"/>
            <w:shd w:val="clear" w:color="auto" w:fill="BFBFBF" w:themeFill="text1" w:themeFillShade="BF"/>
          </w:tcPr>
          <w:p w14:paraId="4F6072F3" w14:textId="77777777" w:rsidR="006023D1" w:rsidRPr="000F2D4C" w:rsidRDefault="006023D1">
            <w:pPr>
              <w:pStyle w:val="Tablebodytext"/>
            </w:pPr>
          </w:p>
        </w:tc>
      </w:tr>
      <w:tr w:rsidR="006023D1" w:rsidRPr="000F2D4C" w14:paraId="00BF9068" w14:textId="77777777">
        <w:trPr>
          <w:cnfStyle w:val="000000010000" w:firstRow="0" w:lastRow="0" w:firstColumn="0" w:lastColumn="0" w:oddVBand="0" w:evenVBand="0" w:oddHBand="0" w:evenHBand="1" w:firstRowFirstColumn="0" w:firstRowLastColumn="0" w:lastRowFirstColumn="0" w:lastRowLastColumn="0"/>
        </w:trPr>
        <w:tc>
          <w:tcPr>
            <w:tcW w:w="1503" w:type="dxa"/>
          </w:tcPr>
          <w:p w14:paraId="640EC2BF" w14:textId="77777777" w:rsidR="006023D1" w:rsidRPr="000F2D4C" w:rsidRDefault="006023D1">
            <w:pPr>
              <w:pStyle w:val="Tablebodytext"/>
              <w:rPr>
                <w:b/>
              </w:rPr>
            </w:pPr>
            <w:r w:rsidRPr="000F2D4C">
              <w:rPr>
                <w:b/>
              </w:rPr>
              <w:t>Documentation complete</w:t>
            </w:r>
          </w:p>
        </w:tc>
        <w:tc>
          <w:tcPr>
            <w:tcW w:w="4536" w:type="dxa"/>
          </w:tcPr>
          <w:p w14:paraId="2551FC25" w14:textId="77777777" w:rsidR="006023D1" w:rsidRPr="000F2D4C" w:rsidRDefault="006023D1">
            <w:pPr>
              <w:spacing w:before="120" w:after="120" w:line="240" w:lineRule="auto"/>
            </w:pPr>
            <w:r w:rsidRPr="000F2D4C">
              <w:t xml:space="preserve">Is there sufficient documentation of design and implementation and changes made, e.g., Project proposal, Progress reports? </w:t>
            </w:r>
          </w:p>
        </w:tc>
        <w:tc>
          <w:tcPr>
            <w:tcW w:w="2976" w:type="dxa"/>
          </w:tcPr>
          <w:p w14:paraId="5542DA5A" w14:textId="77777777" w:rsidR="006023D1" w:rsidRPr="000F2D4C" w:rsidRDefault="006023D1">
            <w:pPr>
              <w:pStyle w:val="Tablebodytext"/>
            </w:pPr>
          </w:p>
        </w:tc>
      </w:tr>
      <w:tr w:rsidR="006023D1" w:rsidRPr="000F2D4C" w14:paraId="6716B248" w14:textId="77777777">
        <w:trPr>
          <w:cnfStyle w:val="000000100000" w:firstRow="0" w:lastRow="0" w:firstColumn="0" w:lastColumn="0" w:oddVBand="0" w:evenVBand="0" w:oddHBand="1" w:evenHBand="0" w:firstRowFirstColumn="0" w:firstRowLastColumn="0" w:lastRowFirstColumn="0" w:lastRowLastColumn="0"/>
        </w:trPr>
        <w:tc>
          <w:tcPr>
            <w:tcW w:w="1503" w:type="dxa"/>
          </w:tcPr>
          <w:p w14:paraId="501393DD" w14:textId="77777777" w:rsidR="006023D1" w:rsidRPr="000F2D4C" w:rsidRDefault="006023D1">
            <w:pPr>
              <w:pStyle w:val="Tablebodytext"/>
              <w:rPr>
                <w:b/>
              </w:rPr>
            </w:pPr>
            <w:r w:rsidRPr="000F2D4C">
              <w:rPr>
                <w:b/>
              </w:rPr>
              <w:t>Baseline data available</w:t>
            </w:r>
          </w:p>
        </w:tc>
        <w:tc>
          <w:tcPr>
            <w:tcW w:w="4536" w:type="dxa"/>
          </w:tcPr>
          <w:p w14:paraId="1A1C53F7" w14:textId="77777777" w:rsidR="006023D1" w:rsidRPr="000F2D4C" w:rsidRDefault="006023D1">
            <w:pPr>
              <w:spacing w:before="120" w:after="120" w:line="240" w:lineRule="auto"/>
            </w:pPr>
            <w:r w:rsidRPr="000F2D4C">
              <w:t>If baseline data is not yet available, are there specific plans for when baseline data would be collected, and how feasible are these?</w:t>
            </w:r>
          </w:p>
          <w:p w14:paraId="4BCDDF08" w14:textId="77777777" w:rsidR="006023D1" w:rsidRPr="000F2D4C" w:rsidRDefault="006023D1">
            <w:pPr>
              <w:spacing w:before="120" w:after="120" w:line="240" w:lineRule="auto"/>
            </w:pPr>
            <w:r w:rsidRPr="000F2D4C">
              <w:t xml:space="preserve">If baseline data exists, is the raw data available? Is the sampling process clear and data collection tools/ definitions clear? </w:t>
            </w:r>
          </w:p>
        </w:tc>
        <w:tc>
          <w:tcPr>
            <w:tcW w:w="2976" w:type="dxa"/>
          </w:tcPr>
          <w:p w14:paraId="33F20781" w14:textId="77777777" w:rsidR="006023D1" w:rsidRPr="000F2D4C" w:rsidRDefault="006023D1">
            <w:pPr>
              <w:pStyle w:val="Tablebodytext"/>
            </w:pPr>
          </w:p>
        </w:tc>
      </w:tr>
      <w:tr w:rsidR="006023D1" w:rsidRPr="000F2D4C" w14:paraId="4EEBCCF0" w14:textId="77777777">
        <w:trPr>
          <w:cnfStyle w:val="000000010000" w:firstRow="0" w:lastRow="0" w:firstColumn="0" w:lastColumn="0" w:oddVBand="0" w:evenVBand="0" w:oddHBand="0" w:evenHBand="1" w:firstRowFirstColumn="0" w:firstRowLastColumn="0" w:lastRowFirstColumn="0" w:lastRowLastColumn="0"/>
        </w:trPr>
        <w:tc>
          <w:tcPr>
            <w:tcW w:w="1503" w:type="dxa"/>
          </w:tcPr>
          <w:p w14:paraId="6CC26CDD" w14:textId="77777777" w:rsidR="006023D1" w:rsidRPr="000F2D4C" w:rsidRDefault="006023D1">
            <w:pPr>
              <w:pStyle w:val="Tablebodytext"/>
              <w:rPr>
                <w:b/>
              </w:rPr>
            </w:pPr>
            <w:r w:rsidRPr="000F2D4C">
              <w:rPr>
                <w:b/>
              </w:rPr>
              <w:t>Range of data available</w:t>
            </w:r>
          </w:p>
        </w:tc>
        <w:tc>
          <w:tcPr>
            <w:tcW w:w="4536" w:type="dxa"/>
          </w:tcPr>
          <w:p w14:paraId="79D74C06" w14:textId="77777777" w:rsidR="006023D1" w:rsidRPr="000F2D4C" w:rsidRDefault="006023D1">
            <w:pPr>
              <w:spacing w:before="120" w:after="120" w:line="240" w:lineRule="auto"/>
            </w:pPr>
            <w:r w:rsidRPr="000F2D4C">
              <w:t xml:space="preserve">To what extent does available data cover the range of outputs and outcomes? </w:t>
            </w:r>
          </w:p>
        </w:tc>
        <w:tc>
          <w:tcPr>
            <w:tcW w:w="2976" w:type="dxa"/>
          </w:tcPr>
          <w:p w14:paraId="538C7831" w14:textId="77777777" w:rsidR="006023D1" w:rsidRPr="000F2D4C" w:rsidRDefault="006023D1">
            <w:pPr>
              <w:pStyle w:val="Tablebodytext"/>
            </w:pPr>
          </w:p>
        </w:tc>
      </w:tr>
      <w:tr w:rsidR="006023D1" w:rsidRPr="000F2D4C" w14:paraId="7719EDD2" w14:textId="77777777">
        <w:trPr>
          <w:cnfStyle w:val="000000100000" w:firstRow="0" w:lastRow="0" w:firstColumn="0" w:lastColumn="0" w:oddVBand="0" w:evenVBand="0" w:oddHBand="1" w:evenHBand="0" w:firstRowFirstColumn="0" w:firstRowLastColumn="0" w:lastRowFirstColumn="0" w:lastRowLastColumn="0"/>
        </w:trPr>
        <w:tc>
          <w:tcPr>
            <w:tcW w:w="1503" w:type="dxa"/>
          </w:tcPr>
          <w:p w14:paraId="4721E48F" w14:textId="77777777" w:rsidR="006023D1" w:rsidRPr="000F2D4C" w:rsidRDefault="006023D1">
            <w:pPr>
              <w:pStyle w:val="Tablebodytext"/>
              <w:rPr>
                <w:b/>
              </w:rPr>
            </w:pPr>
            <w:r w:rsidRPr="000F2D4C">
              <w:rPr>
                <w:b/>
              </w:rPr>
              <w:lastRenderedPageBreak/>
              <w:t>Completeness and quality of data</w:t>
            </w:r>
          </w:p>
        </w:tc>
        <w:tc>
          <w:tcPr>
            <w:tcW w:w="4536" w:type="dxa"/>
          </w:tcPr>
          <w:p w14:paraId="7A4A25D3" w14:textId="77777777" w:rsidR="006023D1" w:rsidRPr="000F2D4C" w:rsidRDefault="006023D1">
            <w:pPr>
              <w:spacing w:before="120" w:after="120" w:line="240" w:lineRule="auto"/>
            </w:pPr>
            <w:r w:rsidRPr="000F2D4C">
              <w:t>Is there missing data? Are there issues with consistency?</w:t>
            </w:r>
          </w:p>
        </w:tc>
        <w:tc>
          <w:tcPr>
            <w:tcW w:w="2976" w:type="dxa"/>
          </w:tcPr>
          <w:p w14:paraId="099A14BB" w14:textId="77777777" w:rsidR="006023D1" w:rsidRPr="000F2D4C" w:rsidRDefault="006023D1">
            <w:pPr>
              <w:pStyle w:val="Tablebodytext"/>
            </w:pPr>
          </w:p>
        </w:tc>
      </w:tr>
      <w:tr w:rsidR="006023D1" w:rsidRPr="000F2D4C" w14:paraId="04FF4774" w14:textId="77777777">
        <w:trPr>
          <w:cnfStyle w:val="000000010000" w:firstRow="0" w:lastRow="0" w:firstColumn="0" w:lastColumn="0" w:oddVBand="0" w:evenVBand="0" w:oddHBand="0" w:evenHBand="1" w:firstRowFirstColumn="0" w:firstRowLastColumn="0" w:lastRowFirstColumn="0" w:lastRowLastColumn="0"/>
        </w:trPr>
        <w:tc>
          <w:tcPr>
            <w:tcW w:w="1503" w:type="dxa"/>
          </w:tcPr>
          <w:p w14:paraId="38C591B8" w14:textId="77777777" w:rsidR="006023D1" w:rsidRPr="000F2D4C" w:rsidRDefault="006023D1">
            <w:pPr>
              <w:pStyle w:val="Tablebodytext"/>
              <w:rPr>
                <w:b/>
              </w:rPr>
            </w:pPr>
            <w:r w:rsidRPr="000F2D4C">
              <w:rPr>
                <w:b/>
              </w:rPr>
              <w:t xml:space="preserve">Clarity about stakeholders </w:t>
            </w:r>
          </w:p>
        </w:tc>
        <w:tc>
          <w:tcPr>
            <w:tcW w:w="4536" w:type="dxa"/>
          </w:tcPr>
          <w:p w14:paraId="0E740036" w14:textId="77777777" w:rsidR="006023D1" w:rsidRPr="000F2D4C" w:rsidRDefault="006023D1">
            <w:pPr>
              <w:spacing w:before="120" w:after="120" w:line="240" w:lineRule="auto"/>
            </w:pPr>
            <w:r w:rsidRPr="000F2D4C">
              <w:t>Is there a record of who was involved in what project activities, and when?</w:t>
            </w:r>
          </w:p>
        </w:tc>
        <w:tc>
          <w:tcPr>
            <w:tcW w:w="2976" w:type="dxa"/>
          </w:tcPr>
          <w:p w14:paraId="1338CC38" w14:textId="77777777" w:rsidR="006023D1" w:rsidRPr="000F2D4C" w:rsidRDefault="006023D1">
            <w:pPr>
              <w:pStyle w:val="Tablebodytext"/>
            </w:pPr>
          </w:p>
        </w:tc>
      </w:tr>
      <w:tr w:rsidR="006023D1" w:rsidRPr="000F2D4C" w14:paraId="3E6385D2" w14:textId="77777777">
        <w:trPr>
          <w:cnfStyle w:val="000000100000" w:firstRow="0" w:lastRow="0" w:firstColumn="0" w:lastColumn="0" w:oddVBand="0" w:evenVBand="0" w:oddHBand="1" w:evenHBand="0" w:firstRowFirstColumn="0" w:firstRowLastColumn="0" w:lastRowFirstColumn="0" w:lastRowLastColumn="0"/>
        </w:trPr>
        <w:tc>
          <w:tcPr>
            <w:tcW w:w="1503" w:type="dxa"/>
            <w:shd w:val="clear" w:color="auto" w:fill="BFBFBF" w:themeFill="text1" w:themeFillShade="BF"/>
          </w:tcPr>
          <w:p w14:paraId="5064EF14" w14:textId="77777777" w:rsidR="006023D1" w:rsidRPr="000F2D4C" w:rsidRDefault="006023D1">
            <w:pPr>
              <w:pStyle w:val="Tablebodytext"/>
              <w:rPr>
                <w:b/>
              </w:rPr>
            </w:pPr>
            <w:r w:rsidRPr="000F2D4C">
              <w:rPr>
                <w:b/>
              </w:rPr>
              <w:t>Practicality and utility</w:t>
            </w:r>
          </w:p>
        </w:tc>
        <w:tc>
          <w:tcPr>
            <w:tcW w:w="4536" w:type="dxa"/>
            <w:shd w:val="clear" w:color="auto" w:fill="BFBFBF" w:themeFill="text1" w:themeFillShade="BF"/>
          </w:tcPr>
          <w:p w14:paraId="4B34A61C" w14:textId="77777777" w:rsidR="006023D1" w:rsidRPr="000F2D4C" w:rsidRDefault="006023D1">
            <w:pPr>
              <w:spacing w:before="120" w:after="120" w:line="240" w:lineRule="auto"/>
            </w:pPr>
          </w:p>
        </w:tc>
        <w:tc>
          <w:tcPr>
            <w:tcW w:w="2976" w:type="dxa"/>
            <w:shd w:val="clear" w:color="auto" w:fill="BFBFBF" w:themeFill="text1" w:themeFillShade="BF"/>
          </w:tcPr>
          <w:p w14:paraId="3DD563D4" w14:textId="77777777" w:rsidR="006023D1" w:rsidRPr="000F2D4C" w:rsidRDefault="006023D1">
            <w:pPr>
              <w:pStyle w:val="Tablebodytext"/>
            </w:pPr>
          </w:p>
        </w:tc>
      </w:tr>
      <w:tr w:rsidR="006023D1" w:rsidRPr="000F2D4C" w14:paraId="31F896C6" w14:textId="77777777">
        <w:trPr>
          <w:cnfStyle w:val="000000010000" w:firstRow="0" w:lastRow="0" w:firstColumn="0" w:lastColumn="0" w:oddVBand="0" w:evenVBand="0" w:oddHBand="0" w:evenHBand="1" w:firstRowFirstColumn="0" w:firstRowLastColumn="0" w:lastRowFirstColumn="0" w:lastRowLastColumn="0"/>
        </w:trPr>
        <w:tc>
          <w:tcPr>
            <w:tcW w:w="1503" w:type="dxa"/>
          </w:tcPr>
          <w:p w14:paraId="0B119FE9" w14:textId="77777777" w:rsidR="006023D1" w:rsidRPr="000F2D4C" w:rsidRDefault="006023D1">
            <w:pPr>
              <w:pStyle w:val="Tablebodytext"/>
              <w:rPr>
                <w:b/>
              </w:rPr>
            </w:pPr>
            <w:r w:rsidRPr="000F2D4C">
              <w:rPr>
                <w:b/>
              </w:rPr>
              <w:t>Stakeholders can be engaged</w:t>
            </w:r>
          </w:p>
        </w:tc>
        <w:tc>
          <w:tcPr>
            <w:tcW w:w="4536" w:type="dxa"/>
          </w:tcPr>
          <w:p w14:paraId="3E306039" w14:textId="77777777" w:rsidR="006023D1" w:rsidRPr="000F2D4C" w:rsidRDefault="006023D1">
            <w:pPr>
              <w:spacing w:before="120" w:after="0" w:line="240" w:lineRule="auto"/>
            </w:pPr>
            <w:r w:rsidRPr="000F2D4C">
              <w:t>Are contact details available? Was consent to contact for monitoring, research, and evaluation gained (or does this need to be sought in this project)?</w:t>
            </w:r>
          </w:p>
          <w:p w14:paraId="60E8357C" w14:textId="77777777" w:rsidR="006023D1" w:rsidRPr="000F2D4C" w:rsidRDefault="006023D1">
            <w:pPr>
              <w:spacing w:before="120" w:after="120" w:line="240" w:lineRule="auto"/>
            </w:pPr>
            <w:r w:rsidRPr="000F2D4C">
              <w:t>Are staff and key stakeholders likely to be present, or absent on leave or secondment? Can reported availability be relied upon?</w:t>
            </w:r>
          </w:p>
        </w:tc>
        <w:tc>
          <w:tcPr>
            <w:tcW w:w="2976" w:type="dxa"/>
          </w:tcPr>
          <w:p w14:paraId="4758BA87" w14:textId="77777777" w:rsidR="006023D1" w:rsidRPr="000F2D4C" w:rsidRDefault="006023D1">
            <w:pPr>
              <w:pStyle w:val="Tablebodytext"/>
            </w:pPr>
          </w:p>
        </w:tc>
      </w:tr>
      <w:tr w:rsidR="006023D1" w:rsidRPr="000F2D4C" w14:paraId="63A49AF2" w14:textId="77777777">
        <w:trPr>
          <w:cnfStyle w:val="000000100000" w:firstRow="0" w:lastRow="0" w:firstColumn="0" w:lastColumn="0" w:oddVBand="0" w:evenVBand="0" w:oddHBand="1" w:evenHBand="0" w:firstRowFirstColumn="0" w:firstRowLastColumn="0" w:lastRowFirstColumn="0" w:lastRowLastColumn="0"/>
        </w:trPr>
        <w:tc>
          <w:tcPr>
            <w:tcW w:w="1503" w:type="dxa"/>
          </w:tcPr>
          <w:p w14:paraId="28BCF995" w14:textId="77777777" w:rsidR="006023D1" w:rsidRPr="000F2D4C" w:rsidRDefault="006023D1">
            <w:pPr>
              <w:pStyle w:val="Tablebodytext"/>
              <w:rPr>
                <w:b/>
              </w:rPr>
            </w:pPr>
            <w:r w:rsidRPr="000F2D4C">
              <w:rPr>
                <w:b/>
              </w:rPr>
              <w:t>Sufficient resources</w:t>
            </w:r>
          </w:p>
        </w:tc>
        <w:tc>
          <w:tcPr>
            <w:tcW w:w="4536" w:type="dxa"/>
          </w:tcPr>
          <w:p w14:paraId="74BF7FD3" w14:textId="77777777" w:rsidR="006023D1" w:rsidRPr="000F2D4C" w:rsidRDefault="006023D1">
            <w:pPr>
              <w:spacing w:before="120" w:after="120" w:line="240" w:lineRule="auto"/>
            </w:pPr>
            <w:r w:rsidRPr="000F2D4C">
              <w:t>Is the funding or staff capability sufficient for the required evaluation activities? If no, can the evaluation be re-scoped (e.g., reduce the number of questions or the breadth of data collection) to make this feasible?</w:t>
            </w:r>
          </w:p>
        </w:tc>
        <w:tc>
          <w:tcPr>
            <w:tcW w:w="2976" w:type="dxa"/>
          </w:tcPr>
          <w:p w14:paraId="7197B26B" w14:textId="77777777" w:rsidR="006023D1" w:rsidRPr="000F2D4C" w:rsidRDefault="006023D1">
            <w:pPr>
              <w:pStyle w:val="Tablebodytext"/>
            </w:pPr>
          </w:p>
        </w:tc>
      </w:tr>
      <w:tr w:rsidR="006023D1" w:rsidRPr="000F2D4C" w14:paraId="1EB491AC" w14:textId="77777777">
        <w:trPr>
          <w:cnfStyle w:val="000000010000" w:firstRow="0" w:lastRow="0" w:firstColumn="0" w:lastColumn="0" w:oddVBand="0" w:evenVBand="0" w:oddHBand="0" w:evenHBand="1" w:firstRowFirstColumn="0" w:firstRowLastColumn="0" w:lastRowFirstColumn="0" w:lastRowLastColumn="0"/>
        </w:trPr>
        <w:tc>
          <w:tcPr>
            <w:tcW w:w="1503" w:type="dxa"/>
          </w:tcPr>
          <w:p w14:paraId="3CD91B4B" w14:textId="77777777" w:rsidR="006023D1" w:rsidRPr="000F2D4C" w:rsidRDefault="006023D1">
            <w:pPr>
              <w:pStyle w:val="Tablebodytext"/>
              <w:rPr>
                <w:b/>
              </w:rPr>
            </w:pPr>
            <w:r w:rsidRPr="000F2D4C">
              <w:rPr>
                <w:b/>
              </w:rPr>
              <w:t>Appropriate timing</w:t>
            </w:r>
          </w:p>
        </w:tc>
        <w:tc>
          <w:tcPr>
            <w:tcW w:w="4536" w:type="dxa"/>
          </w:tcPr>
          <w:p w14:paraId="6FF8DCDE" w14:textId="77777777" w:rsidR="006023D1" w:rsidRPr="000F2D4C" w:rsidRDefault="006023D1">
            <w:pPr>
              <w:spacing w:before="120" w:after="120" w:line="240" w:lineRule="auto"/>
            </w:pPr>
            <w:r w:rsidRPr="000F2D4C">
              <w:t>Is there an opportunity for an evaluation to have an influence in the current context (e.g., competing priorities)? If the evaluation was planned in advance, is the evaluation still relevant? Are the questions relevant to priorities?</w:t>
            </w:r>
          </w:p>
        </w:tc>
        <w:tc>
          <w:tcPr>
            <w:tcW w:w="2976" w:type="dxa"/>
          </w:tcPr>
          <w:p w14:paraId="393E1B92" w14:textId="77777777" w:rsidR="006023D1" w:rsidRPr="000F2D4C" w:rsidRDefault="006023D1">
            <w:pPr>
              <w:pStyle w:val="Tablebodytext"/>
            </w:pPr>
          </w:p>
        </w:tc>
      </w:tr>
      <w:tr w:rsidR="006023D1" w:rsidRPr="000F2D4C" w14:paraId="4B29E4C4" w14:textId="77777777">
        <w:trPr>
          <w:cnfStyle w:val="000000100000" w:firstRow="0" w:lastRow="0" w:firstColumn="0" w:lastColumn="0" w:oddVBand="0" w:evenVBand="0" w:oddHBand="1" w:evenHBand="0" w:firstRowFirstColumn="0" w:firstRowLastColumn="0" w:lastRowFirstColumn="0" w:lastRowLastColumn="0"/>
        </w:trPr>
        <w:tc>
          <w:tcPr>
            <w:tcW w:w="1503" w:type="dxa"/>
          </w:tcPr>
          <w:p w14:paraId="104540F7" w14:textId="77777777" w:rsidR="006023D1" w:rsidRPr="000F2D4C" w:rsidRDefault="006023D1">
            <w:pPr>
              <w:pStyle w:val="Tablebodytext"/>
              <w:rPr>
                <w:b/>
              </w:rPr>
            </w:pPr>
            <w:r w:rsidRPr="000F2D4C">
              <w:rPr>
                <w:b/>
              </w:rPr>
              <w:t>Clear intended users</w:t>
            </w:r>
          </w:p>
        </w:tc>
        <w:tc>
          <w:tcPr>
            <w:tcW w:w="4536" w:type="dxa"/>
          </w:tcPr>
          <w:p w14:paraId="4BD9F02A" w14:textId="77777777" w:rsidR="006023D1" w:rsidRPr="000F2D4C" w:rsidRDefault="006023D1">
            <w:pPr>
              <w:spacing w:before="120" w:after="120" w:line="240" w:lineRule="auto"/>
            </w:pPr>
            <w:r w:rsidRPr="000F2D4C">
              <w:t>Are the intended primary users clear? Are there any secondary intended users? Can they be involved in ensuring the evaluation will meet their needs?</w:t>
            </w:r>
          </w:p>
        </w:tc>
        <w:tc>
          <w:tcPr>
            <w:tcW w:w="2976" w:type="dxa"/>
          </w:tcPr>
          <w:p w14:paraId="02DF4A16" w14:textId="77777777" w:rsidR="006023D1" w:rsidRPr="000F2D4C" w:rsidRDefault="006023D1">
            <w:pPr>
              <w:pStyle w:val="Tablebodytext"/>
            </w:pPr>
          </w:p>
        </w:tc>
      </w:tr>
      <w:tr w:rsidR="006023D1" w:rsidRPr="000F2D4C" w14:paraId="525D7F3B" w14:textId="77777777">
        <w:trPr>
          <w:cnfStyle w:val="000000010000" w:firstRow="0" w:lastRow="0" w:firstColumn="0" w:lastColumn="0" w:oddVBand="0" w:evenVBand="0" w:oddHBand="0" w:evenHBand="1" w:firstRowFirstColumn="0" w:firstRowLastColumn="0" w:lastRowFirstColumn="0" w:lastRowLastColumn="0"/>
        </w:trPr>
        <w:tc>
          <w:tcPr>
            <w:tcW w:w="1503" w:type="dxa"/>
          </w:tcPr>
          <w:p w14:paraId="213A0494" w14:textId="77777777" w:rsidR="006023D1" w:rsidRPr="000F2D4C" w:rsidRDefault="006023D1">
            <w:pPr>
              <w:pStyle w:val="Tablebodytext"/>
              <w:rPr>
                <w:b/>
              </w:rPr>
            </w:pPr>
            <w:r w:rsidRPr="000F2D4C">
              <w:rPr>
                <w:b/>
              </w:rPr>
              <w:t>Stakeholder interests</w:t>
            </w:r>
          </w:p>
        </w:tc>
        <w:tc>
          <w:tcPr>
            <w:tcW w:w="4536" w:type="dxa"/>
          </w:tcPr>
          <w:p w14:paraId="49CE7649" w14:textId="77777777" w:rsidR="006023D1" w:rsidRPr="000F2D4C" w:rsidRDefault="006023D1">
            <w:pPr>
              <w:spacing w:before="120" w:after="120" w:line="240" w:lineRule="auto"/>
            </w:pPr>
            <w:r w:rsidRPr="000F2D4C">
              <w:t>Are there clear questions for the evaluation of interest to stakeholders? If no, can these be defined with intended users (see above?)</w:t>
            </w:r>
          </w:p>
          <w:p w14:paraId="109CA42A" w14:textId="77777777" w:rsidR="006023D1" w:rsidRPr="000F2D4C" w:rsidRDefault="006023D1">
            <w:pPr>
              <w:spacing w:before="120" w:after="120" w:line="240" w:lineRule="auto"/>
            </w:pPr>
            <w:r w:rsidRPr="000F2D4C">
              <w:t>Are questions realistic, given the project design and likely data availability? If no, can they be re-scoped?</w:t>
            </w:r>
          </w:p>
        </w:tc>
        <w:tc>
          <w:tcPr>
            <w:tcW w:w="2976" w:type="dxa"/>
          </w:tcPr>
          <w:p w14:paraId="6452AA56" w14:textId="77777777" w:rsidR="006023D1" w:rsidRPr="000F2D4C" w:rsidRDefault="006023D1">
            <w:pPr>
              <w:pStyle w:val="Tablebodytext"/>
            </w:pPr>
          </w:p>
        </w:tc>
      </w:tr>
      <w:tr w:rsidR="006023D1" w:rsidRPr="000F2D4C" w14:paraId="6648019A" w14:textId="77777777">
        <w:trPr>
          <w:cnfStyle w:val="000000100000" w:firstRow="0" w:lastRow="0" w:firstColumn="0" w:lastColumn="0" w:oddVBand="0" w:evenVBand="0" w:oddHBand="1" w:evenHBand="0" w:firstRowFirstColumn="0" w:firstRowLastColumn="0" w:lastRowFirstColumn="0" w:lastRowLastColumn="0"/>
        </w:trPr>
        <w:tc>
          <w:tcPr>
            <w:tcW w:w="1503" w:type="dxa"/>
          </w:tcPr>
          <w:p w14:paraId="67E6DA0A" w14:textId="77777777" w:rsidR="006023D1" w:rsidRPr="000F2D4C" w:rsidRDefault="006023D1">
            <w:pPr>
              <w:pStyle w:val="Tablebodytext"/>
              <w:rPr>
                <w:b/>
              </w:rPr>
            </w:pPr>
            <w:r w:rsidRPr="000F2D4C">
              <w:rPr>
                <w:b/>
              </w:rPr>
              <w:t>Ethics and risk are manageable</w:t>
            </w:r>
          </w:p>
        </w:tc>
        <w:tc>
          <w:tcPr>
            <w:tcW w:w="4536" w:type="dxa"/>
          </w:tcPr>
          <w:p w14:paraId="1E47A925" w14:textId="77777777" w:rsidR="006023D1" w:rsidRPr="000F2D4C" w:rsidRDefault="006023D1">
            <w:pPr>
              <w:spacing w:before="120" w:after="120" w:line="240" w:lineRule="auto"/>
            </w:pPr>
            <w:r w:rsidRPr="000F2D4C">
              <w:t>Have ethical considerations been identified? Are they manageable?</w:t>
            </w:r>
          </w:p>
          <w:p w14:paraId="3E30BF6B" w14:textId="77777777" w:rsidR="006023D1" w:rsidRPr="000F2D4C" w:rsidRDefault="006023D1">
            <w:pPr>
              <w:spacing w:before="120" w:after="120" w:line="240" w:lineRule="auto"/>
            </w:pPr>
            <w:r w:rsidRPr="000F2D4C">
              <w:t>Have risks been identified? Are they manageable through identified strategies?</w:t>
            </w:r>
          </w:p>
          <w:p w14:paraId="6F2C3094" w14:textId="77777777" w:rsidR="006023D1" w:rsidRPr="000F2D4C" w:rsidRDefault="006023D1">
            <w:pPr>
              <w:spacing w:before="120" w:after="120" w:line="240" w:lineRule="auto"/>
            </w:pPr>
          </w:p>
        </w:tc>
        <w:tc>
          <w:tcPr>
            <w:tcW w:w="2976" w:type="dxa"/>
          </w:tcPr>
          <w:p w14:paraId="0D508D43" w14:textId="77777777" w:rsidR="006023D1" w:rsidRPr="000F2D4C" w:rsidRDefault="006023D1">
            <w:pPr>
              <w:pStyle w:val="Tablebodytext"/>
            </w:pPr>
          </w:p>
        </w:tc>
      </w:tr>
      <w:tr w:rsidR="00E6428A" w:rsidRPr="000F2D4C" w14:paraId="72549224" w14:textId="77777777" w:rsidTr="560E06FF">
        <w:trPr>
          <w:cnfStyle w:val="000000010000" w:firstRow="0" w:lastRow="0" w:firstColumn="0" w:lastColumn="0" w:oddVBand="0" w:evenVBand="0" w:oddHBand="0" w:evenHBand="1" w:firstRowFirstColumn="0" w:firstRowLastColumn="0" w:lastRowFirstColumn="0" w:lastRowLastColumn="0"/>
          <w:tblHeader/>
        </w:trPr>
        <w:tc>
          <w:tcPr>
            <w:tcW w:w="1503" w:type="dxa"/>
          </w:tcPr>
          <w:p w14:paraId="7EEB1651" w14:textId="4F6CFCBA" w:rsidR="00E6428A" w:rsidRPr="000F2D4C" w:rsidRDefault="00E6428A">
            <w:pPr>
              <w:pStyle w:val="Tablecolumnheading"/>
            </w:pPr>
          </w:p>
        </w:tc>
        <w:tc>
          <w:tcPr>
            <w:tcW w:w="4536" w:type="dxa"/>
          </w:tcPr>
          <w:p w14:paraId="1BC42FF1" w14:textId="5115E131" w:rsidR="00E6428A" w:rsidRPr="000F2D4C" w:rsidRDefault="00E6428A">
            <w:pPr>
              <w:pStyle w:val="Tablecolumnheading"/>
            </w:pPr>
          </w:p>
        </w:tc>
        <w:tc>
          <w:tcPr>
            <w:tcW w:w="2976" w:type="dxa"/>
          </w:tcPr>
          <w:p w14:paraId="506FF69C" w14:textId="71BF4062" w:rsidR="00E6428A" w:rsidRPr="000F2D4C" w:rsidRDefault="00E6428A">
            <w:pPr>
              <w:pStyle w:val="Tablecolumnheading"/>
            </w:pPr>
          </w:p>
        </w:tc>
      </w:tr>
    </w:tbl>
    <w:p w14:paraId="2D344D5A" w14:textId="77777777" w:rsidR="009B55B8" w:rsidRPr="000F2D4C" w:rsidRDefault="009B55B8" w:rsidP="00E6428A">
      <w:pPr>
        <w:sectPr w:rsidR="009B55B8" w:rsidRPr="000F2D4C" w:rsidSect="00324725">
          <w:headerReference w:type="default" r:id="rId142"/>
          <w:footerReference w:type="default" r:id="rId143"/>
          <w:headerReference w:type="first" r:id="rId144"/>
          <w:pgSz w:w="11906" w:h="16838" w:code="9"/>
          <w:pgMar w:top="1418" w:right="1418" w:bottom="1418" w:left="2268" w:header="561" w:footer="57" w:gutter="0"/>
          <w:cols w:space="708"/>
          <w:docGrid w:linePitch="360"/>
        </w:sectPr>
      </w:pPr>
    </w:p>
    <w:p w14:paraId="79BA69BA" w14:textId="6C61F134" w:rsidR="00E6428A" w:rsidRPr="000F2D4C" w:rsidRDefault="00EC264F" w:rsidP="00EC264F">
      <w:pPr>
        <w:pStyle w:val="Appendix"/>
      </w:pPr>
      <w:bookmarkStart w:id="107" w:name="_Toc146031467"/>
      <w:bookmarkStart w:id="108" w:name="_Toc146206808"/>
      <w:bookmarkStart w:id="109" w:name="_Toc149919019"/>
      <w:r w:rsidRPr="000F2D4C">
        <w:lastRenderedPageBreak/>
        <w:t>Outcomes mapping</w:t>
      </w:r>
      <w:bookmarkEnd w:id="107"/>
      <w:bookmarkEnd w:id="108"/>
      <w:bookmarkEnd w:id="109"/>
    </w:p>
    <w:p w14:paraId="32293AB7" w14:textId="77777777" w:rsidR="001165F5" w:rsidRPr="000F2D4C" w:rsidRDefault="001165F5" w:rsidP="001165F5">
      <w:pPr>
        <w:rPr>
          <w:rFonts w:ascii="Segoe UI" w:hAnsi="Segoe UI" w:cs="Segoe UI"/>
          <w:szCs w:val="20"/>
        </w:rPr>
      </w:pPr>
      <w:r w:rsidRPr="000F2D4C">
        <w:rPr>
          <w:rStyle w:val="hgkelc"/>
          <w:rFonts w:cstheme="minorHAnsi"/>
        </w:rPr>
        <w:t xml:space="preserve">A broad overview of the types of measures and the associated outcomes </w:t>
      </w:r>
      <w:r w:rsidRPr="000F2D4C">
        <w:rPr>
          <w:rFonts w:ascii="Segoe UI" w:hAnsi="Segoe UI" w:cs="Segoe UI"/>
          <w:szCs w:val="20"/>
        </w:rPr>
        <w:t>collected through the National Outcomes and Casemix Collection (NOCC), and the Primary Mental Health Care Minimum Data Set (PMHC-MDS</w:t>
      </w:r>
      <w:r w:rsidRPr="000F2D4C">
        <w:rPr>
          <w:rStyle w:val="hgkelc"/>
          <w:rFonts w:cstheme="minorHAnsi"/>
        </w:rPr>
        <w:t>), is outlined below.</w:t>
      </w:r>
    </w:p>
    <w:tbl>
      <w:tblPr>
        <w:tblStyle w:val="ARTDTable"/>
        <w:tblW w:w="5000" w:type="pct"/>
        <w:tblInd w:w="0" w:type="dxa"/>
        <w:tblLook w:val="04A0" w:firstRow="1" w:lastRow="0" w:firstColumn="1" w:lastColumn="0" w:noHBand="0" w:noVBand="1"/>
      </w:tblPr>
      <w:tblGrid>
        <w:gridCol w:w="754"/>
        <w:gridCol w:w="947"/>
        <w:gridCol w:w="1582"/>
        <w:gridCol w:w="1157"/>
        <w:gridCol w:w="975"/>
        <w:gridCol w:w="1801"/>
        <w:gridCol w:w="1983"/>
        <w:gridCol w:w="4803"/>
      </w:tblGrid>
      <w:tr w:rsidR="00724AC6" w:rsidRPr="000F2D4C" w14:paraId="608DAA07" w14:textId="77777777" w:rsidTr="00F545DD">
        <w:trPr>
          <w:cnfStyle w:val="100000000000" w:firstRow="1" w:lastRow="0" w:firstColumn="0" w:lastColumn="0" w:oddVBand="0" w:evenVBand="0" w:oddHBand="0" w:evenHBand="0" w:firstRowFirstColumn="0" w:firstRowLastColumn="0" w:lastRowFirstColumn="0" w:lastRowLastColumn="0"/>
          <w:tblHeader/>
        </w:trPr>
        <w:tc>
          <w:tcPr>
            <w:tcW w:w="269" w:type="pct"/>
            <w:shd w:val="clear" w:color="auto" w:fill="DAEDF3" w:themeFill="accent2" w:themeFillTint="33"/>
          </w:tcPr>
          <w:p w14:paraId="72BE4F40" w14:textId="77777777" w:rsidR="001165F5" w:rsidRPr="000F2D4C" w:rsidRDefault="001165F5" w:rsidP="00F545DD">
            <w:pPr>
              <w:rPr>
                <w:rFonts w:ascii="Segoe UI" w:hAnsi="Segoe UI" w:cs="Segoe UI"/>
                <w:b w:val="0"/>
                <w:bCs/>
                <w:color w:val="005677"/>
                <w:sz w:val="20"/>
              </w:rPr>
            </w:pPr>
            <w:r w:rsidRPr="000F2D4C">
              <w:rPr>
                <w:rFonts w:ascii="Segoe UI" w:hAnsi="Segoe UI" w:cs="Segoe UI"/>
                <w:bCs/>
                <w:color w:val="005677"/>
                <w:sz w:val="20"/>
              </w:rPr>
              <w:t>Source</w:t>
            </w:r>
          </w:p>
          <w:p w14:paraId="09F3431D" w14:textId="77777777" w:rsidR="001165F5" w:rsidRPr="000F2D4C" w:rsidRDefault="001165F5" w:rsidP="00F545DD">
            <w:pPr>
              <w:rPr>
                <w:rFonts w:ascii="Segoe UI" w:hAnsi="Segoe UI" w:cs="Segoe UI"/>
                <w:bCs/>
                <w:color w:val="005677"/>
                <w:sz w:val="20"/>
              </w:rPr>
            </w:pPr>
            <w:r w:rsidRPr="000F2D4C">
              <w:rPr>
                <w:rFonts w:ascii="Segoe UI" w:hAnsi="Segoe UI" w:cs="Segoe UI"/>
                <w:bCs/>
                <w:color w:val="005677"/>
                <w:sz w:val="20"/>
              </w:rPr>
              <w:t>NOCC</w:t>
            </w:r>
          </w:p>
        </w:tc>
        <w:tc>
          <w:tcPr>
            <w:tcW w:w="338" w:type="pct"/>
            <w:shd w:val="clear" w:color="auto" w:fill="DAEDF3" w:themeFill="accent2" w:themeFillTint="33"/>
          </w:tcPr>
          <w:p w14:paraId="5D6BFC89" w14:textId="77777777" w:rsidR="001165F5" w:rsidRPr="000F2D4C" w:rsidRDefault="001165F5" w:rsidP="00F545DD">
            <w:pPr>
              <w:rPr>
                <w:rFonts w:ascii="Segoe UI" w:hAnsi="Segoe UI" w:cs="Segoe UI"/>
                <w:bCs/>
                <w:color w:val="005677"/>
                <w:sz w:val="20"/>
              </w:rPr>
            </w:pPr>
            <w:r w:rsidRPr="000F2D4C">
              <w:rPr>
                <w:rFonts w:ascii="Segoe UI" w:hAnsi="Segoe UI" w:cs="Segoe UI"/>
                <w:color w:val="005677"/>
                <w:sz w:val="20"/>
              </w:rPr>
              <w:t>PMHC -MDS</w:t>
            </w:r>
          </w:p>
        </w:tc>
        <w:tc>
          <w:tcPr>
            <w:tcW w:w="565" w:type="pct"/>
            <w:shd w:val="clear" w:color="auto" w:fill="DAEDF3" w:themeFill="accent2" w:themeFillTint="33"/>
          </w:tcPr>
          <w:p w14:paraId="12C405E3" w14:textId="77777777" w:rsidR="001165F5" w:rsidRPr="000F2D4C" w:rsidRDefault="001165F5" w:rsidP="00F545DD">
            <w:pPr>
              <w:rPr>
                <w:rFonts w:ascii="Segoe UI" w:hAnsi="Segoe UI" w:cs="Segoe UI"/>
                <w:bCs/>
                <w:color w:val="005677"/>
                <w:sz w:val="20"/>
              </w:rPr>
            </w:pPr>
            <w:r w:rsidRPr="000F2D4C">
              <w:rPr>
                <w:rFonts w:ascii="Segoe UI" w:hAnsi="Segoe UI" w:cs="Segoe UI"/>
                <w:bCs/>
                <w:color w:val="005677"/>
                <w:sz w:val="20"/>
              </w:rPr>
              <w:t>Measure</w:t>
            </w:r>
          </w:p>
        </w:tc>
        <w:tc>
          <w:tcPr>
            <w:tcW w:w="413" w:type="pct"/>
            <w:shd w:val="clear" w:color="auto" w:fill="DAEDF3" w:themeFill="accent2" w:themeFillTint="33"/>
          </w:tcPr>
          <w:p w14:paraId="1C984CF0" w14:textId="090C1A5B" w:rsidR="001165F5" w:rsidRPr="000F2D4C" w:rsidRDefault="001165F5" w:rsidP="00724AC6">
            <w:pPr>
              <w:rPr>
                <w:rFonts w:ascii="Segoe UI" w:hAnsi="Segoe UI" w:cs="Segoe UI"/>
                <w:bCs/>
                <w:color w:val="005677"/>
                <w:sz w:val="20"/>
              </w:rPr>
            </w:pPr>
            <w:r w:rsidRPr="000F2D4C">
              <w:rPr>
                <w:rFonts w:ascii="Segoe UI" w:hAnsi="Segoe UI" w:cs="Segoe UI"/>
                <w:bCs/>
                <w:color w:val="005677"/>
                <w:sz w:val="20"/>
              </w:rPr>
              <w:t>Age group</w:t>
            </w:r>
            <w:r w:rsidR="00724AC6">
              <w:rPr>
                <w:rFonts w:ascii="Segoe UI" w:hAnsi="Segoe UI" w:cs="Segoe UI"/>
                <w:bCs/>
                <w:color w:val="005677"/>
                <w:sz w:val="20"/>
              </w:rPr>
              <w:t>:</w:t>
            </w:r>
            <w:r w:rsidR="00724AC6">
              <w:rPr>
                <w:rFonts w:ascii="Segoe UI" w:hAnsi="Segoe UI" w:cs="Segoe UI"/>
                <w:bCs/>
                <w:color w:val="005677"/>
                <w:sz w:val="20"/>
              </w:rPr>
              <w:br/>
            </w:r>
            <w:r w:rsidRPr="000F2D4C">
              <w:rPr>
                <w:rFonts w:ascii="Segoe UI" w:hAnsi="Segoe UI" w:cs="Segoe UI"/>
                <w:bCs/>
                <w:color w:val="005677"/>
                <w:sz w:val="20"/>
              </w:rPr>
              <w:t>Children &amp; Adolescent</w:t>
            </w:r>
          </w:p>
        </w:tc>
        <w:tc>
          <w:tcPr>
            <w:tcW w:w="348" w:type="pct"/>
            <w:shd w:val="clear" w:color="auto" w:fill="DAEDF3" w:themeFill="accent2" w:themeFillTint="33"/>
          </w:tcPr>
          <w:p w14:paraId="4BF3A29D" w14:textId="4A4245DB" w:rsidR="001165F5" w:rsidRPr="000F2D4C" w:rsidRDefault="001165F5" w:rsidP="00F545DD">
            <w:pPr>
              <w:rPr>
                <w:rFonts w:ascii="Segoe UI" w:hAnsi="Segoe UI" w:cs="Segoe UI"/>
                <w:bCs/>
                <w:color w:val="005677"/>
                <w:sz w:val="20"/>
              </w:rPr>
            </w:pPr>
            <w:r w:rsidRPr="000F2D4C">
              <w:rPr>
                <w:rFonts w:ascii="Segoe UI" w:hAnsi="Segoe UI" w:cs="Segoe UI"/>
                <w:bCs/>
                <w:color w:val="005677"/>
                <w:sz w:val="20"/>
              </w:rPr>
              <w:t>A</w:t>
            </w:r>
            <w:r w:rsidR="00724AC6">
              <w:rPr>
                <w:rFonts w:ascii="Segoe UI" w:hAnsi="Segoe UI" w:cs="Segoe UI"/>
                <w:bCs/>
                <w:color w:val="005677"/>
                <w:sz w:val="20"/>
              </w:rPr>
              <w:t>ge group: A</w:t>
            </w:r>
            <w:r w:rsidRPr="000F2D4C">
              <w:rPr>
                <w:rFonts w:ascii="Segoe UI" w:hAnsi="Segoe UI" w:cs="Segoe UI"/>
                <w:bCs/>
                <w:color w:val="005677"/>
                <w:sz w:val="20"/>
              </w:rPr>
              <w:t xml:space="preserve">dult </w:t>
            </w:r>
          </w:p>
        </w:tc>
        <w:tc>
          <w:tcPr>
            <w:tcW w:w="643" w:type="pct"/>
            <w:shd w:val="clear" w:color="auto" w:fill="DAEDF3" w:themeFill="accent2" w:themeFillTint="33"/>
          </w:tcPr>
          <w:p w14:paraId="5CB22C1D" w14:textId="77777777" w:rsidR="001165F5" w:rsidRPr="000F2D4C" w:rsidRDefault="001165F5" w:rsidP="00F545DD">
            <w:pPr>
              <w:rPr>
                <w:rFonts w:ascii="Segoe UI" w:hAnsi="Segoe UI" w:cs="Segoe UI"/>
                <w:bCs/>
                <w:color w:val="005677"/>
                <w:sz w:val="20"/>
              </w:rPr>
            </w:pPr>
            <w:r w:rsidRPr="000F2D4C">
              <w:rPr>
                <w:rFonts w:ascii="Segoe UI" w:hAnsi="Segoe UI" w:cs="Segoe UI"/>
                <w:bCs/>
                <w:color w:val="005677"/>
                <w:sz w:val="20"/>
              </w:rPr>
              <w:t>Administered by</w:t>
            </w:r>
          </w:p>
        </w:tc>
        <w:tc>
          <w:tcPr>
            <w:tcW w:w="708" w:type="pct"/>
            <w:shd w:val="clear" w:color="auto" w:fill="DAEDF3" w:themeFill="accent2" w:themeFillTint="33"/>
          </w:tcPr>
          <w:p w14:paraId="3A532E86" w14:textId="77777777" w:rsidR="001165F5" w:rsidRPr="000F2D4C" w:rsidRDefault="001165F5" w:rsidP="00F545DD">
            <w:pPr>
              <w:rPr>
                <w:rFonts w:ascii="Segoe UI" w:hAnsi="Segoe UI" w:cs="Segoe UI"/>
                <w:bCs/>
                <w:color w:val="005677"/>
                <w:sz w:val="20"/>
              </w:rPr>
            </w:pPr>
            <w:r w:rsidRPr="000F2D4C">
              <w:rPr>
                <w:rFonts w:ascii="Segoe UI" w:hAnsi="Segoe UI" w:cs="Segoe UI"/>
                <w:bCs/>
                <w:color w:val="005677"/>
                <w:sz w:val="20"/>
              </w:rPr>
              <w:t>Intended use</w:t>
            </w:r>
          </w:p>
        </w:tc>
        <w:tc>
          <w:tcPr>
            <w:tcW w:w="1715" w:type="pct"/>
            <w:shd w:val="clear" w:color="auto" w:fill="DAEDF3" w:themeFill="accent2" w:themeFillTint="33"/>
          </w:tcPr>
          <w:p w14:paraId="242CAA4A" w14:textId="77777777" w:rsidR="001165F5" w:rsidRPr="000F2D4C" w:rsidRDefault="001165F5" w:rsidP="00F545DD">
            <w:pPr>
              <w:rPr>
                <w:rFonts w:ascii="Segoe UI" w:hAnsi="Segoe UI" w:cs="Segoe UI"/>
                <w:bCs/>
                <w:color w:val="005677"/>
                <w:sz w:val="20"/>
              </w:rPr>
            </w:pPr>
            <w:r w:rsidRPr="000F2D4C">
              <w:rPr>
                <w:rFonts w:ascii="Segoe UI" w:hAnsi="Segoe UI" w:cs="Segoe UI"/>
                <w:bCs/>
                <w:color w:val="005677"/>
                <w:sz w:val="20"/>
              </w:rPr>
              <w:t>Notes</w:t>
            </w:r>
          </w:p>
        </w:tc>
      </w:tr>
      <w:tr w:rsidR="001165F5" w:rsidRPr="000F2D4C" w14:paraId="10352E2D" w14:textId="77777777">
        <w:trPr>
          <w:cnfStyle w:val="000000100000" w:firstRow="0" w:lastRow="0" w:firstColumn="0" w:lastColumn="0" w:oddVBand="0" w:evenVBand="0" w:oddHBand="1" w:evenHBand="0" w:firstRowFirstColumn="0" w:firstRowLastColumn="0" w:lastRowFirstColumn="0" w:lastRowLastColumn="0"/>
        </w:trPr>
        <w:tc>
          <w:tcPr>
            <w:tcW w:w="269" w:type="pct"/>
          </w:tcPr>
          <w:p w14:paraId="35C0C3E2" w14:textId="77777777" w:rsidR="001165F5" w:rsidRPr="000F2D4C" w:rsidRDefault="001165F5">
            <w:pPr>
              <w:spacing w:line="240" w:lineRule="auto"/>
              <w:rPr>
                <w:rFonts w:cstheme="minorHAnsi"/>
                <w:szCs w:val="18"/>
              </w:rPr>
            </w:pPr>
            <w:r w:rsidRPr="000F2D4C">
              <w:rPr>
                <w:rFonts w:cstheme="minorHAnsi"/>
                <w:szCs w:val="18"/>
              </w:rPr>
              <w:t>X</w:t>
            </w:r>
          </w:p>
        </w:tc>
        <w:tc>
          <w:tcPr>
            <w:tcW w:w="338" w:type="pct"/>
          </w:tcPr>
          <w:p w14:paraId="3F2779D0" w14:textId="77777777" w:rsidR="001165F5" w:rsidRPr="000F2D4C" w:rsidRDefault="001165F5">
            <w:pPr>
              <w:spacing w:line="240" w:lineRule="auto"/>
              <w:rPr>
                <w:rFonts w:cstheme="minorHAnsi"/>
                <w:szCs w:val="18"/>
              </w:rPr>
            </w:pPr>
          </w:p>
        </w:tc>
        <w:tc>
          <w:tcPr>
            <w:tcW w:w="565" w:type="pct"/>
          </w:tcPr>
          <w:p w14:paraId="6878E9B1" w14:textId="77777777" w:rsidR="001165F5" w:rsidRPr="000F2D4C" w:rsidRDefault="001165F5">
            <w:pPr>
              <w:spacing w:line="240" w:lineRule="auto"/>
              <w:rPr>
                <w:rFonts w:cstheme="minorHAnsi"/>
                <w:szCs w:val="18"/>
              </w:rPr>
            </w:pPr>
            <w:r w:rsidRPr="000F2D4C">
              <w:rPr>
                <w:rFonts w:cstheme="minorHAnsi"/>
                <w:szCs w:val="18"/>
              </w:rPr>
              <w:t>Health of the Nation Outcome Scale (HoNOS/ HoNOS65+)</w:t>
            </w:r>
          </w:p>
        </w:tc>
        <w:tc>
          <w:tcPr>
            <w:tcW w:w="413" w:type="pct"/>
          </w:tcPr>
          <w:p w14:paraId="01AA0FEF" w14:textId="77777777" w:rsidR="001165F5" w:rsidRPr="000F2D4C" w:rsidRDefault="001165F5">
            <w:pPr>
              <w:spacing w:line="240" w:lineRule="auto"/>
              <w:rPr>
                <w:rFonts w:cstheme="minorHAnsi"/>
                <w:szCs w:val="18"/>
              </w:rPr>
            </w:pPr>
          </w:p>
        </w:tc>
        <w:tc>
          <w:tcPr>
            <w:tcW w:w="348" w:type="pct"/>
          </w:tcPr>
          <w:p w14:paraId="7431F520" w14:textId="77777777" w:rsidR="001165F5" w:rsidRPr="000F2D4C" w:rsidRDefault="001165F5">
            <w:pPr>
              <w:spacing w:line="240" w:lineRule="auto"/>
              <w:rPr>
                <w:rFonts w:cstheme="minorHAnsi"/>
                <w:szCs w:val="18"/>
              </w:rPr>
            </w:pPr>
            <w:r w:rsidRPr="000F2D4C">
              <w:rPr>
                <w:rFonts w:cstheme="minorHAnsi"/>
                <w:szCs w:val="18"/>
              </w:rPr>
              <w:t>X</w:t>
            </w:r>
          </w:p>
        </w:tc>
        <w:tc>
          <w:tcPr>
            <w:tcW w:w="643" w:type="pct"/>
          </w:tcPr>
          <w:p w14:paraId="3B95BA66" w14:textId="77777777" w:rsidR="001165F5" w:rsidRPr="000F2D4C" w:rsidRDefault="001165F5">
            <w:pPr>
              <w:spacing w:line="240" w:lineRule="auto"/>
              <w:rPr>
                <w:rFonts w:cstheme="minorHAnsi"/>
                <w:szCs w:val="18"/>
              </w:rPr>
            </w:pPr>
            <w:r w:rsidRPr="000F2D4C">
              <w:rPr>
                <w:rFonts w:cstheme="minorHAnsi"/>
                <w:szCs w:val="18"/>
              </w:rPr>
              <w:t>Clinician, could be self-reported. Free to use</w:t>
            </w:r>
          </w:p>
        </w:tc>
        <w:tc>
          <w:tcPr>
            <w:tcW w:w="708" w:type="pct"/>
          </w:tcPr>
          <w:p w14:paraId="7A1C9E1D" w14:textId="77777777" w:rsidR="001165F5" w:rsidRPr="000F2D4C" w:rsidRDefault="001165F5">
            <w:pPr>
              <w:spacing w:line="240" w:lineRule="auto"/>
              <w:rPr>
                <w:rFonts w:cstheme="minorHAnsi"/>
                <w:szCs w:val="18"/>
              </w:rPr>
            </w:pPr>
            <w:r w:rsidRPr="000F2D4C">
              <w:rPr>
                <w:rFonts w:cstheme="minorHAnsi"/>
                <w:szCs w:val="18"/>
              </w:rPr>
              <w:t>12 x 1 item scales measuring behaviour, impairment, symptoms, and social functioning for those in the 18-64 years old age group, or 65+</w:t>
            </w:r>
          </w:p>
        </w:tc>
        <w:tc>
          <w:tcPr>
            <w:tcW w:w="1715" w:type="pct"/>
          </w:tcPr>
          <w:p w14:paraId="36EAAE2E" w14:textId="77777777" w:rsidR="001165F5" w:rsidRPr="000F2D4C" w:rsidRDefault="001165F5">
            <w:pPr>
              <w:spacing w:line="240" w:lineRule="auto"/>
              <w:rPr>
                <w:rFonts w:cstheme="minorHAnsi"/>
                <w:szCs w:val="18"/>
              </w:rPr>
            </w:pPr>
            <w:r w:rsidRPr="000F2D4C">
              <w:rPr>
                <w:rFonts w:cstheme="minorHAnsi"/>
                <w:szCs w:val="18"/>
              </w:rPr>
              <w:t xml:space="preserve">Potentially complex instructions as behaviours can overlap between the 12 items, different wording for each item, but all follow 0-4 item, with 9=unknown. Scoring 0-48, although interpretation on individual items for change in that domain against differing timepoints. </w:t>
            </w:r>
          </w:p>
          <w:p w14:paraId="6428E710" w14:textId="77777777" w:rsidR="001165F5" w:rsidRPr="000F2D4C" w:rsidRDefault="001165F5">
            <w:pPr>
              <w:spacing w:line="240" w:lineRule="auto"/>
              <w:rPr>
                <w:rFonts w:cstheme="minorHAnsi"/>
                <w:szCs w:val="18"/>
              </w:rPr>
            </w:pPr>
            <w:r w:rsidRPr="000F2D4C">
              <w:rPr>
                <w:rFonts w:cstheme="minorHAnsi"/>
                <w:szCs w:val="18"/>
              </w:rPr>
              <w:t>Different time periods based on inpatient or not, so not comparable and/or potential for error. More global information than mental health and psychological distress, and includes some SDOMH.</w:t>
            </w:r>
          </w:p>
        </w:tc>
      </w:tr>
      <w:tr w:rsidR="001165F5" w:rsidRPr="000F2D4C" w14:paraId="6089655D" w14:textId="77777777">
        <w:trPr>
          <w:cnfStyle w:val="000000010000" w:firstRow="0" w:lastRow="0" w:firstColumn="0" w:lastColumn="0" w:oddVBand="0" w:evenVBand="0" w:oddHBand="0" w:evenHBand="1" w:firstRowFirstColumn="0" w:firstRowLastColumn="0" w:lastRowFirstColumn="0" w:lastRowLastColumn="0"/>
        </w:trPr>
        <w:tc>
          <w:tcPr>
            <w:tcW w:w="269" w:type="pct"/>
          </w:tcPr>
          <w:p w14:paraId="63393442" w14:textId="77777777" w:rsidR="001165F5" w:rsidRPr="000F2D4C" w:rsidRDefault="001165F5">
            <w:pPr>
              <w:spacing w:line="240" w:lineRule="auto"/>
              <w:rPr>
                <w:rFonts w:cstheme="minorHAnsi"/>
                <w:szCs w:val="18"/>
              </w:rPr>
            </w:pPr>
            <w:r w:rsidRPr="000F2D4C">
              <w:rPr>
                <w:rFonts w:cstheme="minorHAnsi"/>
                <w:szCs w:val="18"/>
              </w:rPr>
              <w:t>X</w:t>
            </w:r>
          </w:p>
        </w:tc>
        <w:tc>
          <w:tcPr>
            <w:tcW w:w="338" w:type="pct"/>
          </w:tcPr>
          <w:p w14:paraId="2496C5DC" w14:textId="77777777" w:rsidR="001165F5" w:rsidRPr="000F2D4C" w:rsidRDefault="001165F5">
            <w:pPr>
              <w:spacing w:line="240" w:lineRule="auto"/>
              <w:rPr>
                <w:rFonts w:cstheme="minorHAnsi"/>
                <w:szCs w:val="18"/>
              </w:rPr>
            </w:pPr>
          </w:p>
        </w:tc>
        <w:tc>
          <w:tcPr>
            <w:tcW w:w="565" w:type="pct"/>
          </w:tcPr>
          <w:p w14:paraId="47314264" w14:textId="77777777" w:rsidR="001165F5" w:rsidRPr="000F2D4C" w:rsidRDefault="001165F5">
            <w:pPr>
              <w:spacing w:line="240" w:lineRule="auto"/>
              <w:rPr>
                <w:rFonts w:cstheme="minorHAnsi"/>
                <w:szCs w:val="18"/>
              </w:rPr>
            </w:pPr>
            <w:r w:rsidRPr="000F2D4C">
              <w:rPr>
                <w:rFonts w:cstheme="minorHAnsi"/>
                <w:szCs w:val="18"/>
              </w:rPr>
              <w:t>Health of the Nation Outcome Scale for Children and Adolescents (HoNOSCA)</w:t>
            </w:r>
          </w:p>
        </w:tc>
        <w:tc>
          <w:tcPr>
            <w:tcW w:w="413" w:type="pct"/>
          </w:tcPr>
          <w:p w14:paraId="47CCDC61" w14:textId="77777777" w:rsidR="001165F5" w:rsidRPr="000F2D4C" w:rsidRDefault="001165F5">
            <w:pPr>
              <w:spacing w:line="240" w:lineRule="auto"/>
              <w:rPr>
                <w:rFonts w:cstheme="minorHAnsi"/>
                <w:szCs w:val="18"/>
              </w:rPr>
            </w:pPr>
            <w:r w:rsidRPr="000F2D4C">
              <w:rPr>
                <w:rFonts w:cstheme="minorHAnsi"/>
                <w:szCs w:val="18"/>
              </w:rPr>
              <w:t>X</w:t>
            </w:r>
          </w:p>
        </w:tc>
        <w:tc>
          <w:tcPr>
            <w:tcW w:w="348" w:type="pct"/>
          </w:tcPr>
          <w:p w14:paraId="192F5E37" w14:textId="77777777" w:rsidR="001165F5" w:rsidRPr="000F2D4C" w:rsidRDefault="001165F5">
            <w:pPr>
              <w:spacing w:line="240" w:lineRule="auto"/>
              <w:rPr>
                <w:rFonts w:cstheme="minorHAnsi"/>
                <w:szCs w:val="18"/>
              </w:rPr>
            </w:pPr>
          </w:p>
        </w:tc>
        <w:tc>
          <w:tcPr>
            <w:tcW w:w="643" w:type="pct"/>
          </w:tcPr>
          <w:p w14:paraId="493E29D0" w14:textId="77777777" w:rsidR="001165F5" w:rsidRPr="000F2D4C" w:rsidRDefault="001165F5">
            <w:pPr>
              <w:spacing w:line="240" w:lineRule="auto"/>
              <w:rPr>
                <w:rFonts w:cstheme="minorHAnsi"/>
                <w:szCs w:val="18"/>
              </w:rPr>
            </w:pPr>
            <w:r w:rsidRPr="000F2D4C">
              <w:rPr>
                <w:rFonts w:cstheme="minorHAnsi"/>
                <w:szCs w:val="18"/>
              </w:rPr>
              <w:t>Clinician, can be clinician/ parent 5-18 years old, or self if 13-18 years old. Free to use</w:t>
            </w:r>
          </w:p>
        </w:tc>
        <w:tc>
          <w:tcPr>
            <w:tcW w:w="708" w:type="pct"/>
          </w:tcPr>
          <w:p w14:paraId="70D6F57D" w14:textId="15C0F233" w:rsidR="001165F5" w:rsidRPr="000F2D4C" w:rsidRDefault="001165F5">
            <w:pPr>
              <w:spacing w:line="240" w:lineRule="auto"/>
              <w:rPr>
                <w:rFonts w:cstheme="minorHAnsi"/>
                <w:szCs w:val="18"/>
              </w:rPr>
            </w:pPr>
            <w:r w:rsidRPr="000F2D4C">
              <w:rPr>
                <w:rFonts w:cstheme="minorHAnsi"/>
                <w:szCs w:val="18"/>
              </w:rPr>
              <w:t xml:space="preserve">Up to 15 1 item scales measuring behaviour, impairment, symptoms, and social functioning for </w:t>
            </w:r>
            <w:r w:rsidR="003F2CBA" w:rsidRPr="000F2D4C">
              <w:rPr>
                <w:rFonts w:cstheme="minorHAnsi"/>
                <w:szCs w:val="18"/>
              </w:rPr>
              <w:t>u</w:t>
            </w:r>
            <w:r w:rsidRPr="000F2D4C">
              <w:rPr>
                <w:rFonts w:cstheme="minorHAnsi"/>
                <w:szCs w:val="18"/>
              </w:rPr>
              <w:t>children</w:t>
            </w:r>
          </w:p>
        </w:tc>
        <w:tc>
          <w:tcPr>
            <w:tcW w:w="1715" w:type="pct"/>
          </w:tcPr>
          <w:p w14:paraId="0194AFF4" w14:textId="77777777" w:rsidR="001165F5" w:rsidRPr="000F2D4C" w:rsidRDefault="001165F5">
            <w:pPr>
              <w:spacing w:line="240" w:lineRule="auto"/>
              <w:rPr>
                <w:rFonts w:cstheme="minorHAnsi"/>
                <w:szCs w:val="18"/>
              </w:rPr>
            </w:pPr>
            <w:r w:rsidRPr="000F2D4C">
              <w:rPr>
                <w:rFonts w:cstheme="minorHAnsi"/>
                <w:szCs w:val="18"/>
              </w:rPr>
              <w:t>Period rated not defined for most items. Same scale as HONOS.</w:t>
            </w:r>
          </w:p>
          <w:p w14:paraId="402EDAB7" w14:textId="77777777" w:rsidR="001165F5" w:rsidRPr="000F2D4C" w:rsidRDefault="001165F5">
            <w:pPr>
              <w:spacing w:line="240" w:lineRule="auto"/>
              <w:rPr>
                <w:rFonts w:cstheme="minorHAnsi"/>
                <w:szCs w:val="18"/>
              </w:rPr>
            </w:pPr>
          </w:p>
        </w:tc>
      </w:tr>
      <w:tr w:rsidR="001165F5" w:rsidRPr="000F2D4C" w14:paraId="728374BB" w14:textId="77777777">
        <w:trPr>
          <w:cnfStyle w:val="000000100000" w:firstRow="0" w:lastRow="0" w:firstColumn="0" w:lastColumn="0" w:oddVBand="0" w:evenVBand="0" w:oddHBand="1" w:evenHBand="0" w:firstRowFirstColumn="0" w:firstRowLastColumn="0" w:lastRowFirstColumn="0" w:lastRowLastColumn="0"/>
        </w:trPr>
        <w:tc>
          <w:tcPr>
            <w:tcW w:w="269" w:type="pct"/>
          </w:tcPr>
          <w:p w14:paraId="12027FA6" w14:textId="77777777" w:rsidR="001165F5" w:rsidRPr="000F2D4C" w:rsidRDefault="001165F5">
            <w:pPr>
              <w:spacing w:line="240" w:lineRule="auto"/>
              <w:rPr>
                <w:rFonts w:cstheme="minorHAnsi"/>
                <w:szCs w:val="18"/>
              </w:rPr>
            </w:pPr>
            <w:r w:rsidRPr="000F2D4C">
              <w:rPr>
                <w:rFonts w:cstheme="minorHAnsi"/>
                <w:szCs w:val="18"/>
              </w:rPr>
              <w:lastRenderedPageBreak/>
              <w:t>X</w:t>
            </w:r>
          </w:p>
        </w:tc>
        <w:tc>
          <w:tcPr>
            <w:tcW w:w="338" w:type="pct"/>
          </w:tcPr>
          <w:p w14:paraId="04E7B523" w14:textId="77777777" w:rsidR="001165F5" w:rsidRPr="000F2D4C" w:rsidRDefault="001165F5">
            <w:pPr>
              <w:spacing w:line="240" w:lineRule="auto"/>
              <w:rPr>
                <w:rFonts w:cstheme="minorHAnsi"/>
                <w:szCs w:val="18"/>
              </w:rPr>
            </w:pPr>
          </w:p>
        </w:tc>
        <w:tc>
          <w:tcPr>
            <w:tcW w:w="565" w:type="pct"/>
          </w:tcPr>
          <w:p w14:paraId="481CAB2C" w14:textId="77777777" w:rsidR="001165F5" w:rsidRPr="000F2D4C" w:rsidRDefault="001165F5">
            <w:pPr>
              <w:spacing w:line="240" w:lineRule="auto"/>
              <w:rPr>
                <w:rFonts w:cstheme="minorHAnsi"/>
                <w:szCs w:val="18"/>
              </w:rPr>
            </w:pPr>
            <w:r w:rsidRPr="000F2D4C">
              <w:rPr>
                <w:rFonts w:cstheme="minorHAnsi"/>
                <w:szCs w:val="18"/>
              </w:rPr>
              <w:t>Abbreviated Life Skills Profile (LSP-16)</w:t>
            </w:r>
          </w:p>
        </w:tc>
        <w:tc>
          <w:tcPr>
            <w:tcW w:w="413" w:type="pct"/>
          </w:tcPr>
          <w:p w14:paraId="0EDF9E50" w14:textId="77777777" w:rsidR="001165F5" w:rsidRPr="000F2D4C" w:rsidRDefault="001165F5">
            <w:pPr>
              <w:spacing w:line="240" w:lineRule="auto"/>
              <w:rPr>
                <w:rFonts w:cstheme="minorHAnsi"/>
                <w:szCs w:val="18"/>
              </w:rPr>
            </w:pPr>
          </w:p>
        </w:tc>
        <w:tc>
          <w:tcPr>
            <w:tcW w:w="348" w:type="pct"/>
          </w:tcPr>
          <w:p w14:paraId="33C9290C" w14:textId="77777777" w:rsidR="001165F5" w:rsidRPr="000F2D4C" w:rsidRDefault="001165F5">
            <w:pPr>
              <w:spacing w:line="240" w:lineRule="auto"/>
              <w:rPr>
                <w:rFonts w:cstheme="minorHAnsi"/>
                <w:szCs w:val="18"/>
              </w:rPr>
            </w:pPr>
            <w:r w:rsidRPr="000F2D4C">
              <w:rPr>
                <w:rFonts w:cstheme="minorHAnsi"/>
                <w:szCs w:val="18"/>
              </w:rPr>
              <w:t>X</w:t>
            </w:r>
          </w:p>
        </w:tc>
        <w:tc>
          <w:tcPr>
            <w:tcW w:w="643" w:type="pct"/>
          </w:tcPr>
          <w:p w14:paraId="47387DDC" w14:textId="77777777" w:rsidR="001165F5" w:rsidRPr="000F2D4C" w:rsidRDefault="001165F5">
            <w:pPr>
              <w:spacing w:line="240" w:lineRule="auto"/>
              <w:rPr>
                <w:rFonts w:cstheme="minorHAnsi"/>
                <w:szCs w:val="18"/>
              </w:rPr>
            </w:pPr>
            <w:r w:rsidRPr="000F2D4C">
              <w:rPr>
                <w:rFonts w:cstheme="minorHAnsi"/>
                <w:szCs w:val="18"/>
              </w:rPr>
              <w:t>Clinician, can be self-reported</w:t>
            </w:r>
          </w:p>
        </w:tc>
        <w:tc>
          <w:tcPr>
            <w:tcW w:w="708" w:type="pct"/>
          </w:tcPr>
          <w:p w14:paraId="5D414C38" w14:textId="77777777" w:rsidR="001165F5" w:rsidRPr="000F2D4C" w:rsidRDefault="001165F5">
            <w:pPr>
              <w:spacing w:line="240" w:lineRule="auto"/>
              <w:rPr>
                <w:rFonts w:cstheme="minorHAnsi"/>
                <w:szCs w:val="18"/>
              </w:rPr>
            </w:pPr>
            <w:r w:rsidRPr="000F2D4C">
              <w:rPr>
                <w:rFonts w:cstheme="minorHAnsi"/>
                <w:szCs w:val="18"/>
              </w:rPr>
              <w:t>16 items measure of function and disability in people with mental illness (16 item scale covers Self-care‚ Anti-social‚ Withdrawal‚ Compliance)</w:t>
            </w:r>
          </w:p>
          <w:p w14:paraId="2D15DE61" w14:textId="77777777" w:rsidR="001165F5" w:rsidRPr="000F2D4C" w:rsidRDefault="001165F5">
            <w:pPr>
              <w:spacing w:line="240" w:lineRule="auto"/>
              <w:rPr>
                <w:rFonts w:cstheme="minorHAnsi"/>
                <w:szCs w:val="18"/>
              </w:rPr>
            </w:pPr>
            <w:r w:rsidRPr="000F2D4C">
              <w:rPr>
                <w:rFonts w:cstheme="minorHAnsi"/>
                <w:szCs w:val="18"/>
              </w:rPr>
              <w:t xml:space="preserve">18-64 years </w:t>
            </w:r>
          </w:p>
        </w:tc>
        <w:tc>
          <w:tcPr>
            <w:tcW w:w="1715" w:type="pct"/>
          </w:tcPr>
          <w:p w14:paraId="3B010781" w14:textId="77777777" w:rsidR="001165F5" w:rsidRPr="000F2D4C" w:rsidRDefault="001165F5">
            <w:pPr>
              <w:spacing w:line="240" w:lineRule="auto"/>
              <w:rPr>
                <w:rFonts w:cstheme="minorHAnsi"/>
                <w:szCs w:val="18"/>
              </w:rPr>
            </w:pPr>
            <w:r w:rsidRPr="000F2D4C">
              <w:rPr>
                <w:rFonts w:cstheme="minorHAnsi"/>
                <w:szCs w:val="18"/>
              </w:rPr>
              <w:t xml:space="preserve">Designed to be conversational. 4-point scale + ‘unable to rate’ and ‘unknown.’ </w:t>
            </w:r>
          </w:p>
          <w:p w14:paraId="3189B8A8" w14:textId="77777777" w:rsidR="001165F5" w:rsidRPr="000F2D4C" w:rsidRDefault="001165F5">
            <w:pPr>
              <w:spacing w:line="240" w:lineRule="auto"/>
              <w:rPr>
                <w:rFonts w:cstheme="minorHAnsi"/>
                <w:szCs w:val="18"/>
              </w:rPr>
            </w:pPr>
            <w:r w:rsidRPr="000F2D4C">
              <w:rPr>
                <w:rFonts w:cstheme="minorHAnsi"/>
                <w:szCs w:val="18"/>
              </w:rPr>
              <w:t>Lower scores = higher functioning. Can be used in conjunction with HONOS.</w:t>
            </w:r>
          </w:p>
          <w:p w14:paraId="0B7DC1E0" w14:textId="77777777" w:rsidR="001165F5" w:rsidRPr="000F2D4C" w:rsidRDefault="001165F5">
            <w:pPr>
              <w:spacing w:line="240" w:lineRule="auto"/>
              <w:rPr>
                <w:rFonts w:cstheme="minorHAnsi"/>
                <w:szCs w:val="18"/>
              </w:rPr>
            </w:pPr>
            <w:r w:rsidRPr="000F2D4C">
              <w:rPr>
                <w:rFonts w:cstheme="minorHAnsi"/>
                <w:szCs w:val="18"/>
              </w:rPr>
              <w:t xml:space="preserve">METeOR missing question 5, possibility for confusion. </w:t>
            </w:r>
          </w:p>
        </w:tc>
      </w:tr>
      <w:tr w:rsidR="001165F5" w:rsidRPr="000F2D4C" w14:paraId="77E5DE50" w14:textId="77777777">
        <w:trPr>
          <w:cnfStyle w:val="000000010000" w:firstRow="0" w:lastRow="0" w:firstColumn="0" w:lastColumn="0" w:oddVBand="0" w:evenVBand="0" w:oddHBand="0" w:evenHBand="1" w:firstRowFirstColumn="0" w:firstRowLastColumn="0" w:lastRowFirstColumn="0" w:lastRowLastColumn="0"/>
        </w:trPr>
        <w:tc>
          <w:tcPr>
            <w:tcW w:w="269" w:type="pct"/>
          </w:tcPr>
          <w:p w14:paraId="38221947" w14:textId="77777777" w:rsidR="001165F5" w:rsidRPr="000F2D4C" w:rsidRDefault="001165F5">
            <w:pPr>
              <w:spacing w:line="240" w:lineRule="auto"/>
              <w:rPr>
                <w:rFonts w:cstheme="minorHAnsi"/>
                <w:szCs w:val="18"/>
              </w:rPr>
            </w:pPr>
            <w:r w:rsidRPr="000F2D4C">
              <w:rPr>
                <w:rFonts w:cstheme="minorHAnsi"/>
                <w:szCs w:val="18"/>
              </w:rPr>
              <w:t>X</w:t>
            </w:r>
          </w:p>
        </w:tc>
        <w:tc>
          <w:tcPr>
            <w:tcW w:w="338" w:type="pct"/>
          </w:tcPr>
          <w:p w14:paraId="0F308FA3" w14:textId="77777777" w:rsidR="001165F5" w:rsidRPr="000F2D4C" w:rsidRDefault="001165F5">
            <w:pPr>
              <w:spacing w:line="240" w:lineRule="auto"/>
              <w:rPr>
                <w:rFonts w:cstheme="minorHAnsi"/>
                <w:szCs w:val="18"/>
              </w:rPr>
            </w:pPr>
            <w:r w:rsidRPr="000F2D4C">
              <w:rPr>
                <w:rFonts w:cstheme="minorHAnsi"/>
                <w:szCs w:val="18"/>
              </w:rPr>
              <w:t>X</w:t>
            </w:r>
          </w:p>
        </w:tc>
        <w:tc>
          <w:tcPr>
            <w:tcW w:w="565" w:type="pct"/>
          </w:tcPr>
          <w:p w14:paraId="550327B2" w14:textId="77777777" w:rsidR="001165F5" w:rsidRPr="000F2D4C" w:rsidRDefault="001165F5">
            <w:pPr>
              <w:spacing w:line="240" w:lineRule="auto"/>
              <w:rPr>
                <w:rFonts w:cstheme="minorHAnsi"/>
                <w:szCs w:val="18"/>
              </w:rPr>
            </w:pPr>
            <w:r w:rsidRPr="000F2D4C">
              <w:rPr>
                <w:rFonts w:cstheme="minorHAnsi"/>
                <w:szCs w:val="18"/>
              </w:rPr>
              <w:t>Kessler Psychological Distress Scale (K10)</w:t>
            </w:r>
          </w:p>
        </w:tc>
        <w:tc>
          <w:tcPr>
            <w:tcW w:w="413" w:type="pct"/>
          </w:tcPr>
          <w:p w14:paraId="7516BC71" w14:textId="77777777" w:rsidR="001165F5" w:rsidRPr="000F2D4C" w:rsidRDefault="001165F5">
            <w:pPr>
              <w:spacing w:line="240" w:lineRule="auto"/>
              <w:rPr>
                <w:rFonts w:cstheme="minorHAnsi"/>
                <w:szCs w:val="18"/>
              </w:rPr>
            </w:pPr>
          </w:p>
        </w:tc>
        <w:tc>
          <w:tcPr>
            <w:tcW w:w="348" w:type="pct"/>
          </w:tcPr>
          <w:p w14:paraId="044820A8" w14:textId="77777777" w:rsidR="001165F5" w:rsidRPr="000F2D4C" w:rsidRDefault="001165F5">
            <w:pPr>
              <w:spacing w:line="240" w:lineRule="auto"/>
              <w:rPr>
                <w:rFonts w:cstheme="minorHAnsi"/>
                <w:szCs w:val="18"/>
              </w:rPr>
            </w:pPr>
            <w:r w:rsidRPr="000F2D4C">
              <w:rPr>
                <w:rFonts w:cstheme="minorHAnsi"/>
                <w:szCs w:val="18"/>
              </w:rPr>
              <w:t>X</w:t>
            </w:r>
          </w:p>
        </w:tc>
        <w:tc>
          <w:tcPr>
            <w:tcW w:w="643" w:type="pct"/>
          </w:tcPr>
          <w:p w14:paraId="5E198C32" w14:textId="77777777" w:rsidR="001165F5" w:rsidRPr="000F2D4C" w:rsidRDefault="001165F5">
            <w:pPr>
              <w:spacing w:line="240" w:lineRule="auto"/>
              <w:rPr>
                <w:rFonts w:cstheme="minorHAnsi"/>
                <w:szCs w:val="18"/>
              </w:rPr>
            </w:pPr>
            <w:r w:rsidRPr="000F2D4C">
              <w:rPr>
                <w:rFonts w:cstheme="minorHAnsi"/>
                <w:szCs w:val="18"/>
              </w:rPr>
              <w:t>Self-report or clinician. Free to use (supposed to acknowledge author)</w:t>
            </w:r>
          </w:p>
        </w:tc>
        <w:tc>
          <w:tcPr>
            <w:tcW w:w="708" w:type="pct"/>
          </w:tcPr>
          <w:p w14:paraId="152438BA" w14:textId="77777777" w:rsidR="001165F5" w:rsidRPr="000F2D4C" w:rsidRDefault="001165F5">
            <w:pPr>
              <w:spacing w:line="240" w:lineRule="auto"/>
              <w:rPr>
                <w:rFonts w:cstheme="minorHAnsi"/>
                <w:szCs w:val="18"/>
              </w:rPr>
            </w:pPr>
            <w:r w:rsidRPr="000F2D4C">
              <w:rPr>
                <w:rFonts w:cstheme="minorHAnsi"/>
                <w:szCs w:val="18"/>
              </w:rPr>
              <w:t xml:space="preserve">Questions level of nervousness, agitation, psychological fatigue, and depression during last 4 weeks </w:t>
            </w:r>
          </w:p>
          <w:p w14:paraId="29A0F3E4" w14:textId="77777777" w:rsidR="001165F5" w:rsidRPr="000F2D4C" w:rsidRDefault="001165F5">
            <w:pPr>
              <w:spacing w:line="240" w:lineRule="auto"/>
              <w:rPr>
                <w:rFonts w:cstheme="minorHAnsi"/>
                <w:szCs w:val="18"/>
              </w:rPr>
            </w:pPr>
            <w:r w:rsidRPr="000F2D4C">
              <w:rPr>
                <w:rFonts w:cstheme="minorHAnsi"/>
                <w:szCs w:val="18"/>
              </w:rPr>
              <w:t>Scoring 1-4, higher scores = higher impairment</w:t>
            </w:r>
          </w:p>
        </w:tc>
        <w:tc>
          <w:tcPr>
            <w:tcW w:w="1715" w:type="pct"/>
          </w:tcPr>
          <w:p w14:paraId="1EB92DC6" w14:textId="77777777" w:rsidR="001165F5" w:rsidRPr="000F2D4C" w:rsidRDefault="001165F5">
            <w:pPr>
              <w:spacing w:line="240" w:lineRule="auto"/>
              <w:rPr>
                <w:rFonts w:cstheme="minorHAnsi"/>
                <w:szCs w:val="18"/>
              </w:rPr>
            </w:pPr>
            <w:r w:rsidRPr="000F2D4C">
              <w:rPr>
                <w:rFonts w:cstheme="minorHAnsi"/>
                <w:szCs w:val="18"/>
              </w:rPr>
              <w:t>Used in national mental health survey. Easy to administer, can be used for variety of purposes for global psychological distress.</w:t>
            </w:r>
          </w:p>
          <w:p w14:paraId="411DC465" w14:textId="77777777" w:rsidR="001165F5" w:rsidRPr="000F2D4C" w:rsidRDefault="001165F5">
            <w:pPr>
              <w:spacing w:line="240" w:lineRule="auto"/>
              <w:rPr>
                <w:rFonts w:cstheme="minorHAnsi"/>
                <w:szCs w:val="18"/>
              </w:rPr>
            </w:pPr>
          </w:p>
          <w:p w14:paraId="2E042AC3" w14:textId="77777777" w:rsidR="001165F5" w:rsidRPr="000F2D4C" w:rsidRDefault="001165F5">
            <w:pPr>
              <w:pStyle w:val="ListParagraph"/>
              <w:numPr>
                <w:ilvl w:val="0"/>
                <w:numId w:val="38"/>
              </w:numPr>
              <w:spacing w:after="0" w:line="240" w:lineRule="auto"/>
              <w:rPr>
                <w:rFonts w:cstheme="minorHAnsi"/>
                <w:szCs w:val="18"/>
              </w:rPr>
            </w:pPr>
            <w:r w:rsidRPr="000F2D4C">
              <w:rPr>
                <w:rFonts w:cstheme="minorHAnsi"/>
                <w:szCs w:val="18"/>
              </w:rPr>
              <w:t>score under 20 are likely to be well</w:t>
            </w:r>
          </w:p>
          <w:p w14:paraId="70E94D09" w14:textId="77777777" w:rsidR="001165F5" w:rsidRPr="000F2D4C" w:rsidRDefault="001165F5">
            <w:pPr>
              <w:pStyle w:val="ListParagraph"/>
              <w:numPr>
                <w:ilvl w:val="0"/>
                <w:numId w:val="38"/>
              </w:numPr>
              <w:spacing w:after="0" w:line="240" w:lineRule="auto"/>
              <w:rPr>
                <w:rFonts w:cstheme="minorHAnsi"/>
                <w:szCs w:val="18"/>
              </w:rPr>
            </w:pPr>
            <w:r w:rsidRPr="000F2D4C">
              <w:rPr>
                <w:rFonts w:cstheme="minorHAnsi"/>
                <w:szCs w:val="18"/>
              </w:rPr>
              <w:t>score 20-24 are likely to have a mild mental disorder</w:t>
            </w:r>
          </w:p>
          <w:p w14:paraId="413D3613" w14:textId="77777777" w:rsidR="001165F5" w:rsidRPr="000F2D4C" w:rsidRDefault="001165F5">
            <w:pPr>
              <w:pStyle w:val="ListParagraph"/>
              <w:numPr>
                <w:ilvl w:val="0"/>
                <w:numId w:val="38"/>
              </w:numPr>
              <w:spacing w:after="0" w:line="240" w:lineRule="auto"/>
              <w:rPr>
                <w:rFonts w:cstheme="minorHAnsi"/>
                <w:szCs w:val="18"/>
              </w:rPr>
            </w:pPr>
            <w:r w:rsidRPr="000F2D4C">
              <w:rPr>
                <w:rFonts w:cstheme="minorHAnsi"/>
                <w:szCs w:val="18"/>
              </w:rPr>
              <w:t>score 25-29 are likely to have moderate mental disorder</w:t>
            </w:r>
          </w:p>
          <w:p w14:paraId="64504EA4" w14:textId="77777777" w:rsidR="001165F5" w:rsidRPr="000F2D4C" w:rsidRDefault="001165F5">
            <w:pPr>
              <w:pStyle w:val="ListParagraph"/>
              <w:numPr>
                <w:ilvl w:val="0"/>
                <w:numId w:val="38"/>
              </w:numPr>
              <w:spacing w:after="0" w:line="240" w:lineRule="auto"/>
              <w:rPr>
                <w:rFonts w:cstheme="minorHAnsi"/>
                <w:szCs w:val="18"/>
              </w:rPr>
            </w:pPr>
            <w:r w:rsidRPr="000F2D4C">
              <w:rPr>
                <w:rFonts w:cstheme="minorHAnsi"/>
                <w:szCs w:val="18"/>
              </w:rPr>
              <w:t>score 30 and over are likely to have a severe mental disorder.</w:t>
            </w:r>
          </w:p>
        </w:tc>
      </w:tr>
      <w:tr w:rsidR="001165F5" w:rsidRPr="000F2D4C" w14:paraId="38489999" w14:textId="77777777">
        <w:trPr>
          <w:cnfStyle w:val="000000100000" w:firstRow="0" w:lastRow="0" w:firstColumn="0" w:lastColumn="0" w:oddVBand="0" w:evenVBand="0" w:oddHBand="1" w:evenHBand="0" w:firstRowFirstColumn="0" w:firstRowLastColumn="0" w:lastRowFirstColumn="0" w:lastRowLastColumn="0"/>
        </w:trPr>
        <w:tc>
          <w:tcPr>
            <w:tcW w:w="269" w:type="pct"/>
          </w:tcPr>
          <w:p w14:paraId="488EA31D" w14:textId="77777777" w:rsidR="001165F5" w:rsidRPr="000F2D4C" w:rsidRDefault="001165F5">
            <w:pPr>
              <w:spacing w:line="240" w:lineRule="auto"/>
              <w:rPr>
                <w:rFonts w:cstheme="minorHAnsi"/>
                <w:szCs w:val="18"/>
              </w:rPr>
            </w:pPr>
          </w:p>
        </w:tc>
        <w:tc>
          <w:tcPr>
            <w:tcW w:w="338" w:type="pct"/>
          </w:tcPr>
          <w:p w14:paraId="231479B6" w14:textId="77777777" w:rsidR="001165F5" w:rsidRPr="000F2D4C" w:rsidRDefault="001165F5">
            <w:pPr>
              <w:spacing w:line="240" w:lineRule="auto"/>
              <w:rPr>
                <w:rFonts w:cstheme="minorHAnsi"/>
                <w:szCs w:val="18"/>
              </w:rPr>
            </w:pPr>
            <w:r w:rsidRPr="000F2D4C">
              <w:rPr>
                <w:rFonts w:cstheme="minorHAnsi"/>
                <w:szCs w:val="18"/>
              </w:rPr>
              <w:t>X</w:t>
            </w:r>
          </w:p>
        </w:tc>
        <w:tc>
          <w:tcPr>
            <w:tcW w:w="565" w:type="pct"/>
          </w:tcPr>
          <w:p w14:paraId="638DFD5A" w14:textId="77777777" w:rsidR="001165F5" w:rsidRPr="000F2D4C" w:rsidRDefault="001165F5">
            <w:pPr>
              <w:spacing w:line="240" w:lineRule="auto"/>
              <w:rPr>
                <w:rFonts w:cstheme="minorHAnsi"/>
                <w:szCs w:val="18"/>
              </w:rPr>
            </w:pPr>
            <w:r w:rsidRPr="000F2D4C">
              <w:rPr>
                <w:rFonts w:cstheme="minorHAnsi"/>
                <w:szCs w:val="18"/>
              </w:rPr>
              <w:t>Kessler-5 (K5; for Aboriginal and Torres Strait Islander people if considered more appropriate)</w:t>
            </w:r>
          </w:p>
        </w:tc>
        <w:tc>
          <w:tcPr>
            <w:tcW w:w="413" w:type="pct"/>
          </w:tcPr>
          <w:p w14:paraId="593D556A" w14:textId="77777777" w:rsidR="001165F5" w:rsidRPr="000F2D4C" w:rsidRDefault="001165F5">
            <w:pPr>
              <w:spacing w:line="240" w:lineRule="auto"/>
              <w:rPr>
                <w:rFonts w:cstheme="minorHAnsi"/>
                <w:szCs w:val="18"/>
              </w:rPr>
            </w:pPr>
          </w:p>
        </w:tc>
        <w:tc>
          <w:tcPr>
            <w:tcW w:w="348" w:type="pct"/>
          </w:tcPr>
          <w:p w14:paraId="210296AE" w14:textId="77777777" w:rsidR="001165F5" w:rsidRPr="000F2D4C" w:rsidRDefault="001165F5">
            <w:pPr>
              <w:spacing w:line="240" w:lineRule="auto"/>
              <w:rPr>
                <w:rFonts w:cstheme="minorHAnsi"/>
                <w:szCs w:val="18"/>
              </w:rPr>
            </w:pPr>
            <w:r w:rsidRPr="000F2D4C">
              <w:rPr>
                <w:rFonts w:cstheme="minorHAnsi"/>
                <w:szCs w:val="18"/>
              </w:rPr>
              <w:t>X</w:t>
            </w:r>
          </w:p>
        </w:tc>
        <w:tc>
          <w:tcPr>
            <w:tcW w:w="643" w:type="pct"/>
          </w:tcPr>
          <w:p w14:paraId="7B5B5C83" w14:textId="77777777" w:rsidR="001165F5" w:rsidRPr="000F2D4C" w:rsidRDefault="001165F5">
            <w:pPr>
              <w:spacing w:line="240" w:lineRule="auto"/>
              <w:rPr>
                <w:rFonts w:cstheme="minorHAnsi"/>
                <w:szCs w:val="18"/>
              </w:rPr>
            </w:pPr>
            <w:r w:rsidRPr="000F2D4C">
              <w:rPr>
                <w:rFonts w:cstheme="minorHAnsi"/>
                <w:szCs w:val="18"/>
              </w:rPr>
              <w:t>Self-report or clinician. Free to use (supposed to acknowledge author)</w:t>
            </w:r>
          </w:p>
        </w:tc>
        <w:tc>
          <w:tcPr>
            <w:tcW w:w="708" w:type="pct"/>
          </w:tcPr>
          <w:p w14:paraId="7AF8FC7B" w14:textId="77777777" w:rsidR="001165F5" w:rsidRPr="000F2D4C" w:rsidRDefault="001165F5">
            <w:pPr>
              <w:spacing w:line="240" w:lineRule="auto"/>
              <w:rPr>
                <w:rFonts w:cstheme="minorHAnsi"/>
                <w:szCs w:val="18"/>
              </w:rPr>
            </w:pPr>
            <w:r w:rsidRPr="000F2D4C">
              <w:rPr>
                <w:rFonts w:cstheme="minorHAnsi"/>
                <w:szCs w:val="18"/>
              </w:rPr>
              <w:t xml:space="preserve">Last 4 weeks </w:t>
            </w:r>
          </w:p>
          <w:p w14:paraId="3CFAF44B" w14:textId="77777777" w:rsidR="001165F5" w:rsidRPr="000F2D4C" w:rsidRDefault="001165F5">
            <w:pPr>
              <w:spacing w:line="240" w:lineRule="auto"/>
              <w:rPr>
                <w:rFonts w:cstheme="minorHAnsi"/>
                <w:szCs w:val="18"/>
              </w:rPr>
            </w:pPr>
            <w:r w:rsidRPr="000F2D4C">
              <w:rPr>
                <w:rFonts w:cstheme="minorHAnsi"/>
                <w:szCs w:val="18"/>
              </w:rPr>
              <w:t xml:space="preserve">Scoring 1-4, higher scores = higher impairment, range 5-25 </w:t>
            </w:r>
          </w:p>
        </w:tc>
        <w:tc>
          <w:tcPr>
            <w:tcW w:w="1715" w:type="pct"/>
          </w:tcPr>
          <w:p w14:paraId="027AB399" w14:textId="77777777" w:rsidR="001165F5" w:rsidRPr="000F2D4C" w:rsidRDefault="001165F5">
            <w:pPr>
              <w:spacing w:line="240" w:lineRule="auto"/>
              <w:rPr>
                <w:rFonts w:cstheme="minorHAnsi"/>
                <w:szCs w:val="18"/>
              </w:rPr>
            </w:pPr>
            <w:r w:rsidRPr="000F2D4C">
              <w:rPr>
                <w:rFonts w:cstheme="minorHAnsi"/>
                <w:szCs w:val="18"/>
              </w:rPr>
              <w:t xml:space="preserve">There is also the K-6, however the question about feeling worthless is removed in K5 for appropriateness for First Nations. </w:t>
            </w:r>
          </w:p>
        </w:tc>
      </w:tr>
      <w:tr w:rsidR="001165F5" w:rsidRPr="000F2D4C" w14:paraId="1844A28C" w14:textId="77777777">
        <w:trPr>
          <w:cnfStyle w:val="000000010000" w:firstRow="0" w:lastRow="0" w:firstColumn="0" w:lastColumn="0" w:oddVBand="0" w:evenVBand="0" w:oddHBand="0" w:evenHBand="1" w:firstRowFirstColumn="0" w:firstRowLastColumn="0" w:lastRowFirstColumn="0" w:lastRowLastColumn="0"/>
        </w:trPr>
        <w:tc>
          <w:tcPr>
            <w:tcW w:w="269" w:type="pct"/>
          </w:tcPr>
          <w:p w14:paraId="54395215" w14:textId="77777777" w:rsidR="001165F5" w:rsidRPr="000F2D4C" w:rsidRDefault="001165F5">
            <w:pPr>
              <w:spacing w:line="240" w:lineRule="auto"/>
              <w:rPr>
                <w:rFonts w:cstheme="minorHAnsi"/>
                <w:szCs w:val="18"/>
              </w:rPr>
            </w:pPr>
            <w:r w:rsidRPr="000F2D4C">
              <w:rPr>
                <w:rFonts w:cstheme="minorHAnsi"/>
                <w:szCs w:val="18"/>
              </w:rPr>
              <w:t>X</w:t>
            </w:r>
          </w:p>
        </w:tc>
        <w:tc>
          <w:tcPr>
            <w:tcW w:w="338" w:type="pct"/>
          </w:tcPr>
          <w:p w14:paraId="360ED5C2" w14:textId="77777777" w:rsidR="001165F5" w:rsidRPr="000F2D4C" w:rsidRDefault="001165F5">
            <w:pPr>
              <w:spacing w:line="240" w:lineRule="auto"/>
              <w:rPr>
                <w:rFonts w:cstheme="minorHAnsi"/>
                <w:szCs w:val="18"/>
              </w:rPr>
            </w:pPr>
          </w:p>
        </w:tc>
        <w:tc>
          <w:tcPr>
            <w:tcW w:w="565" w:type="pct"/>
          </w:tcPr>
          <w:p w14:paraId="722B3D0E" w14:textId="77777777" w:rsidR="001165F5" w:rsidRPr="000F2D4C" w:rsidRDefault="001165F5">
            <w:pPr>
              <w:spacing w:line="240" w:lineRule="auto"/>
              <w:rPr>
                <w:rFonts w:cstheme="minorHAnsi"/>
                <w:szCs w:val="18"/>
              </w:rPr>
            </w:pPr>
            <w:r w:rsidRPr="000F2D4C">
              <w:rPr>
                <w:rFonts w:cstheme="minorHAnsi"/>
                <w:szCs w:val="18"/>
              </w:rPr>
              <w:t>Behaviour and Symptom Identification Scale (BASIS-32)</w:t>
            </w:r>
          </w:p>
        </w:tc>
        <w:tc>
          <w:tcPr>
            <w:tcW w:w="413" w:type="pct"/>
          </w:tcPr>
          <w:p w14:paraId="7FD22A28" w14:textId="77777777" w:rsidR="001165F5" w:rsidRPr="000F2D4C" w:rsidRDefault="001165F5">
            <w:pPr>
              <w:spacing w:line="240" w:lineRule="auto"/>
              <w:rPr>
                <w:rFonts w:cstheme="minorHAnsi"/>
                <w:szCs w:val="18"/>
              </w:rPr>
            </w:pPr>
          </w:p>
        </w:tc>
        <w:tc>
          <w:tcPr>
            <w:tcW w:w="348" w:type="pct"/>
          </w:tcPr>
          <w:p w14:paraId="3CA84C46" w14:textId="77777777" w:rsidR="001165F5" w:rsidRPr="000F2D4C" w:rsidRDefault="001165F5">
            <w:pPr>
              <w:spacing w:line="240" w:lineRule="auto"/>
              <w:rPr>
                <w:rFonts w:cstheme="minorHAnsi"/>
                <w:szCs w:val="18"/>
              </w:rPr>
            </w:pPr>
            <w:r w:rsidRPr="000F2D4C">
              <w:rPr>
                <w:rFonts w:cstheme="minorHAnsi"/>
                <w:szCs w:val="18"/>
              </w:rPr>
              <w:t>X</w:t>
            </w:r>
          </w:p>
        </w:tc>
        <w:tc>
          <w:tcPr>
            <w:tcW w:w="643" w:type="pct"/>
          </w:tcPr>
          <w:p w14:paraId="1F82EA21" w14:textId="77777777" w:rsidR="001165F5" w:rsidRPr="000F2D4C" w:rsidRDefault="001165F5">
            <w:pPr>
              <w:spacing w:line="240" w:lineRule="auto"/>
              <w:rPr>
                <w:rFonts w:cstheme="minorHAnsi"/>
                <w:color w:val="auto"/>
                <w:szCs w:val="18"/>
              </w:rPr>
            </w:pPr>
            <w:r w:rsidRPr="000F2D4C">
              <w:rPr>
                <w:rFonts w:cstheme="minorHAnsi"/>
                <w:szCs w:val="18"/>
              </w:rPr>
              <w:t>Typically, BASIS-32® is given at admission and discharge for hospital-based episodes of care, and at intake/ initiation of treatment and then periodically thereafter in ambulatory care settings</w:t>
            </w:r>
          </w:p>
          <w:p w14:paraId="7C5CBF83" w14:textId="77777777" w:rsidR="001165F5" w:rsidRPr="000F2D4C" w:rsidRDefault="001165F5">
            <w:pPr>
              <w:spacing w:line="240" w:lineRule="auto"/>
              <w:rPr>
                <w:rFonts w:cstheme="minorHAnsi"/>
                <w:szCs w:val="18"/>
              </w:rPr>
            </w:pPr>
          </w:p>
          <w:p w14:paraId="0D2C0864" w14:textId="77777777" w:rsidR="001165F5" w:rsidRPr="000F2D4C" w:rsidRDefault="001165F5">
            <w:pPr>
              <w:spacing w:line="240" w:lineRule="auto"/>
              <w:rPr>
                <w:rFonts w:cstheme="minorHAnsi"/>
                <w:szCs w:val="18"/>
              </w:rPr>
            </w:pPr>
          </w:p>
          <w:p w14:paraId="6D4AAB48" w14:textId="77777777" w:rsidR="001165F5" w:rsidRPr="000F2D4C" w:rsidRDefault="001165F5">
            <w:pPr>
              <w:spacing w:line="240" w:lineRule="auto"/>
              <w:rPr>
                <w:rFonts w:cstheme="minorHAnsi"/>
                <w:szCs w:val="18"/>
              </w:rPr>
            </w:pPr>
            <w:r w:rsidRPr="000F2D4C">
              <w:rPr>
                <w:rFonts w:cstheme="minorHAnsi"/>
                <w:szCs w:val="18"/>
              </w:rPr>
              <w:t>Scoring</w:t>
            </w:r>
          </w:p>
          <w:p w14:paraId="6499E9E2" w14:textId="77777777" w:rsidR="001165F5" w:rsidRPr="000F2D4C" w:rsidRDefault="001165F5">
            <w:pPr>
              <w:spacing w:line="240" w:lineRule="auto"/>
              <w:rPr>
                <w:rFonts w:cstheme="minorHAnsi"/>
                <w:szCs w:val="18"/>
              </w:rPr>
            </w:pPr>
            <w:r w:rsidRPr="000F2D4C">
              <w:rPr>
                <w:rFonts w:cstheme="minorHAnsi"/>
                <w:szCs w:val="18"/>
              </w:rPr>
              <w:lastRenderedPageBreak/>
              <w:t>0 - No difficulty</w:t>
            </w:r>
          </w:p>
          <w:p w14:paraId="7FAE5F56" w14:textId="77777777" w:rsidR="001165F5" w:rsidRPr="000F2D4C" w:rsidRDefault="001165F5">
            <w:pPr>
              <w:spacing w:line="240" w:lineRule="auto"/>
              <w:rPr>
                <w:rFonts w:cstheme="minorHAnsi"/>
                <w:szCs w:val="18"/>
              </w:rPr>
            </w:pPr>
            <w:r w:rsidRPr="000F2D4C">
              <w:rPr>
                <w:rFonts w:cstheme="minorHAnsi"/>
                <w:szCs w:val="18"/>
              </w:rPr>
              <w:t>1 - A little difficulty</w:t>
            </w:r>
          </w:p>
          <w:p w14:paraId="5F8C5715" w14:textId="77777777" w:rsidR="001165F5" w:rsidRPr="000F2D4C" w:rsidRDefault="001165F5">
            <w:pPr>
              <w:spacing w:line="240" w:lineRule="auto"/>
              <w:rPr>
                <w:rFonts w:cstheme="minorHAnsi"/>
                <w:szCs w:val="18"/>
              </w:rPr>
            </w:pPr>
            <w:r w:rsidRPr="000F2D4C">
              <w:rPr>
                <w:rFonts w:cstheme="minorHAnsi"/>
                <w:szCs w:val="18"/>
              </w:rPr>
              <w:t>2 - Moderate difficulty</w:t>
            </w:r>
          </w:p>
          <w:p w14:paraId="25F5AFC0" w14:textId="77777777" w:rsidR="001165F5" w:rsidRPr="000F2D4C" w:rsidRDefault="001165F5">
            <w:pPr>
              <w:spacing w:line="240" w:lineRule="auto"/>
              <w:rPr>
                <w:rFonts w:cstheme="minorHAnsi"/>
                <w:szCs w:val="18"/>
              </w:rPr>
            </w:pPr>
            <w:r w:rsidRPr="000F2D4C">
              <w:rPr>
                <w:rFonts w:cstheme="minorHAnsi"/>
                <w:szCs w:val="18"/>
              </w:rPr>
              <w:t>3 - Quite a bit of difficulty</w:t>
            </w:r>
          </w:p>
          <w:p w14:paraId="5D641A89" w14:textId="77777777" w:rsidR="001165F5" w:rsidRPr="000F2D4C" w:rsidRDefault="001165F5">
            <w:pPr>
              <w:spacing w:line="240" w:lineRule="auto"/>
              <w:rPr>
                <w:rFonts w:cstheme="minorHAnsi"/>
                <w:szCs w:val="18"/>
              </w:rPr>
            </w:pPr>
            <w:r w:rsidRPr="000F2D4C">
              <w:rPr>
                <w:rFonts w:cstheme="minorHAnsi"/>
                <w:szCs w:val="18"/>
              </w:rPr>
              <w:t>4 - Extreme difficulty</w:t>
            </w:r>
          </w:p>
          <w:p w14:paraId="645AE60A" w14:textId="77777777" w:rsidR="001165F5" w:rsidRPr="000F2D4C" w:rsidRDefault="001165F5">
            <w:pPr>
              <w:spacing w:line="240" w:lineRule="auto"/>
              <w:rPr>
                <w:rFonts w:cstheme="minorHAnsi"/>
                <w:szCs w:val="18"/>
              </w:rPr>
            </w:pPr>
            <w:r w:rsidRPr="000F2D4C">
              <w:rPr>
                <w:rFonts w:cstheme="minorHAnsi"/>
                <w:szCs w:val="18"/>
              </w:rPr>
              <w:t>Scoring of this measure is conducted through a proprietary, licenced algorithm</w:t>
            </w:r>
          </w:p>
        </w:tc>
        <w:tc>
          <w:tcPr>
            <w:tcW w:w="708" w:type="pct"/>
          </w:tcPr>
          <w:p w14:paraId="0E37F988" w14:textId="77777777" w:rsidR="001165F5" w:rsidRPr="000F2D4C" w:rsidRDefault="001165F5">
            <w:pPr>
              <w:spacing w:line="240" w:lineRule="auto"/>
              <w:rPr>
                <w:rFonts w:cstheme="minorHAnsi"/>
                <w:szCs w:val="18"/>
              </w:rPr>
            </w:pPr>
            <w:r w:rsidRPr="000F2D4C">
              <w:rPr>
                <w:rFonts w:cstheme="minorHAnsi"/>
                <w:szCs w:val="18"/>
              </w:rPr>
              <w:lastRenderedPageBreak/>
              <w:t>The BASIS-32® measures the change in self-reported symptom and problem difficulty over the course of treatment</w:t>
            </w:r>
          </w:p>
          <w:p w14:paraId="146C9F77" w14:textId="77777777" w:rsidR="001165F5" w:rsidRPr="000F2D4C" w:rsidRDefault="001165F5">
            <w:pPr>
              <w:spacing w:line="240" w:lineRule="auto"/>
              <w:rPr>
                <w:rFonts w:cstheme="minorHAnsi"/>
                <w:szCs w:val="18"/>
              </w:rPr>
            </w:pPr>
          </w:p>
          <w:p w14:paraId="262E4F88" w14:textId="77777777" w:rsidR="001165F5" w:rsidRPr="000F2D4C" w:rsidRDefault="001165F5">
            <w:pPr>
              <w:spacing w:line="240" w:lineRule="auto"/>
              <w:rPr>
                <w:rFonts w:cstheme="minorHAnsi"/>
                <w:szCs w:val="18"/>
              </w:rPr>
            </w:pPr>
            <w:r w:rsidRPr="000F2D4C">
              <w:rPr>
                <w:rFonts w:cstheme="minorHAnsi"/>
                <w:szCs w:val="18"/>
              </w:rPr>
              <w:t>The questions are grouped into 5 domains, representing:</w:t>
            </w:r>
          </w:p>
          <w:p w14:paraId="59ADC9D4" w14:textId="77777777" w:rsidR="001165F5" w:rsidRPr="000F2D4C" w:rsidRDefault="001165F5">
            <w:pPr>
              <w:pStyle w:val="ListParagraph"/>
              <w:numPr>
                <w:ilvl w:val="0"/>
                <w:numId w:val="39"/>
              </w:numPr>
              <w:spacing w:after="0" w:line="240" w:lineRule="auto"/>
              <w:ind w:left="429"/>
              <w:rPr>
                <w:rFonts w:cstheme="minorHAnsi"/>
                <w:szCs w:val="18"/>
              </w:rPr>
            </w:pPr>
            <w:r w:rsidRPr="000F2D4C">
              <w:rPr>
                <w:rFonts w:cstheme="minorHAnsi"/>
                <w:szCs w:val="18"/>
              </w:rPr>
              <w:t>relation to self and others;</w:t>
            </w:r>
          </w:p>
          <w:p w14:paraId="7B24B768" w14:textId="77777777" w:rsidR="001165F5" w:rsidRPr="000F2D4C" w:rsidRDefault="001165F5">
            <w:pPr>
              <w:pStyle w:val="ListParagraph"/>
              <w:numPr>
                <w:ilvl w:val="0"/>
                <w:numId w:val="39"/>
              </w:numPr>
              <w:spacing w:after="0" w:line="240" w:lineRule="auto"/>
              <w:ind w:left="429"/>
              <w:rPr>
                <w:rFonts w:cstheme="minorHAnsi"/>
                <w:szCs w:val="18"/>
              </w:rPr>
            </w:pPr>
            <w:r w:rsidRPr="000F2D4C">
              <w:rPr>
                <w:rFonts w:cstheme="minorHAnsi"/>
                <w:szCs w:val="18"/>
              </w:rPr>
              <w:t>daily living and role functioning;</w:t>
            </w:r>
          </w:p>
          <w:p w14:paraId="4A9D187A" w14:textId="77777777" w:rsidR="001165F5" w:rsidRPr="000F2D4C" w:rsidRDefault="001165F5">
            <w:pPr>
              <w:pStyle w:val="ListParagraph"/>
              <w:numPr>
                <w:ilvl w:val="0"/>
                <w:numId w:val="39"/>
              </w:numPr>
              <w:spacing w:after="0" w:line="240" w:lineRule="auto"/>
              <w:ind w:left="429"/>
              <w:rPr>
                <w:rFonts w:cstheme="minorHAnsi"/>
                <w:szCs w:val="18"/>
              </w:rPr>
            </w:pPr>
            <w:r w:rsidRPr="000F2D4C">
              <w:rPr>
                <w:rFonts w:cstheme="minorHAnsi"/>
                <w:szCs w:val="18"/>
              </w:rPr>
              <w:t>depression and anxiety;</w:t>
            </w:r>
          </w:p>
          <w:p w14:paraId="07C0D85D" w14:textId="77777777" w:rsidR="001165F5" w:rsidRPr="000F2D4C" w:rsidRDefault="001165F5">
            <w:pPr>
              <w:pStyle w:val="ListParagraph"/>
              <w:numPr>
                <w:ilvl w:val="0"/>
                <w:numId w:val="39"/>
              </w:numPr>
              <w:spacing w:after="0" w:line="240" w:lineRule="auto"/>
              <w:ind w:left="429"/>
              <w:rPr>
                <w:rFonts w:cstheme="minorHAnsi"/>
                <w:szCs w:val="18"/>
              </w:rPr>
            </w:pPr>
            <w:r w:rsidRPr="000F2D4C">
              <w:rPr>
                <w:rFonts w:cstheme="minorHAnsi"/>
                <w:szCs w:val="18"/>
              </w:rPr>
              <w:lastRenderedPageBreak/>
              <w:t xml:space="preserve">impulsive and addictive behaviour; </w:t>
            </w:r>
          </w:p>
          <w:p w14:paraId="0C392BAC" w14:textId="77777777" w:rsidR="001165F5" w:rsidRPr="000F2D4C" w:rsidRDefault="001165F5">
            <w:pPr>
              <w:pStyle w:val="ListParagraph"/>
              <w:numPr>
                <w:ilvl w:val="0"/>
                <w:numId w:val="39"/>
              </w:numPr>
              <w:spacing w:after="0" w:line="240" w:lineRule="auto"/>
              <w:ind w:left="429"/>
              <w:rPr>
                <w:rFonts w:cstheme="minorHAnsi"/>
                <w:szCs w:val="18"/>
              </w:rPr>
            </w:pPr>
            <w:r w:rsidRPr="000F2D4C">
              <w:rPr>
                <w:rFonts w:cstheme="minorHAnsi"/>
                <w:szCs w:val="18"/>
              </w:rPr>
              <w:t>psychosis</w:t>
            </w:r>
          </w:p>
        </w:tc>
        <w:tc>
          <w:tcPr>
            <w:tcW w:w="1715" w:type="pct"/>
          </w:tcPr>
          <w:p w14:paraId="084D2EB1" w14:textId="77777777" w:rsidR="001165F5" w:rsidRPr="000F2D4C" w:rsidRDefault="001165F5">
            <w:pPr>
              <w:spacing w:line="240" w:lineRule="auto"/>
              <w:rPr>
                <w:rFonts w:cstheme="minorHAnsi"/>
                <w:color w:val="auto"/>
                <w:szCs w:val="18"/>
              </w:rPr>
            </w:pPr>
            <w:r w:rsidRPr="000F2D4C">
              <w:rPr>
                <w:rFonts w:cstheme="minorHAnsi"/>
                <w:szCs w:val="18"/>
              </w:rPr>
              <w:lastRenderedPageBreak/>
              <w:t>The survey measures the degree of difficulty experienced by the patient during a one-week period on a five-point scale ranging from no difficulty to extreme difficulty.</w:t>
            </w:r>
          </w:p>
          <w:p w14:paraId="1405018A" w14:textId="77777777" w:rsidR="001165F5" w:rsidRPr="000F2D4C" w:rsidRDefault="001165F5">
            <w:pPr>
              <w:spacing w:line="240" w:lineRule="auto"/>
              <w:rPr>
                <w:rFonts w:cstheme="minorHAnsi"/>
                <w:szCs w:val="18"/>
              </w:rPr>
            </w:pPr>
            <w:r w:rsidRPr="000F2D4C">
              <w:rPr>
                <w:rFonts w:cstheme="minorHAnsi"/>
                <w:szCs w:val="18"/>
              </w:rPr>
              <w:t xml:space="preserve">BASIS-32® assesses treatment outcomes from the patient perspective. </w:t>
            </w:r>
          </w:p>
          <w:p w14:paraId="1F18B851" w14:textId="77777777" w:rsidR="001165F5" w:rsidRPr="000F2D4C" w:rsidRDefault="001165F5">
            <w:pPr>
              <w:spacing w:line="240" w:lineRule="auto"/>
              <w:rPr>
                <w:rFonts w:cstheme="minorHAnsi"/>
                <w:szCs w:val="18"/>
              </w:rPr>
            </w:pPr>
          </w:p>
          <w:p w14:paraId="1263C336" w14:textId="1172C438" w:rsidR="001165F5" w:rsidRPr="000F2D4C" w:rsidRDefault="001165F5">
            <w:pPr>
              <w:spacing w:line="240" w:lineRule="auto"/>
              <w:rPr>
                <w:rFonts w:cstheme="minorHAnsi"/>
                <w:szCs w:val="18"/>
              </w:rPr>
            </w:pPr>
            <w:r w:rsidRPr="000F2D4C">
              <w:rPr>
                <w:rFonts w:cstheme="minorHAnsi"/>
                <w:szCs w:val="18"/>
              </w:rPr>
              <w:t>Is the predecessor of the BASIS-24®, continues to be a leading behavio</w:t>
            </w:r>
            <w:r w:rsidR="003F2CBA" w:rsidRPr="000F2D4C">
              <w:rPr>
                <w:rFonts w:cstheme="minorHAnsi"/>
                <w:szCs w:val="18"/>
              </w:rPr>
              <w:t>u</w:t>
            </w:r>
            <w:r w:rsidRPr="000F2D4C">
              <w:rPr>
                <w:rFonts w:cstheme="minorHAnsi"/>
                <w:szCs w:val="18"/>
              </w:rPr>
              <w:t>ral health assessment tool. It is well-known and highly esteemed for its comprehensive outcomes measurement capability, as well as for its grounding in scientific methods of instrument development and validation.</w:t>
            </w:r>
          </w:p>
        </w:tc>
      </w:tr>
      <w:tr w:rsidR="001165F5" w:rsidRPr="000F2D4C" w14:paraId="50220F41" w14:textId="77777777">
        <w:trPr>
          <w:cnfStyle w:val="000000100000" w:firstRow="0" w:lastRow="0" w:firstColumn="0" w:lastColumn="0" w:oddVBand="0" w:evenVBand="0" w:oddHBand="1" w:evenHBand="0" w:firstRowFirstColumn="0" w:firstRowLastColumn="0" w:lastRowFirstColumn="0" w:lastRowLastColumn="0"/>
        </w:trPr>
        <w:tc>
          <w:tcPr>
            <w:tcW w:w="269" w:type="pct"/>
          </w:tcPr>
          <w:p w14:paraId="1C1C839E" w14:textId="77777777" w:rsidR="001165F5" w:rsidRPr="000F2D4C" w:rsidRDefault="001165F5">
            <w:pPr>
              <w:spacing w:line="240" w:lineRule="auto"/>
              <w:rPr>
                <w:rFonts w:cstheme="minorHAnsi"/>
                <w:szCs w:val="18"/>
              </w:rPr>
            </w:pPr>
            <w:r w:rsidRPr="000F2D4C">
              <w:rPr>
                <w:rFonts w:cstheme="minorHAnsi"/>
                <w:szCs w:val="18"/>
              </w:rPr>
              <w:t>X</w:t>
            </w:r>
          </w:p>
        </w:tc>
        <w:tc>
          <w:tcPr>
            <w:tcW w:w="338" w:type="pct"/>
          </w:tcPr>
          <w:p w14:paraId="0CF20511" w14:textId="77777777" w:rsidR="001165F5" w:rsidRPr="000F2D4C" w:rsidRDefault="001165F5">
            <w:pPr>
              <w:spacing w:line="240" w:lineRule="auto"/>
              <w:rPr>
                <w:rFonts w:cstheme="minorHAnsi"/>
                <w:szCs w:val="18"/>
              </w:rPr>
            </w:pPr>
          </w:p>
        </w:tc>
        <w:tc>
          <w:tcPr>
            <w:tcW w:w="565" w:type="pct"/>
          </w:tcPr>
          <w:p w14:paraId="3BB90749" w14:textId="77777777" w:rsidR="001165F5" w:rsidRPr="000F2D4C" w:rsidRDefault="001165F5">
            <w:pPr>
              <w:spacing w:line="240" w:lineRule="auto"/>
              <w:rPr>
                <w:rFonts w:cstheme="minorHAnsi"/>
                <w:szCs w:val="18"/>
              </w:rPr>
            </w:pPr>
            <w:r w:rsidRPr="000F2D4C">
              <w:rPr>
                <w:rFonts w:cstheme="minorHAnsi"/>
                <w:szCs w:val="18"/>
              </w:rPr>
              <w:t>Mental Health Inventory (MHI-38)</w:t>
            </w:r>
          </w:p>
        </w:tc>
        <w:tc>
          <w:tcPr>
            <w:tcW w:w="413" w:type="pct"/>
          </w:tcPr>
          <w:p w14:paraId="44595881" w14:textId="77777777" w:rsidR="001165F5" w:rsidRPr="000F2D4C" w:rsidRDefault="001165F5">
            <w:pPr>
              <w:spacing w:line="240" w:lineRule="auto"/>
              <w:rPr>
                <w:rFonts w:cstheme="minorHAnsi"/>
                <w:szCs w:val="18"/>
              </w:rPr>
            </w:pPr>
          </w:p>
        </w:tc>
        <w:tc>
          <w:tcPr>
            <w:tcW w:w="348" w:type="pct"/>
          </w:tcPr>
          <w:p w14:paraId="32A536AA" w14:textId="77777777" w:rsidR="001165F5" w:rsidRPr="000F2D4C" w:rsidRDefault="001165F5">
            <w:pPr>
              <w:spacing w:line="240" w:lineRule="auto"/>
              <w:rPr>
                <w:rFonts w:cstheme="minorHAnsi"/>
                <w:szCs w:val="18"/>
              </w:rPr>
            </w:pPr>
            <w:r w:rsidRPr="000F2D4C">
              <w:rPr>
                <w:rFonts w:cstheme="minorHAnsi"/>
                <w:szCs w:val="18"/>
              </w:rPr>
              <w:t>X</w:t>
            </w:r>
          </w:p>
        </w:tc>
        <w:tc>
          <w:tcPr>
            <w:tcW w:w="643" w:type="pct"/>
          </w:tcPr>
          <w:p w14:paraId="072EDD85" w14:textId="77777777" w:rsidR="001165F5" w:rsidRPr="000F2D4C" w:rsidRDefault="001165F5">
            <w:pPr>
              <w:spacing w:line="240" w:lineRule="auto"/>
              <w:rPr>
                <w:rFonts w:cstheme="minorHAnsi"/>
                <w:szCs w:val="18"/>
              </w:rPr>
            </w:pPr>
          </w:p>
          <w:p w14:paraId="2BF4EEEA" w14:textId="77777777" w:rsidR="001165F5" w:rsidRPr="000F2D4C" w:rsidRDefault="001165F5">
            <w:pPr>
              <w:spacing w:line="240" w:lineRule="auto"/>
              <w:rPr>
                <w:rFonts w:cstheme="minorHAnsi"/>
                <w:szCs w:val="18"/>
              </w:rPr>
            </w:pPr>
            <w:r w:rsidRPr="000F2D4C">
              <w:rPr>
                <w:rFonts w:cstheme="minorHAnsi"/>
                <w:szCs w:val="18"/>
              </w:rPr>
              <w:t>Consumer self-report tool</w:t>
            </w:r>
          </w:p>
        </w:tc>
        <w:tc>
          <w:tcPr>
            <w:tcW w:w="708" w:type="pct"/>
          </w:tcPr>
          <w:p w14:paraId="6E7E584D" w14:textId="77777777" w:rsidR="001165F5" w:rsidRPr="000F2D4C" w:rsidRDefault="001165F5">
            <w:pPr>
              <w:spacing w:line="240" w:lineRule="auto"/>
              <w:rPr>
                <w:rFonts w:cstheme="minorBidi"/>
              </w:rPr>
            </w:pPr>
            <w:r w:rsidRPr="000F2D4C">
              <w:rPr>
                <w:rFonts w:cstheme="minorBidi"/>
              </w:rPr>
              <w:t xml:space="preserve">The MHI-38 measures general psychological distress and wellbeing and includes positive aspects of wellbeing (such as cheerfulness, interest in and enjoyment of life) as </w:t>
            </w:r>
            <w:r w:rsidRPr="000F2D4C">
              <w:rPr>
                <w:rFonts w:cstheme="minorBidi"/>
              </w:rPr>
              <w:lastRenderedPageBreak/>
              <w:t>well as negative aspects of mental health (such as anxiety and depression)</w:t>
            </w:r>
          </w:p>
        </w:tc>
        <w:tc>
          <w:tcPr>
            <w:tcW w:w="1715" w:type="pct"/>
          </w:tcPr>
          <w:p w14:paraId="000E8540" w14:textId="77777777" w:rsidR="001165F5" w:rsidRPr="000F2D4C" w:rsidRDefault="001165F5">
            <w:pPr>
              <w:spacing w:line="240" w:lineRule="auto"/>
              <w:rPr>
                <w:rFonts w:cstheme="minorHAnsi"/>
                <w:szCs w:val="18"/>
              </w:rPr>
            </w:pPr>
            <w:r w:rsidRPr="000F2D4C">
              <w:rPr>
                <w:rFonts w:cstheme="minorHAnsi"/>
                <w:szCs w:val="18"/>
              </w:rPr>
              <w:lastRenderedPageBreak/>
              <w:t>Questions are asked of the consumer about the past month, with a single allowable response for each question.</w:t>
            </w:r>
          </w:p>
          <w:p w14:paraId="481AA4B8" w14:textId="77777777" w:rsidR="001165F5" w:rsidRPr="000F2D4C" w:rsidRDefault="001165F5">
            <w:pPr>
              <w:spacing w:line="240" w:lineRule="auto"/>
              <w:rPr>
                <w:rFonts w:cstheme="minorHAnsi"/>
                <w:szCs w:val="18"/>
              </w:rPr>
            </w:pPr>
          </w:p>
          <w:p w14:paraId="412DF0BA" w14:textId="77777777" w:rsidR="001165F5" w:rsidRPr="000F2D4C" w:rsidRDefault="001165F5">
            <w:pPr>
              <w:spacing w:line="240" w:lineRule="auto"/>
              <w:rPr>
                <w:rFonts w:cstheme="minorHAnsi"/>
                <w:szCs w:val="18"/>
              </w:rPr>
            </w:pPr>
            <w:r w:rsidRPr="000F2D4C">
              <w:rPr>
                <w:rFonts w:cstheme="minorHAnsi"/>
                <w:szCs w:val="18"/>
              </w:rPr>
              <w:t xml:space="preserve">The response scales are from 1-6, noting different labels are used for different questions on the form (such as </w:t>
            </w:r>
            <w:r w:rsidRPr="000F2D4C">
              <w:rPr>
                <w:rFonts w:cstheme="minorHAnsi"/>
                <w:szCs w:val="18"/>
              </w:rPr>
              <w:lastRenderedPageBreak/>
              <w:t>"Always", "All of the time", "Extremely so", and "Never", "None of the time", "Not at all").</w:t>
            </w:r>
          </w:p>
          <w:p w14:paraId="1A78D46F" w14:textId="77777777" w:rsidR="001165F5" w:rsidRPr="000F2D4C" w:rsidRDefault="001165F5">
            <w:pPr>
              <w:spacing w:line="240" w:lineRule="auto"/>
              <w:rPr>
                <w:rFonts w:cstheme="minorHAnsi"/>
                <w:szCs w:val="18"/>
              </w:rPr>
            </w:pPr>
          </w:p>
          <w:p w14:paraId="287A5708" w14:textId="77777777" w:rsidR="001165F5" w:rsidRPr="000F2D4C" w:rsidRDefault="001165F5">
            <w:pPr>
              <w:spacing w:line="240" w:lineRule="auto"/>
              <w:rPr>
                <w:rFonts w:cstheme="minorHAnsi"/>
                <w:szCs w:val="18"/>
              </w:rPr>
            </w:pPr>
            <w:r w:rsidRPr="000F2D4C">
              <w:rPr>
                <w:rFonts w:cstheme="minorHAnsi"/>
                <w:szCs w:val="18"/>
              </w:rPr>
              <w:t>The two exceptions to this are questions 9 and 28, which measure from 1-5 only.</w:t>
            </w:r>
          </w:p>
          <w:p w14:paraId="786983ED" w14:textId="77777777" w:rsidR="001165F5" w:rsidRPr="000F2D4C" w:rsidRDefault="001165F5">
            <w:pPr>
              <w:spacing w:line="240" w:lineRule="auto"/>
              <w:rPr>
                <w:rFonts w:cstheme="minorHAnsi"/>
                <w:szCs w:val="18"/>
              </w:rPr>
            </w:pPr>
          </w:p>
          <w:p w14:paraId="02F719E1" w14:textId="77777777" w:rsidR="001165F5" w:rsidRPr="000F2D4C" w:rsidRDefault="001165F5">
            <w:pPr>
              <w:spacing w:line="240" w:lineRule="auto"/>
              <w:rPr>
                <w:rFonts w:cstheme="minorHAnsi"/>
                <w:szCs w:val="18"/>
              </w:rPr>
            </w:pPr>
            <w:r w:rsidRPr="000F2D4C">
              <w:rPr>
                <w:rFonts w:cstheme="minorHAnsi"/>
                <w:szCs w:val="18"/>
              </w:rPr>
              <w:t>Lower numbers denote that the consumer response to the question is more positive, with higher numbers denoting a more negative response.</w:t>
            </w:r>
          </w:p>
          <w:p w14:paraId="5CA88D1A" w14:textId="77777777" w:rsidR="001165F5" w:rsidRPr="000F2D4C" w:rsidRDefault="001165F5">
            <w:pPr>
              <w:spacing w:line="240" w:lineRule="auto"/>
              <w:rPr>
                <w:rFonts w:cstheme="minorHAnsi"/>
                <w:szCs w:val="18"/>
              </w:rPr>
            </w:pPr>
          </w:p>
          <w:p w14:paraId="4939F969" w14:textId="77777777" w:rsidR="001165F5" w:rsidRPr="000F2D4C" w:rsidRDefault="001165F5">
            <w:pPr>
              <w:spacing w:line="240" w:lineRule="auto"/>
              <w:rPr>
                <w:rFonts w:cstheme="minorHAnsi"/>
                <w:szCs w:val="18"/>
              </w:rPr>
            </w:pPr>
            <w:r w:rsidRPr="000F2D4C">
              <w:rPr>
                <w:rFonts w:cstheme="minorHAnsi"/>
                <w:szCs w:val="18"/>
              </w:rPr>
              <w:t>For some of the questions, a score of 1 will denote better mental health, and for some questions a score of 1 will denote poorer mental health.</w:t>
            </w:r>
          </w:p>
        </w:tc>
      </w:tr>
      <w:tr w:rsidR="001165F5" w:rsidRPr="000F2D4C" w14:paraId="5307D8D2" w14:textId="77777777">
        <w:trPr>
          <w:cnfStyle w:val="000000010000" w:firstRow="0" w:lastRow="0" w:firstColumn="0" w:lastColumn="0" w:oddVBand="0" w:evenVBand="0" w:oddHBand="0" w:evenHBand="1" w:firstRowFirstColumn="0" w:firstRowLastColumn="0" w:lastRowFirstColumn="0" w:lastRowLastColumn="0"/>
        </w:trPr>
        <w:tc>
          <w:tcPr>
            <w:tcW w:w="269" w:type="pct"/>
          </w:tcPr>
          <w:p w14:paraId="45B00FD9" w14:textId="77777777" w:rsidR="001165F5" w:rsidRPr="000F2D4C" w:rsidRDefault="001165F5">
            <w:pPr>
              <w:spacing w:line="240" w:lineRule="auto"/>
              <w:jc w:val="center"/>
              <w:rPr>
                <w:rFonts w:cstheme="minorHAnsi"/>
                <w:szCs w:val="18"/>
              </w:rPr>
            </w:pPr>
            <w:r w:rsidRPr="000F2D4C">
              <w:rPr>
                <w:rFonts w:cstheme="minorHAnsi"/>
                <w:szCs w:val="18"/>
              </w:rPr>
              <w:lastRenderedPageBreak/>
              <w:t>X</w:t>
            </w:r>
          </w:p>
        </w:tc>
        <w:tc>
          <w:tcPr>
            <w:tcW w:w="338" w:type="pct"/>
          </w:tcPr>
          <w:p w14:paraId="0E5CCC81" w14:textId="77777777" w:rsidR="001165F5" w:rsidRPr="000F2D4C" w:rsidRDefault="001165F5">
            <w:pPr>
              <w:spacing w:line="240" w:lineRule="auto"/>
              <w:jc w:val="center"/>
              <w:rPr>
                <w:rFonts w:cstheme="minorHAnsi"/>
                <w:szCs w:val="18"/>
              </w:rPr>
            </w:pPr>
            <w:r w:rsidRPr="000F2D4C">
              <w:rPr>
                <w:rFonts w:cstheme="minorHAnsi"/>
                <w:szCs w:val="18"/>
              </w:rPr>
              <w:t>X</w:t>
            </w:r>
          </w:p>
        </w:tc>
        <w:tc>
          <w:tcPr>
            <w:tcW w:w="565" w:type="pct"/>
          </w:tcPr>
          <w:p w14:paraId="191E2E15" w14:textId="77777777" w:rsidR="001165F5" w:rsidRPr="000F2D4C" w:rsidRDefault="001165F5">
            <w:pPr>
              <w:spacing w:line="240" w:lineRule="auto"/>
              <w:rPr>
                <w:rFonts w:cstheme="minorHAnsi"/>
                <w:szCs w:val="18"/>
              </w:rPr>
            </w:pPr>
            <w:r w:rsidRPr="000F2D4C">
              <w:rPr>
                <w:rFonts w:cstheme="minorHAnsi"/>
                <w:szCs w:val="18"/>
              </w:rPr>
              <w:t>Strengths and Difficulties Questionnaire (SDQ)</w:t>
            </w:r>
          </w:p>
        </w:tc>
        <w:tc>
          <w:tcPr>
            <w:tcW w:w="413" w:type="pct"/>
          </w:tcPr>
          <w:p w14:paraId="35DA9E77" w14:textId="77777777" w:rsidR="001165F5" w:rsidRPr="000F2D4C" w:rsidRDefault="001165F5">
            <w:pPr>
              <w:spacing w:line="240" w:lineRule="auto"/>
              <w:jc w:val="center"/>
              <w:rPr>
                <w:rFonts w:cstheme="minorHAnsi"/>
                <w:szCs w:val="18"/>
              </w:rPr>
            </w:pPr>
            <w:r w:rsidRPr="000F2D4C">
              <w:rPr>
                <w:rFonts w:cstheme="minorHAnsi"/>
                <w:szCs w:val="18"/>
              </w:rPr>
              <w:t>X</w:t>
            </w:r>
          </w:p>
        </w:tc>
        <w:tc>
          <w:tcPr>
            <w:tcW w:w="348" w:type="pct"/>
          </w:tcPr>
          <w:p w14:paraId="1EFE15F9" w14:textId="77777777" w:rsidR="001165F5" w:rsidRPr="000F2D4C" w:rsidRDefault="001165F5">
            <w:pPr>
              <w:spacing w:line="240" w:lineRule="auto"/>
              <w:jc w:val="center"/>
              <w:rPr>
                <w:rFonts w:cstheme="minorHAnsi"/>
                <w:szCs w:val="18"/>
              </w:rPr>
            </w:pPr>
          </w:p>
        </w:tc>
        <w:tc>
          <w:tcPr>
            <w:tcW w:w="643" w:type="pct"/>
          </w:tcPr>
          <w:p w14:paraId="149DA3A9" w14:textId="77777777" w:rsidR="001165F5" w:rsidRPr="000F2D4C" w:rsidRDefault="001165F5">
            <w:pPr>
              <w:spacing w:line="240" w:lineRule="auto"/>
              <w:rPr>
                <w:rFonts w:cstheme="minorHAnsi"/>
                <w:szCs w:val="18"/>
              </w:rPr>
            </w:pPr>
            <w:r w:rsidRPr="000F2D4C">
              <w:rPr>
                <w:rFonts w:cstheme="minorHAnsi"/>
                <w:szCs w:val="18"/>
              </w:rPr>
              <w:t>Self</w:t>
            </w:r>
          </w:p>
        </w:tc>
        <w:tc>
          <w:tcPr>
            <w:tcW w:w="708" w:type="pct"/>
          </w:tcPr>
          <w:p w14:paraId="7E9C58B1" w14:textId="77777777" w:rsidR="001165F5" w:rsidRPr="000F2D4C" w:rsidRDefault="001165F5">
            <w:pPr>
              <w:spacing w:line="240" w:lineRule="auto"/>
              <w:rPr>
                <w:rFonts w:cstheme="minorHAnsi"/>
                <w:szCs w:val="18"/>
              </w:rPr>
            </w:pPr>
            <w:r w:rsidRPr="000F2D4C">
              <w:rPr>
                <w:rFonts w:cstheme="minorHAnsi"/>
                <w:szCs w:val="18"/>
              </w:rPr>
              <w:t xml:space="preserve">'internalising problems' (emotional+peer symptoms, 10 items) 'externalising problems' (conduct+hyperactivity </w:t>
            </w:r>
            <w:r w:rsidRPr="000F2D4C">
              <w:rPr>
                <w:rFonts w:cstheme="minorHAnsi"/>
                <w:szCs w:val="18"/>
              </w:rPr>
              <w:lastRenderedPageBreak/>
              <w:t>symptoms, 10 items) ‘prosocial scale’ (5 items)</w:t>
            </w:r>
          </w:p>
        </w:tc>
        <w:tc>
          <w:tcPr>
            <w:tcW w:w="1715" w:type="pct"/>
          </w:tcPr>
          <w:p w14:paraId="4F037762" w14:textId="77777777" w:rsidR="001165F5" w:rsidRPr="000F2D4C" w:rsidRDefault="001165F5">
            <w:pPr>
              <w:spacing w:line="240" w:lineRule="auto"/>
              <w:rPr>
                <w:rFonts w:cstheme="minorHAnsi"/>
                <w:szCs w:val="18"/>
              </w:rPr>
            </w:pPr>
            <w:r w:rsidRPr="000F2D4C">
              <w:rPr>
                <w:rFonts w:cstheme="minorHAnsi"/>
                <w:szCs w:val="18"/>
              </w:rPr>
              <w:lastRenderedPageBreak/>
              <w:t>Self-report focused on behaviour change and appearance of difficulties, not connected to social determinants or distress factors.</w:t>
            </w:r>
          </w:p>
        </w:tc>
      </w:tr>
      <w:tr w:rsidR="001165F5" w:rsidRPr="000F2D4C" w14:paraId="02FCE950" w14:textId="77777777">
        <w:trPr>
          <w:cnfStyle w:val="000000100000" w:firstRow="0" w:lastRow="0" w:firstColumn="0" w:lastColumn="0" w:oddVBand="0" w:evenVBand="0" w:oddHBand="1" w:evenHBand="0" w:firstRowFirstColumn="0" w:firstRowLastColumn="0" w:lastRowFirstColumn="0" w:lastRowLastColumn="0"/>
        </w:trPr>
        <w:tc>
          <w:tcPr>
            <w:tcW w:w="269" w:type="pct"/>
          </w:tcPr>
          <w:p w14:paraId="6F15D18B" w14:textId="77777777" w:rsidR="001165F5" w:rsidRPr="000F2D4C" w:rsidRDefault="001165F5">
            <w:pPr>
              <w:spacing w:line="240" w:lineRule="auto"/>
              <w:jc w:val="center"/>
              <w:rPr>
                <w:rFonts w:cstheme="minorHAnsi"/>
                <w:szCs w:val="18"/>
              </w:rPr>
            </w:pPr>
            <w:r w:rsidRPr="000F2D4C">
              <w:rPr>
                <w:rFonts w:cstheme="minorHAnsi"/>
                <w:szCs w:val="18"/>
              </w:rPr>
              <w:t>X</w:t>
            </w:r>
          </w:p>
        </w:tc>
        <w:tc>
          <w:tcPr>
            <w:tcW w:w="338" w:type="pct"/>
          </w:tcPr>
          <w:p w14:paraId="3314B8DC" w14:textId="77777777" w:rsidR="001165F5" w:rsidRPr="000F2D4C" w:rsidRDefault="001165F5">
            <w:pPr>
              <w:spacing w:line="240" w:lineRule="auto"/>
              <w:rPr>
                <w:rFonts w:cstheme="minorHAnsi"/>
                <w:szCs w:val="18"/>
              </w:rPr>
            </w:pPr>
          </w:p>
        </w:tc>
        <w:tc>
          <w:tcPr>
            <w:tcW w:w="565" w:type="pct"/>
          </w:tcPr>
          <w:p w14:paraId="3D049109" w14:textId="77777777" w:rsidR="001165F5" w:rsidRPr="000F2D4C" w:rsidRDefault="001165F5">
            <w:pPr>
              <w:spacing w:line="240" w:lineRule="auto"/>
              <w:rPr>
                <w:rFonts w:cstheme="minorHAnsi"/>
                <w:szCs w:val="18"/>
              </w:rPr>
            </w:pPr>
            <w:r w:rsidRPr="000F2D4C">
              <w:rPr>
                <w:rFonts w:cstheme="minorHAnsi"/>
                <w:szCs w:val="18"/>
              </w:rPr>
              <w:t>Living in the Community Questionnaire (LCQ)</w:t>
            </w:r>
          </w:p>
        </w:tc>
        <w:tc>
          <w:tcPr>
            <w:tcW w:w="413" w:type="pct"/>
          </w:tcPr>
          <w:p w14:paraId="733CDA30" w14:textId="77777777" w:rsidR="001165F5" w:rsidRPr="000F2D4C" w:rsidRDefault="001165F5">
            <w:pPr>
              <w:spacing w:line="240" w:lineRule="auto"/>
              <w:jc w:val="center"/>
              <w:rPr>
                <w:rFonts w:cstheme="minorHAnsi"/>
                <w:szCs w:val="18"/>
              </w:rPr>
            </w:pPr>
          </w:p>
        </w:tc>
        <w:tc>
          <w:tcPr>
            <w:tcW w:w="348" w:type="pct"/>
          </w:tcPr>
          <w:p w14:paraId="008B4E11" w14:textId="77777777" w:rsidR="001165F5" w:rsidRPr="000F2D4C" w:rsidRDefault="001165F5">
            <w:pPr>
              <w:spacing w:line="240" w:lineRule="auto"/>
              <w:jc w:val="center"/>
              <w:rPr>
                <w:rFonts w:cstheme="minorHAnsi"/>
                <w:szCs w:val="18"/>
              </w:rPr>
            </w:pPr>
            <w:r w:rsidRPr="000F2D4C">
              <w:rPr>
                <w:rFonts w:cstheme="minorHAnsi"/>
                <w:szCs w:val="18"/>
              </w:rPr>
              <w:t>X</w:t>
            </w:r>
          </w:p>
        </w:tc>
        <w:tc>
          <w:tcPr>
            <w:tcW w:w="643" w:type="pct"/>
          </w:tcPr>
          <w:p w14:paraId="7B3E8191" w14:textId="77777777" w:rsidR="001165F5" w:rsidRPr="000F2D4C" w:rsidRDefault="001165F5">
            <w:pPr>
              <w:spacing w:line="240" w:lineRule="auto"/>
              <w:rPr>
                <w:rFonts w:cstheme="minorHAnsi"/>
                <w:szCs w:val="18"/>
              </w:rPr>
            </w:pPr>
            <w:r w:rsidRPr="000F2D4C">
              <w:rPr>
                <w:rFonts w:cstheme="minorHAnsi"/>
                <w:szCs w:val="18"/>
              </w:rPr>
              <w:t>Self, with assistance of support worker</w:t>
            </w:r>
          </w:p>
        </w:tc>
        <w:tc>
          <w:tcPr>
            <w:tcW w:w="708" w:type="pct"/>
          </w:tcPr>
          <w:p w14:paraId="27FD9C01" w14:textId="77777777" w:rsidR="001165F5" w:rsidRPr="000F2D4C" w:rsidRDefault="001165F5">
            <w:pPr>
              <w:spacing w:line="240" w:lineRule="auto"/>
              <w:rPr>
                <w:rFonts w:cstheme="minorHAnsi"/>
                <w:szCs w:val="18"/>
              </w:rPr>
            </w:pPr>
            <w:r w:rsidRPr="000F2D4C">
              <w:rPr>
                <w:rFonts w:cstheme="minorHAnsi"/>
                <w:szCs w:val="18"/>
              </w:rPr>
              <w:t>Measurement of social inclusion for consumers of public-funded mental health services</w:t>
            </w:r>
          </w:p>
        </w:tc>
        <w:tc>
          <w:tcPr>
            <w:tcW w:w="1715" w:type="pct"/>
          </w:tcPr>
          <w:p w14:paraId="475688D6" w14:textId="77777777" w:rsidR="001165F5" w:rsidRPr="000F2D4C" w:rsidRDefault="001165F5">
            <w:pPr>
              <w:spacing w:line="240" w:lineRule="auto"/>
              <w:rPr>
                <w:rFonts w:cstheme="minorHAnsi"/>
                <w:szCs w:val="18"/>
              </w:rPr>
            </w:pPr>
            <w:r w:rsidRPr="000F2D4C">
              <w:rPr>
                <w:rFonts w:cstheme="minorHAnsi"/>
                <w:szCs w:val="18"/>
              </w:rPr>
              <w:t xml:space="preserve">Focused on recovery lens, as well as ways in which individuals receive care in the community. </w:t>
            </w:r>
          </w:p>
          <w:p w14:paraId="5DCC559A" w14:textId="77777777" w:rsidR="001165F5" w:rsidRPr="000F2D4C" w:rsidRDefault="001165F5">
            <w:pPr>
              <w:spacing w:line="240" w:lineRule="auto"/>
              <w:rPr>
                <w:rFonts w:cstheme="minorHAnsi"/>
                <w:szCs w:val="18"/>
              </w:rPr>
            </w:pPr>
            <w:hyperlink r:id="rId145" w:history="1">
              <w:r w:rsidRPr="000F2D4C">
                <w:rPr>
                  <w:rStyle w:val="Hyperlink"/>
                  <w:rFonts w:cstheme="minorHAnsi"/>
                  <w:szCs w:val="18"/>
                </w:rPr>
                <w:t>Noted as a complicated screening tool</w:t>
              </w:r>
            </w:hyperlink>
          </w:p>
        </w:tc>
      </w:tr>
      <w:tr w:rsidR="001165F5" w:rsidRPr="000F2D4C" w14:paraId="3DC259D8" w14:textId="77777777">
        <w:trPr>
          <w:cnfStyle w:val="000000010000" w:firstRow="0" w:lastRow="0" w:firstColumn="0" w:lastColumn="0" w:oddVBand="0" w:evenVBand="0" w:oddHBand="0" w:evenHBand="1" w:firstRowFirstColumn="0" w:firstRowLastColumn="0" w:lastRowFirstColumn="0" w:lastRowLastColumn="0"/>
        </w:trPr>
        <w:tc>
          <w:tcPr>
            <w:tcW w:w="269" w:type="pct"/>
          </w:tcPr>
          <w:p w14:paraId="3B8F58E9" w14:textId="77777777" w:rsidR="001165F5" w:rsidRPr="000F2D4C" w:rsidRDefault="001165F5">
            <w:pPr>
              <w:spacing w:line="240" w:lineRule="auto"/>
              <w:jc w:val="center"/>
              <w:rPr>
                <w:rFonts w:cstheme="minorHAnsi"/>
                <w:szCs w:val="18"/>
              </w:rPr>
            </w:pPr>
            <w:r w:rsidRPr="000F2D4C">
              <w:rPr>
                <w:rFonts w:cstheme="minorHAnsi"/>
                <w:szCs w:val="18"/>
              </w:rPr>
              <w:t>X</w:t>
            </w:r>
          </w:p>
        </w:tc>
        <w:tc>
          <w:tcPr>
            <w:tcW w:w="338" w:type="pct"/>
          </w:tcPr>
          <w:p w14:paraId="0552BAFE" w14:textId="77777777" w:rsidR="001165F5" w:rsidRPr="000F2D4C" w:rsidRDefault="001165F5">
            <w:pPr>
              <w:spacing w:line="240" w:lineRule="auto"/>
              <w:rPr>
                <w:rFonts w:cstheme="minorHAnsi"/>
                <w:szCs w:val="18"/>
              </w:rPr>
            </w:pPr>
          </w:p>
        </w:tc>
        <w:tc>
          <w:tcPr>
            <w:tcW w:w="565" w:type="pct"/>
          </w:tcPr>
          <w:p w14:paraId="51DC4C4F" w14:textId="77777777" w:rsidR="001165F5" w:rsidRPr="000F2D4C" w:rsidRDefault="001165F5">
            <w:pPr>
              <w:spacing w:line="240" w:lineRule="auto"/>
              <w:rPr>
                <w:rFonts w:cstheme="minorHAnsi"/>
                <w:szCs w:val="18"/>
              </w:rPr>
            </w:pPr>
            <w:r w:rsidRPr="000F2D4C">
              <w:rPr>
                <w:rFonts w:cstheme="minorHAnsi"/>
                <w:szCs w:val="18"/>
              </w:rPr>
              <w:t>Factors Influencing Health Status (FIHS; not an outcomes measure but important to interpret outcomes data)</w:t>
            </w:r>
          </w:p>
        </w:tc>
        <w:tc>
          <w:tcPr>
            <w:tcW w:w="413" w:type="pct"/>
          </w:tcPr>
          <w:p w14:paraId="0B6848B8" w14:textId="77777777" w:rsidR="001165F5" w:rsidRPr="000F2D4C" w:rsidRDefault="001165F5">
            <w:pPr>
              <w:spacing w:line="240" w:lineRule="auto"/>
              <w:jc w:val="center"/>
              <w:rPr>
                <w:rFonts w:cstheme="minorHAnsi"/>
                <w:szCs w:val="18"/>
              </w:rPr>
            </w:pPr>
          </w:p>
        </w:tc>
        <w:tc>
          <w:tcPr>
            <w:tcW w:w="348" w:type="pct"/>
          </w:tcPr>
          <w:p w14:paraId="3ABA8267" w14:textId="77777777" w:rsidR="001165F5" w:rsidRPr="000F2D4C" w:rsidRDefault="001165F5">
            <w:pPr>
              <w:spacing w:line="240" w:lineRule="auto"/>
              <w:jc w:val="center"/>
              <w:rPr>
                <w:rFonts w:cstheme="minorHAnsi"/>
                <w:szCs w:val="18"/>
              </w:rPr>
            </w:pPr>
            <w:r w:rsidRPr="000F2D4C">
              <w:rPr>
                <w:rFonts w:cstheme="minorHAnsi"/>
                <w:szCs w:val="18"/>
              </w:rPr>
              <w:t>X</w:t>
            </w:r>
          </w:p>
        </w:tc>
        <w:tc>
          <w:tcPr>
            <w:tcW w:w="643" w:type="pct"/>
          </w:tcPr>
          <w:p w14:paraId="20296ECE" w14:textId="77777777" w:rsidR="001165F5" w:rsidRPr="000F2D4C" w:rsidRDefault="001165F5">
            <w:pPr>
              <w:spacing w:line="240" w:lineRule="auto"/>
              <w:rPr>
                <w:rFonts w:cstheme="minorHAnsi"/>
                <w:szCs w:val="18"/>
              </w:rPr>
            </w:pPr>
            <w:r w:rsidRPr="000F2D4C">
              <w:rPr>
                <w:rFonts w:cstheme="minorHAnsi"/>
                <w:szCs w:val="18"/>
              </w:rPr>
              <w:t>Consumers with clinician input</w:t>
            </w:r>
          </w:p>
        </w:tc>
        <w:tc>
          <w:tcPr>
            <w:tcW w:w="708" w:type="pct"/>
          </w:tcPr>
          <w:p w14:paraId="708C8FF4" w14:textId="77777777" w:rsidR="001165F5" w:rsidRPr="000F2D4C" w:rsidRDefault="001165F5">
            <w:pPr>
              <w:spacing w:line="240" w:lineRule="auto"/>
              <w:rPr>
                <w:rFonts w:cstheme="minorHAnsi"/>
                <w:szCs w:val="18"/>
              </w:rPr>
            </w:pPr>
          </w:p>
        </w:tc>
        <w:tc>
          <w:tcPr>
            <w:tcW w:w="1715" w:type="pct"/>
          </w:tcPr>
          <w:p w14:paraId="5B7B698B" w14:textId="77777777" w:rsidR="001165F5" w:rsidRPr="000F2D4C" w:rsidRDefault="001165F5">
            <w:pPr>
              <w:spacing w:line="240" w:lineRule="auto"/>
              <w:rPr>
                <w:rFonts w:cstheme="minorHAnsi"/>
                <w:szCs w:val="18"/>
              </w:rPr>
            </w:pPr>
            <w:r w:rsidRPr="000F2D4C">
              <w:rPr>
                <w:rFonts w:cstheme="minorHAnsi"/>
                <w:szCs w:val="18"/>
              </w:rPr>
              <w:t>Presence of one or more factors impacting on the relationship between social interaction/ environment with behaviour and thoughts that have a negative effect on an individual's psychological health and requires additional clinical input.</w:t>
            </w:r>
          </w:p>
          <w:p w14:paraId="288CD489" w14:textId="77777777" w:rsidR="001165F5" w:rsidRPr="000F2D4C" w:rsidRDefault="001165F5">
            <w:pPr>
              <w:spacing w:line="240" w:lineRule="auto"/>
              <w:rPr>
                <w:rFonts w:cstheme="minorHAnsi"/>
                <w:szCs w:val="18"/>
              </w:rPr>
            </w:pPr>
            <w:r w:rsidRPr="000F2D4C">
              <w:rPr>
                <w:rFonts w:cstheme="minorHAnsi"/>
                <w:szCs w:val="18"/>
              </w:rPr>
              <w:t>Explores Social Determinants of Health and lifespan impacts.</w:t>
            </w:r>
          </w:p>
        </w:tc>
      </w:tr>
    </w:tbl>
    <w:p w14:paraId="63FD97A5" w14:textId="77777777" w:rsidR="001165F5" w:rsidRPr="000F2D4C" w:rsidRDefault="001165F5" w:rsidP="001165F5">
      <w:pPr>
        <w:spacing w:line="240" w:lineRule="auto"/>
        <w:rPr>
          <w:rFonts w:cstheme="minorHAnsi"/>
          <w:sz w:val="18"/>
          <w:szCs w:val="18"/>
        </w:rPr>
      </w:pPr>
    </w:p>
    <w:p w14:paraId="12AF8F87" w14:textId="77777777" w:rsidR="001165F5" w:rsidRPr="000F2D4C" w:rsidRDefault="001165F5" w:rsidP="001165F5">
      <w:pPr>
        <w:spacing w:line="240" w:lineRule="auto"/>
        <w:rPr>
          <w:rFonts w:cstheme="minorHAnsi"/>
          <w:sz w:val="18"/>
          <w:szCs w:val="18"/>
        </w:rPr>
      </w:pPr>
    </w:p>
    <w:p w14:paraId="7421E7CF" w14:textId="77777777" w:rsidR="001165F5" w:rsidRPr="000F2D4C" w:rsidRDefault="001165F5" w:rsidP="001165F5">
      <w:pPr>
        <w:spacing w:line="240" w:lineRule="auto"/>
        <w:rPr>
          <w:rFonts w:cstheme="minorHAnsi"/>
          <w:sz w:val="18"/>
          <w:szCs w:val="18"/>
        </w:rPr>
      </w:pPr>
    </w:p>
    <w:p w14:paraId="53C6F220" w14:textId="77777777" w:rsidR="001165F5" w:rsidRPr="000F2D4C" w:rsidRDefault="001165F5" w:rsidP="001165F5">
      <w:pPr>
        <w:spacing w:line="240" w:lineRule="auto"/>
        <w:rPr>
          <w:rFonts w:cstheme="minorHAnsi"/>
          <w:sz w:val="18"/>
          <w:szCs w:val="18"/>
        </w:rPr>
        <w:sectPr w:rsidR="001165F5" w:rsidRPr="000F2D4C" w:rsidSect="00324725">
          <w:headerReference w:type="default" r:id="rId146"/>
          <w:footerReference w:type="default" r:id="rId147"/>
          <w:headerReference w:type="first" r:id="rId148"/>
          <w:pgSz w:w="16838" w:h="11906" w:orient="landscape" w:code="9"/>
          <w:pgMar w:top="2268" w:right="1418" w:bottom="1418" w:left="1418" w:header="561" w:footer="57" w:gutter="0"/>
          <w:cols w:space="708"/>
          <w:docGrid w:linePitch="360"/>
        </w:sectPr>
      </w:pPr>
    </w:p>
    <w:p w14:paraId="242E00C7" w14:textId="6BCE5C06" w:rsidR="00190578" w:rsidRPr="000F2D4C" w:rsidRDefault="00190578" w:rsidP="00190578">
      <w:pPr>
        <w:pStyle w:val="Appendix"/>
      </w:pPr>
      <w:bookmarkStart w:id="110" w:name="_Toc149919020"/>
      <w:r w:rsidRPr="000F2D4C">
        <w:lastRenderedPageBreak/>
        <w:t>EMMIE template</w:t>
      </w:r>
      <w:r w:rsidR="00131B8E" w:rsidRPr="000F2D4C">
        <w:rPr>
          <w:rStyle w:val="FootnoteReference"/>
        </w:rPr>
        <w:footnoteReference w:id="60"/>
      </w:r>
      <w:bookmarkEnd w:id="110"/>
    </w:p>
    <w:p w14:paraId="3AEF9B29" w14:textId="62041747" w:rsidR="00190578" w:rsidRPr="000F2D4C" w:rsidRDefault="00190578" w:rsidP="00131B8E">
      <w:pPr>
        <w:pStyle w:val="Boxtext0"/>
        <w:shd w:val="clear" w:color="auto" w:fill="auto"/>
      </w:pPr>
      <w:r w:rsidRPr="000F2D4C">
        <w:t xml:space="preserve">A modified version of the EMMIE </w:t>
      </w:r>
      <w:r w:rsidR="00CD056E" w:rsidRPr="000F2D4C">
        <w:t>framework may</w:t>
      </w:r>
      <w:r w:rsidRPr="000F2D4C">
        <w:t xml:space="preserve"> provide a useful starting point for sharing information to continue building an evidence base of what works in varying contexts. This framework was developed for policymakers seeking practical evidence for decision-making about social policy and crime prevention programs to provide a consistent means of reviewing and extracting information from different types of evaluations.  </w:t>
      </w:r>
    </w:p>
    <w:p w14:paraId="0EE7C121" w14:textId="58DB5696" w:rsidR="001C35DE" w:rsidRPr="000F2D4C" w:rsidRDefault="001A414B" w:rsidP="001C35DE">
      <w:pPr>
        <w:pStyle w:val="TableHeading"/>
      </w:pPr>
      <w:r w:rsidRPr="000F2D4C">
        <w:t>Template for sharing information about evaluations</w:t>
      </w:r>
      <w:r w:rsidR="001C35DE" w:rsidRPr="000F2D4C">
        <w:t xml:space="preserve"> </w:t>
      </w:r>
    </w:p>
    <w:tbl>
      <w:tblPr>
        <w:tblStyle w:val="ARTDTable"/>
        <w:tblW w:w="13977" w:type="dxa"/>
        <w:tblLook w:val="04A0" w:firstRow="1" w:lastRow="0" w:firstColumn="1" w:lastColumn="0" w:noHBand="0" w:noVBand="1"/>
      </w:tblPr>
      <w:tblGrid>
        <w:gridCol w:w="2070"/>
        <w:gridCol w:w="3402"/>
        <w:gridCol w:w="8505"/>
      </w:tblGrid>
      <w:tr w:rsidR="00610B9C" w:rsidRPr="000F2D4C" w14:paraId="028BA4B9" w14:textId="77777777" w:rsidTr="00037794">
        <w:trPr>
          <w:cnfStyle w:val="100000000000" w:firstRow="1" w:lastRow="0" w:firstColumn="0" w:lastColumn="0" w:oddVBand="0" w:evenVBand="0" w:oddHBand="0" w:evenHBand="0" w:firstRowFirstColumn="0" w:firstRowLastColumn="0" w:lastRowFirstColumn="0" w:lastRowLastColumn="0"/>
          <w:tblHeader/>
        </w:trPr>
        <w:tc>
          <w:tcPr>
            <w:tcW w:w="2070" w:type="dxa"/>
          </w:tcPr>
          <w:p w14:paraId="6BE8D605" w14:textId="7E4EA131" w:rsidR="00610B9C" w:rsidRPr="000F2D4C" w:rsidRDefault="00610B9C" w:rsidP="00BB078F">
            <w:pPr>
              <w:pStyle w:val="Tablecolumnheading"/>
            </w:pPr>
            <w:r w:rsidRPr="000F2D4C">
              <w:t>Element</w:t>
            </w:r>
          </w:p>
        </w:tc>
        <w:tc>
          <w:tcPr>
            <w:tcW w:w="3402" w:type="dxa"/>
          </w:tcPr>
          <w:p w14:paraId="7088E4AC" w14:textId="770E086B" w:rsidR="00610B9C" w:rsidRPr="000F2D4C" w:rsidRDefault="00610B9C" w:rsidP="00BB078F">
            <w:pPr>
              <w:pStyle w:val="Tablecolumnheading"/>
            </w:pPr>
            <w:r w:rsidRPr="000F2D4C">
              <w:t>Description</w:t>
            </w:r>
          </w:p>
        </w:tc>
        <w:tc>
          <w:tcPr>
            <w:tcW w:w="8505" w:type="dxa"/>
          </w:tcPr>
          <w:p w14:paraId="3EBA0CD9" w14:textId="2DD28410" w:rsidR="00610B9C" w:rsidRPr="000F2D4C" w:rsidRDefault="00610B9C" w:rsidP="00BB078F">
            <w:pPr>
              <w:pStyle w:val="Tablecolumnheading"/>
            </w:pPr>
            <w:r w:rsidRPr="000F2D4C">
              <w:t>Response</w:t>
            </w:r>
          </w:p>
        </w:tc>
      </w:tr>
      <w:tr w:rsidR="00610B9C" w:rsidRPr="000F2D4C" w14:paraId="2BB3752C" w14:textId="77777777" w:rsidTr="00037794">
        <w:trPr>
          <w:cnfStyle w:val="000000100000" w:firstRow="0" w:lastRow="0" w:firstColumn="0" w:lastColumn="0" w:oddVBand="0" w:evenVBand="0" w:oddHBand="1" w:evenHBand="0" w:firstRowFirstColumn="0" w:firstRowLastColumn="0" w:lastRowFirstColumn="0" w:lastRowLastColumn="0"/>
        </w:trPr>
        <w:tc>
          <w:tcPr>
            <w:tcW w:w="2070" w:type="dxa"/>
          </w:tcPr>
          <w:p w14:paraId="584833FC" w14:textId="48537156" w:rsidR="00610B9C" w:rsidRPr="000F2D4C" w:rsidRDefault="00610B9C" w:rsidP="00BB078F">
            <w:pPr>
              <w:pStyle w:val="Tablecolumnheading"/>
              <w:rPr>
                <w:szCs w:val="18"/>
              </w:rPr>
            </w:pPr>
            <w:r w:rsidRPr="000F2D4C">
              <w:rPr>
                <w:b/>
                <w:szCs w:val="18"/>
              </w:rPr>
              <w:t xml:space="preserve">E </w:t>
            </w:r>
            <w:r w:rsidRPr="000F2D4C">
              <w:rPr>
                <w:szCs w:val="18"/>
              </w:rPr>
              <w:t>the effectiveness or outcomes of an evaluation</w:t>
            </w:r>
          </w:p>
        </w:tc>
        <w:tc>
          <w:tcPr>
            <w:tcW w:w="3402" w:type="dxa"/>
          </w:tcPr>
          <w:p w14:paraId="6027396A" w14:textId="477581B9" w:rsidR="00610B9C" w:rsidRPr="000F2D4C" w:rsidRDefault="00610B9C" w:rsidP="00BB078F">
            <w:pPr>
              <w:pStyle w:val="Tablecolumnheading"/>
              <w:rPr>
                <w:szCs w:val="18"/>
              </w:rPr>
            </w:pPr>
            <w:r w:rsidRPr="000F2D4C">
              <w:rPr>
                <w:szCs w:val="18"/>
              </w:rPr>
              <w:t>Where relevant this could include the effect direction and size of an outcome and the confidence that should be placed on that estimate</w:t>
            </w:r>
          </w:p>
        </w:tc>
        <w:tc>
          <w:tcPr>
            <w:tcW w:w="8505" w:type="dxa"/>
          </w:tcPr>
          <w:p w14:paraId="17DF7E5F" w14:textId="6F28D060" w:rsidR="00610B9C" w:rsidRPr="000F2D4C" w:rsidRDefault="00610B9C" w:rsidP="00E733E6">
            <w:pPr>
              <w:pStyle w:val="Tablecolumnheading"/>
              <w:numPr>
                <w:ilvl w:val="0"/>
                <w:numId w:val="96"/>
              </w:numPr>
              <w:rPr>
                <w:i/>
                <w:szCs w:val="18"/>
              </w:rPr>
            </w:pPr>
            <w:r w:rsidRPr="000F2D4C">
              <w:rPr>
                <w:i/>
                <w:szCs w:val="18"/>
              </w:rPr>
              <w:t>Effect size</w:t>
            </w:r>
          </w:p>
          <w:p w14:paraId="73FFD082" w14:textId="63D78B95" w:rsidR="00610B9C" w:rsidRPr="000F2D4C" w:rsidRDefault="00610B9C" w:rsidP="00E733E6">
            <w:pPr>
              <w:pStyle w:val="Tablecolumnheading"/>
              <w:numPr>
                <w:ilvl w:val="0"/>
                <w:numId w:val="96"/>
              </w:numPr>
              <w:rPr>
                <w:i/>
                <w:szCs w:val="18"/>
              </w:rPr>
            </w:pPr>
            <w:r w:rsidRPr="000F2D4C">
              <w:rPr>
                <w:i/>
                <w:szCs w:val="18"/>
              </w:rPr>
              <w:t>Exploration of the relationship between two variables</w:t>
            </w:r>
          </w:p>
          <w:p w14:paraId="64FF2821" w14:textId="7FD0ED58" w:rsidR="00610B9C" w:rsidRPr="000F2D4C" w:rsidRDefault="00610B9C" w:rsidP="00E733E6">
            <w:pPr>
              <w:pStyle w:val="Tablecolumnheading"/>
              <w:numPr>
                <w:ilvl w:val="0"/>
                <w:numId w:val="96"/>
              </w:numPr>
              <w:rPr>
                <w:i/>
                <w:szCs w:val="18"/>
              </w:rPr>
            </w:pPr>
            <w:r w:rsidRPr="000F2D4C">
              <w:rPr>
                <w:i/>
                <w:szCs w:val="18"/>
              </w:rPr>
              <w:t>Measurement or consideration of unanticipated effects</w:t>
            </w:r>
          </w:p>
        </w:tc>
      </w:tr>
      <w:tr w:rsidR="00610B9C" w:rsidRPr="000F2D4C" w14:paraId="1E5D8896" w14:textId="77777777" w:rsidTr="00037794">
        <w:trPr>
          <w:cnfStyle w:val="000000010000" w:firstRow="0" w:lastRow="0" w:firstColumn="0" w:lastColumn="0" w:oddVBand="0" w:evenVBand="0" w:oddHBand="0" w:evenHBand="1" w:firstRowFirstColumn="0" w:firstRowLastColumn="0" w:lastRowFirstColumn="0" w:lastRowLastColumn="0"/>
        </w:trPr>
        <w:tc>
          <w:tcPr>
            <w:tcW w:w="2070" w:type="dxa"/>
          </w:tcPr>
          <w:p w14:paraId="14B8B43D" w14:textId="74E2AF71" w:rsidR="00610B9C" w:rsidRPr="000F2D4C" w:rsidRDefault="00610B9C" w:rsidP="00BB078F">
            <w:pPr>
              <w:pStyle w:val="Tablecolumnheading"/>
              <w:rPr>
                <w:szCs w:val="18"/>
              </w:rPr>
            </w:pPr>
            <w:r w:rsidRPr="000F2D4C">
              <w:rPr>
                <w:b/>
                <w:szCs w:val="18"/>
              </w:rPr>
              <w:t>M</w:t>
            </w:r>
            <w:r w:rsidRPr="000F2D4C">
              <w:rPr>
                <w:szCs w:val="18"/>
              </w:rPr>
              <w:t xml:space="preserve"> the means by which the outcomes were achieved</w:t>
            </w:r>
          </w:p>
        </w:tc>
        <w:tc>
          <w:tcPr>
            <w:tcW w:w="3402" w:type="dxa"/>
          </w:tcPr>
          <w:p w14:paraId="3A5D62E9" w14:textId="29271B8A" w:rsidR="00610B9C" w:rsidRPr="000F2D4C" w:rsidRDefault="00610B9C" w:rsidP="0093287C">
            <w:pPr>
              <w:pStyle w:val="Tablecolumnheading"/>
              <w:rPr>
                <w:szCs w:val="18"/>
              </w:rPr>
            </w:pPr>
            <w:r w:rsidRPr="000F2D4C">
              <w:rPr>
                <w:szCs w:val="18"/>
              </w:rPr>
              <w:t>The way in which change occurred when implementing the policy, practice or program in question</w:t>
            </w:r>
          </w:p>
        </w:tc>
        <w:tc>
          <w:tcPr>
            <w:tcW w:w="8505" w:type="dxa"/>
          </w:tcPr>
          <w:p w14:paraId="3D26C9F4" w14:textId="7ECFE84E" w:rsidR="00610B9C" w:rsidRPr="000F2D4C" w:rsidRDefault="00610B9C" w:rsidP="00FC28BC">
            <w:pPr>
              <w:pStyle w:val="Tablecolumnheading"/>
              <w:numPr>
                <w:ilvl w:val="0"/>
                <w:numId w:val="97"/>
              </w:numPr>
              <w:rPr>
                <w:i/>
                <w:szCs w:val="18"/>
              </w:rPr>
            </w:pPr>
            <w:r w:rsidRPr="000F2D4C">
              <w:rPr>
                <w:i/>
                <w:szCs w:val="18"/>
              </w:rPr>
              <w:t xml:space="preserve">Map of possible ways change occurs - how the policy/ practice/ program facilitates change </w:t>
            </w:r>
            <w:r w:rsidR="004710A2" w:rsidRPr="000F2D4C">
              <w:rPr>
                <w:i/>
                <w:szCs w:val="18"/>
              </w:rPr>
              <w:t xml:space="preserve">– </w:t>
            </w:r>
            <w:r w:rsidRPr="000F2D4C">
              <w:rPr>
                <w:i/>
                <w:szCs w:val="18"/>
              </w:rPr>
              <w:t xml:space="preserve"> (developed before or after analysis)</w:t>
            </w:r>
          </w:p>
          <w:p w14:paraId="0CE73EB6" w14:textId="6246E18B" w:rsidR="00610B9C" w:rsidRPr="000F2D4C" w:rsidRDefault="00610B9C" w:rsidP="00E84AA3">
            <w:pPr>
              <w:pStyle w:val="Tablecolumnheading"/>
              <w:numPr>
                <w:ilvl w:val="0"/>
                <w:numId w:val="97"/>
              </w:numPr>
              <w:rPr>
                <w:i/>
                <w:szCs w:val="18"/>
              </w:rPr>
            </w:pPr>
            <w:r w:rsidRPr="000F2D4C">
              <w:rPr>
                <w:i/>
                <w:szCs w:val="18"/>
              </w:rPr>
              <w:t>Assessment or statements of most likely mechanisms, and any contextual conditions (these can be narratives)</w:t>
            </w:r>
          </w:p>
        </w:tc>
      </w:tr>
      <w:tr w:rsidR="00610B9C" w:rsidRPr="000F2D4C" w14:paraId="3C925ABD" w14:textId="77777777" w:rsidTr="00037794">
        <w:trPr>
          <w:cnfStyle w:val="000000100000" w:firstRow="0" w:lastRow="0" w:firstColumn="0" w:lastColumn="0" w:oddVBand="0" w:evenVBand="0" w:oddHBand="1" w:evenHBand="0" w:firstRowFirstColumn="0" w:firstRowLastColumn="0" w:lastRowFirstColumn="0" w:lastRowLastColumn="0"/>
        </w:trPr>
        <w:tc>
          <w:tcPr>
            <w:tcW w:w="2070" w:type="dxa"/>
          </w:tcPr>
          <w:p w14:paraId="268BBC63" w14:textId="09E8C3E5" w:rsidR="00610B9C" w:rsidRPr="000F2D4C" w:rsidRDefault="00610B9C" w:rsidP="00BB078F">
            <w:pPr>
              <w:pStyle w:val="Tablecolumnheading"/>
              <w:rPr>
                <w:szCs w:val="18"/>
              </w:rPr>
            </w:pPr>
            <w:r w:rsidRPr="000F2D4C">
              <w:rPr>
                <w:b/>
                <w:szCs w:val="18"/>
              </w:rPr>
              <w:t>M</w:t>
            </w:r>
            <w:r w:rsidRPr="000F2D4C">
              <w:rPr>
                <w:szCs w:val="18"/>
              </w:rPr>
              <w:t xml:space="preserve"> the moderators or contexts relevant to the evaluation</w:t>
            </w:r>
          </w:p>
        </w:tc>
        <w:tc>
          <w:tcPr>
            <w:tcW w:w="3402" w:type="dxa"/>
          </w:tcPr>
          <w:p w14:paraId="23B6684A" w14:textId="1BEE74F3" w:rsidR="00610B9C" w:rsidRPr="000F2D4C" w:rsidRDefault="00610B9C" w:rsidP="0093287C">
            <w:pPr>
              <w:pStyle w:val="Tablecolumnheading"/>
              <w:rPr>
                <w:szCs w:val="18"/>
              </w:rPr>
            </w:pPr>
            <w:r w:rsidRPr="000F2D4C">
              <w:rPr>
                <w:szCs w:val="18"/>
              </w:rPr>
              <w:t>What contributed to the outcomes to vary for different people in different places</w:t>
            </w:r>
          </w:p>
          <w:p w14:paraId="0EC36641" w14:textId="77777777" w:rsidR="00610B9C" w:rsidRPr="000F2D4C" w:rsidRDefault="00610B9C" w:rsidP="0093287C">
            <w:pPr>
              <w:pStyle w:val="Tablecolumnheading"/>
              <w:rPr>
                <w:szCs w:val="18"/>
              </w:rPr>
            </w:pPr>
          </w:p>
        </w:tc>
        <w:tc>
          <w:tcPr>
            <w:tcW w:w="8505" w:type="dxa"/>
          </w:tcPr>
          <w:p w14:paraId="510D2122" w14:textId="7275A579" w:rsidR="00610B9C" w:rsidRPr="000F2D4C" w:rsidRDefault="00610B9C">
            <w:pPr>
              <w:pStyle w:val="Tablecolumnheading"/>
              <w:numPr>
                <w:ilvl w:val="0"/>
                <w:numId w:val="98"/>
              </w:numPr>
              <w:rPr>
                <w:i/>
                <w:szCs w:val="18"/>
              </w:rPr>
            </w:pPr>
            <w:r w:rsidRPr="000F2D4C">
              <w:rPr>
                <w:i/>
                <w:szCs w:val="18"/>
              </w:rPr>
              <w:t>Analysis testing the differences that context makes to outcome (theoretically driven)</w:t>
            </w:r>
          </w:p>
          <w:p w14:paraId="585255F9" w14:textId="5C6642D8" w:rsidR="00610B9C" w:rsidRPr="000F2D4C" w:rsidRDefault="00610B9C" w:rsidP="00100B15">
            <w:pPr>
              <w:pStyle w:val="Tablecolumnheading"/>
              <w:numPr>
                <w:ilvl w:val="0"/>
                <w:numId w:val="98"/>
              </w:numPr>
              <w:rPr>
                <w:i/>
                <w:szCs w:val="18"/>
              </w:rPr>
            </w:pPr>
            <w:r w:rsidRPr="000F2D4C">
              <w:rPr>
                <w:i/>
                <w:szCs w:val="18"/>
              </w:rPr>
              <w:t>Analysis of data</w:t>
            </w:r>
          </w:p>
          <w:p w14:paraId="59C6D97C" w14:textId="3948EEA7" w:rsidR="00610B9C" w:rsidRPr="000F2D4C" w:rsidRDefault="00610B9C" w:rsidP="00100B15">
            <w:pPr>
              <w:pStyle w:val="Tablecolumnheading"/>
              <w:numPr>
                <w:ilvl w:val="0"/>
                <w:numId w:val="98"/>
              </w:numPr>
              <w:rPr>
                <w:i/>
                <w:szCs w:val="18"/>
              </w:rPr>
            </w:pPr>
            <w:r w:rsidRPr="000F2D4C">
              <w:rPr>
                <w:i/>
                <w:szCs w:val="18"/>
              </w:rPr>
              <w:t>Statements qualifying contextual variations (these can be narratives)</w:t>
            </w:r>
          </w:p>
        </w:tc>
      </w:tr>
      <w:tr w:rsidR="00610B9C" w:rsidRPr="000F2D4C" w14:paraId="30B8E5D5" w14:textId="77777777" w:rsidTr="00037794">
        <w:trPr>
          <w:cnfStyle w:val="000000010000" w:firstRow="0" w:lastRow="0" w:firstColumn="0" w:lastColumn="0" w:oddVBand="0" w:evenVBand="0" w:oddHBand="0" w:evenHBand="1" w:firstRowFirstColumn="0" w:firstRowLastColumn="0" w:lastRowFirstColumn="0" w:lastRowLastColumn="0"/>
        </w:trPr>
        <w:tc>
          <w:tcPr>
            <w:tcW w:w="2070" w:type="dxa"/>
          </w:tcPr>
          <w:p w14:paraId="34F6B14D" w14:textId="376C94F4" w:rsidR="00610B9C" w:rsidRPr="000F2D4C" w:rsidRDefault="00610B9C" w:rsidP="00BB078F">
            <w:pPr>
              <w:pStyle w:val="Tablecolumnheading"/>
              <w:rPr>
                <w:szCs w:val="18"/>
              </w:rPr>
            </w:pPr>
            <w:r w:rsidRPr="000F2D4C">
              <w:rPr>
                <w:b/>
                <w:szCs w:val="18"/>
              </w:rPr>
              <w:t>I</w:t>
            </w:r>
            <w:r w:rsidRPr="000F2D4C">
              <w:rPr>
                <w:szCs w:val="18"/>
              </w:rPr>
              <w:t xml:space="preserve"> the insights into the success and failure in implementation</w:t>
            </w:r>
          </w:p>
        </w:tc>
        <w:tc>
          <w:tcPr>
            <w:tcW w:w="3402" w:type="dxa"/>
          </w:tcPr>
          <w:p w14:paraId="37977F9A" w14:textId="0EA782D9" w:rsidR="00610B9C" w:rsidRPr="000F2D4C" w:rsidRDefault="00610B9C" w:rsidP="00BB078F">
            <w:pPr>
              <w:pStyle w:val="Tablecolumnheading"/>
            </w:pPr>
            <w:r w:rsidRPr="000F2D4C">
              <w:t>Consider the policy, practice or program, and system-level factors</w:t>
            </w:r>
          </w:p>
        </w:tc>
        <w:tc>
          <w:tcPr>
            <w:tcW w:w="8505" w:type="dxa"/>
          </w:tcPr>
          <w:p w14:paraId="4CCA3C0D" w14:textId="31AF769F" w:rsidR="00610B9C" w:rsidRPr="000F2D4C" w:rsidRDefault="00610B9C" w:rsidP="00D76DFA">
            <w:pPr>
              <w:pStyle w:val="Tablecolumnheading"/>
              <w:numPr>
                <w:ilvl w:val="0"/>
                <w:numId w:val="99"/>
              </w:numPr>
              <w:rPr>
                <w:i/>
                <w:szCs w:val="18"/>
              </w:rPr>
            </w:pPr>
            <w:r w:rsidRPr="000F2D4C">
              <w:rPr>
                <w:i/>
                <w:szCs w:val="18"/>
              </w:rPr>
              <w:t>Statements such as key components necessary for implementation</w:t>
            </w:r>
          </w:p>
          <w:p w14:paraId="0162F49A" w14:textId="77777777" w:rsidR="00610B9C" w:rsidRPr="000F2D4C" w:rsidRDefault="00610B9C" w:rsidP="00D76DFA">
            <w:pPr>
              <w:pStyle w:val="Tablecolumnheading"/>
              <w:numPr>
                <w:ilvl w:val="0"/>
                <w:numId w:val="99"/>
              </w:numPr>
              <w:rPr>
                <w:i/>
                <w:szCs w:val="18"/>
              </w:rPr>
            </w:pPr>
            <w:r w:rsidRPr="000F2D4C">
              <w:rPr>
                <w:i/>
                <w:szCs w:val="18"/>
              </w:rPr>
              <w:t>Statement of key components necessary for replication</w:t>
            </w:r>
          </w:p>
          <w:p w14:paraId="41F96BFD" w14:textId="77777777" w:rsidR="00610B9C" w:rsidRPr="000F2D4C" w:rsidRDefault="00610B9C" w:rsidP="00D76DFA">
            <w:pPr>
              <w:pStyle w:val="Tablecolumnheading"/>
              <w:numPr>
                <w:ilvl w:val="0"/>
                <w:numId w:val="99"/>
              </w:numPr>
              <w:rPr>
                <w:i/>
                <w:szCs w:val="18"/>
              </w:rPr>
            </w:pPr>
            <w:r w:rsidRPr="000F2D4C">
              <w:rPr>
                <w:i/>
                <w:szCs w:val="18"/>
              </w:rPr>
              <w:t>Enablers and barriers to implementation</w:t>
            </w:r>
          </w:p>
          <w:p w14:paraId="55156462" w14:textId="22DA1E06" w:rsidR="00610B9C" w:rsidRPr="000F2D4C" w:rsidRDefault="00610B9C" w:rsidP="001F21D9">
            <w:pPr>
              <w:pStyle w:val="Tablecolumnheading"/>
              <w:numPr>
                <w:ilvl w:val="0"/>
                <w:numId w:val="99"/>
              </w:numPr>
              <w:rPr>
                <w:i/>
                <w:szCs w:val="18"/>
              </w:rPr>
            </w:pPr>
            <w:r w:rsidRPr="000F2D4C">
              <w:rPr>
                <w:i/>
                <w:szCs w:val="18"/>
              </w:rPr>
              <w:t>Lessons for future programs</w:t>
            </w:r>
          </w:p>
        </w:tc>
      </w:tr>
      <w:tr w:rsidR="00610B9C" w:rsidRPr="000F2D4C" w14:paraId="34BDCE44" w14:textId="77777777" w:rsidTr="00037794">
        <w:trPr>
          <w:cnfStyle w:val="000000100000" w:firstRow="0" w:lastRow="0" w:firstColumn="0" w:lastColumn="0" w:oddVBand="0" w:evenVBand="0" w:oddHBand="1" w:evenHBand="0" w:firstRowFirstColumn="0" w:firstRowLastColumn="0" w:lastRowFirstColumn="0" w:lastRowLastColumn="0"/>
        </w:trPr>
        <w:tc>
          <w:tcPr>
            <w:tcW w:w="2070" w:type="dxa"/>
          </w:tcPr>
          <w:p w14:paraId="52482372" w14:textId="3014298F" w:rsidR="00610B9C" w:rsidRPr="000F2D4C" w:rsidRDefault="00610B9C" w:rsidP="00BB078F">
            <w:pPr>
              <w:pStyle w:val="Tablecolumnheading"/>
              <w:rPr>
                <w:szCs w:val="18"/>
              </w:rPr>
            </w:pPr>
            <w:r w:rsidRPr="000F2D4C">
              <w:rPr>
                <w:b/>
                <w:szCs w:val="18"/>
              </w:rPr>
              <w:lastRenderedPageBreak/>
              <w:t>E</w:t>
            </w:r>
            <w:r w:rsidRPr="000F2D4C">
              <w:rPr>
                <w:szCs w:val="18"/>
              </w:rPr>
              <w:t xml:space="preserve"> the economic costs (and benefits) associated with the policy, practice or program</w:t>
            </w:r>
          </w:p>
        </w:tc>
        <w:tc>
          <w:tcPr>
            <w:tcW w:w="3402" w:type="dxa"/>
          </w:tcPr>
          <w:p w14:paraId="280F70AC" w14:textId="1DFBDCFC" w:rsidR="00610B9C" w:rsidRPr="000F2D4C" w:rsidRDefault="00610B9C" w:rsidP="00BB078F">
            <w:pPr>
              <w:pStyle w:val="Tablecolumnheading"/>
              <w:rPr>
                <w:szCs w:val="18"/>
              </w:rPr>
            </w:pPr>
            <w:r w:rsidRPr="000F2D4C">
              <w:rPr>
                <w:szCs w:val="18"/>
              </w:rPr>
              <w:t>Varies depending on approach</w:t>
            </w:r>
          </w:p>
        </w:tc>
        <w:tc>
          <w:tcPr>
            <w:tcW w:w="8505" w:type="dxa"/>
          </w:tcPr>
          <w:p w14:paraId="2491BB45" w14:textId="68A33962" w:rsidR="00610B9C" w:rsidRPr="000F2D4C" w:rsidRDefault="00610B9C" w:rsidP="00292FFB">
            <w:pPr>
              <w:pStyle w:val="Tablecolumnheading"/>
              <w:numPr>
                <w:ilvl w:val="0"/>
                <w:numId w:val="100"/>
              </w:numPr>
              <w:rPr>
                <w:i/>
                <w:iCs/>
                <w:szCs w:val="18"/>
              </w:rPr>
            </w:pPr>
            <w:r w:rsidRPr="000F2D4C">
              <w:rPr>
                <w:i/>
                <w:iCs/>
                <w:szCs w:val="18"/>
              </w:rPr>
              <w:t>Quantification of program inputs</w:t>
            </w:r>
          </w:p>
          <w:p w14:paraId="33FDB290" w14:textId="005632D8" w:rsidR="00610B9C" w:rsidRPr="000F2D4C" w:rsidRDefault="00610B9C" w:rsidP="00292FFB">
            <w:pPr>
              <w:pStyle w:val="Tablecolumnheading"/>
              <w:numPr>
                <w:ilvl w:val="0"/>
                <w:numId w:val="100"/>
              </w:numPr>
              <w:rPr>
                <w:i/>
                <w:iCs/>
                <w:szCs w:val="18"/>
              </w:rPr>
            </w:pPr>
            <w:r w:rsidRPr="000F2D4C">
              <w:rPr>
                <w:i/>
                <w:iCs/>
                <w:szCs w:val="18"/>
              </w:rPr>
              <w:t>Quantification of program outputs</w:t>
            </w:r>
          </w:p>
          <w:p w14:paraId="7B3F12FB" w14:textId="53F2C96E" w:rsidR="00610B9C" w:rsidRPr="000F2D4C" w:rsidRDefault="00610B9C">
            <w:pPr>
              <w:pStyle w:val="Tablecolumnheading"/>
              <w:numPr>
                <w:ilvl w:val="0"/>
                <w:numId w:val="100"/>
              </w:numPr>
              <w:rPr>
                <w:i/>
                <w:iCs/>
                <w:szCs w:val="18"/>
              </w:rPr>
            </w:pPr>
            <w:r w:rsidRPr="000F2D4C">
              <w:rPr>
                <w:i/>
                <w:iCs/>
                <w:szCs w:val="18"/>
              </w:rPr>
              <w:t>Quantification of intensity (e.g., spend per person)</w:t>
            </w:r>
          </w:p>
          <w:p w14:paraId="3DC8200B" w14:textId="2841F593" w:rsidR="00610B9C" w:rsidRPr="000F2D4C" w:rsidRDefault="00610B9C" w:rsidP="00292FFB">
            <w:pPr>
              <w:pStyle w:val="Tablecolumnheading"/>
              <w:numPr>
                <w:ilvl w:val="0"/>
                <w:numId w:val="100"/>
              </w:numPr>
              <w:rPr>
                <w:i/>
                <w:iCs/>
                <w:szCs w:val="18"/>
              </w:rPr>
            </w:pPr>
            <w:r w:rsidRPr="000F2D4C">
              <w:rPr>
                <w:i/>
                <w:iCs/>
                <w:szCs w:val="18"/>
              </w:rPr>
              <w:t>Estimate of cost of implementation (and by sub-group)</w:t>
            </w:r>
          </w:p>
          <w:p w14:paraId="2F840E8E" w14:textId="77777777" w:rsidR="00610B9C" w:rsidRPr="000F2D4C" w:rsidRDefault="00610B9C" w:rsidP="00292FFB">
            <w:pPr>
              <w:pStyle w:val="Tablecolumnheading"/>
              <w:numPr>
                <w:ilvl w:val="0"/>
                <w:numId w:val="100"/>
              </w:numPr>
              <w:rPr>
                <w:i/>
                <w:iCs/>
                <w:szCs w:val="18"/>
              </w:rPr>
            </w:pPr>
            <w:r w:rsidRPr="000F2D4C">
              <w:rPr>
                <w:i/>
                <w:iCs/>
                <w:szCs w:val="18"/>
              </w:rPr>
              <w:t>Estimate of cost-effectiveness</w:t>
            </w:r>
          </w:p>
          <w:p w14:paraId="782F298F" w14:textId="50069C33" w:rsidR="00610B9C" w:rsidRPr="000F2D4C" w:rsidRDefault="00610B9C" w:rsidP="00FA40D8">
            <w:pPr>
              <w:pStyle w:val="Tablecolumnheading"/>
              <w:ind w:left="720"/>
              <w:rPr>
                <w:i/>
                <w:iCs/>
                <w:szCs w:val="18"/>
              </w:rPr>
            </w:pPr>
            <w:r w:rsidRPr="000F2D4C">
              <w:rPr>
                <w:i/>
                <w:iCs/>
                <w:szCs w:val="18"/>
              </w:rPr>
              <w:t>per unit output and by sub-group)</w:t>
            </w:r>
          </w:p>
          <w:p w14:paraId="5F5E039F" w14:textId="13EFCBCC" w:rsidR="00610B9C" w:rsidRPr="000F2D4C" w:rsidRDefault="00610B9C" w:rsidP="00FD4C33">
            <w:pPr>
              <w:pStyle w:val="Tablecolumnheading"/>
              <w:numPr>
                <w:ilvl w:val="0"/>
                <w:numId w:val="100"/>
              </w:numPr>
              <w:rPr>
                <w:szCs w:val="18"/>
              </w:rPr>
            </w:pPr>
            <w:r w:rsidRPr="000F2D4C">
              <w:rPr>
                <w:i/>
                <w:iCs/>
                <w:szCs w:val="18"/>
              </w:rPr>
              <w:t>Estimate of cost-benefit (and by sub-group)</w:t>
            </w:r>
          </w:p>
        </w:tc>
      </w:tr>
    </w:tbl>
    <w:p w14:paraId="15EB0C1B" w14:textId="77777777" w:rsidR="00190578" w:rsidRPr="000F2D4C" w:rsidRDefault="00190578" w:rsidP="00711E1C">
      <w:pPr>
        <w:spacing w:line="240" w:lineRule="auto"/>
        <w:rPr>
          <w:rFonts w:cstheme="minorHAnsi"/>
          <w:sz w:val="18"/>
          <w:szCs w:val="18"/>
        </w:rPr>
      </w:pPr>
    </w:p>
    <w:p w14:paraId="0E6CE8CE" w14:textId="77777777" w:rsidR="00190578" w:rsidRPr="000F2D4C" w:rsidRDefault="00190578" w:rsidP="00711E1C">
      <w:pPr>
        <w:spacing w:line="240" w:lineRule="auto"/>
        <w:rPr>
          <w:rFonts w:cstheme="minorHAnsi"/>
          <w:sz w:val="18"/>
          <w:szCs w:val="18"/>
        </w:rPr>
      </w:pPr>
    </w:p>
    <w:p w14:paraId="66C4B59B" w14:textId="43284925" w:rsidR="00190578" w:rsidRPr="000F2D4C" w:rsidRDefault="00190578">
      <w:pPr>
        <w:spacing w:after="0" w:line="240" w:lineRule="auto"/>
        <w:rPr>
          <w:rFonts w:cstheme="minorHAnsi"/>
          <w:sz w:val="18"/>
          <w:szCs w:val="18"/>
        </w:rPr>
      </w:pPr>
    </w:p>
    <w:p w14:paraId="119B4A6D" w14:textId="77777777" w:rsidR="00190578" w:rsidRPr="000F2D4C" w:rsidRDefault="00190578" w:rsidP="00711E1C">
      <w:pPr>
        <w:spacing w:line="240" w:lineRule="auto"/>
        <w:rPr>
          <w:rFonts w:cstheme="minorHAnsi"/>
          <w:sz w:val="18"/>
          <w:szCs w:val="18"/>
        </w:rPr>
      </w:pPr>
    </w:p>
    <w:sectPr w:rsidR="00190578" w:rsidRPr="000F2D4C" w:rsidSect="004710A2">
      <w:footerReference w:type="default" r:id="rId149"/>
      <w:pgSz w:w="16838" w:h="11906" w:orient="landscape" w:code="9"/>
      <w:pgMar w:top="2098" w:right="1418" w:bottom="1418" w:left="1418" w:header="561"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43B2F" w14:textId="77777777" w:rsidR="007C71A4" w:rsidRDefault="007C71A4" w:rsidP="00E562BA">
      <w:pPr>
        <w:spacing w:after="0" w:line="240" w:lineRule="auto"/>
      </w:pPr>
      <w:r>
        <w:separator/>
      </w:r>
    </w:p>
    <w:p w14:paraId="776F6F55" w14:textId="77777777" w:rsidR="007C71A4" w:rsidRDefault="007C71A4"/>
    <w:p w14:paraId="090F1A5A" w14:textId="77777777" w:rsidR="007C71A4" w:rsidRDefault="007C71A4"/>
    <w:p w14:paraId="23729596" w14:textId="77777777" w:rsidR="007C71A4" w:rsidRDefault="007C71A4"/>
    <w:p w14:paraId="7DE15961" w14:textId="77777777" w:rsidR="007C71A4" w:rsidRDefault="007C71A4"/>
  </w:endnote>
  <w:endnote w:type="continuationSeparator" w:id="0">
    <w:p w14:paraId="264C2479" w14:textId="77777777" w:rsidR="007C71A4" w:rsidRDefault="007C71A4" w:rsidP="00E562BA">
      <w:pPr>
        <w:spacing w:after="0" w:line="240" w:lineRule="auto"/>
      </w:pPr>
      <w:r>
        <w:continuationSeparator/>
      </w:r>
    </w:p>
    <w:p w14:paraId="521FF280" w14:textId="77777777" w:rsidR="007C71A4" w:rsidRDefault="007C71A4"/>
    <w:p w14:paraId="2EA6E959" w14:textId="77777777" w:rsidR="007C71A4" w:rsidRDefault="007C71A4"/>
    <w:p w14:paraId="5452D4CC" w14:textId="77777777" w:rsidR="007C71A4" w:rsidRDefault="007C71A4"/>
    <w:p w14:paraId="08BA6B4E" w14:textId="77777777" w:rsidR="007C71A4" w:rsidRDefault="007C71A4"/>
  </w:endnote>
  <w:endnote w:type="continuationNotice" w:id="1">
    <w:p w14:paraId="651C3472" w14:textId="77777777" w:rsidR="007C71A4" w:rsidRDefault="007C71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ZapfDingbats">
    <w:altName w:val="Wingdings"/>
    <w:panose1 w:val="00000000000000000000"/>
    <w:charset w:val="02"/>
    <w:family w:val="decorative"/>
    <w:notTrueType/>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Open Sans SemiBold">
    <w:charset w:val="00"/>
    <w:family w:val="swiss"/>
    <w:pitch w:val="variable"/>
    <w:sig w:usb0="E00002EF" w:usb1="4000205B" w:usb2="00000028" w:usb3="00000000" w:csb0="0000019F" w:csb1="00000000"/>
  </w:font>
  <w:font w:name="Myanmar Text">
    <w:panose1 w:val="020B0502040204020203"/>
    <w:charset w:val="00"/>
    <w:family w:val="swiss"/>
    <w:pitch w:val="variable"/>
    <w:sig w:usb0="80000003" w:usb1="00000000" w:usb2="00000400" w:usb3="00000000" w:csb0="00000001"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oppins">
    <w:charset w:val="00"/>
    <w:family w:val="auto"/>
    <w:pitch w:val="variable"/>
    <w:sig w:usb0="00008007" w:usb1="00000000" w:usb2="00000000" w:usb3="00000000" w:csb0="00000093"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29BF0" w14:textId="77777777" w:rsidR="00414AEA" w:rsidRDefault="00984472">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06"/>
      <w:gridCol w:w="702"/>
    </w:tblGrid>
    <w:tr w:rsidR="00AA358C" w14:paraId="5EFB93BA" w14:textId="77777777" w:rsidTr="00AA358C">
      <w:tc>
        <w:tcPr>
          <w:tcW w:w="13606" w:type="dxa"/>
        </w:tcPr>
        <w:p w14:paraId="15ADD4C9" w14:textId="77777777" w:rsidR="00AA358C" w:rsidRDefault="00AA358C" w:rsidP="00AA358C">
          <w:pPr>
            <w:pStyle w:val="Footer"/>
            <w:rPr>
              <w:i w:val="0"/>
              <w:color w:val="005677" w:themeColor="accent1"/>
            </w:rPr>
          </w:pPr>
          <w:r>
            <w:rPr>
              <w:i w:val="0"/>
              <w:noProof/>
              <w:color w:val="005677" w:themeColor="accent1"/>
            </w:rPr>
            <w:drawing>
              <wp:inline distT="0" distB="0" distL="0" distR="0" wp14:anchorId="00850CA8" wp14:editId="0B433D69">
                <wp:extent cx="4752975" cy="545465"/>
                <wp:effectExtent l="0" t="0" r="9525" b="6985"/>
                <wp:docPr id="277527682" name="Picture 3" descr="ART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72692" name="Picture 3" descr="ARTD logo"/>
                        <pic:cNvPicPr/>
                      </pic:nvPicPr>
                      <pic:blipFill rotWithShape="1">
                        <a:blip r:embed="rId1">
                          <a:extLst>
                            <a:ext uri="{28A0092B-C50C-407E-A947-70E740481C1C}">
                              <a14:useLocalDpi xmlns:a14="http://schemas.microsoft.com/office/drawing/2010/main" val="0"/>
                            </a:ext>
                          </a:extLst>
                        </a:blip>
                        <a:srcRect r="3967"/>
                        <a:stretch/>
                      </pic:blipFill>
                      <pic:spPr bwMode="auto">
                        <a:xfrm>
                          <a:off x="0" y="0"/>
                          <a:ext cx="4832034" cy="554538"/>
                        </a:xfrm>
                        <a:prstGeom prst="rect">
                          <a:avLst/>
                        </a:prstGeom>
                        <a:ln>
                          <a:noFill/>
                        </a:ln>
                        <a:extLst>
                          <a:ext uri="{53640926-AAD7-44D8-BBD7-CCE9431645EC}">
                            <a14:shadowObscured xmlns:a14="http://schemas.microsoft.com/office/drawing/2010/main"/>
                          </a:ext>
                        </a:extLst>
                      </pic:spPr>
                    </pic:pic>
                  </a:graphicData>
                </a:graphic>
              </wp:inline>
            </w:drawing>
          </w:r>
        </w:p>
      </w:tc>
      <w:tc>
        <w:tcPr>
          <w:tcW w:w="702" w:type="dxa"/>
          <w:vAlign w:val="center"/>
        </w:tcPr>
        <w:p w14:paraId="48C8EB66" w14:textId="77777777" w:rsidR="00AA358C" w:rsidRDefault="00AA358C" w:rsidP="00AA358C">
          <w:pPr>
            <w:pStyle w:val="Footerpagenumber"/>
          </w:pPr>
          <w:r w:rsidRPr="008E6858">
            <w:fldChar w:fldCharType="begin"/>
          </w:r>
          <w:r w:rsidRPr="008E6858">
            <w:instrText xml:space="preserve"> PAGE   \* MERGEFORMAT </w:instrText>
          </w:r>
          <w:r w:rsidRPr="008E6858">
            <w:fldChar w:fldCharType="separate"/>
          </w:r>
          <w:r w:rsidRPr="008E6858">
            <w:rPr>
              <w:noProof/>
            </w:rPr>
            <w:t>1</w:t>
          </w:r>
          <w:r w:rsidRPr="008E6858">
            <w:rPr>
              <w:noProof/>
            </w:rPr>
            <w:fldChar w:fldCharType="end"/>
          </w:r>
        </w:p>
      </w:tc>
    </w:tr>
  </w:tbl>
  <w:p w14:paraId="745F2115" w14:textId="50D7E42A" w:rsidR="00AA358C" w:rsidRDefault="00AA358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08"/>
      <w:gridCol w:w="702"/>
    </w:tblGrid>
    <w:tr w:rsidR="0020753A" w14:paraId="1EBB316C" w14:textId="77777777" w:rsidTr="00A75D71">
      <w:tc>
        <w:tcPr>
          <w:tcW w:w="7508" w:type="dxa"/>
        </w:tcPr>
        <w:p w14:paraId="4FDE8BCB" w14:textId="77777777" w:rsidR="0020753A" w:rsidRDefault="0020753A" w:rsidP="0020753A">
          <w:pPr>
            <w:pStyle w:val="Footer"/>
            <w:rPr>
              <w:i w:val="0"/>
              <w:color w:val="005677" w:themeColor="accent1"/>
            </w:rPr>
          </w:pPr>
          <w:r>
            <w:rPr>
              <w:i w:val="0"/>
              <w:noProof/>
              <w:color w:val="005677" w:themeColor="accent1"/>
            </w:rPr>
            <w:drawing>
              <wp:inline distT="0" distB="0" distL="0" distR="0" wp14:anchorId="0E63CC30" wp14:editId="259CF9A6">
                <wp:extent cx="4752975" cy="545465"/>
                <wp:effectExtent l="0" t="0" r="9525" b="6985"/>
                <wp:docPr id="319743848" name="Picture 3" descr="ART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72692" name="Picture 3" descr="ARTD logo"/>
                        <pic:cNvPicPr/>
                      </pic:nvPicPr>
                      <pic:blipFill rotWithShape="1">
                        <a:blip r:embed="rId1">
                          <a:extLst>
                            <a:ext uri="{28A0092B-C50C-407E-A947-70E740481C1C}">
                              <a14:useLocalDpi xmlns:a14="http://schemas.microsoft.com/office/drawing/2010/main" val="0"/>
                            </a:ext>
                          </a:extLst>
                        </a:blip>
                        <a:srcRect r="3967"/>
                        <a:stretch/>
                      </pic:blipFill>
                      <pic:spPr bwMode="auto">
                        <a:xfrm>
                          <a:off x="0" y="0"/>
                          <a:ext cx="4832034" cy="554538"/>
                        </a:xfrm>
                        <a:prstGeom prst="rect">
                          <a:avLst/>
                        </a:prstGeom>
                        <a:ln>
                          <a:noFill/>
                        </a:ln>
                        <a:extLst>
                          <a:ext uri="{53640926-AAD7-44D8-BBD7-CCE9431645EC}">
                            <a14:shadowObscured xmlns:a14="http://schemas.microsoft.com/office/drawing/2010/main"/>
                          </a:ext>
                        </a:extLst>
                      </pic:spPr>
                    </pic:pic>
                  </a:graphicData>
                </a:graphic>
              </wp:inline>
            </w:drawing>
          </w:r>
        </w:p>
      </w:tc>
      <w:tc>
        <w:tcPr>
          <w:tcW w:w="702" w:type="dxa"/>
          <w:vAlign w:val="center"/>
        </w:tcPr>
        <w:p w14:paraId="27A5CD21" w14:textId="77777777" w:rsidR="0020753A" w:rsidRDefault="0020753A" w:rsidP="0020753A">
          <w:pPr>
            <w:pStyle w:val="Footerpagenumber"/>
          </w:pPr>
          <w:r w:rsidRPr="008E6858">
            <w:fldChar w:fldCharType="begin"/>
          </w:r>
          <w:r w:rsidRPr="008E6858">
            <w:instrText xml:space="preserve"> PAGE   \* MERGEFORMAT </w:instrText>
          </w:r>
          <w:r w:rsidRPr="008E6858">
            <w:fldChar w:fldCharType="separate"/>
          </w:r>
          <w:r w:rsidRPr="008E6858">
            <w:rPr>
              <w:noProof/>
            </w:rPr>
            <w:t>1</w:t>
          </w:r>
          <w:r w:rsidRPr="008E6858">
            <w:rPr>
              <w:noProof/>
            </w:rPr>
            <w:fldChar w:fldCharType="end"/>
          </w:r>
        </w:p>
      </w:tc>
    </w:tr>
  </w:tbl>
  <w:p w14:paraId="1C4C96CE" w14:textId="028567E2" w:rsidR="00137F2C" w:rsidRDefault="00137F2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06"/>
      <w:gridCol w:w="702"/>
    </w:tblGrid>
    <w:tr w:rsidR="0020753A" w14:paraId="2612FC78" w14:textId="77777777" w:rsidTr="00A75D71">
      <w:tc>
        <w:tcPr>
          <w:tcW w:w="13606" w:type="dxa"/>
        </w:tcPr>
        <w:p w14:paraId="2945242D" w14:textId="77777777" w:rsidR="0020753A" w:rsidRDefault="0020753A" w:rsidP="0020753A">
          <w:pPr>
            <w:pStyle w:val="Footer"/>
            <w:rPr>
              <w:i w:val="0"/>
              <w:color w:val="005677" w:themeColor="accent1"/>
            </w:rPr>
          </w:pPr>
          <w:r>
            <w:rPr>
              <w:i w:val="0"/>
              <w:noProof/>
              <w:color w:val="005677" w:themeColor="accent1"/>
            </w:rPr>
            <w:drawing>
              <wp:inline distT="0" distB="0" distL="0" distR="0" wp14:anchorId="416C4962" wp14:editId="7247FA82">
                <wp:extent cx="4752975" cy="545465"/>
                <wp:effectExtent l="0" t="0" r="9525" b="6985"/>
                <wp:docPr id="1302196731" name="Picture 3" descr="ART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72692" name="Picture 3" descr="ARTD logo"/>
                        <pic:cNvPicPr/>
                      </pic:nvPicPr>
                      <pic:blipFill rotWithShape="1">
                        <a:blip r:embed="rId1">
                          <a:extLst>
                            <a:ext uri="{28A0092B-C50C-407E-A947-70E740481C1C}">
                              <a14:useLocalDpi xmlns:a14="http://schemas.microsoft.com/office/drawing/2010/main" val="0"/>
                            </a:ext>
                          </a:extLst>
                        </a:blip>
                        <a:srcRect r="3967"/>
                        <a:stretch/>
                      </pic:blipFill>
                      <pic:spPr bwMode="auto">
                        <a:xfrm>
                          <a:off x="0" y="0"/>
                          <a:ext cx="4832034" cy="554538"/>
                        </a:xfrm>
                        <a:prstGeom prst="rect">
                          <a:avLst/>
                        </a:prstGeom>
                        <a:ln>
                          <a:noFill/>
                        </a:ln>
                        <a:extLst>
                          <a:ext uri="{53640926-AAD7-44D8-BBD7-CCE9431645EC}">
                            <a14:shadowObscured xmlns:a14="http://schemas.microsoft.com/office/drawing/2010/main"/>
                          </a:ext>
                        </a:extLst>
                      </pic:spPr>
                    </pic:pic>
                  </a:graphicData>
                </a:graphic>
              </wp:inline>
            </w:drawing>
          </w:r>
        </w:p>
      </w:tc>
      <w:tc>
        <w:tcPr>
          <w:tcW w:w="702" w:type="dxa"/>
          <w:vAlign w:val="center"/>
        </w:tcPr>
        <w:p w14:paraId="5C899B2D" w14:textId="77777777" w:rsidR="0020753A" w:rsidRDefault="0020753A" w:rsidP="0020753A">
          <w:pPr>
            <w:pStyle w:val="Footerpagenumber"/>
          </w:pPr>
          <w:r w:rsidRPr="008E6858">
            <w:fldChar w:fldCharType="begin"/>
          </w:r>
          <w:r w:rsidRPr="008E6858">
            <w:instrText xml:space="preserve"> PAGE   \* MERGEFORMAT </w:instrText>
          </w:r>
          <w:r w:rsidRPr="008E6858">
            <w:fldChar w:fldCharType="separate"/>
          </w:r>
          <w:r w:rsidRPr="008E6858">
            <w:rPr>
              <w:noProof/>
            </w:rPr>
            <w:t>1</w:t>
          </w:r>
          <w:r w:rsidRPr="008E6858">
            <w:rPr>
              <w:noProof/>
            </w:rPr>
            <w:fldChar w:fldCharType="end"/>
          </w:r>
        </w:p>
      </w:tc>
    </w:tr>
  </w:tbl>
  <w:p w14:paraId="45B3F706" w14:textId="77777777" w:rsidR="00694B79" w:rsidRDefault="00694B7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08"/>
      <w:gridCol w:w="702"/>
    </w:tblGrid>
    <w:tr w:rsidR="00631514" w14:paraId="655A9D6E" w14:textId="77777777" w:rsidTr="00A75D71">
      <w:tc>
        <w:tcPr>
          <w:tcW w:w="7508" w:type="dxa"/>
        </w:tcPr>
        <w:p w14:paraId="12B681AD" w14:textId="77777777" w:rsidR="00631514" w:rsidRDefault="00631514" w:rsidP="00631514">
          <w:pPr>
            <w:pStyle w:val="Footer"/>
            <w:rPr>
              <w:i w:val="0"/>
              <w:color w:val="005677" w:themeColor="accent1"/>
            </w:rPr>
          </w:pPr>
          <w:r>
            <w:rPr>
              <w:i w:val="0"/>
              <w:noProof/>
              <w:color w:val="005677" w:themeColor="accent1"/>
            </w:rPr>
            <w:drawing>
              <wp:inline distT="0" distB="0" distL="0" distR="0" wp14:anchorId="605669BD" wp14:editId="6E235D43">
                <wp:extent cx="4752975" cy="545465"/>
                <wp:effectExtent l="0" t="0" r="9525" b="6985"/>
                <wp:docPr id="1216077133" name="Picture 3" descr="ART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72692" name="Picture 3" descr="ARTD logo"/>
                        <pic:cNvPicPr/>
                      </pic:nvPicPr>
                      <pic:blipFill rotWithShape="1">
                        <a:blip r:embed="rId1">
                          <a:extLst>
                            <a:ext uri="{28A0092B-C50C-407E-A947-70E740481C1C}">
                              <a14:useLocalDpi xmlns:a14="http://schemas.microsoft.com/office/drawing/2010/main" val="0"/>
                            </a:ext>
                          </a:extLst>
                        </a:blip>
                        <a:srcRect r="3967"/>
                        <a:stretch/>
                      </pic:blipFill>
                      <pic:spPr bwMode="auto">
                        <a:xfrm>
                          <a:off x="0" y="0"/>
                          <a:ext cx="4832034" cy="554538"/>
                        </a:xfrm>
                        <a:prstGeom prst="rect">
                          <a:avLst/>
                        </a:prstGeom>
                        <a:ln>
                          <a:noFill/>
                        </a:ln>
                        <a:extLst>
                          <a:ext uri="{53640926-AAD7-44D8-BBD7-CCE9431645EC}">
                            <a14:shadowObscured xmlns:a14="http://schemas.microsoft.com/office/drawing/2010/main"/>
                          </a:ext>
                        </a:extLst>
                      </pic:spPr>
                    </pic:pic>
                  </a:graphicData>
                </a:graphic>
              </wp:inline>
            </w:drawing>
          </w:r>
        </w:p>
      </w:tc>
      <w:tc>
        <w:tcPr>
          <w:tcW w:w="702" w:type="dxa"/>
          <w:vAlign w:val="center"/>
        </w:tcPr>
        <w:p w14:paraId="7E99979F" w14:textId="77777777" w:rsidR="00631514" w:rsidRDefault="00631514" w:rsidP="00631514">
          <w:pPr>
            <w:pStyle w:val="Footerpagenumber"/>
          </w:pPr>
          <w:r w:rsidRPr="008E6858">
            <w:fldChar w:fldCharType="begin"/>
          </w:r>
          <w:r w:rsidRPr="008E6858">
            <w:instrText xml:space="preserve"> PAGE   \* MERGEFORMAT </w:instrText>
          </w:r>
          <w:r w:rsidRPr="008E6858">
            <w:fldChar w:fldCharType="separate"/>
          </w:r>
          <w:r w:rsidRPr="008E6858">
            <w:rPr>
              <w:noProof/>
            </w:rPr>
            <w:t>1</w:t>
          </w:r>
          <w:r w:rsidRPr="008E6858">
            <w:rPr>
              <w:noProof/>
            </w:rPr>
            <w:fldChar w:fldCharType="end"/>
          </w:r>
        </w:p>
      </w:tc>
    </w:tr>
  </w:tbl>
  <w:p w14:paraId="2A924D0B" w14:textId="77777777" w:rsidR="00A70900" w:rsidRDefault="00A7090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06"/>
      <w:gridCol w:w="702"/>
    </w:tblGrid>
    <w:tr w:rsidR="00631514" w14:paraId="45C7FA71" w14:textId="77777777" w:rsidTr="00A75D71">
      <w:tc>
        <w:tcPr>
          <w:tcW w:w="13606" w:type="dxa"/>
        </w:tcPr>
        <w:p w14:paraId="2A727DC1" w14:textId="77777777" w:rsidR="00631514" w:rsidRDefault="00631514" w:rsidP="00631514">
          <w:pPr>
            <w:pStyle w:val="Footer"/>
            <w:rPr>
              <w:i w:val="0"/>
              <w:color w:val="005677" w:themeColor="accent1"/>
            </w:rPr>
          </w:pPr>
          <w:r>
            <w:rPr>
              <w:i w:val="0"/>
              <w:noProof/>
              <w:color w:val="005677" w:themeColor="accent1"/>
            </w:rPr>
            <w:drawing>
              <wp:inline distT="0" distB="0" distL="0" distR="0" wp14:anchorId="23DFA72E" wp14:editId="561D594A">
                <wp:extent cx="4752975" cy="545465"/>
                <wp:effectExtent l="0" t="0" r="9525" b="6985"/>
                <wp:docPr id="63788809" name="Picture 3" descr="ART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72692" name="Picture 3" descr="ARTD logo"/>
                        <pic:cNvPicPr/>
                      </pic:nvPicPr>
                      <pic:blipFill rotWithShape="1">
                        <a:blip r:embed="rId1">
                          <a:extLst>
                            <a:ext uri="{28A0092B-C50C-407E-A947-70E740481C1C}">
                              <a14:useLocalDpi xmlns:a14="http://schemas.microsoft.com/office/drawing/2010/main" val="0"/>
                            </a:ext>
                          </a:extLst>
                        </a:blip>
                        <a:srcRect r="3967"/>
                        <a:stretch/>
                      </pic:blipFill>
                      <pic:spPr bwMode="auto">
                        <a:xfrm>
                          <a:off x="0" y="0"/>
                          <a:ext cx="4832034" cy="554538"/>
                        </a:xfrm>
                        <a:prstGeom prst="rect">
                          <a:avLst/>
                        </a:prstGeom>
                        <a:ln>
                          <a:noFill/>
                        </a:ln>
                        <a:extLst>
                          <a:ext uri="{53640926-AAD7-44D8-BBD7-CCE9431645EC}">
                            <a14:shadowObscured xmlns:a14="http://schemas.microsoft.com/office/drawing/2010/main"/>
                          </a:ext>
                        </a:extLst>
                      </pic:spPr>
                    </pic:pic>
                  </a:graphicData>
                </a:graphic>
              </wp:inline>
            </w:drawing>
          </w:r>
        </w:p>
      </w:tc>
      <w:tc>
        <w:tcPr>
          <w:tcW w:w="702" w:type="dxa"/>
          <w:vAlign w:val="center"/>
        </w:tcPr>
        <w:p w14:paraId="054F143C" w14:textId="77777777" w:rsidR="00631514" w:rsidRDefault="00631514" w:rsidP="00631514">
          <w:pPr>
            <w:pStyle w:val="Footerpagenumber"/>
          </w:pPr>
          <w:r w:rsidRPr="008E6858">
            <w:fldChar w:fldCharType="begin"/>
          </w:r>
          <w:r w:rsidRPr="008E6858">
            <w:instrText xml:space="preserve"> PAGE   \* MERGEFORMAT </w:instrText>
          </w:r>
          <w:r w:rsidRPr="008E6858">
            <w:fldChar w:fldCharType="separate"/>
          </w:r>
          <w:r w:rsidRPr="008E6858">
            <w:rPr>
              <w:noProof/>
            </w:rPr>
            <w:t>1</w:t>
          </w:r>
          <w:r w:rsidRPr="008E6858">
            <w:rPr>
              <w:noProof/>
            </w:rPr>
            <w:fldChar w:fldCharType="end"/>
          </w:r>
        </w:p>
      </w:tc>
    </w:tr>
  </w:tbl>
  <w:p w14:paraId="1A859576" w14:textId="77777777" w:rsidR="00631514" w:rsidRDefault="0063151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08"/>
      <w:gridCol w:w="702"/>
    </w:tblGrid>
    <w:tr w:rsidR="00631514" w14:paraId="082723C4" w14:textId="77777777" w:rsidTr="00A75D71">
      <w:tc>
        <w:tcPr>
          <w:tcW w:w="7508" w:type="dxa"/>
        </w:tcPr>
        <w:p w14:paraId="7922E6FE" w14:textId="77777777" w:rsidR="00631514" w:rsidRDefault="00631514" w:rsidP="00631514">
          <w:pPr>
            <w:pStyle w:val="Footer"/>
            <w:rPr>
              <w:i w:val="0"/>
              <w:color w:val="005677" w:themeColor="accent1"/>
            </w:rPr>
          </w:pPr>
          <w:r>
            <w:rPr>
              <w:i w:val="0"/>
              <w:noProof/>
              <w:color w:val="005677" w:themeColor="accent1"/>
            </w:rPr>
            <w:drawing>
              <wp:inline distT="0" distB="0" distL="0" distR="0" wp14:anchorId="6093C2B5" wp14:editId="1FA195EA">
                <wp:extent cx="4752975" cy="545465"/>
                <wp:effectExtent l="0" t="0" r="9525" b="6985"/>
                <wp:docPr id="1818149183" name="Picture 3" descr="ART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72692" name="Picture 3" descr="ARTD logo"/>
                        <pic:cNvPicPr/>
                      </pic:nvPicPr>
                      <pic:blipFill rotWithShape="1">
                        <a:blip r:embed="rId1">
                          <a:extLst>
                            <a:ext uri="{28A0092B-C50C-407E-A947-70E740481C1C}">
                              <a14:useLocalDpi xmlns:a14="http://schemas.microsoft.com/office/drawing/2010/main" val="0"/>
                            </a:ext>
                          </a:extLst>
                        </a:blip>
                        <a:srcRect r="3967"/>
                        <a:stretch/>
                      </pic:blipFill>
                      <pic:spPr bwMode="auto">
                        <a:xfrm>
                          <a:off x="0" y="0"/>
                          <a:ext cx="4832034" cy="554538"/>
                        </a:xfrm>
                        <a:prstGeom prst="rect">
                          <a:avLst/>
                        </a:prstGeom>
                        <a:ln>
                          <a:noFill/>
                        </a:ln>
                        <a:extLst>
                          <a:ext uri="{53640926-AAD7-44D8-BBD7-CCE9431645EC}">
                            <a14:shadowObscured xmlns:a14="http://schemas.microsoft.com/office/drawing/2010/main"/>
                          </a:ext>
                        </a:extLst>
                      </pic:spPr>
                    </pic:pic>
                  </a:graphicData>
                </a:graphic>
              </wp:inline>
            </w:drawing>
          </w:r>
        </w:p>
      </w:tc>
      <w:tc>
        <w:tcPr>
          <w:tcW w:w="702" w:type="dxa"/>
          <w:vAlign w:val="center"/>
        </w:tcPr>
        <w:p w14:paraId="4B0489CC" w14:textId="77777777" w:rsidR="00631514" w:rsidRDefault="00631514" w:rsidP="00631514">
          <w:pPr>
            <w:pStyle w:val="Footerpagenumber"/>
          </w:pPr>
          <w:r w:rsidRPr="008E6858">
            <w:fldChar w:fldCharType="begin"/>
          </w:r>
          <w:r w:rsidRPr="008E6858">
            <w:instrText xml:space="preserve"> PAGE   \* MERGEFORMAT </w:instrText>
          </w:r>
          <w:r w:rsidRPr="008E6858">
            <w:fldChar w:fldCharType="separate"/>
          </w:r>
          <w:r w:rsidRPr="008E6858">
            <w:rPr>
              <w:noProof/>
            </w:rPr>
            <w:t>1</w:t>
          </w:r>
          <w:r w:rsidRPr="008E6858">
            <w:rPr>
              <w:noProof/>
            </w:rPr>
            <w:fldChar w:fldCharType="end"/>
          </w:r>
        </w:p>
      </w:tc>
    </w:tr>
  </w:tbl>
  <w:p w14:paraId="14B9DEDD" w14:textId="77777777" w:rsidR="009D40B7" w:rsidRDefault="009D40B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06"/>
      <w:gridCol w:w="702"/>
    </w:tblGrid>
    <w:tr w:rsidR="00631514" w14:paraId="07CC3ED7" w14:textId="77777777" w:rsidTr="00A75D71">
      <w:tc>
        <w:tcPr>
          <w:tcW w:w="13606" w:type="dxa"/>
        </w:tcPr>
        <w:p w14:paraId="0CC85DC2" w14:textId="77777777" w:rsidR="00631514" w:rsidRDefault="00631514" w:rsidP="00631514">
          <w:pPr>
            <w:pStyle w:val="Footer"/>
            <w:rPr>
              <w:i w:val="0"/>
              <w:color w:val="005677" w:themeColor="accent1"/>
            </w:rPr>
          </w:pPr>
          <w:r>
            <w:rPr>
              <w:i w:val="0"/>
              <w:noProof/>
              <w:color w:val="005677" w:themeColor="accent1"/>
            </w:rPr>
            <w:drawing>
              <wp:inline distT="0" distB="0" distL="0" distR="0" wp14:anchorId="41936AFD" wp14:editId="4F7C3E2E">
                <wp:extent cx="4752975" cy="545465"/>
                <wp:effectExtent l="0" t="0" r="9525" b="6985"/>
                <wp:docPr id="1133547983" name="Picture 3" descr="ART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72692" name="Picture 3" descr="ARTD logo"/>
                        <pic:cNvPicPr/>
                      </pic:nvPicPr>
                      <pic:blipFill rotWithShape="1">
                        <a:blip r:embed="rId1">
                          <a:extLst>
                            <a:ext uri="{28A0092B-C50C-407E-A947-70E740481C1C}">
                              <a14:useLocalDpi xmlns:a14="http://schemas.microsoft.com/office/drawing/2010/main" val="0"/>
                            </a:ext>
                          </a:extLst>
                        </a:blip>
                        <a:srcRect r="3967"/>
                        <a:stretch/>
                      </pic:blipFill>
                      <pic:spPr bwMode="auto">
                        <a:xfrm>
                          <a:off x="0" y="0"/>
                          <a:ext cx="4832034" cy="554538"/>
                        </a:xfrm>
                        <a:prstGeom prst="rect">
                          <a:avLst/>
                        </a:prstGeom>
                        <a:ln>
                          <a:noFill/>
                        </a:ln>
                        <a:extLst>
                          <a:ext uri="{53640926-AAD7-44D8-BBD7-CCE9431645EC}">
                            <a14:shadowObscured xmlns:a14="http://schemas.microsoft.com/office/drawing/2010/main"/>
                          </a:ext>
                        </a:extLst>
                      </pic:spPr>
                    </pic:pic>
                  </a:graphicData>
                </a:graphic>
              </wp:inline>
            </w:drawing>
          </w:r>
        </w:p>
      </w:tc>
      <w:tc>
        <w:tcPr>
          <w:tcW w:w="702" w:type="dxa"/>
          <w:vAlign w:val="center"/>
        </w:tcPr>
        <w:p w14:paraId="7DC19DB6" w14:textId="77777777" w:rsidR="00631514" w:rsidRDefault="00631514" w:rsidP="00631514">
          <w:pPr>
            <w:pStyle w:val="Footerpagenumber"/>
          </w:pPr>
          <w:r w:rsidRPr="008E6858">
            <w:fldChar w:fldCharType="begin"/>
          </w:r>
          <w:r w:rsidRPr="008E6858">
            <w:instrText xml:space="preserve"> PAGE   \* MERGEFORMAT </w:instrText>
          </w:r>
          <w:r w:rsidRPr="008E6858">
            <w:fldChar w:fldCharType="separate"/>
          </w:r>
          <w:r w:rsidRPr="008E6858">
            <w:rPr>
              <w:noProof/>
            </w:rPr>
            <w:t>1</w:t>
          </w:r>
          <w:r w:rsidRPr="008E6858">
            <w:rPr>
              <w:noProof/>
            </w:rPr>
            <w:fldChar w:fldCharType="end"/>
          </w:r>
        </w:p>
      </w:tc>
    </w:tr>
  </w:tbl>
  <w:p w14:paraId="3AEA422D" w14:textId="77777777" w:rsidR="001165F5" w:rsidRDefault="001165F5">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06"/>
      <w:gridCol w:w="702"/>
    </w:tblGrid>
    <w:tr w:rsidR="00631514" w14:paraId="2A3CF3DF" w14:textId="77777777" w:rsidTr="00A75D71">
      <w:tc>
        <w:tcPr>
          <w:tcW w:w="13606" w:type="dxa"/>
        </w:tcPr>
        <w:p w14:paraId="6C6A557B" w14:textId="77777777" w:rsidR="00631514" w:rsidRDefault="00631514" w:rsidP="00631514">
          <w:pPr>
            <w:pStyle w:val="Footer"/>
            <w:rPr>
              <w:i w:val="0"/>
              <w:color w:val="005677" w:themeColor="accent1"/>
            </w:rPr>
          </w:pPr>
          <w:r>
            <w:rPr>
              <w:i w:val="0"/>
              <w:noProof/>
              <w:color w:val="005677" w:themeColor="accent1"/>
            </w:rPr>
            <w:drawing>
              <wp:inline distT="0" distB="0" distL="0" distR="0" wp14:anchorId="7F64882D" wp14:editId="4EC92234">
                <wp:extent cx="4752975" cy="545465"/>
                <wp:effectExtent l="0" t="0" r="9525" b="6985"/>
                <wp:docPr id="1331358287" name="Picture 3" descr="ART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72692" name="Picture 3" descr="ARTD logo"/>
                        <pic:cNvPicPr/>
                      </pic:nvPicPr>
                      <pic:blipFill rotWithShape="1">
                        <a:blip r:embed="rId1">
                          <a:extLst>
                            <a:ext uri="{28A0092B-C50C-407E-A947-70E740481C1C}">
                              <a14:useLocalDpi xmlns:a14="http://schemas.microsoft.com/office/drawing/2010/main" val="0"/>
                            </a:ext>
                          </a:extLst>
                        </a:blip>
                        <a:srcRect r="3967"/>
                        <a:stretch/>
                      </pic:blipFill>
                      <pic:spPr bwMode="auto">
                        <a:xfrm>
                          <a:off x="0" y="0"/>
                          <a:ext cx="4832034" cy="554538"/>
                        </a:xfrm>
                        <a:prstGeom prst="rect">
                          <a:avLst/>
                        </a:prstGeom>
                        <a:ln>
                          <a:noFill/>
                        </a:ln>
                        <a:extLst>
                          <a:ext uri="{53640926-AAD7-44D8-BBD7-CCE9431645EC}">
                            <a14:shadowObscured xmlns:a14="http://schemas.microsoft.com/office/drawing/2010/main"/>
                          </a:ext>
                        </a:extLst>
                      </pic:spPr>
                    </pic:pic>
                  </a:graphicData>
                </a:graphic>
              </wp:inline>
            </w:drawing>
          </w:r>
        </w:p>
      </w:tc>
      <w:tc>
        <w:tcPr>
          <w:tcW w:w="702" w:type="dxa"/>
          <w:vAlign w:val="center"/>
        </w:tcPr>
        <w:p w14:paraId="465E49AB" w14:textId="77777777" w:rsidR="00631514" w:rsidRDefault="00631514" w:rsidP="00631514">
          <w:pPr>
            <w:pStyle w:val="Footerpagenumber"/>
          </w:pPr>
          <w:r w:rsidRPr="008E6858">
            <w:fldChar w:fldCharType="begin"/>
          </w:r>
          <w:r w:rsidRPr="008E6858">
            <w:instrText xml:space="preserve"> PAGE   \* MERGEFORMAT </w:instrText>
          </w:r>
          <w:r w:rsidRPr="008E6858">
            <w:fldChar w:fldCharType="separate"/>
          </w:r>
          <w:r w:rsidRPr="008E6858">
            <w:rPr>
              <w:noProof/>
            </w:rPr>
            <w:t>1</w:t>
          </w:r>
          <w:r w:rsidRPr="008E6858">
            <w:rPr>
              <w:noProof/>
            </w:rPr>
            <w:fldChar w:fldCharType="end"/>
          </w:r>
        </w:p>
      </w:tc>
    </w:tr>
  </w:tbl>
  <w:p w14:paraId="727759D7" w14:textId="77777777" w:rsidR="005675BB" w:rsidRDefault="005675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06B9C" w14:textId="77777777" w:rsidR="0005356D" w:rsidRPr="008A56B8" w:rsidRDefault="0005356D" w:rsidP="00032D64">
    <w:pPr>
      <w:pStyle w:val="Footer"/>
      <w:jc w:val="right"/>
      <w:rPr>
        <w:i w:val="0"/>
        <w:color w:val="215565" w:themeColor="accent2" w:themeShade="80"/>
      </w:rPr>
    </w:pPr>
    <w:r w:rsidRPr="00E95D03">
      <w:rPr>
        <w:i w:val="0"/>
        <w:noProof/>
        <w:color w:val="317F96" w:themeColor="accent2" w:themeShade="BF"/>
      </w:rPr>
      <w:drawing>
        <wp:anchor distT="0" distB="0" distL="114300" distR="114300" simplePos="0" relativeHeight="251658240" behindDoc="1" locked="0" layoutInCell="1" allowOverlap="1" wp14:anchorId="5D4365C6" wp14:editId="4389C26A">
          <wp:simplePos x="0" y="0"/>
          <wp:positionH relativeFrom="column">
            <wp:posOffset>-106680</wp:posOffset>
          </wp:positionH>
          <wp:positionV relativeFrom="paragraph">
            <wp:posOffset>-347345</wp:posOffset>
          </wp:positionV>
          <wp:extent cx="941705" cy="667385"/>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41705" cy="667385"/>
                  </a:xfrm>
                  <a:prstGeom prst="rect">
                    <a:avLst/>
                  </a:prstGeom>
                  <a:noFill/>
                </pic:spPr>
              </pic:pic>
            </a:graphicData>
          </a:graphic>
          <wp14:sizeRelH relativeFrom="margin">
            <wp14:pctWidth>0</wp14:pctWidth>
          </wp14:sizeRelH>
          <wp14:sizeRelV relativeFrom="margin">
            <wp14:pctHeight>0</wp14:pctHeight>
          </wp14:sizeRelV>
        </wp:anchor>
      </w:drawing>
    </w:r>
    <w:r w:rsidRPr="00E95D03">
      <w:rPr>
        <w:noProof/>
      </w:rPr>
      <mc:AlternateContent>
        <mc:Choice Requires="wps">
          <w:drawing>
            <wp:anchor distT="0" distB="0" distL="114300" distR="114300" simplePos="0" relativeHeight="251658241" behindDoc="0" locked="0" layoutInCell="1" allowOverlap="1" wp14:anchorId="207FA49D" wp14:editId="16F42DE2">
              <wp:simplePos x="0" y="0"/>
              <wp:positionH relativeFrom="column">
                <wp:posOffset>5010150</wp:posOffset>
              </wp:positionH>
              <wp:positionV relativeFrom="paragraph">
                <wp:posOffset>-66675</wp:posOffset>
              </wp:positionV>
              <wp:extent cx="299803" cy="0"/>
              <wp:effectExtent l="0" t="0" r="17780" b="1270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99803" cy="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8AEE19" id="Straight Connector 19" o:spid="_x0000_s1026" alt="&quot;&quot;"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4.5pt,-5.25pt" to="418.1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" strokecolor="#49a7c3 [3205]" strokeweight=".5pt"/>
          </w:pict>
        </mc:Fallback>
      </mc:AlternateContent>
    </w:r>
    <w:sdt>
      <w:sdtPr>
        <w:id w:val="1341896440"/>
        <w:docPartObj>
          <w:docPartGallery w:val="Page Numbers (Bottom of Page)"/>
          <w:docPartUnique/>
        </w:docPartObj>
      </w:sdtPr>
      <w:sdtEndPr>
        <w:rPr>
          <w:rFonts w:cstheme="minorHAnsi"/>
          <w:i w:val="0"/>
          <w:noProof/>
          <w:color w:val="215565" w:themeColor="accent2" w:themeShade="80"/>
          <w:sz w:val="20"/>
        </w:rPr>
      </w:sdtEndPr>
      <w:sdtContent>
        <w:r w:rsidRPr="008A56B8">
          <w:rPr>
            <w:i w:val="0"/>
            <w:color w:val="215565" w:themeColor="accent2" w:themeShade="80"/>
          </w:rPr>
          <w:fldChar w:fldCharType="begin"/>
        </w:r>
        <w:r w:rsidRPr="008A56B8">
          <w:rPr>
            <w:i w:val="0"/>
            <w:color w:val="215565" w:themeColor="accent2" w:themeShade="80"/>
          </w:rPr>
          <w:instrText xml:space="preserve"> PAGE   \* MERGEFORMAT </w:instrText>
        </w:r>
        <w:r w:rsidRPr="008A56B8">
          <w:rPr>
            <w:i w:val="0"/>
            <w:color w:val="215565" w:themeColor="accent2" w:themeShade="80"/>
          </w:rPr>
          <w:fldChar w:fldCharType="separate"/>
        </w:r>
        <w:r w:rsidRPr="008A56B8">
          <w:rPr>
            <w:i w:val="0"/>
            <w:noProof/>
            <w:color w:val="215565" w:themeColor="accent2" w:themeShade="80"/>
          </w:rPr>
          <w:t>2</w:t>
        </w:r>
        <w:r w:rsidRPr="008A56B8">
          <w:rPr>
            <w:i w:val="0"/>
            <w:color w:val="215565" w:themeColor="accent2" w:themeShade="8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D3392" w14:textId="77777777" w:rsidR="00414AEA" w:rsidRDefault="00984472">
    <w:r>
      <w:c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087AD" w14:textId="77777777" w:rsidR="0005356D" w:rsidRDefault="0005356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08"/>
      <w:gridCol w:w="702"/>
    </w:tblGrid>
    <w:tr w:rsidR="008E6858" w14:paraId="1AADAEA8" w14:textId="77777777" w:rsidTr="00AF6B64">
      <w:tc>
        <w:tcPr>
          <w:tcW w:w="7508" w:type="dxa"/>
        </w:tcPr>
        <w:p w14:paraId="0F4E735B" w14:textId="07611EE0" w:rsidR="008E6858" w:rsidRDefault="008E6858" w:rsidP="008E6858">
          <w:pPr>
            <w:pStyle w:val="Footer"/>
            <w:rPr>
              <w:i w:val="0"/>
              <w:color w:val="005677" w:themeColor="accent1"/>
            </w:rPr>
          </w:pPr>
          <w:r>
            <w:rPr>
              <w:i w:val="0"/>
              <w:noProof/>
              <w:color w:val="005677" w:themeColor="accent1"/>
            </w:rPr>
            <w:drawing>
              <wp:inline distT="0" distB="0" distL="0" distR="0" wp14:anchorId="33EA2C47" wp14:editId="10224865">
                <wp:extent cx="4752975" cy="545465"/>
                <wp:effectExtent l="0" t="0" r="9525" b="6985"/>
                <wp:docPr id="856772692" name="Picture 3" descr="ART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72692" name="Picture 3" descr="ARTD logo"/>
                        <pic:cNvPicPr/>
                      </pic:nvPicPr>
                      <pic:blipFill rotWithShape="1">
                        <a:blip r:embed="rId1">
                          <a:extLst>
                            <a:ext uri="{28A0092B-C50C-407E-A947-70E740481C1C}">
                              <a14:useLocalDpi xmlns:a14="http://schemas.microsoft.com/office/drawing/2010/main" val="0"/>
                            </a:ext>
                          </a:extLst>
                        </a:blip>
                        <a:srcRect r="3967"/>
                        <a:stretch/>
                      </pic:blipFill>
                      <pic:spPr bwMode="auto">
                        <a:xfrm>
                          <a:off x="0" y="0"/>
                          <a:ext cx="4832034" cy="554538"/>
                        </a:xfrm>
                        <a:prstGeom prst="rect">
                          <a:avLst/>
                        </a:prstGeom>
                        <a:ln>
                          <a:noFill/>
                        </a:ln>
                        <a:extLst>
                          <a:ext uri="{53640926-AAD7-44D8-BBD7-CCE9431645EC}">
                            <a14:shadowObscured xmlns:a14="http://schemas.microsoft.com/office/drawing/2010/main"/>
                          </a:ext>
                        </a:extLst>
                      </pic:spPr>
                    </pic:pic>
                  </a:graphicData>
                </a:graphic>
              </wp:inline>
            </w:drawing>
          </w:r>
        </w:p>
      </w:tc>
      <w:tc>
        <w:tcPr>
          <w:tcW w:w="702" w:type="dxa"/>
          <w:vAlign w:val="center"/>
        </w:tcPr>
        <w:p w14:paraId="4FAC28FF" w14:textId="39992A8A" w:rsidR="008E6858" w:rsidRDefault="008E6858" w:rsidP="00113192">
          <w:pPr>
            <w:pStyle w:val="Footerpagenumber"/>
          </w:pPr>
          <w:r w:rsidRPr="008E6858">
            <w:fldChar w:fldCharType="begin"/>
          </w:r>
          <w:r w:rsidRPr="008E6858">
            <w:instrText xml:space="preserve"> PAGE   \* MERGEFORMAT </w:instrText>
          </w:r>
          <w:r w:rsidRPr="008E6858">
            <w:fldChar w:fldCharType="separate"/>
          </w:r>
          <w:r w:rsidRPr="008E6858">
            <w:rPr>
              <w:noProof/>
            </w:rPr>
            <w:t>1</w:t>
          </w:r>
          <w:r w:rsidRPr="008E6858">
            <w:rPr>
              <w:noProof/>
            </w:rPr>
            <w:fldChar w:fldCharType="end"/>
          </w:r>
        </w:p>
      </w:tc>
    </w:tr>
  </w:tbl>
  <w:p w14:paraId="482C5AE2" w14:textId="7C180F98" w:rsidR="0014721C" w:rsidRDefault="0014721C" w:rsidP="008E6858">
    <w:pPr>
      <w:pStyle w:val="Footer"/>
      <w:spacing w:after="120" w:line="480" w:lineRule="auto"/>
      <w:rPr>
        <w:i w:val="0"/>
        <w:color w:val="005677" w:themeColor="accent1"/>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08"/>
      <w:gridCol w:w="702"/>
    </w:tblGrid>
    <w:tr w:rsidR="00AA358C" w14:paraId="3F775659" w14:textId="77777777" w:rsidTr="00EE3C12">
      <w:tc>
        <w:tcPr>
          <w:tcW w:w="7508" w:type="dxa"/>
        </w:tcPr>
        <w:p w14:paraId="4A92425F" w14:textId="77777777" w:rsidR="00AA358C" w:rsidRDefault="00AA358C" w:rsidP="00AA358C">
          <w:pPr>
            <w:pStyle w:val="Footer"/>
            <w:rPr>
              <w:i w:val="0"/>
              <w:color w:val="005677" w:themeColor="accent1"/>
            </w:rPr>
          </w:pPr>
          <w:r>
            <w:rPr>
              <w:i w:val="0"/>
              <w:noProof/>
              <w:color w:val="005677" w:themeColor="accent1"/>
            </w:rPr>
            <w:drawing>
              <wp:inline distT="0" distB="0" distL="0" distR="0" wp14:anchorId="60387AC2" wp14:editId="71CA49ED">
                <wp:extent cx="4752975" cy="545465"/>
                <wp:effectExtent l="0" t="0" r="9525" b="6985"/>
                <wp:docPr id="701715641" name="Picture 3" descr="ART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72692" name="Picture 3" descr="ARTD logo"/>
                        <pic:cNvPicPr/>
                      </pic:nvPicPr>
                      <pic:blipFill rotWithShape="1">
                        <a:blip r:embed="rId1">
                          <a:extLst>
                            <a:ext uri="{28A0092B-C50C-407E-A947-70E740481C1C}">
                              <a14:useLocalDpi xmlns:a14="http://schemas.microsoft.com/office/drawing/2010/main" val="0"/>
                            </a:ext>
                          </a:extLst>
                        </a:blip>
                        <a:srcRect r="3967"/>
                        <a:stretch/>
                      </pic:blipFill>
                      <pic:spPr bwMode="auto">
                        <a:xfrm>
                          <a:off x="0" y="0"/>
                          <a:ext cx="4832034" cy="554538"/>
                        </a:xfrm>
                        <a:prstGeom prst="rect">
                          <a:avLst/>
                        </a:prstGeom>
                        <a:ln>
                          <a:noFill/>
                        </a:ln>
                        <a:extLst>
                          <a:ext uri="{53640926-AAD7-44D8-BBD7-CCE9431645EC}">
                            <a14:shadowObscured xmlns:a14="http://schemas.microsoft.com/office/drawing/2010/main"/>
                          </a:ext>
                        </a:extLst>
                      </pic:spPr>
                    </pic:pic>
                  </a:graphicData>
                </a:graphic>
              </wp:inline>
            </w:drawing>
          </w:r>
        </w:p>
      </w:tc>
      <w:tc>
        <w:tcPr>
          <w:tcW w:w="702" w:type="dxa"/>
          <w:vAlign w:val="center"/>
        </w:tcPr>
        <w:p w14:paraId="680914FF" w14:textId="77777777" w:rsidR="00AA358C" w:rsidRDefault="00AA358C" w:rsidP="00AA358C">
          <w:pPr>
            <w:pStyle w:val="Footerpagenumber"/>
          </w:pPr>
          <w:r w:rsidRPr="008E6858">
            <w:fldChar w:fldCharType="begin"/>
          </w:r>
          <w:r w:rsidRPr="008E6858">
            <w:instrText xml:space="preserve"> PAGE   \* MERGEFORMAT </w:instrText>
          </w:r>
          <w:r w:rsidRPr="008E6858">
            <w:fldChar w:fldCharType="separate"/>
          </w:r>
          <w:r w:rsidRPr="008E6858">
            <w:rPr>
              <w:noProof/>
            </w:rPr>
            <w:t>1</w:t>
          </w:r>
          <w:r w:rsidRPr="008E6858">
            <w:rPr>
              <w:noProof/>
            </w:rPr>
            <w:fldChar w:fldCharType="end"/>
          </w:r>
        </w:p>
      </w:tc>
    </w:tr>
  </w:tbl>
  <w:p w14:paraId="0AADD788" w14:textId="77777777" w:rsidR="009D40B7" w:rsidRDefault="009D40B7" w:rsidP="009D40B7">
    <w:pPr>
      <w:pStyle w:val="Footer"/>
      <w:jc w:val="right"/>
      <w:rPr>
        <w:i w:val="0"/>
        <w:color w:val="005677" w:themeColor="accent1"/>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08"/>
      <w:gridCol w:w="702"/>
    </w:tblGrid>
    <w:tr w:rsidR="00AA358C" w14:paraId="2757D7BE" w14:textId="77777777" w:rsidTr="00EE3C12">
      <w:tc>
        <w:tcPr>
          <w:tcW w:w="7508" w:type="dxa"/>
        </w:tcPr>
        <w:p w14:paraId="049F786D" w14:textId="77777777" w:rsidR="00AA358C" w:rsidRDefault="00AA358C" w:rsidP="00AA358C">
          <w:pPr>
            <w:pStyle w:val="Footer"/>
            <w:rPr>
              <w:i w:val="0"/>
              <w:color w:val="005677" w:themeColor="accent1"/>
            </w:rPr>
          </w:pPr>
          <w:r>
            <w:rPr>
              <w:i w:val="0"/>
              <w:noProof/>
              <w:color w:val="005677" w:themeColor="accent1"/>
            </w:rPr>
            <w:drawing>
              <wp:inline distT="0" distB="0" distL="0" distR="0" wp14:anchorId="6FFC5788" wp14:editId="3EB6EF7F">
                <wp:extent cx="4752975" cy="545465"/>
                <wp:effectExtent l="0" t="0" r="9525" b="6985"/>
                <wp:docPr id="2078849255" name="Picture 3" descr="ART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72692" name="Picture 3" descr="ARTD logo"/>
                        <pic:cNvPicPr/>
                      </pic:nvPicPr>
                      <pic:blipFill rotWithShape="1">
                        <a:blip r:embed="rId1">
                          <a:extLst>
                            <a:ext uri="{28A0092B-C50C-407E-A947-70E740481C1C}">
                              <a14:useLocalDpi xmlns:a14="http://schemas.microsoft.com/office/drawing/2010/main" val="0"/>
                            </a:ext>
                          </a:extLst>
                        </a:blip>
                        <a:srcRect r="3967"/>
                        <a:stretch/>
                      </pic:blipFill>
                      <pic:spPr bwMode="auto">
                        <a:xfrm>
                          <a:off x="0" y="0"/>
                          <a:ext cx="4832034" cy="554538"/>
                        </a:xfrm>
                        <a:prstGeom prst="rect">
                          <a:avLst/>
                        </a:prstGeom>
                        <a:ln>
                          <a:noFill/>
                        </a:ln>
                        <a:extLst>
                          <a:ext uri="{53640926-AAD7-44D8-BBD7-CCE9431645EC}">
                            <a14:shadowObscured xmlns:a14="http://schemas.microsoft.com/office/drawing/2010/main"/>
                          </a:ext>
                        </a:extLst>
                      </pic:spPr>
                    </pic:pic>
                  </a:graphicData>
                </a:graphic>
              </wp:inline>
            </w:drawing>
          </w:r>
        </w:p>
      </w:tc>
      <w:tc>
        <w:tcPr>
          <w:tcW w:w="702" w:type="dxa"/>
          <w:vAlign w:val="center"/>
        </w:tcPr>
        <w:p w14:paraId="74DB97B4" w14:textId="77777777" w:rsidR="00AA358C" w:rsidRDefault="00AA358C" w:rsidP="00AA358C">
          <w:pPr>
            <w:pStyle w:val="Footerpagenumber"/>
          </w:pPr>
          <w:r w:rsidRPr="008E6858">
            <w:fldChar w:fldCharType="begin"/>
          </w:r>
          <w:r w:rsidRPr="008E6858">
            <w:instrText xml:space="preserve"> PAGE   \* MERGEFORMAT </w:instrText>
          </w:r>
          <w:r w:rsidRPr="008E6858">
            <w:fldChar w:fldCharType="separate"/>
          </w:r>
          <w:r w:rsidRPr="008E6858">
            <w:rPr>
              <w:noProof/>
            </w:rPr>
            <w:t>1</w:t>
          </w:r>
          <w:r w:rsidRPr="008E6858">
            <w:rPr>
              <w:noProof/>
            </w:rPr>
            <w:fldChar w:fldCharType="end"/>
          </w:r>
        </w:p>
      </w:tc>
    </w:tr>
  </w:tbl>
  <w:p w14:paraId="4BF8AD80" w14:textId="77777777" w:rsidR="00C41A72" w:rsidRDefault="00C41A7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06"/>
      <w:gridCol w:w="567"/>
    </w:tblGrid>
    <w:tr w:rsidR="00AA358C" w14:paraId="34EEF9D8" w14:textId="77777777" w:rsidTr="00AA358C">
      <w:tc>
        <w:tcPr>
          <w:tcW w:w="13606" w:type="dxa"/>
        </w:tcPr>
        <w:p w14:paraId="02A2D9FD" w14:textId="77777777" w:rsidR="00AA358C" w:rsidRDefault="00AA358C" w:rsidP="00AA358C">
          <w:pPr>
            <w:pStyle w:val="Footer"/>
            <w:rPr>
              <w:i w:val="0"/>
              <w:color w:val="005677" w:themeColor="accent1"/>
            </w:rPr>
          </w:pPr>
          <w:r>
            <w:rPr>
              <w:i w:val="0"/>
              <w:noProof/>
              <w:color w:val="005677" w:themeColor="accent1"/>
            </w:rPr>
            <w:drawing>
              <wp:inline distT="0" distB="0" distL="0" distR="0" wp14:anchorId="7446ED23" wp14:editId="60044ED9">
                <wp:extent cx="4752975" cy="545465"/>
                <wp:effectExtent l="0" t="0" r="9525" b="6985"/>
                <wp:docPr id="601040400" name="Picture 3" descr="ART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72692" name="Picture 3" descr="ARTD logo"/>
                        <pic:cNvPicPr/>
                      </pic:nvPicPr>
                      <pic:blipFill rotWithShape="1">
                        <a:blip r:embed="rId1">
                          <a:extLst>
                            <a:ext uri="{28A0092B-C50C-407E-A947-70E740481C1C}">
                              <a14:useLocalDpi xmlns:a14="http://schemas.microsoft.com/office/drawing/2010/main" val="0"/>
                            </a:ext>
                          </a:extLst>
                        </a:blip>
                        <a:srcRect r="3967"/>
                        <a:stretch/>
                      </pic:blipFill>
                      <pic:spPr bwMode="auto">
                        <a:xfrm>
                          <a:off x="0" y="0"/>
                          <a:ext cx="4832034" cy="554538"/>
                        </a:xfrm>
                        <a:prstGeom prst="rect">
                          <a:avLst/>
                        </a:prstGeom>
                        <a:ln>
                          <a:noFill/>
                        </a:ln>
                        <a:extLst>
                          <a:ext uri="{53640926-AAD7-44D8-BBD7-CCE9431645EC}">
                            <a14:shadowObscured xmlns:a14="http://schemas.microsoft.com/office/drawing/2010/main"/>
                          </a:ext>
                        </a:extLst>
                      </pic:spPr>
                    </pic:pic>
                  </a:graphicData>
                </a:graphic>
              </wp:inline>
            </w:drawing>
          </w:r>
        </w:p>
      </w:tc>
      <w:tc>
        <w:tcPr>
          <w:tcW w:w="567" w:type="dxa"/>
          <w:vAlign w:val="center"/>
        </w:tcPr>
        <w:p w14:paraId="3C91802C" w14:textId="77777777" w:rsidR="00AA358C" w:rsidRDefault="00AA358C" w:rsidP="00AA358C">
          <w:pPr>
            <w:pStyle w:val="Footerpagenumber"/>
          </w:pPr>
          <w:r w:rsidRPr="008E6858">
            <w:fldChar w:fldCharType="begin"/>
          </w:r>
          <w:r w:rsidRPr="008E6858">
            <w:instrText xml:space="preserve"> PAGE   \* MERGEFORMAT </w:instrText>
          </w:r>
          <w:r w:rsidRPr="008E6858">
            <w:fldChar w:fldCharType="separate"/>
          </w:r>
          <w:r w:rsidRPr="008E6858">
            <w:rPr>
              <w:noProof/>
            </w:rPr>
            <w:t>1</w:t>
          </w:r>
          <w:r w:rsidRPr="008E6858">
            <w:rPr>
              <w:noProof/>
            </w:rPr>
            <w:fldChar w:fldCharType="end"/>
          </w:r>
        </w:p>
      </w:tc>
    </w:tr>
  </w:tbl>
  <w:p w14:paraId="4EF3A67D" w14:textId="77777777" w:rsidR="00AA358C" w:rsidRDefault="00AA358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08"/>
      <w:gridCol w:w="702"/>
    </w:tblGrid>
    <w:tr w:rsidR="00AA358C" w14:paraId="272CE3F1" w14:textId="77777777" w:rsidTr="00EE3C12">
      <w:tc>
        <w:tcPr>
          <w:tcW w:w="7508" w:type="dxa"/>
        </w:tcPr>
        <w:p w14:paraId="3A566B11" w14:textId="77777777" w:rsidR="00AA358C" w:rsidRDefault="00AA358C" w:rsidP="00AA358C">
          <w:pPr>
            <w:pStyle w:val="Footer"/>
            <w:rPr>
              <w:i w:val="0"/>
              <w:color w:val="005677" w:themeColor="accent1"/>
            </w:rPr>
          </w:pPr>
          <w:r>
            <w:rPr>
              <w:i w:val="0"/>
              <w:noProof/>
              <w:color w:val="005677" w:themeColor="accent1"/>
            </w:rPr>
            <w:drawing>
              <wp:inline distT="0" distB="0" distL="0" distR="0" wp14:anchorId="00316388" wp14:editId="01C3F6C2">
                <wp:extent cx="4752975" cy="545465"/>
                <wp:effectExtent l="0" t="0" r="9525" b="6985"/>
                <wp:docPr id="1774674463" name="Picture 3" descr="ART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72692" name="Picture 3" descr="ARTD logo"/>
                        <pic:cNvPicPr/>
                      </pic:nvPicPr>
                      <pic:blipFill rotWithShape="1">
                        <a:blip r:embed="rId1">
                          <a:extLst>
                            <a:ext uri="{28A0092B-C50C-407E-A947-70E740481C1C}">
                              <a14:useLocalDpi xmlns:a14="http://schemas.microsoft.com/office/drawing/2010/main" val="0"/>
                            </a:ext>
                          </a:extLst>
                        </a:blip>
                        <a:srcRect r="3967"/>
                        <a:stretch/>
                      </pic:blipFill>
                      <pic:spPr bwMode="auto">
                        <a:xfrm>
                          <a:off x="0" y="0"/>
                          <a:ext cx="4832034" cy="554538"/>
                        </a:xfrm>
                        <a:prstGeom prst="rect">
                          <a:avLst/>
                        </a:prstGeom>
                        <a:ln>
                          <a:noFill/>
                        </a:ln>
                        <a:extLst>
                          <a:ext uri="{53640926-AAD7-44D8-BBD7-CCE9431645EC}">
                            <a14:shadowObscured xmlns:a14="http://schemas.microsoft.com/office/drawing/2010/main"/>
                          </a:ext>
                        </a:extLst>
                      </pic:spPr>
                    </pic:pic>
                  </a:graphicData>
                </a:graphic>
              </wp:inline>
            </w:drawing>
          </w:r>
        </w:p>
      </w:tc>
      <w:tc>
        <w:tcPr>
          <w:tcW w:w="702" w:type="dxa"/>
          <w:vAlign w:val="center"/>
        </w:tcPr>
        <w:p w14:paraId="20563B47" w14:textId="77777777" w:rsidR="00AA358C" w:rsidRDefault="00AA358C" w:rsidP="00AA358C">
          <w:pPr>
            <w:pStyle w:val="Footerpagenumber"/>
          </w:pPr>
          <w:r w:rsidRPr="008E6858">
            <w:fldChar w:fldCharType="begin"/>
          </w:r>
          <w:r w:rsidRPr="008E6858">
            <w:instrText xml:space="preserve"> PAGE   \* MERGEFORMAT </w:instrText>
          </w:r>
          <w:r w:rsidRPr="008E6858">
            <w:fldChar w:fldCharType="separate"/>
          </w:r>
          <w:r w:rsidRPr="008E6858">
            <w:rPr>
              <w:noProof/>
            </w:rPr>
            <w:t>1</w:t>
          </w:r>
          <w:r w:rsidRPr="008E6858">
            <w:rPr>
              <w:noProof/>
            </w:rPr>
            <w:fldChar w:fldCharType="end"/>
          </w:r>
        </w:p>
      </w:tc>
    </w:tr>
  </w:tbl>
  <w:p w14:paraId="3727905B" w14:textId="77777777" w:rsidR="009D40B7" w:rsidRDefault="009D40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7F4411" w14:textId="77777777" w:rsidR="007C71A4" w:rsidRDefault="007C71A4" w:rsidP="00B0160F">
      <w:pPr>
        <w:spacing w:after="0" w:line="240" w:lineRule="auto"/>
      </w:pPr>
      <w:r>
        <w:separator/>
      </w:r>
    </w:p>
  </w:footnote>
  <w:footnote w:type="continuationSeparator" w:id="0">
    <w:p w14:paraId="407C4B05" w14:textId="77777777" w:rsidR="007C71A4" w:rsidRDefault="007C71A4" w:rsidP="00E562BA">
      <w:pPr>
        <w:spacing w:after="0" w:line="240" w:lineRule="auto"/>
      </w:pPr>
      <w:r>
        <w:continuationSeparator/>
      </w:r>
    </w:p>
    <w:p w14:paraId="7B56D6B4" w14:textId="77777777" w:rsidR="007C71A4" w:rsidRDefault="007C71A4"/>
    <w:p w14:paraId="4D77BA11" w14:textId="77777777" w:rsidR="007C71A4" w:rsidRDefault="007C71A4"/>
    <w:p w14:paraId="0529EFA0" w14:textId="77777777" w:rsidR="007C71A4" w:rsidRDefault="007C71A4"/>
    <w:p w14:paraId="34DA919C" w14:textId="77777777" w:rsidR="007C71A4" w:rsidRDefault="007C71A4"/>
  </w:footnote>
  <w:footnote w:type="continuationNotice" w:id="1">
    <w:p w14:paraId="63AB1CF7" w14:textId="77777777" w:rsidR="007C71A4" w:rsidRDefault="007C71A4">
      <w:pPr>
        <w:spacing w:after="0" w:line="240" w:lineRule="auto"/>
      </w:pPr>
    </w:p>
  </w:footnote>
  <w:footnote w:id="2">
    <w:p w14:paraId="67E3D97D" w14:textId="04E60DA9" w:rsidR="00A16D57" w:rsidRDefault="00A16D57">
      <w:pPr>
        <w:pStyle w:val="FootnoteText"/>
      </w:pPr>
      <w:r>
        <w:rPr>
          <w:rStyle w:val="FootnoteReference"/>
        </w:rPr>
        <w:footnoteRef/>
      </w:r>
      <w:r w:rsidR="0030320C">
        <w:t xml:space="preserve"> </w:t>
      </w:r>
      <w:r w:rsidR="00ED0B23" w:rsidRPr="00ED0B23">
        <w:t>Federal Financial Relations (2022). National Mental Health and Suicide Prevention Agreement.</w:t>
      </w:r>
      <w:r w:rsidR="00ED0B23">
        <w:t xml:space="preserve"> </w:t>
      </w:r>
      <w:hyperlink r:id="rId1" w:history="1">
        <w:r w:rsidR="00ED0B23" w:rsidRPr="00295383">
          <w:rPr>
            <w:rStyle w:val="Hyperlink"/>
          </w:rPr>
          <w:t>https://federalfinancialrelations.gov.au/agreements/mental-health-suicide-prevention-agreement</w:t>
        </w:r>
      </w:hyperlink>
      <w:r w:rsidR="00ED0B23">
        <w:t xml:space="preserve"> </w:t>
      </w:r>
    </w:p>
  </w:footnote>
  <w:footnote w:id="3">
    <w:p w14:paraId="3303953E" w14:textId="5D94E83F" w:rsidR="009A06C9" w:rsidRDefault="009A06C9">
      <w:pPr>
        <w:pStyle w:val="FootnoteText"/>
      </w:pPr>
      <w:r>
        <w:rPr>
          <w:rStyle w:val="FootnoteReference"/>
        </w:rPr>
        <w:footnoteRef/>
      </w:r>
      <w:r>
        <w:t xml:space="preserve"> </w:t>
      </w:r>
      <w:r w:rsidRPr="00E800E4">
        <w:rPr>
          <w:rFonts w:cstheme="minorHAnsi"/>
          <w:szCs w:val="18"/>
        </w:rPr>
        <w:t>Scriven, M. (1991). </w:t>
      </w:r>
      <w:r w:rsidRPr="00E800E4">
        <w:rPr>
          <w:rStyle w:val="Emphasis"/>
          <w:rFonts w:cstheme="minorHAnsi"/>
          <w:szCs w:val="18"/>
        </w:rPr>
        <w:t>Evaluation thesaurus</w:t>
      </w:r>
      <w:r w:rsidR="008077A1">
        <w:rPr>
          <w:rFonts w:cstheme="minorHAnsi"/>
          <w:szCs w:val="18"/>
        </w:rPr>
        <w:t xml:space="preserve">, </w:t>
      </w:r>
      <w:r w:rsidRPr="00E800E4">
        <w:rPr>
          <w:rFonts w:cstheme="minorHAnsi"/>
          <w:szCs w:val="18"/>
        </w:rPr>
        <w:t xml:space="preserve">4th ed. </w:t>
      </w:r>
      <w:r w:rsidR="000E57CF">
        <w:rPr>
          <w:rFonts w:cstheme="minorHAnsi"/>
          <w:szCs w:val="18"/>
        </w:rPr>
        <w:t xml:space="preserve">USA: </w:t>
      </w:r>
      <w:r w:rsidRPr="00E800E4">
        <w:rPr>
          <w:rFonts w:cstheme="minorHAnsi"/>
          <w:szCs w:val="18"/>
        </w:rPr>
        <w:t>Sage Publications, Inc</w:t>
      </w:r>
      <w:r w:rsidR="00D1238E">
        <w:rPr>
          <w:rFonts w:cstheme="minorHAnsi"/>
          <w:szCs w:val="18"/>
        </w:rPr>
        <w:t>.</w:t>
      </w:r>
    </w:p>
  </w:footnote>
  <w:footnote w:id="4">
    <w:p w14:paraId="2B5F5D55" w14:textId="67EF858D" w:rsidR="0072695E" w:rsidRDefault="0072695E">
      <w:pPr>
        <w:pStyle w:val="FootnoteText"/>
      </w:pPr>
      <w:r>
        <w:rPr>
          <w:rStyle w:val="FootnoteReference"/>
        </w:rPr>
        <w:footnoteRef/>
      </w:r>
      <w:r>
        <w:t xml:space="preserve"> Department of Health and Aged Care</w:t>
      </w:r>
      <w:r w:rsidR="00CE1651">
        <w:t xml:space="preserve"> (2022).</w:t>
      </w:r>
      <w:r>
        <w:t xml:space="preserve"> Evaluation Strategy</w:t>
      </w:r>
      <w:r w:rsidR="00CE1651">
        <w:t xml:space="preserve"> 2023-26. </w:t>
      </w:r>
    </w:p>
  </w:footnote>
  <w:footnote w:id="5">
    <w:p w14:paraId="4629DCDD" w14:textId="698E22D3" w:rsidR="00E623FA" w:rsidRDefault="00E623FA" w:rsidP="00E623FA">
      <w:pPr>
        <w:pStyle w:val="FootnoteText"/>
      </w:pPr>
      <w:r>
        <w:rPr>
          <w:rStyle w:val="FootnoteReference"/>
        </w:rPr>
        <w:footnoteRef/>
      </w:r>
      <w:r>
        <w:t xml:space="preserve"> </w:t>
      </w:r>
      <w:r w:rsidR="006512B4" w:rsidRPr="00ED0B23">
        <w:t>Federal Financial Relations (2022). National Mental Health and Suicide Prevention Agreement.</w:t>
      </w:r>
      <w:r w:rsidR="006512B4">
        <w:t xml:space="preserve"> </w:t>
      </w:r>
      <w:hyperlink r:id="rId2" w:history="1">
        <w:r w:rsidR="006512B4" w:rsidRPr="00295383">
          <w:rPr>
            <w:rStyle w:val="Hyperlink"/>
          </w:rPr>
          <w:t>https://federalfinancialrelations.gov.au/agreements/mental-health-suicide-prevention-agreement</w:t>
        </w:r>
      </w:hyperlink>
    </w:p>
  </w:footnote>
  <w:footnote w:id="6">
    <w:p w14:paraId="1235F40A" w14:textId="13E687E2" w:rsidR="007D6710" w:rsidRDefault="007D6710" w:rsidP="007D6710">
      <w:pPr>
        <w:pStyle w:val="FootnoteText"/>
      </w:pPr>
      <w:r>
        <w:rPr>
          <w:rStyle w:val="FootnoteReference"/>
        </w:rPr>
        <w:footnoteRef/>
      </w:r>
      <w:r>
        <w:t xml:space="preserve"> </w:t>
      </w:r>
      <w:r w:rsidR="00A83892">
        <w:t>The National Health and Medical Research Council</w:t>
      </w:r>
      <w:r w:rsidR="00500D7B">
        <w:t>, Australian Research Council and Universities Australia</w:t>
      </w:r>
      <w:r w:rsidR="00A83892">
        <w:t xml:space="preserve"> (2023). </w:t>
      </w:r>
      <w:r w:rsidR="00EE1C13">
        <w:t xml:space="preserve">National Statement on Ethical Conduct in </w:t>
      </w:r>
      <w:r w:rsidR="00A14052">
        <w:t xml:space="preserve">Human Research. </w:t>
      </w:r>
      <w:r w:rsidR="00A97F74">
        <w:t>Canberra: National Health and Medical Research Council.</w:t>
      </w:r>
      <w:r w:rsidR="00AA35B7">
        <w:t xml:space="preserve"> </w:t>
      </w:r>
      <w:hyperlink r:id="rId3" w:history="1">
        <w:r w:rsidR="00AA35B7" w:rsidRPr="00295383">
          <w:rPr>
            <w:rStyle w:val="Hyperlink"/>
          </w:rPr>
          <w:t>https://www.nhmrc.gov.au/about-us/publications/national-statement-ethical-conduct-human-research-2023</w:t>
        </w:r>
      </w:hyperlink>
      <w:r w:rsidR="00AA35B7">
        <w:t xml:space="preserve"> </w:t>
      </w:r>
    </w:p>
  </w:footnote>
  <w:footnote w:id="7">
    <w:p w14:paraId="7CEACDEA" w14:textId="27844CC9" w:rsidR="005F1811" w:rsidRDefault="005F1811" w:rsidP="005F1811">
      <w:pPr>
        <w:pStyle w:val="Notes"/>
      </w:pPr>
      <w:r>
        <w:rPr>
          <w:rStyle w:val="FootnoteReference"/>
        </w:rPr>
        <w:footnoteRef/>
      </w:r>
      <w:r>
        <w:t xml:space="preserve"> </w:t>
      </w:r>
      <w:r w:rsidRPr="00F60E2C">
        <w:t xml:space="preserve">OECD-DAC (2010). Glossary of </w:t>
      </w:r>
      <w:r w:rsidR="00E52928">
        <w:t>K</w:t>
      </w:r>
      <w:r w:rsidRPr="00F60E2C">
        <w:t xml:space="preserve">ey </w:t>
      </w:r>
      <w:r w:rsidR="00E52928">
        <w:t>T</w:t>
      </w:r>
      <w:r w:rsidRPr="00F60E2C">
        <w:t xml:space="preserve">erms in </w:t>
      </w:r>
      <w:r w:rsidR="00E52928">
        <w:t>E</w:t>
      </w:r>
      <w:r w:rsidRPr="00F60E2C">
        <w:t xml:space="preserve">valuation and </w:t>
      </w:r>
      <w:r w:rsidR="00E52928">
        <w:t>R</w:t>
      </w:r>
      <w:r w:rsidRPr="00F60E2C">
        <w:t xml:space="preserve">esults </w:t>
      </w:r>
      <w:r w:rsidR="00E52928">
        <w:t>B</w:t>
      </w:r>
      <w:r w:rsidRPr="00F60E2C">
        <w:t xml:space="preserve">ased </w:t>
      </w:r>
      <w:r w:rsidR="00E52928">
        <w:t>M</w:t>
      </w:r>
      <w:r w:rsidRPr="00F60E2C">
        <w:t>anagement. Paris: OECD-DAC</w:t>
      </w:r>
      <w:r w:rsidR="00CD2349">
        <w:t>.</w:t>
      </w:r>
      <w:r w:rsidRPr="00F60E2C">
        <w:t xml:space="preserve"> </w:t>
      </w:r>
      <w:hyperlink r:id="rId4" w:history="1">
        <w:r w:rsidR="00355D16" w:rsidRPr="00295383">
          <w:rPr>
            <w:rStyle w:val="Hyperlink"/>
          </w:rPr>
          <w:t>https://www.oecd.org/development/peer-reviews/2754804.pdf</w:t>
        </w:r>
      </w:hyperlink>
      <w:r w:rsidR="00355D16">
        <w:t xml:space="preserve"> </w:t>
      </w:r>
    </w:p>
  </w:footnote>
  <w:footnote w:id="8">
    <w:p w14:paraId="56EA95BF" w14:textId="2869AD3F" w:rsidR="005F1811" w:rsidRDefault="005F1811" w:rsidP="005F1811">
      <w:pPr>
        <w:pStyle w:val="FootnoteText"/>
      </w:pPr>
      <w:r>
        <w:rPr>
          <w:rStyle w:val="FootnoteReference"/>
        </w:rPr>
        <w:footnoteRef/>
      </w:r>
      <w:r>
        <w:t xml:space="preserve"> </w:t>
      </w:r>
      <w:r w:rsidR="00240C0C">
        <w:t>NSW</w:t>
      </w:r>
      <w:r w:rsidR="00532C20">
        <w:t xml:space="preserve"> Treasury </w:t>
      </w:r>
      <w:r w:rsidR="00D26D13">
        <w:t xml:space="preserve">(2023). </w:t>
      </w:r>
      <w:r w:rsidR="00707A67">
        <w:t>Policy and Guidelines: Evaluation</w:t>
      </w:r>
      <w:r w:rsidR="00D723D5">
        <w:t xml:space="preserve">. </w:t>
      </w:r>
      <w:hyperlink r:id="rId5" w:history="1">
        <w:r w:rsidR="00C46BE9" w:rsidRPr="00295383">
          <w:rPr>
            <w:rStyle w:val="Hyperlink"/>
          </w:rPr>
          <w:t>https://www.treasury.nsw.gov.au/documents/tpg22-22-policy-and-guidelines-evaluation</w:t>
        </w:r>
      </w:hyperlink>
      <w:r w:rsidR="00C46BE9">
        <w:t xml:space="preserve"> </w:t>
      </w:r>
    </w:p>
  </w:footnote>
  <w:footnote w:id="9">
    <w:p w14:paraId="167E117D" w14:textId="7B9FC908" w:rsidR="008D474F" w:rsidRDefault="008D474F" w:rsidP="008D474F">
      <w:pPr>
        <w:pStyle w:val="FootnoteText"/>
      </w:pPr>
      <w:r>
        <w:rPr>
          <w:rStyle w:val="FootnoteReference"/>
        </w:rPr>
        <w:footnoteRef/>
      </w:r>
      <w:r>
        <w:t xml:space="preserve"> </w:t>
      </w:r>
      <w:r w:rsidRPr="003932AB">
        <w:t>Krysinska, K., Ozols, I., Ross, A. et al</w:t>
      </w:r>
      <w:r w:rsidR="0094341B">
        <w:t xml:space="preserve"> (2023)</w:t>
      </w:r>
      <w:r w:rsidRPr="003932AB">
        <w:t xml:space="preserve">. Active involvement of people with lived experience of suicide in suicide research: a Delphi consensus study. </w:t>
      </w:r>
      <w:r w:rsidRPr="00F45386">
        <w:rPr>
          <w:i/>
          <w:iCs/>
        </w:rPr>
        <w:t>BMC Psychiatry</w:t>
      </w:r>
      <w:r w:rsidRPr="003932AB">
        <w:t xml:space="preserve"> 23, 496. </w:t>
      </w:r>
      <w:hyperlink r:id="rId6" w:history="1">
        <w:r w:rsidRPr="001E49A8">
          <w:rPr>
            <w:rStyle w:val="Hyperlink"/>
          </w:rPr>
          <w:t>https://doi.org/10.1186/s12888-023-04973-9</w:t>
        </w:r>
      </w:hyperlink>
      <w:r>
        <w:t xml:space="preserve"> </w:t>
      </w:r>
    </w:p>
  </w:footnote>
  <w:footnote w:id="10">
    <w:p w14:paraId="2D7C649E" w14:textId="00A87C98" w:rsidR="002E272C" w:rsidRDefault="002E272C">
      <w:pPr>
        <w:pStyle w:val="FootnoteText"/>
      </w:pPr>
      <w:r>
        <w:rPr>
          <w:rStyle w:val="FootnoteReference"/>
        </w:rPr>
        <w:footnoteRef/>
      </w:r>
      <w:r>
        <w:t xml:space="preserve"> </w:t>
      </w:r>
      <w:r w:rsidR="00B86514">
        <w:t>Smart, J.</w:t>
      </w:r>
      <w:r w:rsidR="0081255C">
        <w:t xml:space="preserve"> (</w:t>
      </w:r>
      <w:r w:rsidR="009056FC">
        <w:t>20</w:t>
      </w:r>
      <w:r w:rsidR="00F63611">
        <w:t>19</w:t>
      </w:r>
      <w:r w:rsidR="00B86514">
        <w:t xml:space="preserve">). </w:t>
      </w:r>
      <w:r w:rsidR="0017095A">
        <w:t xml:space="preserve">Needs assessment. </w:t>
      </w:r>
      <w:r w:rsidR="006876A3">
        <w:t>Southbank: Australian Institute of Family Studies</w:t>
      </w:r>
      <w:r w:rsidR="009D22FF">
        <w:t>.</w:t>
      </w:r>
      <w:r w:rsidR="006876A3">
        <w:t xml:space="preserve"> </w:t>
      </w:r>
      <w:hyperlink r:id="rId7" w:anchor="part-one:-defining-needs-and-needs-assessment" w:history="1">
        <w:r w:rsidR="00B867BD" w:rsidRPr="00295383">
          <w:rPr>
            <w:rStyle w:val="Hyperlink"/>
          </w:rPr>
          <w:t>https://aifs.gov.au/resources/practice-guides/needs-assessment#part-one:-defining-needs-and-needs-assessment</w:t>
        </w:r>
      </w:hyperlink>
      <w:r>
        <w:t xml:space="preserve"> </w:t>
      </w:r>
    </w:p>
  </w:footnote>
  <w:footnote w:id="11">
    <w:p w14:paraId="681FB4BD" w14:textId="74A8FADC" w:rsidR="00D23961" w:rsidRPr="000523A5" w:rsidRDefault="00D23961" w:rsidP="00C44189">
      <w:pPr>
        <w:pStyle w:val="Notes"/>
      </w:pPr>
      <w:r>
        <w:rPr>
          <w:rStyle w:val="FootnoteReference"/>
        </w:rPr>
        <w:footnoteRef/>
      </w:r>
      <w:r w:rsidRPr="003D0CED">
        <w:rPr>
          <w:rStyle w:val="FootnoteReference"/>
          <w:rFonts w:cstheme="minorHAnsi"/>
        </w:rPr>
        <w:t xml:space="preserve"> </w:t>
      </w:r>
      <w:hyperlink r:id="rId8" w:history="1">
        <w:r w:rsidR="00D40009" w:rsidRPr="003D0CED">
          <w:t>Damschroder</w:t>
        </w:r>
      </w:hyperlink>
      <w:r w:rsidR="009809A6">
        <w:t>, L.</w:t>
      </w:r>
      <w:r w:rsidR="004207E4">
        <w:t>, Aron, D.</w:t>
      </w:r>
      <w:r w:rsidR="00D40009" w:rsidRPr="003D0CED">
        <w:t>, </w:t>
      </w:r>
      <w:hyperlink r:id="rId9" w:history="1">
        <w:r w:rsidR="00D40009" w:rsidRPr="003D0CED">
          <w:t>Keith</w:t>
        </w:r>
      </w:hyperlink>
      <w:r w:rsidR="00D40009" w:rsidRPr="003D0CED">
        <w:t>,</w:t>
      </w:r>
      <w:r w:rsidR="004207E4">
        <w:t xml:space="preserve"> R.,</w:t>
      </w:r>
      <w:r w:rsidR="00D40009" w:rsidRPr="003D0CED">
        <w:t> </w:t>
      </w:r>
      <w:hyperlink r:id="rId10" w:history="1">
        <w:r w:rsidR="00D40009" w:rsidRPr="003D0CED">
          <w:t>Kirsh</w:t>
        </w:r>
      </w:hyperlink>
      <w:r w:rsidR="00D40009" w:rsidRPr="003D0CED">
        <w:t>,</w:t>
      </w:r>
      <w:r w:rsidR="004207E4">
        <w:t xml:space="preserve"> S.,</w:t>
      </w:r>
      <w:r w:rsidR="00D40009" w:rsidRPr="003D0CED">
        <w:t> </w:t>
      </w:r>
      <w:hyperlink r:id="rId11" w:history="1">
        <w:r w:rsidR="00D40009" w:rsidRPr="003D0CED">
          <w:t>Alexander</w:t>
        </w:r>
      </w:hyperlink>
      <w:r w:rsidR="00D40009" w:rsidRPr="003D0CED">
        <w:t>,</w:t>
      </w:r>
      <w:r w:rsidR="004207E4">
        <w:t xml:space="preserve"> J.,</w:t>
      </w:r>
      <w:r w:rsidR="00D40009" w:rsidRPr="003D0CED">
        <w:t> </w:t>
      </w:r>
      <w:hyperlink r:id="rId12" w:history="1">
        <w:r w:rsidR="00D40009" w:rsidRPr="003D0CED">
          <w:t>Lowery</w:t>
        </w:r>
      </w:hyperlink>
      <w:r w:rsidR="00053827" w:rsidRPr="003D0CED">
        <w:t xml:space="preserve">, </w:t>
      </w:r>
      <w:r w:rsidR="00D9299F">
        <w:t>J. (2009).</w:t>
      </w:r>
      <w:r w:rsidR="00053827" w:rsidRPr="003D0CED">
        <w:t xml:space="preserve"> Fostering implementation of health services research findings into practice: a consolidated framework for advancing implementation science</w:t>
      </w:r>
      <w:r w:rsidR="00D9299F">
        <w:t>.</w:t>
      </w:r>
      <w:r w:rsidR="000617A1">
        <w:t xml:space="preserve"> </w:t>
      </w:r>
      <w:r w:rsidR="000617A1" w:rsidRPr="000617A1">
        <w:t>Implement Sci</w:t>
      </w:r>
      <w:r w:rsidR="003B5364">
        <w:t>ence</w:t>
      </w:r>
      <w:r w:rsidR="000617A1" w:rsidRPr="000617A1">
        <w:t xml:space="preserve"> 7</w:t>
      </w:r>
      <w:r w:rsidR="00E7195E">
        <w:t>(4)</w:t>
      </w:r>
      <w:r w:rsidR="000617A1" w:rsidRPr="000617A1">
        <w:t>:50.</w:t>
      </w:r>
      <w:r w:rsidR="005D0629">
        <w:t xml:space="preserve"> </w:t>
      </w:r>
      <w:hyperlink r:id="rId13" w:history="1">
        <w:r w:rsidR="005D0629" w:rsidRPr="00295383">
          <w:rPr>
            <w:rStyle w:val="Hyperlink"/>
            <w:rFonts w:ascii="Segoe UI" w:hAnsi="Segoe UI" w:cs="Segoe UI"/>
            <w:shd w:val="clear" w:color="auto" w:fill="FFFFFF"/>
          </w:rPr>
          <w:t>https://doi.org/10.1186/1748-5908-4-50</w:t>
        </w:r>
      </w:hyperlink>
      <w:r w:rsidR="005D0629">
        <w:rPr>
          <w:rFonts w:ascii="Segoe UI" w:hAnsi="Segoe UI" w:cs="Segoe UI"/>
          <w:color w:val="333333"/>
          <w:shd w:val="clear" w:color="auto" w:fill="FFFFFF"/>
        </w:rPr>
        <w:t xml:space="preserve"> </w:t>
      </w:r>
    </w:p>
  </w:footnote>
  <w:footnote w:id="12">
    <w:p w14:paraId="504D6D1C" w14:textId="2F1A2A0B" w:rsidR="00523548" w:rsidRDefault="00523548" w:rsidP="00523548">
      <w:pPr>
        <w:pStyle w:val="Notes"/>
      </w:pPr>
      <w:r>
        <w:rPr>
          <w:rStyle w:val="FootnoteReference"/>
        </w:rPr>
        <w:footnoteRef/>
      </w:r>
      <w:r>
        <w:t xml:space="preserve"> Patton, M.Q. (2014). </w:t>
      </w:r>
      <w:r w:rsidRPr="00875854">
        <w:t>Week 47: Rumination #3: Fools' gold: the widely touted methodological "gold standard" is neither golden nor a standard</w:t>
      </w:r>
      <w:r w:rsidR="00875854" w:rsidRPr="00875854">
        <w:t xml:space="preserve">. </w:t>
      </w:r>
      <w:r w:rsidRPr="00CA11A3">
        <w:t xml:space="preserve">  </w:t>
      </w:r>
      <w:hyperlink r:id="rId14" w:history="1">
        <w:r w:rsidRPr="00CA11A3">
          <w:rPr>
            <w:rStyle w:val="Hyperlink"/>
          </w:rPr>
          <w:t>https://www.betterevaluation.org/en/blog/fools_gold_widely_touted_methodological_gold_standard</w:t>
        </w:r>
      </w:hyperlink>
      <w:r>
        <w:rPr>
          <w:i/>
          <w:iCs/>
        </w:rPr>
        <w:t xml:space="preserve"> </w:t>
      </w:r>
    </w:p>
  </w:footnote>
  <w:footnote w:id="13">
    <w:p w14:paraId="75529794" w14:textId="77777777" w:rsidR="00245C77" w:rsidRDefault="00245C77" w:rsidP="00245C77">
      <w:pPr>
        <w:pStyle w:val="FootnoteText"/>
      </w:pPr>
      <w:r>
        <w:rPr>
          <w:rStyle w:val="FootnoteReference"/>
        </w:rPr>
        <w:footnoteRef/>
      </w:r>
      <w:r>
        <w:t xml:space="preserve"> Patton, M.Q. (2011). Developmental Evaluation: Applying Complexity Concepts to Enhance</w:t>
      </w:r>
    </w:p>
    <w:p w14:paraId="212D7E79" w14:textId="5230C296" w:rsidR="00245C77" w:rsidRDefault="00245C77" w:rsidP="00245C77">
      <w:pPr>
        <w:pStyle w:val="FootnoteText"/>
      </w:pPr>
      <w:r>
        <w:t>Innovation and Use. USA</w:t>
      </w:r>
      <w:r w:rsidR="000C6084">
        <w:t xml:space="preserve">: </w:t>
      </w:r>
      <w:r>
        <w:t>Guilford Publications</w:t>
      </w:r>
      <w:r w:rsidR="000C6084">
        <w:t xml:space="preserve">. </w:t>
      </w:r>
    </w:p>
  </w:footnote>
  <w:footnote w:id="14">
    <w:p w14:paraId="54278A72" w14:textId="2AC5CD30" w:rsidR="009F6C33" w:rsidRDefault="009F6C33">
      <w:pPr>
        <w:pStyle w:val="FootnoteText"/>
      </w:pPr>
      <w:r>
        <w:rPr>
          <w:rStyle w:val="FootnoteReference"/>
        </w:rPr>
        <w:footnoteRef/>
      </w:r>
      <w:r>
        <w:t xml:space="preserve"> </w:t>
      </w:r>
      <w:r w:rsidR="00333661">
        <w:t>Government of Canada</w:t>
      </w:r>
      <w:r w:rsidR="000C6084">
        <w:t xml:space="preserve"> (</w:t>
      </w:r>
      <w:r w:rsidR="008540F4">
        <w:t>2022</w:t>
      </w:r>
      <w:r w:rsidR="000C6084">
        <w:t>).</w:t>
      </w:r>
      <w:r w:rsidR="00E9576D">
        <w:t xml:space="preserve"> </w:t>
      </w:r>
      <w:r w:rsidR="00E9576D" w:rsidRPr="00E9576D">
        <w:t>Theory-Based Approaches to Evaluation: Concepts and Practices</w:t>
      </w:r>
      <w:r w:rsidR="000C6084">
        <w:t xml:space="preserve">. </w:t>
      </w:r>
      <w:hyperlink r:id="rId15" w:history="1">
        <w:r w:rsidR="000C6084" w:rsidRPr="00295383">
          <w:rPr>
            <w:rStyle w:val="Hyperlink"/>
          </w:rPr>
          <w:t>https://www.canada.ca/en/treasury-board-secretariat/services/audit-evaluation/evaluation-government-canada/theory-based-approaches-evaluation-concepts-practices.html</w:t>
        </w:r>
      </w:hyperlink>
      <w:r w:rsidR="000C6084">
        <w:t xml:space="preserve"> </w:t>
      </w:r>
    </w:p>
  </w:footnote>
  <w:footnote w:id="15">
    <w:p w14:paraId="6424D016" w14:textId="65E09321" w:rsidR="007F588D" w:rsidRPr="007C6350" w:rsidRDefault="007F588D" w:rsidP="007F588D">
      <w:pPr>
        <w:pStyle w:val="FootnoteText"/>
        <w:rPr>
          <w:szCs w:val="18"/>
        </w:rPr>
      </w:pPr>
      <w:r w:rsidRPr="007C6350">
        <w:rPr>
          <w:rStyle w:val="FootnoteReference"/>
          <w:szCs w:val="18"/>
        </w:rPr>
        <w:footnoteRef/>
      </w:r>
      <w:r w:rsidRPr="007C6350">
        <w:rPr>
          <w:szCs w:val="18"/>
        </w:rPr>
        <w:t xml:space="preserve"> Pawson</w:t>
      </w:r>
      <w:r w:rsidR="003E3E01">
        <w:rPr>
          <w:szCs w:val="18"/>
        </w:rPr>
        <w:t>,</w:t>
      </w:r>
      <w:r w:rsidRPr="007C6350">
        <w:rPr>
          <w:szCs w:val="18"/>
        </w:rPr>
        <w:t xml:space="preserve"> R</w:t>
      </w:r>
      <w:r w:rsidR="003E3E01">
        <w:rPr>
          <w:szCs w:val="18"/>
        </w:rPr>
        <w:t>.</w:t>
      </w:r>
      <w:r w:rsidRPr="007C6350">
        <w:rPr>
          <w:szCs w:val="18"/>
        </w:rPr>
        <w:t xml:space="preserve"> &amp; Tilley</w:t>
      </w:r>
      <w:r w:rsidR="003E3E01">
        <w:rPr>
          <w:szCs w:val="18"/>
        </w:rPr>
        <w:t>,</w:t>
      </w:r>
      <w:r w:rsidRPr="007C6350">
        <w:rPr>
          <w:szCs w:val="18"/>
        </w:rPr>
        <w:t xml:space="preserve"> N</w:t>
      </w:r>
      <w:r w:rsidR="003E3E01">
        <w:rPr>
          <w:szCs w:val="18"/>
        </w:rPr>
        <w:t>.</w:t>
      </w:r>
      <w:r w:rsidRPr="007C6350">
        <w:rPr>
          <w:szCs w:val="18"/>
        </w:rPr>
        <w:t xml:space="preserve"> </w:t>
      </w:r>
      <w:r w:rsidR="00C13425">
        <w:rPr>
          <w:szCs w:val="18"/>
        </w:rPr>
        <w:t>(</w:t>
      </w:r>
      <w:r w:rsidRPr="007C6350">
        <w:rPr>
          <w:szCs w:val="18"/>
        </w:rPr>
        <w:t>2004</w:t>
      </w:r>
      <w:r w:rsidR="00C13425">
        <w:rPr>
          <w:szCs w:val="18"/>
        </w:rPr>
        <w:t>).</w:t>
      </w:r>
      <w:r w:rsidRPr="007C6350">
        <w:rPr>
          <w:szCs w:val="18"/>
        </w:rPr>
        <w:t xml:space="preserve"> Realistic evaluation. British Cabinet Office. </w:t>
      </w:r>
      <w:hyperlink r:id="rId16" w:history="1">
        <w:r w:rsidR="00DE7421" w:rsidRPr="00295383">
          <w:rPr>
            <w:rStyle w:val="Hyperlink"/>
            <w:szCs w:val="18"/>
          </w:rPr>
          <w:t>http://www.communitymatters.com.au/RE_chapter.pdf</w:t>
        </w:r>
      </w:hyperlink>
      <w:r w:rsidRPr="007C6350">
        <w:rPr>
          <w:szCs w:val="18"/>
        </w:rPr>
        <w:t xml:space="preserve">. </w:t>
      </w:r>
    </w:p>
  </w:footnote>
  <w:footnote w:id="16">
    <w:p w14:paraId="16BD14EE" w14:textId="413B5CB6" w:rsidR="00A47570" w:rsidRDefault="00A47570" w:rsidP="00A47570">
      <w:pPr>
        <w:pStyle w:val="FootnoteText"/>
      </w:pPr>
      <w:r>
        <w:rPr>
          <w:rStyle w:val="FootnoteReference"/>
        </w:rPr>
        <w:footnoteRef/>
      </w:r>
      <w:r>
        <w:t xml:space="preserve"> Better Evaluation</w:t>
      </w:r>
      <w:r w:rsidR="00B37767">
        <w:t xml:space="preserve"> (2012) Creating</w:t>
      </w:r>
      <w:r>
        <w:t xml:space="preserve"> Rubrics</w:t>
      </w:r>
      <w:r w:rsidR="00B37767">
        <w:t xml:space="preserve">. </w:t>
      </w:r>
      <w:hyperlink r:id="rId17" w:history="1">
        <w:r w:rsidR="00E47507" w:rsidRPr="00295383">
          <w:rPr>
            <w:rStyle w:val="Hyperlink"/>
          </w:rPr>
          <w:t>https://www.betterevaluation.org/tools-resources/creating-rubrics</w:t>
        </w:r>
      </w:hyperlink>
    </w:p>
  </w:footnote>
  <w:footnote w:id="17">
    <w:p w14:paraId="6F62EE4A" w14:textId="473895C7" w:rsidR="00555533" w:rsidRDefault="00555533" w:rsidP="00555533">
      <w:r>
        <w:rPr>
          <w:rStyle w:val="FootnoteReference"/>
        </w:rPr>
        <w:footnoteRef/>
      </w:r>
      <w:r>
        <w:t xml:space="preserve"> </w:t>
      </w:r>
      <w:r w:rsidRPr="00E875F5">
        <w:t>Renger</w:t>
      </w:r>
      <w:r>
        <w:t xml:space="preserve">, </w:t>
      </w:r>
      <w:r w:rsidR="00E943D7" w:rsidRPr="00E943D7">
        <w:t>R. (</w:t>
      </w:r>
      <w:r>
        <w:t>2</w:t>
      </w:r>
      <w:r w:rsidRPr="00E875F5">
        <w:t>015</w:t>
      </w:r>
      <w:r w:rsidR="00E943D7" w:rsidRPr="00E943D7">
        <w:t>).</w:t>
      </w:r>
      <w:r w:rsidRPr="00E875F5">
        <w:t xml:space="preserve"> System evaluation theory (SET</w:t>
      </w:r>
      <w:r w:rsidR="00E943D7" w:rsidRPr="00E943D7">
        <w:t>):</w:t>
      </w:r>
      <w:r w:rsidRPr="00E875F5">
        <w:t xml:space="preserve"> A practical framew</w:t>
      </w:r>
      <w:r>
        <w:t>ork</w:t>
      </w:r>
      <w:r w:rsidR="00E943D7" w:rsidRPr="00E943D7">
        <w:t xml:space="preserve"> for evaluators to meet the challenges of system evaluation. Evaluation Journal of Australasia. 15. 16-28. </w:t>
      </w:r>
      <w:hyperlink r:id="rId18" w:history="1">
        <w:r w:rsidR="00C67C3B" w:rsidRPr="00295383">
          <w:rPr>
            <w:rStyle w:val="Hyperlink"/>
          </w:rPr>
          <w:t>http://dx.doi.org/10.1177/1035719X1501500403</w:t>
        </w:r>
      </w:hyperlink>
      <w:r w:rsidR="00C67C3B">
        <w:t xml:space="preserve"> </w:t>
      </w:r>
    </w:p>
  </w:footnote>
  <w:footnote w:id="18">
    <w:p w14:paraId="3A667066" w14:textId="7A5B3E19" w:rsidR="003F07CE" w:rsidRDefault="003F07CE" w:rsidP="003F07CE">
      <w:pPr>
        <w:pStyle w:val="FootnoteText"/>
      </w:pPr>
      <w:r>
        <w:rPr>
          <w:rStyle w:val="FootnoteReference"/>
        </w:rPr>
        <w:footnoteRef/>
      </w:r>
      <w:r>
        <w:t xml:space="preserve"> Fetterman, D., Kaftarian, S.J., &amp; Wandersman, A. (2015). Empowerment evaluation: Knowledge and Tools for Self-assessment, Evaluation Capacity Building, and</w:t>
      </w:r>
    </w:p>
    <w:p w14:paraId="3AD58686" w14:textId="2058E776" w:rsidR="003F07CE" w:rsidRDefault="003F07CE" w:rsidP="003F07CE">
      <w:pPr>
        <w:pStyle w:val="FootnoteText"/>
      </w:pPr>
      <w:r>
        <w:t>Accountability, Second Edition. USA</w:t>
      </w:r>
      <w:r w:rsidR="000E57CF">
        <w:t xml:space="preserve">: </w:t>
      </w:r>
      <w:r>
        <w:t>SAGE Publications Inc</w:t>
      </w:r>
      <w:r w:rsidR="000E57CF">
        <w:t>.</w:t>
      </w:r>
    </w:p>
  </w:footnote>
  <w:footnote w:id="19">
    <w:p w14:paraId="711B7AB2" w14:textId="458B4879" w:rsidR="004D4EB2" w:rsidRDefault="004D4EB2">
      <w:pPr>
        <w:pStyle w:val="FootnoteText"/>
      </w:pPr>
      <w:r>
        <w:rPr>
          <w:rStyle w:val="FootnoteReference"/>
        </w:rPr>
        <w:footnoteRef/>
      </w:r>
      <w:r>
        <w:t xml:space="preserve"> D</w:t>
      </w:r>
      <w:r w:rsidR="00506DC5">
        <w:t>epartment of the Treasury. (</w:t>
      </w:r>
      <w:r w:rsidR="00A85C20">
        <w:t xml:space="preserve">2023). Randomised controlled trials. </w:t>
      </w:r>
      <w:hyperlink r:id="rId19" w:history="1">
        <w:r w:rsidR="00A85C20" w:rsidRPr="00295383">
          <w:rPr>
            <w:rStyle w:val="Hyperlink"/>
          </w:rPr>
          <w:t>https://evaluation.treasury.gov.au/toolkit/randomised-controlled-trials</w:t>
        </w:r>
      </w:hyperlink>
      <w:r w:rsidR="00A85C20">
        <w:t xml:space="preserve"> </w:t>
      </w:r>
    </w:p>
  </w:footnote>
  <w:footnote w:id="20">
    <w:p w14:paraId="2F6F76AF" w14:textId="0EB3D1CF" w:rsidR="00621A5B" w:rsidRDefault="00621A5B">
      <w:pPr>
        <w:pStyle w:val="FootnoteText"/>
      </w:pPr>
      <w:r>
        <w:rPr>
          <w:rStyle w:val="FootnoteReference"/>
        </w:rPr>
        <w:footnoteRef/>
      </w:r>
      <w:r>
        <w:t xml:space="preserve"> </w:t>
      </w:r>
      <w:r w:rsidR="00473BB8">
        <w:t>Rogers</w:t>
      </w:r>
      <w:r w:rsidR="00435C40">
        <w:t xml:space="preserve">, P., Hawkins, A., </w:t>
      </w:r>
      <w:r w:rsidR="003245D3">
        <w:t xml:space="preserve">McDonald, B., </w:t>
      </w:r>
      <w:r w:rsidR="001E5323">
        <w:t>Macfarlan</w:t>
      </w:r>
      <w:r w:rsidR="007B790B">
        <w:t>, A. &amp; Milne, C.</w:t>
      </w:r>
      <w:r w:rsidR="00473BB8">
        <w:t xml:space="preserve"> </w:t>
      </w:r>
      <w:r w:rsidR="0087602B">
        <w:t>(</w:t>
      </w:r>
      <w:r w:rsidR="00473BB8">
        <w:t>2015</w:t>
      </w:r>
      <w:r w:rsidR="0087602B">
        <w:t>).</w:t>
      </w:r>
      <w:r w:rsidR="00233650">
        <w:t xml:space="preserve"> Choosing appropriate designs and methods for impact evaluation.</w:t>
      </w:r>
      <w:r w:rsidR="001C2F5D">
        <w:t xml:space="preserve"> Department of Industry innovation and Science.</w:t>
      </w:r>
      <w:r w:rsidR="001C2F5D" w:rsidRPr="001C2F5D">
        <w:t xml:space="preserve"> </w:t>
      </w:r>
      <w:hyperlink r:id="rId20" w:history="1">
        <w:r w:rsidR="001C2F5D" w:rsidRPr="005600BC">
          <w:rPr>
            <w:rStyle w:val="Hyperlink"/>
          </w:rPr>
          <w:t>https://www.betterevaluation.org/sites/default/files/choosing_appropriate_designs_and_methods_for_impact_evaluation_2015.pdf</w:t>
        </w:r>
      </w:hyperlink>
      <w:r w:rsidR="001C2F5D">
        <w:t xml:space="preserve"> </w:t>
      </w:r>
    </w:p>
  </w:footnote>
  <w:footnote w:id="21">
    <w:p w14:paraId="22E05277" w14:textId="2A0931BB" w:rsidR="00313A6C" w:rsidRPr="0022552E" w:rsidRDefault="00313A6C" w:rsidP="00313A6C">
      <w:pPr>
        <w:pStyle w:val="Notes"/>
        <w:rPr>
          <w:rFonts w:cstheme="minorHAnsi"/>
        </w:rPr>
      </w:pPr>
      <w:r>
        <w:rPr>
          <w:rStyle w:val="FootnoteReference"/>
        </w:rPr>
        <w:footnoteRef/>
      </w:r>
      <w:r>
        <w:t xml:space="preserve"> </w:t>
      </w:r>
      <w:r w:rsidRPr="002704CC">
        <w:t xml:space="preserve">Mayne, J. </w:t>
      </w:r>
      <w:r w:rsidR="00822698">
        <w:t>(</w:t>
      </w:r>
      <w:r w:rsidRPr="002704CC">
        <w:t>2012</w:t>
      </w:r>
      <w:r w:rsidR="00822698">
        <w:t>).</w:t>
      </w:r>
      <w:r w:rsidRPr="002704CC">
        <w:t xml:space="preserve"> Contribution analysis: Coming of age? </w:t>
      </w:r>
      <w:r w:rsidRPr="0022552E">
        <w:rPr>
          <w:rFonts w:cstheme="minorHAnsi"/>
          <w:i/>
          <w:iCs/>
          <w:szCs w:val="14"/>
          <w:lang w:eastAsia="en-AU"/>
        </w:rPr>
        <w:t xml:space="preserve">Evaluation, </w:t>
      </w:r>
      <w:r w:rsidRPr="0022552E">
        <w:rPr>
          <w:rFonts w:cstheme="minorHAnsi"/>
          <w:szCs w:val="14"/>
          <w:lang w:eastAsia="en-AU"/>
        </w:rPr>
        <w:t>18(3) 270–280</w:t>
      </w:r>
      <w:r w:rsidR="00D34CEF">
        <w:rPr>
          <w:rFonts w:cstheme="minorHAnsi"/>
          <w:szCs w:val="14"/>
          <w:lang w:eastAsia="en-AU"/>
        </w:rPr>
        <w:t>.</w:t>
      </w:r>
    </w:p>
  </w:footnote>
  <w:footnote w:id="22">
    <w:p w14:paraId="3DA2D221" w14:textId="007C512C" w:rsidR="00A86661" w:rsidRDefault="00A86661">
      <w:pPr>
        <w:pStyle w:val="FootnoteText"/>
      </w:pPr>
      <w:r>
        <w:rPr>
          <w:rStyle w:val="FootnoteReference"/>
        </w:rPr>
        <w:footnoteRef/>
      </w:r>
      <w:r>
        <w:t xml:space="preserve"> </w:t>
      </w:r>
      <w:r w:rsidR="006A34D5">
        <w:t>Goodrick, D. (</w:t>
      </w:r>
      <w:r w:rsidR="00433D73">
        <w:t>2014</w:t>
      </w:r>
      <w:r w:rsidR="00B5494B">
        <w:t xml:space="preserve">). </w:t>
      </w:r>
      <w:r w:rsidR="000461B7" w:rsidRPr="000461B7">
        <w:t>Comparative Case Studies</w:t>
      </w:r>
      <w:r w:rsidR="002D52F3">
        <w:t xml:space="preserve">. </w:t>
      </w:r>
      <w:r w:rsidR="00694F4B">
        <w:t xml:space="preserve">Italy: </w:t>
      </w:r>
      <w:r>
        <w:t>UNICEF Office of Research</w:t>
      </w:r>
      <w:r w:rsidR="007B5ED3">
        <w:t>.</w:t>
      </w:r>
      <w:r w:rsidR="006F5B42">
        <w:t xml:space="preserve"> </w:t>
      </w:r>
      <w:hyperlink r:id="rId21" w:anchor=":~:text=Comparative%20case%20studies%20involve%20the,work%20or%20fail%20to%20work" w:history="1">
        <w:r w:rsidR="006F5B42" w:rsidRPr="005600BC">
          <w:rPr>
            <w:rStyle w:val="Hyperlink"/>
          </w:rPr>
          <w:t>https://www.unicef-irc.org/publications/754-comparative-case-studies-methodological-briefs-impact-evaluatio</w:t>
        </w:r>
        <w:bookmarkStart w:id="51" w:name="_Hlt149908464"/>
        <w:bookmarkStart w:id="52" w:name="_Hlt149908465"/>
        <w:bookmarkEnd w:id="51"/>
        <w:bookmarkEnd w:id="52"/>
        <w:r w:rsidR="006F5B42" w:rsidRPr="005600BC">
          <w:rPr>
            <w:rStyle w:val="Hyperlink"/>
          </w:rPr>
          <w:t>n-no-9.html#:~:text=Comparative%20case%20studies%20involve%20the,work%20or%20fail%20to%20work</w:t>
        </w:r>
      </w:hyperlink>
      <w:r w:rsidR="006F5B42" w:rsidRPr="006F5B42">
        <w:t>.</w:t>
      </w:r>
      <w:r w:rsidR="006F5B42">
        <w:t xml:space="preserve"> </w:t>
      </w:r>
    </w:p>
  </w:footnote>
  <w:footnote w:id="23">
    <w:p w14:paraId="00B063F1" w14:textId="7A9DA5CE" w:rsidR="00E4076E" w:rsidRDefault="00E4076E" w:rsidP="00E4076E">
      <w:pPr>
        <w:pStyle w:val="FootnoteText"/>
      </w:pPr>
      <w:r>
        <w:rPr>
          <w:rStyle w:val="FootnoteReference"/>
        </w:rPr>
        <w:footnoteRef/>
      </w:r>
      <w:r>
        <w:t xml:space="preserve"> </w:t>
      </w:r>
      <w:r w:rsidR="009E6CC0" w:rsidRPr="009E6CC0">
        <w:t>Productivity Commission (2020). Indigenous Evaluation Strategy.</w:t>
      </w:r>
      <w:r w:rsidR="009E6CC0">
        <w:t xml:space="preserve"> </w:t>
      </w:r>
      <w:hyperlink r:id="rId22" w:history="1">
        <w:r w:rsidR="009E6CC0" w:rsidRPr="00295383">
          <w:rPr>
            <w:rStyle w:val="Hyperlink"/>
            <w:rFonts w:ascii="Segoe UI" w:hAnsi="Segoe UI" w:cs="Segoe UI"/>
            <w:szCs w:val="18"/>
          </w:rPr>
          <w:t>https://www.pc.gov.au/inquiries/completed/indigenous-evaluation/strategy/indigenous-evaluation-strategy.pdf</w:t>
        </w:r>
      </w:hyperlink>
    </w:p>
  </w:footnote>
  <w:footnote w:id="24">
    <w:p w14:paraId="09F6CD5A" w14:textId="319FF9F3" w:rsidR="00E4076E" w:rsidRDefault="00E4076E" w:rsidP="00E4076E">
      <w:pPr>
        <w:pStyle w:val="FootnoteText"/>
      </w:pPr>
      <w:r>
        <w:rPr>
          <w:rStyle w:val="FootnoteReference"/>
        </w:rPr>
        <w:footnoteRef/>
      </w:r>
      <w:r>
        <w:t xml:space="preserve"> </w:t>
      </w:r>
      <w:r w:rsidRPr="0027719B">
        <w:t xml:space="preserve">Dudgeon, P. et al </w:t>
      </w:r>
      <w:r w:rsidR="00A40672">
        <w:t>(</w:t>
      </w:r>
      <w:r w:rsidRPr="0027719B">
        <w:t>2016</w:t>
      </w:r>
      <w:r w:rsidR="00A40672">
        <w:t>)</w:t>
      </w:r>
      <w:r w:rsidR="0045322B">
        <w:t>.</w:t>
      </w:r>
      <w:r w:rsidRPr="0027719B">
        <w:t xml:space="preserve"> Solutions </w:t>
      </w:r>
      <w:r w:rsidR="315184DD" w:rsidRPr="0027719B">
        <w:t>that</w:t>
      </w:r>
      <w:r w:rsidRPr="0027719B">
        <w:t xml:space="preserve"> work: What the evidence and our people tell us</w:t>
      </w:r>
      <w:r w:rsidR="00C7619C">
        <w:t>:</w:t>
      </w:r>
      <w:r w:rsidRPr="0027719B">
        <w:t xml:space="preserve"> Aboriginal and Torres Strait Islander Suicide Prevention Evaluation Project Report. School of Indigenous Studies</w:t>
      </w:r>
      <w:r w:rsidR="00CB406F">
        <w:t>,</w:t>
      </w:r>
      <w:r w:rsidRPr="0027719B">
        <w:t xml:space="preserve"> University of Western Australia </w:t>
      </w:r>
      <w:r w:rsidR="00CB406F">
        <w:t xml:space="preserve">Centre for </w:t>
      </w:r>
      <w:r w:rsidR="00A54792">
        <w:t xml:space="preserve">Child Health Research. </w:t>
      </w:r>
    </w:p>
  </w:footnote>
  <w:footnote w:id="25">
    <w:p w14:paraId="5C309D08" w14:textId="62875CDD" w:rsidR="00E4076E" w:rsidRDefault="00E4076E" w:rsidP="00E4076E">
      <w:pPr>
        <w:pStyle w:val="FootnoteText"/>
      </w:pPr>
      <w:r>
        <w:rPr>
          <w:rStyle w:val="FootnoteReference"/>
        </w:rPr>
        <w:footnoteRef/>
      </w:r>
      <w:r>
        <w:t xml:space="preserve"> </w:t>
      </w:r>
      <w:r w:rsidR="006E2499">
        <w:t>Rosier, K</w:t>
      </w:r>
      <w:r w:rsidR="004F5633">
        <w:t xml:space="preserve">., </w:t>
      </w:r>
      <w:r w:rsidR="00E979FF">
        <w:t>Lohoar</w:t>
      </w:r>
      <w:r w:rsidR="00EC065E">
        <w:t xml:space="preserve">, S., Moore, </w:t>
      </w:r>
      <w:r w:rsidR="0016094D">
        <w:t>S</w:t>
      </w:r>
      <w:r w:rsidR="0069505F">
        <w:t>.</w:t>
      </w:r>
      <w:r w:rsidR="005E2AD4">
        <w:t xml:space="preserve"> &amp; Robinson, E. (</w:t>
      </w:r>
      <w:r w:rsidR="00EE02EA">
        <w:t xml:space="preserve">2015). </w:t>
      </w:r>
      <w:r>
        <w:t>Participatory Action Research</w:t>
      </w:r>
      <w:r w:rsidR="00EF1D58">
        <w:t xml:space="preserve">. </w:t>
      </w:r>
      <w:r w:rsidR="00F349C7">
        <w:t xml:space="preserve">Australian Institute of Family Studies. </w:t>
      </w:r>
      <w:hyperlink r:id="rId23" w:history="1">
        <w:r w:rsidR="001241AD" w:rsidRPr="00295383">
          <w:rPr>
            <w:rStyle w:val="Hyperlink"/>
          </w:rPr>
          <w:t>https://aifs.gov.au/resources/practice-guides/participatory-action-research</w:t>
        </w:r>
      </w:hyperlink>
    </w:p>
  </w:footnote>
  <w:footnote w:id="26">
    <w:p w14:paraId="62687573" w14:textId="7BBAB4C6" w:rsidR="00692E61" w:rsidRPr="00692E61" w:rsidRDefault="00692E61">
      <w:pPr>
        <w:pStyle w:val="FootnoteText"/>
        <w:rPr>
          <w:lang w:val="en-US"/>
        </w:rPr>
      </w:pPr>
      <w:r>
        <w:rPr>
          <w:rStyle w:val="FootnoteReference"/>
        </w:rPr>
        <w:footnoteRef/>
      </w:r>
      <w:r>
        <w:t xml:space="preserve"> </w:t>
      </w:r>
      <w:r w:rsidRPr="00F33C5E">
        <w:t>Pain, R., Whitman, G., Milledge, D., &amp; Lune Rivers Trust. (2011). Participatory action research toolkit: An introduction to using PAR as an approach to learning, research and action. Durham: Durham University</w:t>
      </w:r>
    </w:p>
  </w:footnote>
  <w:footnote w:id="27">
    <w:p w14:paraId="3366E4B6" w14:textId="2C98A2FB" w:rsidR="00692E61" w:rsidRPr="00692E61" w:rsidRDefault="00692E61">
      <w:pPr>
        <w:pStyle w:val="FootnoteText"/>
        <w:rPr>
          <w:lang w:val="en-US"/>
        </w:rPr>
      </w:pPr>
      <w:r>
        <w:rPr>
          <w:rStyle w:val="FootnoteReference"/>
        </w:rPr>
        <w:footnoteRef/>
      </w:r>
      <w:r>
        <w:t xml:space="preserve"> </w:t>
      </w:r>
      <w:r w:rsidRPr="007C3F45">
        <w:t>Boyle, M. (2012). Research in action: A guide to Participatory Action Research (Research Report). Canberra: Department of Social Services</w:t>
      </w:r>
      <w:r>
        <w:t>,</w:t>
      </w:r>
      <w:r w:rsidRPr="007C3F45">
        <w:t xml:space="preserve"> </w:t>
      </w:r>
      <w:hyperlink r:id="rId24" w:history="1">
        <w:r w:rsidRPr="00295383">
          <w:rPr>
            <w:rStyle w:val="Hyperlink"/>
          </w:rPr>
          <w:t>www.dss.gov.au/sites/default/files/documents/06_2012/research_in_action.pdf</w:t>
        </w:r>
      </w:hyperlink>
      <w:r>
        <w:t xml:space="preserve"> </w:t>
      </w:r>
    </w:p>
  </w:footnote>
  <w:footnote w:id="28">
    <w:p w14:paraId="3D6FF01F" w14:textId="71B8033B" w:rsidR="0073088C" w:rsidRPr="0073088C" w:rsidRDefault="0073088C">
      <w:pPr>
        <w:pStyle w:val="FootnoteText"/>
        <w:rPr>
          <w:lang w:val="en-US"/>
        </w:rPr>
      </w:pPr>
      <w:r>
        <w:rPr>
          <w:rStyle w:val="FootnoteReference"/>
        </w:rPr>
        <w:footnoteRef/>
      </w:r>
      <w:r>
        <w:t xml:space="preserve"> </w:t>
      </w:r>
      <w:r w:rsidRPr="00594680">
        <w:t>Patton, M. Q. (2008). Utilization-focused evaluation (4th ed.). London: SAGE.</w:t>
      </w:r>
      <w:r>
        <w:t xml:space="preserve"> </w:t>
      </w:r>
    </w:p>
  </w:footnote>
  <w:footnote w:id="29">
    <w:p w14:paraId="07D55CAE" w14:textId="5FDCD860" w:rsidR="00370EC5" w:rsidRDefault="00370EC5" w:rsidP="00370EC5">
      <w:pPr>
        <w:pStyle w:val="FootnoteText"/>
      </w:pPr>
      <w:r>
        <w:rPr>
          <w:rStyle w:val="FootnoteReference"/>
        </w:rPr>
        <w:footnoteRef/>
      </w:r>
      <w:r>
        <w:t xml:space="preserve"> Lips-Wiersma, M. &amp; Morris. L. (2018). The Map of Meaningful Work – A Practical guide to sustaining our humanity (Revised &amp; updated 2nd ed.) London</w:t>
      </w:r>
      <w:r w:rsidR="00B66B86">
        <w:t xml:space="preserve">: </w:t>
      </w:r>
      <w:r>
        <w:t>Routledge.</w:t>
      </w:r>
    </w:p>
  </w:footnote>
  <w:footnote w:id="30">
    <w:p w14:paraId="1449A1FB" w14:textId="1756CF46" w:rsidR="000C77F4" w:rsidRDefault="000C77F4" w:rsidP="000C77F4">
      <w:pPr>
        <w:pStyle w:val="FootnoteText"/>
      </w:pPr>
      <w:r>
        <w:rPr>
          <w:rStyle w:val="FootnoteReference"/>
        </w:rPr>
        <w:footnoteRef/>
      </w:r>
      <w:r>
        <w:t xml:space="preserve"> </w:t>
      </w:r>
      <w:bookmarkStart w:id="62" w:name="_Hlk149910877"/>
      <w:r w:rsidRPr="0027719B">
        <w:t>Dudgeon, P</w:t>
      </w:r>
      <w:r w:rsidR="00DF3D8E" w:rsidRPr="0027719B">
        <w:t>.</w:t>
      </w:r>
      <w:r w:rsidRPr="0027719B">
        <w:t xml:space="preserve"> et al </w:t>
      </w:r>
      <w:r w:rsidR="00DF3D8E">
        <w:t>(</w:t>
      </w:r>
      <w:r w:rsidRPr="0027719B">
        <w:t>2016</w:t>
      </w:r>
      <w:r w:rsidR="00DF3D8E">
        <w:t>).</w:t>
      </w:r>
      <w:r w:rsidRPr="0027719B">
        <w:t xml:space="preserve"> Solutions </w:t>
      </w:r>
      <w:r w:rsidR="315184DD" w:rsidRPr="0027719B">
        <w:t>that</w:t>
      </w:r>
      <w:r w:rsidRPr="0027719B">
        <w:t xml:space="preserve"> work: What the evidence and our people tell us</w:t>
      </w:r>
      <w:r w:rsidR="00DF3D8E">
        <w:t>:</w:t>
      </w:r>
      <w:r w:rsidRPr="0027719B">
        <w:t xml:space="preserve"> Aboriginal and Torres Strait Islander Suicide Prevention Evaluation Project Report. School of Indigenous Studies</w:t>
      </w:r>
      <w:r w:rsidR="00DF3D8E">
        <w:t>,</w:t>
      </w:r>
      <w:r w:rsidRPr="0027719B">
        <w:t xml:space="preserve"> University of Western Australia </w:t>
      </w:r>
      <w:r w:rsidR="00DF3D8E">
        <w:t>Centre for Child Health Research.</w:t>
      </w:r>
      <w:bookmarkEnd w:id="62"/>
    </w:p>
  </w:footnote>
  <w:footnote w:id="31">
    <w:p w14:paraId="0596C6EA" w14:textId="77777777" w:rsidR="00A70900" w:rsidRDefault="00A70900" w:rsidP="00A70900">
      <w:pPr>
        <w:pStyle w:val="FootnoteText"/>
      </w:pPr>
      <w:r>
        <w:rPr>
          <w:rStyle w:val="FootnoteReference"/>
        </w:rPr>
        <w:footnoteRef/>
      </w:r>
      <w:r>
        <w:t xml:space="preserve"> </w:t>
      </w:r>
      <w:r w:rsidRPr="004660C7">
        <w:t>https://www.niaa.gov.au/sites/default/files/publications/mhsewb-framework_0.pdf</w:t>
      </w:r>
    </w:p>
  </w:footnote>
  <w:footnote w:id="32">
    <w:p w14:paraId="0459A380" w14:textId="1618CCDA" w:rsidR="00A70900" w:rsidRDefault="00A70900" w:rsidP="00A70900">
      <w:pPr>
        <w:pStyle w:val="FootnoteText"/>
      </w:pPr>
      <w:r>
        <w:rPr>
          <w:rStyle w:val="FootnoteReference"/>
        </w:rPr>
        <w:footnoteRef/>
      </w:r>
      <w:r>
        <w:t xml:space="preserve"> </w:t>
      </w:r>
      <w:r w:rsidRPr="0027719B">
        <w:t>Dudgeon, P</w:t>
      </w:r>
      <w:r w:rsidR="00DF3D8E" w:rsidRPr="0027719B">
        <w:t>.</w:t>
      </w:r>
      <w:r w:rsidRPr="0027719B">
        <w:t xml:space="preserve"> et al </w:t>
      </w:r>
      <w:r w:rsidR="00DF3D8E">
        <w:t>(</w:t>
      </w:r>
      <w:r w:rsidRPr="0027719B">
        <w:t>2016</w:t>
      </w:r>
      <w:r w:rsidR="00DF3D8E">
        <w:t>).</w:t>
      </w:r>
      <w:r w:rsidRPr="0027719B">
        <w:t xml:space="preserve"> </w:t>
      </w:r>
      <w:r w:rsidR="315184DD" w:rsidRPr="0027719B">
        <w:t>Solutions that</w:t>
      </w:r>
      <w:r w:rsidRPr="0027719B">
        <w:t xml:space="preserve"> work: What the evidence and our people tell us</w:t>
      </w:r>
      <w:r w:rsidR="00DF3D8E">
        <w:t>:</w:t>
      </w:r>
      <w:r w:rsidRPr="0027719B">
        <w:t xml:space="preserve"> Aboriginal and Torres Strait Islander Suicide Prevention Evaluation Project Report. School of Indigenous Studies</w:t>
      </w:r>
      <w:r w:rsidR="00DF3D8E">
        <w:t>,</w:t>
      </w:r>
      <w:r w:rsidRPr="0027719B">
        <w:t xml:space="preserve"> University of Western Australia </w:t>
      </w:r>
      <w:r w:rsidR="00DF3D8E">
        <w:t>Centre for Child Health Research.</w:t>
      </w:r>
    </w:p>
  </w:footnote>
  <w:footnote w:id="33">
    <w:p w14:paraId="7DE22A95" w14:textId="7BF9449B" w:rsidR="00A70900" w:rsidRPr="00283C5A" w:rsidRDefault="00A70900" w:rsidP="00A70900">
      <w:pPr>
        <w:spacing w:after="0" w:line="240" w:lineRule="auto"/>
        <w:rPr>
          <w:sz w:val="18"/>
          <w:szCs w:val="18"/>
        </w:rPr>
      </w:pPr>
      <w:r>
        <w:rPr>
          <w:rStyle w:val="FootnoteReference"/>
        </w:rPr>
        <w:footnoteRef/>
      </w:r>
      <w:r>
        <w:t xml:space="preserve"> </w:t>
      </w:r>
      <w:r w:rsidRPr="003235C6">
        <w:rPr>
          <w:sz w:val="18"/>
          <w:szCs w:val="18"/>
        </w:rPr>
        <w:t xml:space="preserve">Bourke, S., Wright, A., Guthrie, J., Russell, L., Dunbar, T. Lovett, R. (2018). </w:t>
      </w:r>
      <w:r w:rsidRPr="00D33AFC">
        <w:rPr>
          <w:sz w:val="18"/>
          <w:szCs w:val="18"/>
        </w:rPr>
        <w:t>Evidence review of Indigenous culture for health and wellbeing</w:t>
      </w:r>
      <w:r w:rsidRPr="003235C6">
        <w:rPr>
          <w:sz w:val="18"/>
          <w:szCs w:val="18"/>
        </w:rPr>
        <w:t xml:space="preserve">. The International Journal of Health, Wellness and Society.  8(4). </w:t>
      </w:r>
      <w:hyperlink r:id="rId25" w:history="1">
        <w:r w:rsidR="00D33AFC" w:rsidRPr="00295383">
          <w:rPr>
            <w:rStyle w:val="Hyperlink"/>
            <w:sz w:val="18"/>
            <w:szCs w:val="18"/>
          </w:rPr>
          <w:t>https://www.researchgate.net/profile/Sarah-Bourke-2/publication/327225093_Evidence_Review_of_Indigenous_Culture_for_Health_and_Wellbeing/links/5d28b5e6a6fdcc2462da0f85/Evidence-Review-of-Indigenous-Culture-for-Health-and-Wellbeing.pdf</w:t>
        </w:r>
      </w:hyperlink>
      <w:r w:rsidR="00D33AFC">
        <w:rPr>
          <w:sz w:val="18"/>
          <w:szCs w:val="18"/>
        </w:rPr>
        <w:t xml:space="preserve"> </w:t>
      </w:r>
    </w:p>
  </w:footnote>
  <w:footnote w:id="34">
    <w:p w14:paraId="68888219" w14:textId="14873B06" w:rsidR="00A70900" w:rsidRDefault="00A70900" w:rsidP="00A70900">
      <w:pPr>
        <w:pStyle w:val="FootnoteText"/>
      </w:pPr>
      <w:r>
        <w:rPr>
          <w:rStyle w:val="FootnoteReference"/>
        </w:rPr>
        <w:footnoteRef/>
      </w:r>
      <w:r>
        <w:t xml:space="preserve"> Salmon, M., Doery, K., Dance, P., Chapman, J., Gilbert, R., Williams, R. &amp; Lovett, R. </w:t>
      </w:r>
      <w:r w:rsidR="00D33AFC">
        <w:t>(</w:t>
      </w:r>
      <w:r>
        <w:t>2019</w:t>
      </w:r>
      <w:r w:rsidR="00D33AFC">
        <w:t>).</w:t>
      </w:r>
      <w:r>
        <w:t xml:space="preserve"> Defining the</w:t>
      </w:r>
    </w:p>
    <w:p w14:paraId="57F3EF8B" w14:textId="77777777" w:rsidR="00A70900" w:rsidRDefault="00A70900" w:rsidP="00A70900">
      <w:pPr>
        <w:pStyle w:val="FootnoteText"/>
      </w:pPr>
      <w:r>
        <w:t>Indefinable: Descriptors of Aboriginal and Torres Strait Islander Peoples’ Cultures and Their Links to Health and Wellbeing, Aboriginal and Torres Strait Islander Health Team, Research School of Population</w:t>
      </w:r>
    </w:p>
    <w:p w14:paraId="44398801" w14:textId="7A6E95AA" w:rsidR="00A70900" w:rsidRDefault="00A70900" w:rsidP="00A70900">
      <w:pPr>
        <w:pStyle w:val="FootnoteText"/>
      </w:pPr>
      <w:r>
        <w:t xml:space="preserve">Health, The Australian National University, Canberra. </w:t>
      </w:r>
      <w:hyperlink r:id="rId26" w:history="1">
        <w:r w:rsidR="000B5CCE" w:rsidRPr="00295383">
          <w:rPr>
            <w:rStyle w:val="Hyperlink"/>
          </w:rPr>
          <w:t>https://openresearch-repository.anu.edu.au/bitstream/1885/148406/8/Defining_the_Indefinable_WEB2_FINAL.pdf</w:t>
        </w:r>
      </w:hyperlink>
      <w:r w:rsidR="000B5CCE">
        <w:t xml:space="preserve"> </w:t>
      </w:r>
    </w:p>
  </w:footnote>
  <w:footnote w:id="35">
    <w:p w14:paraId="6E236667" w14:textId="47132D12" w:rsidR="00A70900" w:rsidRPr="002E19A5" w:rsidRDefault="00A70900" w:rsidP="00A70900">
      <w:pPr>
        <w:rPr>
          <w:sz w:val="18"/>
          <w:szCs w:val="18"/>
        </w:rPr>
      </w:pPr>
      <w:r>
        <w:rPr>
          <w:rStyle w:val="FootnoteReference"/>
        </w:rPr>
        <w:footnoteRef/>
      </w:r>
      <w:r>
        <w:t xml:space="preserve"> </w:t>
      </w:r>
      <w:r w:rsidR="00F34C5C" w:rsidRPr="00C626DC">
        <w:rPr>
          <w:sz w:val="18"/>
          <w:szCs w:val="20"/>
        </w:rPr>
        <w:t>Yulang Indigenous E</w:t>
      </w:r>
      <w:r w:rsidR="00CB2B63" w:rsidRPr="00C626DC">
        <w:rPr>
          <w:sz w:val="18"/>
          <w:szCs w:val="20"/>
        </w:rPr>
        <w:t xml:space="preserve">valuation </w:t>
      </w:r>
      <w:r w:rsidR="00684AA5" w:rsidRPr="00C626DC">
        <w:rPr>
          <w:sz w:val="18"/>
          <w:szCs w:val="20"/>
        </w:rPr>
        <w:t>(2023). Ngaa-b</w:t>
      </w:r>
      <w:r w:rsidR="00C626DC" w:rsidRPr="00C626DC">
        <w:rPr>
          <w:sz w:val="18"/>
          <w:szCs w:val="20"/>
        </w:rPr>
        <w:t>i-nya.</w:t>
      </w:r>
      <w:r w:rsidR="00C626DC">
        <w:t xml:space="preserve"> </w:t>
      </w:r>
      <w:hyperlink r:id="rId27" w:history="1">
        <w:r w:rsidR="00C626DC" w:rsidRPr="00295383">
          <w:rPr>
            <w:rStyle w:val="Hyperlink"/>
            <w:sz w:val="18"/>
            <w:szCs w:val="18"/>
          </w:rPr>
          <w:t>https://yulang.com.au/ngaa-bi-nya-evaluation-framework/</w:t>
        </w:r>
      </w:hyperlink>
      <w:r w:rsidR="00C626DC">
        <w:rPr>
          <w:sz w:val="18"/>
          <w:szCs w:val="18"/>
        </w:rPr>
        <w:t xml:space="preserve"> </w:t>
      </w:r>
    </w:p>
    <w:p w14:paraId="5F1C67AA" w14:textId="77777777" w:rsidR="00A70900" w:rsidRDefault="00A70900" w:rsidP="00A70900">
      <w:pPr>
        <w:pStyle w:val="FootnoteText"/>
      </w:pPr>
    </w:p>
  </w:footnote>
  <w:footnote w:id="36">
    <w:p w14:paraId="5FC1D479" w14:textId="3D7B4F6B" w:rsidR="00A70900" w:rsidRDefault="00A70900" w:rsidP="00A70900">
      <w:pPr>
        <w:pStyle w:val="FootnoteText"/>
      </w:pPr>
      <w:r>
        <w:rPr>
          <w:rStyle w:val="FootnoteReference"/>
        </w:rPr>
        <w:footnoteRef/>
      </w:r>
      <w:r>
        <w:t xml:space="preserve"> </w:t>
      </w:r>
      <w:r w:rsidR="007D1D5C">
        <w:t>World Health Organisation</w:t>
      </w:r>
      <w:r w:rsidRPr="00C261A5">
        <w:t xml:space="preserve"> (2022)</w:t>
      </w:r>
      <w:r w:rsidR="007D1D5C">
        <w:t>.</w:t>
      </w:r>
      <w:r w:rsidRPr="00C261A5">
        <w:t xml:space="preserve"> </w:t>
      </w:r>
      <w:r w:rsidRPr="00F10320">
        <w:t>Social determinants of health</w:t>
      </w:r>
      <w:r>
        <w:t xml:space="preserve">. </w:t>
      </w:r>
      <w:r w:rsidRPr="00C261A5">
        <w:t>Geneva</w:t>
      </w:r>
      <w:r w:rsidR="00F10320">
        <w:t xml:space="preserve">: WHO. </w:t>
      </w:r>
      <w:hyperlink r:id="rId28" w:history="1">
        <w:r w:rsidR="00F10320" w:rsidRPr="00295383">
          <w:rPr>
            <w:rStyle w:val="Hyperlink"/>
          </w:rPr>
          <w:t>https://apps.who.int/gb/ebwha/pdf_files/EB152/B152_22-en.pdf</w:t>
        </w:r>
      </w:hyperlink>
      <w:r w:rsidR="00F10320">
        <w:t xml:space="preserve"> </w:t>
      </w:r>
    </w:p>
  </w:footnote>
  <w:footnote w:id="37">
    <w:p w14:paraId="34EEF101" w14:textId="61E3F217" w:rsidR="00A70900" w:rsidRDefault="00A70900" w:rsidP="00A70900">
      <w:pPr>
        <w:pStyle w:val="FootnoteText"/>
      </w:pPr>
      <w:r>
        <w:rPr>
          <w:rStyle w:val="FootnoteReference"/>
        </w:rPr>
        <w:footnoteRef/>
      </w:r>
      <w:r>
        <w:t xml:space="preserve"> </w:t>
      </w:r>
      <w:r w:rsidRPr="002253F6">
        <w:t>Le et al. (2021)</w:t>
      </w:r>
      <w:r w:rsidR="00282D22">
        <w:t xml:space="preserve">. </w:t>
      </w:r>
      <w:r w:rsidRPr="002253F6">
        <w:t>Cost-effectiveness evidence of mental health prevention and promotion interventions: A systematic review of economic evaluations.</w:t>
      </w:r>
      <w:r w:rsidR="00101774">
        <w:t xml:space="preserve"> </w:t>
      </w:r>
      <w:r w:rsidR="00101774" w:rsidRPr="00101774">
        <w:t xml:space="preserve">PLoS Med. 2021 May 11;18(5):e1003606. </w:t>
      </w:r>
      <w:hyperlink r:id="rId29" w:history="1">
        <w:r w:rsidR="00F73951" w:rsidRPr="00295383">
          <w:rPr>
            <w:rStyle w:val="Hyperlink"/>
          </w:rPr>
          <w:t>https://doi.org/10.1371/journal.pmed.1003606</w:t>
        </w:r>
      </w:hyperlink>
      <w:r w:rsidR="00F73951">
        <w:t xml:space="preserve"> </w:t>
      </w:r>
    </w:p>
  </w:footnote>
  <w:footnote w:id="38">
    <w:p w14:paraId="18F7F066" w14:textId="7188FC82" w:rsidR="002C3E34" w:rsidRPr="00AF37D4" w:rsidRDefault="002C3E34" w:rsidP="002C3E34">
      <w:pPr>
        <w:pStyle w:val="Notes"/>
        <w:rPr>
          <w:rFonts w:ascii="Times New Roman" w:hAnsi="Times New Roman"/>
          <w:szCs w:val="24"/>
          <w:lang w:eastAsia="en-AU"/>
        </w:rPr>
      </w:pPr>
      <w:r>
        <w:rPr>
          <w:rStyle w:val="FootnoteReference"/>
        </w:rPr>
        <w:footnoteRef/>
      </w:r>
      <w:r>
        <w:t xml:space="preserve"> </w:t>
      </w:r>
      <w:r w:rsidRPr="00A47443">
        <w:t xml:space="preserve">Johnson, </w:t>
      </w:r>
      <w:r w:rsidR="00F11C24" w:rsidRPr="00A47443">
        <w:t>S</w:t>
      </w:r>
      <w:r w:rsidR="00F11C24">
        <w:t>.,</w:t>
      </w:r>
      <w:r w:rsidRPr="00A47443">
        <w:t xml:space="preserve"> Tilley, </w:t>
      </w:r>
      <w:r w:rsidR="00F11C24" w:rsidRPr="00A47443">
        <w:t>N</w:t>
      </w:r>
      <w:r w:rsidR="00F11C24">
        <w:t>.</w:t>
      </w:r>
      <w:r w:rsidRPr="00A47443">
        <w:t xml:space="preserve"> &amp; Bowers, </w:t>
      </w:r>
      <w:r w:rsidR="00F11C24" w:rsidRPr="00A47443">
        <w:t>K.</w:t>
      </w:r>
      <w:r w:rsidRPr="00A47443">
        <w:t xml:space="preserve"> (2015). </w:t>
      </w:r>
      <w:r w:rsidRPr="00F73951">
        <w:t>Introducing EMMIE: An evidence rating scale to encourage mixed-method crime prevention synthesis reviews</w:t>
      </w:r>
      <w:r w:rsidRPr="00A47443">
        <w:t>. Journal of Experimental Criminology. 11</w:t>
      </w:r>
      <w:r w:rsidR="006F74C0" w:rsidRPr="006F74C0">
        <w:t xml:space="preserve"> 459–473</w:t>
      </w:r>
      <w:r w:rsidRPr="00A47443">
        <w:t xml:space="preserve">. </w:t>
      </w:r>
      <w:hyperlink r:id="rId30" w:history="1">
        <w:r w:rsidR="000502EB" w:rsidRPr="00295383">
          <w:rPr>
            <w:rStyle w:val="Hyperlink"/>
          </w:rPr>
          <w:t>https://doi.org/10.1007/s11292-015-9238-7</w:t>
        </w:r>
      </w:hyperlink>
      <w:r w:rsidR="000502EB">
        <w:t xml:space="preserve"> </w:t>
      </w:r>
    </w:p>
  </w:footnote>
  <w:footnote w:id="39">
    <w:p w14:paraId="390C7437" w14:textId="10F3B49E" w:rsidR="005D3B12" w:rsidRPr="00275E33" w:rsidRDefault="005D3B12" w:rsidP="005D3B12">
      <w:pPr>
        <w:pStyle w:val="FootnoteText"/>
        <w:rPr>
          <w:lang w:val="en-US"/>
        </w:rPr>
      </w:pPr>
      <w:r>
        <w:rPr>
          <w:rStyle w:val="FootnoteReference"/>
        </w:rPr>
        <w:footnoteRef/>
      </w:r>
      <w:r>
        <w:t xml:space="preserve"> </w:t>
      </w:r>
      <w:r w:rsidRPr="00275E33">
        <w:t>Shand</w:t>
      </w:r>
      <w:r w:rsidR="00E77E87">
        <w:t>,</w:t>
      </w:r>
      <w:r w:rsidRPr="00275E33">
        <w:t xml:space="preserve"> F</w:t>
      </w:r>
      <w:r w:rsidR="00E77E87">
        <w:t>.</w:t>
      </w:r>
      <w:r w:rsidRPr="00275E33">
        <w:t>, Woodward</w:t>
      </w:r>
      <w:r w:rsidR="00E77E87">
        <w:t>,</w:t>
      </w:r>
      <w:r w:rsidRPr="00275E33">
        <w:t xml:space="preserve"> A</w:t>
      </w:r>
      <w:r w:rsidR="00E77E87">
        <w:t>.</w:t>
      </w:r>
      <w:r w:rsidRPr="00275E33">
        <w:t>, McGill</w:t>
      </w:r>
      <w:r w:rsidR="00E77E87">
        <w:t>,</w:t>
      </w:r>
      <w:r w:rsidRPr="00275E33">
        <w:t xml:space="preserve"> K</w:t>
      </w:r>
      <w:r w:rsidR="00E77E87">
        <w:t>.</w:t>
      </w:r>
      <w:r w:rsidRPr="00275E33">
        <w:t>, Larsen</w:t>
      </w:r>
      <w:r w:rsidR="00E77E87">
        <w:t>,</w:t>
      </w:r>
      <w:r w:rsidRPr="00275E33">
        <w:t xml:space="preserve"> M</w:t>
      </w:r>
      <w:r w:rsidR="00E77E87">
        <w:t>.</w:t>
      </w:r>
      <w:r w:rsidRPr="00275E33">
        <w:t>, Torok</w:t>
      </w:r>
      <w:r w:rsidR="00E77E87">
        <w:t>,</w:t>
      </w:r>
      <w:r w:rsidRPr="00275E33">
        <w:t xml:space="preserve"> M</w:t>
      </w:r>
      <w:r w:rsidR="00E77E87">
        <w:t>.</w:t>
      </w:r>
      <w:r w:rsidRPr="00275E33">
        <w:t xml:space="preserve"> et al.</w:t>
      </w:r>
      <w:r w:rsidR="003C0041">
        <w:t xml:space="preserve"> (</w:t>
      </w:r>
      <w:r w:rsidR="00AF580B">
        <w:t>2019).</w:t>
      </w:r>
      <w:r w:rsidRPr="00275E33">
        <w:t xml:space="preserve"> Suicide aftercare services: an Evidence Check rapid review brokered by the Sax Institute (www.saxinstitute.org.au) for the NSW Ministry of Health</w:t>
      </w:r>
      <w:r w:rsidR="00AF580B">
        <w:t xml:space="preserve">. </w:t>
      </w:r>
      <w:hyperlink r:id="rId31" w:history="1">
        <w:r w:rsidR="00F17E50" w:rsidRPr="00295383">
          <w:rPr>
            <w:rStyle w:val="Hyperlink"/>
          </w:rPr>
          <w:t>https://www.saxinstitute.org.au/wp-content/uploads/2019_Suicide-Aftercare-Services-Report.pdf</w:t>
        </w:r>
      </w:hyperlink>
      <w:r w:rsidR="00F17E50">
        <w:t xml:space="preserve"> </w:t>
      </w:r>
    </w:p>
  </w:footnote>
  <w:footnote w:id="40">
    <w:p w14:paraId="2DD32B1D" w14:textId="43FD8019" w:rsidR="005D3B12" w:rsidRDefault="005D3B12" w:rsidP="005D3B12">
      <w:pPr>
        <w:pStyle w:val="FootnoteText"/>
      </w:pPr>
      <w:r>
        <w:rPr>
          <w:rStyle w:val="FootnoteReference"/>
        </w:rPr>
        <w:footnoteRef/>
      </w:r>
      <w:r>
        <w:t xml:space="preserve"> Blue Knot Foundation</w:t>
      </w:r>
      <w:r w:rsidR="00E72964">
        <w:t xml:space="preserve"> (n.d.</w:t>
      </w:r>
      <w:r w:rsidR="00E115A8">
        <w:t>).</w:t>
      </w:r>
      <w:r>
        <w:t xml:space="preserve"> Talking About Trauma - Guide to Everyday Conversations for the General Public. </w:t>
      </w:r>
      <w:hyperlink r:id="rId32" w:history="1">
        <w:r w:rsidRPr="000D2C82">
          <w:rPr>
            <w:rStyle w:val="Hyperlink"/>
          </w:rPr>
          <w:t>https://blueknot.org.au/product/talking-about-trauma-guide-to-everyday-conversations-for-the-g</w:t>
        </w:r>
        <w:bookmarkStart w:id="68" w:name="_Hlt149913294"/>
        <w:bookmarkStart w:id="69" w:name="_Hlt149913295"/>
        <w:r w:rsidRPr="000D2C82">
          <w:rPr>
            <w:rStyle w:val="Hyperlink"/>
          </w:rPr>
          <w:t>e</w:t>
        </w:r>
        <w:bookmarkEnd w:id="68"/>
        <w:bookmarkEnd w:id="69"/>
        <w:r w:rsidRPr="000D2C82">
          <w:rPr>
            <w:rStyle w:val="Hyperlink"/>
          </w:rPr>
          <w:t>neral-public-digital-download/</w:t>
        </w:r>
      </w:hyperlink>
      <w:r>
        <w:t xml:space="preserve"> </w:t>
      </w:r>
    </w:p>
  </w:footnote>
  <w:footnote w:id="41">
    <w:p w14:paraId="1929B5CE" w14:textId="356006B3" w:rsidR="005D3B12" w:rsidRDefault="005D3B12" w:rsidP="005D3B12">
      <w:pPr>
        <w:pStyle w:val="FootnoteText"/>
      </w:pPr>
      <w:r>
        <w:rPr>
          <w:rStyle w:val="FootnoteReference"/>
        </w:rPr>
        <w:footnoteRef/>
      </w:r>
      <w:r>
        <w:t xml:space="preserve"> </w:t>
      </w:r>
      <w:r w:rsidR="00DB6013">
        <w:t xml:space="preserve">The National Health and Medical Research Council, Australian Research Council and Universities Australia (2023). National Statement on Ethical Conduct in Human Research. Canberra: National Health and Medical Research Council. </w:t>
      </w:r>
      <w:hyperlink r:id="rId33" w:history="1">
        <w:r w:rsidR="00DB6013" w:rsidRPr="00295383">
          <w:rPr>
            <w:rStyle w:val="Hyperlink"/>
          </w:rPr>
          <w:t>https://www.nhmrc.gov.au/about-us/publications/national-statement-ethical-conduct-human-research-2023</w:t>
        </w:r>
      </w:hyperlink>
    </w:p>
  </w:footnote>
  <w:footnote w:id="42">
    <w:p w14:paraId="0159B5B6" w14:textId="576E1FEE" w:rsidR="00157B9F" w:rsidRPr="00252EBB" w:rsidRDefault="00157B9F" w:rsidP="00157B9F">
      <w:pPr>
        <w:pStyle w:val="FootnoteText"/>
        <w:rPr>
          <w:lang w:val="en-US"/>
        </w:rPr>
      </w:pPr>
      <w:r>
        <w:rPr>
          <w:rStyle w:val="FootnoteReference"/>
        </w:rPr>
        <w:footnoteRef/>
      </w:r>
      <w:r>
        <w:t xml:space="preserve"> </w:t>
      </w:r>
      <w:r>
        <w:rPr>
          <w:lang w:val="en-US"/>
        </w:rPr>
        <w:t xml:space="preserve">National Health and Medical Research Council (2014). </w:t>
      </w:r>
      <w:r>
        <w:t>Ethical considerations in quality assurance and evaluation activities.</w:t>
      </w:r>
      <w:r w:rsidR="006A0376">
        <w:t xml:space="preserve"> </w:t>
      </w:r>
      <w:hyperlink r:id="rId34" w:anchor="block-views-block-file-attachments-content-block-1" w:history="1">
        <w:r w:rsidR="006A0376" w:rsidRPr="00295383">
          <w:rPr>
            <w:rStyle w:val="Hyperlink"/>
          </w:rPr>
          <w:t>https://www.nhmrc.gov.au/about-us/resources/ethical-considerations-quality-assurance-and-evaluation-activities#block-views-block-file-attachments-content-block-1</w:t>
        </w:r>
      </w:hyperlink>
      <w:r w:rsidR="006A0376">
        <w:t xml:space="preserve"> </w:t>
      </w:r>
    </w:p>
  </w:footnote>
  <w:footnote w:id="43">
    <w:p w14:paraId="699CC41B" w14:textId="0345DD03" w:rsidR="00157B9F" w:rsidRPr="00252EBB" w:rsidRDefault="00157B9F" w:rsidP="00157B9F">
      <w:pPr>
        <w:pStyle w:val="FootnoteText"/>
        <w:rPr>
          <w:lang w:val="en-US"/>
        </w:rPr>
      </w:pPr>
      <w:r>
        <w:rPr>
          <w:rStyle w:val="FootnoteReference"/>
        </w:rPr>
        <w:footnoteRef/>
      </w:r>
      <w:r>
        <w:t xml:space="preserve"> </w:t>
      </w:r>
      <w:r>
        <w:rPr>
          <w:lang w:val="en-US"/>
        </w:rPr>
        <w:t>A</w:t>
      </w:r>
      <w:r w:rsidR="00670EE5">
        <w:rPr>
          <w:lang w:val="en-US"/>
        </w:rPr>
        <w:t xml:space="preserve">boriginal Health and Medical </w:t>
      </w:r>
      <w:r>
        <w:rPr>
          <w:lang w:val="en-US"/>
        </w:rPr>
        <w:t>&amp;</w:t>
      </w:r>
      <w:r w:rsidR="00670EE5">
        <w:rPr>
          <w:lang w:val="en-US"/>
        </w:rPr>
        <w:t xml:space="preserve"> </w:t>
      </w:r>
      <w:r>
        <w:rPr>
          <w:lang w:val="en-US"/>
        </w:rPr>
        <w:t>M</w:t>
      </w:r>
      <w:r w:rsidR="00670EE5">
        <w:rPr>
          <w:lang w:val="en-US"/>
        </w:rPr>
        <w:t xml:space="preserve">edical </w:t>
      </w:r>
      <w:r>
        <w:rPr>
          <w:lang w:val="en-US"/>
        </w:rPr>
        <w:t>R</w:t>
      </w:r>
      <w:r w:rsidR="00670EE5">
        <w:rPr>
          <w:lang w:val="en-US"/>
        </w:rPr>
        <w:t xml:space="preserve">esearch </w:t>
      </w:r>
      <w:r>
        <w:rPr>
          <w:lang w:val="en-US"/>
        </w:rPr>
        <w:t>C</w:t>
      </w:r>
      <w:r w:rsidR="00670EE5">
        <w:rPr>
          <w:lang w:val="en-US"/>
        </w:rPr>
        <w:t>ouncil</w:t>
      </w:r>
      <w:r>
        <w:rPr>
          <w:lang w:val="en-US"/>
        </w:rPr>
        <w:t xml:space="preserve"> Ethics Unit (2023). NSW Aboriginal Health Ethics Guidelines: Key Principles. </w:t>
      </w:r>
      <w:hyperlink r:id="rId35" w:history="1">
        <w:r w:rsidR="00562268" w:rsidRPr="00295383">
          <w:rPr>
            <w:rStyle w:val="Hyperlink"/>
            <w:lang w:val="en-US"/>
          </w:rPr>
          <w:t>https://www.ahmrc.org.au/wp-content/uploads/2021/02/AHMRC_Health-Ethics-guidelines-2023_01.pdf</w:t>
        </w:r>
      </w:hyperlink>
      <w:r w:rsidR="00562268">
        <w:rPr>
          <w:lang w:val="en-US"/>
        </w:rPr>
        <w:t xml:space="preserve"> </w:t>
      </w:r>
    </w:p>
  </w:footnote>
  <w:footnote w:id="44">
    <w:p w14:paraId="3E1C3A78" w14:textId="5AB4681D" w:rsidR="00157B9F" w:rsidRDefault="00157B9F" w:rsidP="00157B9F">
      <w:pPr>
        <w:pStyle w:val="FootnoteText"/>
      </w:pPr>
      <w:r>
        <w:rPr>
          <w:rStyle w:val="FootnoteReference"/>
        </w:rPr>
        <w:footnoteRef/>
      </w:r>
      <w:r w:rsidR="003C4D44" w:rsidRPr="000F1934">
        <w:t>Australian Institute of Aboriginal and Torres Strait Islander Studies</w:t>
      </w:r>
      <w:r w:rsidR="0077517F">
        <w:t xml:space="preserve"> </w:t>
      </w:r>
      <w:r w:rsidR="00086C05">
        <w:t>(2023). Ethical research.</w:t>
      </w:r>
      <w:r>
        <w:t xml:space="preserve"> </w:t>
      </w:r>
      <w:hyperlink r:id="rId36" w:history="1">
        <w:r w:rsidR="009A3F4E" w:rsidRPr="00295383">
          <w:rPr>
            <w:rStyle w:val="Hyperlink"/>
          </w:rPr>
          <w:t>https://aiatsis.gov.au/research/ethical-research</w:t>
        </w:r>
      </w:hyperlink>
      <w:r w:rsidR="009A3F4E">
        <w:t xml:space="preserve"> </w:t>
      </w:r>
    </w:p>
  </w:footnote>
  <w:footnote w:id="45">
    <w:p w14:paraId="5BFBD9CB" w14:textId="0AF609FC" w:rsidR="00157B9F" w:rsidRPr="00943192" w:rsidRDefault="00157B9F" w:rsidP="00157B9F">
      <w:pPr>
        <w:pStyle w:val="FootnoteText"/>
        <w:rPr>
          <w:lang w:val="en-US"/>
        </w:rPr>
      </w:pPr>
      <w:r>
        <w:rPr>
          <w:rStyle w:val="FootnoteReference"/>
        </w:rPr>
        <w:footnoteRef/>
      </w:r>
      <w:r>
        <w:t xml:space="preserve"> </w:t>
      </w:r>
      <w:r w:rsidR="00DA02FF">
        <w:t xml:space="preserve">The National Health and Medical Research Council, Australian Research Council and Universities Australia (2023). National Statement on Ethical Conduct in Human Research. Canberra: National Health and Medical Research Council. </w:t>
      </w:r>
      <w:hyperlink r:id="rId37" w:history="1">
        <w:r w:rsidR="00DA02FF" w:rsidRPr="00295383">
          <w:rPr>
            <w:rStyle w:val="Hyperlink"/>
          </w:rPr>
          <w:t>https://www.nhmrc.gov.au/about-us/publications/national-statement-ethical-conduct-human-research-2023</w:t>
        </w:r>
      </w:hyperlink>
    </w:p>
  </w:footnote>
  <w:footnote w:id="46">
    <w:p w14:paraId="67DF3688" w14:textId="77777777" w:rsidR="00157B9F" w:rsidRPr="003C4D44" w:rsidRDefault="00157B9F" w:rsidP="00157B9F">
      <w:pPr>
        <w:pStyle w:val="FootnoteText"/>
      </w:pPr>
      <w:r>
        <w:rPr>
          <w:rStyle w:val="FootnoteReference"/>
        </w:rPr>
        <w:footnoteRef/>
      </w:r>
      <w:r>
        <w:t xml:space="preserve"> </w:t>
      </w:r>
      <w:r w:rsidRPr="000F1934">
        <w:t xml:space="preserve">Australian Institute of Aboriginal and Torres Strait Islander Studies </w:t>
      </w:r>
      <w:r>
        <w:t xml:space="preserve">(2020). </w:t>
      </w:r>
      <w:r w:rsidRPr="003C4D44">
        <w:t xml:space="preserve">AIATSIS Code of Ethics </w:t>
      </w:r>
    </w:p>
    <w:p w14:paraId="793BEDEC" w14:textId="1B9E8236" w:rsidR="00157B9F" w:rsidRPr="003B0124" w:rsidRDefault="00157B9F" w:rsidP="00157B9F">
      <w:pPr>
        <w:pStyle w:val="FootnoteText"/>
        <w:rPr>
          <w:lang w:val="en-US"/>
        </w:rPr>
      </w:pPr>
      <w:r w:rsidRPr="003C4D44">
        <w:t>for Aboriginal and Torres Strait Islander Research</w:t>
      </w:r>
      <w:r>
        <w:t xml:space="preserve">. </w:t>
      </w:r>
      <w:hyperlink r:id="rId38" w:history="1">
        <w:r w:rsidR="003C4D44" w:rsidRPr="00295383">
          <w:rPr>
            <w:rStyle w:val="Hyperlink"/>
          </w:rPr>
          <w:t>https://aiatsis.gov.au/sites/default/files/2022-02/aiatsis-code-ethics-jan22.pdf</w:t>
        </w:r>
      </w:hyperlink>
      <w:r w:rsidR="003C4D44">
        <w:t xml:space="preserve"> </w:t>
      </w:r>
    </w:p>
  </w:footnote>
  <w:footnote w:id="47">
    <w:p w14:paraId="0B2373DE" w14:textId="48B2FBF4" w:rsidR="00157B9F" w:rsidRDefault="00157B9F" w:rsidP="00157B9F">
      <w:pPr>
        <w:pStyle w:val="Notes"/>
      </w:pPr>
      <w:r>
        <w:rPr>
          <w:rStyle w:val="FootnoteReference"/>
        </w:rPr>
        <w:footnoteRef/>
      </w:r>
      <w:r>
        <w:t xml:space="preserve"> Commonwealth of Australia, </w:t>
      </w:r>
      <w:r>
        <w:rPr>
          <w:lang w:val="en-US"/>
        </w:rPr>
        <w:t>Department of the Prime Minister and Cabinet</w:t>
      </w:r>
      <w:r w:rsidR="006666CC" w:rsidRPr="006666CC">
        <w:rPr>
          <w:lang w:val="en-US"/>
        </w:rPr>
        <w:t xml:space="preserve"> (</w:t>
      </w:r>
      <w:r>
        <w:rPr>
          <w:lang w:val="en-US"/>
        </w:rPr>
        <w:t>2018</w:t>
      </w:r>
      <w:r w:rsidR="006666CC" w:rsidRPr="006666CC">
        <w:rPr>
          <w:lang w:val="en-US"/>
        </w:rPr>
        <w:t>)</w:t>
      </w:r>
      <w:r w:rsidRPr="006666CC">
        <w:rPr>
          <w:lang w:val="en-US"/>
        </w:rPr>
        <w:t>.</w:t>
      </w:r>
      <w:r>
        <w:rPr>
          <w:lang w:val="en-US"/>
        </w:rPr>
        <w:t xml:space="preserve"> </w:t>
      </w:r>
      <w:r w:rsidRPr="006666CC">
        <w:rPr>
          <w:lang w:val="en-US"/>
        </w:rPr>
        <w:t>Indigenous Advancement Strategy Evaluation Framework</w:t>
      </w:r>
      <w:r>
        <w:rPr>
          <w:lang w:val="en-US"/>
        </w:rPr>
        <w:t xml:space="preserve">. </w:t>
      </w:r>
      <w:hyperlink r:id="rId39" w:history="1">
        <w:r w:rsidRPr="00571313">
          <w:rPr>
            <w:rStyle w:val="Hyperlink"/>
            <w:lang w:val="en-US"/>
          </w:rPr>
          <w:t>https://pmc.gov.au/sites/default/files/publications/ias-evaluation-framework.pdf</w:t>
        </w:r>
      </w:hyperlink>
      <w:r>
        <w:rPr>
          <w:lang w:val="en-US"/>
        </w:rPr>
        <w:t xml:space="preserve"> </w:t>
      </w:r>
    </w:p>
  </w:footnote>
  <w:footnote w:id="48">
    <w:p w14:paraId="6A20CC4F" w14:textId="39E684A2" w:rsidR="00157B9F" w:rsidRDefault="00157B9F" w:rsidP="00157B9F">
      <w:pPr>
        <w:pStyle w:val="FootnoteText"/>
      </w:pPr>
      <w:r>
        <w:rPr>
          <w:rStyle w:val="FootnoteReference"/>
        </w:rPr>
        <w:footnoteRef/>
      </w:r>
      <w:r>
        <w:t xml:space="preserve"> </w:t>
      </w:r>
      <w:r w:rsidRPr="00A71DDE">
        <w:rPr>
          <w:rFonts w:asciiTheme="majorHAnsi" w:hAnsiTheme="majorHAnsi" w:cstheme="majorHAnsi"/>
          <w:color w:val="000000"/>
          <w:shd w:val="clear" w:color="auto" w:fill="FFFFFF"/>
        </w:rPr>
        <w:t>National Health and Medical Research Council (2018). </w:t>
      </w:r>
      <w:r w:rsidRPr="00A71DDE">
        <w:rPr>
          <w:rFonts w:asciiTheme="majorHAnsi" w:hAnsiTheme="majorHAnsi" w:cstheme="majorHAnsi"/>
          <w:i/>
          <w:iCs/>
          <w:color w:val="000000"/>
          <w:shd w:val="clear" w:color="auto" w:fill="FFFFFF"/>
        </w:rPr>
        <w:t>Ethical conduct in research with Aboriginal and Torres Strait Islander Peoples and communities: Guidelines for researchers and stakeholders.</w:t>
      </w:r>
      <w:r w:rsidRPr="00A71DDE">
        <w:rPr>
          <w:rFonts w:asciiTheme="majorHAnsi" w:hAnsiTheme="majorHAnsi" w:cstheme="majorHAnsi"/>
          <w:color w:val="000000"/>
          <w:shd w:val="clear" w:color="auto" w:fill="FFFFFF"/>
        </w:rPr>
        <w:t xml:space="preserve"> Canberra: Commonwealth of Australia, p. 13. </w:t>
      </w:r>
      <w:hyperlink r:id="rId40" w:history="1">
        <w:r w:rsidR="00274657" w:rsidRPr="00295383">
          <w:rPr>
            <w:rStyle w:val="Hyperlink"/>
            <w:rFonts w:asciiTheme="majorHAnsi" w:hAnsiTheme="majorHAnsi" w:cstheme="majorHAnsi"/>
            <w:shd w:val="clear" w:color="auto" w:fill="FFFFFF"/>
          </w:rPr>
          <w:t>https://www.nhmrc.gov.au/about-us/resources/ethical-conduct-research-aboriginal-and-torres-strait-islander-peoples-and-communities</w:t>
        </w:r>
      </w:hyperlink>
      <w:r w:rsidRPr="00A71DDE">
        <w:rPr>
          <w:rFonts w:asciiTheme="majorHAnsi" w:hAnsiTheme="majorHAnsi" w:cstheme="majorHAnsi"/>
          <w:color w:val="000000"/>
          <w:shd w:val="clear" w:color="auto" w:fill="FFFFFF"/>
        </w:rPr>
        <w:t>.</w:t>
      </w:r>
      <w:r w:rsidR="00274657">
        <w:rPr>
          <w:rFonts w:asciiTheme="majorHAnsi" w:hAnsiTheme="majorHAnsi" w:cstheme="majorHAnsi"/>
          <w:color w:val="000000"/>
          <w:shd w:val="clear" w:color="auto" w:fill="FFFFFF"/>
        </w:rPr>
        <w:t xml:space="preserve"> </w:t>
      </w:r>
    </w:p>
  </w:footnote>
  <w:footnote w:id="49">
    <w:p w14:paraId="074AE98A" w14:textId="59B79E4D" w:rsidR="00157B9F" w:rsidRPr="00327A2C" w:rsidRDefault="00157B9F" w:rsidP="00157B9F">
      <w:pPr>
        <w:pStyle w:val="FootnoteText"/>
        <w:rPr>
          <w:rStyle w:val="Hyperlink"/>
        </w:rPr>
      </w:pPr>
      <w:r>
        <w:rPr>
          <w:rStyle w:val="FootnoteReference"/>
        </w:rPr>
        <w:footnoteRef/>
      </w:r>
      <w:r>
        <w:t xml:space="preserve"> </w:t>
      </w:r>
      <w:r w:rsidRPr="00936F9C">
        <w:rPr>
          <w:rFonts w:ascii="Segoe UI" w:hAnsi="Segoe UI" w:cs="Segoe UI"/>
          <w:szCs w:val="18"/>
        </w:rPr>
        <w:t>Maiam nayri Wingara. (2018). Indigenous Data Sovereignty</w:t>
      </w:r>
      <w:r w:rsidR="00592D66">
        <w:rPr>
          <w:rFonts w:ascii="Segoe UI" w:hAnsi="Segoe UI" w:cs="Segoe UI"/>
          <w:szCs w:val="18"/>
        </w:rPr>
        <w:t>.</w:t>
      </w:r>
      <w:r w:rsidRPr="00936F9C">
        <w:rPr>
          <w:rFonts w:ascii="Segoe UI" w:hAnsi="Segoe UI" w:cs="Segoe UI"/>
          <w:szCs w:val="18"/>
        </w:rPr>
        <w:t xml:space="preserve"> Communique</w:t>
      </w:r>
      <w:r w:rsidR="00B01021">
        <w:rPr>
          <w:rFonts w:ascii="Segoe UI" w:hAnsi="Segoe UI" w:cs="Segoe UI"/>
          <w:szCs w:val="18"/>
        </w:rPr>
        <w:t>.</w:t>
      </w:r>
      <w:r w:rsidRPr="00936F9C">
        <w:rPr>
          <w:rFonts w:ascii="Segoe UI" w:hAnsi="Segoe UI" w:cs="Segoe UI"/>
          <w:szCs w:val="18"/>
        </w:rPr>
        <w:t xml:space="preserve"> Indigenous Data Sovereignty Summit</w:t>
      </w:r>
      <w:r w:rsidR="00B01021">
        <w:rPr>
          <w:rFonts w:ascii="Segoe UI" w:hAnsi="Segoe UI" w:cs="Segoe UI"/>
          <w:szCs w:val="18"/>
        </w:rPr>
        <w:t>,</w:t>
      </w:r>
      <w:r w:rsidRPr="00936F9C">
        <w:rPr>
          <w:rFonts w:ascii="Segoe UI" w:hAnsi="Segoe UI" w:cs="Segoe UI"/>
          <w:szCs w:val="18"/>
        </w:rPr>
        <w:t xml:space="preserve"> 20th June 2018, Canberra, ACT</w:t>
      </w:r>
      <w:r w:rsidR="00B01021">
        <w:rPr>
          <w:rFonts w:ascii="Segoe UI" w:hAnsi="Segoe UI" w:cs="Segoe UI"/>
          <w:szCs w:val="18"/>
        </w:rPr>
        <w:t>.</w:t>
      </w:r>
      <w:r w:rsidR="007003F5">
        <w:rPr>
          <w:rStyle w:val="cf01"/>
          <w:color w:val="0000FF"/>
          <w:u w:val="single"/>
        </w:rPr>
        <w:t xml:space="preserve"> </w:t>
      </w:r>
      <w:r w:rsidR="007003F5" w:rsidRPr="00327A2C">
        <w:rPr>
          <w:rStyle w:val="Hyperlink"/>
        </w:rPr>
        <w:t>https://static1.squarespace.com/static/5b3043afb40b9d20411f3512/t/63ed934fe861fa061ebb9202/1676514134724/Communique-Indigenous-Data-Sovereignty-Summit.pdf</w:t>
      </w:r>
    </w:p>
  </w:footnote>
  <w:footnote w:id="50">
    <w:p w14:paraId="1C236468" w14:textId="79C79489" w:rsidR="00157B9F" w:rsidRPr="004C282A" w:rsidRDefault="00157B9F" w:rsidP="00157B9F">
      <w:pPr>
        <w:pStyle w:val="FootnoteText"/>
        <w:rPr>
          <w:lang w:val="en-US"/>
        </w:rPr>
      </w:pPr>
      <w:r>
        <w:rPr>
          <w:rStyle w:val="FootnoteReference"/>
        </w:rPr>
        <w:footnoteRef/>
      </w:r>
      <w:r w:rsidR="004C282A">
        <w:t xml:space="preserve"> </w:t>
      </w:r>
      <w:r w:rsidR="004C282A" w:rsidRPr="00936F9C">
        <w:rPr>
          <w:rFonts w:ascii="Segoe UI" w:hAnsi="Segoe UI" w:cs="Segoe UI"/>
          <w:szCs w:val="18"/>
        </w:rPr>
        <w:t>Maiam nayri Wingara. (2018). Indigenous Data Sovereignty</w:t>
      </w:r>
      <w:r w:rsidR="004C282A">
        <w:rPr>
          <w:rFonts w:ascii="Segoe UI" w:hAnsi="Segoe UI" w:cs="Segoe UI"/>
          <w:szCs w:val="18"/>
        </w:rPr>
        <w:t>.</w:t>
      </w:r>
      <w:r w:rsidR="004C282A" w:rsidRPr="00936F9C">
        <w:rPr>
          <w:rFonts w:ascii="Segoe UI" w:hAnsi="Segoe UI" w:cs="Segoe UI"/>
          <w:szCs w:val="18"/>
        </w:rPr>
        <w:t xml:space="preserve"> Communique</w:t>
      </w:r>
      <w:r w:rsidR="004C282A">
        <w:rPr>
          <w:rFonts w:ascii="Segoe UI" w:hAnsi="Segoe UI" w:cs="Segoe UI"/>
          <w:szCs w:val="18"/>
        </w:rPr>
        <w:t>.</w:t>
      </w:r>
      <w:r w:rsidR="004C282A" w:rsidRPr="00936F9C">
        <w:rPr>
          <w:rFonts w:ascii="Segoe UI" w:hAnsi="Segoe UI" w:cs="Segoe UI"/>
          <w:szCs w:val="18"/>
        </w:rPr>
        <w:t xml:space="preserve"> Indigenous Data Sovereignty Summit</w:t>
      </w:r>
      <w:r w:rsidR="004C282A">
        <w:rPr>
          <w:rFonts w:ascii="Segoe UI" w:hAnsi="Segoe UI" w:cs="Segoe UI"/>
          <w:szCs w:val="18"/>
        </w:rPr>
        <w:t xml:space="preserve">, </w:t>
      </w:r>
      <w:r w:rsidR="004C282A" w:rsidRPr="00936F9C">
        <w:rPr>
          <w:rFonts w:ascii="Segoe UI" w:hAnsi="Segoe UI" w:cs="Segoe UI"/>
          <w:szCs w:val="18"/>
        </w:rPr>
        <w:t>20th June 2018, Canberra, ACT</w:t>
      </w:r>
      <w:r w:rsidR="004C282A">
        <w:rPr>
          <w:rFonts w:ascii="Segoe UI" w:hAnsi="Segoe UI" w:cs="Segoe UI"/>
          <w:szCs w:val="18"/>
        </w:rPr>
        <w:t>.</w:t>
      </w:r>
      <w:r w:rsidR="004C282A">
        <w:rPr>
          <w:rStyle w:val="cf01"/>
          <w:color w:val="0000FF"/>
          <w:u w:val="single"/>
        </w:rPr>
        <w:t xml:space="preserve"> </w:t>
      </w:r>
      <w:r w:rsidR="004C282A" w:rsidRPr="00327A2C">
        <w:rPr>
          <w:rStyle w:val="Hyperlink"/>
        </w:rPr>
        <w:t>https://static1.squarespace.com/static/5b3043afb40b9d20411f3512/t/63ed934fe861fa061ebb9202/1676514134724/Communique-Indigenous-Data-Sovereignty-Summit.pdf</w:t>
      </w:r>
    </w:p>
  </w:footnote>
  <w:footnote w:id="51">
    <w:p w14:paraId="78091803" w14:textId="52A2224E" w:rsidR="00FD764F" w:rsidRPr="00AF37D4" w:rsidRDefault="00FD764F" w:rsidP="00FD764F">
      <w:pPr>
        <w:pStyle w:val="Notes"/>
        <w:rPr>
          <w:rFonts w:ascii="Times New Roman" w:hAnsi="Times New Roman"/>
          <w:szCs w:val="24"/>
          <w:lang w:eastAsia="en-AU"/>
        </w:rPr>
      </w:pPr>
      <w:r>
        <w:rPr>
          <w:rStyle w:val="FootnoteReference"/>
        </w:rPr>
        <w:footnoteRef/>
      </w:r>
      <w:r>
        <w:t xml:space="preserve"> </w:t>
      </w:r>
      <w:r w:rsidRPr="00A47443">
        <w:t xml:space="preserve">Johnson, </w:t>
      </w:r>
      <w:r w:rsidR="00F11C24" w:rsidRPr="00A47443">
        <w:t>S</w:t>
      </w:r>
      <w:r w:rsidR="00F11C24">
        <w:t>.,</w:t>
      </w:r>
      <w:r w:rsidRPr="00A47443">
        <w:t xml:space="preserve"> Tilley, </w:t>
      </w:r>
      <w:r w:rsidR="00F11C24" w:rsidRPr="00A47443">
        <w:t>N</w:t>
      </w:r>
      <w:r w:rsidR="00F11C24">
        <w:t>.</w:t>
      </w:r>
      <w:r w:rsidRPr="00A47443">
        <w:t xml:space="preserve"> &amp; Bowers, </w:t>
      </w:r>
      <w:r w:rsidR="00F11C24" w:rsidRPr="00A47443">
        <w:t>K.</w:t>
      </w:r>
      <w:r w:rsidRPr="00A47443">
        <w:t xml:space="preserve"> (2015). </w:t>
      </w:r>
      <w:r w:rsidRPr="00F73951">
        <w:t>Introducing EMMIE: An evidence rating scale to encourage mixed-method crime prevention synthesis reviews</w:t>
      </w:r>
      <w:r w:rsidRPr="00A47443">
        <w:t xml:space="preserve">. Journal of Experimental Criminology. </w:t>
      </w:r>
      <w:r w:rsidR="00F11C24" w:rsidRPr="00A47443">
        <w:t>11</w:t>
      </w:r>
      <w:r w:rsidR="00F11C24" w:rsidRPr="006F74C0">
        <w:t xml:space="preserve"> 459–473</w:t>
      </w:r>
      <w:r w:rsidR="00F11C24" w:rsidRPr="00A47443">
        <w:t xml:space="preserve">. </w:t>
      </w:r>
      <w:hyperlink r:id="rId41" w:history="1">
        <w:r w:rsidR="00F11C24" w:rsidRPr="00295383">
          <w:rPr>
            <w:rStyle w:val="Hyperlink"/>
          </w:rPr>
          <w:t>https://doi.org/10.1007/s11292-015-9238-7</w:t>
        </w:r>
      </w:hyperlink>
    </w:p>
  </w:footnote>
  <w:footnote w:id="52">
    <w:p w14:paraId="54851ED7" w14:textId="77777777" w:rsidR="00652571" w:rsidRDefault="00652571" w:rsidP="00652571">
      <w:pPr>
        <w:pStyle w:val="FootnoteText"/>
      </w:pPr>
      <w:r>
        <w:rPr>
          <w:rStyle w:val="FootnoteReference"/>
        </w:rPr>
        <w:footnoteRef/>
      </w:r>
      <w:r>
        <w:t xml:space="preserve"> Maloney, J., Jackman, B., Marra-Brown, S., Dale, R., Lorigan, A., Elwyn, R. &amp; Waltmon, J. (2023). Working with lived and living experience evaluators: A practical framework. Suicide Prevention Conference, Canberra.  </w:t>
      </w:r>
    </w:p>
  </w:footnote>
  <w:footnote w:id="53">
    <w:p w14:paraId="11FCF2DA" w14:textId="76368E9A" w:rsidR="00652571" w:rsidRDefault="00652571" w:rsidP="00652571">
      <w:pPr>
        <w:pStyle w:val="FootnoteText"/>
      </w:pPr>
      <w:r>
        <w:rPr>
          <w:rStyle w:val="FootnoteReference"/>
        </w:rPr>
        <w:footnoteRef/>
      </w:r>
      <w:r>
        <w:t xml:space="preserve"> </w:t>
      </w:r>
      <w:r w:rsidRPr="008B5ED8">
        <w:t>Jo Farmer (2018). Evaluating with a mental health lived experience.</w:t>
      </w:r>
      <w:r>
        <w:t xml:space="preserve"> </w:t>
      </w:r>
      <w:hyperlink r:id="rId42" w:history="1">
        <w:r w:rsidRPr="008B5ED8">
          <w:rPr>
            <w:rStyle w:val="Hyperlink"/>
            <w:lang w:val="en-US"/>
          </w:rPr>
          <w:t>https://www.linkedin.com/pulse/evaluating-mental-health-lived-experience-joanna-farmer</w:t>
        </w:r>
      </w:hyperlink>
    </w:p>
  </w:footnote>
  <w:footnote w:id="54">
    <w:p w14:paraId="255AC352" w14:textId="55F63C19" w:rsidR="00652571" w:rsidRDefault="00652571" w:rsidP="00652571">
      <w:pPr>
        <w:pStyle w:val="FootnoteText"/>
      </w:pPr>
      <w:r>
        <w:rPr>
          <w:rStyle w:val="FootnoteReference"/>
        </w:rPr>
        <w:footnoteRef/>
      </w:r>
      <w:r>
        <w:t xml:space="preserve"> </w:t>
      </w:r>
      <w:r w:rsidR="003B6322" w:rsidRPr="003B6322">
        <w:t xml:space="preserve">Hodges, E., Leditschke, A., Solonsch, L. (2023). The Lived Experience Governance Framework: Centring People, Identity and Human Rights for the Benefit of All. Prepared by LELAN (SA Lived Experience Leadership &amp; Advocacy Network) for the National Mental Health Consumer and Carer Forum and the National PHN Mental Health Lived Experience Engagement Network. Mental Health Australia, Canberra. </w:t>
      </w:r>
      <w:hyperlink r:id="rId43" w:history="1">
        <w:r w:rsidR="003B6322" w:rsidRPr="00295383">
          <w:rPr>
            <w:rStyle w:val="Hyperlink"/>
          </w:rPr>
          <w:t>https://nmhccf.org.au/our-work/discussion-papers/the-lived-experience-governance-framework-centring-people-identity-and-human-rights-for-the-benefit-of-all</w:t>
        </w:r>
      </w:hyperlink>
      <w:r w:rsidR="003B6322">
        <w:t xml:space="preserve"> </w:t>
      </w:r>
    </w:p>
  </w:footnote>
  <w:footnote w:id="55">
    <w:p w14:paraId="2603D58A" w14:textId="77777777" w:rsidR="00652571" w:rsidRDefault="00652571" w:rsidP="00652571">
      <w:pPr>
        <w:pStyle w:val="FootnoteText"/>
      </w:pPr>
      <w:r>
        <w:rPr>
          <w:rStyle w:val="FootnoteReference"/>
        </w:rPr>
        <w:footnoteRef/>
      </w:r>
      <w:r>
        <w:t xml:space="preserve"> Maloney, J., Jackman, B., Marra-Brown, S., Dale, R., Lorigan, A., Elwyn, R. &amp; Waltmon, J. (2023). Working with lived and living experience evaluators: A practical framework. Suicide Prevention Conference, Canberra.  </w:t>
      </w:r>
    </w:p>
  </w:footnote>
  <w:footnote w:id="56">
    <w:p w14:paraId="7C23E42C" w14:textId="0C7F599D" w:rsidR="00652571" w:rsidRDefault="00652571" w:rsidP="00652571">
      <w:pPr>
        <w:pStyle w:val="FootnoteText"/>
      </w:pPr>
      <w:r>
        <w:rPr>
          <w:rStyle w:val="FootnoteReference"/>
        </w:rPr>
        <w:footnoteRef/>
      </w:r>
      <w:r>
        <w:t xml:space="preserve"> </w:t>
      </w:r>
      <w:r w:rsidRPr="00DF1B31">
        <w:t xml:space="preserve">Webb, </w:t>
      </w:r>
      <w:r>
        <w:t xml:space="preserve">M., </w:t>
      </w:r>
      <w:r w:rsidRPr="00DF1B31">
        <w:t xml:space="preserve">Cooper, </w:t>
      </w:r>
      <w:r>
        <w:t xml:space="preserve">C., </w:t>
      </w:r>
      <w:r w:rsidRPr="00DF1B31">
        <w:t xml:space="preserve">Hemming, </w:t>
      </w:r>
      <w:r>
        <w:t xml:space="preserve">L., </w:t>
      </w:r>
      <w:r w:rsidRPr="00DF1B31">
        <w:t xml:space="preserve">Dalton, </w:t>
      </w:r>
      <w:r>
        <w:t xml:space="preserve">A., </w:t>
      </w:r>
      <w:r w:rsidRPr="00DF1B31">
        <w:t xml:space="preserve">Unity, </w:t>
      </w:r>
      <w:r>
        <w:t xml:space="preserve">E., </w:t>
      </w:r>
      <w:r w:rsidRPr="00DF1B31">
        <w:t xml:space="preserve">Simmons, </w:t>
      </w:r>
      <w:r>
        <w:t xml:space="preserve">M., </w:t>
      </w:r>
      <w:r w:rsidRPr="00DF1B31">
        <w:t xml:space="preserve">Bendall, </w:t>
      </w:r>
      <w:r>
        <w:t xml:space="preserve">S. </w:t>
      </w:r>
      <w:r w:rsidR="004D2261">
        <w:t>&amp;</w:t>
      </w:r>
      <w:r w:rsidRPr="00DF1B31">
        <w:t xml:space="preserve"> Robinson</w:t>
      </w:r>
      <w:r>
        <w:t>, J.</w:t>
      </w:r>
      <w:r w:rsidR="004D2261">
        <w:t xml:space="preserve"> (2023)</w:t>
      </w:r>
      <w:r w:rsidR="00E04334">
        <w:t xml:space="preserve">. </w:t>
      </w:r>
      <w:r w:rsidRPr="00DF1B31">
        <w:t>Guidelines for involving young people with lived and living experience of suicide in suicide research. Melbourne: Orygen.</w:t>
      </w:r>
      <w:r w:rsidR="00B31D22">
        <w:t xml:space="preserve"> </w:t>
      </w:r>
      <w:hyperlink r:id="rId44" w:history="1">
        <w:r w:rsidR="00174654" w:rsidRPr="00295383">
          <w:rPr>
            <w:rStyle w:val="Hyperlink"/>
          </w:rPr>
          <w:t>https://www.orygen.org.au/Training/Resources/Self-harm-and-suicide-prevention/Guidelines/Suicide-research</w:t>
        </w:r>
      </w:hyperlink>
      <w:r w:rsidR="00174654">
        <w:t xml:space="preserve"> </w:t>
      </w:r>
    </w:p>
  </w:footnote>
  <w:footnote w:id="57">
    <w:p w14:paraId="07F57269" w14:textId="31BB4831" w:rsidR="00652571" w:rsidRDefault="00652571" w:rsidP="00652571">
      <w:pPr>
        <w:pStyle w:val="FootnoteText"/>
      </w:pPr>
      <w:r>
        <w:rPr>
          <w:rStyle w:val="FootnoteReference"/>
        </w:rPr>
        <w:footnoteRef/>
      </w:r>
      <w:r>
        <w:t xml:space="preserve"> </w:t>
      </w:r>
      <w:r w:rsidRPr="003932AB">
        <w:t>Krysinska, K., Ozols, I., Ross, A. et al</w:t>
      </w:r>
      <w:r w:rsidR="00834B8D">
        <w:t xml:space="preserve"> (2023)</w:t>
      </w:r>
      <w:r w:rsidR="00834B8D" w:rsidRPr="003932AB">
        <w:t>.</w:t>
      </w:r>
      <w:r w:rsidRPr="003932AB">
        <w:t xml:space="preserve"> Active involvement of people with lived experience of suicide in suicide research: a Delphi consensus study. </w:t>
      </w:r>
      <w:r w:rsidRPr="00F45386">
        <w:rPr>
          <w:i/>
          <w:iCs/>
        </w:rPr>
        <w:t>BMC Psychiatry</w:t>
      </w:r>
      <w:r w:rsidRPr="003932AB">
        <w:t xml:space="preserve"> 23, 496</w:t>
      </w:r>
      <w:r w:rsidR="00834B8D" w:rsidRPr="003932AB">
        <w:t>.</w:t>
      </w:r>
      <w:r w:rsidRPr="003932AB">
        <w:t xml:space="preserve"> </w:t>
      </w:r>
      <w:hyperlink r:id="rId45" w:history="1">
        <w:r w:rsidRPr="001E49A8">
          <w:rPr>
            <w:rStyle w:val="Hyperlink"/>
          </w:rPr>
          <w:t>https://doi.org/10.1186/s12888-023-04973-9</w:t>
        </w:r>
      </w:hyperlink>
    </w:p>
  </w:footnote>
  <w:footnote w:id="58">
    <w:p w14:paraId="6E32D486" w14:textId="6E0937D0" w:rsidR="00652571" w:rsidRDefault="00652571" w:rsidP="00652571">
      <w:pPr>
        <w:pStyle w:val="FootnoteText"/>
      </w:pPr>
      <w:r>
        <w:rPr>
          <w:rStyle w:val="FootnoteReference"/>
        </w:rPr>
        <w:footnoteRef/>
      </w:r>
      <w:r>
        <w:t xml:space="preserve"> Sinclair A, Gillieatt S, Fernandes C</w:t>
      </w:r>
      <w:r w:rsidR="006F2A74">
        <w:t xml:space="preserve"> &amp;</w:t>
      </w:r>
      <w:r>
        <w:t xml:space="preserve"> Mahboub L. </w:t>
      </w:r>
      <w:r w:rsidR="00001A41">
        <w:t>(</w:t>
      </w:r>
      <w:r w:rsidR="00B3239B">
        <w:t>2023).</w:t>
      </w:r>
      <w:r>
        <w:t xml:space="preserve"> Inclusion as Assimilation, Integration, or Co-optation? A Post-Structural Analysis of Inclusion as Produced Through Mental Health Research on Peer Support. </w:t>
      </w:r>
      <w:r w:rsidRPr="00B3239B">
        <w:t>Qualitative Health Research</w:t>
      </w:r>
      <w:r w:rsidR="00B3239B">
        <w:t xml:space="preserve"> </w:t>
      </w:r>
      <w:r>
        <w:t xml:space="preserve">33(6):543-555. </w:t>
      </w:r>
      <w:r w:rsidRPr="00303EE0">
        <w:rPr>
          <w:rFonts w:cstheme="minorHAnsi"/>
        </w:rPr>
        <w:t>doi:</w:t>
      </w:r>
      <w:hyperlink r:id="rId46" w:history="1">
        <w:r w:rsidRPr="00574100">
          <w:rPr>
            <w:rStyle w:val="Hyperlink"/>
          </w:rPr>
          <w:t>10.1177/10497323231163735</w:t>
        </w:r>
      </w:hyperlink>
      <w:r w:rsidR="00574100">
        <w:rPr>
          <w:rStyle w:val="Hyperlink"/>
          <w:rFonts w:cstheme="minorHAnsi"/>
          <w:color w:val="006ACC"/>
          <w:shd w:val="clear" w:color="auto" w:fill="FFFFFF"/>
        </w:rPr>
        <w:t xml:space="preserve"> </w:t>
      </w:r>
    </w:p>
  </w:footnote>
  <w:footnote w:id="59">
    <w:p w14:paraId="4E72F3A4" w14:textId="4F0754FE" w:rsidR="00E6428A" w:rsidRDefault="00E6428A" w:rsidP="00E6428A">
      <w:pPr>
        <w:pStyle w:val="Notes"/>
      </w:pPr>
      <w:r>
        <w:rPr>
          <w:rStyle w:val="FootnoteReference"/>
        </w:rPr>
        <w:footnoteRef/>
      </w:r>
      <w:r>
        <w:t xml:space="preserve"> Substantially revised drawing from Davies, R.</w:t>
      </w:r>
      <w:r w:rsidR="00C870A1">
        <w:t xml:space="preserve"> (</w:t>
      </w:r>
      <w:r>
        <w:t>2013</w:t>
      </w:r>
      <w:r w:rsidR="00C870A1">
        <w:t>)</w:t>
      </w:r>
      <w:r>
        <w:t>. Planning Evaluability Assessments: A Synthesis of the Literature with Recommendations. Report of a Study Commissioned by the Department for International Development, p19-23</w:t>
      </w:r>
      <w:r w:rsidR="00F17887">
        <w:t>.</w:t>
      </w:r>
      <w:r>
        <w:t xml:space="preserve"> </w:t>
      </w:r>
      <w:hyperlink r:id="rId47" w:history="1">
        <w:r w:rsidRPr="00BD6198">
          <w:rPr>
            <w:rStyle w:val="Hyperlink"/>
          </w:rPr>
          <w:t>https://www.gov.uk/government/uploads/system/uploads/attachment_data/file/248656/wp40-planning-eval-assessments.pdf</w:t>
        </w:r>
      </w:hyperlink>
      <w:r>
        <w:t xml:space="preserve">; </w:t>
      </w:r>
      <w:hyperlink r:id="rId48" w:history="1">
        <w:r>
          <w:rPr>
            <w:rStyle w:val="Hyperlink"/>
          </w:rPr>
          <w:t>http://www.unodc.org/documents/evaluation/Guidelines/Evaluability_Assessment_Template.pdf</w:t>
        </w:r>
      </w:hyperlink>
    </w:p>
  </w:footnote>
  <w:footnote w:id="60">
    <w:p w14:paraId="66AD3455" w14:textId="0DA91871" w:rsidR="00131B8E" w:rsidRPr="00AF37D4" w:rsidRDefault="00131B8E" w:rsidP="00131B8E">
      <w:pPr>
        <w:pStyle w:val="Notes"/>
        <w:rPr>
          <w:rFonts w:ascii="Times New Roman" w:hAnsi="Times New Roman"/>
          <w:szCs w:val="24"/>
          <w:lang w:eastAsia="en-AU"/>
        </w:rPr>
      </w:pPr>
      <w:r>
        <w:rPr>
          <w:rStyle w:val="FootnoteReference"/>
        </w:rPr>
        <w:footnoteRef/>
      </w:r>
      <w:r>
        <w:t xml:space="preserve"> </w:t>
      </w:r>
      <w:r w:rsidRPr="00A47443">
        <w:t xml:space="preserve">Johnson, </w:t>
      </w:r>
      <w:r w:rsidR="00F11C24" w:rsidRPr="00A47443">
        <w:t>S</w:t>
      </w:r>
      <w:r w:rsidR="00F11C24">
        <w:t>.,</w:t>
      </w:r>
      <w:r w:rsidRPr="00A47443">
        <w:t xml:space="preserve"> Tilley, </w:t>
      </w:r>
      <w:r w:rsidR="00F11C24" w:rsidRPr="00A47443">
        <w:t>N</w:t>
      </w:r>
      <w:r w:rsidR="00F11C24">
        <w:t>.</w:t>
      </w:r>
      <w:r w:rsidRPr="00A47443">
        <w:t xml:space="preserve"> &amp; Bowers, </w:t>
      </w:r>
      <w:r w:rsidR="00F11C24" w:rsidRPr="00A47443">
        <w:t>K.</w:t>
      </w:r>
      <w:r w:rsidRPr="00A47443">
        <w:t xml:space="preserve"> (2015). </w:t>
      </w:r>
      <w:r w:rsidRPr="00F73951">
        <w:t>Introducing EMMIE: An evidence rating scale to encourage mixed-method crime prevention synthesis reviews</w:t>
      </w:r>
      <w:r w:rsidRPr="00A47443">
        <w:t xml:space="preserve">. Journal of Experimental Criminology. </w:t>
      </w:r>
      <w:r w:rsidR="00F11C24" w:rsidRPr="00A47443">
        <w:t>11</w:t>
      </w:r>
      <w:r w:rsidR="00F11C24" w:rsidRPr="006F74C0">
        <w:t xml:space="preserve"> 459–473</w:t>
      </w:r>
      <w:r w:rsidR="00F11C24" w:rsidRPr="00A47443">
        <w:t xml:space="preserve">. </w:t>
      </w:r>
      <w:hyperlink r:id="rId49" w:history="1">
        <w:r w:rsidR="00F11C24" w:rsidRPr="00295383">
          <w:rPr>
            <w:rStyle w:val="Hyperlink"/>
          </w:rPr>
          <w:t>https://doi.org/10.1007/s11292-015-9238-7</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123"/>
      <w:gridCol w:w="4097"/>
    </w:tblGrid>
    <w:tr w:rsidR="0005356D" w:rsidRPr="0030139B" w14:paraId="3A5BDB25" w14:textId="77777777" w:rsidTr="00000091">
      <w:tc>
        <w:tcPr>
          <w:tcW w:w="4123" w:type="dxa"/>
        </w:tcPr>
        <w:p w14:paraId="429E0EF3" w14:textId="77777777" w:rsidR="0005356D" w:rsidRPr="0030139B" w:rsidRDefault="0005356D" w:rsidP="00175871">
          <w:pPr>
            <w:pStyle w:val="HeaderNew"/>
          </w:pPr>
          <w:r w:rsidRPr="0030139B">
            <w:t>Proposal</w:t>
          </w:r>
        </w:p>
      </w:tc>
      <w:tc>
        <w:tcPr>
          <w:tcW w:w="4097" w:type="dxa"/>
        </w:tcPr>
        <w:p w14:paraId="44B04BE1" w14:textId="77777777" w:rsidR="0005356D" w:rsidRPr="0030139B" w:rsidRDefault="0005356D" w:rsidP="00175871">
          <w:pPr>
            <w:pStyle w:val="HeaderTitle"/>
          </w:pPr>
          <w:r w:rsidRPr="0030139B">
            <w:t xml:space="preserve">Name of </w:t>
          </w:r>
          <w:r>
            <w:t>project</w:t>
          </w:r>
        </w:p>
      </w:tc>
    </w:tr>
  </w:tbl>
  <w:p w14:paraId="70F2DD33" w14:textId="77777777" w:rsidR="0005356D" w:rsidRDefault="0005356D">
    <w:pPr>
      <w:pStyle w:val="Header"/>
    </w:pPr>
    <w:r w:rsidRPr="00E95D03">
      <w:rPr>
        <w:noProof/>
      </w:rPr>
      <w:drawing>
        <wp:anchor distT="0" distB="0" distL="114300" distR="114300" simplePos="0" relativeHeight="251658242" behindDoc="1" locked="0" layoutInCell="1" allowOverlap="1" wp14:anchorId="67ECCD8C" wp14:editId="19DCB7F4">
          <wp:simplePos x="0" y="0"/>
          <wp:positionH relativeFrom="column">
            <wp:posOffset>-1504097</wp:posOffset>
          </wp:positionH>
          <wp:positionV relativeFrom="paragraph">
            <wp:posOffset>-448954</wp:posOffset>
          </wp:positionV>
          <wp:extent cx="7603200" cy="61200"/>
          <wp:effectExtent l="0" t="0" r="0" b="254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87E93" w14:textId="77777777" w:rsidR="00E50AE8" w:rsidRPr="0038426B" w:rsidRDefault="00E50AE8" w:rsidP="00E50AE8">
    <w:pPr>
      <w:pStyle w:val="Header"/>
      <w:jc w:val="center"/>
      <w:rPr>
        <w:b/>
        <w:bCs/>
      </w:rPr>
    </w:pPr>
    <w:r w:rsidRPr="0033245A">
      <w:t>National Mental Health and Suicide Prevention Evaluation Framework</w:t>
    </w:r>
  </w:p>
  <w:p w14:paraId="1EECABAA" w14:textId="77777777" w:rsidR="00E50AE8" w:rsidRPr="00B46028" w:rsidRDefault="00E50AE8" w:rsidP="00E50AE8">
    <w:pPr>
      <w:pStyle w:val="Header"/>
    </w:pPr>
    <w:r w:rsidRPr="00E95D03">
      <w:rPr>
        <w:noProof/>
      </w:rPr>
      <w:drawing>
        <wp:anchor distT="0" distB="0" distL="114300" distR="114300" simplePos="0" relativeHeight="251698200" behindDoc="1" locked="0" layoutInCell="1" allowOverlap="1" wp14:anchorId="78826B07" wp14:editId="3E50D651">
          <wp:simplePos x="0" y="0"/>
          <wp:positionH relativeFrom="column">
            <wp:posOffset>-1434688</wp:posOffset>
          </wp:positionH>
          <wp:positionV relativeFrom="paragraph">
            <wp:posOffset>-518160</wp:posOffset>
          </wp:positionV>
          <wp:extent cx="7602855" cy="60960"/>
          <wp:effectExtent l="0" t="0" r="0" b="0"/>
          <wp:wrapNone/>
          <wp:docPr id="2091106670" name="Picture 20911066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63322" name="Picture 15480633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p>
  <w:p w14:paraId="4E7D475D" w14:textId="7D83AECE" w:rsidR="00320ACB" w:rsidRPr="00E50AE8" w:rsidRDefault="00320ACB" w:rsidP="00E50AE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2"/>
      <w:tblW w:w="5000" w:type="pct"/>
      <w:tblBorders>
        <w:top w:val="none" w:sz="0" w:space="0" w:color="auto"/>
        <w:bottom w:val="none" w:sz="0" w:space="0" w:color="auto"/>
      </w:tblBorders>
      <w:tblLayout w:type="fixed"/>
      <w:tblCellMar>
        <w:left w:w="0" w:type="dxa"/>
        <w:right w:w="0" w:type="dxa"/>
      </w:tblCellMar>
      <w:tblLook w:val="04A0" w:firstRow="1" w:lastRow="0" w:firstColumn="1" w:lastColumn="0" w:noHBand="0" w:noVBand="1"/>
    </w:tblPr>
    <w:tblGrid>
      <w:gridCol w:w="4110"/>
      <w:gridCol w:w="4110"/>
    </w:tblGrid>
    <w:tr w:rsidR="00646FA7" w14:paraId="006B578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785439F" w14:textId="77777777" w:rsidR="00646FA7" w:rsidRPr="0038426B" w:rsidRDefault="00646FA7" w:rsidP="00646FA7">
          <w:pPr>
            <w:pStyle w:val="Header"/>
            <w:rPr>
              <w:b w:val="0"/>
              <w:bCs w:val="0"/>
            </w:rPr>
          </w:pPr>
          <w:r w:rsidRPr="00786FDC">
            <w:rPr>
              <w:noProof/>
              <w:color w:val="005677" w:themeColor="accent1"/>
            </w:rPr>
            <w:drawing>
              <wp:anchor distT="0" distB="0" distL="114300" distR="114300" simplePos="0" relativeHeight="251658251" behindDoc="1" locked="0" layoutInCell="1" allowOverlap="1" wp14:anchorId="1C1A6303" wp14:editId="59C07B59">
                <wp:simplePos x="0" y="0"/>
                <wp:positionH relativeFrom="column">
                  <wp:posOffset>-1504097</wp:posOffset>
                </wp:positionH>
                <wp:positionV relativeFrom="paragraph">
                  <wp:posOffset>-448954</wp:posOffset>
                </wp:positionV>
                <wp:extent cx="7603200" cy="61200"/>
                <wp:effectExtent l="0" t="0" r="0" b="2540"/>
                <wp:wrapNone/>
                <wp:docPr id="1220972354" name="Picture 1220972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972354" name="Picture 122097235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2" behindDoc="1" locked="0" layoutInCell="1" allowOverlap="1" wp14:anchorId="4C1CACAF" wp14:editId="4848F8F2">
                <wp:simplePos x="0" y="0"/>
                <wp:positionH relativeFrom="column">
                  <wp:posOffset>-1428750</wp:posOffset>
                </wp:positionH>
                <wp:positionV relativeFrom="paragraph">
                  <wp:posOffset>-342900</wp:posOffset>
                </wp:positionV>
                <wp:extent cx="7603200" cy="61200"/>
                <wp:effectExtent l="0" t="0" r="0" b="0"/>
                <wp:wrapNone/>
                <wp:docPr id="394850259" name="Picture 394850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50259" name="Picture 39485025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r w:rsidRPr="0038426B">
            <w:rPr>
              <w:b w:val="0"/>
              <w:bCs w:val="0"/>
              <w:i w:val="0"/>
              <w:color w:val="005677" w:themeColor="accent1"/>
            </w:rPr>
            <w:t>Draft report</w:t>
          </w:r>
        </w:p>
      </w:tc>
      <w:tc>
        <w:tcPr>
          <w:tcW w:w="2500" w:type="pct"/>
        </w:tcPr>
        <w:p w14:paraId="2E8005CD" w14:textId="77777777" w:rsidR="00646FA7" w:rsidRPr="0038426B" w:rsidRDefault="00646FA7" w:rsidP="00646FA7">
          <w:pPr>
            <w:pStyle w:val="Header"/>
            <w:jc w:val="right"/>
            <w:cnfStyle w:val="100000000000" w:firstRow="1" w:lastRow="0" w:firstColumn="0" w:lastColumn="0" w:oddVBand="0" w:evenVBand="0" w:oddHBand="0" w:evenHBand="0" w:firstRowFirstColumn="0" w:firstRowLastColumn="0" w:lastRowFirstColumn="0" w:lastRowLastColumn="0"/>
            <w:rPr>
              <w:b w:val="0"/>
              <w:bCs w:val="0"/>
            </w:rPr>
          </w:pPr>
          <w:r w:rsidRPr="0038426B">
            <w:rPr>
              <w:b w:val="0"/>
              <w:bCs w:val="0"/>
            </w:rPr>
            <w:t>Name of project</w:t>
          </w:r>
        </w:p>
      </w:tc>
    </w:tr>
  </w:tbl>
  <w:p w14:paraId="03D9B72C" w14:textId="77777777" w:rsidR="00646FA7" w:rsidRPr="00646FA7" w:rsidRDefault="00646FA7" w:rsidP="00646FA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9C47A" w14:textId="77777777" w:rsidR="006F49F7" w:rsidRDefault="006F49F7" w:rsidP="006F49F7">
    <w:pPr>
      <w:pStyle w:val="Header"/>
      <w:jc w:val="center"/>
    </w:pPr>
    <w:r w:rsidRPr="0033245A">
      <w:t xml:space="preserve">National Mental Health and Suicide Prevention Evaluation Framework </w:t>
    </w:r>
    <w:r>
      <w:rPr>
        <w:noProof/>
      </w:rPr>
      <w:drawing>
        <wp:anchor distT="0" distB="0" distL="114300" distR="114300" simplePos="0" relativeHeight="251709464" behindDoc="1" locked="0" layoutInCell="1" allowOverlap="1" wp14:anchorId="66437780" wp14:editId="454C5B04">
          <wp:simplePos x="0" y="0"/>
          <wp:positionH relativeFrom="column">
            <wp:posOffset>-885825</wp:posOffset>
          </wp:positionH>
          <wp:positionV relativeFrom="paragraph">
            <wp:posOffset>-342900</wp:posOffset>
          </wp:positionV>
          <wp:extent cx="7602855" cy="60960"/>
          <wp:effectExtent l="0" t="0" r="0" b="0"/>
          <wp:wrapNone/>
          <wp:docPr id="1463752452" name="Picture 1463752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99687" name="Picture 31599968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88" behindDoc="1" locked="0" layoutInCell="1" allowOverlap="1" wp14:anchorId="1D4C896A" wp14:editId="1C405CA2">
          <wp:simplePos x="0" y="0"/>
          <wp:positionH relativeFrom="column">
            <wp:posOffset>6731000</wp:posOffset>
          </wp:positionH>
          <wp:positionV relativeFrom="paragraph">
            <wp:posOffset>-342900</wp:posOffset>
          </wp:positionV>
          <wp:extent cx="7602855" cy="60960"/>
          <wp:effectExtent l="0" t="0" r="0" b="0"/>
          <wp:wrapNone/>
          <wp:docPr id="1075350672" name="Picture 1075350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99687" name="Picture 31599968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p>
  <w:p w14:paraId="434B1165" w14:textId="7F1396FD" w:rsidR="00045F79" w:rsidRPr="006F49F7" w:rsidRDefault="00045F79" w:rsidP="006F49F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D70D3" w14:textId="77777777" w:rsidR="00E50AE8" w:rsidRPr="0038426B" w:rsidRDefault="00E50AE8" w:rsidP="00E50AE8">
    <w:pPr>
      <w:pStyle w:val="Header"/>
      <w:jc w:val="center"/>
      <w:rPr>
        <w:b/>
        <w:bCs/>
      </w:rPr>
    </w:pPr>
    <w:r w:rsidRPr="0033245A">
      <w:t>National Mental Health and Suicide Prevention Evaluation Framework</w:t>
    </w:r>
  </w:p>
  <w:p w14:paraId="64FE3E85" w14:textId="77777777" w:rsidR="00E50AE8" w:rsidRPr="00B46028" w:rsidRDefault="00E50AE8" w:rsidP="00E50AE8">
    <w:pPr>
      <w:pStyle w:val="Header"/>
    </w:pPr>
    <w:r w:rsidRPr="00E95D03">
      <w:rPr>
        <w:noProof/>
      </w:rPr>
      <w:drawing>
        <wp:anchor distT="0" distB="0" distL="114300" distR="114300" simplePos="0" relativeHeight="251700248" behindDoc="1" locked="0" layoutInCell="1" allowOverlap="1" wp14:anchorId="08B1556D" wp14:editId="1626F9A9">
          <wp:simplePos x="0" y="0"/>
          <wp:positionH relativeFrom="column">
            <wp:posOffset>-1434688</wp:posOffset>
          </wp:positionH>
          <wp:positionV relativeFrom="paragraph">
            <wp:posOffset>-518160</wp:posOffset>
          </wp:positionV>
          <wp:extent cx="7602855" cy="60960"/>
          <wp:effectExtent l="0" t="0" r="0" b="0"/>
          <wp:wrapNone/>
          <wp:docPr id="1890808365" name="Picture 1890808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63322" name="Picture 15480633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p>
  <w:p w14:paraId="38F3ADCC" w14:textId="3E3AB51F" w:rsidR="00137F2C" w:rsidRPr="00E50AE8" w:rsidRDefault="00137F2C" w:rsidP="00E50AE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B179" w14:textId="77777777" w:rsidR="00137F2C" w:rsidRDefault="00137F2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8508E" w14:textId="77777777" w:rsidR="006F49F7" w:rsidRDefault="006F49F7" w:rsidP="006F49F7">
    <w:pPr>
      <w:pStyle w:val="Header"/>
      <w:jc w:val="center"/>
    </w:pPr>
    <w:r w:rsidRPr="0033245A">
      <w:t xml:space="preserve">National Mental Health and Suicide Prevention Evaluation Framework </w:t>
    </w:r>
    <w:r>
      <w:rPr>
        <w:noProof/>
      </w:rPr>
      <w:drawing>
        <wp:anchor distT="0" distB="0" distL="114300" distR="114300" simplePos="0" relativeHeight="251712536" behindDoc="1" locked="0" layoutInCell="1" allowOverlap="1" wp14:anchorId="66B711A7" wp14:editId="182D2B1B">
          <wp:simplePos x="0" y="0"/>
          <wp:positionH relativeFrom="column">
            <wp:posOffset>-885825</wp:posOffset>
          </wp:positionH>
          <wp:positionV relativeFrom="paragraph">
            <wp:posOffset>-342900</wp:posOffset>
          </wp:positionV>
          <wp:extent cx="7602855" cy="60960"/>
          <wp:effectExtent l="0" t="0" r="0" b="0"/>
          <wp:wrapNone/>
          <wp:docPr id="665593116" name="Picture 665593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99687" name="Picture 31599968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560" behindDoc="1" locked="0" layoutInCell="1" allowOverlap="1" wp14:anchorId="17DB72D1" wp14:editId="58D084C1">
          <wp:simplePos x="0" y="0"/>
          <wp:positionH relativeFrom="column">
            <wp:posOffset>6731000</wp:posOffset>
          </wp:positionH>
          <wp:positionV relativeFrom="paragraph">
            <wp:posOffset>-342900</wp:posOffset>
          </wp:positionV>
          <wp:extent cx="7602855" cy="60960"/>
          <wp:effectExtent l="0" t="0" r="0" b="0"/>
          <wp:wrapNone/>
          <wp:docPr id="40441513" name="Picture 404415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99687" name="Picture 31599968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p>
  <w:p w14:paraId="742BB135" w14:textId="5B451BC1" w:rsidR="00694B79" w:rsidRPr="006F49F7" w:rsidRDefault="00694B79" w:rsidP="006F49F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2"/>
      <w:tblW w:w="5000" w:type="pct"/>
      <w:tblBorders>
        <w:top w:val="none" w:sz="0" w:space="0" w:color="auto"/>
        <w:bottom w:val="none" w:sz="0" w:space="0" w:color="auto"/>
      </w:tblBorders>
      <w:tblLayout w:type="fixed"/>
      <w:tblCellMar>
        <w:left w:w="0" w:type="dxa"/>
        <w:right w:w="0" w:type="dxa"/>
      </w:tblCellMar>
      <w:tblLook w:val="04A0" w:firstRow="1" w:lastRow="0" w:firstColumn="1" w:lastColumn="0" w:noHBand="0" w:noVBand="1"/>
    </w:tblPr>
    <w:tblGrid>
      <w:gridCol w:w="7001"/>
      <w:gridCol w:w="7001"/>
    </w:tblGrid>
    <w:tr w:rsidR="00646FA7" w14:paraId="39CA59F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99848BD" w14:textId="77777777" w:rsidR="00646FA7" w:rsidRPr="0038426B" w:rsidRDefault="00646FA7" w:rsidP="00646FA7">
          <w:pPr>
            <w:pStyle w:val="Header"/>
            <w:rPr>
              <w:b w:val="0"/>
              <w:bCs w:val="0"/>
            </w:rPr>
          </w:pPr>
          <w:r w:rsidRPr="00786FDC">
            <w:rPr>
              <w:noProof/>
              <w:color w:val="005677" w:themeColor="accent1"/>
            </w:rPr>
            <w:drawing>
              <wp:anchor distT="0" distB="0" distL="114300" distR="114300" simplePos="0" relativeHeight="251658256" behindDoc="1" locked="0" layoutInCell="1" allowOverlap="1" wp14:anchorId="1C1A6303" wp14:editId="1DC3BD37">
                <wp:simplePos x="0" y="0"/>
                <wp:positionH relativeFrom="column">
                  <wp:posOffset>-1504097</wp:posOffset>
                </wp:positionH>
                <wp:positionV relativeFrom="paragraph">
                  <wp:posOffset>-448954</wp:posOffset>
                </wp:positionV>
                <wp:extent cx="7603200" cy="61200"/>
                <wp:effectExtent l="0" t="0" r="0" b="2540"/>
                <wp:wrapNone/>
                <wp:docPr id="433706223" name="Picture 433706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706223" name="Picture 43370622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7" behindDoc="1" locked="0" layoutInCell="1" allowOverlap="1" wp14:anchorId="4C1CACAF" wp14:editId="793E9C8D">
                <wp:simplePos x="0" y="0"/>
                <wp:positionH relativeFrom="column">
                  <wp:posOffset>-1428750</wp:posOffset>
                </wp:positionH>
                <wp:positionV relativeFrom="paragraph">
                  <wp:posOffset>-342900</wp:posOffset>
                </wp:positionV>
                <wp:extent cx="7603200" cy="61200"/>
                <wp:effectExtent l="0" t="0" r="0" b="0"/>
                <wp:wrapNone/>
                <wp:docPr id="1013031309" name="Picture 1013031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31309" name="Picture 101303130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r w:rsidRPr="0038426B">
            <w:rPr>
              <w:b w:val="0"/>
              <w:bCs w:val="0"/>
              <w:i w:val="0"/>
              <w:color w:val="005677" w:themeColor="accent1"/>
            </w:rPr>
            <w:t>Draft report</w:t>
          </w:r>
        </w:p>
      </w:tc>
      <w:tc>
        <w:tcPr>
          <w:tcW w:w="2500" w:type="pct"/>
        </w:tcPr>
        <w:p w14:paraId="622B7F95" w14:textId="77777777" w:rsidR="00646FA7" w:rsidRPr="0038426B" w:rsidRDefault="00646FA7" w:rsidP="00646FA7">
          <w:pPr>
            <w:pStyle w:val="Header"/>
            <w:jc w:val="right"/>
            <w:cnfStyle w:val="100000000000" w:firstRow="1" w:lastRow="0" w:firstColumn="0" w:lastColumn="0" w:oddVBand="0" w:evenVBand="0" w:oddHBand="0" w:evenHBand="0" w:firstRowFirstColumn="0" w:firstRowLastColumn="0" w:lastRowFirstColumn="0" w:lastRowLastColumn="0"/>
            <w:rPr>
              <w:b w:val="0"/>
              <w:bCs w:val="0"/>
            </w:rPr>
          </w:pPr>
          <w:r w:rsidRPr="0038426B">
            <w:rPr>
              <w:b w:val="0"/>
              <w:bCs w:val="0"/>
            </w:rPr>
            <w:t>Name of project</w:t>
          </w:r>
        </w:p>
      </w:tc>
    </w:tr>
  </w:tbl>
  <w:p w14:paraId="7DF70B60" w14:textId="77777777" w:rsidR="00694B79" w:rsidRDefault="00694B7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4B8C3" w14:textId="77777777" w:rsidR="00E50AE8" w:rsidRPr="0038426B" w:rsidRDefault="00E50AE8" w:rsidP="00E50AE8">
    <w:pPr>
      <w:pStyle w:val="Header"/>
      <w:jc w:val="center"/>
      <w:rPr>
        <w:b/>
        <w:bCs/>
      </w:rPr>
    </w:pPr>
    <w:r w:rsidRPr="0033245A">
      <w:t>National Mental Health and Suicide Prevention Evaluation Framework</w:t>
    </w:r>
  </w:p>
  <w:p w14:paraId="23E0BD46" w14:textId="77777777" w:rsidR="00E50AE8" w:rsidRPr="00B46028" w:rsidRDefault="00E50AE8" w:rsidP="00E50AE8">
    <w:pPr>
      <w:pStyle w:val="Header"/>
    </w:pPr>
    <w:r w:rsidRPr="00E95D03">
      <w:rPr>
        <w:noProof/>
      </w:rPr>
      <w:drawing>
        <wp:anchor distT="0" distB="0" distL="114300" distR="114300" simplePos="0" relativeHeight="251702296" behindDoc="1" locked="0" layoutInCell="1" allowOverlap="1" wp14:anchorId="7FC9F540" wp14:editId="01D29BC1">
          <wp:simplePos x="0" y="0"/>
          <wp:positionH relativeFrom="column">
            <wp:posOffset>-1434688</wp:posOffset>
          </wp:positionH>
          <wp:positionV relativeFrom="paragraph">
            <wp:posOffset>-518160</wp:posOffset>
          </wp:positionV>
          <wp:extent cx="7602855" cy="60960"/>
          <wp:effectExtent l="0" t="0" r="0" b="0"/>
          <wp:wrapNone/>
          <wp:docPr id="397666726" name="Picture 3976667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63322" name="Picture 15480633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p>
  <w:p w14:paraId="4846205B" w14:textId="453A9557" w:rsidR="00A70900" w:rsidRPr="00E50AE8" w:rsidRDefault="00A70900" w:rsidP="00E50AE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2"/>
      <w:tblW w:w="5000" w:type="pct"/>
      <w:tblBorders>
        <w:top w:val="none" w:sz="0" w:space="0" w:color="auto"/>
        <w:bottom w:val="none" w:sz="0" w:space="0" w:color="auto"/>
      </w:tblBorders>
      <w:tblLayout w:type="fixed"/>
      <w:tblCellMar>
        <w:left w:w="0" w:type="dxa"/>
        <w:right w:w="0" w:type="dxa"/>
      </w:tblCellMar>
      <w:tblLook w:val="04A0" w:firstRow="1" w:lastRow="0" w:firstColumn="1" w:lastColumn="0" w:noHBand="0" w:noVBand="1"/>
    </w:tblPr>
    <w:tblGrid>
      <w:gridCol w:w="4110"/>
      <w:gridCol w:w="4110"/>
    </w:tblGrid>
    <w:tr w:rsidR="00A70900" w14:paraId="197B5D8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40354F6" w14:textId="77777777" w:rsidR="00A70900" w:rsidRPr="0038426B" w:rsidRDefault="00A70900" w:rsidP="00646FA7">
          <w:pPr>
            <w:pStyle w:val="Header"/>
            <w:rPr>
              <w:b w:val="0"/>
              <w:bCs w:val="0"/>
            </w:rPr>
          </w:pPr>
          <w:r w:rsidRPr="00786FDC">
            <w:rPr>
              <w:noProof/>
              <w:color w:val="005677" w:themeColor="accent1"/>
            </w:rPr>
            <w:drawing>
              <wp:anchor distT="0" distB="0" distL="114300" distR="114300" simplePos="0" relativeHeight="251658261" behindDoc="1" locked="0" layoutInCell="1" allowOverlap="1" wp14:anchorId="5DC844E0" wp14:editId="5602C8D3">
                <wp:simplePos x="0" y="0"/>
                <wp:positionH relativeFrom="column">
                  <wp:posOffset>-1504097</wp:posOffset>
                </wp:positionH>
                <wp:positionV relativeFrom="paragraph">
                  <wp:posOffset>-448954</wp:posOffset>
                </wp:positionV>
                <wp:extent cx="7603200" cy="61200"/>
                <wp:effectExtent l="0" t="0" r="0" b="2540"/>
                <wp:wrapNone/>
                <wp:docPr id="916637789" name="Picture 9166377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37789" name="Picture 91663778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2" behindDoc="1" locked="0" layoutInCell="1" allowOverlap="1" wp14:anchorId="1A19B211" wp14:editId="43DF2D61">
                <wp:simplePos x="0" y="0"/>
                <wp:positionH relativeFrom="column">
                  <wp:posOffset>-1428750</wp:posOffset>
                </wp:positionH>
                <wp:positionV relativeFrom="paragraph">
                  <wp:posOffset>-342900</wp:posOffset>
                </wp:positionV>
                <wp:extent cx="7603200" cy="61200"/>
                <wp:effectExtent l="0" t="0" r="0" b="0"/>
                <wp:wrapNone/>
                <wp:docPr id="1080525281" name="Picture 1080525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25281" name="Picture 108052528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r w:rsidRPr="0038426B">
            <w:rPr>
              <w:b w:val="0"/>
              <w:bCs w:val="0"/>
              <w:i w:val="0"/>
              <w:color w:val="005677" w:themeColor="accent1"/>
            </w:rPr>
            <w:t>Draft report</w:t>
          </w:r>
        </w:p>
      </w:tc>
      <w:tc>
        <w:tcPr>
          <w:tcW w:w="2500" w:type="pct"/>
        </w:tcPr>
        <w:p w14:paraId="3EDF598D" w14:textId="77777777" w:rsidR="00A70900" w:rsidRPr="0038426B" w:rsidRDefault="00A70900" w:rsidP="00646FA7">
          <w:pPr>
            <w:pStyle w:val="Header"/>
            <w:jc w:val="right"/>
            <w:cnfStyle w:val="100000000000" w:firstRow="1" w:lastRow="0" w:firstColumn="0" w:lastColumn="0" w:oddVBand="0" w:evenVBand="0" w:oddHBand="0" w:evenHBand="0" w:firstRowFirstColumn="0" w:firstRowLastColumn="0" w:lastRowFirstColumn="0" w:lastRowLastColumn="0"/>
            <w:rPr>
              <w:b w:val="0"/>
              <w:bCs w:val="0"/>
            </w:rPr>
          </w:pPr>
          <w:r w:rsidRPr="0038426B">
            <w:rPr>
              <w:b w:val="0"/>
              <w:bCs w:val="0"/>
            </w:rPr>
            <w:t>Name of project</w:t>
          </w:r>
        </w:p>
      </w:tc>
    </w:tr>
  </w:tbl>
  <w:p w14:paraId="2CC0B035" w14:textId="77777777" w:rsidR="00A70900" w:rsidRDefault="00A7090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4C99B" w14:textId="77777777" w:rsidR="006F49F7" w:rsidRDefault="006F49F7" w:rsidP="006F49F7">
    <w:pPr>
      <w:pStyle w:val="Header"/>
      <w:jc w:val="center"/>
    </w:pPr>
    <w:r w:rsidRPr="0033245A">
      <w:t xml:space="preserve">National Mental Health and Suicide Prevention Evaluation Framework </w:t>
    </w:r>
    <w:r>
      <w:rPr>
        <w:noProof/>
      </w:rPr>
      <w:drawing>
        <wp:anchor distT="0" distB="0" distL="114300" distR="114300" simplePos="0" relativeHeight="251715608" behindDoc="1" locked="0" layoutInCell="1" allowOverlap="1" wp14:anchorId="69270F7B" wp14:editId="1A89C92A">
          <wp:simplePos x="0" y="0"/>
          <wp:positionH relativeFrom="column">
            <wp:posOffset>-885825</wp:posOffset>
          </wp:positionH>
          <wp:positionV relativeFrom="paragraph">
            <wp:posOffset>-342900</wp:posOffset>
          </wp:positionV>
          <wp:extent cx="7602855" cy="60960"/>
          <wp:effectExtent l="0" t="0" r="0" b="0"/>
          <wp:wrapNone/>
          <wp:docPr id="345969565" name="Picture 3459695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99687" name="Picture 31599968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32" behindDoc="1" locked="0" layoutInCell="1" allowOverlap="1" wp14:anchorId="32F6FDD1" wp14:editId="4873FF2F">
          <wp:simplePos x="0" y="0"/>
          <wp:positionH relativeFrom="column">
            <wp:posOffset>6731000</wp:posOffset>
          </wp:positionH>
          <wp:positionV relativeFrom="paragraph">
            <wp:posOffset>-342900</wp:posOffset>
          </wp:positionV>
          <wp:extent cx="7602855" cy="60960"/>
          <wp:effectExtent l="0" t="0" r="0" b="0"/>
          <wp:wrapNone/>
          <wp:docPr id="1472581292" name="Picture 1472581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99687" name="Picture 31599968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p>
  <w:p w14:paraId="26378118" w14:textId="385D9CF1" w:rsidR="00045F79" w:rsidRPr="006F49F7" w:rsidRDefault="00045F79" w:rsidP="006F49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9E271" w14:textId="77777777" w:rsidR="0005356D" w:rsidRDefault="0005356D">
    <w:pPr>
      <w:pStyle w:val="Header"/>
    </w:pPr>
    <w:r w:rsidRPr="00E95D03">
      <w:rPr>
        <w:noProof/>
      </w:rPr>
      <w:drawing>
        <wp:anchor distT="0" distB="0" distL="114300" distR="114300" simplePos="0" relativeHeight="251658243" behindDoc="1" locked="0" layoutInCell="1" allowOverlap="1" wp14:anchorId="7692ADD7" wp14:editId="14074B4E">
          <wp:simplePos x="0" y="0"/>
          <wp:positionH relativeFrom="column">
            <wp:posOffset>-1440180</wp:posOffset>
          </wp:positionH>
          <wp:positionV relativeFrom="paragraph">
            <wp:posOffset>-344203</wp:posOffset>
          </wp:positionV>
          <wp:extent cx="7558767" cy="10691998"/>
          <wp:effectExtent l="0" t="0" r="4445" b="0"/>
          <wp:wrapNone/>
          <wp:docPr id="11" name="Picture 11" descr="Cover image with the ART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ver image with the ARTD logo"/>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8"/>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5A78" w14:textId="77777777" w:rsidR="00951C0D" w:rsidRPr="0038426B" w:rsidRDefault="00951C0D" w:rsidP="00951C0D">
    <w:pPr>
      <w:pStyle w:val="Header"/>
      <w:jc w:val="center"/>
      <w:rPr>
        <w:b/>
        <w:bCs/>
      </w:rPr>
    </w:pPr>
    <w:r w:rsidRPr="0033245A">
      <w:t>National Mental Health and Suicide Prevention Evaluation Framework</w:t>
    </w:r>
  </w:p>
  <w:p w14:paraId="0C2076BA" w14:textId="77777777" w:rsidR="00951C0D" w:rsidRPr="00B46028" w:rsidRDefault="00951C0D" w:rsidP="00951C0D">
    <w:pPr>
      <w:pStyle w:val="Header"/>
    </w:pPr>
    <w:r w:rsidRPr="00E95D03">
      <w:rPr>
        <w:noProof/>
      </w:rPr>
      <w:drawing>
        <wp:anchor distT="0" distB="0" distL="114300" distR="114300" simplePos="0" relativeHeight="251704344" behindDoc="1" locked="0" layoutInCell="1" allowOverlap="1" wp14:anchorId="54777BD6" wp14:editId="06D69869">
          <wp:simplePos x="0" y="0"/>
          <wp:positionH relativeFrom="column">
            <wp:posOffset>-1434688</wp:posOffset>
          </wp:positionH>
          <wp:positionV relativeFrom="paragraph">
            <wp:posOffset>-518160</wp:posOffset>
          </wp:positionV>
          <wp:extent cx="7602855" cy="60960"/>
          <wp:effectExtent l="0" t="0" r="0" b="0"/>
          <wp:wrapNone/>
          <wp:docPr id="2061484679" name="Picture 20614846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63322" name="Picture 15480633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p>
  <w:p w14:paraId="31010CF7" w14:textId="12DC56AF" w:rsidR="00320ACB" w:rsidRPr="00951C0D" w:rsidRDefault="00320ACB" w:rsidP="00951C0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95727" w14:textId="77777777" w:rsidR="00646FA7" w:rsidRPr="00646FA7" w:rsidRDefault="00646FA7" w:rsidP="00646FA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59BF9" w14:textId="495F7BB5" w:rsidR="001165F5" w:rsidRDefault="0033245A" w:rsidP="0033245A">
    <w:pPr>
      <w:pStyle w:val="Header"/>
      <w:jc w:val="center"/>
    </w:pPr>
    <w:r w:rsidRPr="0033245A">
      <w:t xml:space="preserve">National Mental Health and Suicide Prevention Evaluation Framework </w:t>
    </w:r>
    <w:r w:rsidR="00045F79">
      <w:rPr>
        <w:noProof/>
      </w:rPr>
      <w:drawing>
        <wp:anchor distT="0" distB="0" distL="114300" distR="114300" simplePos="0" relativeHeight="251690008" behindDoc="1" locked="0" layoutInCell="1" allowOverlap="1" wp14:anchorId="407BBBFA" wp14:editId="27AE8126">
          <wp:simplePos x="0" y="0"/>
          <wp:positionH relativeFrom="column">
            <wp:posOffset>-885825</wp:posOffset>
          </wp:positionH>
          <wp:positionV relativeFrom="paragraph">
            <wp:posOffset>-342900</wp:posOffset>
          </wp:positionV>
          <wp:extent cx="7602855" cy="60960"/>
          <wp:effectExtent l="0" t="0" r="0" b="0"/>
          <wp:wrapNone/>
          <wp:docPr id="2008827953" name="Picture 20088279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99687" name="Picture 31599968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r w:rsidR="00045F79">
      <w:rPr>
        <w:noProof/>
      </w:rPr>
      <w:drawing>
        <wp:anchor distT="0" distB="0" distL="114300" distR="114300" simplePos="0" relativeHeight="251692056" behindDoc="1" locked="0" layoutInCell="1" allowOverlap="1" wp14:anchorId="3B63329D" wp14:editId="7D7C6152">
          <wp:simplePos x="0" y="0"/>
          <wp:positionH relativeFrom="column">
            <wp:posOffset>6731000</wp:posOffset>
          </wp:positionH>
          <wp:positionV relativeFrom="paragraph">
            <wp:posOffset>-342900</wp:posOffset>
          </wp:positionV>
          <wp:extent cx="7602855" cy="60960"/>
          <wp:effectExtent l="0" t="0" r="0" b="0"/>
          <wp:wrapNone/>
          <wp:docPr id="842153834" name="Picture 8421538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99687" name="Picture 31599968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1DF79" w14:textId="77777777" w:rsidR="001165F5" w:rsidRDefault="001165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C8A12" w14:textId="77777777" w:rsidR="0005356D" w:rsidRDefault="000535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B5E04" w14:textId="77777777" w:rsidR="0033245A" w:rsidRPr="0038426B" w:rsidRDefault="0033245A" w:rsidP="0033245A">
    <w:pPr>
      <w:pStyle w:val="Header"/>
      <w:jc w:val="center"/>
      <w:rPr>
        <w:b/>
        <w:bCs/>
      </w:rPr>
    </w:pPr>
    <w:r w:rsidRPr="0033245A">
      <w:t>National Mental Health and Suicide Prevention Evaluation Framework</w:t>
    </w:r>
  </w:p>
  <w:p w14:paraId="7328BFEA" w14:textId="77777777" w:rsidR="0005356D" w:rsidRPr="00B46028" w:rsidRDefault="0005356D" w:rsidP="00362E46">
    <w:pPr>
      <w:pStyle w:val="Header"/>
    </w:pPr>
    <w:r w:rsidRPr="00E95D03">
      <w:rPr>
        <w:noProof/>
      </w:rPr>
      <w:drawing>
        <wp:anchor distT="0" distB="0" distL="114300" distR="114300" simplePos="0" relativeHeight="251657216" behindDoc="1" locked="0" layoutInCell="1" allowOverlap="1" wp14:anchorId="19980A36" wp14:editId="76E0AE0C">
          <wp:simplePos x="0" y="0"/>
          <wp:positionH relativeFrom="column">
            <wp:posOffset>-1434688</wp:posOffset>
          </wp:positionH>
          <wp:positionV relativeFrom="paragraph">
            <wp:posOffset>-518160</wp:posOffset>
          </wp:positionV>
          <wp:extent cx="7602855" cy="60960"/>
          <wp:effectExtent l="0" t="0" r="0" b="0"/>
          <wp:wrapNone/>
          <wp:docPr id="1548063322" name="Picture 1548063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63322" name="Picture 15480633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83063" w14:textId="77777777" w:rsidR="0033245A" w:rsidRPr="0038426B" w:rsidRDefault="0033245A" w:rsidP="0033245A">
    <w:pPr>
      <w:pStyle w:val="Header"/>
      <w:jc w:val="center"/>
      <w:rPr>
        <w:b/>
        <w:bCs/>
      </w:rPr>
    </w:pPr>
    <w:r w:rsidRPr="0033245A">
      <w:t>National Mental Health and Suicide Prevention Evaluation Framework</w:t>
    </w:r>
  </w:p>
  <w:p w14:paraId="3CD53190" w14:textId="77777777" w:rsidR="0033245A" w:rsidRPr="00B46028" w:rsidRDefault="0033245A" w:rsidP="0033245A">
    <w:pPr>
      <w:pStyle w:val="Header"/>
    </w:pPr>
    <w:r w:rsidRPr="00E95D03">
      <w:rPr>
        <w:noProof/>
      </w:rPr>
      <w:drawing>
        <wp:anchor distT="0" distB="0" distL="114300" distR="114300" simplePos="0" relativeHeight="251694104" behindDoc="1" locked="0" layoutInCell="1" allowOverlap="1" wp14:anchorId="59DB34DB" wp14:editId="4987A3B4">
          <wp:simplePos x="0" y="0"/>
          <wp:positionH relativeFrom="column">
            <wp:posOffset>-1434688</wp:posOffset>
          </wp:positionH>
          <wp:positionV relativeFrom="paragraph">
            <wp:posOffset>-518160</wp:posOffset>
          </wp:positionV>
          <wp:extent cx="7602855" cy="60960"/>
          <wp:effectExtent l="0" t="0" r="0" b="0"/>
          <wp:wrapNone/>
          <wp:docPr id="1732054389" name="Picture 1732054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63322" name="Picture 15480633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p>
  <w:p w14:paraId="031C151A" w14:textId="73A00AAD" w:rsidR="00320ACB" w:rsidRPr="00B46028" w:rsidRDefault="00320ACB" w:rsidP="00646FA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2"/>
      <w:tblW w:w="5000" w:type="pct"/>
      <w:tblBorders>
        <w:top w:val="none" w:sz="0" w:space="0" w:color="auto"/>
        <w:bottom w:val="none" w:sz="0" w:space="0" w:color="auto"/>
      </w:tblBorders>
      <w:tblLayout w:type="fixed"/>
      <w:tblCellMar>
        <w:left w:w="0" w:type="dxa"/>
        <w:right w:w="0" w:type="dxa"/>
      </w:tblCellMar>
      <w:tblLook w:val="04A0" w:firstRow="1" w:lastRow="0" w:firstColumn="1" w:lastColumn="0" w:noHBand="0" w:noVBand="1"/>
    </w:tblPr>
    <w:tblGrid>
      <w:gridCol w:w="4110"/>
      <w:gridCol w:w="4110"/>
    </w:tblGrid>
    <w:tr w:rsidR="00646FA7" w14:paraId="51D590B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A323880" w14:textId="77777777" w:rsidR="00646FA7" w:rsidRPr="0038426B" w:rsidRDefault="00646FA7" w:rsidP="00646FA7">
          <w:pPr>
            <w:pStyle w:val="Header"/>
            <w:rPr>
              <w:b w:val="0"/>
              <w:bCs w:val="0"/>
            </w:rPr>
          </w:pPr>
          <w:r w:rsidRPr="00786FDC">
            <w:rPr>
              <w:noProof/>
              <w:color w:val="005677" w:themeColor="accent1"/>
            </w:rPr>
            <w:drawing>
              <wp:anchor distT="0" distB="0" distL="114300" distR="114300" simplePos="0" relativeHeight="251658248" behindDoc="1" locked="0" layoutInCell="1" allowOverlap="1" wp14:anchorId="1C1A6303" wp14:editId="71326228">
                <wp:simplePos x="0" y="0"/>
                <wp:positionH relativeFrom="column">
                  <wp:posOffset>-1504097</wp:posOffset>
                </wp:positionH>
                <wp:positionV relativeFrom="paragraph">
                  <wp:posOffset>-448954</wp:posOffset>
                </wp:positionV>
                <wp:extent cx="7603200" cy="61200"/>
                <wp:effectExtent l="0" t="0" r="0" b="2540"/>
                <wp:wrapNone/>
                <wp:docPr id="737280252" name="Picture 737280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80252" name="Picture 73728025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9" behindDoc="1" locked="0" layoutInCell="1" allowOverlap="1" wp14:anchorId="4C1CACAF" wp14:editId="34EC8BD9">
                <wp:simplePos x="0" y="0"/>
                <wp:positionH relativeFrom="column">
                  <wp:posOffset>-1428750</wp:posOffset>
                </wp:positionH>
                <wp:positionV relativeFrom="paragraph">
                  <wp:posOffset>-342900</wp:posOffset>
                </wp:positionV>
                <wp:extent cx="7603200" cy="61200"/>
                <wp:effectExtent l="0" t="0" r="0" b="0"/>
                <wp:wrapNone/>
                <wp:docPr id="1371891996" name="Picture 13718919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91996" name="Picture 13718919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r w:rsidRPr="0038426B">
            <w:rPr>
              <w:b w:val="0"/>
              <w:bCs w:val="0"/>
              <w:i w:val="0"/>
              <w:color w:val="005677" w:themeColor="accent1"/>
            </w:rPr>
            <w:t>Draft report</w:t>
          </w:r>
        </w:p>
      </w:tc>
      <w:tc>
        <w:tcPr>
          <w:tcW w:w="2500" w:type="pct"/>
        </w:tcPr>
        <w:p w14:paraId="03AE53E8" w14:textId="77777777" w:rsidR="00646FA7" w:rsidRPr="0038426B" w:rsidRDefault="00646FA7" w:rsidP="00646FA7">
          <w:pPr>
            <w:pStyle w:val="Header"/>
            <w:jc w:val="right"/>
            <w:cnfStyle w:val="100000000000" w:firstRow="1" w:lastRow="0" w:firstColumn="0" w:lastColumn="0" w:oddVBand="0" w:evenVBand="0" w:oddHBand="0" w:evenHBand="0" w:firstRowFirstColumn="0" w:firstRowLastColumn="0" w:lastRowFirstColumn="0" w:lastRowLastColumn="0"/>
            <w:rPr>
              <w:b w:val="0"/>
              <w:bCs w:val="0"/>
            </w:rPr>
          </w:pPr>
          <w:r w:rsidRPr="0038426B">
            <w:rPr>
              <w:b w:val="0"/>
              <w:bCs w:val="0"/>
            </w:rPr>
            <w:t>Name of project</w:t>
          </w:r>
        </w:p>
      </w:tc>
    </w:tr>
  </w:tbl>
  <w:p w14:paraId="091EC256" w14:textId="77777777" w:rsidR="00646FA7" w:rsidRPr="00646FA7" w:rsidRDefault="00646FA7" w:rsidP="00646FA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E85C2" w14:textId="77777777" w:rsidR="00E50AE8" w:rsidRPr="0038426B" w:rsidRDefault="00E50AE8" w:rsidP="00E50AE8">
    <w:pPr>
      <w:pStyle w:val="Header"/>
      <w:jc w:val="center"/>
      <w:rPr>
        <w:b/>
        <w:bCs/>
      </w:rPr>
    </w:pPr>
    <w:r w:rsidRPr="0033245A">
      <w:t>National Mental Health and Suicide Prevention Evaluation Framework</w:t>
    </w:r>
  </w:p>
  <w:p w14:paraId="540E3DB0" w14:textId="77777777" w:rsidR="00E50AE8" w:rsidRPr="00B46028" w:rsidRDefault="00E50AE8" w:rsidP="00E50AE8">
    <w:pPr>
      <w:pStyle w:val="Header"/>
    </w:pPr>
    <w:r w:rsidRPr="00E95D03">
      <w:rPr>
        <w:noProof/>
      </w:rPr>
      <w:drawing>
        <wp:anchor distT="0" distB="0" distL="114300" distR="114300" simplePos="0" relativeHeight="251696152" behindDoc="1" locked="0" layoutInCell="1" allowOverlap="1" wp14:anchorId="41617D74" wp14:editId="54168FED">
          <wp:simplePos x="0" y="0"/>
          <wp:positionH relativeFrom="column">
            <wp:posOffset>-1434688</wp:posOffset>
          </wp:positionH>
          <wp:positionV relativeFrom="paragraph">
            <wp:posOffset>-518160</wp:posOffset>
          </wp:positionV>
          <wp:extent cx="7602855" cy="60960"/>
          <wp:effectExtent l="0" t="0" r="0" b="0"/>
          <wp:wrapNone/>
          <wp:docPr id="1605313036" name="Picture 16053130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63322" name="Picture 15480633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p>
  <w:p w14:paraId="0428B356" w14:textId="18FD8401" w:rsidR="00C41A72" w:rsidRPr="00E50AE8" w:rsidRDefault="00C41A72" w:rsidP="00E50AE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Table2"/>
      <w:tblW w:w="5000" w:type="pct"/>
      <w:tblBorders>
        <w:top w:val="none" w:sz="0" w:space="0" w:color="auto"/>
        <w:bottom w:val="none" w:sz="0" w:space="0" w:color="auto"/>
      </w:tblBorders>
      <w:tblLayout w:type="fixed"/>
      <w:tblCellMar>
        <w:left w:w="0" w:type="dxa"/>
        <w:right w:w="0" w:type="dxa"/>
      </w:tblCellMar>
      <w:tblLook w:val="04A0" w:firstRow="1" w:lastRow="0" w:firstColumn="1" w:lastColumn="0" w:noHBand="0" w:noVBand="1"/>
    </w:tblPr>
    <w:tblGrid>
      <w:gridCol w:w="4110"/>
      <w:gridCol w:w="4110"/>
    </w:tblGrid>
    <w:tr w:rsidR="00C41A72" w14:paraId="2048581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E4F6DB4" w14:textId="77777777" w:rsidR="00C41A72" w:rsidRPr="0038426B" w:rsidRDefault="00C41A72" w:rsidP="00646FA7">
          <w:pPr>
            <w:pStyle w:val="Header"/>
            <w:rPr>
              <w:b w:val="0"/>
              <w:bCs w:val="0"/>
            </w:rPr>
          </w:pPr>
          <w:r w:rsidRPr="00786FDC">
            <w:rPr>
              <w:noProof/>
              <w:color w:val="005677" w:themeColor="accent1"/>
            </w:rPr>
            <w:drawing>
              <wp:anchor distT="0" distB="0" distL="114300" distR="114300" simplePos="0" relativeHeight="251658258" behindDoc="1" locked="0" layoutInCell="1" allowOverlap="1" wp14:anchorId="0FB519DD" wp14:editId="1952FF2A">
                <wp:simplePos x="0" y="0"/>
                <wp:positionH relativeFrom="column">
                  <wp:posOffset>-1504097</wp:posOffset>
                </wp:positionH>
                <wp:positionV relativeFrom="paragraph">
                  <wp:posOffset>-448954</wp:posOffset>
                </wp:positionV>
                <wp:extent cx="7603200" cy="61200"/>
                <wp:effectExtent l="0" t="0" r="0" b="2540"/>
                <wp:wrapNone/>
                <wp:docPr id="1135688317" name="Picture 1135688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88317" name="Picture 11356883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9" behindDoc="1" locked="0" layoutInCell="1" allowOverlap="1" wp14:anchorId="7597AE3C" wp14:editId="20139E70">
                <wp:simplePos x="0" y="0"/>
                <wp:positionH relativeFrom="column">
                  <wp:posOffset>-1428750</wp:posOffset>
                </wp:positionH>
                <wp:positionV relativeFrom="paragraph">
                  <wp:posOffset>-342900</wp:posOffset>
                </wp:positionV>
                <wp:extent cx="7603200" cy="61200"/>
                <wp:effectExtent l="0" t="0" r="0" b="0"/>
                <wp:wrapNone/>
                <wp:docPr id="1526530448" name="Picture 1526530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30448" name="Picture 152653044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r w:rsidRPr="0038426B">
            <w:rPr>
              <w:b w:val="0"/>
              <w:bCs w:val="0"/>
              <w:i w:val="0"/>
              <w:color w:val="005677" w:themeColor="accent1"/>
            </w:rPr>
            <w:t>Draft report</w:t>
          </w:r>
        </w:p>
      </w:tc>
      <w:tc>
        <w:tcPr>
          <w:tcW w:w="2500" w:type="pct"/>
        </w:tcPr>
        <w:p w14:paraId="68304EB5" w14:textId="77777777" w:rsidR="00C41A72" w:rsidRPr="0038426B" w:rsidRDefault="00C41A72" w:rsidP="00646FA7">
          <w:pPr>
            <w:pStyle w:val="Header"/>
            <w:jc w:val="right"/>
            <w:cnfStyle w:val="100000000000" w:firstRow="1" w:lastRow="0" w:firstColumn="0" w:lastColumn="0" w:oddVBand="0" w:evenVBand="0" w:oddHBand="0" w:evenHBand="0" w:firstRowFirstColumn="0" w:firstRowLastColumn="0" w:lastRowFirstColumn="0" w:lastRowLastColumn="0"/>
            <w:rPr>
              <w:b w:val="0"/>
              <w:bCs w:val="0"/>
            </w:rPr>
          </w:pPr>
          <w:r w:rsidRPr="0038426B">
            <w:rPr>
              <w:b w:val="0"/>
              <w:bCs w:val="0"/>
            </w:rPr>
            <w:t>Name of project</w:t>
          </w:r>
        </w:p>
      </w:tc>
    </w:tr>
  </w:tbl>
  <w:p w14:paraId="489106AA" w14:textId="77777777" w:rsidR="00C41A72" w:rsidRDefault="00C41A7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25E78" w14:textId="77777777" w:rsidR="006F49F7" w:rsidRDefault="006F49F7" w:rsidP="006F49F7">
    <w:pPr>
      <w:pStyle w:val="Header"/>
      <w:jc w:val="center"/>
    </w:pPr>
    <w:r w:rsidRPr="0033245A">
      <w:t xml:space="preserve">National Mental Health and Suicide Prevention Evaluation Framework </w:t>
    </w:r>
    <w:r>
      <w:rPr>
        <w:noProof/>
      </w:rPr>
      <w:drawing>
        <wp:anchor distT="0" distB="0" distL="114300" distR="114300" simplePos="0" relativeHeight="251706392" behindDoc="1" locked="0" layoutInCell="1" allowOverlap="1" wp14:anchorId="03EF1B82" wp14:editId="06FEEBA6">
          <wp:simplePos x="0" y="0"/>
          <wp:positionH relativeFrom="column">
            <wp:posOffset>-885825</wp:posOffset>
          </wp:positionH>
          <wp:positionV relativeFrom="paragraph">
            <wp:posOffset>-342900</wp:posOffset>
          </wp:positionV>
          <wp:extent cx="7602855" cy="60960"/>
          <wp:effectExtent l="0" t="0" r="0" b="0"/>
          <wp:wrapNone/>
          <wp:docPr id="167304917" name="Picture 1673049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99687" name="Picture 31599968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416" behindDoc="1" locked="0" layoutInCell="1" allowOverlap="1" wp14:anchorId="7CA2F33A" wp14:editId="1259F38E">
          <wp:simplePos x="0" y="0"/>
          <wp:positionH relativeFrom="column">
            <wp:posOffset>6731000</wp:posOffset>
          </wp:positionH>
          <wp:positionV relativeFrom="paragraph">
            <wp:posOffset>-342900</wp:posOffset>
          </wp:positionV>
          <wp:extent cx="7602855" cy="60960"/>
          <wp:effectExtent l="0" t="0" r="0" b="0"/>
          <wp:wrapNone/>
          <wp:docPr id="1758564019" name="Picture 17585640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99687" name="Picture 31599968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p>
  <w:p w14:paraId="58152B59" w14:textId="2D53D26A" w:rsidR="00441429" w:rsidRPr="006F49F7" w:rsidRDefault="00441429" w:rsidP="006F49F7">
    <w:pPr>
      <w:pStyle w:val="Header"/>
    </w:pPr>
  </w:p>
</w:hdr>
</file>

<file path=word/intelligence2.xml><?xml version="1.0" encoding="utf-8"?>
<int2:intelligence xmlns:int2="http://schemas.microsoft.com/office/intelligence/2020/intelligence" xmlns:oel="http://schemas.microsoft.com/office/2019/extlst">
  <int2:observations>
    <int2:textHash int2:hashCode="Bxs+GENGgGYMrX" int2:id="VYdWpHw1">
      <int2:state int2:value="Rejected" int2:type="AugLoop_Text_Critique"/>
    </int2:textHash>
    <int2:bookmark int2:bookmarkName="_Int_rw12mNm1" int2:invalidationBookmarkName="" int2:hashCode="EG92gKo+u5O5Hs" int2:id="3ERaja56">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4F2EF1E0"/>
    <w:lvl w:ilvl="0">
      <w:start w:val="1"/>
      <w:numFmt w:val="bullet"/>
      <w:pStyle w:val="ListBullet3"/>
      <w:lvlText w:val="–"/>
      <w:lvlJc w:val="left"/>
      <w:pPr>
        <w:ind w:left="1267" w:hanging="360"/>
      </w:pPr>
      <w:rPr>
        <w:rFonts w:ascii="Segoe UI" w:hAnsi="Segoe UI" w:hint="default"/>
        <w:b w:val="0"/>
        <w:i w:val="0"/>
        <w:sz w:val="20"/>
      </w:rPr>
    </w:lvl>
  </w:abstractNum>
  <w:abstractNum w:abstractNumId="1" w15:restartNumberingAfterBreak="0">
    <w:nsid w:val="FFFFFF88"/>
    <w:multiLevelType w:val="singleLevel"/>
    <w:tmpl w:val="2040B4E4"/>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AD36A13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237C11"/>
    <w:multiLevelType w:val="hybridMultilevel"/>
    <w:tmpl w:val="F3B2A4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16F1C3E"/>
    <w:multiLevelType w:val="multilevel"/>
    <w:tmpl w:val="3ACAB76E"/>
    <w:styleLink w:val="Numbers"/>
    <w:lvl w:ilvl="0">
      <w:start w:val="1"/>
      <w:numFmt w:val="decimal"/>
      <w:lvlText w:val="%1."/>
      <w:lvlJc w:val="left"/>
      <w:pPr>
        <w:tabs>
          <w:tab w:val="num" w:pos="454"/>
        </w:tabs>
        <w:ind w:left="454" w:hanging="454"/>
      </w:pPr>
      <w:rPr>
        <w:rFonts w:hint="default"/>
      </w:rPr>
    </w:lvl>
    <w:lvl w:ilvl="1">
      <w:start w:val="1"/>
      <w:numFmt w:val="lowerLetter"/>
      <w:lvlText w:val="%2)"/>
      <w:lvlJc w:val="left"/>
      <w:pPr>
        <w:tabs>
          <w:tab w:val="num" w:pos="907"/>
        </w:tabs>
        <w:ind w:left="907" w:hanging="453"/>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15:restartNumberingAfterBreak="0">
    <w:nsid w:val="03E753CD"/>
    <w:multiLevelType w:val="hybridMultilevel"/>
    <w:tmpl w:val="89F6242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5303998"/>
    <w:multiLevelType w:val="multilevel"/>
    <w:tmpl w:val="FDD8CD0A"/>
    <w:styleLink w:val="Headingsframe"/>
    <w:lvl w:ilvl="0">
      <w:start w:val="1"/>
      <w:numFmt w:val="decimal"/>
      <w:pStyle w:val="Heading1Frame"/>
      <w:lvlText w:val="%1"/>
      <w:lvlJc w:val="left"/>
      <w:pPr>
        <w:ind w:left="794" w:hanging="794"/>
      </w:pPr>
      <w:rPr>
        <w:rFonts w:ascii="Segoe UI" w:hAnsi="Segoe UI" w:hint="default"/>
        <w:b/>
        <w:i w:val="0"/>
        <w:caps/>
        <w:color w:val="215565" w:themeColor="accent2" w:themeShade="80"/>
        <w:sz w:val="32"/>
      </w:rPr>
    </w:lvl>
    <w:lvl w:ilvl="1">
      <w:start w:val="1"/>
      <w:numFmt w:val="decimal"/>
      <w:pStyle w:val="Heading2Frame"/>
      <w:lvlText w:val="%1.%2"/>
      <w:lvlJc w:val="left"/>
      <w:pPr>
        <w:ind w:left="794" w:hanging="794"/>
      </w:pPr>
      <w:rPr>
        <w:rFonts w:ascii="Segoe UI" w:hAnsi="Segoe UI" w:hint="default"/>
        <w:b w:val="0"/>
        <w:i w:val="0"/>
        <w:caps/>
        <w:color w:val="215565" w:themeColor="accent2" w:themeShade="80"/>
        <w:sz w:val="28"/>
      </w:rPr>
    </w:lvl>
    <w:lvl w:ilvl="2">
      <w:start w:val="1"/>
      <w:numFmt w:val="decimal"/>
      <w:pStyle w:val="Heading3Frame"/>
      <w:lvlText w:val="%1.%2.%3"/>
      <w:lvlJc w:val="left"/>
      <w:pPr>
        <w:ind w:left="794" w:hanging="794"/>
      </w:pPr>
      <w:rPr>
        <w:rFonts w:ascii="Segoe UI" w:hAnsi="Segoe UI" w:hint="default"/>
        <w:b w:val="0"/>
        <w:i w:val="0"/>
        <w:caps/>
        <w:color w:val="215565" w:themeColor="accent2" w:themeShade="80"/>
        <w:sz w:val="24"/>
      </w:rPr>
    </w:lvl>
    <w:lvl w:ilvl="3">
      <w:start w:val="1"/>
      <w:numFmt w:val="none"/>
      <w:pStyle w:val="Heading4Frame"/>
      <w:lvlText w:val=""/>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5A704DA"/>
    <w:multiLevelType w:val="hybridMultilevel"/>
    <w:tmpl w:val="BD609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5ED0537"/>
    <w:multiLevelType w:val="multilevel"/>
    <w:tmpl w:val="139496F0"/>
    <w:styleLink w:val="TableBulletDash"/>
    <w:lvl w:ilvl="0">
      <w:numFmt w:val="bullet"/>
      <w:lvlText w:val="–"/>
      <w:lvlJc w:val="left"/>
      <w:pPr>
        <w:tabs>
          <w:tab w:val="num" w:pos="567"/>
        </w:tabs>
        <w:ind w:left="567" w:hanging="283"/>
      </w:pPr>
      <w:rPr>
        <w:rFonts w:ascii="Arial" w:hAnsi="Arial"/>
        <w:sz w:val="16"/>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73364A2"/>
    <w:multiLevelType w:val="hybridMultilevel"/>
    <w:tmpl w:val="FFFFFFFF"/>
    <w:lvl w:ilvl="0" w:tplc="068A49BE">
      <w:start w:val="1"/>
      <w:numFmt w:val="bullet"/>
      <w:lvlText w:val=""/>
      <w:lvlJc w:val="left"/>
      <w:pPr>
        <w:ind w:left="720" w:hanging="360"/>
      </w:pPr>
      <w:rPr>
        <w:rFonts w:ascii="Symbol" w:hAnsi="Symbol" w:hint="default"/>
      </w:rPr>
    </w:lvl>
    <w:lvl w:ilvl="1" w:tplc="61A45E4E">
      <w:start w:val="1"/>
      <w:numFmt w:val="bullet"/>
      <w:lvlText w:val="o"/>
      <w:lvlJc w:val="left"/>
      <w:pPr>
        <w:ind w:left="1440" w:hanging="360"/>
      </w:pPr>
      <w:rPr>
        <w:rFonts w:ascii="Courier New" w:hAnsi="Courier New" w:hint="default"/>
      </w:rPr>
    </w:lvl>
    <w:lvl w:ilvl="2" w:tplc="2F8EEB8A">
      <w:start w:val="1"/>
      <w:numFmt w:val="bullet"/>
      <w:lvlText w:val=""/>
      <w:lvlJc w:val="left"/>
      <w:pPr>
        <w:ind w:left="2160" w:hanging="360"/>
      </w:pPr>
      <w:rPr>
        <w:rFonts w:ascii="Wingdings" w:hAnsi="Wingdings" w:hint="default"/>
      </w:rPr>
    </w:lvl>
    <w:lvl w:ilvl="3" w:tplc="B4024E80">
      <w:start w:val="1"/>
      <w:numFmt w:val="bullet"/>
      <w:lvlText w:val=""/>
      <w:lvlJc w:val="left"/>
      <w:pPr>
        <w:ind w:left="2880" w:hanging="360"/>
      </w:pPr>
      <w:rPr>
        <w:rFonts w:ascii="Symbol" w:hAnsi="Symbol" w:hint="default"/>
      </w:rPr>
    </w:lvl>
    <w:lvl w:ilvl="4" w:tplc="E3EA1C22">
      <w:start w:val="1"/>
      <w:numFmt w:val="bullet"/>
      <w:lvlText w:val="o"/>
      <w:lvlJc w:val="left"/>
      <w:pPr>
        <w:ind w:left="3600" w:hanging="360"/>
      </w:pPr>
      <w:rPr>
        <w:rFonts w:ascii="Courier New" w:hAnsi="Courier New" w:hint="default"/>
      </w:rPr>
    </w:lvl>
    <w:lvl w:ilvl="5" w:tplc="A55EB3B4">
      <w:start w:val="1"/>
      <w:numFmt w:val="bullet"/>
      <w:lvlText w:val=""/>
      <w:lvlJc w:val="left"/>
      <w:pPr>
        <w:ind w:left="4320" w:hanging="360"/>
      </w:pPr>
      <w:rPr>
        <w:rFonts w:ascii="Wingdings" w:hAnsi="Wingdings" w:hint="default"/>
      </w:rPr>
    </w:lvl>
    <w:lvl w:ilvl="6" w:tplc="7450A82E">
      <w:start w:val="1"/>
      <w:numFmt w:val="bullet"/>
      <w:lvlText w:val=""/>
      <w:lvlJc w:val="left"/>
      <w:pPr>
        <w:ind w:left="5040" w:hanging="360"/>
      </w:pPr>
      <w:rPr>
        <w:rFonts w:ascii="Symbol" w:hAnsi="Symbol" w:hint="default"/>
      </w:rPr>
    </w:lvl>
    <w:lvl w:ilvl="7" w:tplc="9512375E">
      <w:start w:val="1"/>
      <w:numFmt w:val="bullet"/>
      <w:lvlText w:val="o"/>
      <w:lvlJc w:val="left"/>
      <w:pPr>
        <w:ind w:left="5760" w:hanging="360"/>
      </w:pPr>
      <w:rPr>
        <w:rFonts w:ascii="Courier New" w:hAnsi="Courier New" w:hint="default"/>
      </w:rPr>
    </w:lvl>
    <w:lvl w:ilvl="8" w:tplc="9FAC1F56">
      <w:start w:val="1"/>
      <w:numFmt w:val="bullet"/>
      <w:lvlText w:val=""/>
      <w:lvlJc w:val="left"/>
      <w:pPr>
        <w:ind w:left="6480" w:hanging="360"/>
      </w:pPr>
      <w:rPr>
        <w:rFonts w:ascii="Wingdings" w:hAnsi="Wingdings" w:hint="default"/>
      </w:rPr>
    </w:lvl>
  </w:abstractNum>
  <w:abstractNum w:abstractNumId="10" w15:restartNumberingAfterBreak="0">
    <w:nsid w:val="077252AB"/>
    <w:multiLevelType w:val="multilevel"/>
    <w:tmpl w:val="A49EE954"/>
    <w:styleLink w:val="AppendixStyle"/>
    <w:lvl w:ilvl="0">
      <w:start w:val="1"/>
      <w:numFmt w:val="decimal"/>
      <w:pStyle w:val="Appendix"/>
      <w:lvlText w:val="Appendix %1"/>
      <w:lvlJc w:val="left"/>
      <w:pPr>
        <w:ind w:left="737" w:hanging="737"/>
      </w:pPr>
      <w:rPr>
        <w:rFonts w:ascii="Segoe UI" w:hAnsi="Segoe UI" w:cs="Times New Roman" w:hint="default"/>
        <w:b/>
        <w:bCs w:val="0"/>
        <w:i w:val="0"/>
        <w:iCs w:val="0"/>
        <w:caps/>
        <w:smallCaps w:val="0"/>
        <w:strike w:val="0"/>
        <w:dstrike w:val="0"/>
        <w:noProof w:val="0"/>
        <w:vanish w:val="0"/>
        <w:color w:val="215565" w:themeColor="accent2" w:themeShade="8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2"/>
      <w:lvlText w:val="A%1.%2"/>
      <w:lvlJc w:val="left"/>
      <w:pPr>
        <w:ind w:left="737" w:hanging="737"/>
      </w:pPr>
      <w:rPr>
        <w:rFonts w:ascii="Segoe UI" w:hAnsi="Segoe UI" w:hint="default"/>
        <w:b/>
        <w:i w:val="0"/>
        <w:caps/>
        <w:color w:val="215565" w:themeColor="accent2" w:themeShade="80"/>
        <w:sz w:val="32"/>
      </w:rPr>
    </w:lvl>
    <w:lvl w:ilvl="2">
      <w:start w:val="1"/>
      <w:numFmt w:val="decimal"/>
      <w:pStyle w:val="Appendix3"/>
      <w:lvlText w:val="A%1.%2.%3"/>
      <w:lvlJc w:val="left"/>
      <w:pPr>
        <w:ind w:left="737" w:hanging="737"/>
      </w:pPr>
      <w:rPr>
        <w:rFonts w:ascii="Segoe UI" w:hAnsi="Segoe UI" w:hint="default"/>
        <w:b/>
        <w:i w:val="0"/>
        <w:caps/>
        <w:color w:val="215565" w:themeColor="accent2" w:themeShade="80"/>
        <w:sz w:val="3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7EB6263"/>
    <w:multiLevelType w:val="hybridMultilevel"/>
    <w:tmpl w:val="80C0E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1C1227"/>
    <w:multiLevelType w:val="multilevel"/>
    <w:tmpl w:val="0C207A9A"/>
    <w:styleLink w:val="Bullets"/>
    <w:lvl w:ilvl="0">
      <w:start w:val="1"/>
      <w:numFmt w:val="bullet"/>
      <w:lvlText w:val=""/>
      <w:lvlJc w:val="left"/>
      <w:pPr>
        <w:tabs>
          <w:tab w:val="num" w:pos="454"/>
        </w:tabs>
        <w:ind w:left="454" w:hanging="454"/>
      </w:pPr>
      <w:rPr>
        <w:rFonts w:ascii="Wingdings" w:hAnsi="Wingdings" w:hint="default"/>
      </w:rPr>
    </w:lvl>
    <w:lvl w:ilvl="1">
      <w:start w:val="1"/>
      <w:numFmt w:val="bullet"/>
      <w:lvlText w:val="–"/>
      <w:lvlJc w:val="left"/>
      <w:pPr>
        <w:tabs>
          <w:tab w:val="num" w:pos="907"/>
        </w:tabs>
        <w:ind w:left="907" w:hanging="453"/>
      </w:pPr>
      <w:rPr>
        <w:rFonts w:ascii="Arial" w:hAnsi="Arial" w:hint="default"/>
      </w:rPr>
    </w:lvl>
    <w:lvl w:ilvl="2">
      <w:start w:val="1"/>
      <w:numFmt w:val="none"/>
      <w:lvlText w:val=""/>
      <w:lvlJc w:val="left"/>
      <w:pPr>
        <w:tabs>
          <w:tab w:val="num" w:pos="794"/>
        </w:tabs>
        <w:ind w:left="907" w:hanging="453"/>
      </w:pPr>
      <w:rPr>
        <w:rFonts w:hint="default"/>
      </w:rPr>
    </w:lvl>
    <w:lvl w:ilvl="3">
      <w:start w:val="1"/>
      <w:numFmt w:val="none"/>
      <w:lvlText w:val=""/>
      <w:lvlJc w:val="left"/>
      <w:pPr>
        <w:tabs>
          <w:tab w:val="num" w:pos="454"/>
        </w:tabs>
        <w:ind w:left="454" w:hanging="454"/>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0E6B5B7B"/>
    <w:multiLevelType w:val="hybridMultilevel"/>
    <w:tmpl w:val="98B858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18E205A"/>
    <w:multiLevelType w:val="hybridMultilevel"/>
    <w:tmpl w:val="C30AF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CC275C"/>
    <w:multiLevelType w:val="multilevel"/>
    <w:tmpl w:val="6CCC595A"/>
    <w:styleLink w:val="AppendixFigureheadings"/>
    <w:lvl w:ilvl="0">
      <w:start w:val="1"/>
      <w:numFmt w:val="decimal"/>
      <w:pStyle w:val="TableHeading2"/>
      <w:lvlText w:val="Table A%1."/>
      <w:lvlJc w:val="left"/>
      <w:pPr>
        <w:tabs>
          <w:tab w:val="num" w:pos="1304"/>
        </w:tabs>
        <w:ind w:left="360" w:hanging="360"/>
      </w:pPr>
      <w:rPr>
        <w:rFonts w:ascii="Segoe UI" w:hAnsi="Segoe UI" w:hint="default"/>
        <w:b/>
        <w:i w:val="0"/>
        <w:caps/>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97D1283"/>
    <w:multiLevelType w:val="hybridMultilevel"/>
    <w:tmpl w:val="BC80F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F2514B0"/>
    <w:multiLevelType w:val="hybridMultilevel"/>
    <w:tmpl w:val="74F44CC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0077780"/>
    <w:multiLevelType w:val="hybridMultilevel"/>
    <w:tmpl w:val="0DE4444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05E6203"/>
    <w:multiLevelType w:val="hybridMultilevel"/>
    <w:tmpl w:val="C264256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10C7510"/>
    <w:multiLevelType w:val="multilevel"/>
    <w:tmpl w:val="663A35F6"/>
    <w:styleLink w:val="TableNumbers"/>
    <w:lvl w:ilvl="0">
      <w:start w:val="1"/>
      <w:numFmt w:val="decimal"/>
      <w:pStyle w:val="TableHeading"/>
      <w:lvlText w:val="Table %1."/>
      <w:lvlJc w:val="left"/>
      <w:pPr>
        <w:tabs>
          <w:tab w:val="num" w:pos="1304"/>
        </w:tabs>
        <w:ind w:left="1304" w:hanging="1304"/>
      </w:pPr>
      <w:rPr>
        <w:rFonts w:ascii="Segoe UI" w:hAnsi="Segoe UI" w:hint="default"/>
        <w:b/>
        <w:i w:val="0"/>
        <w:caps/>
        <w:color w:val="000000" w:themeColor="text2"/>
        <w:sz w:val="20"/>
      </w:rPr>
    </w:lvl>
    <w:lvl w:ilvl="1">
      <w:start w:val="1"/>
      <w:numFmt w:val="decimal"/>
      <w:lvlText w:val="Table A%1.%2"/>
      <w:lvlJc w:val="left"/>
      <w:pPr>
        <w:tabs>
          <w:tab w:val="num" w:pos="1304"/>
        </w:tabs>
        <w:ind w:left="1304" w:hanging="1304"/>
      </w:pPr>
      <w:rPr>
        <w:rFonts w:ascii="Segoe UI" w:hAnsi="Segoe UI" w:hint="default"/>
        <w:b/>
        <w:i w:val="0"/>
        <w:caps/>
        <w:color w:val="000000" w:themeColor="text2"/>
        <w:sz w:val="20"/>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2167257F"/>
    <w:multiLevelType w:val="hybridMultilevel"/>
    <w:tmpl w:val="8D6E2A26"/>
    <w:lvl w:ilvl="0" w:tplc="1820F654">
      <w:start w:val="1"/>
      <w:numFmt w:val="bullet"/>
      <w:pStyle w:val="Tablebullet"/>
      <w:lvlText w:val=""/>
      <w:lvlJc w:val="left"/>
      <w:pPr>
        <w:ind w:left="644" w:hanging="360"/>
      </w:pPr>
      <w:rPr>
        <w:rFonts w:ascii="Symbol" w:hAnsi="Symbol" w:hint="default"/>
        <w:b w:val="0"/>
        <w:i w:val="0"/>
        <w:sz w:val="18"/>
      </w:rPr>
    </w:lvl>
    <w:lvl w:ilvl="1" w:tplc="0C090003">
      <w:start w:val="1"/>
      <w:numFmt w:val="bullet"/>
      <w:lvlText w:val="o"/>
      <w:lvlJc w:val="left"/>
      <w:pPr>
        <w:ind w:left="1068"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274799F"/>
    <w:multiLevelType w:val="hybridMultilevel"/>
    <w:tmpl w:val="29E0D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3D605F3"/>
    <w:multiLevelType w:val="hybridMultilevel"/>
    <w:tmpl w:val="E97CE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4DE1BEB"/>
    <w:multiLevelType w:val="hybridMultilevel"/>
    <w:tmpl w:val="79C642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5114571"/>
    <w:multiLevelType w:val="hybridMultilevel"/>
    <w:tmpl w:val="A35A2DD2"/>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5EC13F8"/>
    <w:multiLevelType w:val="multilevel"/>
    <w:tmpl w:val="6CCC595A"/>
    <w:styleLink w:val="Appendixtables"/>
    <w:lvl w:ilvl="0">
      <w:start w:val="1"/>
      <w:numFmt w:val="decimal"/>
      <w:lvlText w:val="Table A%1."/>
      <w:lvlJc w:val="left"/>
      <w:pPr>
        <w:tabs>
          <w:tab w:val="num" w:pos="1304"/>
        </w:tabs>
        <w:ind w:left="360" w:hanging="360"/>
      </w:pPr>
      <w:rPr>
        <w:rFonts w:ascii="Segoe UI" w:hAnsi="Segoe UI" w:hint="default"/>
        <w:b/>
        <w:i w:val="0"/>
        <w:caps/>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6303321"/>
    <w:multiLevelType w:val="hybridMultilevel"/>
    <w:tmpl w:val="79AC3A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77B4C61"/>
    <w:multiLevelType w:val="hybridMultilevel"/>
    <w:tmpl w:val="207A6BB6"/>
    <w:lvl w:ilvl="0" w:tplc="B0A64358">
      <w:start w:val="1"/>
      <w:numFmt w:val="decimal"/>
      <w:pStyle w:val="GeneralHeading2"/>
      <w:lvlText w:val="%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8737E18"/>
    <w:multiLevelType w:val="multilevel"/>
    <w:tmpl w:val="473E7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8E2170F"/>
    <w:multiLevelType w:val="hybridMultilevel"/>
    <w:tmpl w:val="91AA8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91C5A5F"/>
    <w:multiLevelType w:val="hybridMultilevel"/>
    <w:tmpl w:val="0846BE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D195E73"/>
    <w:multiLevelType w:val="hybridMultilevel"/>
    <w:tmpl w:val="6F7E9C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00A2840"/>
    <w:multiLevelType w:val="hybridMultilevel"/>
    <w:tmpl w:val="D326F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28B3D39"/>
    <w:multiLevelType w:val="hybridMultilevel"/>
    <w:tmpl w:val="652836B2"/>
    <w:lvl w:ilvl="0" w:tplc="B3BA57A6">
      <w:start w:val="1"/>
      <w:numFmt w:val="bullet"/>
      <w:pStyle w:val="Normalnumbered"/>
      <w:lvlText w:val=""/>
      <w:lvlJc w:val="left"/>
      <w:pPr>
        <w:tabs>
          <w:tab w:val="num" w:pos="1134"/>
        </w:tabs>
        <w:ind w:left="1134" w:hanging="567"/>
      </w:pPr>
      <w:rPr>
        <w:rFonts w:ascii="ZapfDingbats" w:hAnsi="ZapfDingbats" w:hint="default"/>
        <w:color w:val="000080"/>
        <w:sz w:val="20"/>
      </w:rPr>
    </w:lvl>
    <w:lvl w:ilvl="1" w:tplc="CFA81DD0" w:tentative="1">
      <w:start w:val="1"/>
      <w:numFmt w:val="bullet"/>
      <w:lvlText w:val="o"/>
      <w:lvlJc w:val="left"/>
      <w:pPr>
        <w:tabs>
          <w:tab w:val="num" w:pos="2574"/>
        </w:tabs>
        <w:ind w:left="2574" w:hanging="360"/>
      </w:pPr>
      <w:rPr>
        <w:rFonts w:ascii="Courier New" w:hAnsi="Courier New" w:hint="default"/>
      </w:rPr>
    </w:lvl>
    <w:lvl w:ilvl="2" w:tplc="37E6D9BA" w:tentative="1">
      <w:start w:val="1"/>
      <w:numFmt w:val="bullet"/>
      <w:lvlText w:val=""/>
      <w:lvlJc w:val="left"/>
      <w:pPr>
        <w:tabs>
          <w:tab w:val="num" w:pos="3294"/>
        </w:tabs>
        <w:ind w:left="3294" w:hanging="360"/>
      </w:pPr>
      <w:rPr>
        <w:rFonts w:ascii="Wingdings" w:hAnsi="Wingdings" w:hint="default"/>
      </w:rPr>
    </w:lvl>
    <w:lvl w:ilvl="3" w:tplc="630E83CC" w:tentative="1">
      <w:start w:val="1"/>
      <w:numFmt w:val="bullet"/>
      <w:lvlText w:val=""/>
      <w:lvlJc w:val="left"/>
      <w:pPr>
        <w:tabs>
          <w:tab w:val="num" w:pos="4014"/>
        </w:tabs>
        <w:ind w:left="4014" w:hanging="360"/>
      </w:pPr>
      <w:rPr>
        <w:rFonts w:ascii="Symbol" w:hAnsi="Symbol" w:hint="default"/>
      </w:rPr>
    </w:lvl>
    <w:lvl w:ilvl="4" w:tplc="C7F23C84" w:tentative="1">
      <w:start w:val="1"/>
      <w:numFmt w:val="bullet"/>
      <w:lvlText w:val="o"/>
      <w:lvlJc w:val="left"/>
      <w:pPr>
        <w:tabs>
          <w:tab w:val="num" w:pos="4734"/>
        </w:tabs>
        <w:ind w:left="4734" w:hanging="360"/>
      </w:pPr>
      <w:rPr>
        <w:rFonts w:ascii="Courier New" w:hAnsi="Courier New" w:hint="default"/>
      </w:rPr>
    </w:lvl>
    <w:lvl w:ilvl="5" w:tplc="E564D0A0" w:tentative="1">
      <w:start w:val="1"/>
      <w:numFmt w:val="bullet"/>
      <w:lvlText w:val=""/>
      <w:lvlJc w:val="left"/>
      <w:pPr>
        <w:tabs>
          <w:tab w:val="num" w:pos="5454"/>
        </w:tabs>
        <w:ind w:left="5454" w:hanging="360"/>
      </w:pPr>
      <w:rPr>
        <w:rFonts w:ascii="Wingdings" w:hAnsi="Wingdings" w:hint="default"/>
      </w:rPr>
    </w:lvl>
    <w:lvl w:ilvl="6" w:tplc="484E26A4" w:tentative="1">
      <w:start w:val="1"/>
      <w:numFmt w:val="bullet"/>
      <w:lvlText w:val=""/>
      <w:lvlJc w:val="left"/>
      <w:pPr>
        <w:tabs>
          <w:tab w:val="num" w:pos="6174"/>
        </w:tabs>
        <w:ind w:left="6174" w:hanging="360"/>
      </w:pPr>
      <w:rPr>
        <w:rFonts w:ascii="Symbol" w:hAnsi="Symbol" w:hint="default"/>
      </w:rPr>
    </w:lvl>
    <w:lvl w:ilvl="7" w:tplc="A5A2D0F2" w:tentative="1">
      <w:start w:val="1"/>
      <w:numFmt w:val="bullet"/>
      <w:lvlText w:val="o"/>
      <w:lvlJc w:val="left"/>
      <w:pPr>
        <w:tabs>
          <w:tab w:val="num" w:pos="6894"/>
        </w:tabs>
        <w:ind w:left="6894" w:hanging="360"/>
      </w:pPr>
      <w:rPr>
        <w:rFonts w:ascii="Courier New" w:hAnsi="Courier New" w:hint="default"/>
      </w:rPr>
    </w:lvl>
    <w:lvl w:ilvl="8" w:tplc="575E19F8" w:tentative="1">
      <w:start w:val="1"/>
      <w:numFmt w:val="bullet"/>
      <w:lvlText w:val=""/>
      <w:lvlJc w:val="left"/>
      <w:pPr>
        <w:tabs>
          <w:tab w:val="num" w:pos="7614"/>
        </w:tabs>
        <w:ind w:left="7614" w:hanging="360"/>
      </w:pPr>
      <w:rPr>
        <w:rFonts w:ascii="Wingdings" w:hAnsi="Wingdings" w:hint="default"/>
      </w:rPr>
    </w:lvl>
  </w:abstractNum>
  <w:abstractNum w:abstractNumId="35" w15:restartNumberingAfterBreak="0">
    <w:nsid w:val="35291A38"/>
    <w:multiLevelType w:val="hybridMultilevel"/>
    <w:tmpl w:val="19960D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357D3356"/>
    <w:multiLevelType w:val="hybridMultilevel"/>
    <w:tmpl w:val="6180EAD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72B36BB"/>
    <w:multiLevelType w:val="hybridMultilevel"/>
    <w:tmpl w:val="BA107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8E155F3"/>
    <w:multiLevelType w:val="hybridMultilevel"/>
    <w:tmpl w:val="46941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9C577C9"/>
    <w:multiLevelType w:val="hybridMultilevel"/>
    <w:tmpl w:val="E68298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0264058"/>
    <w:multiLevelType w:val="hybridMultilevel"/>
    <w:tmpl w:val="741E0B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18959D5"/>
    <w:multiLevelType w:val="hybridMultilevel"/>
    <w:tmpl w:val="F1D87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1C44850"/>
    <w:multiLevelType w:val="hybridMultilevel"/>
    <w:tmpl w:val="2B76B732"/>
    <w:lvl w:ilvl="0" w:tplc="91DE82D8">
      <w:start w:val="1"/>
      <w:numFmt w:val="decimal"/>
      <w:lvlText w:val="%1."/>
      <w:lvlJc w:val="left"/>
      <w:pPr>
        <w:ind w:left="735" w:hanging="37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4356712"/>
    <w:multiLevelType w:val="multilevel"/>
    <w:tmpl w:val="1922B4B2"/>
    <w:styleLink w:val="TableBullet0"/>
    <w:lvl w:ilvl="0">
      <w:start w:val="1"/>
      <w:numFmt w:val="bullet"/>
      <w:lvlText w:val=""/>
      <w:lvlJc w:val="left"/>
      <w:pPr>
        <w:tabs>
          <w:tab w:val="num" w:pos="284"/>
        </w:tabs>
        <w:ind w:left="284" w:hanging="284"/>
      </w:pPr>
      <w:rPr>
        <w:rFonts w:ascii="Symbol" w:hAnsi="Symbol"/>
        <w:sz w:val="16"/>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6C7067B"/>
    <w:multiLevelType w:val="hybridMultilevel"/>
    <w:tmpl w:val="B1A6B1C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47D14DDE"/>
    <w:multiLevelType w:val="hybridMultilevel"/>
    <w:tmpl w:val="09C04C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49AF7650"/>
    <w:multiLevelType w:val="hybridMultilevel"/>
    <w:tmpl w:val="3CDC4D2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C8F01B3C">
      <w:numFmt w:val="bullet"/>
      <w:lvlText w:val="•"/>
      <w:lvlJc w:val="left"/>
      <w:pPr>
        <w:ind w:left="1800" w:hanging="360"/>
      </w:pPr>
      <w:rPr>
        <w:rFonts w:ascii="Segoe UI" w:eastAsia="Calibri" w:hAnsi="Segoe UI" w:cs="Segoe U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4B733C20"/>
    <w:multiLevelType w:val="multilevel"/>
    <w:tmpl w:val="187A69F2"/>
    <w:styleLink w:val="ListNumber0"/>
    <w:lvl w:ilvl="0">
      <w:start w:val="1"/>
      <w:numFmt w:val="decimal"/>
      <w:lvlText w:val="%1."/>
      <w:lvlJc w:val="left"/>
      <w:pPr>
        <w:ind w:left="357" w:hanging="357"/>
      </w:pPr>
      <w:rPr>
        <w:rFonts w:hint="default"/>
      </w:rPr>
    </w:lvl>
    <w:lvl w:ilvl="1">
      <w:start w:val="1"/>
      <w:numFmt w:val="lowerLetter"/>
      <w:pStyle w:val="ListNumber2"/>
      <w:lvlText w:val="%2)"/>
      <w:lvlJc w:val="left"/>
      <w:pPr>
        <w:ind w:left="907" w:hanging="45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4C866F72"/>
    <w:multiLevelType w:val="hybridMultilevel"/>
    <w:tmpl w:val="692416BE"/>
    <w:styleLink w:val="ZZBullets"/>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E431558"/>
    <w:multiLevelType w:val="multilevel"/>
    <w:tmpl w:val="571E90C2"/>
    <w:styleLink w:val="ListBullet0"/>
    <w:lvl w:ilvl="0">
      <w:start w:val="1"/>
      <w:numFmt w:val="bullet"/>
      <w:lvlText w:val=""/>
      <w:lvlJc w:val="left"/>
      <w:pPr>
        <w:ind w:left="454" w:hanging="454"/>
      </w:pPr>
      <w:rPr>
        <w:rFonts w:ascii="Symbol" w:hAnsi="Symbol" w:hint="default"/>
      </w:rPr>
    </w:lvl>
    <w:lvl w:ilvl="1">
      <w:start w:val="1"/>
      <w:numFmt w:val="bullet"/>
      <w:pStyle w:val="ListBullet2"/>
      <w:lvlText w:val="o"/>
      <w:lvlJc w:val="left"/>
      <w:pPr>
        <w:ind w:left="907" w:hanging="45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EB94C6E"/>
    <w:multiLevelType w:val="singleLevel"/>
    <w:tmpl w:val="41386E84"/>
    <w:lvl w:ilvl="0">
      <w:start w:val="1"/>
      <w:numFmt w:val="bullet"/>
      <w:pStyle w:val="Listdashlevel2"/>
      <w:lvlText w:val="o"/>
      <w:lvlJc w:val="left"/>
      <w:pPr>
        <w:ind w:left="360" w:hanging="360"/>
      </w:pPr>
      <w:rPr>
        <w:rFonts w:ascii="Courier New" w:hAnsi="Courier New" w:cs="Courier New" w:hint="default"/>
      </w:rPr>
    </w:lvl>
  </w:abstractNum>
  <w:abstractNum w:abstractNumId="51" w15:restartNumberingAfterBreak="0">
    <w:nsid w:val="4ECD2C6C"/>
    <w:multiLevelType w:val="hybridMultilevel"/>
    <w:tmpl w:val="FFFFFFFF"/>
    <w:lvl w:ilvl="0" w:tplc="83CC9CC4">
      <w:start w:val="1"/>
      <w:numFmt w:val="bullet"/>
      <w:lvlText w:val=""/>
      <w:lvlJc w:val="left"/>
      <w:pPr>
        <w:ind w:left="720" w:hanging="360"/>
      </w:pPr>
      <w:rPr>
        <w:rFonts w:ascii="Symbol" w:hAnsi="Symbol" w:hint="default"/>
      </w:rPr>
    </w:lvl>
    <w:lvl w:ilvl="1" w:tplc="7C262776">
      <w:start w:val="1"/>
      <w:numFmt w:val="bullet"/>
      <w:lvlText w:val="o"/>
      <w:lvlJc w:val="left"/>
      <w:pPr>
        <w:ind w:left="1440" w:hanging="360"/>
      </w:pPr>
      <w:rPr>
        <w:rFonts w:ascii="Courier New" w:hAnsi="Courier New" w:hint="default"/>
      </w:rPr>
    </w:lvl>
    <w:lvl w:ilvl="2" w:tplc="2D3A5BE8">
      <w:start w:val="1"/>
      <w:numFmt w:val="bullet"/>
      <w:lvlText w:val=""/>
      <w:lvlJc w:val="left"/>
      <w:pPr>
        <w:ind w:left="2160" w:hanging="360"/>
      </w:pPr>
      <w:rPr>
        <w:rFonts w:ascii="Wingdings" w:hAnsi="Wingdings" w:hint="default"/>
      </w:rPr>
    </w:lvl>
    <w:lvl w:ilvl="3" w:tplc="56FA17B8">
      <w:start w:val="1"/>
      <w:numFmt w:val="bullet"/>
      <w:lvlText w:val=""/>
      <w:lvlJc w:val="left"/>
      <w:pPr>
        <w:ind w:left="2880" w:hanging="360"/>
      </w:pPr>
      <w:rPr>
        <w:rFonts w:ascii="Symbol" w:hAnsi="Symbol" w:hint="default"/>
      </w:rPr>
    </w:lvl>
    <w:lvl w:ilvl="4" w:tplc="55667E52">
      <w:start w:val="1"/>
      <w:numFmt w:val="bullet"/>
      <w:lvlText w:val="o"/>
      <w:lvlJc w:val="left"/>
      <w:pPr>
        <w:ind w:left="3600" w:hanging="360"/>
      </w:pPr>
      <w:rPr>
        <w:rFonts w:ascii="Courier New" w:hAnsi="Courier New" w:hint="default"/>
      </w:rPr>
    </w:lvl>
    <w:lvl w:ilvl="5" w:tplc="801C20AE">
      <w:start w:val="1"/>
      <w:numFmt w:val="bullet"/>
      <w:lvlText w:val=""/>
      <w:lvlJc w:val="left"/>
      <w:pPr>
        <w:ind w:left="4320" w:hanging="360"/>
      </w:pPr>
      <w:rPr>
        <w:rFonts w:ascii="Wingdings" w:hAnsi="Wingdings" w:hint="default"/>
      </w:rPr>
    </w:lvl>
    <w:lvl w:ilvl="6" w:tplc="044E861E">
      <w:start w:val="1"/>
      <w:numFmt w:val="bullet"/>
      <w:lvlText w:val=""/>
      <w:lvlJc w:val="left"/>
      <w:pPr>
        <w:ind w:left="5040" w:hanging="360"/>
      </w:pPr>
      <w:rPr>
        <w:rFonts w:ascii="Symbol" w:hAnsi="Symbol" w:hint="default"/>
      </w:rPr>
    </w:lvl>
    <w:lvl w:ilvl="7" w:tplc="BE64ACD0">
      <w:start w:val="1"/>
      <w:numFmt w:val="bullet"/>
      <w:lvlText w:val="o"/>
      <w:lvlJc w:val="left"/>
      <w:pPr>
        <w:ind w:left="5760" w:hanging="360"/>
      </w:pPr>
      <w:rPr>
        <w:rFonts w:ascii="Courier New" w:hAnsi="Courier New" w:hint="default"/>
      </w:rPr>
    </w:lvl>
    <w:lvl w:ilvl="8" w:tplc="2BA26EEE">
      <w:start w:val="1"/>
      <w:numFmt w:val="bullet"/>
      <w:lvlText w:val=""/>
      <w:lvlJc w:val="left"/>
      <w:pPr>
        <w:ind w:left="6480" w:hanging="360"/>
      </w:pPr>
      <w:rPr>
        <w:rFonts w:ascii="Wingdings" w:hAnsi="Wingdings" w:hint="default"/>
      </w:rPr>
    </w:lvl>
  </w:abstractNum>
  <w:abstractNum w:abstractNumId="52" w15:restartNumberingAfterBreak="0">
    <w:nsid w:val="4ED8072D"/>
    <w:multiLevelType w:val="hybridMultilevel"/>
    <w:tmpl w:val="07FCB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F4D7B71"/>
    <w:multiLevelType w:val="multilevel"/>
    <w:tmpl w:val="187A69F2"/>
    <w:numStyleLink w:val="ListNumber0"/>
  </w:abstractNum>
  <w:abstractNum w:abstractNumId="54" w15:restartNumberingAfterBreak="0">
    <w:nsid w:val="4F9B3A98"/>
    <w:multiLevelType w:val="multilevel"/>
    <w:tmpl w:val="CF22094A"/>
    <w:styleLink w:val="NumberedList"/>
    <w:lvl w:ilvl="0">
      <w:start w:val="1"/>
      <w:numFmt w:val="bullet"/>
      <w:lvlText w:val=""/>
      <w:lvlJc w:val="left"/>
      <w:pPr>
        <w:tabs>
          <w:tab w:val="num" w:pos="454"/>
        </w:tabs>
        <w:ind w:left="454" w:hanging="454"/>
      </w:pPr>
      <w:rPr>
        <w:rFonts w:ascii="Wingdings" w:hAnsi="Wingdings" w:hint="default"/>
        <w:b w:val="0"/>
        <w:i w:val="0"/>
        <w:caps w:val="0"/>
        <w:strike w:val="0"/>
        <w:dstrike w:val="0"/>
        <w:vanish w:val="0"/>
        <w:color w:val="000000"/>
        <w:sz w:val="22"/>
        <w:vertAlign w:val="baseline"/>
      </w:rPr>
    </w:lvl>
    <w:lvl w:ilvl="1">
      <w:start w:val="1"/>
      <w:numFmt w:val="decimal"/>
      <w:lvlText w:val="%2."/>
      <w:lvlJc w:val="left"/>
      <w:pPr>
        <w:tabs>
          <w:tab w:val="num" w:pos="680"/>
        </w:tabs>
        <w:ind w:left="680" w:hanging="680"/>
      </w:pPr>
      <w:rPr>
        <w:rFonts w:ascii="Cambria" w:hAnsi="Cambria"/>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FAF37C3"/>
    <w:multiLevelType w:val="multilevel"/>
    <w:tmpl w:val="FDD8CD0A"/>
    <w:numStyleLink w:val="Headingsframe"/>
  </w:abstractNum>
  <w:abstractNum w:abstractNumId="56" w15:restartNumberingAfterBreak="0">
    <w:nsid w:val="50592E5A"/>
    <w:multiLevelType w:val="hybridMultilevel"/>
    <w:tmpl w:val="E30A9D8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50B16899"/>
    <w:multiLevelType w:val="hybridMultilevel"/>
    <w:tmpl w:val="097651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50D4090A"/>
    <w:multiLevelType w:val="hybridMultilevel"/>
    <w:tmpl w:val="FF98308A"/>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18F2CD6"/>
    <w:multiLevelType w:val="multilevel"/>
    <w:tmpl w:val="66D8CA7A"/>
    <w:styleLink w:val="Headings"/>
    <w:lvl w:ilvl="0">
      <w:start w:val="1"/>
      <w:numFmt w:val="decimal"/>
      <w:pStyle w:val="Heading1"/>
      <w:lvlText w:val="%1."/>
      <w:lvlJc w:val="left"/>
      <w:pPr>
        <w:tabs>
          <w:tab w:val="num" w:pos="680"/>
        </w:tabs>
        <w:ind w:left="680" w:hanging="680"/>
      </w:pPr>
    </w:lvl>
    <w:lvl w:ilvl="1">
      <w:start w:val="1"/>
      <w:numFmt w:val="decimal"/>
      <w:pStyle w:val="Heading2"/>
      <w:lvlText w:val="%1.%2"/>
      <w:lvlJc w:val="left"/>
      <w:pPr>
        <w:tabs>
          <w:tab w:val="num" w:pos="680"/>
        </w:tabs>
        <w:ind w:left="680" w:hanging="680"/>
      </w:pPr>
    </w:lvl>
    <w:lvl w:ilvl="2">
      <w:start w:val="1"/>
      <w:numFmt w:val="decimal"/>
      <w:pStyle w:val="Heading3"/>
      <w:lvlText w:val="%1.%2.%3"/>
      <w:lvlJc w:val="left"/>
      <w:pPr>
        <w:tabs>
          <w:tab w:val="num" w:pos="794"/>
        </w:tabs>
        <w:ind w:left="794" w:hanging="794"/>
      </w:pPr>
    </w:lvl>
    <w:lvl w:ilvl="3">
      <w:start w:val="1"/>
      <w:numFmt w:val="decimal"/>
      <w:lvlText w:val=""/>
      <w:lvlJc w:val="left"/>
      <w:pPr>
        <w:tabs>
          <w:tab w:val="num" w:pos="340"/>
        </w:tabs>
        <w:ind w:left="340" w:hanging="340"/>
      </w:pPr>
    </w:lvl>
    <w:lvl w:ilvl="4">
      <w:start w:val="1"/>
      <w:numFmt w:val="decimal"/>
      <w:lvlText w:val=""/>
      <w:lvlJc w:val="left"/>
      <w:pPr>
        <w:tabs>
          <w:tab w:val="num" w:pos="340"/>
        </w:tabs>
        <w:ind w:left="340" w:hanging="340"/>
      </w:pPr>
    </w:lvl>
    <w:lvl w:ilvl="5">
      <w:start w:val="1"/>
      <w:numFmt w:val="decimal"/>
      <w:lvlText w:val=""/>
      <w:lvlJc w:val="left"/>
      <w:pPr>
        <w:tabs>
          <w:tab w:val="num" w:pos="340"/>
        </w:tabs>
        <w:ind w:left="340" w:hanging="340"/>
      </w:pPr>
    </w:lvl>
    <w:lvl w:ilvl="6">
      <w:start w:val="1"/>
      <w:numFmt w:val="decimal"/>
      <w:lvlText w:val=""/>
      <w:lvlJc w:val="left"/>
      <w:pPr>
        <w:tabs>
          <w:tab w:val="num" w:pos="340"/>
        </w:tabs>
        <w:ind w:left="340" w:hanging="340"/>
      </w:pPr>
    </w:lvl>
    <w:lvl w:ilvl="7">
      <w:start w:val="1"/>
      <w:numFmt w:val="decimal"/>
      <w:lvlText w:val=""/>
      <w:lvlJc w:val="left"/>
      <w:pPr>
        <w:tabs>
          <w:tab w:val="num" w:pos="340"/>
        </w:tabs>
        <w:ind w:left="340" w:hanging="340"/>
      </w:pPr>
    </w:lvl>
    <w:lvl w:ilvl="8">
      <w:start w:val="1"/>
      <w:numFmt w:val="decimal"/>
      <w:lvlText w:val=""/>
      <w:lvlJc w:val="left"/>
      <w:pPr>
        <w:tabs>
          <w:tab w:val="num" w:pos="340"/>
        </w:tabs>
        <w:ind w:left="340" w:hanging="340"/>
      </w:pPr>
    </w:lvl>
  </w:abstractNum>
  <w:abstractNum w:abstractNumId="60" w15:restartNumberingAfterBreak="0">
    <w:nsid w:val="520F55C3"/>
    <w:multiLevelType w:val="hybridMultilevel"/>
    <w:tmpl w:val="CECC0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21A7E89"/>
    <w:multiLevelType w:val="hybridMultilevel"/>
    <w:tmpl w:val="3ACAB76E"/>
    <w:lvl w:ilvl="0" w:tplc="F4BC72A2">
      <w:start w:val="1"/>
      <w:numFmt w:val="decimal"/>
      <w:lvlText w:val="%1."/>
      <w:lvlJc w:val="left"/>
      <w:pPr>
        <w:tabs>
          <w:tab w:val="num" w:pos="454"/>
        </w:tabs>
        <w:ind w:left="454" w:hanging="454"/>
      </w:pPr>
    </w:lvl>
    <w:lvl w:ilvl="1" w:tplc="511C24C0">
      <w:start w:val="1"/>
      <w:numFmt w:val="lowerLetter"/>
      <w:lvlText w:val="%2)"/>
      <w:lvlJc w:val="left"/>
      <w:pPr>
        <w:tabs>
          <w:tab w:val="num" w:pos="907"/>
        </w:tabs>
        <w:ind w:left="907" w:hanging="453"/>
      </w:pPr>
    </w:lvl>
    <w:lvl w:ilvl="2" w:tplc="2314131A">
      <w:start w:val="1"/>
      <w:numFmt w:val="decimal"/>
      <w:lvlText w:val=""/>
      <w:lvlJc w:val="left"/>
      <w:pPr>
        <w:ind w:left="1080" w:hanging="360"/>
      </w:pPr>
    </w:lvl>
    <w:lvl w:ilvl="3" w:tplc="5466491A">
      <w:start w:val="1"/>
      <w:numFmt w:val="decimal"/>
      <w:lvlText w:val=""/>
      <w:lvlJc w:val="left"/>
      <w:pPr>
        <w:ind w:left="1440" w:hanging="360"/>
      </w:pPr>
    </w:lvl>
    <w:lvl w:ilvl="4" w:tplc="C9B245D2">
      <w:start w:val="1"/>
      <w:numFmt w:val="decimal"/>
      <w:lvlText w:val=""/>
      <w:lvlJc w:val="left"/>
      <w:pPr>
        <w:ind w:left="1800" w:hanging="360"/>
      </w:pPr>
    </w:lvl>
    <w:lvl w:ilvl="5" w:tplc="19E49804">
      <w:start w:val="1"/>
      <w:numFmt w:val="decimal"/>
      <w:lvlText w:val=""/>
      <w:lvlJc w:val="left"/>
      <w:pPr>
        <w:ind w:left="2160" w:hanging="360"/>
      </w:pPr>
    </w:lvl>
    <w:lvl w:ilvl="6" w:tplc="6106A2BE">
      <w:start w:val="1"/>
      <w:numFmt w:val="decimal"/>
      <w:lvlText w:val=""/>
      <w:lvlJc w:val="left"/>
      <w:pPr>
        <w:ind w:left="2520" w:hanging="360"/>
      </w:pPr>
    </w:lvl>
    <w:lvl w:ilvl="7" w:tplc="CB3E9CF2">
      <w:start w:val="1"/>
      <w:numFmt w:val="decimal"/>
      <w:lvlText w:val=""/>
      <w:lvlJc w:val="left"/>
      <w:pPr>
        <w:ind w:left="2880" w:hanging="360"/>
      </w:pPr>
    </w:lvl>
    <w:lvl w:ilvl="8" w:tplc="7F66EC08">
      <w:start w:val="1"/>
      <w:numFmt w:val="decimal"/>
      <w:lvlText w:val=""/>
      <w:lvlJc w:val="left"/>
      <w:pPr>
        <w:ind w:left="3240" w:hanging="360"/>
      </w:pPr>
    </w:lvl>
  </w:abstractNum>
  <w:abstractNum w:abstractNumId="62" w15:restartNumberingAfterBreak="0">
    <w:nsid w:val="527C2533"/>
    <w:multiLevelType w:val="multilevel"/>
    <w:tmpl w:val="6CCC595A"/>
    <w:numStyleLink w:val="AppendixFigureheadings"/>
  </w:abstractNum>
  <w:abstractNum w:abstractNumId="63" w15:restartNumberingAfterBreak="0">
    <w:nsid w:val="540E5DDC"/>
    <w:multiLevelType w:val="hybridMultilevel"/>
    <w:tmpl w:val="0240D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50A343F"/>
    <w:multiLevelType w:val="hybridMultilevel"/>
    <w:tmpl w:val="3C247A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563456F8"/>
    <w:multiLevelType w:val="hybridMultilevel"/>
    <w:tmpl w:val="8030457C"/>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7692E19"/>
    <w:multiLevelType w:val="hybridMultilevel"/>
    <w:tmpl w:val="7ECA7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7841DC3"/>
    <w:multiLevelType w:val="hybridMultilevel"/>
    <w:tmpl w:val="F09C165E"/>
    <w:lvl w:ilvl="0" w:tplc="69DEFCB0">
      <w:start w:val="1"/>
      <w:numFmt w:val="bullet"/>
      <w:lvlText w:val=""/>
      <w:lvlJc w:val="left"/>
      <w:pPr>
        <w:ind w:left="720" w:hanging="360"/>
      </w:pPr>
      <w:rPr>
        <w:rFonts w:ascii="Symbol" w:hAnsi="Symbol"/>
      </w:rPr>
    </w:lvl>
    <w:lvl w:ilvl="1" w:tplc="A21468E8">
      <w:start w:val="1"/>
      <w:numFmt w:val="bullet"/>
      <w:lvlText w:val=""/>
      <w:lvlJc w:val="left"/>
      <w:pPr>
        <w:ind w:left="720" w:hanging="360"/>
      </w:pPr>
      <w:rPr>
        <w:rFonts w:ascii="Symbol" w:hAnsi="Symbol"/>
      </w:rPr>
    </w:lvl>
    <w:lvl w:ilvl="2" w:tplc="232C9C58">
      <w:start w:val="1"/>
      <w:numFmt w:val="bullet"/>
      <w:lvlText w:val=""/>
      <w:lvlJc w:val="left"/>
      <w:pPr>
        <w:ind w:left="720" w:hanging="360"/>
      </w:pPr>
      <w:rPr>
        <w:rFonts w:ascii="Symbol" w:hAnsi="Symbol"/>
      </w:rPr>
    </w:lvl>
    <w:lvl w:ilvl="3" w:tplc="53F0A824">
      <w:start w:val="1"/>
      <w:numFmt w:val="bullet"/>
      <w:lvlText w:val=""/>
      <w:lvlJc w:val="left"/>
      <w:pPr>
        <w:ind w:left="720" w:hanging="360"/>
      </w:pPr>
      <w:rPr>
        <w:rFonts w:ascii="Symbol" w:hAnsi="Symbol"/>
      </w:rPr>
    </w:lvl>
    <w:lvl w:ilvl="4" w:tplc="DB90B848">
      <w:start w:val="1"/>
      <w:numFmt w:val="bullet"/>
      <w:lvlText w:val=""/>
      <w:lvlJc w:val="left"/>
      <w:pPr>
        <w:ind w:left="720" w:hanging="360"/>
      </w:pPr>
      <w:rPr>
        <w:rFonts w:ascii="Symbol" w:hAnsi="Symbol"/>
      </w:rPr>
    </w:lvl>
    <w:lvl w:ilvl="5" w:tplc="52A86E3A">
      <w:start w:val="1"/>
      <w:numFmt w:val="bullet"/>
      <w:lvlText w:val=""/>
      <w:lvlJc w:val="left"/>
      <w:pPr>
        <w:ind w:left="720" w:hanging="360"/>
      </w:pPr>
      <w:rPr>
        <w:rFonts w:ascii="Symbol" w:hAnsi="Symbol"/>
      </w:rPr>
    </w:lvl>
    <w:lvl w:ilvl="6" w:tplc="3B86D658">
      <w:start w:val="1"/>
      <w:numFmt w:val="bullet"/>
      <w:lvlText w:val=""/>
      <w:lvlJc w:val="left"/>
      <w:pPr>
        <w:ind w:left="720" w:hanging="360"/>
      </w:pPr>
      <w:rPr>
        <w:rFonts w:ascii="Symbol" w:hAnsi="Symbol"/>
      </w:rPr>
    </w:lvl>
    <w:lvl w:ilvl="7" w:tplc="7A5CA2AC">
      <w:start w:val="1"/>
      <w:numFmt w:val="bullet"/>
      <w:lvlText w:val=""/>
      <w:lvlJc w:val="left"/>
      <w:pPr>
        <w:ind w:left="720" w:hanging="360"/>
      </w:pPr>
      <w:rPr>
        <w:rFonts w:ascii="Symbol" w:hAnsi="Symbol"/>
      </w:rPr>
    </w:lvl>
    <w:lvl w:ilvl="8" w:tplc="1D1E59D6">
      <w:start w:val="1"/>
      <w:numFmt w:val="bullet"/>
      <w:lvlText w:val=""/>
      <w:lvlJc w:val="left"/>
      <w:pPr>
        <w:ind w:left="720" w:hanging="360"/>
      </w:pPr>
      <w:rPr>
        <w:rFonts w:ascii="Symbol" w:hAnsi="Symbol"/>
      </w:rPr>
    </w:lvl>
  </w:abstractNum>
  <w:abstractNum w:abstractNumId="68" w15:restartNumberingAfterBreak="0">
    <w:nsid w:val="583D6085"/>
    <w:multiLevelType w:val="multilevel"/>
    <w:tmpl w:val="9CEA288E"/>
    <w:numStyleLink w:val="FigureNumbers"/>
  </w:abstractNum>
  <w:abstractNum w:abstractNumId="69" w15:restartNumberingAfterBreak="0">
    <w:nsid w:val="58464612"/>
    <w:multiLevelType w:val="hybridMultilevel"/>
    <w:tmpl w:val="EC4C9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0E33217"/>
    <w:multiLevelType w:val="hybridMultilevel"/>
    <w:tmpl w:val="CA6E54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62D95B85"/>
    <w:multiLevelType w:val="multilevel"/>
    <w:tmpl w:val="9CEA288E"/>
    <w:styleLink w:val="FigureNumbers"/>
    <w:lvl w:ilvl="0">
      <w:start w:val="1"/>
      <w:numFmt w:val="decimal"/>
      <w:pStyle w:val="FigureHeading"/>
      <w:lvlText w:val="Figure %1."/>
      <w:lvlJc w:val="left"/>
      <w:pPr>
        <w:tabs>
          <w:tab w:val="num" w:pos="1304"/>
        </w:tabs>
        <w:ind w:left="1304" w:hanging="1304"/>
      </w:pPr>
      <w:rPr>
        <w:rFonts w:ascii="Segoe UI" w:hAnsi="Segoe UI" w:hint="default"/>
        <w:b/>
        <w:i w:val="0"/>
        <w:caps/>
        <w:color w:val="000000" w:themeColor="text2"/>
        <w:sz w:val="20"/>
      </w:rPr>
    </w:lvl>
    <w:lvl w:ilvl="1">
      <w:start w:val="1"/>
      <w:numFmt w:val="decimal"/>
      <w:lvlText w:val="FIGURE A%1.%2"/>
      <w:lvlJc w:val="left"/>
      <w:pPr>
        <w:tabs>
          <w:tab w:val="num" w:pos="1304"/>
        </w:tabs>
        <w:ind w:left="1304" w:hanging="1304"/>
      </w:pPr>
      <w:rPr>
        <w:rFonts w:ascii="Segoe UI" w:hAnsi="Segoe UI" w:hint="default"/>
        <w:b/>
        <w:i w:val="0"/>
        <w:caps/>
        <w:color w:val="000000" w:themeColor="text2"/>
        <w:sz w:val="20"/>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2" w15:restartNumberingAfterBreak="0">
    <w:nsid w:val="632D06E4"/>
    <w:multiLevelType w:val="hybridMultilevel"/>
    <w:tmpl w:val="F8EC1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55D61B0"/>
    <w:multiLevelType w:val="hybridMultilevel"/>
    <w:tmpl w:val="4F5E615E"/>
    <w:lvl w:ilvl="0" w:tplc="C9CA006A">
      <w:start w:val="1"/>
      <w:numFmt w:val="bullet"/>
      <w:pStyle w:val="Box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663437C3"/>
    <w:multiLevelType w:val="hybridMultilevel"/>
    <w:tmpl w:val="D088A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6686762"/>
    <w:multiLevelType w:val="hybridMultilevel"/>
    <w:tmpl w:val="BDDC1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711392F"/>
    <w:multiLevelType w:val="multilevel"/>
    <w:tmpl w:val="663A35F6"/>
    <w:numStyleLink w:val="TableNumbers"/>
  </w:abstractNum>
  <w:abstractNum w:abstractNumId="77" w15:restartNumberingAfterBreak="0">
    <w:nsid w:val="674809A2"/>
    <w:multiLevelType w:val="hybridMultilevel"/>
    <w:tmpl w:val="65108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8583CEF"/>
    <w:multiLevelType w:val="hybridMultilevel"/>
    <w:tmpl w:val="CA8E29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6BA606C3"/>
    <w:multiLevelType w:val="multilevel"/>
    <w:tmpl w:val="DA64B796"/>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0" w15:restartNumberingAfterBreak="0">
    <w:nsid w:val="6BD34DAD"/>
    <w:multiLevelType w:val="hybridMultilevel"/>
    <w:tmpl w:val="A9CEE8D0"/>
    <w:lvl w:ilvl="0" w:tplc="0C090001">
      <w:start w:val="1"/>
      <w:numFmt w:val="bullet"/>
      <w:lvlText w:val=""/>
      <w:lvlJc w:val="left"/>
      <w:pPr>
        <w:ind w:left="360" w:hanging="360"/>
      </w:pPr>
      <w:rPr>
        <w:rFonts w:ascii="Symbol" w:hAnsi="Symbol" w:hint="default"/>
      </w:rPr>
    </w:lvl>
    <w:lvl w:ilvl="1" w:tplc="15A0E326">
      <w:numFmt w:val="bullet"/>
      <w:lvlText w:val="-"/>
      <w:lvlJc w:val="left"/>
      <w:pPr>
        <w:ind w:left="1080" w:hanging="360"/>
      </w:pPr>
      <w:rPr>
        <w:rFonts w:ascii="Segoe UI" w:eastAsia="Times New Roman" w:hAnsi="Segoe UI" w:cs="Segoe UI" w:hint="default"/>
        <w:sz w:val="18"/>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6BF26B6E"/>
    <w:multiLevelType w:val="multilevel"/>
    <w:tmpl w:val="A49EE954"/>
    <w:numStyleLink w:val="AppendixStyle"/>
  </w:abstractNum>
  <w:abstractNum w:abstractNumId="82" w15:restartNumberingAfterBreak="0">
    <w:nsid w:val="6C140FDB"/>
    <w:multiLevelType w:val="hybridMultilevel"/>
    <w:tmpl w:val="CAD00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C6B10D0"/>
    <w:multiLevelType w:val="hybridMultilevel"/>
    <w:tmpl w:val="804EA4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6CC220DA"/>
    <w:multiLevelType w:val="hybridMultilevel"/>
    <w:tmpl w:val="1A244D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6D727A2B"/>
    <w:multiLevelType w:val="multilevel"/>
    <w:tmpl w:val="24DA4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DFB13F8"/>
    <w:multiLevelType w:val="hybridMultilevel"/>
    <w:tmpl w:val="FFFFFFFF"/>
    <w:lvl w:ilvl="0" w:tplc="3258A3E0">
      <w:start w:val="1"/>
      <w:numFmt w:val="bullet"/>
      <w:lvlText w:val=""/>
      <w:lvlJc w:val="left"/>
      <w:pPr>
        <w:ind w:left="720" w:hanging="360"/>
      </w:pPr>
      <w:rPr>
        <w:rFonts w:ascii="Symbol" w:hAnsi="Symbol" w:hint="default"/>
      </w:rPr>
    </w:lvl>
    <w:lvl w:ilvl="1" w:tplc="5EFC6620">
      <w:start w:val="1"/>
      <w:numFmt w:val="bullet"/>
      <w:lvlText w:val="o"/>
      <w:lvlJc w:val="left"/>
      <w:pPr>
        <w:ind w:left="1440" w:hanging="360"/>
      </w:pPr>
      <w:rPr>
        <w:rFonts w:ascii="Courier New" w:hAnsi="Courier New" w:hint="default"/>
      </w:rPr>
    </w:lvl>
    <w:lvl w:ilvl="2" w:tplc="4DA88D4C">
      <w:start w:val="1"/>
      <w:numFmt w:val="bullet"/>
      <w:lvlText w:val=""/>
      <w:lvlJc w:val="left"/>
      <w:pPr>
        <w:ind w:left="2160" w:hanging="360"/>
      </w:pPr>
      <w:rPr>
        <w:rFonts w:ascii="Wingdings" w:hAnsi="Wingdings" w:hint="default"/>
      </w:rPr>
    </w:lvl>
    <w:lvl w:ilvl="3" w:tplc="35D24176">
      <w:start w:val="1"/>
      <w:numFmt w:val="bullet"/>
      <w:lvlText w:val=""/>
      <w:lvlJc w:val="left"/>
      <w:pPr>
        <w:ind w:left="2880" w:hanging="360"/>
      </w:pPr>
      <w:rPr>
        <w:rFonts w:ascii="Symbol" w:hAnsi="Symbol" w:hint="default"/>
      </w:rPr>
    </w:lvl>
    <w:lvl w:ilvl="4" w:tplc="983804D0">
      <w:start w:val="1"/>
      <w:numFmt w:val="bullet"/>
      <w:lvlText w:val="o"/>
      <w:lvlJc w:val="left"/>
      <w:pPr>
        <w:ind w:left="3600" w:hanging="360"/>
      </w:pPr>
      <w:rPr>
        <w:rFonts w:ascii="Courier New" w:hAnsi="Courier New" w:hint="default"/>
      </w:rPr>
    </w:lvl>
    <w:lvl w:ilvl="5" w:tplc="DCF43F48">
      <w:start w:val="1"/>
      <w:numFmt w:val="bullet"/>
      <w:lvlText w:val=""/>
      <w:lvlJc w:val="left"/>
      <w:pPr>
        <w:ind w:left="4320" w:hanging="360"/>
      </w:pPr>
      <w:rPr>
        <w:rFonts w:ascii="Wingdings" w:hAnsi="Wingdings" w:hint="default"/>
      </w:rPr>
    </w:lvl>
    <w:lvl w:ilvl="6" w:tplc="3778535A">
      <w:start w:val="1"/>
      <w:numFmt w:val="bullet"/>
      <w:lvlText w:val=""/>
      <w:lvlJc w:val="left"/>
      <w:pPr>
        <w:ind w:left="5040" w:hanging="360"/>
      </w:pPr>
      <w:rPr>
        <w:rFonts w:ascii="Symbol" w:hAnsi="Symbol" w:hint="default"/>
      </w:rPr>
    </w:lvl>
    <w:lvl w:ilvl="7" w:tplc="FF5C0F4E">
      <w:start w:val="1"/>
      <w:numFmt w:val="bullet"/>
      <w:lvlText w:val="o"/>
      <w:lvlJc w:val="left"/>
      <w:pPr>
        <w:ind w:left="5760" w:hanging="360"/>
      </w:pPr>
      <w:rPr>
        <w:rFonts w:ascii="Courier New" w:hAnsi="Courier New" w:hint="default"/>
      </w:rPr>
    </w:lvl>
    <w:lvl w:ilvl="8" w:tplc="85F23C6E">
      <w:start w:val="1"/>
      <w:numFmt w:val="bullet"/>
      <w:lvlText w:val=""/>
      <w:lvlJc w:val="left"/>
      <w:pPr>
        <w:ind w:left="6480" w:hanging="360"/>
      </w:pPr>
      <w:rPr>
        <w:rFonts w:ascii="Wingdings" w:hAnsi="Wingdings" w:hint="default"/>
      </w:rPr>
    </w:lvl>
  </w:abstractNum>
  <w:abstractNum w:abstractNumId="87" w15:restartNumberingAfterBreak="0">
    <w:nsid w:val="700B343B"/>
    <w:multiLevelType w:val="singleLevel"/>
    <w:tmpl w:val="DCDC9656"/>
    <w:lvl w:ilvl="0">
      <w:start w:val="1"/>
      <w:numFmt w:val="decimal"/>
      <w:pStyle w:val="Heading4List"/>
      <w:lvlText w:val="%1.4.1.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88" w15:restartNumberingAfterBreak="0">
    <w:nsid w:val="72480451"/>
    <w:multiLevelType w:val="hybridMultilevel"/>
    <w:tmpl w:val="FF98308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74536D04"/>
    <w:multiLevelType w:val="hybridMultilevel"/>
    <w:tmpl w:val="0AB8B3D6"/>
    <w:lvl w:ilvl="0" w:tplc="BF54A63A">
      <w:start w:val="1"/>
      <w:numFmt w:val="bullet"/>
      <w:lvlText w:val=""/>
      <w:lvlJc w:val="left"/>
      <w:pPr>
        <w:ind w:left="1440" w:hanging="360"/>
      </w:pPr>
      <w:rPr>
        <w:rFonts w:ascii="Symbol" w:hAnsi="Symbol"/>
      </w:rPr>
    </w:lvl>
    <w:lvl w:ilvl="1" w:tplc="6A084060">
      <w:start w:val="1"/>
      <w:numFmt w:val="bullet"/>
      <w:lvlText w:val=""/>
      <w:lvlJc w:val="left"/>
      <w:pPr>
        <w:ind w:left="1440" w:hanging="360"/>
      </w:pPr>
      <w:rPr>
        <w:rFonts w:ascii="Symbol" w:hAnsi="Symbol"/>
      </w:rPr>
    </w:lvl>
    <w:lvl w:ilvl="2" w:tplc="2466B6DA">
      <w:start w:val="1"/>
      <w:numFmt w:val="bullet"/>
      <w:lvlText w:val=""/>
      <w:lvlJc w:val="left"/>
      <w:pPr>
        <w:ind w:left="1440" w:hanging="360"/>
      </w:pPr>
      <w:rPr>
        <w:rFonts w:ascii="Symbol" w:hAnsi="Symbol"/>
      </w:rPr>
    </w:lvl>
    <w:lvl w:ilvl="3" w:tplc="59848D68">
      <w:start w:val="1"/>
      <w:numFmt w:val="bullet"/>
      <w:lvlText w:val=""/>
      <w:lvlJc w:val="left"/>
      <w:pPr>
        <w:ind w:left="1440" w:hanging="360"/>
      </w:pPr>
      <w:rPr>
        <w:rFonts w:ascii="Symbol" w:hAnsi="Symbol"/>
      </w:rPr>
    </w:lvl>
    <w:lvl w:ilvl="4" w:tplc="6ED8C5A6">
      <w:start w:val="1"/>
      <w:numFmt w:val="bullet"/>
      <w:lvlText w:val=""/>
      <w:lvlJc w:val="left"/>
      <w:pPr>
        <w:ind w:left="1440" w:hanging="360"/>
      </w:pPr>
      <w:rPr>
        <w:rFonts w:ascii="Symbol" w:hAnsi="Symbol"/>
      </w:rPr>
    </w:lvl>
    <w:lvl w:ilvl="5" w:tplc="061A5D30">
      <w:start w:val="1"/>
      <w:numFmt w:val="bullet"/>
      <w:lvlText w:val=""/>
      <w:lvlJc w:val="left"/>
      <w:pPr>
        <w:ind w:left="1440" w:hanging="360"/>
      </w:pPr>
      <w:rPr>
        <w:rFonts w:ascii="Symbol" w:hAnsi="Symbol"/>
      </w:rPr>
    </w:lvl>
    <w:lvl w:ilvl="6" w:tplc="6A98B18A">
      <w:start w:val="1"/>
      <w:numFmt w:val="bullet"/>
      <w:lvlText w:val=""/>
      <w:lvlJc w:val="left"/>
      <w:pPr>
        <w:ind w:left="1440" w:hanging="360"/>
      </w:pPr>
      <w:rPr>
        <w:rFonts w:ascii="Symbol" w:hAnsi="Symbol"/>
      </w:rPr>
    </w:lvl>
    <w:lvl w:ilvl="7" w:tplc="70A87BB6">
      <w:start w:val="1"/>
      <w:numFmt w:val="bullet"/>
      <w:lvlText w:val=""/>
      <w:lvlJc w:val="left"/>
      <w:pPr>
        <w:ind w:left="1440" w:hanging="360"/>
      </w:pPr>
      <w:rPr>
        <w:rFonts w:ascii="Symbol" w:hAnsi="Symbol"/>
      </w:rPr>
    </w:lvl>
    <w:lvl w:ilvl="8" w:tplc="5B927114">
      <w:start w:val="1"/>
      <w:numFmt w:val="bullet"/>
      <w:lvlText w:val=""/>
      <w:lvlJc w:val="left"/>
      <w:pPr>
        <w:ind w:left="1440" w:hanging="360"/>
      </w:pPr>
      <w:rPr>
        <w:rFonts w:ascii="Symbol" w:hAnsi="Symbol"/>
      </w:rPr>
    </w:lvl>
  </w:abstractNum>
  <w:abstractNum w:abstractNumId="90" w15:restartNumberingAfterBreak="0">
    <w:nsid w:val="77FA0D5D"/>
    <w:multiLevelType w:val="multilevel"/>
    <w:tmpl w:val="DA64B796"/>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1" w15:restartNumberingAfterBreak="0">
    <w:nsid w:val="79EB6D3B"/>
    <w:multiLevelType w:val="hybridMultilevel"/>
    <w:tmpl w:val="2C1463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7A77715E"/>
    <w:multiLevelType w:val="hybridMultilevel"/>
    <w:tmpl w:val="C9206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C5049E6"/>
    <w:multiLevelType w:val="hybridMultilevel"/>
    <w:tmpl w:val="676C3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D9C2C88"/>
    <w:multiLevelType w:val="hybridMultilevel"/>
    <w:tmpl w:val="527E3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53022932">
    <w:abstractNumId w:val="0"/>
  </w:num>
  <w:num w:numId="2" w16cid:durableId="365450040">
    <w:abstractNumId w:val="21"/>
  </w:num>
  <w:num w:numId="3" w16cid:durableId="644435597">
    <w:abstractNumId w:val="50"/>
  </w:num>
  <w:num w:numId="4" w16cid:durableId="218178129">
    <w:abstractNumId w:val="43"/>
  </w:num>
  <w:num w:numId="5" w16cid:durableId="888031634">
    <w:abstractNumId w:val="8"/>
  </w:num>
  <w:num w:numId="6" w16cid:durableId="975766393">
    <w:abstractNumId w:val="54"/>
  </w:num>
  <w:num w:numId="7" w16cid:durableId="559023636">
    <w:abstractNumId w:val="59"/>
  </w:num>
  <w:num w:numId="8" w16cid:durableId="1327975650">
    <w:abstractNumId w:val="12"/>
  </w:num>
  <w:num w:numId="9" w16cid:durableId="548687345">
    <w:abstractNumId w:val="20"/>
  </w:num>
  <w:num w:numId="10" w16cid:durableId="659190632">
    <w:abstractNumId w:val="71"/>
  </w:num>
  <w:num w:numId="11" w16cid:durableId="1643118978">
    <w:abstractNumId w:val="4"/>
  </w:num>
  <w:num w:numId="12" w16cid:durableId="1837110644">
    <w:abstractNumId w:val="28"/>
  </w:num>
  <w:num w:numId="13" w16cid:durableId="1048532650">
    <w:abstractNumId w:val="87"/>
  </w:num>
  <w:num w:numId="14" w16cid:durableId="953903825">
    <w:abstractNumId w:val="73"/>
  </w:num>
  <w:num w:numId="15" w16cid:durableId="744373930">
    <w:abstractNumId w:val="10"/>
  </w:num>
  <w:num w:numId="16" w16cid:durableId="1101492959">
    <w:abstractNumId w:val="49"/>
  </w:num>
  <w:num w:numId="17" w16cid:durableId="1624269350">
    <w:abstractNumId w:val="47"/>
  </w:num>
  <w:num w:numId="18" w16cid:durableId="1186404403">
    <w:abstractNumId w:val="81"/>
    <w:lvlOverride w:ilvl="0">
      <w:lvl w:ilvl="0">
        <w:start w:val="1"/>
        <w:numFmt w:val="decimal"/>
        <w:pStyle w:val="Appendix"/>
        <w:lvlText w:val="Appendix %1"/>
        <w:lvlJc w:val="left"/>
        <w:pPr>
          <w:ind w:left="737" w:hanging="737"/>
        </w:pPr>
        <w:rPr>
          <w:rFonts w:ascii="Segoe UI" w:hAnsi="Segoe UI" w:cs="Times New Roman" w:hint="default"/>
          <w:b/>
          <w:bCs w:val="0"/>
          <w:i w:val="0"/>
          <w:iCs w:val="0"/>
          <w:caps/>
          <w:smallCaps w:val="0"/>
          <w:strike w:val="0"/>
          <w:dstrike w:val="0"/>
          <w:noProof w:val="0"/>
          <w:vanish w:val="0"/>
          <w:color w:val="215565" w:themeColor="accent2" w:themeShade="8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Appendix2"/>
        <w:lvlText w:val="A%1.%2"/>
        <w:lvlJc w:val="left"/>
        <w:pPr>
          <w:ind w:left="737" w:hanging="73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Appendix3"/>
        <w:lvlText w:val="A%1.%2.%3"/>
        <w:lvlJc w:val="left"/>
        <w:pPr>
          <w:ind w:left="737" w:hanging="737"/>
        </w:pPr>
        <w:rPr>
          <w:rFonts w:ascii="Segoe UI" w:hAnsi="Segoe UI" w:hint="default"/>
          <w:b w:val="0"/>
          <w:bCs/>
          <w:i w:val="0"/>
          <w:caps/>
          <w:color w:val="215565" w:themeColor="accent2" w:themeShade="80"/>
          <w:sz w:val="24"/>
          <w:szCs w:val="20"/>
        </w:rPr>
      </w:lvl>
    </w:lvlOverride>
  </w:num>
  <w:num w:numId="19" w16cid:durableId="665935553">
    <w:abstractNumId w:val="6"/>
  </w:num>
  <w:num w:numId="20" w16cid:durableId="2038845747">
    <w:abstractNumId w:val="55"/>
  </w:num>
  <w:num w:numId="21" w16cid:durableId="1135679521">
    <w:abstractNumId w:val="76"/>
  </w:num>
  <w:num w:numId="22" w16cid:durableId="1933389116">
    <w:abstractNumId w:val="26"/>
  </w:num>
  <w:num w:numId="23" w16cid:durableId="339040972">
    <w:abstractNumId w:val="15"/>
  </w:num>
  <w:num w:numId="24" w16cid:durableId="1322348179">
    <w:abstractNumId w:val="46"/>
  </w:num>
  <w:num w:numId="25" w16cid:durableId="1026054494">
    <w:abstractNumId w:val="18"/>
  </w:num>
  <w:num w:numId="26" w16cid:durableId="1614554587">
    <w:abstractNumId w:val="83"/>
  </w:num>
  <w:num w:numId="27" w16cid:durableId="223879833">
    <w:abstractNumId w:val="57"/>
  </w:num>
  <w:num w:numId="28" w16cid:durableId="1943880529">
    <w:abstractNumId w:val="27"/>
  </w:num>
  <w:num w:numId="29" w16cid:durableId="1032611128">
    <w:abstractNumId w:val="91"/>
  </w:num>
  <w:num w:numId="30" w16cid:durableId="1929121000">
    <w:abstractNumId w:val="48"/>
  </w:num>
  <w:num w:numId="31" w16cid:durableId="1074200925">
    <w:abstractNumId w:val="64"/>
  </w:num>
  <w:num w:numId="32" w16cid:durableId="931283484">
    <w:abstractNumId w:val="84"/>
  </w:num>
  <w:num w:numId="33" w16cid:durableId="1935896564">
    <w:abstractNumId w:val="34"/>
  </w:num>
  <w:num w:numId="34" w16cid:durableId="508257237">
    <w:abstractNumId w:val="45"/>
  </w:num>
  <w:num w:numId="35" w16cid:durableId="828641573">
    <w:abstractNumId w:val="56"/>
  </w:num>
  <w:num w:numId="36" w16cid:durableId="974988984">
    <w:abstractNumId w:val="2"/>
  </w:num>
  <w:num w:numId="37" w16cid:durableId="183247929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52927109">
    <w:abstractNumId w:val="24"/>
  </w:num>
  <w:num w:numId="39" w16cid:durableId="1590429724">
    <w:abstractNumId w:val="72"/>
  </w:num>
  <w:num w:numId="40" w16cid:durableId="909999309">
    <w:abstractNumId w:val="1"/>
  </w:num>
  <w:num w:numId="41" w16cid:durableId="601644120">
    <w:abstractNumId w:val="80"/>
  </w:num>
  <w:num w:numId="42" w16cid:durableId="1400595259">
    <w:abstractNumId w:val="32"/>
  </w:num>
  <w:num w:numId="43" w16cid:durableId="1694528729">
    <w:abstractNumId w:val="90"/>
  </w:num>
  <w:num w:numId="44" w16cid:durableId="1226334396">
    <w:abstractNumId w:val="79"/>
  </w:num>
  <w:num w:numId="45" w16cid:durableId="1744765385">
    <w:abstractNumId w:val="19"/>
  </w:num>
  <w:num w:numId="46" w16cid:durableId="1642076870">
    <w:abstractNumId w:val="70"/>
  </w:num>
  <w:num w:numId="47" w16cid:durableId="811405636">
    <w:abstractNumId w:val="78"/>
  </w:num>
  <w:num w:numId="48" w16cid:durableId="1293901585">
    <w:abstractNumId w:val="44"/>
  </w:num>
  <w:num w:numId="49" w16cid:durableId="2037151747">
    <w:abstractNumId w:val="62"/>
  </w:num>
  <w:num w:numId="50" w16cid:durableId="378936792">
    <w:abstractNumId w:val="68"/>
    <w:lvlOverride w:ilvl="0">
      <w:lvl w:ilvl="0">
        <w:start w:val="1"/>
        <w:numFmt w:val="decimal"/>
        <w:pStyle w:val="FigureHeading"/>
        <w:lvlText w:val="%1."/>
        <w:lvlJc w:val="left"/>
        <w:pPr>
          <w:tabs>
            <w:tab w:val="num" w:pos="454"/>
          </w:tabs>
          <w:ind w:left="454" w:hanging="454"/>
        </w:pPr>
      </w:lvl>
    </w:lvlOverride>
  </w:num>
  <w:num w:numId="51" w16cid:durableId="2070297896">
    <w:abstractNumId w:val="77"/>
  </w:num>
  <w:num w:numId="52" w16cid:durableId="945310223">
    <w:abstractNumId w:val="82"/>
  </w:num>
  <w:num w:numId="53" w16cid:durableId="898440704">
    <w:abstractNumId w:val="31"/>
  </w:num>
  <w:num w:numId="54" w16cid:durableId="138235269">
    <w:abstractNumId w:val="36"/>
  </w:num>
  <w:num w:numId="55" w16cid:durableId="2001039270">
    <w:abstractNumId w:val="2"/>
  </w:num>
  <w:num w:numId="56" w16cid:durableId="1251230585">
    <w:abstractNumId w:val="61"/>
  </w:num>
  <w:num w:numId="57" w16cid:durableId="1296060197">
    <w:abstractNumId w:val="68"/>
  </w:num>
  <w:num w:numId="58" w16cid:durableId="1491018474">
    <w:abstractNumId w:val="68"/>
    <w:lvlOverride w:ilvl="0">
      <w:lvl w:ilvl="0">
        <w:start w:val="1"/>
        <w:numFmt w:val="decimal"/>
        <w:pStyle w:val="FigureHeading"/>
        <w:lvlText w:val="%1."/>
        <w:lvlJc w:val="left"/>
        <w:pPr>
          <w:tabs>
            <w:tab w:val="num" w:pos="454"/>
          </w:tabs>
          <w:ind w:left="454" w:hanging="454"/>
        </w:pPr>
      </w:lvl>
    </w:lvlOverride>
  </w:num>
  <w:num w:numId="59" w16cid:durableId="1931237624">
    <w:abstractNumId w:val="68"/>
    <w:lvlOverride w:ilvl="0">
      <w:lvl w:ilvl="0">
        <w:start w:val="1"/>
        <w:numFmt w:val="decimal"/>
        <w:pStyle w:val="FigureHeading"/>
        <w:lvlText w:val="%1."/>
        <w:lvlJc w:val="left"/>
        <w:pPr>
          <w:tabs>
            <w:tab w:val="num" w:pos="454"/>
          </w:tabs>
          <w:ind w:left="454" w:hanging="454"/>
        </w:pPr>
      </w:lvl>
    </w:lvlOverride>
  </w:num>
  <w:num w:numId="60" w16cid:durableId="1631128568">
    <w:abstractNumId w:val="68"/>
    <w:lvlOverride w:ilvl="0">
      <w:lvl w:ilvl="0">
        <w:start w:val="1"/>
        <w:numFmt w:val="decimal"/>
        <w:pStyle w:val="FigureHeading"/>
        <w:lvlText w:val="%1."/>
        <w:lvlJc w:val="left"/>
        <w:pPr>
          <w:tabs>
            <w:tab w:val="num" w:pos="454"/>
          </w:tabs>
          <w:ind w:left="454" w:hanging="454"/>
        </w:pPr>
      </w:lvl>
    </w:lvlOverride>
  </w:num>
  <w:num w:numId="61" w16cid:durableId="381825658">
    <w:abstractNumId w:val="68"/>
    <w:lvlOverride w:ilvl="0">
      <w:lvl w:ilvl="0">
        <w:start w:val="1"/>
        <w:numFmt w:val="decimal"/>
        <w:pStyle w:val="FigureHeading"/>
        <w:lvlText w:val="%1."/>
        <w:lvlJc w:val="left"/>
        <w:pPr>
          <w:tabs>
            <w:tab w:val="num" w:pos="454"/>
          </w:tabs>
          <w:ind w:left="454" w:hanging="454"/>
        </w:pPr>
      </w:lvl>
    </w:lvlOverride>
  </w:num>
  <w:num w:numId="62" w16cid:durableId="863984917">
    <w:abstractNumId w:val="68"/>
    <w:lvlOverride w:ilvl="0">
      <w:lvl w:ilvl="0">
        <w:start w:val="1"/>
        <w:numFmt w:val="decimal"/>
        <w:pStyle w:val="FigureHeading"/>
        <w:lvlText w:val="%1."/>
        <w:lvlJc w:val="left"/>
        <w:pPr>
          <w:tabs>
            <w:tab w:val="num" w:pos="454"/>
          </w:tabs>
          <w:ind w:left="454" w:hanging="454"/>
        </w:pPr>
      </w:lvl>
    </w:lvlOverride>
  </w:num>
  <w:num w:numId="63" w16cid:durableId="1168980111">
    <w:abstractNumId w:val="68"/>
    <w:lvlOverride w:ilvl="0">
      <w:lvl w:ilvl="0">
        <w:start w:val="1"/>
        <w:numFmt w:val="decimal"/>
        <w:pStyle w:val="FigureHeading"/>
        <w:lvlText w:val="%1."/>
        <w:lvlJc w:val="left"/>
        <w:pPr>
          <w:tabs>
            <w:tab w:val="num" w:pos="454"/>
          </w:tabs>
          <w:ind w:left="454" w:hanging="454"/>
        </w:pPr>
      </w:lvl>
    </w:lvlOverride>
  </w:num>
  <w:num w:numId="64" w16cid:durableId="1025247919">
    <w:abstractNumId w:val="68"/>
    <w:lvlOverride w:ilvl="0">
      <w:lvl w:ilvl="0">
        <w:start w:val="1"/>
        <w:numFmt w:val="decimal"/>
        <w:pStyle w:val="FigureHeading"/>
        <w:lvlText w:val="%1."/>
        <w:lvlJc w:val="left"/>
        <w:pPr>
          <w:tabs>
            <w:tab w:val="num" w:pos="454"/>
          </w:tabs>
          <w:ind w:left="454" w:hanging="454"/>
        </w:pPr>
      </w:lvl>
    </w:lvlOverride>
  </w:num>
  <w:num w:numId="65" w16cid:durableId="1107889445">
    <w:abstractNumId w:val="68"/>
    <w:lvlOverride w:ilvl="0">
      <w:lvl w:ilvl="0">
        <w:start w:val="1"/>
        <w:numFmt w:val="decimal"/>
        <w:pStyle w:val="FigureHeading"/>
        <w:lvlText w:val="%1."/>
        <w:lvlJc w:val="left"/>
        <w:pPr>
          <w:tabs>
            <w:tab w:val="num" w:pos="454"/>
          </w:tabs>
          <w:ind w:left="454" w:hanging="454"/>
        </w:pPr>
      </w:lvl>
    </w:lvlOverride>
  </w:num>
  <w:num w:numId="66" w16cid:durableId="984822155">
    <w:abstractNumId w:val="86"/>
  </w:num>
  <w:num w:numId="67" w16cid:durableId="466894268">
    <w:abstractNumId w:val="17"/>
  </w:num>
  <w:num w:numId="68" w16cid:durableId="644090262">
    <w:abstractNumId w:val="5"/>
  </w:num>
  <w:num w:numId="69" w16cid:durableId="2058700769">
    <w:abstractNumId w:val="58"/>
  </w:num>
  <w:num w:numId="70" w16cid:durableId="389500660">
    <w:abstractNumId w:val="65"/>
  </w:num>
  <w:num w:numId="71" w16cid:durableId="920942690">
    <w:abstractNumId w:val="88"/>
  </w:num>
  <w:num w:numId="72" w16cid:durableId="382876958">
    <w:abstractNumId w:val="25"/>
  </w:num>
  <w:num w:numId="73" w16cid:durableId="1205020566">
    <w:abstractNumId w:val="42"/>
  </w:num>
  <w:num w:numId="74" w16cid:durableId="1390885021">
    <w:abstractNumId w:val="29"/>
  </w:num>
  <w:num w:numId="75" w16cid:durableId="1164515433">
    <w:abstractNumId w:val="14"/>
  </w:num>
  <w:num w:numId="76" w16cid:durableId="735779210">
    <w:abstractNumId w:val="74"/>
  </w:num>
  <w:num w:numId="77" w16cid:durableId="65541050">
    <w:abstractNumId w:val="30"/>
  </w:num>
  <w:num w:numId="78" w16cid:durableId="2106612515">
    <w:abstractNumId w:val="94"/>
  </w:num>
  <w:num w:numId="79" w16cid:durableId="873352580">
    <w:abstractNumId w:val="89"/>
  </w:num>
  <w:num w:numId="80" w16cid:durableId="1686319890">
    <w:abstractNumId w:val="67"/>
  </w:num>
  <w:num w:numId="81" w16cid:durableId="1609242436">
    <w:abstractNumId w:val="39"/>
  </w:num>
  <w:num w:numId="82" w16cid:durableId="237591841">
    <w:abstractNumId w:val="22"/>
  </w:num>
  <w:num w:numId="83" w16cid:durableId="1357348448">
    <w:abstractNumId w:val="7"/>
  </w:num>
  <w:num w:numId="84" w16cid:durableId="931472229">
    <w:abstractNumId w:val="3"/>
  </w:num>
  <w:num w:numId="85" w16cid:durableId="1166281316">
    <w:abstractNumId w:val="63"/>
  </w:num>
  <w:num w:numId="86" w16cid:durableId="1480993632">
    <w:abstractNumId w:val="85"/>
  </w:num>
  <w:num w:numId="87" w16cid:durableId="1014846070">
    <w:abstractNumId w:val="40"/>
  </w:num>
  <w:num w:numId="88" w16cid:durableId="1086000196">
    <w:abstractNumId w:val="52"/>
  </w:num>
  <w:num w:numId="89" w16cid:durableId="647132425">
    <w:abstractNumId w:val="16"/>
  </w:num>
  <w:num w:numId="90" w16cid:durableId="178874225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436823444">
    <w:abstractNumId w:val="93"/>
  </w:num>
  <w:num w:numId="92" w16cid:durableId="1765421749">
    <w:abstractNumId w:val="51"/>
  </w:num>
  <w:num w:numId="93" w16cid:durableId="1170483569">
    <w:abstractNumId w:val="11"/>
  </w:num>
  <w:num w:numId="94" w16cid:durableId="48310308">
    <w:abstractNumId w:val="38"/>
  </w:num>
  <w:num w:numId="95" w16cid:durableId="1572276603">
    <w:abstractNumId w:val="66"/>
  </w:num>
  <w:num w:numId="96" w16cid:durableId="366368321">
    <w:abstractNumId w:val="41"/>
  </w:num>
  <w:num w:numId="97" w16cid:durableId="964582183">
    <w:abstractNumId w:val="33"/>
  </w:num>
  <w:num w:numId="98" w16cid:durableId="336275790">
    <w:abstractNumId w:val="60"/>
  </w:num>
  <w:num w:numId="99" w16cid:durableId="1644120567">
    <w:abstractNumId w:val="69"/>
  </w:num>
  <w:num w:numId="100" w16cid:durableId="697968700">
    <w:abstractNumId w:val="37"/>
  </w:num>
  <w:num w:numId="101" w16cid:durableId="1651247797">
    <w:abstractNumId w:val="9"/>
  </w:num>
  <w:num w:numId="102" w16cid:durableId="1910965911">
    <w:abstractNumId w:val="92"/>
  </w:num>
  <w:num w:numId="103" w16cid:durableId="187918020">
    <w:abstractNumId w:val="2"/>
  </w:num>
  <w:num w:numId="104" w16cid:durableId="923032087">
    <w:abstractNumId w:val="75"/>
  </w:num>
  <w:num w:numId="105" w16cid:durableId="726225656">
    <w:abstractNumId w:val="35"/>
  </w:num>
  <w:num w:numId="106" w16cid:durableId="1548949121">
    <w:abstractNumId w:val="13"/>
  </w:num>
  <w:num w:numId="107" w16cid:durableId="531385886">
    <w:abstractNumId w:val="2"/>
  </w:num>
  <w:num w:numId="108" w16cid:durableId="453403208">
    <w:abstractNumId w:val="23"/>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stylePaneSortMethod w:val="0000"/>
  <w:defaultTabStop w:val="737"/>
  <w:drawingGridHorizontalSpacing w:val="105"/>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E0MTcxMTOxMLQ0tzRX0lEKTi0uzszPAykwNKkFAHRdEvUtAAAA"/>
  </w:docVars>
  <w:rsids>
    <w:rsidRoot w:val="0005356D"/>
    <w:rsid w:val="00000052"/>
    <w:rsid w:val="00000091"/>
    <w:rsid w:val="00000119"/>
    <w:rsid w:val="00000224"/>
    <w:rsid w:val="000009DD"/>
    <w:rsid w:val="00000C6E"/>
    <w:rsid w:val="00000D44"/>
    <w:rsid w:val="00001490"/>
    <w:rsid w:val="00001783"/>
    <w:rsid w:val="000017C3"/>
    <w:rsid w:val="00001A41"/>
    <w:rsid w:val="00002279"/>
    <w:rsid w:val="000022E8"/>
    <w:rsid w:val="000025B3"/>
    <w:rsid w:val="000025C8"/>
    <w:rsid w:val="00002722"/>
    <w:rsid w:val="00002BA0"/>
    <w:rsid w:val="00002BC1"/>
    <w:rsid w:val="00002CF9"/>
    <w:rsid w:val="00002DBB"/>
    <w:rsid w:val="00002E99"/>
    <w:rsid w:val="00002EC9"/>
    <w:rsid w:val="0000332C"/>
    <w:rsid w:val="00003380"/>
    <w:rsid w:val="000038C8"/>
    <w:rsid w:val="00003E2F"/>
    <w:rsid w:val="0000441C"/>
    <w:rsid w:val="000046F9"/>
    <w:rsid w:val="00004C83"/>
    <w:rsid w:val="0000506C"/>
    <w:rsid w:val="0000560A"/>
    <w:rsid w:val="00005951"/>
    <w:rsid w:val="000059DF"/>
    <w:rsid w:val="000060E3"/>
    <w:rsid w:val="0000659E"/>
    <w:rsid w:val="00006602"/>
    <w:rsid w:val="00006683"/>
    <w:rsid w:val="000066C6"/>
    <w:rsid w:val="00006C37"/>
    <w:rsid w:val="0000722D"/>
    <w:rsid w:val="00007885"/>
    <w:rsid w:val="00007AD5"/>
    <w:rsid w:val="00007AE5"/>
    <w:rsid w:val="00007AEF"/>
    <w:rsid w:val="00007BA8"/>
    <w:rsid w:val="00007C80"/>
    <w:rsid w:val="000103A7"/>
    <w:rsid w:val="00010811"/>
    <w:rsid w:val="00010BF2"/>
    <w:rsid w:val="00010CEB"/>
    <w:rsid w:val="0001117F"/>
    <w:rsid w:val="000113A7"/>
    <w:rsid w:val="000114B7"/>
    <w:rsid w:val="000114D2"/>
    <w:rsid w:val="000115D3"/>
    <w:rsid w:val="0001168D"/>
    <w:rsid w:val="000116A2"/>
    <w:rsid w:val="000117E1"/>
    <w:rsid w:val="00011850"/>
    <w:rsid w:val="00011BEB"/>
    <w:rsid w:val="00011E23"/>
    <w:rsid w:val="00011EF9"/>
    <w:rsid w:val="00011FC0"/>
    <w:rsid w:val="0001225A"/>
    <w:rsid w:val="000123E9"/>
    <w:rsid w:val="000124D7"/>
    <w:rsid w:val="00012808"/>
    <w:rsid w:val="00012A55"/>
    <w:rsid w:val="00012B11"/>
    <w:rsid w:val="00012C43"/>
    <w:rsid w:val="00012CC8"/>
    <w:rsid w:val="00012EEE"/>
    <w:rsid w:val="000130A0"/>
    <w:rsid w:val="00013A2E"/>
    <w:rsid w:val="00013CD1"/>
    <w:rsid w:val="00013F8B"/>
    <w:rsid w:val="0001408B"/>
    <w:rsid w:val="0001413E"/>
    <w:rsid w:val="00014337"/>
    <w:rsid w:val="00014618"/>
    <w:rsid w:val="000146B7"/>
    <w:rsid w:val="00014891"/>
    <w:rsid w:val="00014DFE"/>
    <w:rsid w:val="000156E5"/>
    <w:rsid w:val="00015E9F"/>
    <w:rsid w:val="000160A7"/>
    <w:rsid w:val="000160E4"/>
    <w:rsid w:val="00016343"/>
    <w:rsid w:val="0001668B"/>
    <w:rsid w:val="00016958"/>
    <w:rsid w:val="00016E98"/>
    <w:rsid w:val="000171CE"/>
    <w:rsid w:val="00017286"/>
    <w:rsid w:val="00017B4B"/>
    <w:rsid w:val="00017F92"/>
    <w:rsid w:val="000203BD"/>
    <w:rsid w:val="0002056C"/>
    <w:rsid w:val="00020613"/>
    <w:rsid w:val="000206ED"/>
    <w:rsid w:val="00020871"/>
    <w:rsid w:val="000209BE"/>
    <w:rsid w:val="00020A38"/>
    <w:rsid w:val="00020AC9"/>
    <w:rsid w:val="00020B2F"/>
    <w:rsid w:val="00020ED6"/>
    <w:rsid w:val="00021125"/>
    <w:rsid w:val="00021131"/>
    <w:rsid w:val="00021AC9"/>
    <w:rsid w:val="00021C47"/>
    <w:rsid w:val="00021F69"/>
    <w:rsid w:val="00022040"/>
    <w:rsid w:val="000220B8"/>
    <w:rsid w:val="000221E2"/>
    <w:rsid w:val="000222AF"/>
    <w:rsid w:val="000222D0"/>
    <w:rsid w:val="000224F5"/>
    <w:rsid w:val="00022539"/>
    <w:rsid w:val="000225B5"/>
    <w:rsid w:val="00022734"/>
    <w:rsid w:val="000228C2"/>
    <w:rsid w:val="00022924"/>
    <w:rsid w:val="00022D2C"/>
    <w:rsid w:val="00022DE2"/>
    <w:rsid w:val="00022E06"/>
    <w:rsid w:val="00023026"/>
    <w:rsid w:val="00023388"/>
    <w:rsid w:val="00023E20"/>
    <w:rsid w:val="00023EAF"/>
    <w:rsid w:val="000242AE"/>
    <w:rsid w:val="000242B0"/>
    <w:rsid w:val="00024854"/>
    <w:rsid w:val="00024AA2"/>
    <w:rsid w:val="00024BFC"/>
    <w:rsid w:val="00024E92"/>
    <w:rsid w:val="00024ED8"/>
    <w:rsid w:val="00024F6A"/>
    <w:rsid w:val="0002541F"/>
    <w:rsid w:val="0002549F"/>
    <w:rsid w:val="000254B5"/>
    <w:rsid w:val="0002551A"/>
    <w:rsid w:val="00025B06"/>
    <w:rsid w:val="00025BF2"/>
    <w:rsid w:val="00026227"/>
    <w:rsid w:val="00026247"/>
    <w:rsid w:val="000262EA"/>
    <w:rsid w:val="000270FA"/>
    <w:rsid w:val="000274F7"/>
    <w:rsid w:val="00027B66"/>
    <w:rsid w:val="00027BE6"/>
    <w:rsid w:val="00027BFC"/>
    <w:rsid w:val="0003005A"/>
    <w:rsid w:val="00030379"/>
    <w:rsid w:val="00030444"/>
    <w:rsid w:val="00030492"/>
    <w:rsid w:val="00030A10"/>
    <w:rsid w:val="00030CD2"/>
    <w:rsid w:val="00030EA5"/>
    <w:rsid w:val="0003128E"/>
    <w:rsid w:val="000312CE"/>
    <w:rsid w:val="00031435"/>
    <w:rsid w:val="0003148D"/>
    <w:rsid w:val="000315AB"/>
    <w:rsid w:val="000317C5"/>
    <w:rsid w:val="000318A6"/>
    <w:rsid w:val="00031943"/>
    <w:rsid w:val="00031B51"/>
    <w:rsid w:val="00031CE6"/>
    <w:rsid w:val="00031D6C"/>
    <w:rsid w:val="00031D97"/>
    <w:rsid w:val="0003208A"/>
    <w:rsid w:val="00032231"/>
    <w:rsid w:val="00032D64"/>
    <w:rsid w:val="00032F3F"/>
    <w:rsid w:val="00032F5C"/>
    <w:rsid w:val="00033354"/>
    <w:rsid w:val="00033648"/>
    <w:rsid w:val="0003370E"/>
    <w:rsid w:val="0003386F"/>
    <w:rsid w:val="0003399B"/>
    <w:rsid w:val="00033BF4"/>
    <w:rsid w:val="00034057"/>
    <w:rsid w:val="00034066"/>
    <w:rsid w:val="000342FD"/>
    <w:rsid w:val="00034417"/>
    <w:rsid w:val="00034717"/>
    <w:rsid w:val="000347C1"/>
    <w:rsid w:val="00034A54"/>
    <w:rsid w:val="00035049"/>
    <w:rsid w:val="000354DE"/>
    <w:rsid w:val="00035826"/>
    <w:rsid w:val="000358D0"/>
    <w:rsid w:val="00035998"/>
    <w:rsid w:val="00035A1A"/>
    <w:rsid w:val="00035AAD"/>
    <w:rsid w:val="00035C23"/>
    <w:rsid w:val="00035CC5"/>
    <w:rsid w:val="00035D8D"/>
    <w:rsid w:val="000361F7"/>
    <w:rsid w:val="000363AF"/>
    <w:rsid w:val="000366B0"/>
    <w:rsid w:val="00036D9A"/>
    <w:rsid w:val="00036FCC"/>
    <w:rsid w:val="000375F5"/>
    <w:rsid w:val="00037794"/>
    <w:rsid w:val="000377FF"/>
    <w:rsid w:val="0003799F"/>
    <w:rsid w:val="00037B33"/>
    <w:rsid w:val="00037EA3"/>
    <w:rsid w:val="00037F12"/>
    <w:rsid w:val="000405F5"/>
    <w:rsid w:val="00040F59"/>
    <w:rsid w:val="00041015"/>
    <w:rsid w:val="00041059"/>
    <w:rsid w:val="000410D8"/>
    <w:rsid w:val="00041673"/>
    <w:rsid w:val="000416CD"/>
    <w:rsid w:val="0004192F"/>
    <w:rsid w:val="0004196C"/>
    <w:rsid w:val="00041AC6"/>
    <w:rsid w:val="00042430"/>
    <w:rsid w:val="0004246A"/>
    <w:rsid w:val="0004267E"/>
    <w:rsid w:val="00042ACE"/>
    <w:rsid w:val="00042E65"/>
    <w:rsid w:val="00042F5F"/>
    <w:rsid w:val="000435A6"/>
    <w:rsid w:val="000438DB"/>
    <w:rsid w:val="000442F0"/>
    <w:rsid w:val="00044455"/>
    <w:rsid w:val="00044B55"/>
    <w:rsid w:val="00044B5F"/>
    <w:rsid w:val="00044E9B"/>
    <w:rsid w:val="00044EC5"/>
    <w:rsid w:val="00044F7C"/>
    <w:rsid w:val="00044FE2"/>
    <w:rsid w:val="00045864"/>
    <w:rsid w:val="000459CD"/>
    <w:rsid w:val="00045A29"/>
    <w:rsid w:val="00045E16"/>
    <w:rsid w:val="00045F46"/>
    <w:rsid w:val="00045F79"/>
    <w:rsid w:val="000461B7"/>
    <w:rsid w:val="00046489"/>
    <w:rsid w:val="000468EE"/>
    <w:rsid w:val="00046FD2"/>
    <w:rsid w:val="000470A3"/>
    <w:rsid w:val="000471D3"/>
    <w:rsid w:val="00047815"/>
    <w:rsid w:val="00047822"/>
    <w:rsid w:val="000478E7"/>
    <w:rsid w:val="00047982"/>
    <w:rsid w:val="00050021"/>
    <w:rsid w:val="000500EC"/>
    <w:rsid w:val="00050249"/>
    <w:rsid w:val="000502EB"/>
    <w:rsid w:val="000504C3"/>
    <w:rsid w:val="000504CE"/>
    <w:rsid w:val="00050A11"/>
    <w:rsid w:val="00051715"/>
    <w:rsid w:val="00051860"/>
    <w:rsid w:val="00051E48"/>
    <w:rsid w:val="00051E8F"/>
    <w:rsid w:val="00052359"/>
    <w:rsid w:val="000523A5"/>
    <w:rsid w:val="000524AB"/>
    <w:rsid w:val="000524D3"/>
    <w:rsid w:val="000524FF"/>
    <w:rsid w:val="000525C7"/>
    <w:rsid w:val="0005290A"/>
    <w:rsid w:val="00052921"/>
    <w:rsid w:val="0005299F"/>
    <w:rsid w:val="00052B19"/>
    <w:rsid w:val="00052B51"/>
    <w:rsid w:val="00052B5D"/>
    <w:rsid w:val="00052BE6"/>
    <w:rsid w:val="00052D82"/>
    <w:rsid w:val="00052FCD"/>
    <w:rsid w:val="000530A6"/>
    <w:rsid w:val="00053131"/>
    <w:rsid w:val="000532BA"/>
    <w:rsid w:val="000533A1"/>
    <w:rsid w:val="000534A3"/>
    <w:rsid w:val="0005350C"/>
    <w:rsid w:val="0005356D"/>
    <w:rsid w:val="000536CA"/>
    <w:rsid w:val="0005377F"/>
    <w:rsid w:val="00053827"/>
    <w:rsid w:val="00053ABE"/>
    <w:rsid w:val="00053E71"/>
    <w:rsid w:val="000547EE"/>
    <w:rsid w:val="00054954"/>
    <w:rsid w:val="00055273"/>
    <w:rsid w:val="000552C3"/>
    <w:rsid w:val="0005548F"/>
    <w:rsid w:val="00055515"/>
    <w:rsid w:val="00055549"/>
    <w:rsid w:val="00055947"/>
    <w:rsid w:val="00055A89"/>
    <w:rsid w:val="00055B16"/>
    <w:rsid w:val="00055CAF"/>
    <w:rsid w:val="00055E66"/>
    <w:rsid w:val="00055EC4"/>
    <w:rsid w:val="000560C4"/>
    <w:rsid w:val="00056356"/>
    <w:rsid w:val="000564A0"/>
    <w:rsid w:val="00056531"/>
    <w:rsid w:val="0005661F"/>
    <w:rsid w:val="0005667D"/>
    <w:rsid w:val="00056A56"/>
    <w:rsid w:val="00056AA9"/>
    <w:rsid w:val="000572FA"/>
    <w:rsid w:val="000577AA"/>
    <w:rsid w:val="000579B2"/>
    <w:rsid w:val="00057C2F"/>
    <w:rsid w:val="00057C3A"/>
    <w:rsid w:val="00057C69"/>
    <w:rsid w:val="00057CEF"/>
    <w:rsid w:val="00057DA0"/>
    <w:rsid w:val="00057DE2"/>
    <w:rsid w:val="000604C4"/>
    <w:rsid w:val="000605BD"/>
    <w:rsid w:val="0006097C"/>
    <w:rsid w:val="00060A33"/>
    <w:rsid w:val="00060B1E"/>
    <w:rsid w:val="00060D17"/>
    <w:rsid w:val="00060D1F"/>
    <w:rsid w:val="00060D6B"/>
    <w:rsid w:val="00060E6F"/>
    <w:rsid w:val="0006129C"/>
    <w:rsid w:val="000617A1"/>
    <w:rsid w:val="000619CD"/>
    <w:rsid w:val="00061CCF"/>
    <w:rsid w:val="00061E62"/>
    <w:rsid w:val="00062142"/>
    <w:rsid w:val="00062480"/>
    <w:rsid w:val="00062944"/>
    <w:rsid w:val="00062D94"/>
    <w:rsid w:val="00062F5A"/>
    <w:rsid w:val="000630BD"/>
    <w:rsid w:val="0006312F"/>
    <w:rsid w:val="00063318"/>
    <w:rsid w:val="000638B2"/>
    <w:rsid w:val="00063BD4"/>
    <w:rsid w:val="000641A0"/>
    <w:rsid w:val="000644E5"/>
    <w:rsid w:val="0006450F"/>
    <w:rsid w:val="000647E1"/>
    <w:rsid w:val="00064A6C"/>
    <w:rsid w:val="00064B9E"/>
    <w:rsid w:val="00064DD7"/>
    <w:rsid w:val="00065097"/>
    <w:rsid w:val="0006513F"/>
    <w:rsid w:val="000652BE"/>
    <w:rsid w:val="000657DE"/>
    <w:rsid w:val="00066089"/>
    <w:rsid w:val="00066196"/>
    <w:rsid w:val="00066375"/>
    <w:rsid w:val="000666DD"/>
    <w:rsid w:val="00066CD8"/>
    <w:rsid w:val="00066D98"/>
    <w:rsid w:val="00066D99"/>
    <w:rsid w:val="00067008"/>
    <w:rsid w:val="00067019"/>
    <w:rsid w:val="000675D7"/>
    <w:rsid w:val="000678A9"/>
    <w:rsid w:val="00067A47"/>
    <w:rsid w:val="00067D84"/>
    <w:rsid w:val="00067FDE"/>
    <w:rsid w:val="0007053A"/>
    <w:rsid w:val="00070662"/>
    <w:rsid w:val="000706C8"/>
    <w:rsid w:val="000706DA"/>
    <w:rsid w:val="00070C84"/>
    <w:rsid w:val="00070DDF"/>
    <w:rsid w:val="00070E28"/>
    <w:rsid w:val="00070EA6"/>
    <w:rsid w:val="000715D3"/>
    <w:rsid w:val="00071A2F"/>
    <w:rsid w:val="00071A7B"/>
    <w:rsid w:val="00071EA9"/>
    <w:rsid w:val="00071F7F"/>
    <w:rsid w:val="000720BA"/>
    <w:rsid w:val="00072144"/>
    <w:rsid w:val="00072581"/>
    <w:rsid w:val="000728D0"/>
    <w:rsid w:val="000729E2"/>
    <w:rsid w:val="00072BAF"/>
    <w:rsid w:val="00072BBB"/>
    <w:rsid w:val="00072D86"/>
    <w:rsid w:val="00072E7A"/>
    <w:rsid w:val="00072F22"/>
    <w:rsid w:val="0007329F"/>
    <w:rsid w:val="00073490"/>
    <w:rsid w:val="00074356"/>
    <w:rsid w:val="000745C4"/>
    <w:rsid w:val="000746D3"/>
    <w:rsid w:val="00074812"/>
    <w:rsid w:val="00074A29"/>
    <w:rsid w:val="00074A34"/>
    <w:rsid w:val="00074DA8"/>
    <w:rsid w:val="00074F26"/>
    <w:rsid w:val="00074FC1"/>
    <w:rsid w:val="00075326"/>
    <w:rsid w:val="0007572B"/>
    <w:rsid w:val="000759AD"/>
    <w:rsid w:val="00075E48"/>
    <w:rsid w:val="00075E98"/>
    <w:rsid w:val="00075F38"/>
    <w:rsid w:val="00075FF4"/>
    <w:rsid w:val="0007626C"/>
    <w:rsid w:val="000765EC"/>
    <w:rsid w:val="00076796"/>
    <w:rsid w:val="000767E9"/>
    <w:rsid w:val="00076ABE"/>
    <w:rsid w:val="00076AF1"/>
    <w:rsid w:val="00076C5F"/>
    <w:rsid w:val="00076E7A"/>
    <w:rsid w:val="000772FD"/>
    <w:rsid w:val="00077466"/>
    <w:rsid w:val="00077591"/>
    <w:rsid w:val="000776F0"/>
    <w:rsid w:val="00077740"/>
    <w:rsid w:val="000778D5"/>
    <w:rsid w:val="00077CB5"/>
    <w:rsid w:val="00077E4C"/>
    <w:rsid w:val="000801C6"/>
    <w:rsid w:val="0008044E"/>
    <w:rsid w:val="0008059A"/>
    <w:rsid w:val="000805E2"/>
    <w:rsid w:val="00080671"/>
    <w:rsid w:val="00080A09"/>
    <w:rsid w:val="00080A82"/>
    <w:rsid w:val="00081227"/>
    <w:rsid w:val="00081947"/>
    <w:rsid w:val="00081D57"/>
    <w:rsid w:val="00082120"/>
    <w:rsid w:val="0008234D"/>
    <w:rsid w:val="00082630"/>
    <w:rsid w:val="000826BB"/>
    <w:rsid w:val="00082AF0"/>
    <w:rsid w:val="00082D7D"/>
    <w:rsid w:val="000830CF"/>
    <w:rsid w:val="00083546"/>
    <w:rsid w:val="0008358B"/>
    <w:rsid w:val="000835B5"/>
    <w:rsid w:val="00083731"/>
    <w:rsid w:val="00083B0C"/>
    <w:rsid w:val="00083E39"/>
    <w:rsid w:val="000841E2"/>
    <w:rsid w:val="00084442"/>
    <w:rsid w:val="00084566"/>
    <w:rsid w:val="00084D20"/>
    <w:rsid w:val="00084D33"/>
    <w:rsid w:val="0008520F"/>
    <w:rsid w:val="00085537"/>
    <w:rsid w:val="0008572C"/>
    <w:rsid w:val="000859D0"/>
    <w:rsid w:val="00085B23"/>
    <w:rsid w:val="00085B4C"/>
    <w:rsid w:val="00085F45"/>
    <w:rsid w:val="00085FB1"/>
    <w:rsid w:val="000863C3"/>
    <w:rsid w:val="00086642"/>
    <w:rsid w:val="000867FC"/>
    <w:rsid w:val="00086C05"/>
    <w:rsid w:val="00087052"/>
    <w:rsid w:val="00087199"/>
    <w:rsid w:val="0008754B"/>
    <w:rsid w:val="00087AE6"/>
    <w:rsid w:val="00087FFC"/>
    <w:rsid w:val="000902E5"/>
    <w:rsid w:val="000903B0"/>
    <w:rsid w:val="000905A0"/>
    <w:rsid w:val="00090B1F"/>
    <w:rsid w:val="00090C8B"/>
    <w:rsid w:val="00090CBC"/>
    <w:rsid w:val="00090CD3"/>
    <w:rsid w:val="00090E8F"/>
    <w:rsid w:val="00090F33"/>
    <w:rsid w:val="00091355"/>
    <w:rsid w:val="0009135C"/>
    <w:rsid w:val="000913BE"/>
    <w:rsid w:val="000914F3"/>
    <w:rsid w:val="0009160C"/>
    <w:rsid w:val="00091637"/>
    <w:rsid w:val="000917A2"/>
    <w:rsid w:val="0009198C"/>
    <w:rsid w:val="00091B91"/>
    <w:rsid w:val="00091BD1"/>
    <w:rsid w:val="00091C32"/>
    <w:rsid w:val="00091ECE"/>
    <w:rsid w:val="00092306"/>
    <w:rsid w:val="00092373"/>
    <w:rsid w:val="00092647"/>
    <w:rsid w:val="000927FC"/>
    <w:rsid w:val="0009282A"/>
    <w:rsid w:val="000932A9"/>
    <w:rsid w:val="00093336"/>
    <w:rsid w:val="000935FE"/>
    <w:rsid w:val="0009369A"/>
    <w:rsid w:val="000936DE"/>
    <w:rsid w:val="000936F6"/>
    <w:rsid w:val="00093721"/>
    <w:rsid w:val="000938A7"/>
    <w:rsid w:val="00093ACB"/>
    <w:rsid w:val="00093BB2"/>
    <w:rsid w:val="00093C93"/>
    <w:rsid w:val="00093CD6"/>
    <w:rsid w:val="00093E47"/>
    <w:rsid w:val="00094AAC"/>
    <w:rsid w:val="00094BD3"/>
    <w:rsid w:val="00094C6C"/>
    <w:rsid w:val="00094E5F"/>
    <w:rsid w:val="000952DF"/>
    <w:rsid w:val="000954B4"/>
    <w:rsid w:val="000954F2"/>
    <w:rsid w:val="00095740"/>
    <w:rsid w:val="000958C5"/>
    <w:rsid w:val="00095B80"/>
    <w:rsid w:val="00095CD3"/>
    <w:rsid w:val="00095FCB"/>
    <w:rsid w:val="0009600A"/>
    <w:rsid w:val="000961D0"/>
    <w:rsid w:val="00096B63"/>
    <w:rsid w:val="00096E2E"/>
    <w:rsid w:val="00097075"/>
    <w:rsid w:val="00097509"/>
    <w:rsid w:val="0009760B"/>
    <w:rsid w:val="00097672"/>
    <w:rsid w:val="00097746"/>
    <w:rsid w:val="00097A2B"/>
    <w:rsid w:val="00097DFE"/>
    <w:rsid w:val="000A023A"/>
    <w:rsid w:val="000A0363"/>
    <w:rsid w:val="000A0553"/>
    <w:rsid w:val="000A05C1"/>
    <w:rsid w:val="000A0777"/>
    <w:rsid w:val="000A079A"/>
    <w:rsid w:val="000A07CC"/>
    <w:rsid w:val="000A097F"/>
    <w:rsid w:val="000A1252"/>
    <w:rsid w:val="000A12DB"/>
    <w:rsid w:val="000A1306"/>
    <w:rsid w:val="000A135B"/>
    <w:rsid w:val="000A1443"/>
    <w:rsid w:val="000A1A32"/>
    <w:rsid w:val="000A1A56"/>
    <w:rsid w:val="000A1A6C"/>
    <w:rsid w:val="000A1B39"/>
    <w:rsid w:val="000A1B52"/>
    <w:rsid w:val="000A1C52"/>
    <w:rsid w:val="000A1DE3"/>
    <w:rsid w:val="000A1F88"/>
    <w:rsid w:val="000A2143"/>
    <w:rsid w:val="000A2200"/>
    <w:rsid w:val="000A27F0"/>
    <w:rsid w:val="000A2955"/>
    <w:rsid w:val="000A2A95"/>
    <w:rsid w:val="000A2AB2"/>
    <w:rsid w:val="000A2BC0"/>
    <w:rsid w:val="000A2EBA"/>
    <w:rsid w:val="000A3095"/>
    <w:rsid w:val="000A3440"/>
    <w:rsid w:val="000A35BC"/>
    <w:rsid w:val="000A3915"/>
    <w:rsid w:val="000A3AC5"/>
    <w:rsid w:val="000A3B60"/>
    <w:rsid w:val="000A3BFB"/>
    <w:rsid w:val="000A3CAD"/>
    <w:rsid w:val="000A3E84"/>
    <w:rsid w:val="000A3F0F"/>
    <w:rsid w:val="000A3FDC"/>
    <w:rsid w:val="000A4005"/>
    <w:rsid w:val="000A401E"/>
    <w:rsid w:val="000A4255"/>
    <w:rsid w:val="000A4529"/>
    <w:rsid w:val="000A4A19"/>
    <w:rsid w:val="000A4D63"/>
    <w:rsid w:val="000A4D9F"/>
    <w:rsid w:val="000A4E0F"/>
    <w:rsid w:val="000A4E42"/>
    <w:rsid w:val="000A4F11"/>
    <w:rsid w:val="000A52CD"/>
    <w:rsid w:val="000A5B7B"/>
    <w:rsid w:val="000A5C00"/>
    <w:rsid w:val="000A61B4"/>
    <w:rsid w:val="000A6552"/>
    <w:rsid w:val="000A6671"/>
    <w:rsid w:val="000A684E"/>
    <w:rsid w:val="000A69B6"/>
    <w:rsid w:val="000A6F0D"/>
    <w:rsid w:val="000A74F0"/>
    <w:rsid w:val="000A75CB"/>
    <w:rsid w:val="000A75EA"/>
    <w:rsid w:val="000A789E"/>
    <w:rsid w:val="000A7995"/>
    <w:rsid w:val="000A7FA9"/>
    <w:rsid w:val="000B02B3"/>
    <w:rsid w:val="000B060E"/>
    <w:rsid w:val="000B0C9A"/>
    <w:rsid w:val="000B0E8B"/>
    <w:rsid w:val="000B0EB1"/>
    <w:rsid w:val="000B130A"/>
    <w:rsid w:val="000B1691"/>
    <w:rsid w:val="000B17A7"/>
    <w:rsid w:val="000B1A9E"/>
    <w:rsid w:val="000B1BF5"/>
    <w:rsid w:val="000B2013"/>
    <w:rsid w:val="000B21BF"/>
    <w:rsid w:val="000B2488"/>
    <w:rsid w:val="000B2823"/>
    <w:rsid w:val="000B2C4F"/>
    <w:rsid w:val="000B2FCB"/>
    <w:rsid w:val="000B3231"/>
    <w:rsid w:val="000B32EF"/>
    <w:rsid w:val="000B389E"/>
    <w:rsid w:val="000B38B8"/>
    <w:rsid w:val="000B3AAC"/>
    <w:rsid w:val="000B3AED"/>
    <w:rsid w:val="000B3C96"/>
    <w:rsid w:val="000B3DF0"/>
    <w:rsid w:val="000B3FBC"/>
    <w:rsid w:val="000B3FD7"/>
    <w:rsid w:val="000B400A"/>
    <w:rsid w:val="000B42A1"/>
    <w:rsid w:val="000B49C0"/>
    <w:rsid w:val="000B4A79"/>
    <w:rsid w:val="000B4ADE"/>
    <w:rsid w:val="000B4EB9"/>
    <w:rsid w:val="000B50C4"/>
    <w:rsid w:val="000B5189"/>
    <w:rsid w:val="000B51AB"/>
    <w:rsid w:val="000B5ADE"/>
    <w:rsid w:val="000B5BF6"/>
    <w:rsid w:val="000B5C57"/>
    <w:rsid w:val="000B5CCE"/>
    <w:rsid w:val="000B5F65"/>
    <w:rsid w:val="000B61B6"/>
    <w:rsid w:val="000B666E"/>
    <w:rsid w:val="000B68CE"/>
    <w:rsid w:val="000B69A3"/>
    <w:rsid w:val="000B69AB"/>
    <w:rsid w:val="000B69FD"/>
    <w:rsid w:val="000B6B24"/>
    <w:rsid w:val="000B6BE9"/>
    <w:rsid w:val="000B6E57"/>
    <w:rsid w:val="000B7139"/>
    <w:rsid w:val="000B7443"/>
    <w:rsid w:val="000B7BCB"/>
    <w:rsid w:val="000B7D6F"/>
    <w:rsid w:val="000B7DA4"/>
    <w:rsid w:val="000C0179"/>
    <w:rsid w:val="000C024A"/>
    <w:rsid w:val="000C0459"/>
    <w:rsid w:val="000C05A8"/>
    <w:rsid w:val="000C07EB"/>
    <w:rsid w:val="000C0855"/>
    <w:rsid w:val="000C08A3"/>
    <w:rsid w:val="000C094E"/>
    <w:rsid w:val="000C09DB"/>
    <w:rsid w:val="000C0F70"/>
    <w:rsid w:val="000C0F80"/>
    <w:rsid w:val="000C1383"/>
    <w:rsid w:val="000C13A9"/>
    <w:rsid w:val="000C1709"/>
    <w:rsid w:val="000C1A3E"/>
    <w:rsid w:val="000C1AAF"/>
    <w:rsid w:val="000C1B1D"/>
    <w:rsid w:val="000C1D08"/>
    <w:rsid w:val="000C2262"/>
    <w:rsid w:val="000C23CE"/>
    <w:rsid w:val="000C2570"/>
    <w:rsid w:val="000C2A79"/>
    <w:rsid w:val="000C2A92"/>
    <w:rsid w:val="000C2B87"/>
    <w:rsid w:val="000C2D88"/>
    <w:rsid w:val="000C308E"/>
    <w:rsid w:val="000C3195"/>
    <w:rsid w:val="000C32D3"/>
    <w:rsid w:val="000C3384"/>
    <w:rsid w:val="000C3AAE"/>
    <w:rsid w:val="000C3BFD"/>
    <w:rsid w:val="000C3EC4"/>
    <w:rsid w:val="000C3ECA"/>
    <w:rsid w:val="000C3FFF"/>
    <w:rsid w:val="000C40C2"/>
    <w:rsid w:val="000C423D"/>
    <w:rsid w:val="000C44DC"/>
    <w:rsid w:val="000C4506"/>
    <w:rsid w:val="000C4515"/>
    <w:rsid w:val="000C465C"/>
    <w:rsid w:val="000C46D7"/>
    <w:rsid w:val="000C4723"/>
    <w:rsid w:val="000C479D"/>
    <w:rsid w:val="000C4AD9"/>
    <w:rsid w:val="000C4C71"/>
    <w:rsid w:val="000C4C95"/>
    <w:rsid w:val="000C4F25"/>
    <w:rsid w:val="000C5092"/>
    <w:rsid w:val="000C5151"/>
    <w:rsid w:val="000C51F4"/>
    <w:rsid w:val="000C53A8"/>
    <w:rsid w:val="000C575D"/>
    <w:rsid w:val="000C5851"/>
    <w:rsid w:val="000C5CB4"/>
    <w:rsid w:val="000C5D2D"/>
    <w:rsid w:val="000C5E53"/>
    <w:rsid w:val="000C5E6D"/>
    <w:rsid w:val="000C6084"/>
    <w:rsid w:val="000C618D"/>
    <w:rsid w:val="000C62BD"/>
    <w:rsid w:val="000C656B"/>
    <w:rsid w:val="000C671C"/>
    <w:rsid w:val="000C6927"/>
    <w:rsid w:val="000C73DA"/>
    <w:rsid w:val="000C7421"/>
    <w:rsid w:val="000C77F4"/>
    <w:rsid w:val="000C7D48"/>
    <w:rsid w:val="000C7F31"/>
    <w:rsid w:val="000C7F57"/>
    <w:rsid w:val="000D004E"/>
    <w:rsid w:val="000D00DD"/>
    <w:rsid w:val="000D05A9"/>
    <w:rsid w:val="000D07AC"/>
    <w:rsid w:val="000D0B12"/>
    <w:rsid w:val="000D0C12"/>
    <w:rsid w:val="000D0FE1"/>
    <w:rsid w:val="000D12C8"/>
    <w:rsid w:val="000D1456"/>
    <w:rsid w:val="000D1489"/>
    <w:rsid w:val="000D1706"/>
    <w:rsid w:val="000D18BD"/>
    <w:rsid w:val="000D1A69"/>
    <w:rsid w:val="000D1BE6"/>
    <w:rsid w:val="000D1C49"/>
    <w:rsid w:val="000D1CA3"/>
    <w:rsid w:val="000D1FEF"/>
    <w:rsid w:val="000D207D"/>
    <w:rsid w:val="000D2E11"/>
    <w:rsid w:val="000D2F44"/>
    <w:rsid w:val="000D30B7"/>
    <w:rsid w:val="000D33FA"/>
    <w:rsid w:val="000D342C"/>
    <w:rsid w:val="000D3560"/>
    <w:rsid w:val="000D3656"/>
    <w:rsid w:val="000D36D4"/>
    <w:rsid w:val="000D3B47"/>
    <w:rsid w:val="000D4276"/>
    <w:rsid w:val="000D4852"/>
    <w:rsid w:val="000D4AFE"/>
    <w:rsid w:val="000D4F03"/>
    <w:rsid w:val="000D5352"/>
    <w:rsid w:val="000D5575"/>
    <w:rsid w:val="000D5721"/>
    <w:rsid w:val="000D57CE"/>
    <w:rsid w:val="000D5B52"/>
    <w:rsid w:val="000D5F17"/>
    <w:rsid w:val="000D608E"/>
    <w:rsid w:val="000D6585"/>
    <w:rsid w:val="000D6D98"/>
    <w:rsid w:val="000D6EB2"/>
    <w:rsid w:val="000D6F85"/>
    <w:rsid w:val="000D7316"/>
    <w:rsid w:val="000D73DD"/>
    <w:rsid w:val="000D753A"/>
    <w:rsid w:val="000E08BB"/>
    <w:rsid w:val="000E0B48"/>
    <w:rsid w:val="000E0BF1"/>
    <w:rsid w:val="000E0C02"/>
    <w:rsid w:val="000E0C8C"/>
    <w:rsid w:val="000E0E56"/>
    <w:rsid w:val="000E110C"/>
    <w:rsid w:val="000E1222"/>
    <w:rsid w:val="000E140D"/>
    <w:rsid w:val="000E14EC"/>
    <w:rsid w:val="000E2102"/>
    <w:rsid w:val="000E243D"/>
    <w:rsid w:val="000E24B2"/>
    <w:rsid w:val="000E298A"/>
    <w:rsid w:val="000E2A27"/>
    <w:rsid w:val="000E2A5D"/>
    <w:rsid w:val="000E2FCD"/>
    <w:rsid w:val="000E30D7"/>
    <w:rsid w:val="000E381B"/>
    <w:rsid w:val="000E3917"/>
    <w:rsid w:val="000E3C3F"/>
    <w:rsid w:val="000E3E56"/>
    <w:rsid w:val="000E3EC3"/>
    <w:rsid w:val="000E3F95"/>
    <w:rsid w:val="000E4125"/>
    <w:rsid w:val="000E41C3"/>
    <w:rsid w:val="000E451F"/>
    <w:rsid w:val="000E486D"/>
    <w:rsid w:val="000E4982"/>
    <w:rsid w:val="000E55A1"/>
    <w:rsid w:val="000E57CF"/>
    <w:rsid w:val="000E5ABF"/>
    <w:rsid w:val="000E5E7C"/>
    <w:rsid w:val="000E6369"/>
    <w:rsid w:val="000E6392"/>
    <w:rsid w:val="000E65BA"/>
    <w:rsid w:val="000E687A"/>
    <w:rsid w:val="000E690F"/>
    <w:rsid w:val="000E704F"/>
    <w:rsid w:val="000E7136"/>
    <w:rsid w:val="000E76B5"/>
    <w:rsid w:val="000E7B07"/>
    <w:rsid w:val="000E7D18"/>
    <w:rsid w:val="000E7DAB"/>
    <w:rsid w:val="000F0578"/>
    <w:rsid w:val="000F069E"/>
    <w:rsid w:val="000F0738"/>
    <w:rsid w:val="000F079A"/>
    <w:rsid w:val="000F0CD2"/>
    <w:rsid w:val="000F0DFE"/>
    <w:rsid w:val="000F120B"/>
    <w:rsid w:val="000F12EF"/>
    <w:rsid w:val="000F15BF"/>
    <w:rsid w:val="000F16C9"/>
    <w:rsid w:val="000F16F2"/>
    <w:rsid w:val="000F1790"/>
    <w:rsid w:val="000F1B74"/>
    <w:rsid w:val="000F1C44"/>
    <w:rsid w:val="000F1E0E"/>
    <w:rsid w:val="000F2084"/>
    <w:rsid w:val="000F231F"/>
    <w:rsid w:val="000F2429"/>
    <w:rsid w:val="000F2467"/>
    <w:rsid w:val="000F29A9"/>
    <w:rsid w:val="000F29E1"/>
    <w:rsid w:val="000F2D4C"/>
    <w:rsid w:val="000F32C6"/>
    <w:rsid w:val="000F3418"/>
    <w:rsid w:val="000F3608"/>
    <w:rsid w:val="000F361E"/>
    <w:rsid w:val="000F390C"/>
    <w:rsid w:val="000F3EBA"/>
    <w:rsid w:val="000F3FF7"/>
    <w:rsid w:val="000F4911"/>
    <w:rsid w:val="000F49A5"/>
    <w:rsid w:val="000F4A64"/>
    <w:rsid w:val="000F4D62"/>
    <w:rsid w:val="000F4F54"/>
    <w:rsid w:val="000F50F9"/>
    <w:rsid w:val="000F514D"/>
    <w:rsid w:val="000F51D2"/>
    <w:rsid w:val="000F529A"/>
    <w:rsid w:val="000F54F8"/>
    <w:rsid w:val="000F577A"/>
    <w:rsid w:val="000F58C1"/>
    <w:rsid w:val="000F5A97"/>
    <w:rsid w:val="000F5BB2"/>
    <w:rsid w:val="000F6047"/>
    <w:rsid w:val="000F604A"/>
    <w:rsid w:val="000F6280"/>
    <w:rsid w:val="000F62A6"/>
    <w:rsid w:val="000F63E7"/>
    <w:rsid w:val="000F6430"/>
    <w:rsid w:val="000F64DA"/>
    <w:rsid w:val="000F671D"/>
    <w:rsid w:val="000F6980"/>
    <w:rsid w:val="000F6BDA"/>
    <w:rsid w:val="000F6E8B"/>
    <w:rsid w:val="000F6FAF"/>
    <w:rsid w:val="000F7068"/>
    <w:rsid w:val="000F7A4B"/>
    <w:rsid w:val="000F7A7C"/>
    <w:rsid w:val="000F7F84"/>
    <w:rsid w:val="00100016"/>
    <w:rsid w:val="00100428"/>
    <w:rsid w:val="00100463"/>
    <w:rsid w:val="00100697"/>
    <w:rsid w:val="00100B15"/>
    <w:rsid w:val="00100C24"/>
    <w:rsid w:val="0010108C"/>
    <w:rsid w:val="00101187"/>
    <w:rsid w:val="0010139E"/>
    <w:rsid w:val="0010159D"/>
    <w:rsid w:val="0010175E"/>
    <w:rsid w:val="00101774"/>
    <w:rsid w:val="0010195E"/>
    <w:rsid w:val="00101B5E"/>
    <w:rsid w:val="00101CE9"/>
    <w:rsid w:val="00101D84"/>
    <w:rsid w:val="00101E0D"/>
    <w:rsid w:val="00102251"/>
    <w:rsid w:val="0010280C"/>
    <w:rsid w:val="00102842"/>
    <w:rsid w:val="00102940"/>
    <w:rsid w:val="001029B7"/>
    <w:rsid w:val="00102F17"/>
    <w:rsid w:val="001032C1"/>
    <w:rsid w:val="00103613"/>
    <w:rsid w:val="0010386C"/>
    <w:rsid w:val="00103C75"/>
    <w:rsid w:val="00103EDB"/>
    <w:rsid w:val="001042BB"/>
    <w:rsid w:val="0010485F"/>
    <w:rsid w:val="00104C12"/>
    <w:rsid w:val="00104C91"/>
    <w:rsid w:val="00104CEF"/>
    <w:rsid w:val="001052F3"/>
    <w:rsid w:val="001052F7"/>
    <w:rsid w:val="00105425"/>
    <w:rsid w:val="0010599E"/>
    <w:rsid w:val="00105BDD"/>
    <w:rsid w:val="00105D39"/>
    <w:rsid w:val="00105F21"/>
    <w:rsid w:val="00105F56"/>
    <w:rsid w:val="00106045"/>
    <w:rsid w:val="00106211"/>
    <w:rsid w:val="00106358"/>
    <w:rsid w:val="00106663"/>
    <w:rsid w:val="00106D48"/>
    <w:rsid w:val="00106E17"/>
    <w:rsid w:val="00106E75"/>
    <w:rsid w:val="001072CF"/>
    <w:rsid w:val="0010770E"/>
    <w:rsid w:val="001102D4"/>
    <w:rsid w:val="001106B6"/>
    <w:rsid w:val="00110D07"/>
    <w:rsid w:val="00110DF6"/>
    <w:rsid w:val="001112A9"/>
    <w:rsid w:val="001113EE"/>
    <w:rsid w:val="001118D0"/>
    <w:rsid w:val="00111949"/>
    <w:rsid w:val="00111B68"/>
    <w:rsid w:val="00111BE1"/>
    <w:rsid w:val="00111D93"/>
    <w:rsid w:val="00112529"/>
    <w:rsid w:val="00112869"/>
    <w:rsid w:val="001129EA"/>
    <w:rsid w:val="00112B04"/>
    <w:rsid w:val="00112BFF"/>
    <w:rsid w:val="00112D46"/>
    <w:rsid w:val="00112FBF"/>
    <w:rsid w:val="00113069"/>
    <w:rsid w:val="00113192"/>
    <w:rsid w:val="00113720"/>
    <w:rsid w:val="00113B04"/>
    <w:rsid w:val="00113CEB"/>
    <w:rsid w:val="001141D8"/>
    <w:rsid w:val="00114271"/>
    <w:rsid w:val="00114289"/>
    <w:rsid w:val="001143B7"/>
    <w:rsid w:val="001144D5"/>
    <w:rsid w:val="00114540"/>
    <w:rsid w:val="00114D17"/>
    <w:rsid w:val="00114EDF"/>
    <w:rsid w:val="00114F3C"/>
    <w:rsid w:val="0011518D"/>
    <w:rsid w:val="001151AE"/>
    <w:rsid w:val="00115622"/>
    <w:rsid w:val="00116419"/>
    <w:rsid w:val="001165F5"/>
    <w:rsid w:val="0011680C"/>
    <w:rsid w:val="0011689D"/>
    <w:rsid w:val="001168BD"/>
    <w:rsid w:val="00116E1A"/>
    <w:rsid w:val="00117374"/>
    <w:rsid w:val="001173EF"/>
    <w:rsid w:val="00117465"/>
    <w:rsid w:val="00117762"/>
    <w:rsid w:val="0011793C"/>
    <w:rsid w:val="00117BED"/>
    <w:rsid w:val="00117F4E"/>
    <w:rsid w:val="001201C6"/>
    <w:rsid w:val="001203F9"/>
    <w:rsid w:val="00120523"/>
    <w:rsid w:val="00120701"/>
    <w:rsid w:val="001209C4"/>
    <w:rsid w:val="00120B00"/>
    <w:rsid w:val="00120C38"/>
    <w:rsid w:val="00120E1E"/>
    <w:rsid w:val="00121024"/>
    <w:rsid w:val="0012151B"/>
    <w:rsid w:val="001215C7"/>
    <w:rsid w:val="0012185A"/>
    <w:rsid w:val="00121C1D"/>
    <w:rsid w:val="00122170"/>
    <w:rsid w:val="00122342"/>
    <w:rsid w:val="00122421"/>
    <w:rsid w:val="00122502"/>
    <w:rsid w:val="0012253E"/>
    <w:rsid w:val="001226B5"/>
    <w:rsid w:val="00122813"/>
    <w:rsid w:val="00122BFD"/>
    <w:rsid w:val="00122E34"/>
    <w:rsid w:val="00123058"/>
    <w:rsid w:val="001231DE"/>
    <w:rsid w:val="00123286"/>
    <w:rsid w:val="001232F8"/>
    <w:rsid w:val="0012334C"/>
    <w:rsid w:val="001236FB"/>
    <w:rsid w:val="0012394E"/>
    <w:rsid w:val="00123E62"/>
    <w:rsid w:val="001241AD"/>
    <w:rsid w:val="0012425A"/>
    <w:rsid w:val="001246C7"/>
    <w:rsid w:val="001248D0"/>
    <w:rsid w:val="00124906"/>
    <w:rsid w:val="00124E8F"/>
    <w:rsid w:val="001250FA"/>
    <w:rsid w:val="0012541A"/>
    <w:rsid w:val="0012560F"/>
    <w:rsid w:val="0012597C"/>
    <w:rsid w:val="00125BE4"/>
    <w:rsid w:val="00125C6B"/>
    <w:rsid w:val="00125C90"/>
    <w:rsid w:val="00125CA5"/>
    <w:rsid w:val="00126208"/>
    <w:rsid w:val="00126250"/>
    <w:rsid w:val="001262C9"/>
    <w:rsid w:val="00126533"/>
    <w:rsid w:val="00126674"/>
    <w:rsid w:val="001266C2"/>
    <w:rsid w:val="00126703"/>
    <w:rsid w:val="0012685F"/>
    <w:rsid w:val="00126B3D"/>
    <w:rsid w:val="00126DDA"/>
    <w:rsid w:val="00126E79"/>
    <w:rsid w:val="0012700E"/>
    <w:rsid w:val="0012737E"/>
    <w:rsid w:val="0012747F"/>
    <w:rsid w:val="0012768A"/>
    <w:rsid w:val="001300B3"/>
    <w:rsid w:val="001306C2"/>
    <w:rsid w:val="00130A69"/>
    <w:rsid w:val="00130D97"/>
    <w:rsid w:val="00130E4F"/>
    <w:rsid w:val="00130E95"/>
    <w:rsid w:val="00130F33"/>
    <w:rsid w:val="00131026"/>
    <w:rsid w:val="00131121"/>
    <w:rsid w:val="001311C8"/>
    <w:rsid w:val="001312D6"/>
    <w:rsid w:val="001315A4"/>
    <w:rsid w:val="00131690"/>
    <w:rsid w:val="001317B0"/>
    <w:rsid w:val="00131852"/>
    <w:rsid w:val="00131B8E"/>
    <w:rsid w:val="00131BCC"/>
    <w:rsid w:val="001320F7"/>
    <w:rsid w:val="0013230B"/>
    <w:rsid w:val="001323D4"/>
    <w:rsid w:val="00132761"/>
    <w:rsid w:val="00132879"/>
    <w:rsid w:val="00132DD2"/>
    <w:rsid w:val="00132E16"/>
    <w:rsid w:val="00132E37"/>
    <w:rsid w:val="00132F16"/>
    <w:rsid w:val="00133087"/>
    <w:rsid w:val="001334F9"/>
    <w:rsid w:val="001336EB"/>
    <w:rsid w:val="00133861"/>
    <w:rsid w:val="001338DA"/>
    <w:rsid w:val="00133901"/>
    <w:rsid w:val="00133940"/>
    <w:rsid w:val="00133CF0"/>
    <w:rsid w:val="00133DB2"/>
    <w:rsid w:val="00133EF5"/>
    <w:rsid w:val="00134198"/>
    <w:rsid w:val="0013432E"/>
    <w:rsid w:val="00134639"/>
    <w:rsid w:val="001348B3"/>
    <w:rsid w:val="00134937"/>
    <w:rsid w:val="00134C47"/>
    <w:rsid w:val="00134D4B"/>
    <w:rsid w:val="00134E5B"/>
    <w:rsid w:val="00134EE4"/>
    <w:rsid w:val="001350C2"/>
    <w:rsid w:val="00135B53"/>
    <w:rsid w:val="00135BF7"/>
    <w:rsid w:val="00135C76"/>
    <w:rsid w:val="00135D2D"/>
    <w:rsid w:val="00136193"/>
    <w:rsid w:val="001363FC"/>
    <w:rsid w:val="001364BE"/>
    <w:rsid w:val="0013654C"/>
    <w:rsid w:val="0013656B"/>
    <w:rsid w:val="00136588"/>
    <w:rsid w:val="00136799"/>
    <w:rsid w:val="00136931"/>
    <w:rsid w:val="00136D50"/>
    <w:rsid w:val="00136DDF"/>
    <w:rsid w:val="00136EC0"/>
    <w:rsid w:val="00136F87"/>
    <w:rsid w:val="0013700E"/>
    <w:rsid w:val="00137194"/>
    <w:rsid w:val="0013743B"/>
    <w:rsid w:val="00137443"/>
    <w:rsid w:val="00137736"/>
    <w:rsid w:val="00137756"/>
    <w:rsid w:val="00137819"/>
    <w:rsid w:val="0013783A"/>
    <w:rsid w:val="00137989"/>
    <w:rsid w:val="00137A23"/>
    <w:rsid w:val="00137AEA"/>
    <w:rsid w:val="00137BAA"/>
    <w:rsid w:val="00137E9C"/>
    <w:rsid w:val="00137EC3"/>
    <w:rsid w:val="00137F2C"/>
    <w:rsid w:val="00137F71"/>
    <w:rsid w:val="001400A0"/>
    <w:rsid w:val="0014024C"/>
    <w:rsid w:val="00140724"/>
    <w:rsid w:val="001407C2"/>
    <w:rsid w:val="00140A08"/>
    <w:rsid w:val="00140D6E"/>
    <w:rsid w:val="00140FFC"/>
    <w:rsid w:val="001414CE"/>
    <w:rsid w:val="00141511"/>
    <w:rsid w:val="00141590"/>
    <w:rsid w:val="0014159E"/>
    <w:rsid w:val="0014165D"/>
    <w:rsid w:val="0014188F"/>
    <w:rsid w:val="00141AB1"/>
    <w:rsid w:val="00141D29"/>
    <w:rsid w:val="0014209D"/>
    <w:rsid w:val="0014246B"/>
    <w:rsid w:val="00142619"/>
    <w:rsid w:val="001428D6"/>
    <w:rsid w:val="001429F4"/>
    <w:rsid w:val="00142B22"/>
    <w:rsid w:val="00142D6A"/>
    <w:rsid w:val="00142E0B"/>
    <w:rsid w:val="00143503"/>
    <w:rsid w:val="001435E3"/>
    <w:rsid w:val="00143728"/>
    <w:rsid w:val="0014375B"/>
    <w:rsid w:val="001437D8"/>
    <w:rsid w:val="001438FC"/>
    <w:rsid w:val="00143D36"/>
    <w:rsid w:val="00143D5E"/>
    <w:rsid w:val="00143DF4"/>
    <w:rsid w:val="00143F4C"/>
    <w:rsid w:val="001440BC"/>
    <w:rsid w:val="00144683"/>
    <w:rsid w:val="0014484C"/>
    <w:rsid w:val="00144A03"/>
    <w:rsid w:val="00144CEF"/>
    <w:rsid w:val="00145088"/>
    <w:rsid w:val="00145877"/>
    <w:rsid w:val="001459DA"/>
    <w:rsid w:val="001460C7"/>
    <w:rsid w:val="00146573"/>
    <w:rsid w:val="001465E7"/>
    <w:rsid w:val="001466BE"/>
    <w:rsid w:val="001468BD"/>
    <w:rsid w:val="00146AE6"/>
    <w:rsid w:val="00146BF9"/>
    <w:rsid w:val="00146C6B"/>
    <w:rsid w:val="00146E24"/>
    <w:rsid w:val="0014721C"/>
    <w:rsid w:val="001473D0"/>
    <w:rsid w:val="00147478"/>
    <w:rsid w:val="0014752C"/>
    <w:rsid w:val="00147661"/>
    <w:rsid w:val="00147997"/>
    <w:rsid w:val="00147D26"/>
    <w:rsid w:val="00147EC2"/>
    <w:rsid w:val="00147FA3"/>
    <w:rsid w:val="001500FB"/>
    <w:rsid w:val="00150356"/>
    <w:rsid w:val="001503D9"/>
    <w:rsid w:val="001505AB"/>
    <w:rsid w:val="00150623"/>
    <w:rsid w:val="001509F9"/>
    <w:rsid w:val="00150A8C"/>
    <w:rsid w:val="00150BEE"/>
    <w:rsid w:val="00150C5B"/>
    <w:rsid w:val="00150CA1"/>
    <w:rsid w:val="00150F50"/>
    <w:rsid w:val="00150F8A"/>
    <w:rsid w:val="001510DA"/>
    <w:rsid w:val="00151470"/>
    <w:rsid w:val="001519FD"/>
    <w:rsid w:val="00151B4E"/>
    <w:rsid w:val="001520DC"/>
    <w:rsid w:val="001520F7"/>
    <w:rsid w:val="001521F5"/>
    <w:rsid w:val="00152949"/>
    <w:rsid w:val="00152B43"/>
    <w:rsid w:val="00152C02"/>
    <w:rsid w:val="00152E7A"/>
    <w:rsid w:val="00152F4D"/>
    <w:rsid w:val="00153015"/>
    <w:rsid w:val="0015347A"/>
    <w:rsid w:val="0015351A"/>
    <w:rsid w:val="001535C8"/>
    <w:rsid w:val="001535D0"/>
    <w:rsid w:val="001536D1"/>
    <w:rsid w:val="001536F8"/>
    <w:rsid w:val="00153949"/>
    <w:rsid w:val="001545FC"/>
    <w:rsid w:val="001547A9"/>
    <w:rsid w:val="00154C2B"/>
    <w:rsid w:val="00155448"/>
    <w:rsid w:val="00155804"/>
    <w:rsid w:val="0015593F"/>
    <w:rsid w:val="00155D09"/>
    <w:rsid w:val="001565E7"/>
    <w:rsid w:val="00156645"/>
    <w:rsid w:val="0015699E"/>
    <w:rsid w:val="00156D25"/>
    <w:rsid w:val="00156DE7"/>
    <w:rsid w:val="00156DF3"/>
    <w:rsid w:val="00156EE3"/>
    <w:rsid w:val="0015704C"/>
    <w:rsid w:val="001570A1"/>
    <w:rsid w:val="001572A6"/>
    <w:rsid w:val="00157481"/>
    <w:rsid w:val="00157730"/>
    <w:rsid w:val="001578DF"/>
    <w:rsid w:val="00157925"/>
    <w:rsid w:val="001579D6"/>
    <w:rsid w:val="00157B3C"/>
    <w:rsid w:val="00157B9F"/>
    <w:rsid w:val="00157BC6"/>
    <w:rsid w:val="00157CBA"/>
    <w:rsid w:val="00157D82"/>
    <w:rsid w:val="00160134"/>
    <w:rsid w:val="0016021F"/>
    <w:rsid w:val="00160565"/>
    <w:rsid w:val="0016094D"/>
    <w:rsid w:val="00160B9E"/>
    <w:rsid w:val="001611B0"/>
    <w:rsid w:val="001614F2"/>
    <w:rsid w:val="0016179A"/>
    <w:rsid w:val="00161886"/>
    <w:rsid w:val="001619CA"/>
    <w:rsid w:val="001619DE"/>
    <w:rsid w:val="00161BA5"/>
    <w:rsid w:val="00161BBE"/>
    <w:rsid w:val="0016251E"/>
    <w:rsid w:val="00162675"/>
    <w:rsid w:val="001629B5"/>
    <w:rsid w:val="00162F0F"/>
    <w:rsid w:val="0016306C"/>
    <w:rsid w:val="0016379D"/>
    <w:rsid w:val="001637DA"/>
    <w:rsid w:val="00163903"/>
    <w:rsid w:val="00163BCC"/>
    <w:rsid w:val="00163E80"/>
    <w:rsid w:val="001642BA"/>
    <w:rsid w:val="00164457"/>
    <w:rsid w:val="00164733"/>
    <w:rsid w:val="00164ADF"/>
    <w:rsid w:val="00164E4C"/>
    <w:rsid w:val="001650C2"/>
    <w:rsid w:val="001653DF"/>
    <w:rsid w:val="00165471"/>
    <w:rsid w:val="00165584"/>
    <w:rsid w:val="0016563F"/>
    <w:rsid w:val="00165C16"/>
    <w:rsid w:val="00165D67"/>
    <w:rsid w:val="00165EF0"/>
    <w:rsid w:val="00165FC1"/>
    <w:rsid w:val="001662E7"/>
    <w:rsid w:val="0016662E"/>
    <w:rsid w:val="00166691"/>
    <w:rsid w:val="00166BBA"/>
    <w:rsid w:val="00166D0B"/>
    <w:rsid w:val="00166F85"/>
    <w:rsid w:val="00166FAF"/>
    <w:rsid w:val="00166FDC"/>
    <w:rsid w:val="00167009"/>
    <w:rsid w:val="00167195"/>
    <w:rsid w:val="00167287"/>
    <w:rsid w:val="001674BF"/>
    <w:rsid w:val="0016759B"/>
    <w:rsid w:val="001675B4"/>
    <w:rsid w:val="0016777A"/>
    <w:rsid w:val="00167A98"/>
    <w:rsid w:val="00167B8B"/>
    <w:rsid w:val="00167D6B"/>
    <w:rsid w:val="00170174"/>
    <w:rsid w:val="0017029D"/>
    <w:rsid w:val="001705C2"/>
    <w:rsid w:val="0017072A"/>
    <w:rsid w:val="001707D5"/>
    <w:rsid w:val="00170844"/>
    <w:rsid w:val="0017095A"/>
    <w:rsid w:val="00170A2F"/>
    <w:rsid w:val="00170A83"/>
    <w:rsid w:val="00170B87"/>
    <w:rsid w:val="00170C21"/>
    <w:rsid w:val="00170FFC"/>
    <w:rsid w:val="001712D7"/>
    <w:rsid w:val="001716CB"/>
    <w:rsid w:val="00171831"/>
    <w:rsid w:val="001718FC"/>
    <w:rsid w:val="00171C1E"/>
    <w:rsid w:val="00171C61"/>
    <w:rsid w:val="00172039"/>
    <w:rsid w:val="00172080"/>
    <w:rsid w:val="001720CB"/>
    <w:rsid w:val="001725E8"/>
    <w:rsid w:val="00172D28"/>
    <w:rsid w:val="00172F1C"/>
    <w:rsid w:val="0017363B"/>
    <w:rsid w:val="00173D24"/>
    <w:rsid w:val="00173EAC"/>
    <w:rsid w:val="00174501"/>
    <w:rsid w:val="001745BF"/>
    <w:rsid w:val="00174654"/>
    <w:rsid w:val="00174B96"/>
    <w:rsid w:val="00174BB3"/>
    <w:rsid w:val="00174DCA"/>
    <w:rsid w:val="00174E65"/>
    <w:rsid w:val="001751C5"/>
    <w:rsid w:val="001751C7"/>
    <w:rsid w:val="00175454"/>
    <w:rsid w:val="0017564B"/>
    <w:rsid w:val="00175700"/>
    <w:rsid w:val="00175871"/>
    <w:rsid w:val="00175B44"/>
    <w:rsid w:val="0017620E"/>
    <w:rsid w:val="00176371"/>
    <w:rsid w:val="001763DD"/>
    <w:rsid w:val="001763E4"/>
    <w:rsid w:val="00176403"/>
    <w:rsid w:val="00176433"/>
    <w:rsid w:val="0017646B"/>
    <w:rsid w:val="001767BA"/>
    <w:rsid w:val="0017682F"/>
    <w:rsid w:val="001768FC"/>
    <w:rsid w:val="00176C8C"/>
    <w:rsid w:val="0017758F"/>
    <w:rsid w:val="001776BE"/>
    <w:rsid w:val="00177757"/>
    <w:rsid w:val="0017779C"/>
    <w:rsid w:val="00177D25"/>
    <w:rsid w:val="00180038"/>
    <w:rsid w:val="001803CE"/>
    <w:rsid w:val="001804A3"/>
    <w:rsid w:val="00180811"/>
    <w:rsid w:val="001808BE"/>
    <w:rsid w:val="00180B12"/>
    <w:rsid w:val="00180D64"/>
    <w:rsid w:val="00180DD2"/>
    <w:rsid w:val="00180DD8"/>
    <w:rsid w:val="00180F9D"/>
    <w:rsid w:val="00181BD5"/>
    <w:rsid w:val="00181E59"/>
    <w:rsid w:val="00182084"/>
    <w:rsid w:val="001820CE"/>
    <w:rsid w:val="0018250D"/>
    <w:rsid w:val="00182865"/>
    <w:rsid w:val="00182FB1"/>
    <w:rsid w:val="001832BB"/>
    <w:rsid w:val="001838BA"/>
    <w:rsid w:val="001838C1"/>
    <w:rsid w:val="00183CE3"/>
    <w:rsid w:val="00183DC3"/>
    <w:rsid w:val="00183E6F"/>
    <w:rsid w:val="0018413A"/>
    <w:rsid w:val="001842BF"/>
    <w:rsid w:val="001845FA"/>
    <w:rsid w:val="00184612"/>
    <w:rsid w:val="001846BB"/>
    <w:rsid w:val="0018483C"/>
    <w:rsid w:val="001849C6"/>
    <w:rsid w:val="00184B9D"/>
    <w:rsid w:val="00184BE7"/>
    <w:rsid w:val="00184C50"/>
    <w:rsid w:val="00184E8B"/>
    <w:rsid w:val="00184F51"/>
    <w:rsid w:val="0018524C"/>
    <w:rsid w:val="0018535E"/>
    <w:rsid w:val="001857A9"/>
    <w:rsid w:val="001857D0"/>
    <w:rsid w:val="00185AE4"/>
    <w:rsid w:val="00185E29"/>
    <w:rsid w:val="00185E61"/>
    <w:rsid w:val="00186112"/>
    <w:rsid w:val="001861A0"/>
    <w:rsid w:val="001865DE"/>
    <w:rsid w:val="0018682D"/>
    <w:rsid w:val="001868DA"/>
    <w:rsid w:val="0018694A"/>
    <w:rsid w:val="00186D03"/>
    <w:rsid w:val="0018705E"/>
    <w:rsid w:val="001872ED"/>
    <w:rsid w:val="00187406"/>
    <w:rsid w:val="00187559"/>
    <w:rsid w:val="0018F5C5"/>
    <w:rsid w:val="00190296"/>
    <w:rsid w:val="00190562"/>
    <w:rsid w:val="00190578"/>
    <w:rsid w:val="00190708"/>
    <w:rsid w:val="00190727"/>
    <w:rsid w:val="00190DFC"/>
    <w:rsid w:val="00190FE0"/>
    <w:rsid w:val="00191415"/>
    <w:rsid w:val="0019184A"/>
    <w:rsid w:val="00191C3F"/>
    <w:rsid w:val="00191CF8"/>
    <w:rsid w:val="00192017"/>
    <w:rsid w:val="00192199"/>
    <w:rsid w:val="00192AF1"/>
    <w:rsid w:val="00192D76"/>
    <w:rsid w:val="00192FB7"/>
    <w:rsid w:val="001933C8"/>
    <w:rsid w:val="00193E7C"/>
    <w:rsid w:val="00193F23"/>
    <w:rsid w:val="00194091"/>
    <w:rsid w:val="001940C3"/>
    <w:rsid w:val="00194465"/>
    <w:rsid w:val="00194506"/>
    <w:rsid w:val="001946BA"/>
    <w:rsid w:val="00194B47"/>
    <w:rsid w:val="00194C4A"/>
    <w:rsid w:val="00194D37"/>
    <w:rsid w:val="0019555F"/>
    <w:rsid w:val="001956C3"/>
    <w:rsid w:val="00195BB4"/>
    <w:rsid w:val="001972CF"/>
    <w:rsid w:val="00197344"/>
    <w:rsid w:val="00197809"/>
    <w:rsid w:val="00197812"/>
    <w:rsid w:val="00197833"/>
    <w:rsid w:val="00197953"/>
    <w:rsid w:val="00197A63"/>
    <w:rsid w:val="00197AC6"/>
    <w:rsid w:val="001A00AC"/>
    <w:rsid w:val="001A00F8"/>
    <w:rsid w:val="001A0244"/>
    <w:rsid w:val="001A06A1"/>
    <w:rsid w:val="001A0A91"/>
    <w:rsid w:val="001A0BA1"/>
    <w:rsid w:val="001A0C63"/>
    <w:rsid w:val="001A0DBE"/>
    <w:rsid w:val="001A1291"/>
    <w:rsid w:val="001A15D7"/>
    <w:rsid w:val="001A1777"/>
    <w:rsid w:val="001A18B7"/>
    <w:rsid w:val="001A1E55"/>
    <w:rsid w:val="001A1F93"/>
    <w:rsid w:val="001A1FDD"/>
    <w:rsid w:val="001A21CF"/>
    <w:rsid w:val="001A221C"/>
    <w:rsid w:val="001A22B2"/>
    <w:rsid w:val="001A2AEE"/>
    <w:rsid w:val="001A2EDB"/>
    <w:rsid w:val="001A2FA3"/>
    <w:rsid w:val="001A2FD0"/>
    <w:rsid w:val="001A32DA"/>
    <w:rsid w:val="001A3714"/>
    <w:rsid w:val="001A3B85"/>
    <w:rsid w:val="001A3BF4"/>
    <w:rsid w:val="001A3CCC"/>
    <w:rsid w:val="001A3F11"/>
    <w:rsid w:val="001A414B"/>
    <w:rsid w:val="001A415F"/>
    <w:rsid w:val="001A448B"/>
    <w:rsid w:val="001A4491"/>
    <w:rsid w:val="001A470E"/>
    <w:rsid w:val="001A49B1"/>
    <w:rsid w:val="001A4A01"/>
    <w:rsid w:val="001A4B9F"/>
    <w:rsid w:val="001A4C28"/>
    <w:rsid w:val="001A4C93"/>
    <w:rsid w:val="001A5315"/>
    <w:rsid w:val="001A53DA"/>
    <w:rsid w:val="001A672D"/>
    <w:rsid w:val="001A6A7D"/>
    <w:rsid w:val="001A6C76"/>
    <w:rsid w:val="001A798E"/>
    <w:rsid w:val="001A7BF9"/>
    <w:rsid w:val="001A7D61"/>
    <w:rsid w:val="001B0011"/>
    <w:rsid w:val="001B0094"/>
    <w:rsid w:val="001B036F"/>
    <w:rsid w:val="001B0581"/>
    <w:rsid w:val="001B05EF"/>
    <w:rsid w:val="001B08E1"/>
    <w:rsid w:val="001B0C04"/>
    <w:rsid w:val="001B0D33"/>
    <w:rsid w:val="001B0F6B"/>
    <w:rsid w:val="001B0FAF"/>
    <w:rsid w:val="001B12C5"/>
    <w:rsid w:val="001B1433"/>
    <w:rsid w:val="001B152C"/>
    <w:rsid w:val="001B186A"/>
    <w:rsid w:val="001B1947"/>
    <w:rsid w:val="001B1A83"/>
    <w:rsid w:val="001B1C3F"/>
    <w:rsid w:val="001B1DFE"/>
    <w:rsid w:val="001B1F48"/>
    <w:rsid w:val="001B216B"/>
    <w:rsid w:val="001B21E2"/>
    <w:rsid w:val="001B24DE"/>
    <w:rsid w:val="001B274A"/>
    <w:rsid w:val="001B29A5"/>
    <w:rsid w:val="001B2B75"/>
    <w:rsid w:val="001B2C1F"/>
    <w:rsid w:val="001B2EA7"/>
    <w:rsid w:val="001B2FE8"/>
    <w:rsid w:val="001B305A"/>
    <w:rsid w:val="001B30B8"/>
    <w:rsid w:val="001B3316"/>
    <w:rsid w:val="001B34EA"/>
    <w:rsid w:val="001B36AB"/>
    <w:rsid w:val="001B370F"/>
    <w:rsid w:val="001B4125"/>
    <w:rsid w:val="001B422D"/>
    <w:rsid w:val="001B447B"/>
    <w:rsid w:val="001B457C"/>
    <w:rsid w:val="001B46C9"/>
    <w:rsid w:val="001B48EB"/>
    <w:rsid w:val="001B4BB4"/>
    <w:rsid w:val="001B4D67"/>
    <w:rsid w:val="001B4E89"/>
    <w:rsid w:val="001B4F52"/>
    <w:rsid w:val="001B4F8B"/>
    <w:rsid w:val="001B4F92"/>
    <w:rsid w:val="001B5303"/>
    <w:rsid w:val="001B552B"/>
    <w:rsid w:val="001B5531"/>
    <w:rsid w:val="001B575E"/>
    <w:rsid w:val="001B5923"/>
    <w:rsid w:val="001B5CB9"/>
    <w:rsid w:val="001B5DBA"/>
    <w:rsid w:val="001B5F17"/>
    <w:rsid w:val="001B65FA"/>
    <w:rsid w:val="001B6754"/>
    <w:rsid w:val="001B6C9D"/>
    <w:rsid w:val="001B6E68"/>
    <w:rsid w:val="001B7265"/>
    <w:rsid w:val="001B7291"/>
    <w:rsid w:val="001B757D"/>
    <w:rsid w:val="001B7825"/>
    <w:rsid w:val="001B79BC"/>
    <w:rsid w:val="001B7A6D"/>
    <w:rsid w:val="001B7BB2"/>
    <w:rsid w:val="001C026F"/>
    <w:rsid w:val="001C0471"/>
    <w:rsid w:val="001C07AF"/>
    <w:rsid w:val="001C089D"/>
    <w:rsid w:val="001C08CF"/>
    <w:rsid w:val="001C0900"/>
    <w:rsid w:val="001C0A06"/>
    <w:rsid w:val="001C0A5F"/>
    <w:rsid w:val="001C0C56"/>
    <w:rsid w:val="001C11A1"/>
    <w:rsid w:val="001C1503"/>
    <w:rsid w:val="001C1527"/>
    <w:rsid w:val="001C192A"/>
    <w:rsid w:val="001C1A0B"/>
    <w:rsid w:val="001C20B6"/>
    <w:rsid w:val="001C233D"/>
    <w:rsid w:val="001C260A"/>
    <w:rsid w:val="001C2734"/>
    <w:rsid w:val="001C295D"/>
    <w:rsid w:val="001C2C95"/>
    <w:rsid w:val="001C2F5D"/>
    <w:rsid w:val="001C333E"/>
    <w:rsid w:val="001C337F"/>
    <w:rsid w:val="001C33E1"/>
    <w:rsid w:val="001C35DE"/>
    <w:rsid w:val="001C39F0"/>
    <w:rsid w:val="001C3CC3"/>
    <w:rsid w:val="001C3F16"/>
    <w:rsid w:val="001C4215"/>
    <w:rsid w:val="001C426A"/>
    <w:rsid w:val="001C4841"/>
    <w:rsid w:val="001C4C7C"/>
    <w:rsid w:val="001C5002"/>
    <w:rsid w:val="001C5313"/>
    <w:rsid w:val="001C56F2"/>
    <w:rsid w:val="001C5B50"/>
    <w:rsid w:val="001C5B52"/>
    <w:rsid w:val="001C5E19"/>
    <w:rsid w:val="001C5EF2"/>
    <w:rsid w:val="001C5F71"/>
    <w:rsid w:val="001C62C4"/>
    <w:rsid w:val="001C6629"/>
    <w:rsid w:val="001C685D"/>
    <w:rsid w:val="001C6A58"/>
    <w:rsid w:val="001C7025"/>
    <w:rsid w:val="001C703D"/>
    <w:rsid w:val="001C7430"/>
    <w:rsid w:val="001C757C"/>
    <w:rsid w:val="001C77CC"/>
    <w:rsid w:val="001C7D55"/>
    <w:rsid w:val="001D011D"/>
    <w:rsid w:val="001D01DD"/>
    <w:rsid w:val="001D0225"/>
    <w:rsid w:val="001D0297"/>
    <w:rsid w:val="001D06C6"/>
    <w:rsid w:val="001D0901"/>
    <w:rsid w:val="001D0A55"/>
    <w:rsid w:val="001D0A9A"/>
    <w:rsid w:val="001D0BCE"/>
    <w:rsid w:val="001D0C78"/>
    <w:rsid w:val="001D0CD4"/>
    <w:rsid w:val="001D0D7B"/>
    <w:rsid w:val="001D0F89"/>
    <w:rsid w:val="001D13C6"/>
    <w:rsid w:val="001D13E2"/>
    <w:rsid w:val="001D14C6"/>
    <w:rsid w:val="001D189D"/>
    <w:rsid w:val="001D1D81"/>
    <w:rsid w:val="001D1DCE"/>
    <w:rsid w:val="001D212A"/>
    <w:rsid w:val="001D218C"/>
    <w:rsid w:val="001D2320"/>
    <w:rsid w:val="001D25B0"/>
    <w:rsid w:val="001D25FB"/>
    <w:rsid w:val="001D2BD3"/>
    <w:rsid w:val="001D2F21"/>
    <w:rsid w:val="001D2F2D"/>
    <w:rsid w:val="001D3000"/>
    <w:rsid w:val="001D30D6"/>
    <w:rsid w:val="001D3490"/>
    <w:rsid w:val="001D36AA"/>
    <w:rsid w:val="001D38F7"/>
    <w:rsid w:val="001D3944"/>
    <w:rsid w:val="001D3A86"/>
    <w:rsid w:val="001D3AE8"/>
    <w:rsid w:val="001D3C9A"/>
    <w:rsid w:val="001D3CCA"/>
    <w:rsid w:val="001D4038"/>
    <w:rsid w:val="001D43FF"/>
    <w:rsid w:val="001D476E"/>
    <w:rsid w:val="001D48F2"/>
    <w:rsid w:val="001D4F7C"/>
    <w:rsid w:val="001D4FBF"/>
    <w:rsid w:val="001D51FD"/>
    <w:rsid w:val="001D5467"/>
    <w:rsid w:val="001D567F"/>
    <w:rsid w:val="001D5895"/>
    <w:rsid w:val="001D5A73"/>
    <w:rsid w:val="001D5CA1"/>
    <w:rsid w:val="001D5CED"/>
    <w:rsid w:val="001D5E7E"/>
    <w:rsid w:val="001D60A4"/>
    <w:rsid w:val="001D6BAC"/>
    <w:rsid w:val="001D6DA3"/>
    <w:rsid w:val="001D74FD"/>
    <w:rsid w:val="001D790C"/>
    <w:rsid w:val="001D7F05"/>
    <w:rsid w:val="001E03AB"/>
    <w:rsid w:val="001E080F"/>
    <w:rsid w:val="001E0DE5"/>
    <w:rsid w:val="001E0DF9"/>
    <w:rsid w:val="001E0E10"/>
    <w:rsid w:val="001E0ED5"/>
    <w:rsid w:val="001E12D6"/>
    <w:rsid w:val="001E16A4"/>
    <w:rsid w:val="001E181B"/>
    <w:rsid w:val="001E1BA1"/>
    <w:rsid w:val="001E1C2C"/>
    <w:rsid w:val="001E1DC7"/>
    <w:rsid w:val="001E1E57"/>
    <w:rsid w:val="001E252E"/>
    <w:rsid w:val="001E266B"/>
    <w:rsid w:val="001E2671"/>
    <w:rsid w:val="001E26FA"/>
    <w:rsid w:val="001E2CD0"/>
    <w:rsid w:val="001E2CDF"/>
    <w:rsid w:val="001E2EE5"/>
    <w:rsid w:val="001E315E"/>
    <w:rsid w:val="001E3458"/>
    <w:rsid w:val="001E38C1"/>
    <w:rsid w:val="001E3A6B"/>
    <w:rsid w:val="001E3B8D"/>
    <w:rsid w:val="001E3D85"/>
    <w:rsid w:val="001E3EA5"/>
    <w:rsid w:val="001E4062"/>
    <w:rsid w:val="001E465A"/>
    <w:rsid w:val="001E46C2"/>
    <w:rsid w:val="001E4857"/>
    <w:rsid w:val="001E4A40"/>
    <w:rsid w:val="001E4C72"/>
    <w:rsid w:val="001E4E8F"/>
    <w:rsid w:val="001E4FC7"/>
    <w:rsid w:val="001E5069"/>
    <w:rsid w:val="001E5323"/>
    <w:rsid w:val="001E5A64"/>
    <w:rsid w:val="001E5B13"/>
    <w:rsid w:val="001E5BF7"/>
    <w:rsid w:val="001E61CD"/>
    <w:rsid w:val="001E66C7"/>
    <w:rsid w:val="001E6704"/>
    <w:rsid w:val="001E691F"/>
    <w:rsid w:val="001E6962"/>
    <w:rsid w:val="001E6A6A"/>
    <w:rsid w:val="001E6C54"/>
    <w:rsid w:val="001E6DA6"/>
    <w:rsid w:val="001E6E75"/>
    <w:rsid w:val="001E74E8"/>
    <w:rsid w:val="001E7BB1"/>
    <w:rsid w:val="001E7C82"/>
    <w:rsid w:val="001E7EC9"/>
    <w:rsid w:val="001F01BE"/>
    <w:rsid w:val="001F0217"/>
    <w:rsid w:val="001F0366"/>
    <w:rsid w:val="001F0B80"/>
    <w:rsid w:val="001F0CE2"/>
    <w:rsid w:val="001F0E98"/>
    <w:rsid w:val="001F163F"/>
    <w:rsid w:val="001F16BE"/>
    <w:rsid w:val="001F1CB4"/>
    <w:rsid w:val="001F1EE1"/>
    <w:rsid w:val="001F1FF0"/>
    <w:rsid w:val="001F21D9"/>
    <w:rsid w:val="001F228B"/>
    <w:rsid w:val="001F231B"/>
    <w:rsid w:val="001F25D2"/>
    <w:rsid w:val="001F263F"/>
    <w:rsid w:val="001F2A15"/>
    <w:rsid w:val="001F2A7A"/>
    <w:rsid w:val="001F2BCA"/>
    <w:rsid w:val="001F2C59"/>
    <w:rsid w:val="001F2C7B"/>
    <w:rsid w:val="001F2D25"/>
    <w:rsid w:val="001F3220"/>
    <w:rsid w:val="001F32ED"/>
    <w:rsid w:val="001F346C"/>
    <w:rsid w:val="001F34B4"/>
    <w:rsid w:val="001F3510"/>
    <w:rsid w:val="001F353E"/>
    <w:rsid w:val="001F3A31"/>
    <w:rsid w:val="001F3A62"/>
    <w:rsid w:val="001F3B0D"/>
    <w:rsid w:val="001F3D98"/>
    <w:rsid w:val="001F496F"/>
    <w:rsid w:val="001F4F52"/>
    <w:rsid w:val="001F5121"/>
    <w:rsid w:val="001F55C2"/>
    <w:rsid w:val="001F5AFF"/>
    <w:rsid w:val="001F5BF0"/>
    <w:rsid w:val="001F5DFF"/>
    <w:rsid w:val="001F60F9"/>
    <w:rsid w:val="001F634E"/>
    <w:rsid w:val="001F67D9"/>
    <w:rsid w:val="001F6817"/>
    <w:rsid w:val="001F6B11"/>
    <w:rsid w:val="001F6B5B"/>
    <w:rsid w:val="001F6E91"/>
    <w:rsid w:val="001F6F99"/>
    <w:rsid w:val="001F736A"/>
    <w:rsid w:val="001F7488"/>
    <w:rsid w:val="001F7703"/>
    <w:rsid w:val="001F7BC3"/>
    <w:rsid w:val="001F7EEE"/>
    <w:rsid w:val="00200051"/>
    <w:rsid w:val="0020009F"/>
    <w:rsid w:val="00200468"/>
    <w:rsid w:val="00200574"/>
    <w:rsid w:val="00200797"/>
    <w:rsid w:val="00200E85"/>
    <w:rsid w:val="00200EDD"/>
    <w:rsid w:val="00201856"/>
    <w:rsid w:val="0020189F"/>
    <w:rsid w:val="0020195B"/>
    <w:rsid w:val="00201C36"/>
    <w:rsid w:val="00201D7C"/>
    <w:rsid w:val="00201DAE"/>
    <w:rsid w:val="00201E8C"/>
    <w:rsid w:val="0020234C"/>
    <w:rsid w:val="0020258E"/>
    <w:rsid w:val="002025B7"/>
    <w:rsid w:val="00202669"/>
    <w:rsid w:val="00202687"/>
    <w:rsid w:val="002027CB"/>
    <w:rsid w:val="00202812"/>
    <w:rsid w:val="00202912"/>
    <w:rsid w:val="00202C4D"/>
    <w:rsid w:val="00202C69"/>
    <w:rsid w:val="00202CCD"/>
    <w:rsid w:val="00202D80"/>
    <w:rsid w:val="00203259"/>
    <w:rsid w:val="0020343C"/>
    <w:rsid w:val="00203609"/>
    <w:rsid w:val="0020367A"/>
    <w:rsid w:val="0020395B"/>
    <w:rsid w:val="00203B54"/>
    <w:rsid w:val="00203BBD"/>
    <w:rsid w:val="0020406D"/>
    <w:rsid w:val="00204234"/>
    <w:rsid w:val="002044AE"/>
    <w:rsid w:val="002045DC"/>
    <w:rsid w:val="002047B0"/>
    <w:rsid w:val="00204995"/>
    <w:rsid w:val="00204EA7"/>
    <w:rsid w:val="00205216"/>
    <w:rsid w:val="002053BA"/>
    <w:rsid w:val="002055B8"/>
    <w:rsid w:val="002059DC"/>
    <w:rsid w:val="00205A67"/>
    <w:rsid w:val="00205DDE"/>
    <w:rsid w:val="00205FE1"/>
    <w:rsid w:val="00206301"/>
    <w:rsid w:val="002066D7"/>
    <w:rsid w:val="00206957"/>
    <w:rsid w:val="00206A7A"/>
    <w:rsid w:val="00206DB7"/>
    <w:rsid w:val="00207199"/>
    <w:rsid w:val="00207392"/>
    <w:rsid w:val="0020753A"/>
    <w:rsid w:val="00207557"/>
    <w:rsid w:val="0020762D"/>
    <w:rsid w:val="00210207"/>
    <w:rsid w:val="002102F7"/>
    <w:rsid w:val="002103A2"/>
    <w:rsid w:val="002104E7"/>
    <w:rsid w:val="002105F0"/>
    <w:rsid w:val="00210C40"/>
    <w:rsid w:val="00210D79"/>
    <w:rsid w:val="002111A6"/>
    <w:rsid w:val="002113B4"/>
    <w:rsid w:val="00211DDB"/>
    <w:rsid w:val="00211F75"/>
    <w:rsid w:val="00212200"/>
    <w:rsid w:val="0021250B"/>
    <w:rsid w:val="0021275E"/>
    <w:rsid w:val="00212BC2"/>
    <w:rsid w:val="00212D89"/>
    <w:rsid w:val="00212FB5"/>
    <w:rsid w:val="00213026"/>
    <w:rsid w:val="00213044"/>
    <w:rsid w:val="00213248"/>
    <w:rsid w:val="0021334E"/>
    <w:rsid w:val="002138DC"/>
    <w:rsid w:val="00213A80"/>
    <w:rsid w:val="00214011"/>
    <w:rsid w:val="00214436"/>
    <w:rsid w:val="002145B7"/>
    <w:rsid w:val="00214C30"/>
    <w:rsid w:val="00214C9D"/>
    <w:rsid w:val="00214E15"/>
    <w:rsid w:val="00214FD1"/>
    <w:rsid w:val="002151C6"/>
    <w:rsid w:val="002152DB"/>
    <w:rsid w:val="0021543A"/>
    <w:rsid w:val="002156C8"/>
    <w:rsid w:val="0021599A"/>
    <w:rsid w:val="00215AC2"/>
    <w:rsid w:val="00215B73"/>
    <w:rsid w:val="00215F3C"/>
    <w:rsid w:val="002163A5"/>
    <w:rsid w:val="00216496"/>
    <w:rsid w:val="00216809"/>
    <w:rsid w:val="00216A56"/>
    <w:rsid w:val="00216DA5"/>
    <w:rsid w:val="00216FAD"/>
    <w:rsid w:val="0021713B"/>
    <w:rsid w:val="002173EA"/>
    <w:rsid w:val="00217543"/>
    <w:rsid w:val="0021761C"/>
    <w:rsid w:val="0021784C"/>
    <w:rsid w:val="00217CA2"/>
    <w:rsid w:val="00217CF7"/>
    <w:rsid w:val="00217D8A"/>
    <w:rsid w:val="00217DA4"/>
    <w:rsid w:val="00217F6A"/>
    <w:rsid w:val="00217F98"/>
    <w:rsid w:val="00220828"/>
    <w:rsid w:val="002208D2"/>
    <w:rsid w:val="00220DC8"/>
    <w:rsid w:val="00220DD5"/>
    <w:rsid w:val="00220EDF"/>
    <w:rsid w:val="0022106B"/>
    <w:rsid w:val="00221684"/>
    <w:rsid w:val="0022169C"/>
    <w:rsid w:val="002219CF"/>
    <w:rsid w:val="00221A54"/>
    <w:rsid w:val="00221DD9"/>
    <w:rsid w:val="00222139"/>
    <w:rsid w:val="00222323"/>
    <w:rsid w:val="002223D1"/>
    <w:rsid w:val="0022264E"/>
    <w:rsid w:val="00222841"/>
    <w:rsid w:val="00222D42"/>
    <w:rsid w:val="00222F5D"/>
    <w:rsid w:val="00223135"/>
    <w:rsid w:val="0022318C"/>
    <w:rsid w:val="002235DA"/>
    <w:rsid w:val="00223BEA"/>
    <w:rsid w:val="00223C5D"/>
    <w:rsid w:val="00223C9B"/>
    <w:rsid w:val="00223DDE"/>
    <w:rsid w:val="00223EB6"/>
    <w:rsid w:val="00224007"/>
    <w:rsid w:val="00224134"/>
    <w:rsid w:val="0022418B"/>
    <w:rsid w:val="002244C2"/>
    <w:rsid w:val="002245CA"/>
    <w:rsid w:val="00224608"/>
    <w:rsid w:val="002247D5"/>
    <w:rsid w:val="00224A48"/>
    <w:rsid w:val="00224A7C"/>
    <w:rsid w:val="00224B90"/>
    <w:rsid w:val="00224F15"/>
    <w:rsid w:val="00225151"/>
    <w:rsid w:val="002253CF"/>
    <w:rsid w:val="00225545"/>
    <w:rsid w:val="00225620"/>
    <w:rsid w:val="00225AEE"/>
    <w:rsid w:val="00225C44"/>
    <w:rsid w:val="0022616B"/>
    <w:rsid w:val="002261BD"/>
    <w:rsid w:val="002266E3"/>
    <w:rsid w:val="0022732D"/>
    <w:rsid w:val="00227FCF"/>
    <w:rsid w:val="0023090B"/>
    <w:rsid w:val="00230DE0"/>
    <w:rsid w:val="002313C8"/>
    <w:rsid w:val="0023144C"/>
    <w:rsid w:val="002314EC"/>
    <w:rsid w:val="002315AC"/>
    <w:rsid w:val="0023193B"/>
    <w:rsid w:val="00231994"/>
    <w:rsid w:val="00231B77"/>
    <w:rsid w:val="00231BA0"/>
    <w:rsid w:val="00232321"/>
    <w:rsid w:val="002324C5"/>
    <w:rsid w:val="0023253D"/>
    <w:rsid w:val="00232552"/>
    <w:rsid w:val="0023263A"/>
    <w:rsid w:val="002327CE"/>
    <w:rsid w:val="00232F1D"/>
    <w:rsid w:val="0023314D"/>
    <w:rsid w:val="00233501"/>
    <w:rsid w:val="00233650"/>
    <w:rsid w:val="00233836"/>
    <w:rsid w:val="00233C24"/>
    <w:rsid w:val="00233C6C"/>
    <w:rsid w:val="00233C76"/>
    <w:rsid w:val="00233F48"/>
    <w:rsid w:val="00234046"/>
    <w:rsid w:val="002340E1"/>
    <w:rsid w:val="00234193"/>
    <w:rsid w:val="00234ABF"/>
    <w:rsid w:val="00234B77"/>
    <w:rsid w:val="00234DB6"/>
    <w:rsid w:val="00234F97"/>
    <w:rsid w:val="002352CF"/>
    <w:rsid w:val="002353CC"/>
    <w:rsid w:val="0023578A"/>
    <w:rsid w:val="00235AC7"/>
    <w:rsid w:val="00235B7B"/>
    <w:rsid w:val="00235C76"/>
    <w:rsid w:val="00235CBC"/>
    <w:rsid w:val="00235D15"/>
    <w:rsid w:val="00236024"/>
    <w:rsid w:val="0023621B"/>
    <w:rsid w:val="00236323"/>
    <w:rsid w:val="002364D1"/>
    <w:rsid w:val="00236588"/>
    <w:rsid w:val="002366C6"/>
    <w:rsid w:val="00236959"/>
    <w:rsid w:val="00236D8D"/>
    <w:rsid w:val="00236E76"/>
    <w:rsid w:val="00236E83"/>
    <w:rsid w:val="00236EE7"/>
    <w:rsid w:val="002371BD"/>
    <w:rsid w:val="00237475"/>
    <w:rsid w:val="002375EE"/>
    <w:rsid w:val="00237904"/>
    <w:rsid w:val="00240299"/>
    <w:rsid w:val="00240405"/>
    <w:rsid w:val="0024046B"/>
    <w:rsid w:val="002404EB"/>
    <w:rsid w:val="002405ED"/>
    <w:rsid w:val="0024072D"/>
    <w:rsid w:val="002407EB"/>
    <w:rsid w:val="00240A18"/>
    <w:rsid w:val="00240C0C"/>
    <w:rsid w:val="00240D29"/>
    <w:rsid w:val="00241091"/>
    <w:rsid w:val="002410EE"/>
    <w:rsid w:val="00241400"/>
    <w:rsid w:val="00241A40"/>
    <w:rsid w:val="00241D08"/>
    <w:rsid w:val="00241DC0"/>
    <w:rsid w:val="00241E76"/>
    <w:rsid w:val="00241E8C"/>
    <w:rsid w:val="00241F9F"/>
    <w:rsid w:val="0024217E"/>
    <w:rsid w:val="00242692"/>
    <w:rsid w:val="0024297C"/>
    <w:rsid w:val="00242E3E"/>
    <w:rsid w:val="002432AA"/>
    <w:rsid w:val="0024338F"/>
    <w:rsid w:val="002433D4"/>
    <w:rsid w:val="002435FD"/>
    <w:rsid w:val="00243661"/>
    <w:rsid w:val="00243770"/>
    <w:rsid w:val="002437A8"/>
    <w:rsid w:val="0024383F"/>
    <w:rsid w:val="002439B8"/>
    <w:rsid w:val="00243C69"/>
    <w:rsid w:val="00244045"/>
    <w:rsid w:val="002441B3"/>
    <w:rsid w:val="0024496C"/>
    <w:rsid w:val="00244D81"/>
    <w:rsid w:val="00245126"/>
    <w:rsid w:val="0024549C"/>
    <w:rsid w:val="0024588F"/>
    <w:rsid w:val="002458AC"/>
    <w:rsid w:val="002458B5"/>
    <w:rsid w:val="002459FC"/>
    <w:rsid w:val="00245BE1"/>
    <w:rsid w:val="00245BF2"/>
    <w:rsid w:val="00245C77"/>
    <w:rsid w:val="00245CC3"/>
    <w:rsid w:val="00245E94"/>
    <w:rsid w:val="002462CC"/>
    <w:rsid w:val="0024641F"/>
    <w:rsid w:val="0024646F"/>
    <w:rsid w:val="00246815"/>
    <w:rsid w:val="002468AE"/>
    <w:rsid w:val="002468FF"/>
    <w:rsid w:val="00246D0D"/>
    <w:rsid w:val="00246E7F"/>
    <w:rsid w:val="00247065"/>
    <w:rsid w:val="002473F6"/>
    <w:rsid w:val="0024741A"/>
    <w:rsid w:val="002475C7"/>
    <w:rsid w:val="002478FD"/>
    <w:rsid w:val="00247D7D"/>
    <w:rsid w:val="002503C6"/>
    <w:rsid w:val="002505F0"/>
    <w:rsid w:val="00250805"/>
    <w:rsid w:val="002509AE"/>
    <w:rsid w:val="00250A12"/>
    <w:rsid w:val="00250F06"/>
    <w:rsid w:val="00250F73"/>
    <w:rsid w:val="0025132D"/>
    <w:rsid w:val="00251621"/>
    <w:rsid w:val="00251887"/>
    <w:rsid w:val="00251D4F"/>
    <w:rsid w:val="00251E77"/>
    <w:rsid w:val="0025272F"/>
    <w:rsid w:val="002527EB"/>
    <w:rsid w:val="002529B8"/>
    <w:rsid w:val="0025309C"/>
    <w:rsid w:val="00253A28"/>
    <w:rsid w:val="00253B69"/>
    <w:rsid w:val="00253C7C"/>
    <w:rsid w:val="00253CDA"/>
    <w:rsid w:val="00253F00"/>
    <w:rsid w:val="00253F02"/>
    <w:rsid w:val="002545A4"/>
    <w:rsid w:val="002547D6"/>
    <w:rsid w:val="00254927"/>
    <w:rsid w:val="00254A7E"/>
    <w:rsid w:val="00254AE3"/>
    <w:rsid w:val="00254FDA"/>
    <w:rsid w:val="002550FB"/>
    <w:rsid w:val="002553DB"/>
    <w:rsid w:val="002555E8"/>
    <w:rsid w:val="00255921"/>
    <w:rsid w:val="00255B59"/>
    <w:rsid w:val="00255C3E"/>
    <w:rsid w:val="00255FFF"/>
    <w:rsid w:val="0025645D"/>
    <w:rsid w:val="002565C9"/>
    <w:rsid w:val="00256707"/>
    <w:rsid w:val="00256776"/>
    <w:rsid w:val="002568A9"/>
    <w:rsid w:val="00256E99"/>
    <w:rsid w:val="0025706A"/>
    <w:rsid w:val="0025779B"/>
    <w:rsid w:val="00257858"/>
    <w:rsid w:val="002579CD"/>
    <w:rsid w:val="00257B9B"/>
    <w:rsid w:val="00257D5D"/>
    <w:rsid w:val="00257DDF"/>
    <w:rsid w:val="0026008C"/>
    <w:rsid w:val="002600E0"/>
    <w:rsid w:val="002602C8"/>
    <w:rsid w:val="00260511"/>
    <w:rsid w:val="0026067C"/>
    <w:rsid w:val="002606F0"/>
    <w:rsid w:val="0026097E"/>
    <w:rsid w:val="00260B46"/>
    <w:rsid w:val="00260E4C"/>
    <w:rsid w:val="00260F9C"/>
    <w:rsid w:val="0026113C"/>
    <w:rsid w:val="002615A8"/>
    <w:rsid w:val="0026166D"/>
    <w:rsid w:val="00261BB1"/>
    <w:rsid w:val="00261C05"/>
    <w:rsid w:val="00261C63"/>
    <w:rsid w:val="00261CCC"/>
    <w:rsid w:val="002620B3"/>
    <w:rsid w:val="00262106"/>
    <w:rsid w:val="0026216C"/>
    <w:rsid w:val="00262571"/>
    <w:rsid w:val="00262635"/>
    <w:rsid w:val="00262877"/>
    <w:rsid w:val="00262A60"/>
    <w:rsid w:val="00262B87"/>
    <w:rsid w:val="00262C48"/>
    <w:rsid w:val="00263101"/>
    <w:rsid w:val="002633F7"/>
    <w:rsid w:val="002638A2"/>
    <w:rsid w:val="002638C1"/>
    <w:rsid w:val="00263B4F"/>
    <w:rsid w:val="00263ED3"/>
    <w:rsid w:val="00263FD7"/>
    <w:rsid w:val="0026400C"/>
    <w:rsid w:val="0026414A"/>
    <w:rsid w:val="00264234"/>
    <w:rsid w:val="002644C8"/>
    <w:rsid w:val="002648D5"/>
    <w:rsid w:val="00264ECB"/>
    <w:rsid w:val="0026558F"/>
    <w:rsid w:val="00265606"/>
    <w:rsid w:val="00265C9B"/>
    <w:rsid w:val="00265CE5"/>
    <w:rsid w:val="002660AA"/>
    <w:rsid w:val="002662EE"/>
    <w:rsid w:val="00266374"/>
    <w:rsid w:val="00266541"/>
    <w:rsid w:val="00266803"/>
    <w:rsid w:val="00266B33"/>
    <w:rsid w:val="00266C32"/>
    <w:rsid w:val="00266CB7"/>
    <w:rsid w:val="002676F9"/>
    <w:rsid w:val="002677FE"/>
    <w:rsid w:val="00267991"/>
    <w:rsid w:val="00267A9B"/>
    <w:rsid w:val="00267BDE"/>
    <w:rsid w:val="00267E72"/>
    <w:rsid w:val="00270188"/>
    <w:rsid w:val="002701C7"/>
    <w:rsid w:val="0027049C"/>
    <w:rsid w:val="00270648"/>
    <w:rsid w:val="00270A6C"/>
    <w:rsid w:val="00270C51"/>
    <w:rsid w:val="002712EB"/>
    <w:rsid w:val="00271690"/>
    <w:rsid w:val="002718A1"/>
    <w:rsid w:val="00271AD8"/>
    <w:rsid w:val="00271E17"/>
    <w:rsid w:val="00271EA2"/>
    <w:rsid w:val="00271F7A"/>
    <w:rsid w:val="00272305"/>
    <w:rsid w:val="0027231B"/>
    <w:rsid w:val="002723E8"/>
    <w:rsid w:val="00272AD1"/>
    <w:rsid w:val="00272D28"/>
    <w:rsid w:val="00272D8A"/>
    <w:rsid w:val="0027309F"/>
    <w:rsid w:val="00273312"/>
    <w:rsid w:val="00273856"/>
    <w:rsid w:val="00273F41"/>
    <w:rsid w:val="00273F6B"/>
    <w:rsid w:val="00274059"/>
    <w:rsid w:val="00274657"/>
    <w:rsid w:val="00274AD3"/>
    <w:rsid w:val="00275058"/>
    <w:rsid w:val="00275233"/>
    <w:rsid w:val="002753DB"/>
    <w:rsid w:val="00275973"/>
    <w:rsid w:val="002761BA"/>
    <w:rsid w:val="0027658C"/>
    <w:rsid w:val="002766B1"/>
    <w:rsid w:val="00276964"/>
    <w:rsid w:val="00276A0B"/>
    <w:rsid w:val="00276B6A"/>
    <w:rsid w:val="00276BA3"/>
    <w:rsid w:val="0027719B"/>
    <w:rsid w:val="0027745F"/>
    <w:rsid w:val="002774CA"/>
    <w:rsid w:val="0027774D"/>
    <w:rsid w:val="002777C8"/>
    <w:rsid w:val="002778FE"/>
    <w:rsid w:val="00277924"/>
    <w:rsid w:val="0027794E"/>
    <w:rsid w:val="00277AB4"/>
    <w:rsid w:val="00277D78"/>
    <w:rsid w:val="00277FC7"/>
    <w:rsid w:val="00280381"/>
    <w:rsid w:val="00280718"/>
    <w:rsid w:val="002807A3"/>
    <w:rsid w:val="00280850"/>
    <w:rsid w:val="00280BD4"/>
    <w:rsid w:val="00280EB5"/>
    <w:rsid w:val="0028129B"/>
    <w:rsid w:val="0028142B"/>
    <w:rsid w:val="00281535"/>
    <w:rsid w:val="002815F5"/>
    <w:rsid w:val="002816AB"/>
    <w:rsid w:val="0028171B"/>
    <w:rsid w:val="0028190C"/>
    <w:rsid w:val="00281CF4"/>
    <w:rsid w:val="00281DA7"/>
    <w:rsid w:val="00281F97"/>
    <w:rsid w:val="00281FB4"/>
    <w:rsid w:val="00282451"/>
    <w:rsid w:val="0028277C"/>
    <w:rsid w:val="002828E8"/>
    <w:rsid w:val="0028294B"/>
    <w:rsid w:val="00282CF2"/>
    <w:rsid w:val="00282D22"/>
    <w:rsid w:val="00283399"/>
    <w:rsid w:val="002836F4"/>
    <w:rsid w:val="0028383B"/>
    <w:rsid w:val="0028385A"/>
    <w:rsid w:val="0028386D"/>
    <w:rsid w:val="00283A62"/>
    <w:rsid w:val="00283AAC"/>
    <w:rsid w:val="00283ADC"/>
    <w:rsid w:val="00283BEF"/>
    <w:rsid w:val="00283C5A"/>
    <w:rsid w:val="00283D9E"/>
    <w:rsid w:val="00283F71"/>
    <w:rsid w:val="00284172"/>
    <w:rsid w:val="00284245"/>
    <w:rsid w:val="00284316"/>
    <w:rsid w:val="00284852"/>
    <w:rsid w:val="00284AAD"/>
    <w:rsid w:val="00284ABE"/>
    <w:rsid w:val="00284FB9"/>
    <w:rsid w:val="00285481"/>
    <w:rsid w:val="00285B00"/>
    <w:rsid w:val="00285B51"/>
    <w:rsid w:val="00286604"/>
    <w:rsid w:val="00286675"/>
    <w:rsid w:val="00286A28"/>
    <w:rsid w:val="00286DCA"/>
    <w:rsid w:val="0028740B"/>
    <w:rsid w:val="002877EA"/>
    <w:rsid w:val="00287AAA"/>
    <w:rsid w:val="00287C84"/>
    <w:rsid w:val="00287F7C"/>
    <w:rsid w:val="002900AE"/>
    <w:rsid w:val="00290384"/>
    <w:rsid w:val="0029074C"/>
    <w:rsid w:val="002908B3"/>
    <w:rsid w:val="00290F5C"/>
    <w:rsid w:val="00291357"/>
    <w:rsid w:val="00291550"/>
    <w:rsid w:val="0029170B"/>
    <w:rsid w:val="00291785"/>
    <w:rsid w:val="002917A9"/>
    <w:rsid w:val="002918BA"/>
    <w:rsid w:val="00291A10"/>
    <w:rsid w:val="00291A4F"/>
    <w:rsid w:val="00291A53"/>
    <w:rsid w:val="00291E18"/>
    <w:rsid w:val="00291FC9"/>
    <w:rsid w:val="00292079"/>
    <w:rsid w:val="00292141"/>
    <w:rsid w:val="002921B4"/>
    <w:rsid w:val="00292782"/>
    <w:rsid w:val="00292805"/>
    <w:rsid w:val="00292B8A"/>
    <w:rsid w:val="00292EB4"/>
    <w:rsid w:val="00292FFB"/>
    <w:rsid w:val="0029306D"/>
    <w:rsid w:val="00293572"/>
    <w:rsid w:val="00293719"/>
    <w:rsid w:val="00293A44"/>
    <w:rsid w:val="00293B1A"/>
    <w:rsid w:val="00293D1B"/>
    <w:rsid w:val="00293F2E"/>
    <w:rsid w:val="00293F98"/>
    <w:rsid w:val="0029418A"/>
    <w:rsid w:val="002942F0"/>
    <w:rsid w:val="00294488"/>
    <w:rsid w:val="002944D5"/>
    <w:rsid w:val="00294603"/>
    <w:rsid w:val="00294643"/>
    <w:rsid w:val="0029466F"/>
    <w:rsid w:val="002946BA"/>
    <w:rsid w:val="002946E5"/>
    <w:rsid w:val="00294767"/>
    <w:rsid w:val="00294D42"/>
    <w:rsid w:val="00294E76"/>
    <w:rsid w:val="00294FF7"/>
    <w:rsid w:val="00295183"/>
    <w:rsid w:val="002957D4"/>
    <w:rsid w:val="00295915"/>
    <w:rsid w:val="00295C08"/>
    <w:rsid w:val="00295DCF"/>
    <w:rsid w:val="00295DD9"/>
    <w:rsid w:val="00295EAC"/>
    <w:rsid w:val="00296612"/>
    <w:rsid w:val="002968C5"/>
    <w:rsid w:val="00296DFD"/>
    <w:rsid w:val="00296E12"/>
    <w:rsid w:val="00296E89"/>
    <w:rsid w:val="002970BC"/>
    <w:rsid w:val="00297346"/>
    <w:rsid w:val="0029753F"/>
    <w:rsid w:val="0029767C"/>
    <w:rsid w:val="00297B9F"/>
    <w:rsid w:val="00297CAB"/>
    <w:rsid w:val="00297E23"/>
    <w:rsid w:val="002A003A"/>
    <w:rsid w:val="002A0145"/>
    <w:rsid w:val="002A0167"/>
    <w:rsid w:val="002A02E7"/>
    <w:rsid w:val="002A03AD"/>
    <w:rsid w:val="002A04F0"/>
    <w:rsid w:val="002A058A"/>
    <w:rsid w:val="002A085B"/>
    <w:rsid w:val="002A08BB"/>
    <w:rsid w:val="002A0A2B"/>
    <w:rsid w:val="002A0A30"/>
    <w:rsid w:val="002A0E82"/>
    <w:rsid w:val="002A0F3F"/>
    <w:rsid w:val="002A1049"/>
    <w:rsid w:val="002A1918"/>
    <w:rsid w:val="002A1AE5"/>
    <w:rsid w:val="002A1BE6"/>
    <w:rsid w:val="002A1C60"/>
    <w:rsid w:val="002A1E63"/>
    <w:rsid w:val="002A2045"/>
    <w:rsid w:val="002A2244"/>
    <w:rsid w:val="002A2307"/>
    <w:rsid w:val="002A24F6"/>
    <w:rsid w:val="002A27D2"/>
    <w:rsid w:val="002A287C"/>
    <w:rsid w:val="002A290A"/>
    <w:rsid w:val="002A298D"/>
    <w:rsid w:val="002A2B26"/>
    <w:rsid w:val="002A2B41"/>
    <w:rsid w:val="002A2BE6"/>
    <w:rsid w:val="002A2D2E"/>
    <w:rsid w:val="002A310E"/>
    <w:rsid w:val="002A33A6"/>
    <w:rsid w:val="002A3879"/>
    <w:rsid w:val="002A39E6"/>
    <w:rsid w:val="002A3AA0"/>
    <w:rsid w:val="002A3B95"/>
    <w:rsid w:val="002A3DC0"/>
    <w:rsid w:val="002A448A"/>
    <w:rsid w:val="002A47C0"/>
    <w:rsid w:val="002A4D92"/>
    <w:rsid w:val="002A50D9"/>
    <w:rsid w:val="002A5138"/>
    <w:rsid w:val="002A5D71"/>
    <w:rsid w:val="002A5D77"/>
    <w:rsid w:val="002A5F3F"/>
    <w:rsid w:val="002A67B2"/>
    <w:rsid w:val="002A6A3F"/>
    <w:rsid w:val="002A71A1"/>
    <w:rsid w:val="002A73B7"/>
    <w:rsid w:val="002A78CC"/>
    <w:rsid w:val="002A7920"/>
    <w:rsid w:val="002A7B2F"/>
    <w:rsid w:val="002B00C6"/>
    <w:rsid w:val="002B04E4"/>
    <w:rsid w:val="002B050D"/>
    <w:rsid w:val="002B0585"/>
    <w:rsid w:val="002B0709"/>
    <w:rsid w:val="002B0756"/>
    <w:rsid w:val="002B0863"/>
    <w:rsid w:val="002B0C2C"/>
    <w:rsid w:val="002B112E"/>
    <w:rsid w:val="002B1145"/>
    <w:rsid w:val="002B1555"/>
    <w:rsid w:val="002B15EF"/>
    <w:rsid w:val="002B1635"/>
    <w:rsid w:val="002B16C2"/>
    <w:rsid w:val="002B2275"/>
    <w:rsid w:val="002B26ED"/>
    <w:rsid w:val="002B3291"/>
    <w:rsid w:val="002B32A1"/>
    <w:rsid w:val="002B34CE"/>
    <w:rsid w:val="002B37CF"/>
    <w:rsid w:val="002B3827"/>
    <w:rsid w:val="002B3B2C"/>
    <w:rsid w:val="002B3BFC"/>
    <w:rsid w:val="002B3DD7"/>
    <w:rsid w:val="002B3F7B"/>
    <w:rsid w:val="002B46CB"/>
    <w:rsid w:val="002B487E"/>
    <w:rsid w:val="002B49CE"/>
    <w:rsid w:val="002B49EB"/>
    <w:rsid w:val="002B4B80"/>
    <w:rsid w:val="002B525A"/>
    <w:rsid w:val="002B52C3"/>
    <w:rsid w:val="002B537D"/>
    <w:rsid w:val="002B5B86"/>
    <w:rsid w:val="002B5C70"/>
    <w:rsid w:val="002B5D4E"/>
    <w:rsid w:val="002B5D79"/>
    <w:rsid w:val="002B62ED"/>
    <w:rsid w:val="002B64B5"/>
    <w:rsid w:val="002B664E"/>
    <w:rsid w:val="002B6A97"/>
    <w:rsid w:val="002B6D2D"/>
    <w:rsid w:val="002B6F7A"/>
    <w:rsid w:val="002B71F6"/>
    <w:rsid w:val="002B7330"/>
    <w:rsid w:val="002B74C2"/>
    <w:rsid w:val="002B75E6"/>
    <w:rsid w:val="002B7611"/>
    <w:rsid w:val="002B78F0"/>
    <w:rsid w:val="002B79D3"/>
    <w:rsid w:val="002B7BAB"/>
    <w:rsid w:val="002B7C65"/>
    <w:rsid w:val="002B7F8E"/>
    <w:rsid w:val="002B7FFB"/>
    <w:rsid w:val="002C042A"/>
    <w:rsid w:val="002C04E8"/>
    <w:rsid w:val="002C0534"/>
    <w:rsid w:val="002C0609"/>
    <w:rsid w:val="002C0632"/>
    <w:rsid w:val="002C0696"/>
    <w:rsid w:val="002C0A3B"/>
    <w:rsid w:val="002C0CD4"/>
    <w:rsid w:val="002C0D63"/>
    <w:rsid w:val="002C0F68"/>
    <w:rsid w:val="002C0FD9"/>
    <w:rsid w:val="002C1443"/>
    <w:rsid w:val="002C16EB"/>
    <w:rsid w:val="002C1A34"/>
    <w:rsid w:val="002C1F9B"/>
    <w:rsid w:val="002C204E"/>
    <w:rsid w:val="002C22F5"/>
    <w:rsid w:val="002C2307"/>
    <w:rsid w:val="002C24FE"/>
    <w:rsid w:val="002C25B8"/>
    <w:rsid w:val="002C274C"/>
    <w:rsid w:val="002C2E09"/>
    <w:rsid w:val="002C3398"/>
    <w:rsid w:val="002C3586"/>
    <w:rsid w:val="002C38E4"/>
    <w:rsid w:val="002C3B97"/>
    <w:rsid w:val="002C3E34"/>
    <w:rsid w:val="002C4243"/>
    <w:rsid w:val="002C43B1"/>
    <w:rsid w:val="002C49A2"/>
    <w:rsid w:val="002C4AA8"/>
    <w:rsid w:val="002C4AEB"/>
    <w:rsid w:val="002C4BD8"/>
    <w:rsid w:val="002C4D47"/>
    <w:rsid w:val="002C523B"/>
    <w:rsid w:val="002C5B07"/>
    <w:rsid w:val="002C5B3D"/>
    <w:rsid w:val="002C5CA3"/>
    <w:rsid w:val="002C5D93"/>
    <w:rsid w:val="002C5F36"/>
    <w:rsid w:val="002C6B53"/>
    <w:rsid w:val="002C6CA6"/>
    <w:rsid w:val="002C6CBF"/>
    <w:rsid w:val="002C7040"/>
    <w:rsid w:val="002C7431"/>
    <w:rsid w:val="002C75C3"/>
    <w:rsid w:val="002C7706"/>
    <w:rsid w:val="002C7B69"/>
    <w:rsid w:val="002C7BC9"/>
    <w:rsid w:val="002D005C"/>
    <w:rsid w:val="002D032D"/>
    <w:rsid w:val="002D0553"/>
    <w:rsid w:val="002D075B"/>
    <w:rsid w:val="002D07FB"/>
    <w:rsid w:val="002D0A0E"/>
    <w:rsid w:val="002D0C2F"/>
    <w:rsid w:val="002D0CF3"/>
    <w:rsid w:val="002D1154"/>
    <w:rsid w:val="002D13CC"/>
    <w:rsid w:val="002D15E3"/>
    <w:rsid w:val="002D167B"/>
    <w:rsid w:val="002D16F9"/>
    <w:rsid w:val="002D18E3"/>
    <w:rsid w:val="002D1AE9"/>
    <w:rsid w:val="002D2499"/>
    <w:rsid w:val="002D2508"/>
    <w:rsid w:val="002D268E"/>
    <w:rsid w:val="002D329A"/>
    <w:rsid w:val="002D366E"/>
    <w:rsid w:val="002D3670"/>
    <w:rsid w:val="002D3AB4"/>
    <w:rsid w:val="002D3B08"/>
    <w:rsid w:val="002D3B69"/>
    <w:rsid w:val="002D3DB1"/>
    <w:rsid w:val="002D3F40"/>
    <w:rsid w:val="002D42BA"/>
    <w:rsid w:val="002D43EF"/>
    <w:rsid w:val="002D4732"/>
    <w:rsid w:val="002D493D"/>
    <w:rsid w:val="002D4B26"/>
    <w:rsid w:val="002D4C74"/>
    <w:rsid w:val="002D4D47"/>
    <w:rsid w:val="002D5154"/>
    <w:rsid w:val="002D522D"/>
    <w:rsid w:val="002D5277"/>
    <w:rsid w:val="002D52F3"/>
    <w:rsid w:val="002D549D"/>
    <w:rsid w:val="002D59F8"/>
    <w:rsid w:val="002D5A15"/>
    <w:rsid w:val="002D5A1B"/>
    <w:rsid w:val="002D5A48"/>
    <w:rsid w:val="002D5A68"/>
    <w:rsid w:val="002D5D56"/>
    <w:rsid w:val="002D5DA0"/>
    <w:rsid w:val="002D5F5F"/>
    <w:rsid w:val="002D6072"/>
    <w:rsid w:val="002D6311"/>
    <w:rsid w:val="002D6476"/>
    <w:rsid w:val="002D6548"/>
    <w:rsid w:val="002D6849"/>
    <w:rsid w:val="002D7090"/>
    <w:rsid w:val="002D73C9"/>
    <w:rsid w:val="002D73E1"/>
    <w:rsid w:val="002D7646"/>
    <w:rsid w:val="002D77CA"/>
    <w:rsid w:val="002D7FDC"/>
    <w:rsid w:val="002E0037"/>
    <w:rsid w:val="002E0169"/>
    <w:rsid w:val="002E01BE"/>
    <w:rsid w:val="002E062B"/>
    <w:rsid w:val="002E0853"/>
    <w:rsid w:val="002E0A36"/>
    <w:rsid w:val="002E0A9D"/>
    <w:rsid w:val="002E0E61"/>
    <w:rsid w:val="002E0FC9"/>
    <w:rsid w:val="002E1020"/>
    <w:rsid w:val="002E1139"/>
    <w:rsid w:val="002E1777"/>
    <w:rsid w:val="002E17DE"/>
    <w:rsid w:val="002E185E"/>
    <w:rsid w:val="002E19A5"/>
    <w:rsid w:val="002E1CF4"/>
    <w:rsid w:val="002E265B"/>
    <w:rsid w:val="002E272C"/>
    <w:rsid w:val="002E27B8"/>
    <w:rsid w:val="002E29DA"/>
    <w:rsid w:val="002E2FC7"/>
    <w:rsid w:val="002E3267"/>
    <w:rsid w:val="002E3409"/>
    <w:rsid w:val="002E35C7"/>
    <w:rsid w:val="002E3C05"/>
    <w:rsid w:val="002E3CAB"/>
    <w:rsid w:val="002E3E1E"/>
    <w:rsid w:val="002E40F4"/>
    <w:rsid w:val="002E4324"/>
    <w:rsid w:val="002E481B"/>
    <w:rsid w:val="002E4B0A"/>
    <w:rsid w:val="002E4C34"/>
    <w:rsid w:val="002E4E04"/>
    <w:rsid w:val="002E5061"/>
    <w:rsid w:val="002E53EC"/>
    <w:rsid w:val="002E563E"/>
    <w:rsid w:val="002E5F41"/>
    <w:rsid w:val="002E60F1"/>
    <w:rsid w:val="002E6427"/>
    <w:rsid w:val="002E6813"/>
    <w:rsid w:val="002E6E51"/>
    <w:rsid w:val="002E73BF"/>
    <w:rsid w:val="002E7563"/>
    <w:rsid w:val="002E75BA"/>
    <w:rsid w:val="002E770E"/>
    <w:rsid w:val="002E7835"/>
    <w:rsid w:val="002E7852"/>
    <w:rsid w:val="002E7966"/>
    <w:rsid w:val="002F01D9"/>
    <w:rsid w:val="002F0A2A"/>
    <w:rsid w:val="002F0B69"/>
    <w:rsid w:val="002F0DD0"/>
    <w:rsid w:val="002F11B2"/>
    <w:rsid w:val="002F1228"/>
    <w:rsid w:val="002F1239"/>
    <w:rsid w:val="002F124D"/>
    <w:rsid w:val="002F165E"/>
    <w:rsid w:val="002F1A7E"/>
    <w:rsid w:val="002F1BBA"/>
    <w:rsid w:val="002F1D59"/>
    <w:rsid w:val="002F1ED9"/>
    <w:rsid w:val="002F2D8E"/>
    <w:rsid w:val="002F2D9C"/>
    <w:rsid w:val="002F330B"/>
    <w:rsid w:val="002F34A5"/>
    <w:rsid w:val="002F37E3"/>
    <w:rsid w:val="002F3885"/>
    <w:rsid w:val="002F38D7"/>
    <w:rsid w:val="002F395B"/>
    <w:rsid w:val="002F3B11"/>
    <w:rsid w:val="002F3D0E"/>
    <w:rsid w:val="002F3EF1"/>
    <w:rsid w:val="002F4145"/>
    <w:rsid w:val="002F424D"/>
    <w:rsid w:val="002F4385"/>
    <w:rsid w:val="002F463C"/>
    <w:rsid w:val="002F4796"/>
    <w:rsid w:val="002F47A5"/>
    <w:rsid w:val="002F4BE0"/>
    <w:rsid w:val="002F4C97"/>
    <w:rsid w:val="002F4D7B"/>
    <w:rsid w:val="002F4DF8"/>
    <w:rsid w:val="002F5167"/>
    <w:rsid w:val="002F55AE"/>
    <w:rsid w:val="002F5875"/>
    <w:rsid w:val="002F5E24"/>
    <w:rsid w:val="002F602B"/>
    <w:rsid w:val="002F63D4"/>
    <w:rsid w:val="002F6526"/>
    <w:rsid w:val="002F6A30"/>
    <w:rsid w:val="002F6B3A"/>
    <w:rsid w:val="002F6C28"/>
    <w:rsid w:val="002F6D10"/>
    <w:rsid w:val="002F6F9C"/>
    <w:rsid w:val="002F753C"/>
    <w:rsid w:val="002F758B"/>
    <w:rsid w:val="002F75BA"/>
    <w:rsid w:val="002F7639"/>
    <w:rsid w:val="002F7687"/>
    <w:rsid w:val="002F7708"/>
    <w:rsid w:val="002F78A6"/>
    <w:rsid w:val="002F7F90"/>
    <w:rsid w:val="0030032E"/>
    <w:rsid w:val="0030057C"/>
    <w:rsid w:val="00300601"/>
    <w:rsid w:val="00300618"/>
    <w:rsid w:val="003007A5"/>
    <w:rsid w:val="003007B0"/>
    <w:rsid w:val="00300A7B"/>
    <w:rsid w:val="00300CB2"/>
    <w:rsid w:val="00300DA5"/>
    <w:rsid w:val="00301095"/>
    <w:rsid w:val="0030145D"/>
    <w:rsid w:val="00301522"/>
    <w:rsid w:val="00301572"/>
    <w:rsid w:val="00301906"/>
    <w:rsid w:val="00301930"/>
    <w:rsid w:val="00301C66"/>
    <w:rsid w:val="00301CE6"/>
    <w:rsid w:val="00301DBF"/>
    <w:rsid w:val="00302562"/>
    <w:rsid w:val="003028CF"/>
    <w:rsid w:val="003028E5"/>
    <w:rsid w:val="00302922"/>
    <w:rsid w:val="00302FB9"/>
    <w:rsid w:val="00303150"/>
    <w:rsid w:val="0030320C"/>
    <w:rsid w:val="003034B2"/>
    <w:rsid w:val="003035A7"/>
    <w:rsid w:val="00303953"/>
    <w:rsid w:val="00303A15"/>
    <w:rsid w:val="00303AC1"/>
    <w:rsid w:val="00303C2D"/>
    <w:rsid w:val="00303CE3"/>
    <w:rsid w:val="00303D3B"/>
    <w:rsid w:val="00304102"/>
    <w:rsid w:val="003041E0"/>
    <w:rsid w:val="00304962"/>
    <w:rsid w:val="00304B77"/>
    <w:rsid w:val="00304BA8"/>
    <w:rsid w:val="00304E1D"/>
    <w:rsid w:val="00304EAB"/>
    <w:rsid w:val="003050A7"/>
    <w:rsid w:val="003054EC"/>
    <w:rsid w:val="0030563A"/>
    <w:rsid w:val="00305A8D"/>
    <w:rsid w:val="00305ADE"/>
    <w:rsid w:val="00305CF1"/>
    <w:rsid w:val="003062E1"/>
    <w:rsid w:val="003064CB"/>
    <w:rsid w:val="00306608"/>
    <w:rsid w:val="0030670A"/>
    <w:rsid w:val="00306980"/>
    <w:rsid w:val="003069D3"/>
    <w:rsid w:val="00306A8B"/>
    <w:rsid w:val="00306AD6"/>
    <w:rsid w:val="0030716A"/>
    <w:rsid w:val="00307277"/>
    <w:rsid w:val="0030747D"/>
    <w:rsid w:val="00307642"/>
    <w:rsid w:val="003079E1"/>
    <w:rsid w:val="00307A14"/>
    <w:rsid w:val="00307AA8"/>
    <w:rsid w:val="00307B14"/>
    <w:rsid w:val="00307E6E"/>
    <w:rsid w:val="00310023"/>
    <w:rsid w:val="00310C4B"/>
    <w:rsid w:val="00311160"/>
    <w:rsid w:val="00311240"/>
    <w:rsid w:val="00311436"/>
    <w:rsid w:val="00311676"/>
    <w:rsid w:val="0031174D"/>
    <w:rsid w:val="003117E3"/>
    <w:rsid w:val="003118FD"/>
    <w:rsid w:val="00311CDF"/>
    <w:rsid w:val="00311E5D"/>
    <w:rsid w:val="00311E70"/>
    <w:rsid w:val="0031227B"/>
    <w:rsid w:val="00312458"/>
    <w:rsid w:val="003124B1"/>
    <w:rsid w:val="0031251D"/>
    <w:rsid w:val="00312771"/>
    <w:rsid w:val="003127FF"/>
    <w:rsid w:val="00312903"/>
    <w:rsid w:val="00312A58"/>
    <w:rsid w:val="00312A88"/>
    <w:rsid w:val="00312AF0"/>
    <w:rsid w:val="00312B70"/>
    <w:rsid w:val="0031310A"/>
    <w:rsid w:val="00313452"/>
    <w:rsid w:val="003136CA"/>
    <w:rsid w:val="003137E0"/>
    <w:rsid w:val="003139E2"/>
    <w:rsid w:val="00313A6C"/>
    <w:rsid w:val="00313B88"/>
    <w:rsid w:val="00313BDE"/>
    <w:rsid w:val="00313C4F"/>
    <w:rsid w:val="00313F2D"/>
    <w:rsid w:val="00313F8A"/>
    <w:rsid w:val="00314406"/>
    <w:rsid w:val="00314448"/>
    <w:rsid w:val="003146A2"/>
    <w:rsid w:val="00314E30"/>
    <w:rsid w:val="00315435"/>
    <w:rsid w:val="003154E2"/>
    <w:rsid w:val="0031574A"/>
    <w:rsid w:val="003157CF"/>
    <w:rsid w:val="0031599D"/>
    <w:rsid w:val="00315A0E"/>
    <w:rsid w:val="00315E44"/>
    <w:rsid w:val="00315E75"/>
    <w:rsid w:val="0031601D"/>
    <w:rsid w:val="00316079"/>
    <w:rsid w:val="00316220"/>
    <w:rsid w:val="00316710"/>
    <w:rsid w:val="003167E0"/>
    <w:rsid w:val="003168E7"/>
    <w:rsid w:val="00316970"/>
    <w:rsid w:val="00316A1C"/>
    <w:rsid w:val="00316D22"/>
    <w:rsid w:val="00317017"/>
    <w:rsid w:val="003174F7"/>
    <w:rsid w:val="00317718"/>
    <w:rsid w:val="00317739"/>
    <w:rsid w:val="00317BC9"/>
    <w:rsid w:val="00317C99"/>
    <w:rsid w:val="00317EF8"/>
    <w:rsid w:val="0032001D"/>
    <w:rsid w:val="0032006A"/>
    <w:rsid w:val="00320238"/>
    <w:rsid w:val="00320ACB"/>
    <w:rsid w:val="00320B09"/>
    <w:rsid w:val="003213ED"/>
    <w:rsid w:val="00321499"/>
    <w:rsid w:val="00321821"/>
    <w:rsid w:val="003219EB"/>
    <w:rsid w:val="00321AA5"/>
    <w:rsid w:val="00321BEE"/>
    <w:rsid w:val="00321C4A"/>
    <w:rsid w:val="00321DB9"/>
    <w:rsid w:val="00322084"/>
    <w:rsid w:val="003227D4"/>
    <w:rsid w:val="0032287D"/>
    <w:rsid w:val="003228B8"/>
    <w:rsid w:val="00322B10"/>
    <w:rsid w:val="00322B99"/>
    <w:rsid w:val="00322C4D"/>
    <w:rsid w:val="00322CA9"/>
    <w:rsid w:val="00322F02"/>
    <w:rsid w:val="00323222"/>
    <w:rsid w:val="003233EA"/>
    <w:rsid w:val="003235C6"/>
    <w:rsid w:val="00323C12"/>
    <w:rsid w:val="00323CA5"/>
    <w:rsid w:val="003245D3"/>
    <w:rsid w:val="00324725"/>
    <w:rsid w:val="00324A08"/>
    <w:rsid w:val="00324D54"/>
    <w:rsid w:val="00324ED1"/>
    <w:rsid w:val="003250B8"/>
    <w:rsid w:val="00325372"/>
    <w:rsid w:val="003255F8"/>
    <w:rsid w:val="0032572B"/>
    <w:rsid w:val="0032573D"/>
    <w:rsid w:val="00325A66"/>
    <w:rsid w:val="00325D5F"/>
    <w:rsid w:val="00325E21"/>
    <w:rsid w:val="00325FE7"/>
    <w:rsid w:val="003261C6"/>
    <w:rsid w:val="0032657A"/>
    <w:rsid w:val="00326863"/>
    <w:rsid w:val="00326AC7"/>
    <w:rsid w:val="00326D44"/>
    <w:rsid w:val="00326F74"/>
    <w:rsid w:val="003272B0"/>
    <w:rsid w:val="00327392"/>
    <w:rsid w:val="003276F3"/>
    <w:rsid w:val="003278B6"/>
    <w:rsid w:val="00327930"/>
    <w:rsid w:val="00327A2C"/>
    <w:rsid w:val="00327BA8"/>
    <w:rsid w:val="00327E87"/>
    <w:rsid w:val="00330088"/>
    <w:rsid w:val="00330487"/>
    <w:rsid w:val="003305BC"/>
    <w:rsid w:val="00330745"/>
    <w:rsid w:val="0033094C"/>
    <w:rsid w:val="00330B2D"/>
    <w:rsid w:val="00330E08"/>
    <w:rsid w:val="00330E58"/>
    <w:rsid w:val="00330ECD"/>
    <w:rsid w:val="003310D2"/>
    <w:rsid w:val="00331374"/>
    <w:rsid w:val="00331571"/>
    <w:rsid w:val="003317D7"/>
    <w:rsid w:val="003319B1"/>
    <w:rsid w:val="00331AC8"/>
    <w:rsid w:val="00331E5D"/>
    <w:rsid w:val="00332265"/>
    <w:rsid w:val="00332385"/>
    <w:rsid w:val="0033245A"/>
    <w:rsid w:val="0033258D"/>
    <w:rsid w:val="00332654"/>
    <w:rsid w:val="0033288A"/>
    <w:rsid w:val="00332B7B"/>
    <w:rsid w:val="00333140"/>
    <w:rsid w:val="003331C8"/>
    <w:rsid w:val="00333279"/>
    <w:rsid w:val="003332F3"/>
    <w:rsid w:val="00333661"/>
    <w:rsid w:val="003339CC"/>
    <w:rsid w:val="00333AE4"/>
    <w:rsid w:val="00333D12"/>
    <w:rsid w:val="00333FC4"/>
    <w:rsid w:val="00334326"/>
    <w:rsid w:val="003343A7"/>
    <w:rsid w:val="0033469C"/>
    <w:rsid w:val="00334DE5"/>
    <w:rsid w:val="00335248"/>
    <w:rsid w:val="003354FC"/>
    <w:rsid w:val="00335AF2"/>
    <w:rsid w:val="00335C52"/>
    <w:rsid w:val="00335CCA"/>
    <w:rsid w:val="00335DD2"/>
    <w:rsid w:val="00336559"/>
    <w:rsid w:val="0033684F"/>
    <w:rsid w:val="003369CB"/>
    <w:rsid w:val="00336A78"/>
    <w:rsid w:val="00336C04"/>
    <w:rsid w:val="00337031"/>
    <w:rsid w:val="0033714D"/>
    <w:rsid w:val="003375A0"/>
    <w:rsid w:val="00337A37"/>
    <w:rsid w:val="00337E65"/>
    <w:rsid w:val="003400F5"/>
    <w:rsid w:val="0034011B"/>
    <w:rsid w:val="0034011C"/>
    <w:rsid w:val="00340897"/>
    <w:rsid w:val="00340C2B"/>
    <w:rsid w:val="0034125C"/>
    <w:rsid w:val="003413E6"/>
    <w:rsid w:val="0034170C"/>
    <w:rsid w:val="00341E05"/>
    <w:rsid w:val="0034206E"/>
    <w:rsid w:val="003420AB"/>
    <w:rsid w:val="00342399"/>
    <w:rsid w:val="0034254B"/>
    <w:rsid w:val="00342D0D"/>
    <w:rsid w:val="00342DA3"/>
    <w:rsid w:val="00343374"/>
    <w:rsid w:val="0034355E"/>
    <w:rsid w:val="0034358A"/>
    <w:rsid w:val="00343F1A"/>
    <w:rsid w:val="00343F3F"/>
    <w:rsid w:val="00344062"/>
    <w:rsid w:val="0034426B"/>
    <w:rsid w:val="00344322"/>
    <w:rsid w:val="00344825"/>
    <w:rsid w:val="00344D20"/>
    <w:rsid w:val="00344DB0"/>
    <w:rsid w:val="003451A9"/>
    <w:rsid w:val="003456A0"/>
    <w:rsid w:val="003456F5"/>
    <w:rsid w:val="0034581E"/>
    <w:rsid w:val="00345885"/>
    <w:rsid w:val="003458F3"/>
    <w:rsid w:val="00345E99"/>
    <w:rsid w:val="00345EBD"/>
    <w:rsid w:val="003460AE"/>
    <w:rsid w:val="003460C9"/>
    <w:rsid w:val="003460FB"/>
    <w:rsid w:val="00346250"/>
    <w:rsid w:val="00346421"/>
    <w:rsid w:val="0034668A"/>
    <w:rsid w:val="003467FF"/>
    <w:rsid w:val="003468D9"/>
    <w:rsid w:val="0034691D"/>
    <w:rsid w:val="00346BB7"/>
    <w:rsid w:val="00346C23"/>
    <w:rsid w:val="00346D29"/>
    <w:rsid w:val="00346DB4"/>
    <w:rsid w:val="00346F74"/>
    <w:rsid w:val="00346FC6"/>
    <w:rsid w:val="0034725E"/>
    <w:rsid w:val="003473E5"/>
    <w:rsid w:val="0034761F"/>
    <w:rsid w:val="00347656"/>
    <w:rsid w:val="003477C9"/>
    <w:rsid w:val="003479AC"/>
    <w:rsid w:val="00347AF1"/>
    <w:rsid w:val="00347B3C"/>
    <w:rsid w:val="00347CE2"/>
    <w:rsid w:val="00347E08"/>
    <w:rsid w:val="0035031A"/>
    <w:rsid w:val="00350736"/>
    <w:rsid w:val="00350BA9"/>
    <w:rsid w:val="00350BE7"/>
    <w:rsid w:val="00350E60"/>
    <w:rsid w:val="003511E5"/>
    <w:rsid w:val="003513CA"/>
    <w:rsid w:val="00351440"/>
    <w:rsid w:val="003517BA"/>
    <w:rsid w:val="00351846"/>
    <w:rsid w:val="00351C87"/>
    <w:rsid w:val="003523D1"/>
    <w:rsid w:val="00352410"/>
    <w:rsid w:val="00352512"/>
    <w:rsid w:val="00352933"/>
    <w:rsid w:val="00352B44"/>
    <w:rsid w:val="00352CD5"/>
    <w:rsid w:val="00353226"/>
    <w:rsid w:val="00353B04"/>
    <w:rsid w:val="00353C5F"/>
    <w:rsid w:val="00353C82"/>
    <w:rsid w:val="003541AC"/>
    <w:rsid w:val="00354550"/>
    <w:rsid w:val="0035457D"/>
    <w:rsid w:val="00354A58"/>
    <w:rsid w:val="00354CC9"/>
    <w:rsid w:val="00354EE1"/>
    <w:rsid w:val="00355014"/>
    <w:rsid w:val="0035522E"/>
    <w:rsid w:val="0035526F"/>
    <w:rsid w:val="00355B56"/>
    <w:rsid w:val="00355D16"/>
    <w:rsid w:val="00355D83"/>
    <w:rsid w:val="00356180"/>
    <w:rsid w:val="0035656D"/>
    <w:rsid w:val="003566CE"/>
    <w:rsid w:val="00356809"/>
    <w:rsid w:val="003569E7"/>
    <w:rsid w:val="00356C05"/>
    <w:rsid w:val="003573FA"/>
    <w:rsid w:val="00357580"/>
    <w:rsid w:val="00357595"/>
    <w:rsid w:val="00357681"/>
    <w:rsid w:val="00357808"/>
    <w:rsid w:val="00357835"/>
    <w:rsid w:val="00357903"/>
    <w:rsid w:val="0036009D"/>
    <w:rsid w:val="00360150"/>
    <w:rsid w:val="00360457"/>
    <w:rsid w:val="003604EA"/>
    <w:rsid w:val="003606D9"/>
    <w:rsid w:val="003608AA"/>
    <w:rsid w:val="0036120E"/>
    <w:rsid w:val="003612E8"/>
    <w:rsid w:val="003613C0"/>
    <w:rsid w:val="003614C5"/>
    <w:rsid w:val="00361884"/>
    <w:rsid w:val="003619FD"/>
    <w:rsid w:val="00361CB3"/>
    <w:rsid w:val="0036208F"/>
    <w:rsid w:val="00362432"/>
    <w:rsid w:val="003624F2"/>
    <w:rsid w:val="00362716"/>
    <w:rsid w:val="003627C1"/>
    <w:rsid w:val="00362905"/>
    <w:rsid w:val="00362959"/>
    <w:rsid w:val="00362B3A"/>
    <w:rsid w:val="00362E46"/>
    <w:rsid w:val="003630BA"/>
    <w:rsid w:val="0036327E"/>
    <w:rsid w:val="003632FB"/>
    <w:rsid w:val="0036350D"/>
    <w:rsid w:val="00363B69"/>
    <w:rsid w:val="00363BFA"/>
    <w:rsid w:val="00363F10"/>
    <w:rsid w:val="00364288"/>
    <w:rsid w:val="003642E3"/>
    <w:rsid w:val="00364396"/>
    <w:rsid w:val="0036447E"/>
    <w:rsid w:val="003644E7"/>
    <w:rsid w:val="003645A2"/>
    <w:rsid w:val="003647B5"/>
    <w:rsid w:val="00364ACD"/>
    <w:rsid w:val="00364F8C"/>
    <w:rsid w:val="00364FAD"/>
    <w:rsid w:val="0036519D"/>
    <w:rsid w:val="003651B4"/>
    <w:rsid w:val="0036529D"/>
    <w:rsid w:val="003652F8"/>
    <w:rsid w:val="00365929"/>
    <w:rsid w:val="00365CE0"/>
    <w:rsid w:val="00365D21"/>
    <w:rsid w:val="00366058"/>
    <w:rsid w:val="00366098"/>
    <w:rsid w:val="00366257"/>
    <w:rsid w:val="003662E6"/>
    <w:rsid w:val="00366823"/>
    <w:rsid w:val="003669E6"/>
    <w:rsid w:val="00366C1C"/>
    <w:rsid w:val="00366FE3"/>
    <w:rsid w:val="00367819"/>
    <w:rsid w:val="00367C01"/>
    <w:rsid w:val="00370157"/>
    <w:rsid w:val="00370AC9"/>
    <w:rsid w:val="00370C8F"/>
    <w:rsid w:val="00370DE3"/>
    <w:rsid w:val="00370EC5"/>
    <w:rsid w:val="00370ED4"/>
    <w:rsid w:val="003711AD"/>
    <w:rsid w:val="00371725"/>
    <w:rsid w:val="00371868"/>
    <w:rsid w:val="00371A61"/>
    <w:rsid w:val="00371C12"/>
    <w:rsid w:val="00371C4C"/>
    <w:rsid w:val="0037251D"/>
    <w:rsid w:val="003725B5"/>
    <w:rsid w:val="0037269D"/>
    <w:rsid w:val="003728CB"/>
    <w:rsid w:val="003729A4"/>
    <w:rsid w:val="00372A89"/>
    <w:rsid w:val="00372B7E"/>
    <w:rsid w:val="003732A7"/>
    <w:rsid w:val="003732BF"/>
    <w:rsid w:val="003733EF"/>
    <w:rsid w:val="003735F4"/>
    <w:rsid w:val="00373689"/>
    <w:rsid w:val="00373BD5"/>
    <w:rsid w:val="00373E13"/>
    <w:rsid w:val="00374061"/>
    <w:rsid w:val="0037411F"/>
    <w:rsid w:val="00374160"/>
    <w:rsid w:val="0037441C"/>
    <w:rsid w:val="00374436"/>
    <w:rsid w:val="0037454F"/>
    <w:rsid w:val="0037457F"/>
    <w:rsid w:val="00374F81"/>
    <w:rsid w:val="0037550C"/>
    <w:rsid w:val="00375582"/>
    <w:rsid w:val="00375710"/>
    <w:rsid w:val="003757D7"/>
    <w:rsid w:val="00375A04"/>
    <w:rsid w:val="00375B32"/>
    <w:rsid w:val="003760D7"/>
    <w:rsid w:val="0037620E"/>
    <w:rsid w:val="003762D2"/>
    <w:rsid w:val="00376394"/>
    <w:rsid w:val="003764F6"/>
    <w:rsid w:val="003765EF"/>
    <w:rsid w:val="00376965"/>
    <w:rsid w:val="00376A68"/>
    <w:rsid w:val="00376AE5"/>
    <w:rsid w:val="00376D49"/>
    <w:rsid w:val="00376D55"/>
    <w:rsid w:val="00376EA1"/>
    <w:rsid w:val="0037702D"/>
    <w:rsid w:val="003772E9"/>
    <w:rsid w:val="003774CF"/>
    <w:rsid w:val="00377AF1"/>
    <w:rsid w:val="00377B79"/>
    <w:rsid w:val="00377BD0"/>
    <w:rsid w:val="00377DF2"/>
    <w:rsid w:val="00377E72"/>
    <w:rsid w:val="0038009E"/>
    <w:rsid w:val="003800D8"/>
    <w:rsid w:val="0038040F"/>
    <w:rsid w:val="00380B1D"/>
    <w:rsid w:val="00380D38"/>
    <w:rsid w:val="00380D73"/>
    <w:rsid w:val="00380DB1"/>
    <w:rsid w:val="003812BA"/>
    <w:rsid w:val="003813A7"/>
    <w:rsid w:val="0038160D"/>
    <w:rsid w:val="003818E1"/>
    <w:rsid w:val="00381907"/>
    <w:rsid w:val="00381B6B"/>
    <w:rsid w:val="00381CF4"/>
    <w:rsid w:val="00381E32"/>
    <w:rsid w:val="00381EF1"/>
    <w:rsid w:val="003822F3"/>
    <w:rsid w:val="00382556"/>
    <w:rsid w:val="0038275B"/>
    <w:rsid w:val="00382BEC"/>
    <w:rsid w:val="003830C7"/>
    <w:rsid w:val="003832F9"/>
    <w:rsid w:val="00383959"/>
    <w:rsid w:val="00383ABB"/>
    <w:rsid w:val="00383AEB"/>
    <w:rsid w:val="00383B45"/>
    <w:rsid w:val="00383C02"/>
    <w:rsid w:val="00383CDE"/>
    <w:rsid w:val="00383D1D"/>
    <w:rsid w:val="00383FEC"/>
    <w:rsid w:val="0038426B"/>
    <w:rsid w:val="003844CB"/>
    <w:rsid w:val="00384D24"/>
    <w:rsid w:val="00384F1D"/>
    <w:rsid w:val="00384F25"/>
    <w:rsid w:val="003854E8"/>
    <w:rsid w:val="003855A3"/>
    <w:rsid w:val="003855D4"/>
    <w:rsid w:val="00385615"/>
    <w:rsid w:val="00385BD1"/>
    <w:rsid w:val="00385D0B"/>
    <w:rsid w:val="00385F13"/>
    <w:rsid w:val="00386019"/>
    <w:rsid w:val="00386020"/>
    <w:rsid w:val="00386273"/>
    <w:rsid w:val="003865A1"/>
    <w:rsid w:val="003867B3"/>
    <w:rsid w:val="00386BBD"/>
    <w:rsid w:val="00386CBB"/>
    <w:rsid w:val="003871CE"/>
    <w:rsid w:val="0038727E"/>
    <w:rsid w:val="0038787C"/>
    <w:rsid w:val="003878E0"/>
    <w:rsid w:val="003904C4"/>
    <w:rsid w:val="00390AAC"/>
    <w:rsid w:val="00390C20"/>
    <w:rsid w:val="00390F4E"/>
    <w:rsid w:val="00391173"/>
    <w:rsid w:val="0039126A"/>
    <w:rsid w:val="00391521"/>
    <w:rsid w:val="003915E6"/>
    <w:rsid w:val="00391629"/>
    <w:rsid w:val="00391903"/>
    <w:rsid w:val="003919F4"/>
    <w:rsid w:val="00391DA6"/>
    <w:rsid w:val="00391F3E"/>
    <w:rsid w:val="00391F79"/>
    <w:rsid w:val="00391F7E"/>
    <w:rsid w:val="0039232B"/>
    <w:rsid w:val="003928F2"/>
    <w:rsid w:val="00392B82"/>
    <w:rsid w:val="00392BC1"/>
    <w:rsid w:val="00392BE2"/>
    <w:rsid w:val="00392D18"/>
    <w:rsid w:val="0039300A"/>
    <w:rsid w:val="003933E7"/>
    <w:rsid w:val="0039363D"/>
    <w:rsid w:val="00393853"/>
    <w:rsid w:val="003938BC"/>
    <w:rsid w:val="00393B14"/>
    <w:rsid w:val="00393B37"/>
    <w:rsid w:val="00393B3A"/>
    <w:rsid w:val="00394342"/>
    <w:rsid w:val="00394587"/>
    <w:rsid w:val="0039467C"/>
    <w:rsid w:val="00394921"/>
    <w:rsid w:val="00394BCC"/>
    <w:rsid w:val="003954EF"/>
    <w:rsid w:val="0039553E"/>
    <w:rsid w:val="0039564C"/>
    <w:rsid w:val="00395850"/>
    <w:rsid w:val="00395CDC"/>
    <w:rsid w:val="003960BA"/>
    <w:rsid w:val="003967B8"/>
    <w:rsid w:val="0039768D"/>
    <w:rsid w:val="003976A9"/>
    <w:rsid w:val="00397B33"/>
    <w:rsid w:val="00397C07"/>
    <w:rsid w:val="00397E6E"/>
    <w:rsid w:val="00397EE0"/>
    <w:rsid w:val="003A0076"/>
    <w:rsid w:val="003A0308"/>
    <w:rsid w:val="003A04EA"/>
    <w:rsid w:val="003A062D"/>
    <w:rsid w:val="003A0870"/>
    <w:rsid w:val="003A0F64"/>
    <w:rsid w:val="003A11AA"/>
    <w:rsid w:val="003A15CB"/>
    <w:rsid w:val="003A174C"/>
    <w:rsid w:val="003A215D"/>
    <w:rsid w:val="003A2177"/>
    <w:rsid w:val="003A2215"/>
    <w:rsid w:val="003A2389"/>
    <w:rsid w:val="003A27FF"/>
    <w:rsid w:val="003A28B4"/>
    <w:rsid w:val="003A29F9"/>
    <w:rsid w:val="003A2C0C"/>
    <w:rsid w:val="003A2C19"/>
    <w:rsid w:val="003A2D96"/>
    <w:rsid w:val="003A2E96"/>
    <w:rsid w:val="003A3B16"/>
    <w:rsid w:val="003A3C6C"/>
    <w:rsid w:val="003A3C9B"/>
    <w:rsid w:val="003A40F9"/>
    <w:rsid w:val="003A4519"/>
    <w:rsid w:val="003A45E7"/>
    <w:rsid w:val="003A47E5"/>
    <w:rsid w:val="003A4801"/>
    <w:rsid w:val="003A480A"/>
    <w:rsid w:val="003A4959"/>
    <w:rsid w:val="003A4C65"/>
    <w:rsid w:val="003A4CA1"/>
    <w:rsid w:val="003A4CD5"/>
    <w:rsid w:val="003A4E62"/>
    <w:rsid w:val="003A5079"/>
    <w:rsid w:val="003A547A"/>
    <w:rsid w:val="003A5574"/>
    <w:rsid w:val="003A607C"/>
    <w:rsid w:val="003A61CD"/>
    <w:rsid w:val="003A6281"/>
    <w:rsid w:val="003A6420"/>
    <w:rsid w:val="003A68AA"/>
    <w:rsid w:val="003A6B5A"/>
    <w:rsid w:val="003A6DB8"/>
    <w:rsid w:val="003A6F44"/>
    <w:rsid w:val="003A7091"/>
    <w:rsid w:val="003A755B"/>
    <w:rsid w:val="003A77BD"/>
    <w:rsid w:val="003A7CD8"/>
    <w:rsid w:val="003A7E84"/>
    <w:rsid w:val="003B033E"/>
    <w:rsid w:val="003B0837"/>
    <w:rsid w:val="003B0E3C"/>
    <w:rsid w:val="003B0FBA"/>
    <w:rsid w:val="003B1014"/>
    <w:rsid w:val="003B1180"/>
    <w:rsid w:val="003B1792"/>
    <w:rsid w:val="003B1ADC"/>
    <w:rsid w:val="003B1CAA"/>
    <w:rsid w:val="003B1D1E"/>
    <w:rsid w:val="003B220D"/>
    <w:rsid w:val="003B2663"/>
    <w:rsid w:val="003B279F"/>
    <w:rsid w:val="003B293F"/>
    <w:rsid w:val="003B329E"/>
    <w:rsid w:val="003B36D1"/>
    <w:rsid w:val="003B37AF"/>
    <w:rsid w:val="003B392C"/>
    <w:rsid w:val="003B3B36"/>
    <w:rsid w:val="003B3CA9"/>
    <w:rsid w:val="003B3D4A"/>
    <w:rsid w:val="003B3DD2"/>
    <w:rsid w:val="003B3E1F"/>
    <w:rsid w:val="003B4163"/>
    <w:rsid w:val="003B4A53"/>
    <w:rsid w:val="003B4BFE"/>
    <w:rsid w:val="003B4C9A"/>
    <w:rsid w:val="003B4CDB"/>
    <w:rsid w:val="003B4EF2"/>
    <w:rsid w:val="003B4F70"/>
    <w:rsid w:val="003B5364"/>
    <w:rsid w:val="003B5412"/>
    <w:rsid w:val="003B5828"/>
    <w:rsid w:val="003B584E"/>
    <w:rsid w:val="003B591D"/>
    <w:rsid w:val="003B5960"/>
    <w:rsid w:val="003B5B18"/>
    <w:rsid w:val="003B5B94"/>
    <w:rsid w:val="003B5F2C"/>
    <w:rsid w:val="003B5F92"/>
    <w:rsid w:val="003B6255"/>
    <w:rsid w:val="003B6322"/>
    <w:rsid w:val="003B6369"/>
    <w:rsid w:val="003B6695"/>
    <w:rsid w:val="003B697D"/>
    <w:rsid w:val="003B6A61"/>
    <w:rsid w:val="003B6BE2"/>
    <w:rsid w:val="003B6D42"/>
    <w:rsid w:val="003B7015"/>
    <w:rsid w:val="003B716C"/>
    <w:rsid w:val="003B71ED"/>
    <w:rsid w:val="003B756B"/>
    <w:rsid w:val="003B760D"/>
    <w:rsid w:val="003B7697"/>
    <w:rsid w:val="003B76DB"/>
    <w:rsid w:val="003B79CD"/>
    <w:rsid w:val="003B7D33"/>
    <w:rsid w:val="003C0041"/>
    <w:rsid w:val="003C01CD"/>
    <w:rsid w:val="003C0888"/>
    <w:rsid w:val="003C0A60"/>
    <w:rsid w:val="003C0CEF"/>
    <w:rsid w:val="003C0E9C"/>
    <w:rsid w:val="003C0F87"/>
    <w:rsid w:val="003C0FC2"/>
    <w:rsid w:val="003C0FEA"/>
    <w:rsid w:val="003C1165"/>
    <w:rsid w:val="003C1175"/>
    <w:rsid w:val="003C11F5"/>
    <w:rsid w:val="003C1410"/>
    <w:rsid w:val="003C14FB"/>
    <w:rsid w:val="003C16DA"/>
    <w:rsid w:val="003C18BB"/>
    <w:rsid w:val="003C1955"/>
    <w:rsid w:val="003C1ADC"/>
    <w:rsid w:val="003C1B7B"/>
    <w:rsid w:val="003C2D03"/>
    <w:rsid w:val="003C3066"/>
    <w:rsid w:val="003C3121"/>
    <w:rsid w:val="003C31F1"/>
    <w:rsid w:val="003C3384"/>
    <w:rsid w:val="003C339F"/>
    <w:rsid w:val="003C39FE"/>
    <w:rsid w:val="003C3DFB"/>
    <w:rsid w:val="003C4432"/>
    <w:rsid w:val="003C448D"/>
    <w:rsid w:val="003C4714"/>
    <w:rsid w:val="003C4942"/>
    <w:rsid w:val="003C49E7"/>
    <w:rsid w:val="003C4A45"/>
    <w:rsid w:val="003C4C8A"/>
    <w:rsid w:val="003C4D44"/>
    <w:rsid w:val="003C4D78"/>
    <w:rsid w:val="003C4F1D"/>
    <w:rsid w:val="003C56D8"/>
    <w:rsid w:val="003C577F"/>
    <w:rsid w:val="003C57F0"/>
    <w:rsid w:val="003C5831"/>
    <w:rsid w:val="003C5885"/>
    <w:rsid w:val="003C58A5"/>
    <w:rsid w:val="003C5918"/>
    <w:rsid w:val="003C618D"/>
    <w:rsid w:val="003C626B"/>
    <w:rsid w:val="003C639C"/>
    <w:rsid w:val="003C6485"/>
    <w:rsid w:val="003C64AD"/>
    <w:rsid w:val="003C6505"/>
    <w:rsid w:val="003C66DE"/>
    <w:rsid w:val="003C6952"/>
    <w:rsid w:val="003C6F21"/>
    <w:rsid w:val="003C70A3"/>
    <w:rsid w:val="003C7254"/>
    <w:rsid w:val="003C72AF"/>
    <w:rsid w:val="003C72E1"/>
    <w:rsid w:val="003C7485"/>
    <w:rsid w:val="003C7A3C"/>
    <w:rsid w:val="003C7C00"/>
    <w:rsid w:val="003CD451"/>
    <w:rsid w:val="003D002C"/>
    <w:rsid w:val="003D0769"/>
    <w:rsid w:val="003D08FB"/>
    <w:rsid w:val="003D0C58"/>
    <w:rsid w:val="003D0CED"/>
    <w:rsid w:val="003D0EFA"/>
    <w:rsid w:val="003D1012"/>
    <w:rsid w:val="003D1219"/>
    <w:rsid w:val="003D122A"/>
    <w:rsid w:val="003D1273"/>
    <w:rsid w:val="003D205B"/>
    <w:rsid w:val="003D2339"/>
    <w:rsid w:val="003D2888"/>
    <w:rsid w:val="003D28C6"/>
    <w:rsid w:val="003D2B16"/>
    <w:rsid w:val="003D2B8F"/>
    <w:rsid w:val="003D2BAB"/>
    <w:rsid w:val="003D2CC1"/>
    <w:rsid w:val="003D2E35"/>
    <w:rsid w:val="003D3131"/>
    <w:rsid w:val="003D3143"/>
    <w:rsid w:val="003D385F"/>
    <w:rsid w:val="003D3AA8"/>
    <w:rsid w:val="003D3C50"/>
    <w:rsid w:val="003D3F01"/>
    <w:rsid w:val="003D40CA"/>
    <w:rsid w:val="003D4160"/>
    <w:rsid w:val="003D477B"/>
    <w:rsid w:val="003D498E"/>
    <w:rsid w:val="003D4AE2"/>
    <w:rsid w:val="003D4C25"/>
    <w:rsid w:val="003D4D69"/>
    <w:rsid w:val="003D4F0E"/>
    <w:rsid w:val="003D50CD"/>
    <w:rsid w:val="003D5394"/>
    <w:rsid w:val="003D5650"/>
    <w:rsid w:val="003D5866"/>
    <w:rsid w:val="003D58E1"/>
    <w:rsid w:val="003D5926"/>
    <w:rsid w:val="003D5F42"/>
    <w:rsid w:val="003D6199"/>
    <w:rsid w:val="003D61EC"/>
    <w:rsid w:val="003D63C7"/>
    <w:rsid w:val="003D6447"/>
    <w:rsid w:val="003D6A9E"/>
    <w:rsid w:val="003D6C1E"/>
    <w:rsid w:val="003D6C9C"/>
    <w:rsid w:val="003D6E64"/>
    <w:rsid w:val="003D6EAA"/>
    <w:rsid w:val="003D70A9"/>
    <w:rsid w:val="003D725A"/>
    <w:rsid w:val="003D72CD"/>
    <w:rsid w:val="003D72CE"/>
    <w:rsid w:val="003D733D"/>
    <w:rsid w:val="003D74DE"/>
    <w:rsid w:val="003D767D"/>
    <w:rsid w:val="003D76FB"/>
    <w:rsid w:val="003D789F"/>
    <w:rsid w:val="003D7A13"/>
    <w:rsid w:val="003D7B65"/>
    <w:rsid w:val="003D7D78"/>
    <w:rsid w:val="003D7F31"/>
    <w:rsid w:val="003D7FB3"/>
    <w:rsid w:val="003D7FC9"/>
    <w:rsid w:val="003E0494"/>
    <w:rsid w:val="003E0551"/>
    <w:rsid w:val="003E0C83"/>
    <w:rsid w:val="003E1868"/>
    <w:rsid w:val="003E18F9"/>
    <w:rsid w:val="003E19A5"/>
    <w:rsid w:val="003E1CB6"/>
    <w:rsid w:val="003E1E43"/>
    <w:rsid w:val="003E1FF5"/>
    <w:rsid w:val="003E2300"/>
    <w:rsid w:val="003E23E1"/>
    <w:rsid w:val="003E24B3"/>
    <w:rsid w:val="003E25DF"/>
    <w:rsid w:val="003E296B"/>
    <w:rsid w:val="003E2A05"/>
    <w:rsid w:val="003E2A2B"/>
    <w:rsid w:val="003E2ACC"/>
    <w:rsid w:val="003E30FF"/>
    <w:rsid w:val="003E3225"/>
    <w:rsid w:val="003E336E"/>
    <w:rsid w:val="003E3571"/>
    <w:rsid w:val="003E367A"/>
    <w:rsid w:val="003E37E3"/>
    <w:rsid w:val="003E39A9"/>
    <w:rsid w:val="003E3AB0"/>
    <w:rsid w:val="003E3BA3"/>
    <w:rsid w:val="003E3C6D"/>
    <w:rsid w:val="003E3D23"/>
    <w:rsid w:val="003E3E01"/>
    <w:rsid w:val="003E3E95"/>
    <w:rsid w:val="003E4043"/>
    <w:rsid w:val="003E48E3"/>
    <w:rsid w:val="003E496F"/>
    <w:rsid w:val="003E49EE"/>
    <w:rsid w:val="003E4CBF"/>
    <w:rsid w:val="003E4D3D"/>
    <w:rsid w:val="003E4E60"/>
    <w:rsid w:val="003E5298"/>
    <w:rsid w:val="003E5807"/>
    <w:rsid w:val="003E58E5"/>
    <w:rsid w:val="003E5B2B"/>
    <w:rsid w:val="003E5CAF"/>
    <w:rsid w:val="003E61D8"/>
    <w:rsid w:val="003E63B4"/>
    <w:rsid w:val="003E64D8"/>
    <w:rsid w:val="003E67CD"/>
    <w:rsid w:val="003E6ABE"/>
    <w:rsid w:val="003E6D0B"/>
    <w:rsid w:val="003E6E83"/>
    <w:rsid w:val="003E7424"/>
    <w:rsid w:val="003E76F0"/>
    <w:rsid w:val="003E7814"/>
    <w:rsid w:val="003E7C69"/>
    <w:rsid w:val="003E7CB6"/>
    <w:rsid w:val="003E7DFB"/>
    <w:rsid w:val="003E7F6D"/>
    <w:rsid w:val="003F0053"/>
    <w:rsid w:val="003F07CE"/>
    <w:rsid w:val="003F08A9"/>
    <w:rsid w:val="003F0ABF"/>
    <w:rsid w:val="003F0AC3"/>
    <w:rsid w:val="003F1561"/>
    <w:rsid w:val="003F1819"/>
    <w:rsid w:val="003F269A"/>
    <w:rsid w:val="003F26AB"/>
    <w:rsid w:val="003F274C"/>
    <w:rsid w:val="003F2B29"/>
    <w:rsid w:val="003F2B4F"/>
    <w:rsid w:val="003F2CBA"/>
    <w:rsid w:val="003F2FA2"/>
    <w:rsid w:val="003F31E1"/>
    <w:rsid w:val="003F3A84"/>
    <w:rsid w:val="003F4017"/>
    <w:rsid w:val="003F41BB"/>
    <w:rsid w:val="003F48EF"/>
    <w:rsid w:val="003F49BC"/>
    <w:rsid w:val="003F4AB3"/>
    <w:rsid w:val="003F4AEB"/>
    <w:rsid w:val="003F4B96"/>
    <w:rsid w:val="003F4E66"/>
    <w:rsid w:val="003F4FEA"/>
    <w:rsid w:val="003F5467"/>
    <w:rsid w:val="003F56B9"/>
    <w:rsid w:val="003F5779"/>
    <w:rsid w:val="003F57F1"/>
    <w:rsid w:val="003F5919"/>
    <w:rsid w:val="003F59E5"/>
    <w:rsid w:val="003F5F7C"/>
    <w:rsid w:val="003F6010"/>
    <w:rsid w:val="003F61D5"/>
    <w:rsid w:val="003F6E41"/>
    <w:rsid w:val="003F6EB0"/>
    <w:rsid w:val="003F6F83"/>
    <w:rsid w:val="003F7601"/>
    <w:rsid w:val="003F7633"/>
    <w:rsid w:val="003F7900"/>
    <w:rsid w:val="00400171"/>
    <w:rsid w:val="0040052D"/>
    <w:rsid w:val="004007FB"/>
    <w:rsid w:val="00400EFA"/>
    <w:rsid w:val="00400F23"/>
    <w:rsid w:val="00401105"/>
    <w:rsid w:val="00401164"/>
    <w:rsid w:val="00401FD3"/>
    <w:rsid w:val="004021F6"/>
    <w:rsid w:val="00402B2D"/>
    <w:rsid w:val="00402D0F"/>
    <w:rsid w:val="00403138"/>
    <w:rsid w:val="00403213"/>
    <w:rsid w:val="004034D4"/>
    <w:rsid w:val="004038E6"/>
    <w:rsid w:val="00403BFB"/>
    <w:rsid w:val="00403D29"/>
    <w:rsid w:val="00403E1C"/>
    <w:rsid w:val="00403F42"/>
    <w:rsid w:val="0040449B"/>
    <w:rsid w:val="004045C9"/>
    <w:rsid w:val="004047DC"/>
    <w:rsid w:val="00404922"/>
    <w:rsid w:val="0040564B"/>
    <w:rsid w:val="004057F9"/>
    <w:rsid w:val="00405D6B"/>
    <w:rsid w:val="00405F10"/>
    <w:rsid w:val="0040602E"/>
    <w:rsid w:val="004064B8"/>
    <w:rsid w:val="00406662"/>
    <w:rsid w:val="00406804"/>
    <w:rsid w:val="00406860"/>
    <w:rsid w:val="00406A57"/>
    <w:rsid w:val="00406E86"/>
    <w:rsid w:val="004071C1"/>
    <w:rsid w:val="004074AE"/>
    <w:rsid w:val="00407DBE"/>
    <w:rsid w:val="00407F1A"/>
    <w:rsid w:val="004100CF"/>
    <w:rsid w:val="004104A4"/>
    <w:rsid w:val="004105F4"/>
    <w:rsid w:val="00410791"/>
    <w:rsid w:val="004107DC"/>
    <w:rsid w:val="00410868"/>
    <w:rsid w:val="00410BCF"/>
    <w:rsid w:val="00410BD5"/>
    <w:rsid w:val="00410F64"/>
    <w:rsid w:val="00411009"/>
    <w:rsid w:val="00411211"/>
    <w:rsid w:val="004112E1"/>
    <w:rsid w:val="0041132E"/>
    <w:rsid w:val="0041136E"/>
    <w:rsid w:val="0041160F"/>
    <w:rsid w:val="00411BE5"/>
    <w:rsid w:val="00411C5B"/>
    <w:rsid w:val="00411CEF"/>
    <w:rsid w:val="00411EF1"/>
    <w:rsid w:val="004126D4"/>
    <w:rsid w:val="004129BE"/>
    <w:rsid w:val="00412E04"/>
    <w:rsid w:val="00413325"/>
    <w:rsid w:val="00413549"/>
    <w:rsid w:val="00413747"/>
    <w:rsid w:val="00413AB0"/>
    <w:rsid w:val="00413D19"/>
    <w:rsid w:val="00414294"/>
    <w:rsid w:val="00414716"/>
    <w:rsid w:val="00414AEA"/>
    <w:rsid w:val="00414B89"/>
    <w:rsid w:val="00414D2F"/>
    <w:rsid w:val="00414FF9"/>
    <w:rsid w:val="004155FA"/>
    <w:rsid w:val="00415601"/>
    <w:rsid w:val="00415718"/>
    <w:rsid w:val="004159C4"/>
    <w:rsid w:val="00415B5A"/>
    <w:rsid w:val="00416154"/>
    <w:rsid w:val="0041677F"/>
    <w:rsid w:val="004168A2"/>
    <w:rsid w:val="00416C2C"/>
    <w:rsid w:val="00416D2B"/>
    <w:rsid w:val="00416E59"/>
    <w:rsid w:val="00416EED"/>
    <w:rsid w:val="00417047"/>
    <w:rsid w:val="00417407"/>
    <w:rsid w:val="00417476"/>
    <w:rsid w:val="004177DE"/>
    <w:rsid w:val="0041789B"/>
    <w:rsid w:val="00417A03"/>
    <w:rsid w:val="00417B2A"/>
    <w:rsid w:val="00417B51"/>
    <w:rsid w:val="00420100"/>
    <w:rsid w:val="00420469"/>
    <w:rsid w:val="00420481"/>
    <w:rsid w:val="004207E4"/>
    <w:rsid w:val="004207F2"/>
    <w:rsid w:val="004209B5"/>
    <w:rsid w:val="00420A56"/>
    <w:rsid w:val="00420AE8"/>
    <w:rsid w:val="00420DD3"/>
    <w:rsid w:val="00420E22"/>
    <w:rsid w:val="00421189"/>
    <w:rsid w:val="00421381"/>
    <w:rsid w:val="00421502"/>
    <w:rsid w:val="00421598"/>
    <w:rsid w:val="0042193B"/>
    <w:rsid w:val="00421E09"/>
    <w:rsid w:val="0042236E"/>
    <w:rsid w:val="00422500"/>
    <w:rsid w:val="00422555"/>
    <w:rsid w:val="0042271E"/>
    <w:rsid w:val="004228BF"/>
    <w:rsid w:val="00422908"/>
    <w:rsid w:val="00422A7B"/>
    <w:rsid w:val="00422B2C"/>
    <w:rsid w:val="00422BB1"/>
    <w:rsid w:val="00422BE9"/>
    <w:rsid w:val="00422CC7"/>
    <w:rsid w:val="00422D9A"/>
    <w:rsid w:val="004235E3"/>
    <w:rsid w:val="00423612"/>
    <w:rsid w:val="004236A5"/>
    <w:rsid w:val="004236BE"/>
    <w:rsid w:val="004237F3"/>
    <w:rsid w:val="004239A7"/>
    <w:rsid w:val="00423CAC"/>
    <w:rsid w:val="00424017"/>
    <w:rsid w:val="00424303"/>
    <w:rsid w:val="00424481"/>
    <w:rsid w:val="00424496"/>
    <w:rsid w:val="00424763"/>
    <w:rsid w:val="004247C1"/>
    <w:rsid w:val="00424E5E"/>
    <w:rsid w:val="00425024"/>
    <w:rsid w:val="004251B0"/>
    <w:rsid w:val="004252DB"/>
    <w:rsid w:val="0042533E"/>
    <w:rsid w:val="004254F2"/>
    <w:rsid w:val="0042554C"/>
    <w:rsid w:val="004255A9"/>
    <w:rsid w:val="004256A6"/>
    <w:rsid w:val="00425A39"/>
    <w:rsid w:val="00425AB9"/>
    <w:rsid w:val="00425BDC"/>
    <w:rsid w:val="00425D35"/>
    <w:rsid w:val="00425D74"/>
    <w:rsid w:val="00425F8F"/>
    <w:rsid w:val="00425FC2"/>
    <w:rsid w:val="004263C5"/>
    <w:rsid w:val="004264F2"/>
    <w:rsid w:val="00426B69"/>
    <w:rsid w:val="00426C28"/>
    <w:rsid w:val="00426D6C"/>
    <w:rsid w:val="00426E5F"/>
    <w:rsid w:val="00426F1A"/>
    <w:rsid w:val="00426F34"/>
    <w:rsid w:val="0042700A"/>
    <w:rsid w:val="0042785E"/>
    <w:rsid w:val="00427D95"/>
    <w:rsid w:val="00427F98"/>
    <w:rsid w:val="0043003A"/>
    <w:rsid w:val="0043019F"/>
    <w:rsid w:val="0043045E"/>
    <w:rsid w:val="0043062D"/>
    <w:rsid w:val="0043068E"/>
    <w:rsid w:val="0043076F"/>
    <w:rsid w:val="004309DA"/>
    <w:rsid w:val="00430A96"/>
    <w:rsid w:val="00430BB5"/>
    <w:rsid w:val="00430D40"/>
    <w:rsid w:val="00430E4B"/>
    <w:rsid w:val="00430F7E"/>
    <w:rsid w:val="00430F8B"/>
    <w:rsid w:val="004310DE"/>
    <w:rsid w:val="00431822"/>
    <w:rsid w:val="00431A5E"/>
    <w:rsid w:val="00431C6B"/>
    <w:rsid w:val="00431E1B"/>
    <w:rsid w:val="00432AC2"/>
    <w:rsid w:val="00432B1D"/>
    <w:rsid w:val="00432CB5"/>
    <w:rsid w:val="00433127"/>
    <w:rsid w:val="004332F4"/>
    <w:rsid w:val="00433D73"/>
    <w:rsid w:val="00433DFA"/>
    <w:rsid w:val="00434164"/>
    <w:rsid w:val="004341ED"/>
    <w:rsid w:val="00434992"/>
    <w:rsid w:val="00434CE1"/>
    <w:rsid w:val="00434D5F"/>
    <w:rsid w:val="00435137"/>
    <w:rsid w:val="004351F5"/>
    <w:rsid w:val="00435240"/>
    <w:rsid w:val="0043544D"/>
    <w:rsid w:val="0043569C"/>
    <w:rsid w:val="00435774"/>
    <w:rsid w:val="004357FC"/>
    <w:rsid w:val="00435843"/>
    <w:rsid w:val="00435866"/>
    <w:rsid w:val="00435B35"/>
    <w:rsid w:val="00435C40"/>
    <w:rsid w:val="00435E6C"/>
    <w:rsid w:val="0043604E"/>
    <w:rsid w:val="00436092"/>
    <w:rsid w:val="004362D5"/>
    <w:rsid w:val="0043652F"/>
    <w:rsid w:val="00436571"/>
    <w:rsid w:val="00436576"/>
    <w:rsid w:val="00436B43"/>
    <w:rsid w:val="00437102"/>
    <w:rsid w:val="00437109"/>
    <w:rsid w:val="004377C8"/>
    <w:rsid w:val="00437825"/>
    <w:rsid w:val="00437A2E"/>
    <w:rsid w:val="00437C76"/>
    <w:rsid w:val="004402A3"/>
    <w:rsid w:val="00440402"/>
    <w:rsid w:val="004405AE"/>
    <w:rsid w:val="00440970"/>
    <w:rsid w:val="00440A08"/>
    <w:rsid w:val="00440A40"/>
    <w:rsid w:val="004410F7"/>
    <w:rsid w:val="0044141E"/>
    <w:rsid w:val="00441429"/>
    <w:rsid w:val="004414C8"/>
    <w:rsid w:val="0044153E"/>
    <w:rsid w:val="00441602"/>
    <w:rsid w:val="0044168B"/>
    <w:rsid w:val="00441884"/>
    <w:rsid w:val="00441BE9"/>
    <w:rsid w:val="00442471"/>
    <w:rsid w:val="004424BD"/>
    <w:rsid w:val="004424C0"/>
    <w:rsid w:val="004425F7"/>
    <w:rsid w:val="00442C3D"/>
    <w:rsid w:val="00442ED7"/>
    <w:rsid w:val="004432DE"/>
    <w:rsid w:val="0044343A"/>
    <w:rsid w:val="00443452"/>
    <w:rsid w:val="004434F9"/>
    <w:rsid w:val="00443666"/>
    <w:rsid w:val="0044377E"/>
    <w:rsid w:val="004437E3"/>
    <w:rsid w:val="0044383B"/>
    <w:rsid w:val="00443CC1"/>
    <w:rsid w:val="00444330"/>
    <w:rsid w:val="0044438F"/>
    <w:rsid w:val="0044439B"/>
    <w:rsid w:val="004446D8"/>
    <w:rsid w:val="0044473F"/>
    <w:rsid w:val="00444D77"/>
    <w:rsid w:val="00445004"/>
    <w:rsid w:val="004452DE"/>
    <w:rsid w:val="00445608"/>
    <w:rsid w:val="00445E1A"/>
    <w:rsid w:val="00445FFE"/>
    <w:rsid w:val="00446194"/>
    <w:rsid w:val="0044673E"/>
    <w:rsid w:val="00446749"/>
    <w:rsid w:val="00446816"/>
    <w:rsid w:val="004468DC"/>
    <w:rsid w:val="00446A57"/>
    <w:rsid w:val="00446AAC"/>
    <w:rsid w:val="00446BA5"/>
    <w:rsid w:val="00446CB3"/>
    <w:rsid w:val="0044704E"/>
    <w:rsid w:val="004470B1"/>
    <w:rsid w:val="0044744F"/>
    <w:rsid w:val="00447636"/>
    <w:rsid w:val="0044778F"/>
    <w:rsid w:val="0044792B"/>
    <w:rsid w:val="004507C5"/>
    <w:rsid w:val="004508BB"/>
    <w:rsid w:val="004508FC"/>
    <w:rsid w:val="0045096F"/>
    <w:rsid w:val="0045099D"/>
    <w:rsid w:val="00450D83"/>
    <w:rsid w:val="00450D8A"/>
    <w:rsid w:val="00451183"/>
    <w:rsid w:val="004512E7"/>
    <w:rsid w:val="00451353"/>
    <w:rsid w:val="00451503"/>
    <w:rsid w:val="004519F5"/>
    <w:rsid w:val="00451ABF"/>
    <w:rsid w:val="00451B4F"/>
    <w:rsid w:val="00451DE1"/>
    <w:rsid w:val="00451FFB"/>
    <w:rsid w:val="00452101"/>
    <w:rsid w:val="004521FD"/>
    <w:rsid w:val="00452359"/>
    <w:rsid w:val="004523B4"/>
    <w:rsid w:val="004528DE"/>
    <w:rsid w:val="00452B99"/>
    <w:rsid w:val="00452DBA"/>
    <w:rsid w:val="00452F49"/>
    <w:rsid w:val="0045322B"/>
    <w:rsid w:val="00453356"/>
    <w:rsid w:val="00453441"/>
    <w:rsid w:val="004536BE"/>
    <w:rsid w:val="00453AA6"/>
    <w:rsid w:val="00453D59"/>
    <w:rsid w:val="00453DA0"/>
    <w:rsid w:val="00453E1D"/>
    <w:rsid w:val="00453F78"/>
    <w:rsid w:val="004541C3"/>
    <w:rsid w:val="0045427F"/>
    <w:rsid w:val="0045436B"/>
    <w:rsid w:val="0045441A"/>
    <w:rsid w:val="004544F6"/>
    <w:rsid w:val="00454946"/>
    <w:rsid w:val="00454E55"/>
    <w:rsid w:val="004550ED"/>
    <w:rsid w:val="0045555E"/>
    <w:rsid w:val="0045564B"/>
    <w:rsid w:val="00455727"/>
    <w:rsid w:val="0045584D"/>
    <w:rsid w:val="00455B1B"/>
    <w:rsid w:val="00455D3E"/>
    <w:rsid w:val="00455E52"/>
    <w:rsid w:val="00455E85"/>
    <w:rsid w:val="00455EC8"/>
    <w:rsid w:val="00456029"/>
    <w:rsid w:val="00456217"/>
    <w:rsid w:val="00456324"/>
    <w:rsid w:val="00456797"/>
    <w:rsid w:val="0045694D"/>
    <w:rsid w:val="00456984"/>
    <w:rsid w:val="00456ED3"/>
    <w:rsid w:val="0045718F"/>
    <w:rsid w:val="00457751"/>
    <w:rsid w:val="00457949"/>
    <w:rsid w:val="00457AF3"/>
    <w:rsid w:val="00457C16"/>
    <w:rsid w:val="00457D9D"/>
    <w:rsid w:val="004601EC"/>
    <w:rsid w:val="004601F5"/>
    <w:rsid w:val="004602F0"/>
    <w:rsid w:val="00460497"/>
    <w:rsid w:val="0046050A"/>
    <w:rsid w:val="00460510"/>
    <w:rsid w:val="004606FA"/>
    <w:rsid w:val="00460933"/>
    <w:rsid w:val="00460AED"/>
    <w:rsid w:val="00461F7C"/>
    <w:rsid w:val="0046204A"/>
    <w:rsid w:val="00462054"/>
    <w:rsid w:val="0046220E"/>
    <w:rsid w:val="004624A6"/>
    <w:rsid w:val="004628DC"/>
    <w:rsid w:val="00462914"/>
    <w:rsid w:val="00462B5A"/>
    <w:rsid w:val="00462F6C"/>
    <w:rsid w:val="00462F9E"/>
    <w:rsid w:val="004635A6"/>
    <w:rsid w:val="00463A2A"/>
    <w:rsid w:val="00463A79"/>
    <w:rsid w:val="00463D69"/>
    <w:rsid w:val="00463F00"/>
    <w:rsid w:val="004642C6"/>
    <w:rsid w:val="0046439A"/>
    <w:rsid w:val="004643BE"/>
    <w:rsid w:val="004645C6"/>
    <w:rsid w:val="00464BD1"/>
    <w:rsid w:val="00464C18"/>
    <w:rsid w:val="00464CBF"/>
    <w:rsid w:val="00464D27"/>
    <w:rsid w:val="00465128"/>
    <w:rsid w:val="00465197"/>
    <w:rsid w:val="00465326"/>
    <w:rsid w:val="004654F8"/>
    <w:rsid w:val="00465EA6"/>
    <w:rsid w:val="0046601A"/>
    <w:rsid w:val="004660C6"/>
    <w:rsid w:val="004660C7"/>
    <w:rsid w:val="00466739"/>
    <w:rsid w:val="00466B5D"/>
    <w:rsid w:val="00466DB5"/>
    <w:rsid w:val="00466ECC"/>
    <w:rsid w:val="004670E3"/>
    <w:rsid w:val="004671F4"/>
    <w:rsid w:val="00467319"/>
    <w:rsid w:val="0046735C"/>
    <w:rsid w:val="00467684"/>
    <w:rsid w:val="00467A1F"/>
    <w:rsid w:val="00467A3F"/>
    <w:rsid w:val="00467AE1"/>
    <w:rsid w:val="00467C0F"/>
    <w:rsid w:val="00467C4E"/>
    <w:rsid w:val="0047003E"/>
    <w:rsid w:val="00470462"/>
    <w:rsid w:val="00470555"/>
    <w:rsid w:val="004707FF"/>
    <w:rsid w:val="00470965"/>
    <w:rsid w:val="00470B8B"/>
    <w:rsid w:val="00470CA8"/>
    <w:rsid w:val="004710A2"/>
    <w:rsid w:val="00471720"/>
    <w:rsid w:val="0047194D"/>
    <w:rsid w:val="00471A50"/>
    <w:rsid w:val="00471BBD"/>
    <w:rsid w:val="00471BE9"/>
    <w:rsid w:val="00471CAF"/>
    <w:rsid w:val="00471D6F"/>
    <w:rsid w:val="00471DCE"/>
    <w:rsid w:val="00471EFB"/>
    <w:rsid w:val="004721BC"/>
    <w:rsid w:val="0047227E"/>
    <w:rsid w:val="00472421"/>
    <w:rsid w:val="00472558"/>
    <w:rsid w:val="004728A2"/>
    <w:rsid w:val="004729EF"/>
    <w:rsid w:val="00472CC1"/>
    <w:rsid w:val="00472F05"/>
    <w:rsid w:val="00473794"/>
    <w:rsid w:val="00473828"/>
    <w:rsid w:val="00473BB8"/>
    <w:rsid w:val="00473C52"/>
    <w:rsid w:val="00473D94"/>
    <w:rsid w:val="00474062"/>
    <w:rsid w:val="00474114"/>
    <w:rsid w:val="00474115"/>
    <w:rsid w:val="004741B7"/>
    <w:rsid w:val="00474209"/>
    <w:rsid w:val="00474317"/>
    <w:rsid w:val="00474645"/>
    <w:rsid w:val="00474952"/>
    <w:rsid w:val="00474D8F"/>
    <w:rsid w:val="0047538B"/>
    <w:rsid w:val="00475495"/>
    <w:rsid w:val="0047556F"/>
    <w:rsid w:val="004755E6"/>
    <w:rsid w:val="004759D5"/>
    <w:rsid w:val="00475D0E"/>
    <w:rsid w:val="00475D89"/>
    <w:rsid w:val="00476432"/>
    <w:rsid w:val="00476489"/>
    <w:rsid w:val="004765D8"/>
    <w:rsid w:val="004765FE"/>
    <w:rsid w:val="00476619"/>
    <w:rsid w:val="004772D0"/>
    <w:rsid w:val="00477400"/>
    <w:rsid w:val="00477509"/>
    <w:rsid w:val="0047766B"/>
    <w:rsid w:val="00477A1C"/>
    <w:rsid w:val="00477D07"/>
    <w:rsid w:val="00477F8E"/>
    <w:rsid w:val="00480647"/>
    <w:rsid w:val="0048078F"/>
    <w:rsid w:val="004808DE"/>
    <w:rsid w:val="00480BE7"/>
    <w:rsid w:val="00480CA4"/>
    <w:rsid w:val="004813C7"/>
    <w:rsid w:val="00481900"/>
    <w:rsid w:val="00481A70"/>
    <w:rsid w:val="00481D04"/>
    <w:rsid w:val="00481F70"/>
    <w:rsid w:val="0048224D"/>
    <w:rsid w:val="0048231A"/>
    <w:rsid w:val="004824F6"/>
    <w:rsid w:val="0048277F"/>
    <w:rsid w:val="004827BF"/>
    <w:rsid w:val="004828A3"/>
    <w:rsid w:val="004828BB"/>
    <w:rsid w:val="00482D73"/>
    <w:rsid w:val="00483155"/>
    <w:rsid w:val="0048332D"/>
    <w:rsid w:val="004833F6"/>
    <w:rsid w:val="00483709"/>
    <w:rsid w:val="00483849"/>
    <w:rsid w:val="00483BD7"/>
    <w:rsid w:val="00483EE5"/>
    <w:rsid w:val="0048400D"/>
    <w:rsid w:val="0048436A"/>
    <w:rsid w:val="00484398"/>
    <w:rsid w:val="004844B6"/>
    <w:rsid w:val="00484660"/>
    <w:rsid w:val="00484C48"/>
    <w:rsid w:val="00484ED6"/>
    <w:rsid w:val="0048521C"/>
    <w:rsid w:val="00485561"/>
    <w:rsid w:val="004857F6"/>
    <w:rsid w:val="004858E0"/>
    <w:rsid w:val="004859BB"/>
    <w:rsid w:val="00485D32"/>
    <w:rsid w:val="00485F81"/>
    <w:rsid w:val="00486085"/>
    <w:rsid w:val="004865A6"/>
    <w:rsid w:val="004866C9"/>
    <w:rsid w:val="004866D6"/>
    <w:rsid w:val="004867DA"/>
    <w:rsid w:val="00486895"/>
    <w:rsid w:val="00486973"/>
    <w:rsid w:val="00486B7C"/>
    <w:rsid w:val="00486D14"/>
    <w:rsid w:val="00486F03"/>
    <w:rsid w:val="00487047"/>
    <w:rsid w:val="004876D2"/>
    <w:rsid w:val="00487847"/>
    <w:rsid w:val="004879F4"/>
    <w:rsid w:val="00487A10"/>
    <w:rsid w:val="00487DC8"/>
    <w:rsid w:val="00490008"/>
    <w:rsid w:val="00490404"/>
    <w:rsid w:val="00490468"/>
    <w:rsid w:val="0049067F"/>
    <w:rsid w:val="004907A6"/>
    <w:rsid w:val="00490854"/>
    <w:rsid w:val="00490BC5"/>
    <w:rsid w:val="00490D23"/>
    <w:rsid w:val="00490D7D"/>
    <w:rsid w:val="00490D9E"/>
    <w:rsid w:val="00491184"/>
    <w:rsid w:val="00491274"/>
    <w:rsid w:val="00491335"/>
    <w:rsid w:val="004914EC"/>
    <w:rsid w:val="00491F2F"/>
    <w:rsid w:val="004921C0"/>
    <w:rsid w:val="004922F4"/>
    <w:rsid w:val="00492554"/>
    <w:rsid w:val="004929A5"/>
    <w:rsid w:val="00492A0F"/>
    <w:rsid w:val="00492EE8"/>
    <w:rsid w:val="00492FEF"/>
    <w:rsid w:val="00493252"/>
    <w:rsid w:val="0049337B"/>
    <w:rsid w:val="00493396"/>
    <w:rsid w:val="00493663"/>
    <w:rsid w:val="00493E5A"/>
    <w:rsid w:val="004948AB"/>
    <w:rsid w:val="0049495A"/>
    <w:rsid w:val="0049499E"/>
    <w:rsid w:val="00494A45"/>
    <w:rsid w:val="00494A78"/>
    <w:rsid w:val="00494FAD"/>
    <w:rsid w:val="00495200"/>
    <w:rsid w:val="0049597A"/>
    <w:rsid w:val="00495A5D"/>
    <w:rsid w:val="00495B28"/>
    <w:rsid w:val="00495EFC"/>
    <w:rsid w:val="00495F3E"/>
    <w:rsid w:val="00495F6A"/>
    <w:rsid w:val="00496030"/>
    <w:rsid w:val="004960B6"/>
    <w:rsid w:val="00496218"/>
    <w:rsid w:val="00496777"/>
    <w:rsid w:val="00496DD2"/>
    <w:rsid w:val="00496EC2"/>
    <w:rsid w:val="00496FF5"/>
    <w:rsid w:val="0049702C"/>
    <w:rsid w:val="004970DC"/>
    <w:rsid w:val="004974F9"/>
    <w:rsid w:val="004979F5"/>
    <w:rsid w:val="00497A4B"/>
    <w:rsid w:val="004A01AB"/>
    <w:rsid w:val="004A0597"/>
    <w:rsid w:val="004A05CF"/>
    <w:rsid w:val="004A064C"/>
    <w:rsid w:val="004A06E4"/>
    <w:rsid w:val="004A072E"/>
    <w:rsid w:val="004A0781"/>
    <w:rsid w:val="004A0C21"/>
    <w:rsid w:val="004A0C59"/>
    <w:rsid w:val="004A0CB2"/>
    <w:rsid w:val="004A11AD"/>
    <w:rsid w:val="004A18C1"/>
    <w:rsid w:val="004A18F4"/>
    <w:rsid w:val="004A197E"/>
    <w:rsid w:val="004A1A8C"/>
    <w:rsid w:val="004A1B22"/>
    <w:rsid w:val="004A1B6E"/>
    <w:rsid w:val="004A1C5A"/>
    <w:rsid w:val="004A1C64"/>
    <w:rsid w:val="004A1D51"/>
    <w:rsid w:val="004A2010"/>
    <w:rsid w:val="004A21D6"/>
    <w:rsid w:val="004A2304"/>
    <w:rsid w:val="004A245A"/>
    <w:rsid w:val="004A2A24"/>
    <w:rsid w:val="004A2A26"/>
    <w:rsid w:val="004A2C87"/>
    <w:rsid w:val="004A2F49"/>
    <w:rsid w:val="004A3231"/>
    <w:rsid w:val="004A33A0"/>
    <w:rsid w:val="004A3622"/>
    <w:rsid w:val="004A3B33"/>
    <w:rsid w:val="004A3DFF"/>
    <w:rsid w:val="004A3F95"/>
    <w:rsid w:val="004A4220"/>
    <w:rsid w:val="004A43A9"/>
    <w:rsid w:val="004A459D"/>
    <w:rsid w:val="004A465D"/>
    <w:rsid w:val="004A4783"/>
    <w:rsid w:val="004A4797"/>
    <w:rsid w:val="004A48B4"/>
    <w:rsid w:val="004A48D5"/>
    <w:rsid w:val="004A4A5C"/>
    <w:rsid w:val="004A4D2A"/>
    <w:rsid w:val="004A4F4E"/>
    <w:rsid w:val="004A4FB8"/>
    <w:rsid w:val="004A4FD3"/>
    <w:rsid w:val="004A5699"/>
    <w:rsid w:val="004A59A9"/>
    <w:rsid w:val="004A5F57"/>
    <w:rsid w:val="004A6422"/>
    <w:rsid w:val="004A65E9"/>
    <w:rsid w:val="004A67DE"/>
    <w:rsid w:val="004A6E42"/>
    <w:rsid w:val="004A6F27"/>
    <w:rsid w:val="004A713F"/>
    <w:rsid w:val="004A7387"/>
    <w:rsid w:val="004A7448"/>
    <w:rsid w:val="004A787F"/>
    <w:rsid w:val="004A788F"/>
    <w:rsid w:val="004A7941"/>
    <w:rsid w:val="004A7C94"/>
    <w:rsid w:val="004B0178"/>
    <w:rsid w:val="004B06BD"/>
    <w:rsid w:val="004B0951"/>
    <w:rsid w:val="004B1192"/>
    <w:rsid w:val="004B13BE"/>
    <w:rsid w:val="004B1470"/>
    <w:rsid w:val="004B1A12"/>
    <w:rsid w:val="004B2466"/>
    <w:rsid w:val="004B2576"/>
    <w:rsid w:val="004B259D"/>
    <w:rsid w:val="004B27A7"/>
    <w:rsid w:val="004B2856"/>
    <w:rsid w:val="004B2AB0"/>
    <w:rsid w:val="004B2D25"/>
    <w:rsid w:val="004B2DE4"/>
    <w:rsid w:val="004B2EAE"/>
    <w:rsid w:val="004B306C"/>
    <w:rsid w:val="004B31B9"/>
    <w:rsid w:val="004B31C2"/>
    <w:rsid w:val="004B356C"/>
    <w:rsid w:val="004B35D5"/>
    <w:rsid w:val="004B37DA"/>
    <w:rsid w:val="004B3CF7"/>
    <w:rsid w:val="004B3DAD"/>
    <w:rsid w:val="004B3E3D"/>
    <w:rsid w:val="004B3F77"/>
    <w:rsid w:val="004B418F"/>
    <w:rsid w:val="004B4A2E"/>
    <w:rsid w:val="004B50B7"/>
    <w:rsid w:val="004B52B9"/>
    <w:rsid w:val="004B5695"/>
    <w:rsid w:val="004B59A7"/>
    <w:rsid w:val="004B5D8F"/>
    <w:rsid w:val="004B5FB4"/>
    <w:rsid w:val="004B609A"/>
    <w:rsid w:val="004B6415"/>
    <w:rsid w:val="004B6453"/>
    <w:rsid w:val="004B6712"/>
    <w:rsid w:val="004B681D"/>
    <w:rsid w:val="004B6AD9"/>
    <w:rsid w:val="004B6BB5"/>
    <w:rsid w:val="004B6C64"/>
    <w:rsid w:val="004B6F06"/>
    <w:rsid w:val="004B7367"/>
    <w:rsid w:val="004B756F"/>
    <w:rsid w:val="004B77CC"/>
    <w:rsid w:val="004B78B5"/>
    <w:rsid w:val="004B7A23"/>
    <w:rsid w:val="004B7A46"/>
    <w:rsid w:val="004B7AB9"/>
    <w:rsid w:val="004B7B76"/>
    <w:rsid w:val="004B7DE5"/>
    <w:rsid w:val="004C006D"/>
    <w:rsid w:val="004C016C"/>
    <w:rsid w:val="004C02A5"/>
    <w:rsid w:val="004C091E"/>
    <w:rsid w:val="004C0D2E"/>
    <w:rsid w:val="004C1048"/>
    <w:rsid w:val="004C1240"/>
    <w:rsid w:val="004C1E83"/>
    <w:rsid w:val="004C1EB3"/>
    <w:rsid w:val="004C2077"/>
    <w:rsid w:val="004C23E4"/>
    <w:rsid w:val="004C282A"/>
    <w:rsid w:val="004C2A8E"/>
    <w:rsid w:val="004C2B5E"/>
    <w:rsid w:val="004C2BB9"/>
    <w:rsid w:val="004C2C8F"/>
    <w:rsid w:val="004C2D4D"/>
    <w:rsid w:val="004C2FE8"/>
    <w:rsid w:val="004C3469"/>
    <w:rsid w:val="004C36F6"/>
    <w:rsid w:val="004C39F2"/>
    <w:rsid w:val="004C3A0F"/>
    <w:rsid w:val="004C3A9A"/>
    <w:rsid w:val="004C3C28"/>
    <w:rsid w:val="004C3D47"/>
    <w:rsid w:val="004C3E5F"/>
    <w:rsid w:val="004C4427"/>
    <w:rsid w:val="004C4463"/>
    <w:rsid w:val="004C447D"/>
    <w:rsid w:val="004C4511"/>
    <w:rsid w:val="004C50A0"/>
    <w:rsid w:val="004C584E"/>
    <w:rsid w:val="004C59A5"/>
    <w:rsid w:val="004C5A01"/>
    <w:rsid w:val="004C5DB7"/>
    <w:rsid w:val="004C6286"/>
    <w:rsid w:val="004C6443"/>
    <w:rsid w:val="004C78B2"/>
    <w:rsid w:val="004C7920"/>
    <w:rsid w:val="004D00ED"/>
    <w:rsid w:val="004D0470"/>
    <w:rsid w:val="004D0A99"/>
    <w:rsid w:val="004D0AB5"/>
    <w:rsid w:val="004D0BF8"/>
    <w:rsid w:val="004D0DF1"/>
    <w:rsid w:val="004D0E4D"/>
    <w:rsid w:val="004D1119"/>
    <w:rsid w:val="004D1605"/>
    <w:rsid w:val="004D2138"/>
    <w:rsid w:val="004D21CB"/>
    <w:rsid w:val="004D2261"/>
    <w:rsid w:val="004D2561"/>
    <w:rsid w:val="004D2580"/>
    <w:rsid w:val="004D27F6"/>
    <w:rsid w:val="004D2870"/>
    <w:rsid w:val="004D2878"/>
    <w:rsid w:val="004D31AB"/>
    <w:rsid w:val="004D354B"/>
    <w:rsid w:val="004D3882"/>
    <w:rsid w:val="004D38D0"/>
    <w:rsid w:val="004D39D1"/>
    <w:rsid w:val="004D3B82"/>
    <w:rsid w:val="004D3FA0"/>
    <w:rsid w:val="004D42B6"/>
    <w:rsid w:val="004D4369"/>
    <w:rsid w:val="004D4EB2"/>
    <w:rsid w:val="004D4F1B"/>
    <w:rsid w:val="004D526D"/>
    <w:rsid w:val="004D5379"/>
    <w:rsid w:val="004D53E7"/>
    <w:rsid w:val="004D556E"/>
    <w:rsid w:val="004D562A"/>
    <w:rsid w:val="004D5730"/>
    <w:rsid w:val="004D58D9"/>
    <w:rsid w:val="004D59BE"/>
    <w:rsid w:val="004D5C8D"/>
    <w:rsid w:val="004D6067"/>
    <w:rsid w:val="004D68AF"/>
    <w:rsid w:val="004D694D"/>
    <w:rsid w:val="004D6A50"/>
    <w:rsid w:val="004D6A9D"/>
    <w:rsid w:val="004D6AAC"/>
    <w:rsid w:val="004D6D43"/>
    <w:rsid w:val="004D6FD1"/>
    <w:rsid w:val="004D7049"/>
    <w:rsid w:val="004D7124"/>
    <w:rsid w:val="004D7132"/>
    <w:rsid w:val="004D76E4"/>
    <w:rsid w:val="004D7885"/>
    <w:rsid w:val="004D7911"/>
    <w:rsid w:val="004D7F05"/>
    <w:rsid w:val="004E0A48"/>
    <w:rsid w:val="004E0ACC"/>
    <w:rsid w:val="004E0BBA"/>
    <w:rsid w:val="004E0CBA"/>
    <w:rsid w:val="004E0D2B"/>
    <w:rsid w:val="004E144A"/>
    <w:rsid w:val="004E165D"/>
    <w:rsid w:val="004E181F"/>
    <w:rsid w:val="004E1839"/>
    <w:rsid w:val="004E1B2B"/>
    <w:rsid w:val="004E1F7A"/>
    <w:rsid w:val="004E207A"/>
    <w:rsid w:val="004E25E5"/>
    <w:rsid w:val="004E2812"/>
    <w:rsid w:val="004E2822"/>
    <w:rsid w:val="004E2A72"/>
    <w:rsid w:val="004E2BA6"/>
    <w:rsid w:val="004E2E77"/>
    <w:rsid w:val="004E3336"/>
    <w:rsid w:val="004E3411"/>
    <w:rsid w:val="004E3530"/>
    <w:rsid w:val="004E3616"/>
    <w:rsid w:val="004E3704"/>
    <w:rsid w:val="004E393E"/>
    <w:rsid w:val="004E399D"/>
    <w:rsid w:val="004E3B6F"/>
    <w:rsid w:val="004E3BEA"/>
    <w:rsid w:val="004E3D3D"/>
    <w:rsid w:val="004E402B"/>
    <w:rsid w:val="004E4272"/>
    <w:rsid w:val="004E42FF"/>
    <w:rsid w:val="004E4445"/>
    <w:rsid w:val="004E45AB"/>
    <w:rsid w:val="004E46D5"/>
    <w:rsid w:val="004E4999"/>
    <w:rsid w:val="004E4B9F"/>
    <w:rsid w:val="004E4DBC"/>
    <w:rsid w:val="004E4E32"/>
    <w:rsid w:val="004E4FAE"/>
    <w:rsid w:val="004E503C"/>
    <w:rsid w:val="004E5540"/>
    <w:rsid w:val="004E55A4"/>
    <w:rsid w:val="004E5D1A"/>
    <w:rsid w:val="004E60C5"/>
    <w:rsid w:val="004E63BC"/>
    <w:rsid w:val="004E6872"/>
    <w:rsid w:val="004E687B"/>
    <w:rsid w:val="004E6916"/>
    <w:rsid w:val="004E6C06"/>
    <w:rsid w:val="004E6D1D"/>
    <w:rsid w:val="004E6FC6"/>
    <w:rsid w:val="004E7017"/>
    <w:rsid w:val="004E75A8"/>
    <w:rsid w:val="004E79D6"/>
    <w:rsid w:val="004E7AF9"/>
    <w:rsid w:val="004E7F01"/>
    <w:rsid w:val="004E7F15"/>
    <w:rsid w:val="004F069C"/>
    <w:rsid w:val="004F0937"/>
    <w:rsid w:val="004F097C"/>
    <w:rsid w:val="004F099D"/>
    <w:rsid w:val="004F0B21"/>
    <w:rsid w:val="004F0BEF"/>
    <w:rsid w:val="004F0BF4"/>
    <w:rsid w:val="004F0E87"/>
    <w:rsid w:val="004F103B"/>
    <w:rsid w:val="004F117C"/>
    <w:rsid w:val="004F12B9"/>
    <w:rsid w:val="004F12ED"/>
    <w:rsid w:val="004F184C"/>
    <w:rsid w:val="004F1E5C"/>
    <w:rsid w:val="004F20EA"/>
    <w:rsid w:val="004F2257"/>
    <w:rsid w:val="004F22CC"/>
    <w:rsid w:val="004F25E3"/>
    <w:rsid w:val="004F25F9"/>
    <w:rsid w:val="004F2789"/>
    <w:rsid w:val="004F2BD2"/>
    <w:rsid w:val="004F2CE0"/>
    <w:rsid w:val="004F2DE4"/>
    <w:rsid w:val="004F2E07"/>
    <w:rsid w:val="004F304F"/>
    <w:rsid w:val="004F306D"/>
    <w:rsid w:val="004F30A7"/>
    <w:rsid w:val="004F34D4"/>
    <w:rsid w:val="004F34F8"/>
    <w:rsid w:val="004F353C"/>
    <w:rsid w:val="004F372D"/>
    <w:rsid w:val="004F38BA"/>
    <w:rsid w:val="004F3CAF"/>
    <w:rsid w:val="004F3EA2"/>
    <w:rsid w:val="004F3FC3"/>
    <w:rsid w:val="004F43E2"/>
    <w:rsid w:val="004F4446"/>
    <w:rsid w:val="004F4517"/>
    <w:rsid w:val="004F4587"/>
    <w:rsid w:val="004F48C0"/>
    <w:rsid w:val="004F4906"/>
    <w:rsid w:val="004F4965"/>
    <w:rsid w:val="004F4994"/>
    <w:rsid w:val="004F4C01"/>
    <w:rsid w:val="004F4E0E"/>
    <w:rsid w:val="004F4FD5"/>
    <w:rsid w:val="004F5126"/>
    <w:rsid w:val="004F51EF"/>
    <w:rsid w:val="004F536C"/>
    <w:rsid w:val="004F5387"/>
    <w:rsid w:val="004F54A0"/>
    <w:rsid w:val="004F54FF"/>
    <w:rsid w:val="004F5633"/>
    <w:rsid w:val="004F573B"/>
    <w:rsid w:val="004F599C"/>
    <w:rsid w:val="004F5A21"/>
    <w:rsid w:val="004F5FFC"/>
    <w:rsid w:val="004F6015"/>
    <w:rsid w:val="004F6156"/>
    <w:rsid w:val="004F622A"/>
    <w:rsid w:val="004F6693"/>
    <w:rsid w:val="004F6ACA"/>
    <w:rsid w:val="004F6C89"/>
    <w:rsid w:val="004F6DCC"/>
    <w:rsid w:val="004F716D"/>
    <w:rsid w:val="004F7AE9"/>
    <w:rsid w:val="004F7D1D"/>
    <w:rsid w:val="005002AE"/>
    <w:rsid w:val="005006B1"/>
    <w:rsid w:val="00500905"/>
    <w:rsid w:val="00500D7B"/>
    <w:rsid w:val="00500DE5"/>
    <w:rsid w:val="005012FC"/>
    <w:rsid w:val="0050146E"/>
    <w:rsid w:val="00501935"/>
    <w:rsid w:val="005019C6"/>
    <w:rsid w:val="00501CDD"/>
    <w:rsid w:val="00501D18"/>
    <w:rsid w:val="00501EBB"/>
    <w:rsid w:val="0050235D"/>
    <w:rsid w:val="00502600"/>
    <w:rsid w:val="0050274E"/>
    <w:rsid w:val="005029CB"/>
    <w:rsid w:val="005029EB"/>
    <w:rsid w:val="00502B94"/>
    <w:rsid w:val="00502C44"/>
    <w:rsid w:val="005033FF"/>
    <w:rsid w:val="005037C9"/>
    <w:rsid w:val="005038C1"/>
    <w:rsid w:val="00503F73"/>
    <w:rsid w:val="00503F9E"/>
    <w:rsid w:val="0050453C"/>
    <w:rsid w:val="00504724"/>
    <w:rsid w:val="005047D1"/>
    <w:rsid w:val="00504DBD"/>
    <w:rsid w:val="00504F24"/>
    <w:rsid w:val="00504FBE"/>
    <w:rsid w:val="0050568D"/>
    <w:rsid w:val="00505695"/>
    <w:rsid w:val="00505AC0"/>
    <w:rsid w:val="0050651E"/>
    <w:rsid w:val="00506B1B"/>
    <w:rsid w:val="00506DC5"/>
    <w:rsid w:val="00506FF8"/>
    <w:rsid w:val="0050714A"/>
    <w:rsid w:val="0050720D"/>
    <w:rsid w:val="00507368"/>
    <w:rsid w:val="00507409"/>
    <w:rsid w:val="005076AE"/>
    <w:rsid w:val="00507802"/>
    <w:rsid w:val="00507987"/>
    <w:rsid w:val="00510642"/>
    <w:rsid w:val="00510B86"/>
    <w:rsid w:val="00510B97"/>
    <w:rsid w:val="00510BC5"/>
    <w:rsid w:val="00510CD9"/>
    <w:rsid w:val="0051132F"/>
    <w:rsid w:val="005115ED"/>
    <w:rsid w:val="0051165C"/>
    <w:rsid w:val="00511759"/>
    <w:rsid w:val="00511950"/>
    <w:rsid w:val="00511B93"/>
    <w:rsid w:val="00511EB6"/>
    <w:rsid w:val="005127FC"/>
    <w:rsid w:val="00512B61"/>
    <w:rsid w:val="00512CB1"/>
    <w:rsid w:val="00512EA0"/>
    <w:rsid w:val="0051315F"/>
    <w:rsid w:val="005132CA"/>
    <w:rsid w:val="00513E88"/>
    <w:rsid w:val="0051441C"/>
    <w:rsid w:val="005146DC"/>
    <w:rsid w:val="00514D32"/>
    <w:rsid w:val="0051500A"/>
    <w:rsid w:val="00515111"/>
    <w:rsid w:val="00515268"/>
    <w:rsid w:val="005155ED"/>
    <w:rsid w:val="005156F8"/>
    <w:rsid w:val="0051589D"/>
    <w:rsid w:val="00515937"/>
    <w:rsid w:val="00515E32"/>
    <w:rsid w:val="00515F55"/>
    <w:rsid w:val="0051638F"/>
    <w:rsid w:val="00516794"/>
    <w:rsid w:val="00516AE5"/>
    <w:rsid w:val="00516EC2"/>
    <w:rsid w:val="00516F03"/>
    <w:rsid w:val="00516F9A"/>
    <w:rsid w:val="005174BB"/>
    <w:rsid w:val="0051777E"/>
    <w:rsid w:val="005179F5"/>
    <w:rsid w:val="00517A92"/>
    <w:rsid w:val="00517D55"/>
    <w:rsid w:val="00517F37"/>
    <w:rsid w:val="00520497"/>
    <w:rsid w:val="00520C20"/>
    <w:rsid w:val="00520EFB"/>
    <w:rsid w:val="00520FB2"/>
    <w:rsid w:val="005211D0"/>
    <w:rsid w:val="00521A81"/>
    <w:rsid w:val="00521EDF"/>
    <w:rsid w:val="00522051"/>
    <w:rsid w:val="00522176"/>
    <w:rsid w:val="005222A2"/>
    <w:rsid w:val="005222F8"/>
    <w:rsid w:val="005223D5"/>
    <w:rsid w:val="0052270F"/>
    <w:rsid w:val="00522A65"/>
    <w:rsid w:val="00522C7E"/>
    <w:rsid w:val="00522DB5"/>
    <w:rsid w:val="00522E3B"/>
    <w:rsid w:val="00523318"/>
    <w:rsid w:val="0052340B"/>
    <w:rsid w:val="00523548"/>
    <w:rsid w:val="00523587"/>
    <w:rsid w:val="005236D7"/>
    <w:rsid w:val="0052379D"/>
    <w:rsid w:val="0052384B"/>
    <w:rsid w:val="00524061"/>
    <w:rsid w:val="0052453B"/>
    <w:rsid w:val="005245E0"/>
    <w:rsid w:val="00524754"/>
    <w:rsid w:val="005253D9"/>
    <w:rsid w:val="0052543B"/>
    <w:rsid w:val="00525845"/>
    <w:rsid w:val="005258B7"/>
    <w:rsid w:val="005258CC"/>
    <w:rsid w:val="00525B35"/>
    <w:rsid w:val="00525B95"/>
    <w:rsid w:val="00525C85"/>
    <w:rsid w:val="00525D3D"/>
    <w:rsid w:val="00525FF3"/>
    <w:rsid w:val="00526021"/>
    <w:rsid w:val="005260B0"/>
    <w:rsid w:val="005262B1"/>
    <w:rsid w:val="00526330"/>
    <w:rsid w:val="00526375"/>
    <w:rsid w:val="00526512"/>
    <w:rsid w:val="005266A3"/>
    <w:rsid w:val="00526745"/>
    <w:rsid w:val="00526CFC"/>
    <w:rsid w:val="00527365"/>
    <w:rsid w:val="0052739D"/>
    <w:rsid w:val="00527B92"/>
    <w:rsid w:val="00527E66"/>
    <w:rsid w:val="00530111"/>
    <w:rsid w:val="00530246"/>
    <w:rsid w:val="00530469"/>
    <w:rsid w:val="00530603"/>
    <w:rsid w:val="0053061E"/>
    <w:rsid w:val="00530B2B"/>
    <w:rsid w:val="00530B98"/>
    <w:rsid w:val="00530C14"/>
    <w:rsid w:val="00530E0B"/>
    <w:rsid w:val="00531252"/>
    <w:rsid w:val="00531339"/>
    <w:rsid w:val="005315CB"/>
    <w:rsid w:val="00531801"/>
    <w:rsid w:val="00531898"/>
    <w:rsid w:val="00531ED6"/>
    <w:rsid w:val="005323A6"/>
    <w:rsid w:val="0053263A"/>
    <w:rsid w:val="00532656"/>
    <w:rsid w:val="005326D6"/>
    <w:rsid w:val="00532B70"/>
    <w:rsid w:val="00532C0A"/>
    <w:rsid w:val="00532C20"/>
    <w:rsid w:val="00532D46"/>
    <w:rsid w:val="00532D61"/>
    <w:rsid w:val="00532F3C"/>
    <w:rsid w:val="00532F78"/>
    <w:rsid w:val="00532FB1"/>
    <w:rsid w:val="005331FE"/>
    <w:rsid w:val="005337BD"/>
    <w:rsid w:val="005337C6"/>
    <w:rsid w:val="0053382B"/>
    <w:rsid w:val="005339A2"/>
    <w:rsid w:val="00533A3E"/>
    <w:rsid w:val="00533D02"/>
    <w:rsid w:val="00533D4D"/>
    <w:rsid w:val="0053415E"/>
    <w:rsid w:val="005342A2"/>
    <w:rsid w:val="005343F1"/>
    <w:rsid w:val="00534611"/>
    <w:rsid w:val="005346A8"/>
    <w:rsid w:val="00534CEB"/>
    <w:rsid w:val="005351AB"/>
    <w:rsid w:val="005352C3"/>
    <w:rsid w:val="00535698"/>
    <w:rsid w:val="00535949"/>
    <w:rsid w:val="00535E49"/>
    <w:rsid w:val="00536058"/>
    <w:rsid w:val="005360EF"/>
    <w:rsid w:val="0053640D"/>
    <w:rsid w:val="0053650B"/>
    <w:rsid w:val="005367A2"/>
    <w:rsid w:val="00536B43"/>
    <w:rsid w:val="00536BF5"/>
    <w:rsid w:val="00536F45"/>
    <w:rsid w:val="0053707F"/>
    <w:rsid w:val="0053753D"/>
    <w:rsid w:val="005378BF"/>
    <w:rsid w:val="00537977"/>
    <w:rsid w:val="00537BB0"/>
    <w:rsid w:val="00537BFF"/>
    <w:rsid w:val="00537E54"/>
    <w:rsid w:val="00540009"/>
    <w:rsid w:val="005401A8"/>
    <w:rsid w:val="005403D3"/>
    <w:rsid w:val="0054041F"/>
    <w:rsid w:val="00540575"/>
    <w:rsid w:val="0054068B"/>
    <w:rsid w:val="00540970"/>
    <w:rsid w:val="00540BCA"/>
    <w:rsid w:val="00540F3B"/>
    <w:rsid w:val="0054102F"/>
    <w:rsid w:val="005414CF"/>
    <w:rsid w:val="00541529"/>
    <w:rsid w:val="00541567"/>
    <w:rsid w:val="00541B01"/>
    <w:rsid w:val="00541BCE"/>
    <w:rsid w:val="00541D52"/>
    <w:rsid w:val="00541FBF"/>
    <w:rsid w:val="005421C0"/>
    <w:rsid w:val="005421E9"/>
    <w:rsid w:val="00542420"/>
    <w:rsid w:val="005427E4"/>
    <w:rsid w:val="00543327"/>
    <w:rsid w:val="005433C6"/>
    <w:rsid w:val="005436D4"/>
    <w:rsid w:val="005441F2"/>
    <w:rsid w:val="00544297"/>
    <w:rsid w:val="005445D7"/>
    <w:rsid w:val="005449CF"/>
    <w:rsid w:val="00544D30"/>
    <w:rsid w:val="00544ED5"/>
    <w:rsid w:val="00544F63"/>
    <w:rsid w:val="005453D8"/>
    <w:rsid w:val="005454AD"/>
    <w:rsid w:val="005454F5"/>
    <w:rsid w:val="00545789"/>
    <w:rsid w:val="00545F31"/>
    <w:rsid w:val="00546353"/>
    <w:rsid w:val="00546512"/>
    <w:rsid w:val="005467A5"/>
    <w:rsid w:val="005469FD"/>
    <w:rsid w:val="00547395"/>
    <w:rsid w:val="00547569"/>
    <w:rsid w:val="0054795F"/>
    <w:rsid w:val="00547A49"/>
    <w:rsid w:val="00547E19"/>
    <w:rsid w:val="00547EC8"/>
    <w:rsid w:val="0055017B"/>
    <w:rsid w:val="00550843"/>
    <w:rsid w:val="00550A8D"/>
    <w:rsid w:val="00550D1B"/>
    <w:rsid w:val="00551477"/>
    <w:rsid w:val="005516B3"/>
    <w:rsid w:val="0055182D"/>
    <w:rsid w:val="00551A53"/>
    <w:rsid w:val="00551A84"/>
    <w:rsid w:val="00551BE3"/>
    <w:rsid w:val="00551C45"/>
    <w:rsid w:val="00551D86"/>
    <w:rsid w:val="00551D97"/>
    <w:rsid w:val="0055216A"/>
    <w:rsid w:val="0055218F"/>
    <w:rsid w:val="00552878"/>
    <w:rsid w:val="00552949"/>
    <w:rsid w:val="00552D25"/>
    <w:rsid w:val="005530C2"/>
    <w:rsid w:val="005533D8"/>
    <w:rsid w:val="005535BA"/>
    <w:rsid w:val="005536F0"/>
    <w:rsid w:val="00553984"/>
    <w:rsid w:val="005539FF"/>
    <w:rsid w:val="00553A2C"/>
    <w:rsid w:val="00553B9A"/>
    <w:rsid w:val="00553DB1"/>
    <w:rsid w:val="00553DF8"/>
    <w:rsid w:val="00554670"/>
    <w:rsid w:val="005547C0"/>
    <w:rsid w:val="00554C2E"/>
    <w:rsid w:val="00554F4E"/>
    <w:rsid w:val="00554FB9"/>
    <w:rsid w:val="00555072"/>
    <w:rsid w:val="00555533"/>
    <w:rsid w:val="0055553C"/>
    <w:rsid w:val="005555A9"/>
    <w:rsid w:val="0055576B"/>
    <w:rsid w:val="00555FBA"/>
    <w:rsid w:val="00556442"/>
    <w:rsid w:val="00556A23"/>
    <w:rsid w:val="00556BE5"/>
    <w:rsid w:val="00556F2F"/>
    <w:rsid w:val="00557212"/>
    <w:rsid w:val="0055749F"/>
    <w:rsid w:val="0055770B"/>
    <w:rsid w:val="005578C7"/>
    <w:rsid w:val="00557A00"/>
    <w:rsid w:val="00557B9E"/>
    <w:rsid w:val="00557F21"/>
    <w:rsid w:val="00560573"/>
    <w:rsid w:val="00560598"/>
    <w:rsid w:val="005605BA"/>
    <w:rsid w:val="00560675"/>
    <w:rsid w:val="0056069B"/>
    <w:rsid w:val="005607D0"/>
    <w:rsid w:val="00560CAB"/>
    <w:rsid w:val="00560EBC"/>
    <w:rsid w:val="005611A8"/>
    <w:rsid w:val="00561929"/>
    <w:rsid w:val="00561C52"/>
    <w:rsid w:val="00561C7A"/>
    <w:rsid w:val="00562268"/>
    <w:rsid w:val="0056245C"/>
    <w:rsid w:val="005628A4"/>
    <w:rsid w:val="0056299B"/>
    <w:rsid w:val="00562AC9"/>
    <w:rsid w:val="00562C84"/>
    <w:rsid w:val="00562F07"/>
    <w:rsid w:val="0056331B"/>
    <w:rsid w:val="0056331D"/>
    <w:rsid w:val="0056372E"/>
    <w:rsid w:val="005639A6"/>
    <w:rsid w:val="00563ACE"/>
    <w:rsid w:val="00563BEC"/>
    <w:rsid w:val="00563CDE"/>
    <w:rsid w:val="00563CEF"/>
    <w:rsid w:val="00563F60"/>
    <w:rsid w:val="0056423C"/>
    <w:rsid w:val="00564530"/>
    <w:rsid w:val="0056464D"/>
    <w:rsid w:val="0056476D"/>
    <w:rsid w:val="00564C23"/>
    <w:rsid w:val="00564DC9"/>
    <w:rsid w:val="0056546A"/>
    <w:rsid w:val="00565C82"/>
    <w:rsid w:val="00565D75"/>
    <w:rsid w:val="005660CE"/>
    <w:rsid w:val="00566BDD"/>
    <w:rsid w:val="00566E00"/>
    <w:rsid w:val="00566E63"/>
    <w:rsid w:val="00567001"/>
    <w:rsid w:val="005670A2"/>
    <w:rsid w:val="0056713F"/>
    <w:rsid w:val="0056728B"/>
    <w:rsid w:val="00567299"/>
    <w:rsid w:val="005675BB"/>
    <w:rsid w:val="0056774A"/>
    <w:rsid w:val="00567C6B"/>
    <w:rsid w:val="00567E55"/>
    <w:rsid w:val="0057071A"/>
    <w:rsid w:val="005708FF"/>
    <w:rsid w:val="00570CB2"/>
    <w:rsid w:val="00570EF3"/>
    <w:rsid w:val="00570FB4"/>
    <w:rsid w:val="00571251"/>
    <w:rsid w:val="005716AC"/>
    <w:rsid w:val="005717B8"/>
    <w:rsid w:val="00571EB1"/>
    <w:rsid w:val="00572006"/>
    <w:rsid w:val="0057216C"/>
    <w:rsid w:val="00572175"/>
    <w:rsid w:val="00572834"/>
    <w:rsid w:val="00572D23"/>
    <w:rsid w:val="00572FD0"/>
    <w:rsid w:val="00573426"/>
    <w:rsid w:val="0057351D"/>
    <w:rsid w:val="005738B5"/>
    <w:rsid w:val="00573930"/>
    <w:rsid w:val="00573943"/>
    <w:rsid w:val="00573961"/>
    <w:rsid w:val="00573EF9"/>
    <w:rsid w:val="005740CE"/>
    <w:rsid w:val="00574100"/>
    <w:rsid w:val="00574656"/>
    <w:rsid w:val="005746A3"/>
    <w:rsid w:val="0057494D"/>
    <w:rsid w:val="00574A54"/>
    <w:rsid w:val="00574ABD"/>
    <w:rsid w:val="00574AC2"/>
    <w:rsid w:val="00574B21"/>
    <w:rsid w:val="00574BDA"/>
    <w:rsid w:val="00574D0A"/>
    <w:rsid w:val="00574E38"/>
    <w:rsid w:val="00574F78"/>
    <w:rsid w:val="00575267"/>
    <w:rsid w:val="005752C7"/>
    <w:rsid w:val="0057589C"/>
    <w:rsid w:val="005758B7"/>
    <w:rsid w:val="00575AB3"/>
    <w:rsid w:val="00575BB4"/>
    <w:rsid w:val="00576153"/>
    <w:rsid w:val="005763D6"/>
    <w:rsid w:val="0057648E"/>
    <w:rsid w:val="00576529"/>
    <w:rsid w:val="0057672C"/>
    <w:rsid w:val="00576E61"/>
    <w:rsid w:val="005774A4"/>
    <w:rsid w:val="0057759D"/>
    <w:rsid w:val="005775A6"/>
    <w:rsid w:val="00577BCF"/>
    <w:rsid w:val="00577F7D"/>
    <w:rsid w:val="00580494"/>
    <w:rsid w:val="00580746"/>
    <w:rsid w:val="00580AAB"/>
    <w:rsid w:val="00580B66"/>
    <w:rsid w:val="00581115"/>
    <w:rsid w:val="005811CB"/>
    <w:rsid w:val="0058121B"/>
    <w:rsid w:val="00581257"/>
    <w:rsid w:val="005815F2"/>
    <w:rsid w:val="00581684"/>
    <w:rsid w:val="005816C4"/>
    <w:rsid w:val="00581761"/>
    <w:rsid w:val="00581AD5"/>
    <w:rsid w:val="00581DAA"/>
    <w:rsid w:val="005824B9"/>
    <w:rsid w:val="00582549"/>
    <w:rsid w:val="0058261C"/>
    <w:rsid w:val="00582766"/>
    <w:rsid w:val="005832FB"/>
    <w:rsid w:val="005835E2"/>
    <w:rsid w:val="00583631"/>
    <w:rsid w:val="00583B1E"/>
    <w:rsid w:val="00583CF1"/>
    <w:rsid w:val="00583E01"/>
    <w:rsid w:val="00583EE3"/>
    <w:rsid w:val="00583F3C"/>
    <w:rsid w:val="00583F95"/>
    <w:rsid w:val="005842D8"/>
    <w:rsid w:val="00584589"/>
    <w:rsid w:val="0058465E"/>
    <w:rsid w:val="0058469D"/>
    <w:rsid w:val="005847EC"/>
    <w:rsid w:val="00584989"/>
    <w:rsid w:val="00584A6C"/>
    <w:rsid w:val="00584CC8"/>
    <w:rsid w:val="00584D88"/>
    <w:rsid w:val="00584FF9"/>
    <w:rsid w:val="005857E0"/>
    <w:rsid w:val="00585885"/>
    <w:rsid w:val="005858F1"/>
    <w:rsid w:val="0058624B"/>
    <w:rsid w:val="00586739"/>
    <w:rsid w:val="00586CD6"/>
    <w:rsid w:val="00586D0E"/>
    <w:rsid w:val="00586DA7"/>
    <w:rsid w:val="00586EC7"/>
    <w:rsid w:val="00586FD5"/>
    <w:rsid w:val="005872EB"/>
    <w:rsid w:val="005874E5"/>
    <w:rsid w:val="00587535"/>
    <w:rsid w:val="00587799"/>
    <w:rsid w:val="005877E9"/>
    <w:rsid w:val="00587BA2"/>
    <w:rsid w:val="00590193"/>
    <w:rsid w:val="00590619"/>
    <w:rsid w:val="00590A46"/>
    <w:rsid w:val="00590B17"/>
    <w:rsid w:val="00590C0B"/>
    <w:rsid w:val="005915A8"/>
    <w:rsid w:val="005918BE"/>
    <w:rsid w:val="00591905"/>
    <w:rsid w:val="00591A30"/>
    <w:rsid w:val="00591B11"/>
    <w:rsid w:val="00591BDC"/>
    <w:rsid w:val="00591C13"/>
    <w:rsid w:val="00591D4A"/>
    <w:rsid w:val="00592054"/>
    <w:rsid w:val="00592434"/>
    <w:rsid w:val="00592A59"/>
    <w:rsid w:val="00592D66"/>
    <w:rsid w:val="005935D4"/>
    <w:rsid w:val="00593620"/>
    <w:rsid w:val="00593655"/>
    <w:rsid w:val="00593A08"/>
    <w:rsid w:val="00593B25"/>
    <w:rsid w:val="00594007"/>
    <w:rsid w:val="005942B3"/>
    <w:rsid w:val="00594420"/>
    <w:rsid w:val="0059459D"/>
    <w:rsid w:val="00594680"/>
    <w:rsid w:val="00594742"/>
    <w:rsid w:val="0059478C"/>
    <w:rsid w:val="00594FD0"/>
    <w:rsid w:val="0059523C"/>
    <w:rsid w:val="005953A8"/>
    <w:rsid w:val="005959D9"/>
    <w:rsid w:val="00595C3B"/>
    <w:rsid w:val="00595F1C"/>
    <w:rsid w:val="00596029"/>
    <w:rsid w:val="00596052"/>
    <w:rsid w:val="00596109"/>
    <w:rsid w:val="00596452"/>
    <w:rsid w:val="005964BB"/>
    <w:rsid w:val="00596640"/>
    <w:rsid w:val="00596651"/>
    <w:rsid w:val="00596860"/>
    <w:rsid w:val="00596A16"/>
    <w:rsid w:val="00596D95"/>
    <w:rsid w:val="00596D9D"/>
    <w:rsid w:val="00596E6B"/>
    <w:rsid w:val="00596F0B"/>
    <w:rsid w:val="00596F2B"/>
    <w:rsid w:val="005970A2"/>
    <w:rsid w:val="005970B4"/>
    <w:rsid w:val="005970CB"/>
    <w:rsid w:val="005970F0"/>
    <w:rsid w:val="00597217"/>
    <w:rsid w:val="005972C1"/>
    <w:rsid w:val="0059781B"/>
    <w:rsid w:val="005A0170"/>
    <w:rsid w:val="005A019C"/>
    <w:rsid w:val="005A01FF"/>
    <w:rsid w:val="005A0321"/>
    <w:rsid w:val="005A0740"/>
    <w:rsid w:val="005A08E6"/>
    <w:rsid w:val="005A0C2F"/>
    <w:rsid w:val="005A0D6F"/>
    <w:rsid w:val="005A0E77"/>
    <w:rsid w:val="005A128B"/>
    <w:rsid w:val="005A12C5"/>
    <w:rsid w:val="005A15BB"/>
    <w:rsid w:val="005A17CB"/>
    <w:rsid w:val="005A17D7"/>
    <w:rsid w:val="005A1CE6"/>
    <w:rsid w:val="005A1ED6"/>
    <w:rsid w:val="005A21A0"/>
    <w:rsid w:val="005A2378"/>
    <w:rsid w:val="005A25FB"/>
    <w:rsid w:val="005A260D"/>
    <w:rsid w:val="005A2BA2"/>
    <w:rsid w:val="005A2C57"/>
    <w:rsid w:val="005A2E67"/>
    <w:rsid w:val="005A2ED9"/>
    <w:rsid w:val="005A31FD"/>
    <w:rsid w:val="005A35C9"/>
    <w:rsid w:val="005A401E"/>
    <w:rsid w:val="005A4066"/>
    <w:rsid w:val="005A432E"/>
    <w:rsid w:val="005A4AA8"/>
    <w:rsid w:val="005A4D8A"/>
    <w:rsid w:val="005A4F59"/>
    <w:rsid w:val="005A529D"/>
    <w:rsid w:val="005A535C"/>
    <w:rsid w:val="005A5947"/>
    <w:rsid w:val="005A5BA7"/>
    <w:rsid w:val="005A61A5"/>
    <w:rsid w:val="005A641A"/>
    <w:rsid w:val="005A6894"/>
    <w:rsid w:val="005A6A34"/>
    <w:rsid w:val="005A6D78"/>
    <w:rsid w:val="005A6E61"/>
    <w:rsid w:val="005A758C"/>
    <w:rsid w:val="005A7751"/>
    <w:rsid w:val="005A7867"/>
    <w:rsid w:val="005A7BCB"/>
    <w:rsid w:val="005A7BD6"/>
    <w:rsid w:val="005A7CA8"/>
    <w:rsid w:val="005A7CB1"/>
    <w:rsid w:val="005A7FD2"/>
    <w:rsid w:val="005A7FF9"/>
    <w:rsid w:val="005B003B"/>
    <w:rsid w:val="005B003C"/>
    <w:rsid w:val="005B061C"/>
    <w:rsid w:val="005B0C1F"/>
    <w:rsid w:val="005B108D"/>
    <w:rsid w:val="005B1132"/>
    <w:rsid w:val="005B1307"/>
    <w:rsid w:val="005B14EA"/>
    <w:rsid w:val="005B1675"/>
    <w:rsid w:val="005B16A2"/>
    <w:rsid w:val="005B170D"/>
    <w:rsid w:val="005B17B0"/>
    <w:rsid w:val="005B17BE"/>
    <w:rsid w:val="005B18E5"/>
    <w:rsid w:val="005B213D"/>
    <w:rsid w:val="005B2164"/>
    <w:rsid w:val="005B21E0"/>
    <w:rsid w:val="005B245E"/>
    <w:rsid w:val="005B27F8"/>
    <w:rsid w:val="005B299E"/>
    <w:rsid w:val="005B29EB"/>
    <w:rsid w:val="005B2B01"/>
    <w:rsid w:val="005B3045"/>
    <w:rsid w:val="005B323A"/>
    <w:rsid w:val="005B3391"/>
    <w:rsid w:val="005B38E5"/>
    <w:rsid w:val="005B3BE3"/>
    <w:rsid w:val="005B3E87"/>
    <w:rsid w:val="005B3F00"/>
    <w:rsid w:val="005B3F94"/>
    <w:rsid w:val="005B4141"/>
    <w:rsid w:val="005B43D9"/>
    <w:rsid w:val="005B43FA"/>
    <w:rsid w:val="005B48EC"/>
    <w:rsid w:val="005B4D99"/>
    <w:rsid w:val="005B4FAA"/>
    <w:rsid w:val="005B5631"/>
    <w:rsid w:val="005B567F"/>
    <w:rsid w:val="005B5A6E"/>
    <w:rsid w:val="005B5E99"/>
    <w:rsid w:val="005B5EEB"/>
    <w:rsid w:val="005B5F29"/>
    <w:rsid w:val="005B5F70"/>
    <w:rsid w:val="005B6276"/>
    <w:rsid w:val="005B62DB"/>
    <w:rsid w:val="005B62E9"/>
    <w:rsid w:val="005B6411"/>
    <w:rsid w:val="005B6761"/>
    <w:rsid w:val="005B6C9C"/>
    <w:rsid w:val="005B6D36"/>
    <w:rsid w:val="005B6E5F"/>
    <w:rsid w:val="005B731B"/>
    <w:rsid w:val="005B7404"/>
    <w:rsid w:val="005B751B"/>
    <w:rsid w:val="005B7565"/>
    <w:rsid w:val="005B7773"/>
    <w:rsid w:val="005B77A8"/>
    <w:rsid w:val="005B7AA2"/>
    <w:rsid w:val="005B7B5C"/>
    <w:rsid w:val="005B7B89"/>
    <w:rsid w:val="005B7FE2"/>
    <w:rsid w:val="005C02BC"/>
    <w:rsid w:val="005C036F"/>
    <w:rsid w:val="005C0430"/>
    <w:rsid w:val="005C082C"/>
    <w:rsid w:val="005C09FF"/>
    <w:rsid w:val="005C0BB0"/>
    <w:rsid w:val="005C0C99"/>
    <w:rsid w:val="005C0D08"/>
    <w:rsid w:val="005C157E"/>
    <w:rsid w:val="005C16F2"/>
    <w:rsid w:val="005C1BAB"/>
    <w:rsid w:val="005C21B6"/>
    <w:rsid w:val="005C2208"/>
    <w:rsid w:val="005C22AF"/>
    <w:rsid w:val="005C23E2"/>
    <w:rsid w:val="005C24F8"/>
    <w:rsid w:val="005C2652"/>
    <w:rsid w:val="005C295A"/>
    <w:rsid w:val="005C2A95"/>
    <w:rsid w:val="005C2BDF"/>
    <w:rsid w:val="005C2CFF"/>
    <w:rsid w:val="005C3036"/>
    <w:rsid w:val="005C3088"/>
    <w:rsid w:val="005C3151"/>
    <w:rsid w:val="005C31B1"/>
    <w:rsid w:val="005C34AD"/>
    <w:rsid w:val="005C3628"/>
    <w:rsid w:val="005C373B"/>
    <w:rsid w:val="005C3874"/>
    <w:rsid w:val="005C3887"/>
    <w:rsid w:val="005C3BDE"/>
    <w:rsid w:val="005C40E3"/>
    <w:rsid w:val="005C4246"/>
    <w:rsid w:val="005C424B"/>
    <w:rsid w:val="005C438E"/>
    <w:rsid w:val="005C43A6"/>
    <w:rsid w:val="005C43D5"/>
    <w:rsid w:val="005C4849"/>
    <w:rsid w:val="005C4921"/>
    <w:rsid w:val="005C4D0C"/>
    <w:rsid w:val="005C4FFF"/>
    <w:rsid w:val="005C5056"/>
    <w:rsid w:val="005C522B"/>
    <w:rsid w:val="005C582F"/>
    <w:rsid w:val="005C5950"/>
    <w:rsid w:val="005C5D0A"/>
    <w:rsid w:val="005C5E9B"/>
    <w:rsid w:val="005C5F4A"/>
    <w:rsid w:val="005C6145"/>
    <w:rsid w:val="005C6566"/>
    <w:rsid w:val="005C65F2"/>
    <w:rsid w:val="005C6911"/>
    <w:rsid w:val="005C6B3B"/>
    <w:rsid w:val="005C6D9D"/>
    <w:rsid w:val="005C6E0B"/>
    <w:rsid w:val="005C6FE6"/>
    <w:rsid w:val="005C7051"/>
    <w:rsid w:val="005C72D7"/>
    <w:rsid w:val="005C73F8"/>
    <w:rsid w:val="005C76E0"/>
    <w:rsid w:val="005C7AC4"/>
    <w:rsid w:val="005C7BFC"/>
    <w:rsid w:val="005C7DBA"/>
    <w:rsid w:val="005C7DD6"/>
    <w:rsid w:val="005D0052"/>
    <w:rsid w:val="005D0124"/>
    <w:rsid w:val="005D02F8"/>
    <w:rsid w:val="005D056B"/>
    <w:rsid w:val="005D0629"/>
    <w:rsid w:val="005D0638"/>
    <w:rsid w:val="005D07C8"/>
    <w:rsid w:val="005D09A4"/>
    <w:rsid w:val="005D0B33"/>
    <w:rsid w:val="005D0C88"/>
    <w:rsid w:val="005D0EEE"/>
    <w:rsid w:val="005D11F0"/>
    <w:rsid w:val="005D1581"/>
    <w:rsid w:val="005D1939"/>
    <w:rsid w:val="005D1BB2"/>
    <w:rsid w:val="005D1D97"/>
    <w:rsid w:val="005D1E07"/>
    <w:rsid w:val="005D20C3"/>
    <w:rsid w:val="005D20D6"/>
    <w:rsid w:val="005D24E7"/>
    <w:rsid w:val="005D293C"/>
    <w:rsid w:val="005D2B19"/>
    <w:rsid w:val="005D2BC2"/>
    <w:rsid w:val="005D2CE6"/>
    <w:rsid w:val="005D2E6C"/>
    <w:rsid w:val="005D3096"/>
    <w:rsid w:val="005D3504"/>
    <w:rsid w:val="005D3540"/>
    <w:rsid w:val="005D35DA"/>
    <w:rsid w:val="005D39CE"/>
    <w:rsid w:val="005D3A1C"/>
    <w:rsid w:val="005D3A51"/>
    <w:rsid w:val="005D3B12"/>
    <w:rsid w:val="005D3C38"/>
    <w:rsid w:val="005D3D43"/>
    <w:rsid w:val="005D3E50"/>
    <w:rsid w:val="005D41DB"/>
    <w:rsid w:val="005D42E8"/>
    <w:rsid w:val="005D436C"/>
    <w:rsid w:val="005D4748"/>
    <w:rsid w:val="005D4986"/>
    <w:rsid w:val="005D4B3B"/>
    <w:rsid w:val="005D4E24"/>
    <w:rsid w:val="005D4E6E"/>
    <w:rsid w:val="005D5251"/>
    <w:rsid w:val="005D53E5"/>
    <w:rsid w:val="005D576B"/>
    <w:rsid w:val="005D5983"/>
    <w:rsid w:val="005D5C3A"/>
    <w:rsid w:val="005D5D50"/>
    <w:rsid w:val="005D640A"/>
    <w:rsid w:val="005D6545"/>
    <w:rsid w:val="005D66A6"/>
    <w:rsid w:val="005D6A59"/>
    <w:rsid w:val="005D75B4"/>
    <w:rsid w:val="005D7651"/>
    <w:rsid w:val="005D7750"/>
    <w:rsid w:val="005D78A6"/>
    <w:rsid w:val="005D78E0"/>
    <w:rsid w:val="005D7910"/>
    <w:rsid w:val="005D7933"/>
    <w:rsid w:val="005D7BB6"/>
    <w:rsid w:val="005D7D49"/>
    <w:rsid w:val="005D7D59"/>
    <w:rsid w:val="005DC6EF"/>
    <w:rsid w:val="005E02FD"/>
    <w:rsid w:val="005E0365"/>
    <w:rsid w:val="005E0586"/>
    <w:rsid w:val="005E06D3"/>
    <w:rsid w:val="005E0797"/>
    <w:rsid w:val="005E0A67"/>
    <w:rsid w:val="005E0A8B"/>
    <w:rsid w:val="005E0C0C"/>
    <w:rsid w:val="005E0C11"/>
    <w:rsid w:val="005E0D96"/>
    <w:rsid w:val="005E0E11"/>
    <w:rsid w:val="005E0E3D"/>
    <w:rsid w:val="005E0F56"/>
    <w:rsid w:val="005E1063"/>
    <w:rsid w:val="005E128C"/>
    <w:rsid w:val="005E143C"/>
    <w:rsid w:val="005E1739"/>
    <w:rsid w:val="005E1961"/>
    <w:rsid w:val="005E1AAD"/>
    <w:rsid w:val="005E1ADC"/>
    <w:rsid w:val="005E1DC3"/>
    <w:rsid w:val="005E1F80"/>
    <w:rsid w:val="005E2ACA"/>
    <w:rsid w:val="005E2AD4"/>
    <w:rsid w:val="005E2BCE"/>
    <w:rsid w:val="005E2FF6"/>
    <w:rsid w:val="005E323F"/>
    <w:rsid w:val="005E3426"/>
    <w:rsid w:val="005E367D"/>
    <w:rsid w:val="005E3806"/>
    <w:rsid w:val="005E3E54"/>
    <w:rsid w:val="005E3EFC"/>
    <w:rsid w:val="005E3FEE"/>
    <w:rsid w:val="005E3FF4"/>
    <w:rsid w:val="005E41A0"/>
    <w:rsid w:val="005E41BA"/>
    <w:rsid w:val="005E4344"/>
    <w:rsid w:val="005E441E"/>
    <w:rsid w:val="005E4934"/>
    <w:rsid w:val="005E4980"/>
    <w:rsid w:val="005E499D"/>
    <w:rsid w:val="005E4D99"/>
    <w:rsid w:val="005E50BB"/>
    <w:rsid w:val="005E53C6"/>
    <w:rsid w:val="005E563A"/>
    <w:rsid w:val="005E57A1"/>
    <w:rsid w:val="005E5C8C"/>
    <w:rsid w:val="005E6056"/>
    <w:rsid w:val="005E6356"/>
    <w:rsid w:val="005E665D"/>
    <w:rsid w:val="005E6A17"/>
    <w:rsid w:val="005E6B6A"/>
    <w:rsid w:val="005E6E57"/>
    <w:rsid w:val="005E6F57"/>
    <w:rsid w:val="005E6F9A"/>
    <w:rsid w:val="005E7085"/>
    <w:rsid w:val="005E70B5"/>
    <w:rsid w:val="005E7180"/>
    <w:rsid w:val="005E71EB"/>
    <w:rsid w:val="005E739F"/>
    <w:rsid w:val="005E77AB"/>
    <w:rsid w:val="005E78FB"/>
    <w:rsid w:val="005F0396"/>
    <w:rsid w:val="005F06DE"/>
    <w:rsid w:val="005F07CB"/>
    <w:rsid w:val="005F0911"/>
    <w:rsid w:val="005F0C0D"/>
    <w:rsid w:val="005F0C96"/>
    <w:rsid w:val="005F0DBC"/>
    <w:rsid w:val="005F0EA0"/>
    <w:rsid w:val="005F151D"/>
    <w:rsid w:val="005F1600"/>
    <w:rsid w:val="005F179B"/>
    <w:rsid w:val="005F17DF"/>
    <w:rsid w:val="005F1811"/>
    <w:rsid w:val="005F1991"/>
    <w:rsid w:val="005F2145"/>
    <w:rsid w:val="005F2149"/>
    <w:rsid w:val="005F2257"/>
    <w:rsid w:val="005F22E7"/>
    <w:rsid w:val="005F2712"/>
    <w:rsid w:val="005F2794"/>
    <w:rsid w:val="005F286A"/>
    <w:rsid w:val="005F2922"/>
    <w:rsid w:val="005F2964"/>
    <w:rsid w:val="005F2A1B"/>
    <w:rsid w:val="005F2A24"/>
    <w:rsid w:val="005F2BA9"/>
    <w:rsid w:val="005F30F0"/>
    <w:rsid w:val="005F3291"/>
    <w:rsid w:val="005F3512"/>
    <w:rsid w:val="005F35F5"/>
    <w:rsid w:val="005F3A3F"/>
    <w:rsid w:val="005F3B3B"/>
    <w:rsid w:val="005F3B84"/>
    <w:rsid w:val="005F3CE0"/>
    <w:rsid w:val="005F3DD1"/>
    <w:rsid w:val="005F3E03"/>
    <w:rsid w:val="005F3E80"/>
    <w:rsid w:val="005F487B"/>
    <w:rsid w:val="005F4896"/>
    <w:rsid w:val="005F4C2F"/>
    <w:rsid w:val="005F4C47"/>
    <w:rsid w:val="005F4E84"/>
    <w:rsid w:val="005F4EFA"/>
    <w:rsid w:val="005F5198"/>
    <w:rsid w:val="005F5534"/>
    <w:rsid w:val="005F568A"/>
    <w:rsid w:val="005F56EC"/>
    <w:rsid w:val="005F5762"/>
    <w:rsid w:val="005F584E"/>
    <w:rsid w:val="005F59A5"/>
    <w:rsid w:val="005F59E0"/>
    <w:rsid w:val="005F5D9F"/>
    <w:rsid w:val="005F5DC0"/>
    <w:rsid w:val="005F5F14"/>
    <w:rsid w:val="005F5FE2"/>
    <w:rsid w:val="005F606B"/>
    <w:rsid w:val="005F614B"/>
    <w:rsid w:val="005F639F"/>
    <w:rsid w:val="005F63B0"/>
    <w:rsid w:val="005F6770"/>
    <w:rsid w:val="005F6823"/>
    <w:rsid w:val="005F6F8F"/>
    <w:rsid w:val="005F704B"/>
    <w:rsid w:val="005F73D0"/>
    <w:rsid w:val="005F7470"/>
    <w:rsid w:val="005F74B6"/>
    <w:rsid w:val="005F7849"/>
    <w:rsid w:val="005F7895"/>
    <w:rsid w:val="0060016C"/>
    <w:rsid w:val="006002F5"/>
    <w:rsid w:val="0060067B"/>
    <w:rsid w:val="00600F7B"/>
    <w:rsid w:val="006013A4"/>
    <w:rsid w:val="0060148F"/>
    <w:rsid w:val="0060162F"/>
    <w:rsid w:val="0060188D"/>
    <w:rsid w:val="00601EEF"/>
    <w:rsid w:val="006023D1"/>
    <w:rsid w:val="00602BFD"/>
    <w:rsid w:val="00602CC3"/>
    <w:rsid w:val="00602D2D"/>
    <w:rsid w:val="00602D2E"/>
    <w:rsid w:val="00602EE5"/>
    <w:rsid w:val="00603035"/>
    <w:rsid w:val="006031FA"/>
    <w:rsid w:val="0060324C"/>
    <w:rsid w:val="0060357B"/>
    <w:rsid w:val="00603A27"/>
    <w:rsid w:val="00603A85"/>
    <w:rsid w:val="00603B34"/>
    <w:rsid w:val="00603C26"/>
    <w:rsid w:val="00603CD0"/>
    <w:rsid w:val="00604118"/>
    <w:rsid w:val="0060463B"/>
    <w:rsid w:val="006048E1"/>
    <w:rsid w:val="00604B65"/>
    <w:rsid w:val="00604D4C"/>
    <w:rsid w:val="00604EDC"/>
    <w:rsid w:val="006052C0"/>
    <w:rsid w:val="006052F5"/>
    <w:rsid w:val="00605792"/>
    <w:rsid w:val="00605BD1"/>
    <w:rsid w:val="00605C12"/>
    <w:rsid w:val="00605D2B"/>
    <w:rsid w:val="0060604E"/>
    <w:rsid w:val="006061BA"/>
    <w:rsid w:val="006063BD"/>
    <w:rsid w:val="006063F3"/>
    <w:rsid w:val="0060654B"/>
    <w:rsid w:val="006066A6"/>
    <w:rsid w:val="006067DD"/>
    <w:rsid w:val="006067F2"/>
    <w:rsid w:val="0060693B"/>
    <w:rsid w:val="00606B98"/>
    <w:rsid w:val="00606E94"/>
    <w:rsid w:val="00607011"/>
    <w:rsid w:val="006070B5"/>
    <w:rsid w:val="0060713E"/>
    <w:rsid w:val="00607148"/>
    <w:rsid w:val="006073DC"/>
    <w:rsid w:val="00607479"/>
    <w:rsid w:val="0060754C"/>
    <w:rsid w:val="0060761A"/>
    <w:rsid w:val="006077E5"/>
    <w:rsid w:val="0060796F"/>
    <w:rsid w:val="00607A46"/>
    <w:rsid w:val="00607D0F"/>
    <w:rsid w:val="00607E36"/>
    <w:rsid w:val="00607E71"/>
    <w:rsid w:val="00610217"/>
    <w:rsid w:val="00610259"/>
    <w:rsid w:val="00610561"/>
    <w:rsid w:val="0061064A"/>
    <w:rsid w:val="00610A5F"/>
    <w:rsid w:val="00610B9C"/>
    <w:rsid w:val="00610D17"/>
    <w:rsid w:val="00610D3D"/>
    <w:rsid w:val="00611022"/>
    <w:rsid w:val="006110DA"/>
    <w:rsid w:val="006111FA"/>
    <w:rsid w:val="0061130C"/>
    <w:rsid w:val="00611372"/>
    <w:rsid w:val="00611506"/>
    <w:rsid w:val="00611653"/>
    <w:rsid w:val="006117E5"/>
    <w:rsid w:val="006119B2"/>
    <w:rsid w:val="00611B6A"/>
    <w:rsid w:val="00611E0E"/>
    <w:rsid w:val="00611E77"/>
    <w:rsid w:val="00611F05"/>
    <w:rsid w:val="006120D9"/>
    <w:rsid w:val="00612155"/>
    <w:rsid w:val="006122B4"/>
    <w:rsid w:val="00612345"/>
    <w:rsid w:val="006123A3"/>
    <w:rsid w:val="00612438"/>
    <w:rsid w:val="006126B0"/>
    <w:rsid w:val="0061276D"/>
    <w:rsid w:val="00612BAD"/>
    <w:rsid w:val="00612D19"/>
    <w:rsid w:val="00612ECB"/>
    <w:rsid w:val="0061303B"/>
    <w:rsid w:val="0061335B"/>
    <w:rsid w:val="00613541"/>
    <w:rsid w:val="00614167"/>
    <w:rsid w:val="00614DD5"/>
    <w:rsid w:val="00615025"/>
    <w:rsid w:val="00615258"/>
    <w:rsid w:val="00615297"/>
    <w:rsid w:val="006152E9"/>
    <w:rsid w:val="00615302"/>
    <w:rsid w:val="00615455"/>
    <w:rsid w:val="0061580C"/>
    <w:rsid w:val="00615ACA"/>
    <w:rsid w:val="00615CE6"/>
    <w:rsid w:val="00616199"/>
    <w:rsid w:val="00616254"/>
    <w:rsid w:val="00616359"/>
    <w:rsid w:val="00616435"/>
    <w:rsid w:val="006164DC"/>
    <w:rsid w:val="006166D1"/>
    <w:rsid w:val="006166FD"/>
    <w:rsid w:val="00616D92"/>
    <w:rsid w:val="00617261"/>
    <w:rsid w:val="0061772A"/>
    <w:rsid w:val="00617873"/>
    <w:rsid w:val="0061789E"/>
    <w:rsid w:val="00617ABE"/>
    <w:rsid w:val="00617E9A"/>
    <w:rsid w:val="00620034"/>
    <w:rsid w:val="006202E3"/>
    <w:rsid w:val="006206AC"/>
    <w:rsid w:val="006206B4"/>
    <w:rsid w:val="0062087E"/>
    <w:rsid w:val="0062099E"/>
    <w:rsid w:val="00620C65"/>
    <w:rsid w:val="00620DF2"/>
    <w:rsid w:val="00620F91"/>
    <w:rsid w:val="006214A8"/>
    <w:rsid w:val="006215B8"/>
    <w:rsid w:val="00621A5B"/>
    <w:rsid w:val="006220A3"/>
    <w:rsid w:val="00622132"/>
    <w:rsid w:val="0062214F"/>
    <w:rsid w:val="0062233F"/>
    <w:rsid w:val="006223B4"/>
    <w:rsid w:val="006223DD"/>
    <w:rsid w:val="006226D7"/>
    <w:rsid w:val="006227AD"/>
    <w:rsid w:val="00622F61"/>
    <w:rsid w:val="0062322E"/>
    <w:rsid w:val="006232BB"/>
    <w:rsid w:val="00623A49"/>
    <w:rsid w:val="00623B7E"/>
    <w:rsid w:val="00623F44"/>
    <w:rsid w:val="00623F7B"/>
    <w:rsid w:val="00624070"/>
    <w:rsid w:val="00624100"/>
    <w:rsid w:val="006241A5"/>
    <w:rsid w:val="006243EF"/>
    <w:rsid w:val="006244C6"/>
    <w:rsid w:val="006244FB"/>
    <w:rsid w:val="00624607"/>
    <w:rsid w:val="00624837"/>
    <w:rsid w:val="00624A64"/>
    <w:rsid w:val="0062514D"/>
    <w:rsid w:val="006252FE"/>
    <w:rsid w:val="00625669"/>
    <w:rsid w:val="006257C6"/>
    <w:rsid w:val="0062583E"/>
    <w:rsid w:val="006258D3"/>
    <w:rsid w:val="00625A6C"/>
    <w:rsid w:val="00625A85"/>
    <w:rsid w:val="00625C47"/>
    <w:rsid w:val="00626225"/>
    <w:rsid w:val="0062677D"/>
    <w:rsid w:val="00626812"/>
    <w:rsid w:val="00626BE4"/>
    <w:rsid w:val="00626C81"/>
    <w:rsid w:val="00626D4D"/>
    <w:rsid w:val="00626E15"/>
    <w:rsid w:val="00630130"/>
    <w:rsid w:val="00630693"/>
    <w:rsid w:val="00630797"/>
    <w:rsid w:val="00630894"/>
    <w:rsid w:val="00630FD2"/>
    <w:rsid w:val="00631514"/>
    <w:rsid w:val="0063163E"/>
    <w:rsid w:val="0063176C"/>
    <w:rsid w:val="006318EE"/>
    <w:rsid w:val="00631A4C"/>
    <w:rsid w:val="00631A83"/>
    <w:rsid w:val="00631CD3"/>
    <w:rsid w:val="00631FEF"/>
    <w:rsid w:val="00632096"/>
    <w:rsid w:val="006320CC"/>
    <w:rsid w:val="006321B1"/>
    <w:rsid w:val="006321B9"/>
    <w:rsid w:val="006321C0"/>
    <w:rsid w:val="0063224F"/>
    <w:rsid w:val="006325B2"/>
    <w:rsid w:val="006327B6"/>
    <w:rsid w:val="00632CA7"/>
    <w:rsid w:val="00632D04"/>
    <w:rsid w:val="00632D96"/>
    <w:rsid w:val="00632E04"/>
    <w:rsid w:val="00632EA8"/>
    <w:rsid w:val="00633092"/>
    <w:rsid w:val="006330F9"/>
    <w:rsid w:val="006331B9"/>
    <w:rsid w:val="006333BA"/>
    <w:rsid w:val="0063375F"/>
    <w:rsid w:val="006338E8"/>
    <w:rsid w:val="00633A86"/>
    <w:rsid w:val="00633B4D"/>
    <w:rsid w:val="00633FD7"/>
    <w:rsid w:val="006341F4"/>
    <w:rsid w:val="00634230"/>
    <w:rsid w:val="00634436"/>
    <w:rsid w:val="00634561"/>
    <w:rsid w:val="006345C1"/>
    <w:rsid w:val="006346C7"/>
    <w:rsid w:val="0063476B"/>
    <w:rsid w:val="00634A3E"/>
    <w:rsid w:val="00634AED"/>
    <w:rsid w:val="00634C34"/>
    <w:rsid w:val="00634F89"/>
    <w:rsid w:val="0063502B"/>
    <w:rsid w:val="00635235"/>
    <w:rsid w:val="00635256"/>
    <w:rsid w:val="0063527C"/>
    <w:rsid w:val="006356F5"/>
    <w:rsid w:val="00635764"/>
    <w:rsid w:val="0063588C"/>
    <w:rsid w:val="00635AEF"/>
    <w:rsid w:val="00635BBE"/>
    <w:rsid w:val="00635D34"/>
    <w:rsid w:val="00635E52"/>
    <w:rsid w:val="006363F7"/>
    <w:rsid w:val="006365AF"/>
    <w:rsid w:val="006367FC"/>
    <w:rsid w:val="00637164"/>
    <w:rsid w:val="006373DF"/>
    <w:rsid w:val="006374DC"/>
    <w:rsid w:val="00637677"/>
    <w:rsid w:val="00637C85"/>
    <w:rsid w:val="00637D41"/>
    <w:rsid w:val="0064012C"/>
    <w:rsid w:val="006403BF"/>
    <w:rsid w:val="0064052A"/>
    <w:rsid w:val="006407A0"/>
    <w:rsid w:val="006409CF"/>
    <w:rsid w:val="00640AEA"/>
    <w:rsid w:val="00640C04"/>
    <w:rsid w:val="00640E95"/>
    <w:rsid w:val="006415AA"/>
    <w:rsid w:val="006416BE"/>
    <w:rsid w:val="00641A1D"/>
    <w:rsid w:val="00641B91"/>
    <w:rsid w:val="00641C42"/>
    <w:rsid w:val="00641D33"/>
    <w:rsid w:val="00641DB4"/>
    <w:rsid w:val="006421BE"/>
    <w:rsid w:val="006422F5"/>
    <w:rsid w:val="006423F0"/>
    <w:rsid w:val="00642FEF"/>
    <w:rsid w:val="006430C4"/>
    <w:rsid w:val="00643436"/>
    <w:rsid w:val="006434A1"/>
    <w:rsid w:val="00643FA6"/>
    <w:rsid w:val="00643FB4"/>
    <w:rsid w:val="00644786"/>
    <w:rsid w:val="006449F4"/>
    <w:rsid w:val="00644D33"/>
    <w:rsid w:val="006453D7"/>
    <w:rsid w:val="00645D03"/>
    <w:rsid w:val="00645D11"/>
    <w:rsid w:val="0064655B"/>
    <w:rsid w:val="00646A65"/>
    <w:rsid w:val="00646FA7"/>
    <w:rsid w:val="00647203"/>
    <w:rsid w:val="00647330"/>
    <w:rsid w:val="00647554"/>
    <w:rsid w:val="00647561"/>
    <w:rsid w:val="00647598"/>
    <w:rsid w:val="0064773B"/>
    <w:rsid w:val="00647DDE"/>
    <w:rsid w:val="00647E07"/>
    <w:rsid w:val="00647FB8"/>
    <w:rsid w:val="006501C2"/>
    <w:rsid w:val="00650620"/>
    <w:rsid w:val="00650838"/>
    <w:rsid w:val="006508E7"/>
    <w:rsid w:val="0065099C"/>
    <w:rsid w:val="006509CE"/>
    <w:rsid w:val="00650B20"/>
    <w:rsid w:val="00650B60"/>
    <w:rsid w:val="00650BEF"/>
    <w:rsid w:val="00650D06"/>
    <w:rsid w:val="00650E12"/>
    <w:rsid w:val="006512B4"/>
    <w:rsid w:val="006515A4"/>
    <w:rsid w:val="00651CF6"/>
    <w:rsid w:val="00651F0A"/>
    <w:rsid w:val="00652243"/>
    <w:rsid w:val="006523C6"/>
    <w:rsid w:val="00652571"/>
    <w:rsid w:val="00652838"/>
    <w:rsid w:val="006528A7"/>
    <w:rsid w:val="00652994"/>
    <w:rsid w:val="006529BB"/>
    <w:rsid w:val="00652B8B"/>
    <w:rsid w:val="00652E84"/>
    <w:rsid w:val="00652FFE"/>
    <w:rsid w:val="0065315D"/>
    <w:rsid w:val="00653184"/>
    <w:rsid w:val="0065331F"/>
    <w:rsid w:val="0065336A"/>
    <w:rsid w:val="006533D1"/>
    <w:rsid w:val="0065354F"/>
    <w:rsid w:val="006535B7"/>
    <w:rsid w:val="00653633"/>
    <w:rsid w:val="006538C8"/>
    <w:rsid w:val="00653F0F"/>
    <w:rsid w:val="00653F25"/>
    <w:rsid w:val="00654371"/>
    <w:rsid w:val="006543D1"/>
    <w:rsid w:val="00654571"/>
    <w:rsid w:val="006546E4"/>
    <w:rsid w:val="00654A65"/>
    <w:rsid w:val="00654C0A"/>
    <w:rsid w:val="0065532C"/>
    <w:rsid w:val="0065542C"/>
    <w:rsid w:val="006554EE"/>
    <w:rsid w:val="006556AD"/>
    <w:rsid w:val="006557CC"/>
    <w:rsid w:val="00655929"/>
    <w:rsid w:val="00655C7A"/>
    <w:rsid w:val="00655D5E"/>
    <w:rsid w:val="00655DC0"/>
    <w:rsid w:val="00655E66"/>
    <w:rsid w:val="00655FE1"/>
    <w:rsid w:val="00656156"/>
    <w:rsid w:val="00656186"/>
    <w:rsid w:val="00656836"/>
    <w:rsid w:val="00657281"/>
    <w:rsid w:val="00657363"/>
    <w:rsid w:val="0065737F"/>
    <w:rsid w:val="006574F1"/>
    <w:rsid w:val="00657A62"/>
    <w:rsid w:val="00657ED2"/>
    <w:rsid w:val="0066022D"/>
    <w:rsid w:val="006607A2"/>
    <w:rsid w:val="00660CA9"/>
    <w:rsid w:val="00661001"/>
    <w:rsid w:val="00661114"/>
    <w:rsid w:val="0066177D"/>
    <w:rsid w:val="00661EE9"/>
    <w:rsid w:val="006620A2"/>
    <w:rsid w:val="00662309"/>
    <w:rsid w:val="0066231A"/>
    <w:rsid w:val="006623BB"/>
    <w:rsid w:val="00662522"/>
    <w:rsid w:val="006625F4"/>
    <w:rsid w:val="006628C5"/>
    <w:rsid w:val="00662A47"/>
    <w:rsid w:val="00662BDB"/>
    <w:rsid w:val="00662F2E"/>
    <w:rsid w:val="0066309C"/>
    <w:rsid w:val="006630B1"/>
    <w:rsid w:val="00663183"/>
    <w:rsid w:val="0066325C"/>
    <w:rsid w:val="00663477"/>
    <w:rsid w:val="00663C15"/>
    <w:rsid w:val="00663F47"/>
    <w:rsid w:val="006641FF"/>
    <w:rsid w:val="00664990"/>
    <w:rsid w:val="00664A01"/>
    <w:rsid w:val="00664A7C"/>
    <w:rsid w:val="00664C1C"/>
    <w:rsid w:val="00664CBE"/>
    <w:rsid w:val="0066519F"/>
    <w:rsid w:val="0066579C"/>
    <w:rsid w:val="00665D57"/>
    <w:rsid w:val="00665E9F"/>
    <w:rsid w:val="0066611A"/>
    <w:rsid w:val="0066613E"/>
    <w:rsid w:val="0066634F"/>
    <w:rsid w:val="006663E0"/>
    <w:rsid w:val="0066666A"/>
    <w:rsid w:val="006666CC"/>
    <w:rsid w:val="006669A9"/>
    <w:rsid w:val="006669F0"/>
    <w:rsid w:val="00666BC4"/>
    <w:rsid w:val="00666DA6"/>
    <w:rsid w:val="0066719A"/>
    <w:rsid w:val="00667330"/>
    <w:rsid w:val="00667475"/>
    <w:rsid w:val="006674DF"/>
    <w:rsid w:val="00667ED8"/>
    <w:rsid w:val="00667EE0"/>
    <w:rsid w:val="0067039E"/>
    <w:rsid w:val="00670483"/>
    <w:rsid w:val="00670568"/>
    <w:rsid w:val="006705EB"/>
    <w:rsid w:val="0067086D"/>
    <w:rsid w:val="00670CCB"/>
    <w:rsid w:val="00670EE5"/>
    <w:rsid w:val="00670F2B"/>
    <w:rsid w:val="00670FD9"/>
    <w:rsid w:val="00671696"/>
    <w:rsid w:val="006716AA"/>
    <w:rsid w:val="006717FF"/>
    <w:rsid w:val="00671AD4"/>
    <w:rsid w:val="00671C37"/>
    <w:rsid w:val="00671E2F"/>
    <w:rsid w:val="00671FEC"/>
    <w:rsid w:val="0067279E"/>
    <w:rsid w:val="0067297F"/>
    <w:rsid w:val="00672A1A"/>
    <w:rsid w:val="00672D86"/>
    <w:rsid w:val="00672DE5"/>
    <w:rsid w:val="0067304F"/>
    <w:rsid w:val="00673231"/>
    <w:rsid w:val="006738F4"/>
    <w:rsid w:val="00673955"/>
    <w:rsid w:val="00673A17"/>
    <w:rsid w:val="00673C0B"/>
    <w:rsid w:val="00673C0C"/>
    <w:rsid w:val="00673C1F"/>
    <w:rsid w:val="00673F38"/>
    <w:rsid w:val="0067427A"/>
    <w:rsid w:val="006742AD"/>
    <w:rsid w:val="00674541"/>
    <w:rsid w:val="00674A0E"/>
    <w:rsid w:val="00674D50"/>
    <w:rsid w:val="00674F50"/>
    <w:rsid w:val="0067514A"/>
    <w:rsid w:val="006751CC"/>
    <w:rsid w:val="0067531E"/>
    <w:rsid w:val="00675475"/>
    <w:rsid w:val="006755D9"/>
    <w:rsid w:val="00675749"/>
    <w:rsid w:val="00675AEA"/>
    <w:rsid w:val="00675BE7"/>
    <w:rsid w:val="00675C08"/>
    <w:rsid w:val="00675D60"/>
    <w:rsid w:val="00675E8F"/>
    <w:rsid w:val="00676089"/>
    <w:rsid w:val="006761D0"/>
    <w:rsid w:val="006761E5"/>
    <w:rsid w:val="006764A5"/>
    <w:rsid w:val="006766EF"/>
    <w:rsid w:val="00676945"/>
    <w:rsid w:val="00676AB4"/>
    <w:rsid w:val="00676EE6"/>
    <w:rsid w:val="00676F92"/>
    <w:rsid w:val="0067709A"/>
    <w:rsid w:val="00677326"/>
    <w:rsid w:val="006773F5"/>
    <w:rsid w:val="00677445"/>
    <w:rsid w:val="0067750B"/>
    <w:rsid w:val="00677578"/>
    <w:rsid w:val="00677651"/>
    <w:rsid w:val="006778F7"/>
    <w:rsid w:val="00680B99"/>
    <w:rsid w:val="00680BD5"/>
    <w:rsid w:val="00681081"/>
    <w:rsid w:val="00681535"/>
    <w:rsid w:val="006816D6"/>
    <w:rsid w:val="00681A00"/>
    <w:rsid w:val="00681B11"/>
    <w:rsid w:val="00681C65"/>
    <w:rsid w:val="00681CBC"/>
    <w:rsid w:val="0068208A"/>
    <w:rsid w:val="006823B4"/>
    <w:rsid w:val="0068255E"/>
    <w:rsid w:val="00682AB3"/>
    <w:rsid w:val="00682F7E"/>
    <w:rsid w:val="0068353D"/>
    <w:rsid w:val="006835CE"/>
    <w:rsid w:val="006836B7"/>
    <w:rsid w:val="00683BB3"/>
    <w:rsid w:val="00683C8B"/>
    <w:rsid w:val="00683D59"/>
    <w:rsid w:val="00683F6B"/>
    <w:rsid w:val="0068423B"/>
    <w:rsid w:val="00684851"/>
    <w:rsid w:val="00684945"/>
    <w:rsid w:val="00684AA5"/>
    <w:rsid w:val="00684B32"/>
    <w:rsid w:val="00684F9C"/>
    <w:rsid w:val="006850EA"/>
    <w:rsid w:val="006851F7"/>
    <w:rsid w:val="00685238"/>
    <w:rsid w:val="006859C7"/>
    <w:rsid w:val="00685B0F"/>
    <w:rsid w:val="00685D1F"/>
    <w:rsid w:val="00685E20"/>
    <w:rsid w:val="00685E96"/>
    <w:rsid w:val="006864F6"/>
    <w:rsid w:val="00686522"/>
    <w:rsid w:val="006866E3"/>
    <w:rsid w:val="00686C88"/>
    <w:rsid w:val="00687117"/>
    <w:rsid w:val="00687160"/>
    <w:rsid w:val="006875EE"/>
    <w:rsid w:val="006876A3"/>
    <w:rsid w:val="00687879"/>
    <w:rsid w:val="0068794F"/>
    <w:rsid w:val="00687A10"/>
    <w:rsid w:val="006900B7"/>
    <w:rsid w:val="0069062C"/>
    <w:rsid w:val="006906BB"/>
    <w:rsid w:val="0069091F"/>
    <w:rsid w:val="00690ADF"/>
    <w:rsid w:val="00690B7B"/>
    <w:rsid w:val="00690C05"/>
    <w:rsid w:val="00690C62"/>
    <w:rsid w:val="00690FE7"/>
    <w:rsid w:val="006910AA"/>
    <w:rsid w:val="006910B0"/>
    <w:rsid w:val="00691318"/>
    <w:rsid w:val="00691878"/>
    <w:rsid w:val="0069198F"/>
    <w:rsid w:val="00691A71"/>
    <w:rsid w:val="00691B12"/>
    <w:rsid w:val="00691DED"/>
    <w:rsid w:val="0069268C"/>
    <w:rsid w:val="006927A6"/>
    <w:rsid w:val="0069283A"/>
    <w:rsid w:val="00692855"/>
    <w:rsid w:val="00692886"/>
    <w:rsid w:val="006928CE"/>
    <w:rsid w:val="00692E61"/>
    <w:rsid w:val="006931DD"/>
    <w:rsid w:val="0069334B"/>
    <w:rsid w:val="006933F3"/>
    <w:rsid w:val="0069356F"/>
    <w:rsid w:val="0069360A"/>
    <w:rsid w:val="006936BE"/>
    <w:rsid w:val="006938EB"/>
    <w:rsid w:val="00693CD6"/>
    <w:rsid w:val="00693FD4"/>
    <w:rsid w:val="00694175"/>
    <w:rsid w:val="006944C3"/>
    <w:rsid w:val="006946BF"/>
    <w:rsid w:val="00694758"/>
    <w:rsid w:val="00694B79"/>
    <w:rsid w:val="00694D40"/>
    <w:rsid w:val="00694F4B"/>
    <w:rsid w:val="00694FC1"/>
    <w:rsid w:val="0069505F"/>
    <w:rsid w:val="006950CC"/>
    <w:rsid w:val="00695171"/>
    <w:rsid w:val="006952C9"/>
    <w:rsid w:val="00695666"/>
    <w:rsid w:val="006956B7"/>
    <w:rsid w:val="00695B2C"/>
    <w:rsid w:val="00695BCC"/>
    <w:rsid w:val="00695BF5"/>
    <w:rsid w:val="00695C16"/>
    <w:rsid w:val="00695C47"/>
    <w:rsid w:val="00695C96"/>
    <w:rsid w:val="00696418"/>
    <w:rsid w:val="006965ED"/>
    <w:rsid w:val="00696640"/>
    <w:rsid w:val="006966D2"/>
    <w:rsid w:val="00696938"/>
    <w:rsid w:val="006969A4"/>
    <w:rsid w:val="00696B55"/>
    <w:rsid w:val="00696BC5"/>
    <w:rsid w:val="00696E51"/>
    <w:rsid w:val="00696F23"/>
    <w:rsid w:val="006970A8"/>
    <w:rsid w:val="006971AE"/>
    <w:rsid w:val="006972B1"/>
    <w:rsid w:val="00697606"/>
    <w:rsid w:val="006976E1"/>
    <w:rsid w:val="0069782C"/>
    <w:rsid w:val="00697B1B"/>
    <w:rsid w:val="00697DCE"/>
    <w:rsid w:val="006A00AA"/>
    <w:rsid w:val="006A0376"/>
    <w:rsid w:val="006A04C7"/>
    <w:rsid w:val="006A0B97"/>
    <w:rsid w:val="006A1121"/>
    <w:rsid w:val="006A14CC"/>
    <w:rsid w:val="006A170C"/>
    <w:rsid w:val="006A17CF"/>
    <w:rsid w:val="006A1CA2"/>
    <w:rsid w:val="006A1F4F"/>
    <w:rsid w:val="006A2B27"/>
    <w:rsid w:val="006A2D06"/>
    <w:rsid w:val="006A2EE7"/>
    <w:rsid w:val="006A3035"/>
    <w:rsid w:val="006A30BF"/>
    <w:rsid w:val="006A32AC"/>
    <w:rsid w:val="006A34D5"/>
    <w:rsid w:val="006A3619"/>
    <w:rsid w:val="006A38B8"/>
    <w:rsid w:val="006A38E6"/>
    <w:rsid w:val="006A3AC5"/>
    <w:rsid w:val="006A3B90"/>
    <w:rsid w:val="006A3C95"/>
    <w:rsid w:val="006A3E81"/>
    <w:rsid w:val="006A3FE9"/>
    <w:rsid w:val="006A405D"/>
    <w:rsid w:val="006A4118"/>
    <w:rsid w:val="006A429B"/>
    <w:rsid w:val="006A4515"/>
    <w:rsid w:val="006A46B6"/>
    <w:rsid w:val="006A46E1"/>
    <w:rsid w:val="006A4819"/>
    <w:rsid w:val="006A4900"/>
    <w:rsid w:val="006A4D83"/>
    <w:rsid w:val="006A4F36"/>
    <w:rsid w:val="006A50A9"/>
    <w:rsid w:val="006A5BD6"/>
    <w:rsid w:val="006A6016"/>
    <w:rsid w:val="006A601C"/>
    <w:rsid w:val="006A60D1"/>
    <w:rsid w:val="006A6304"/>
    <w:rsid w:val="006A67D1"/>
    <w:rsid w:val="006A6C15"/>
    <w:rsid w:val="006A6C6C"/>
    <w:rsid w:val="006A6DD9"/>
    <w:rsid w:val="006A6E6E"/>
    <w:rsid w:val="006A73FB"/>
    <w:rsid w:val="006A778A"/>
    <w:rsid w:val="006A7A64"/>
    <w:rsid w:val="006A7C9D"/>
    <w:rsid w:val="006A7CE3"/>
    <w:rsid w:val="006A7D03"/>
    <w:rsid w:val="006A7DE9"/>
    <w:rsid w:val="006A7E3E"/>
    <w:rsid w:val="006A7F7A"/>
    <w:rsid w:val="006A9152"/>
    <w:rsid w:val="006B0008"/>
    <w:rsid w:val="006B02C3"/>
    <w:rsid w:val="006B0463"/>
    <w:rsid w:val="006B060E"/>
    <w:rsid w:val="006B066D"/>
    <w:rsid w:val="006B0694"/>
    <w:rsid w:val="006B0800"/>
    <w:rsid w:val="006B089F"/>
    <w:rsid w:val="006B12D4"/>
    <w:rsid w:val="006B1616"/>
    <w:rsid w:val="006B18F4"/>
    <w:rsid w:val="006B19F1"/>
    <w:rsid w:val="006B1A53"/>
    <w:rsid w:val="006B1D23"/>
    <w:rsid w:val="006B1DDB"/>
    <w:rsid w:val="006B1F0B"/>
    <w:rsid w:val="006B245D"/>
    <w:rsid w:val="006B24D2"/>
    <w:rsid w:val="006B29A5"/>
    <w:rsid w:val="006B29AC"/>
    <w:rsid w:val="006B2A3B"/>
    <w:rsid w:val="006B2B65"/>
    <w:rsid w:val="006B2B95"/>
    <w:rsid w:val="006B331D"/>
    <w:rsid w:val="006B341C"/>
    <w:rsid w:val="006B34AF"/>
    <w:rsid w:val="006B34FA"/>
    <w:rsid w:val="006B3846"/>
    <w:rsid w:val="006B397C"/>
    <w:rsid w:val="006B3DA8"/>
    <w:rsid w:val="006B400F"/>
    <w:rsid w:val="006B4098"/>
    <w:rsid w:val="006B4156"/>
    <w:rsid w:val="006B4249"/>
    <w:rsid w:val="006B446E"/>
    <w:rsid w:val="006B44CB"/>
    <w:rsid w:val="006B46BE"/>
    <w:rsid w:val="006B49BF"/>
    <w:rsid w:val="006B4A67"/>
    <w:rsid w:val="006B4B74"/>
    <w:rsid w:val="006B5020"/>
    <w:rsid w:val="006B52F9"/>
    <w:rsid w:val="006B5338"/>
    <w:rsid w:val="006B5524"/>
    <w:rsid w:val="006B58DF"/>
    <w:rsid w:val="006B5B11"/>
    <w:rsid w:val="006B5EFF"/>
    <w:rsid w:val="006B5FC8"/>
    <w:rsid w:val="006B6044"/>
    <w:rsid w:val="006B6206"/>
    <w:rsid w:val="006B64EA"/>
    <w:rsid w:val="006B65C8"/>
    <w:rsid w:val="006B6EBE"/>
    <w:rsid w:val="006B6F3D"/>
    <w:rsid w:val="006B6FCC"/>
    <w:rsid w:val="006B7073"/>
    <w:rsid w:val="006B7287"/>
    <w:rsid w:val="006B7311"/>
    <w:rsid w:val="006B7369"/>
    <w:rsid w:val="006B748E"/>
    <w:rsid w:val="006B78DE"/>
    <w:rsid w:val="006B7947"/>
    <w:rsid w:val="006B7AB2"/>
    <w:rsid w:val="006B7C61"/>
    <w:rsid w:val="006B7FE3"/>
    <w:rsid w:val="006C0068"/>
    <w:rsid w:val="006C0198"/>
    <w:rsid w:val="006C0406"/>
    <w:rsid w:val="006C0432"/>
    <w:rsid w:val="006C0485"/>
    <w:rsid w:val="006C06C4"/>
    <w:rsid w:val="006C0C9C"/>
    <w:rsid w:val="006C1350"/>
    <w:rsid w:val="006C1476"/>
    <w:rsid w:val="006C1610"/>
    <w:rsid w:val="006C1722"/>
    <w:rsid w:val="006C17D3"/>
    <w:rsid w:val="006C1C1F"/>
    <w:rsid w:val="006C1D2B"/>
    <w:rsid w:val="006C21CD"/>
    <w:rsid w:val="006C21E0"/>
    <w:rsid w:val="006C2325"/>
    <w:rsid w:val="006C2607"/>
    <w:rsid w:val="006C2A13"/>
    <w:rsid w:val="006C2AE0"/>
    <w:rsid w:val="006C2FF9"/>
    <w:rsid w:val="006C3009"/>
    <w:rsid w:val="006C3290"/>
    <w:rsid w:val="006C355B"/>
    <w:rsid w:val="006C37DC"/>
    <w:rsid w:val="006C38B4"/>
    <w:rsid w:val="006C3995"/>
    <w:rsid w:val="006C3B2C"/>
    <w:rsid w:val="006C3B36"/>
    <w:rsid w:val="006C4138"/>
    <w:rsid w:val="006C417D"/>
    <w:rsid w:val="006C422A"/>
    <w:rsid w:val="006C494C"/>
    <w:rsid w:val="006C5301"/>
    <w:rsid w:val="006C5316"/>
    <w:rsid w:val="006C5352"/>
    <w:rsid w:val="006C544E"/>
    <w:rsid w:val="006C55BB"/>
    <w:rsid w:val="006C567E"/>
    <w:rsid w:val="006C584D"/>
    <w:rsid w:val="006C5985"/>
    <w:rsid w:val="006C5EAF"/>
    <w:rsid w:val="006C60BB"/>
    <w:rsid w:val="006C61CC"/>
    <w:rsid w:val="006C6218"/>
    <w:rsid w:val="006C62D9"/>
    <w:rsid w:val="006C6345"/>
    <w:rsid w:val="006C635B"/>
    <w:rsid w:val="006C63B2"/>
    <w:rsid w:val="006C65B4"/>
    <w:rsid w:val="006C6722"/>
    <w:rsid w:val="006C6AF4"/>
    <w:rsid w:val="006C6B86"/>
    <w:rsid w:val="006C70DD"/>
    <w:rsid w:val="006C7399"/>
    <w:rsid w:val="006C7823"/>
    <w:rsid w:val="006C79C2"/>
    <w:rsid w:val="006C7B33"/>
    <w:rsid w:val="006C7C72"/>
    <w:rsid w:val="006D004A"/>
    <w:rsid w:val="006D01CE"/>
    <w:rsid w:val="006D02FA"/>
    <w:rsid w:val="006D09E8"/>
    <w:rsid w:val="006D0D69"/>
    <w:rsid w:val="006D1584"/>
    <w:rsid w:val="006D161F"/>
    <w:rsid w:val="006D1661"/>
    <w:rsid w:val="006D18F7"/>
    <w:rsid w:val="006D19D0"/>
    <w:rsid w:val="006D1BD5"/>
    <w:rsid w:val="006D1E9E"/>
    <w:rsid w:val="006D282C"/>
    <w:rsid w:val="006D2F5C"/>
    <w:rsid w:val="006D3090"/>
    <w:rsid w:val="006D326D"/>
    <w:rsid w:val="006D331E"/>
    <w:rsid w:val="006D35B8"/>
    <w:rsid w:val="006D36A4"/>
    <w:rsid w:val="006D3767"/>
    <w:rsid w:val="006D385C"/>
    <w:rsid w:val="006D3C6B"/>
    <w:rsid w:val="006D3E20"/>
    <w:rsid w:val="006D3F34"/>
    <w:rsid w:val="006D4313"/>
    <w:rsid w:val="006D431C"/>
    <w:rsid w:val="006D4493"/>
    <w:rsid w:val="006D46CD"/>
    <w:rsid w:val="006D4BD3"/>
    <w:rsid w:val="006D4C4B"/>
    <w:rsid w:val="006D5032"/>
    <w:rsid w:val="006D5172"/>
    <w:rsid w:val="006D51C9"/>
    <w:rsid w:val="006D5659"/>
    <w:rsid w:val="006D56DB"/>
    <w:rsid w:val="006D590A"/>
    <w:rsid w:val="006D5914"/>
    <w:rsid w:val="006D5B85"/>
    <w:rsid w:val="006D5F2D"/>
    <w:rsid w:val="006D5FF3"/>
    <w:rsid w:val="006D6059"/>
    <w:rsid w:val="006D61D9"/>
    <w:rsid w:val="006D625B"/>
    <w:rsid w:val="006D635E"/>
    <w:rsid w:val="006D6FFC"/>
    <w:rsid w:val="006D7079"/>
    <w:rsid w:val="006D7114"/>
    <w:rsid w:val="006D73E0"/>
    <w:rsid w:val="006D760D"/>
    <w:rsid w:val="006D76E1"/>
    <w:rsid w:val="006D78DB"/>
    <w:rsid w:val="006D78F6"/>
    <w:rsid w:val="006D7A1F"/>
    <w:rsid w:val="006D7FFE"/>
    <w:rsid w:val="006E01A6"/>
    <w:rsid w:val="006E0280"/>
    <w:rsid w:val="006E0883"/>
    <w:rsid w:val="006E0ACB"/>
    <w:rsid w:val="006E0B61"/>
    <w:rsid w:val="006E0C5E"/>
    <w:rsid w:val="006E0DDE"/>
    <w:rsid w:val="006E0E50"/>
    <w:rsid w:val="006E1278"/>
    <w:rsid w:val="006E175D"/>
    <w:rsid w:val="006E1898"/>
    <w:rsid w:val="006E1C73"/>
    <w:rsid w:val="006E1F43"/>
    <w:rsid w:val="006E2499"/>
    <w:rsid w:val="006E2595"/>
    <w:rsid w:val="006E2918"/>
    <w:rsid w:val="006E2D15"/>
    <w:rsid w:val="006E2DB0"/>
    <w:rsid w:val="006E2DE1"/>
    <w:rsid w:val="006E2FA2"/>
    <w:rsid w:val="006E3009"/>
    <w:rsid w:val="006E305A"/>
    <w:rsid w:val="006E3185"/>
    <w:rsid w:val="006E3A17"/>
    <w:rsid w:val="006E3A62"/>
    <w:rsid w:val="006E3B1C"/>
    <w:rsid w:val="006E3BA0"/>
    <w:rsid w:val="006E3D26"/>
    <w:rsid w:val="006E40C7"/>
    <w:rsid w:val="006E40D8"/>
    <w:rsid w:val="006E46C0"/>
    <w:rsid w:val="006E496B"/>
    <w:rsid w:val="006E49D7"/>
    <w:rsid w:val="006E54EF"/>
    <w:rsid w:val="006E5546"/>
    <w:rsid w:val="006E559B"/>
    <w:rsid w:val="006E55CA"/>
    <w:rsid w:val="006E5BB7"/>
    <w:rsid w:val="006E5C4C"/>
    <w:rsid w:val="006E5EB1"/>
    <w:rsid w:val="006E6028"/>
    <w:rsid w:val="006E62E2"/>
    <w:rsid w:val="006E6A16"/>
    <w:rsid w:val="006E6CA9"/>
    <w:rsid w:val="006E6DEA"/>
    <w:rsid w:val="006F027A"/>
    <w:rsid w:val="006F0385"/>
    <w:rsid w:val="006F04AE"/>
    <w:rsid w:val="006F064B"/>
    <w:rsid w:val="006F073B"/>
    <w:rsid w:val="006F09C0"/>
    <w:rsid w:val="006F09D2"/>
    <w:rsid w:val="006F1045"/>
    <w:rsid w:val="006F13BA"/>
    <w:rsid w:val="006F152A"/>
    <w:rsid w:val="006F162A"/>
    <w:rsid w:val="006F16A8"/>
    <w:rsid w:val="006F16DC"/>
    <w:rsid w:val="006F1BB1"/>
    <w:rsid w:val="006F20FE"/>
    <w:rsid w:val="006F2112"/>
    <w:rsid w:val="006F21C5"/>
    <w:rsid w:val="006F22E7"/>
    <w:rsid w:val="006F23F2"/>
    <w:rsid w:val="006F24B5"/>
    <w:rsid w:val="006F283B"/>
    <w:rsid w:val="006F2A74"/>
    <w:rsid w:val="006F2CF7"/>
    <w:rsid w:val="006F2D51"/>
    <w:rsid w:val="006F2EA7"/>
    <w:rsid w:val="006F2F6B"/>
    <w:rsid w:val="006F3037"/>
    <w:rsid w:val="006F3066"/>
    <w:rsid w:val="006F3190"/>
    <w:rsid w:val="006F322E"/>
    <w:rsid w:val="006F3732"/>
    <w:rsid w:val="006F374C"/>
    <w:rsid w:val="006F3991"/>
    <w:rsid w:val="006F4189"/>
    <w:rsid w:val="006F44E4"/>
    <w:rsid w:val="006F48A4"/>
    <w:rsid w:val="006F48E7"/>
    <w:rsid w:val="006F49F7"/>
    <w:rsid w:val="006F4A76"/>
    <w:rsid w:val="006F4D24"/>
    <w:rsid w:val="006F4D3B"/>
    <w:rsid w:val="006F4EB9"/>
    <w:rsid w:val="006F526E"/>
    <w:rsid w:val="006F5649"/>
    <w:rsid w:val="006F5A9C"/>
    <w:rsid w:val="006F5B42"/>
    <w:rsid w:val="006F5FD6"/>
    <w:rsid w:val="006F63A5"/>
    <w:rsid w:val="006F63EE"/>
    <w:rsid w:val="006F65EC"/>
    <w:rsid w:val="006F6683"/>
    <w:rsid w:val="006F677F"/>
    <w:rsid w:val="006F6976"/>
    <w:rsid w:val="006F6A5F"/>
    <w:rsid w:val="006F6D28"/>
    <w:rsid w:val="006F6DC2"/>
    <w:rsid w:val="006F6EB9"/>
    <w:rsid w:val="006F71EC"/>
    <w:rsid w:val="006F72C3"/>
    <w:rsid w:val="006F72F8"/>
    <w:rsid w:val="006F737B"/>
    <w:rsid w:val="006F74C0"/>
    <w:rsid w:val="006F7646"/>
    <w:rsid w:val="006F7A5D"/>
    <w:rsid w:val="006F7D9B"/>
    <w:rsid w:val="006F7DD9"/>
    <w:rsid w:val="00700100"/>
    <w:rsid w:val="00700334"/>
    <w:rsid w:val="007003F5"/>
    <w:rsid w:val="0070060D"/>
    <w:rsid w:val="00700719"/>
    <w:rsid w:val="007009F1"/>
    <w:rsid w:val="00700B97"/>
    <w:rsid w:val="00700B9D"/>
    <w:rsid w:val="00700C31"/>
    <w:rsid w:val="00700CFC"/>
    <w:rsid w:val="00701508"/>
    <w:rsid w:val="0070150A"/>
    <w:rsid w:val="00701A1B"/>
    <w:rsid w:val="00701AF1"/>
    <w:rsid w:val="00701C92"/>
    <w:rsid w:val="00701C9E"/>
    <w:rsid w:val="00701D2F"/>
    <w:rsid w:val="00701E48"/>
    <w:rsid w:val="007022F1"/>
    <w:rsid w:val="0070231F"/>
    <w:rsid w:val="00702464"/>
    <w:rsid w:val="00702778"/>
    <w:rsid w:val="0070280D"/>
    <w:rsid w:val="00702B80"/>
    <w:rsid w:val="00702C13"/>
    <w:rsid w:val="00702CC6"/>
    <w:rsid w:val="00702D0A"/>
    <w:rsid w:val="00702FC3"/>
    <w:rsid w:val="007030A5"/>
    <w:rsid w:val="00703281"/>
    <w:rsid w:val="00703591"/>
    <w:rsid w:val="00703839"/>
    <w:rsid w:val="007039C7"/>
    <w:rsid w:val="00703A8A"/>
    <w:rsid w:val="007042C9"/>
    <w:rsid w:val="00704350"/>
    <w:rsid w:val="007043D6"/>
    <w:rsid w:val="00704788"/>
    <w:rsid w:val="0070482A"/>
    <w:rsid w:val="00704913"/>
    <w:rsid w:val="00704A58"/>
    <w:rsid w:val="00704A59"/>
    <w:rsid w:val="00704B7F"/>
    <w:rsid w:val="00704F47"/>
    <w:rsid w:val="00704F4F"/>
    <w:rsid w:val="007052F9"/>
    <w:rsid w:val="007056F1"/>
    <w:rsid w:val="00706183"/>
    <w:rsid w:val="00706531"/>
    <w:rsid w:val="00706584"/>
    <w:rsid w:val="00706599"/>
    <w:rsid w:val="007068FF"/>
    <w:rsid w:val="00706914"/>
    <w:rsid w:val="00706950"/>
    <w:rsid w:val="00706A65"/>
    <w:rsid w:val="00706B56"/>
    <w:rsid w:val="00706D62"/>
    <w:rsid w:val="00706DD2"/>
    <w:rsid w:val="007072B9"/>
    <w:rsid w:val="007072C6"/>
    <w:rsid w:val="0070779C"/>
    <w:rsid w:val="007077CF"/>
    <w:rsid w:val="0070786B"/>
    <w:rsid w:val="00707A67"/>
    <w:rsid w:val="00707D72"/>
    <w:rsid w:val="00707F08"/>
    <w:rsid w:val="0071004F"/>
    <w:rsid w:val="007102C8"/>
    <w:rsid w:val="0071041F"/>
    <w:rsid w:val="00710B6D"/>
    <w:rsid w:val="00710C10"/>
    <w:rsid w:val="00710CBE"/>
    <w:rsid w:val="00710D86"/>
    <w:rsid w:val="00710F7D"/>
    <w:rsid w:val="00710FD1"/>
    <w:rsid w:val="007110BE"/>
    <w:rsid w:val="007111B7"/>
    <w:rsid w:val="007111DB"/>
    <w:rsid w:val="0071163E"/>
    <w:rsid w:val="007117F0"/>
    <w:rsid w:val="007118E1"/>
    <w:rsid w:val="00711B23"/>
    <w:rsid w:val="00711B43"/>
    <w:rsid w:val="00711C20"/>
    <w:rsid w:val="00711E1C"/>
    <w:rsid w:val="00711F4B"/>
    <w:rsid w:val="00711FEA"/>
    <w:rsid w:val="00712668"/>
    <w:rsid w:val="007126AC"/>
    <w:rsid w:val="0071270D"/>
    <w:rsid w:val="007134C7"/>
    <w:rsid w:val="00713676"/>
    <w:rsid w:val="00713930"/>
    <w:rsid w:val="00713A7E"/>
    <w:rsid w:val="00713C2B"/>
    <w:rsid w:val="00713E23"/>
    <w:rsid w:val="00713E71"/>
    <w:rsid w:val="007144B9"/>
    <w:rsid w:val="007145ED"/>
    <w:rsid w:val="007148C9"/>
    <w:rsid w:val="00714915"/>
    <w:rsid w:val="00714974"/>
    <w:rsid w:val="00714A43"/>
    <w:rsid w:val="00714D0E"/>
    <w:rsid w:val="00714D3F"/>
    <w:rsid w:val="00714F08"/>
    <w:rsid w:val="00715013"/>
    <w:rsid w:val="007152A8"/>
    <w:rsid w:val="00715593"/>
    <w:rsid w:val="007156C1"/>
    <w:rsid w:val="00715D42"/>
    <w:rsid w:val="00715E5F"/>
    <w:rsid w:val="00715E7E"/>
    <w:rsid w:val="00715E82"/>
    <w:rsid w:val="00715EC1"/>
    <w:rsid w:val="007163FD"/>
    <w:rsid w:val="007167E2"/>
    <w:rsid w:val="00716995"/>
    <w:rsid w:val="00717608"/>
    <w:rsid w:val="00717939"/>
    <w:rsid w:val="00717B30"/>
    <w:rsid w:val="00717B35"/>
    <w:rsid w:val="00717F12"/>
    <w:rsid w:val="00717F64"/>
    <w:rsid w:val="00720543"/>
    <w:rsid w:val="00720663"/>
    <w:rsid w:val="00720A4A"/>
    <w:rsid w:val="00720E06"/>
    <w:rsid w:val="00720E65"/>
    <w:rsid w:val="007211DD"/>
    <w:rsid w:val="007216BE"/>
    <w:rsid w:val="00721751"/>
    <w:rsid w:val="007219CE"/>
    <w:rsid w:val="00722100"/>
    <w:rsid w:val="007222F9"/>
    <w:rsid w:val="00722511"/>
    <w:rsid w:val="0072266A"/>
    <w:rsid w:val="00722D4F"/>
    <w:rsid w:val="00722FEB"/>
    <w:rsid w:val="00723813"/>
    <w:rsid w:val="00723C65"/>
    <w:rsid w:val="00723F6B"/>
    <w:rsid w:val="007240D1"/>
    <w:rsid w:val="007241DE"/>
    <w:rsid w:val="007241DF"/>
    <w:rsid w:val="00724257"/>
    <w:rsid w:val="007244D5"/>
    <w:rsid w:val="00724888"/>
    <w:rsid w:val="007248DC"/>
    <w:rsid w:val="0072491E"/>
    <w:rsid w:val="007249CF"/>
    <w:rsid w:val="00724AC6"/>
    <w:rsid w:val="00724B75"/>
    <w:rsid w:val="00725195"/>
    <w:rsid w:val="0072543D"/>
    <w:rsid w:val="00725566"/>
    <w:rsid w:val="00725632"/>
    <w:rsid w:val="00725703"/>
    <w:rsid w:val="0072573D"/>
    <w:rsid w:val="007259E3"/>
    <w:rsid w:val="00725A2A"/>
    <w:rsid w:val="00725A79"/>
    <w:rsid w:val="00725B05"/>
    <w:rsid w:val="00725B43"/>
    <w:rsid w:val="00725DE0"/>
    <w:rsid w:val="00725F75"/>
    <w:rsid w:val="0072657E"/>
    <w:rsid w:val="00726610"/>
    <w:rsid w:val="00726751"/>
    <w:rsid w:val="0072675C"/>
    <w:rsid w:val="0072695E"/>
    <w:rsid w:val="00726A9C"/>
    <w:rsid w:val="00726ABA"/>
    <w:rsid w:val="00726B3A"/>
    <w:rsid w:val="00726D1F"/>
    <w:rsid w:val="00726E3E"/>
    <w:rsid w:val="007273EC"/>
    <w:rsid w:val="007275B1"/>
    <w:rsid w:val="007278E5"/>
    <w:rsid w:val="00727A08"/>
    <w:rsid w:val="00727C69"/>
    <w:rsid w:val="007300CF"/>
    <w:rsid w:val="0073036A"/>
    <w:rsid w:val="0073043A"/>
    <w:rsid w:val="007305C7"/>
    <w:rsid w:val="0073088C"/>
    <w:rsid w:val="00730F7F"/>
    <w:rsid w:val="00730F81"/>
    <w:rsid w:val="007310E4"/>
    <w:rsid w:val="0073136A"/>
    <w:rsid w:val="00731A55"/>
    <w:rsid w:val="00731AF9"/>
    <w:rsid w:val="00731C94"/>
    <w:rsid w:val="00732104"/>
    <w:rsid w:val="00732220"/>
    <w:rsid w:val="00732296"/>
    <w:rsid w:val="0073246F"/>
    <w:rsid w:val="00732540"/>
    <w:rsid w:val="0073296F"/>
    <w:rsid w:val="00732A54"/>
    <w:rsid w:val="00732AA2"/>
    <w:rsid w:val="00732B0D"/>
    <w:rsid w:val="00732B89"/>
    <w:rsid w:val="00732DB2"/>
    <w:rsid w:val="00732FDB"/>
    <w:rsid w:val="00733158"/>
    <w:rsid w:val="00733655"/>
    <w:rsid w:val="00733C2D"/>
    <w:rsid w:val="00734033"/>
    <w:rsid w:val="007341BE"/>
    <w:rsid w:val="007342FF"/>
    <w:rsid w:val="0073431F"/>
    <w:rsid w:val="0073454E"/>
    <w:rsid w:val="00734803"/>
    <w:rsid w:val="00734E12"/>
    <w:rsid w:val="00734FAB"/>
    <w:rsid w:val="00735453"/>
    <w:rsid w:val="0073587A"/>
    <w:rsid w:val="007358C8"/>
    <w:rsid w:val="00735AC2"/>
    <w:rsid w:val="00735B26"/>
    <w:rsid w:val="00735C0E"/>
    <w:rsid w:val="00735D45"/>
    <w:rsid w:val="00735D92"/>
    <w:rsid w:val="0073613E"/>
    <w:rsid w:val="007364D6"/>
    <w:rsid w:val="00736866"/>
    <w:rsid w:val="007368F9"/>
    <w:rsid w:val="00736B3C"/>
    <w:rsid w:val="00736B6D"/>
    <w:rsid w:val="00737289"/>
    <w:rsid w:val="00737325"/>
    <w:rsid w:val="0073741C"/>
    <w:rsid w:val="00737420"/>
    <w:rsid w:val="00737445"/>
    <w:rsid w:val="007374AC"/>
    <w:rsid w:val="00737934"/>
    <w:rsid w:val="00737CFB"/>
    <w:rsid w:val="0074050B"/>
    <w:rsid w:val="007406AC"/>
    <w:rsid w:val="00740968"/>
    <w:rsid w:val="00740993"/>
    <w:rsid w:val="00740ADE"/>
    <w:rsid w:val="00740BF0"/>
    <w:rsid w:val="0074182E"/>
    <w:rsid w:val="00741B49"/>
    <w:rsid w:val="00741F34"/>
    <w:rsid w:val="00741FAA"/>
    <w:rsid w:val="0074228F"/>
    <w:rsid w:val="007425F1"/>
    <w:rsid w:val="00742A1F"/>
    <w:rsid w:val="00742BC1"/>
    <w:rsid w:val="00742BDC"/>
    <w:rsid w:val="00742D27"/>
    <w:rsid w:val="00743438"/>
    <w:rsid w:val="007434BE"/>
    <w:rsid w:val="0074372C"/>
    <w:rsid w:val="00743966"/>
    <w:rsid w:val="00743DE6"/>
    <w:rsid w:val="00743E1D"/>
    <w:rsid w:val="00743F9F"/>
    <w:rsid w:val="0074417B"/>
    <w:rsid w:val="007441B4"/>
    <w:rsid w:val="007441F1"/>
    <w:rsid w:val="00744643"/>
    <w:rsid w:val="00744992"/>
    <w:rsid w:val="00744BCC"/>
    <w:rsid w:val="00744D26"/>
    <w:rsid w:val="0074505F"/>
    <w:rsid w:val="00745255"/>
    <w:rsid w:val="00745543"/>
    <w:rsid w:val="007457C5"/>
    <w:rsid w:val="00745838"/>
    <w:rsid w:val="007458DA"/>
    <w:rsid w:val="007459C5"/>
    <w:rsid w:val="007459CD"/>
    <w:rsid w:val="00745CE7"/>
    <w:rsid w:val="00745E1E"/>
    <w:rsid w:val="0074600E"/>
    <w:rsid w:val="0074609E"/>
    <w:rsid w:val="00746145"/>
    <w:rsid w:val="00746722"/>
    <w:rsid w:val="007468E6"/>
    <w:rsid w:val="00746B5E"/>
    <w:rsid w:val="00746BF2"/>
    <w:rsid w:val="0074718F"/>
    <w:rsid w:val="007475AF"/>
    <w:rsid w:val="007477FF"/>
    <w:rsid w:val="00747944"/>
    <w:rsid w:val="00747A1E"/>
    <w:rsid w:val="00750073"/>
    <w:rsid w:val="007504B6"/>
    <w:rsid w:val="00750516"/>
    <w:rsid w:val="007506AA"/>
    <w:rsid w:val="007506D5"/>
    <w:rsid w:val="00750A1F"/>
    <w:rsid w:val="00750D62"/>
    <w:rsid w:val="00750D6F"/>
    <w:rsid w:val="007510EF"/>
    <w:rsid w:val="007513D0"/>
    <w:rsid w:val="00751554"/>
    <w:rsid w:val="00751701"/>
    <w:rsid w:val="00751745"/>
    <w:rsid w:val="00751817"/>
    <w:rsid w:val="0075199D"/>
    <w:rsid w:val="00751CE7"/>
    <w:rsid w:val="00751DA5"/>
    <w:rsid w:val="00751E98"/>
    <w:rsid w:val="007520DB"/>
    <w:rsid w:val="0075254F"/>
    <w:rsid w:val="0075269A"/>
    <w:rsid w:val="0075282D"/>
    <w:rsid w:val="007528AA"/>
    <w:rsid w:val="00752B59"/>
    <w:rsid w:val="00752BA6"/>
    <w:rsid w:val="00752BB5"/>
    <w:rsid w:val="00752DDB"/>
    <w:rsid w:val="00752EF7"/>
    <w:rsid w:val="00752F80"/>
    <w:rsid w:val="00752FDD"/>
    <w:rsid w:val="00753489"/>
    <w:rsid w:val="00753CDD"/>
    <w:rsid w:val="0075409C"/>
    <w:rsid w:val="007541E6"/>
    <w:rsid w:val="007544A8"/>
    <w:rsid w:val="0075491B"/>
    <w:rsid w:val="00754B8C"/>
    <w:rsid w:val="00754C26"/>
    <w:rsid w:val="00754FB0"/>
    <w:rsid w:val="007554E6"/>
    <w:rsid w:val="007557E2"/>
    <w:rsid w:val="00756007"/>
    <w:rsid w:val="00756102"/>
    <w:rsid w:val="00756219"/>
    <w:rsid w:val="007562CD"/>
    <w:rsid w:val="0075631E"/>
    <w:rsid w:val="00756718"/>
    <w:rsid w:val="00756726"/>
    <w:rsid w:val="007569F0"/>
    <w:rsid w:val="00756BD4"/>
    <w:rsid w:val="00756C7E"/>
    <w:rsid w:val="007573C6"/>
    <w:rsid w:val="0075755C"/>
    <w:rsid w:val="00757596"/>
    <w:rsid w:val="00757888"/>
    <w:rsid w:val="00757DA7"/>
    <w:rsid w:val="00757E77"/>
    <w:rsid w:val="00757F36"/>
    <w:rsid w:val="0076024F"/>
    <w:rsid w:val="007604A2"/>
    <w:rsid w:val="00760676"/>
    <w:rsid w:val="007606D6"/>
    <w:rsid w:val="007606F6"/>
    <w:rsid w:val="00760845"/>
    <w:rsid w:val="00760D22"/>
    <w:rsid w:val="00760D74"/>
    <w:rsid w:val="00760D76"/>
    <w:rsid w:val="00760DD1"/>
    <w:rsid w:val="00761522"/>
    <w:rsid w:val="0076165C"/>
    <w:rsid w:val="0076179B"/>
    <w:rsid w:val="0076196C"/>
    <w:rsid w:val="00761C29"/>
    <w:rsid w:val="00761D54"/>
    <w:rsid w:val="00761DD6"/>
    <w:rsid w:val="00762359"/>
    <w:rsid w:val="00762BB9"/>
    <w:rsid w:val="00763241"/>
    <w:rsid w:val="007632E8"/>
    <w:rsid w:val="00763883"/>
    <w:rsid w:val="00763A68"/>
    <w:rsid w:val="00763AA6"/>
    <w:rsid w:val="00763ACB"/>
    <w:rsid w:val="00763B22"/>
    <w:rsid w:val="00763FB6"/>
    <w:rsid w:val="0076407C"/>
    <w:rsid w:val="007642E4"/>
    <w:rsid w:val="00764A15"/>
    <w:rsid w:val="00764E35"/>
    <w:rsid w:val="00764F4F"/>
    <w:rsid w:val="0076554E"/>
    <w:rsid w:val="007655F9"/>
    <w:rsid w:val="007658E2"/>
    <w:rsid w:val="00765A7B"/>
    <w:rsid w:val="00765AC3"/>
    <w:rsid w:val="00765B0C"/>
    <w:rsid w:val="00766341"/>
    <w:rsid w:val="00766BB1"/>
    <w:rsid w:val="00766D84"/>
    <w:rsid w:val="00766D95"/>
    <w:rsid w:val="00766E27"/>
    <w:rsid w:val="007674C6"/>
    <w:rsid w:val="0076762F"/>
    <w:rsid w:val="007676C3"/>
    <w:rsid w:val="00767905"/>
    <w:rsid w:val="00767B61"/>
    <w:rsid w:val="00767BCA"/>
    <w:rsid w:val="00767CF6"/>
    <w:rsid w:val="00770197"/>
    <w:rsid w:val="0077092A"/>
    <w:rsid w:val="00770A45"/>
    <w:rsid w:val="00770C04"/>
    <w:rsid w:val="00771086"/>
    <w:rsid w:val="007717B3"/>
    <w:rsid w:val="00771AF5"/>
    <w:rsid w:val="00771E91"/>
    <w:rsid w:val="00771EAC"/>
    <w:rsid w:val="00771EB3"/>
    <w:rsid w:val="00771F5F"/>
    <w:rsid w:val="007720A9"/>
    <w:rsid w:val="00772165"/>
    <w:rsid w:val="007726BE"/>
    <w:rsid w:val="007727D9"/>
    <w:rsid w:val="00772A88"/>
    <w:rsid w:val="00772B7A"/>
    <w:rsid w:val="00772E6F"/>
    <w:rsid w:val="007732CD"/>
    <w:rsid w:val="007733B2"/>
    <w:rsid w:val="00773A5E"/>
    <w:rsid w:val="00773C5D"/>
    <w:rsid w:val="00773CBF"/>
    <w:rsid w:val="00774022"/>
    <w:rsid w:val="00774165"/>
    <w:rsid w:val="007742A6"/>
    <w:rsid w:val="00774877"/>
    <w:rsid w:val="00774895"/>
    <w:rsid w:val="007749D3"/>
    <w:rsid w:val="00774ABD"/>
    <w:rsid w:val="00774C5F"/>
    <w:rsid w:val="00774D60"/>
    <w:rsid w:val="0077517F"/>
    <w:rsid w:val="00775316"/>
    <w:rsid w:val="007754AB"/>
    <w:rsid w:val="00775868"/>
    <w:rsid w:val="00775915"/>
    <w:rsid w:val="00775930"/>
    <w:rsid w:val="00775950"/>
    <w:rsid w:val="00775C84"/>
    <w:rsid w:val="00775E11"/>
    <w:rsid w:val="00776072"/>
    <w:rsid w:val="00776FCD"/>
    <w:rsid w:val="00777374"/>
    <w:rsid w:val="00777A77"/>
    <w:rsid w:val="00777D4C"/>
    <w:rsid w:val="00780355"/>
    <w:rsid w:val="007803D2"/>
    <w:rsid w:val="0078049D"/>
    <w:rsid w:val="007806C1"/>
    <w:rsid w:val="00780765"/>
    <w:rsid w:val="00780852"/>
    <w:rsid w:val="007808AA"/>
    <w:rsid w:val="00780AD4"/>
    <w:rsid w:val="00780D04"/>
    <w:rsid w:val="00780EFB"/>
    <w:rsid w:val="00780F04"/>
    <w:rsid w:val="00780F8A"/>
    <w:rsid w:val="007810D2"/>
    <w:rsid w:val="00781349"/>
    <w:rsid w:val="00781601"/>
    <w:rsid w:val="00781EE5"/>
    <w:rsid w:val="00781EFD"/>
    <w:rsid w:val="007820B3"/>
    <w:rsid w:val="007824D6"/>
    <w:rsid w:val="0078262C"/>
    <w:rsid w:val="00782B13"/>
    <w:rsid w:val="0078307E"/>
    <w:rsid w:val="00783240"/>
    <w:rsid w:val="00783497"/>
    <w:rsid w:val="00783549"/>
    <w:rsid w:val="00783597"/>
    <w:rsid w:val="00783601"/>
    <w:rsid w:val="0078364F"/>
    <w:rsid w:val="0078370B"/>
    <w:rsid w:val="007838CD"/>
    <w:rsid w:val="00783AAF"/>
    <w:rsid w:val="00783C0E"/>
    <w:rsid w:val="00784667"/>
    <w:rsid w:val="00784913"/>
    <w:rsid w:val="00784B03"/>
    <w:rsid w:val="00784C09"/>
    <w:rsid w:val="00784FED"/>
    <w:rsid w:val="00785278"/>
    <w:rsid w:val="00785E86"/>
    <w:rsid w:val="007862DB"/>
    <w:rsid w:val="00786AE7"/>
    <w:rsid w:val="00786C26"/>
    <w:rsid w:val="00786E35"/>
    <w:rsid w:val="00786FDC"/>
    <w:rsid w:val="00787305"/>
    <w:rsid w:val="00787A0C"/>
    <w:rsid w:val="00787C9B"/>
    <w:rsid w:val="00787C9E"/>
    <w:rsid w:val="00787DC4"/>
    <w:rsid w:val="00787DC5"/>
    <w:rsid w:val="00787F3D"/>
    <w:rsid w:val="00790536"/>
    <w:rsid w:val="00790A23"/>
    <w:rsid w:val="00790A83"/>
    <w:rsid w:val="00790A86"/>
    <w:rsid w:val="00790C10"/>
    <w:rsid w:val="00790C87"/>
    <w:rsid w:val="00790DF9"/>
    <w:rsid w:val="00790E46"/>
    <w:rsid w:val="00790FEC"/>
    <w:rsid w:val="00791236"/>
    <w:rsid w:val="0079166A"/>
    <w:rsid w:val="007916FE"/>
    <w:rsid w:val="007917F2"/>
    <w:rsid w:val="0079183D"/>
    <w:rsid w:val="00791C93"/>
    <w:rsid w:val="007920A7"/>
    <w:rsid w:val="007920EF"/>
    <w:rsid w:val="00792207"/>
    <w:rsid w:val="00792B78"/>
    <w:rsid w:val="00792CE5"/>
    <w:rsid w:val="00792DB6"/>
    <w:rsid w:val="00792FCD"/>
    <w:rsid w:val="0079302D"/>
    <w:rsid w:val="00793183"/>
    <w:rsid w:val="007933F2"/>
    <w:rsid w:val="007934EF"/>
    <w:rsid w:val="00793C91"/>
    <w:rsid w:val="00793CF2"/>
    <w:rsid w:val="00793D67"/>
    <w:rsid w:val="00793D70"/>
    <w:rsid w:val="00793EC2"/>
    <w:rsid w:val="007941EB"/>
    <w:rsid w:val="007944B4"/>
    <w:rsid w:val="00794504"/>
    <w:rsid w:val="0079458B"/>
    <w:rsid w:val="00794769"/>
    <w:rsid w:val="00794778"/>
    <w:rsid w:val="00794AB0"/>
    <w:rsid w:val="00794B15"/>
    <w:rsid w:val="00794C56"/>
    <w:rsid w:val="00794F3A"/>
    <w:rsid w:val="00795240"/>
    <w:rsid w:val="00795302"/>
    <w:rsid w:val="0079547B"/>
    <w:rsid w:val="0079556A"/>
    <w:rsid w:val="0079589D"/>
    <w:rsid w:val="00795AFF"/>
    <w:rsid w:val="00795BF5"/>
    <w:rsid w:val="00795E55"/>
    <w:rsid w:val="00796375"/>
    <w:rsid w:val="0079690B"/>
    <w:rsid w:val="0079690F"/>
    <w:rsid w:val="00796FDB"/>
    <w:rsid w:val="007970E3"/>
    <w:rsid w:val="007972F3"/>
    <w:rsid w:val="00797361"/>
    <w:rsid w:val="007974D5"/>
    <w:rsid w:val="0079766C"/>
    <w:rsid w:val="00797830"/>
    <w:rsid w:val="0079783A"/>
    <w:rsid w:val="00797BEB"/>
    <w:rsid w:val="00797CD2"/>
    <w:rsid w:val="00797D40"/>
    <w:rsid w:val="00797D7E"/>
    <w:rsid w:val="00797ED4"/>
    <w:rsid w:val="007A008E"/>
    <w:rsid w:val="007A0995"/>
    <w:rsid w:val="007A0AFB"/>
    <w:rsid w:val="007A0E0F"/>
    <w:rsid w:val="007A0FAB"/>
    <w:rsid w:val="007A1064"/>
    <w:rsid w:val="007A129A"/>
    <w:rsid w:val="007A13FE"/>
    <w:rsid w:val="007A1D9A"/>
    <w:rsid w:val="007A1DBE"/>
    <w:rsid w:val="007A23BE"/>
    <w:rsid w:val="007A28A6"/>
    <w:rsid w:val="007A2C93"/>
    <w:rsid w:val="007A2C95"/>
    <w:rsid w:val="007A2F87"/>
    <w:rsid w:val="007A35E1"/>
    <w:rsid w:val="007A395F"/>
    <w:rsid w:val="007A3C1C"/>
    <w:rsid w:val="007A403A"/>
    <w:rsid w:val="007A4215"/>
    <w:rsid w:val="007A43A7"/>
    <w:rsid w:val="007A4405"/>
    <w:rsid w:val="007A456A"/>
    <w:rsid w:val="007A465F"/>
    <w:rsid w:val="007A476A"/>
    <w:rsid w:val="007A4E5B"/>
    <w:rsid w:val="007A4F4D"/>
    <w:rsid w:val="007A5087"/>
    <w:rsid w:val="007A5292"/>
    <w:rsid w:val="007A5600"/>
    <w:rsid w:val="007A5A39"/>
    <w:rsid w:val="007A5C9B"/>
    <w:rsid w:val="007A5E96"/>
    <w:rsid w:val="007A61BD"/>
    <w:rsid w:val="007A624A"/>
    <w:rsid w:val="007A6256"/>
    <w:rsid w:val="007A685B"/>
    <w:rsid w:val="007A69BC"/>
    <w:rsid w:val="007A69DF"/>
    <w:rsid w:val="007A6C29"/>
    <w:rsid w:val="007A6DFD"/>
    <w:rsid w:val="007A6E5D"/>
    <w:rsid w:val="007A6FFE"/>
    <w:rsid w:val="007A728A"/>
    <w:rsid w:val="007A74B1"/>
    <w:rsid w:val="007A77FD"/>
    <w:rsid w:val="007A783D"/>
    <w:rsid w:val="007A78EB"/>
    <w:rsid w:val="007A7A3B"/>
    <w:rsid w:val="007A7B87"/>
    <w:rsid w:val="007A7C1A"/>
    <w:rsid w:val="007A7D55"/>
    <w:rsid w:val="007A7D76"/>
    <w:rsid w:val="007A7D91"/>
    <w:rsid w:val="007A7F34"/>
    <w:rsid w:val="007B0067"/>
    <w:rsid w:val="007B00E8"/>
    <w:rsid w:val="007B0135"/>
    <w:rsid w:val="007B014A"/>
    <w:rsid w:val="007B02D9"/>
    <w:rsid w:val="007B0415"/>
    <w:rsid w:val="007B04FE"/>
    <w:rsid w:val="007B0966"/>
    <w:rsid w:val="007B0B29"/>
    <w:rsid w:val="007B0F2E"/>
    <w:rsid w:val="007B0F86"/>
    <w:rsid w:val="007B1177"/>
    <w:rsid w:val="007B14C2"/>
    <w:rsid w:val="007B1515"/>
    <w:rsid w:val="007B1963"/>
    <w:rsid w:val="007B1A1D"/>
    <w:rsid w:val="007B1A5F"/>
    <w:rsid w:val="007B1ACB"/>
    <w:rsid w:val="007B218A"/>
    <w:rsid w:val="007B2787"/>
    <w:rsid w:val="007B296D"/>
    <w:rsid w:val="007B2A2F"/>
    <w:rsid w:val="007B2A98"/>
    <w:rsid w:val="007B2B59"/>
    <w:rsid w:val="007B2B62"/>
    <w:rsid w:val="007B2BDA"/>
    <w:rsid w:val="007B2C0F"/>
    <w:rsid w:val="007B2CBC"/>
    <w:rsid w:val="007B310D"/>
    <w:rsid w:val="007B3431"/>
    <w:rsid w:val="007B36F5"/>
    <w:rsid w:val="007B3937"/>
    <w:rsid w:val="007B3A09"/>
    <w:rsid w:val="007B3AF0"/>
    <w:rsid w:val="007B3B00"/>
    <w:rsid w:val="007B3CF9"/>
    <w:rsid w:val="007B3E54"/>
    <w:rsid w:val="007B40DE"/>
    <w:rsid w:val="007B415A"/>
    <w:rsid w:val="007B44FA"/>
    <w:rsid w:val="007B45AF"/>
    <w:rsid w:val="007B4829"/>
    <w:rsid w:val="007B4A4F"/>
    <w:rsid w:val="007B4DCE"/>
    <w:rsid w:val="007B4F0E"/>
    <w:rsid w:val="007B5040"/>
    <w:rsid w:val="007B50AA"/>
    <w:rsid w:val="007B50BF"/>
    <w:rsid w:val="007B511F"/>
    <w:rsid w:val="007B51F9"/>
    <w:rsid w:val="007B56C7"/>
    <w:rsid w:val="007B5E82"/>
    <w:rsid w:val="007B5ED3"/>
    <w:rsid w:val="007B614E"/>
    <w:rsid w:val="007B61E6"/>
    <w:rsid w:val="007B6347"/>
    <w:rsid w:val="007B6407"/>
    <w:rsid w:val="007B644B"/>
    <w:rsid w:val="007B64B0"/>
    <w:rsid w:val="007B64B8"/>
    <w:rsid w:val="007B66FF"/>
    <w:rsid w:val="007B6807"/>
    <w:rsid w:val="007B684B"/>
    <w:rsid w:val="007B68F8"/>
    <w:rsid w:val="007B6A38"/>
    <w:rsid w:val="007B6B97"/>
    <w:rsid w:val="007B6C09"/>
    <w:rsid w:val="007B7591"/>
    <w:rsid w:val="007B760F"/>
    <w:rsid w:val="007B778A"/>
    <w:rsid w:val="007B781E"/>
    <w:rsid w:val="007B7847"/>
    <w:rsid w:val="007B790B"/>
    <w:rsid w:val="007B7A01"/>
    <w:rsid w:val="007B7B9E"/>
    <w:rsid w:val="007B7BC2"/>
    <w:rsid w:val="007B7CD3"/>
    <w:rsid w:val="007B7E36"/>
    <w:rsid w:val="007C03E0"/>
    <w:rsid w:val="007C09CE"/>
    <w:rsid w:val="007C0D05"/>
    <w:rsid w:val="007C0D66"/>
    <w:rsid w:val="007C0E41"/>
    <w:rsid w:val="007C0F64"/>
    <w:rsid w:val="007C0FAF"/>
    <w:rsid w:val="007C114A"/>
    <w:rsid w:val="007C1179"/>
    <w:rsid w:val="007C1438"/>
    <w:rsid w:val="007C192F"/>
    <w:rsid w:val="007C1E67"/>
    <w:rsid w:val="007C1F33"/>
    <w:rsid w:val="007C24E6"/>
    <w:rsid w:val="007C27B7"/>
    <w:rsid w:val="007C28E8"/>
    <w:rsid w:val="007C2A07"/>
    <w:rsid w:val="007C2B00"/>
    <w:rsid w:val="007C2B35"/>
    <w:rsid w:val="007C2DEB"/>
    <w:rsid w:val="007C35C2"/>
    <w:rsid w:val="007C3731"/>
    <w:rsid w:val="007C37C9"/>
    <w:rsid w:val="007C39C1"/>
    <w:rsid w:val="007C3BE8"/>
    <w:rsid w:val="007C3D98"/>
    <w:rsid w:val="007C3F45"/>
    <w:rsid w:val="007C3F6E"/>
    <w:rsid w:val="007C479E"/>
    <w:rsid w:val="007C4932"/>
    <w:rsid w:val="007C49C5"/>
    <w:rsid w:val="007C53B0"/>
    <w:rsid w:val="007C53FE"/>
    <w:rsid w:val="007C563F"/>
    <w:rsid w:val="007C5651"/>
    <w:rsid w:val="007C59D9"/>
    <w:rsid w:val="007C5B5D"/>
    <w:rsid w:val="007C5BC7"/>
    <w:rsid w:val="007C5BDF"/>
    <w:rsid w:val="007C5CFE"/>
    <w:rsid w:val="007C60D4"/>
    <w:rsid w:val="007C6282"/>
    <w:rsid w:val="007C6328"/>
    <w:rsid w:val="007C636E"/>
    <w:rsid w:val="007C6804"/>
    <w:rsid w:val="007C69D8"/>
    <w:rsid w:val="007C6AAC"/>
    <w:rsid w:val="007C71A4"/>
    <w:rsid w:val="007C726F"/>
    <w:rsid w:val="007C7400"/>
    <w:rsid w:val="007C75CE"/>
    <w:rsid w:val="007C7880"/>
    <w:rsid w:val="007C7AB2"/>
    <w:rsid w:val="007C7ACF"/>
    <w:rsid w:val="007C7D65"/>
    <w:rsid w:val="007C98B4"/>
    <w:rsid w:val="007D03D0"/>
    <w:rsid w:val="007D085F"/>
    <w:rsid w:val="007D0CE9"/>
    <w:rsid w:val="007D0F34"/>
    <w:rsid w:val="007D119B"/>
    <w:rsid w:val="007D11F4"/>
    <w:rsid w:val="007D1272"/>
    <w:rsid w:val="007D130E"/>
    <w:rsid w:val="007D131C"/>
    <w:rsid w:val="007D136C"/>
    <w:rsid w:val="007D13D1"/>
    <w:rsid w:val="007D1462"/>
    <w:rsid w:val="007D15A9"/>
    <w:rsid w:val="007D17F3"/>
    <w:rsid w:val="007D1892"/>
    <w:rsid w:val="007D1ABA"/>
    <w:rsid w:val="007D1D5C"/>
    <w:rsid w:val="007D1ED4"/>
    <w:rsid w:val="007D24C5"/>
    <w:rsid w:val="007D272C"/>
    <w:rsid w:val="007D2A23"/>
    <w:rsid w:val="007D2B3E"/>
    <w:rsid w:val="007D2C46"/>
    <w:rsid w:val="007D2D83"/>
    <w:rsid w:val="007D2D89"/>
    <w:rsid w:val="007D2E67"/>
    <w:rsid w:val="007D3279"/>
    <w:rsid w:val="007D3449"/>
    <w:rsid w:val="007D3524"/>
    <w:rsid w:val="007D3529"/>
    <w:rsid w:val="007D37E3"/>
    <w:rsid w:val="007D3972"/>
    <w:rsid w:val="007D3A93"/>
    <w:rsid w:val="007D3C1E"/>
    <w:rsid w:val="007D3C51"/>
    <w:rsid w:val="007D3D2F"/>
    <w:rsid w:val="007D3F05"/>
    <w:rsid w:val="007D3F8A"/>
    <w:rsid w:val="007D413A"/>
    <w:rsid w:val="007D46EC"/>
    <w:rsid w:val="007D4901"/>
    <w:rsid w:val="007D518C"/>
    <w:rsid w:val="007D519F"/>
    <w:rsid w:val="007D5200"/>
    <w:rsid w:val="007D5786"/>
    <w:rsid w:val="007D5868"/>
    <w:rsid w:val="007D594E"/>
    <w:rsid w:val="007D5D11"/>
    <w:rsid w:val="007D62C8"/>
    <w:rsid w:val="007D6710"/>
    <w:rsid w:val="007D677A"/>
    <w:rsid w:val="007D67BD"/>
    <w:rsid w:val="007D6862"/>
    <w:rsid w:val="007D68B9"/>
    <w:rsid w:val="007D6908"/>
    <w:rsid w:val="007D6A1C"/>
    <w:rsid w:val="007D6DF2"/>
    <w:rsid w:val="007D6E12"/>
    <w:rsid w:val="007D6EAB"/>
    <w:rsid w:val="007D71FC"/>
    <w:rsid w:val="007D77CE"/>
    <w:rsid w:val="007D798F"/>
    <w:rsid w:val="007D7D18"/>
    <w:rsid w:val="007D7D33"/>
    <w:rsid w:val="007E0336"/>
    <w:rsid w:val="007E0505"/>
    <w:rsid w:val="007E0599"/>
    <w:rsid w:val="007E089A"/>
    <w:rsid w:val="007E0BEA"/>
    <w:rsid w:val="007E0CF1"/>
    <w:rsid w:val="007E0D0F"/>
    <w:rsid w:val="007E110E"/>
    <w:rsid w:val="007E122A"/>
    <w:rsid w:val="007E1409"/>
    <w:rsid w:val="007E143F"/>
    <w:rsid w:val="007E1621"/>
    <w:rsid w:val="007E185F"/>
    <w:rsid w:val="007E1A12"/>
    <w:rsid w:val="007E1A58"/>
    <w:rsid w:val="007E1D20"/>
    <w:rsid w:val="007E2671"/>
    <w:rsid w:val="007E2768"/>
    <w:rsid w:val="007E2778"/>
    <w:rsid w:val="007E280C"/>
    <w:rsid w:val="007E2C2C"/>
    <w:rsid w:val="007E2E18"/>
    <w:rsid w:val="007E3AD6"/>
    <w:rsid w:val="007E3DCC"/>
    <w:rsid w:val="007E41D4"/>
    <w:rsid w:val="007E4AF7"/>
    <w:rsid w:val="007E4BAD"/>
    <w:rsid w:val="007E4D6E"/>
    <w:rsid w:val="007E5111"/>
    <w:rsid w:val="007E5174"/>
    <w:rsid w:val="007E544F"/>
    <w:rsid w:val="007E55CD"/>
    <w:rsid w:val="007E5787"/>
    <w:rsid w:val="007E5C4F"/>
    <w:rsid w:val="007E5CBE"/>
    <w:rsid w:val="007E5D95"/>
    <w:rsid w:val="007E6149"/>
    <w:rsid w:val="007E627E"/>
    <w:rsid w:val="007E668F"/>
    <w:rsid w:val="007E675F"/>
    <w:rsid w:val="007E691F"/>
    <w:rsid w:val="007E6B88"/>
    <w:rsid w:val="007E6D29"/>
    <w:rsid w:val="007E70BD"/>
    <w:rsid w:val="007E7105"/>
    <w:rsid w:val="007E73E9"/>
    <w:rsid w:val="007E7491"/>
    <w:rsid w:val="007E75B8"/>
    <w:rsid w:val="007E77CD"/>
    <w:rsid w:val="007E786F"/>
    <w:rsid w:val="007E7919"/>
    <w:rsid w:val="007E7FF3"/>
    <w:rsid w:val="007F06A2"/>
    <w:rsid w:val="007F071A"/>
    <w:rsid w:val="007F0815"/>
    <w:rsid w:val="007F0B76"/>
    <w:rsid w:val="007F0D2A"/>
    <w:rsid w:val="007F0E0B"/>
    <w:rsid w:val="007F0F20"/>
    <w:rsid w:val="007F0F77"/>
    <w:rsid w:val="007F103E"/>
    <w:rsid w:val="007F13BF"/>
    <w:rsid w:val="007F18D6"/>
    <w:rsid w:val="007F1B69"/>
    <w:rsid w:val="007F1DC3"/>
    <w:rsid w:val="007F1FDD"/>
    <w:rsid w:val="007F262E"/>
    <w:rsid w:val="007F299C"/>
    <w:rsid w:val="007F29A7"/>
    <w:rsid w:val="007F29C7"/>
    <w:rsid w:val="007F2A2E"/>
    <w:rsid w:val="007F2BC0"/>
    <w:rsid w:val="007F2BFC"/>
    <w:rsid w:val="007F2EC1"/>
    <w:rsid w:val="007F326C"/>
    <w:rsid w:val="007F336E"/>
    <w:rsid w:val="007F35EE"/>
    <w:rsid w:val="007F377F"/>
    <w:rsid w:val="007F470A"/>
    <w:rsid w:val="007F4839"/>
    <w:rsid w:val="007F4A92"/>
    <w:rsid w:val="007F4B18"/>
    <w:rsid w:val="007F4FB5"/>
    <w:rsid w:val="007F529B"/>
    <w:rsid w:val="007F534A"/>
    <w:rsid w:val="007F553A"/>
    <w:rsid w:val="007F565A"/>
    <w:rsid w:val="007F56B9"/>
    <w:rsid w:val="007F57F7"/>
    <w:rsid w:val="007F588D"/>
    <w:rsid w:val="007F5BF4"/>
    <w:rsid w:val="007F5D68"/>
    <w:rsid w:val="007F5EB9"/>
    <w:rsid w:val="007F60BD"/>
    <w:rsid w:val="007F6289"/>
    <w:rsid w:val="007F659D"/>
    <w:rsid w:val="007F67CA"/>
    <w:rsid w:val="007F6931"/>
    <w:rsid w:val="007F6972"/>
    <w:rsid w:val="007F6BF7"/>
    <w:rsid w:val="007F6C96"/>
    <w:rsid w:val="007F6DF9"/>
    <w:rsid w:val="007F6F90"/>
    <w:rsid w:val="007F721A"/>
    <w:rsid w:val="007F743A"/>
    <w:rsid w:val="007F76F6"/>
    <w:rsid w:val="007F7731"/>
    <w:rsid w:val="007F79EB"/>
    <w:rsid w:val="00800299"/>
    <w:rsid w:val="00800595"/>
    <w:rsid w:val="00800760"/>
    <w:rsid w:val="00800854"/>
    <w:rsid w:val="00800AD3"/>
    <w:rsid w:val="008012C9"/>
    <w:rsid w:val="00801A6D"/>
    <w:rsid w:val="00801B8C"/>
    <w:rsid w:val="00801CF6"/>
    <w:rsid w:val="008021DB"/>
    <w:rsid w:val="00802450"/>
    <w:rsid w:val="008024A7"/>
    <w:rsid w:val="00802540"/>
    <w:rsid w:val="008025A8"/>
    <w:rsid w:val="008025B6"/>
    <w:rsid w:val="008025CD"/>
    <w:rsid w:val="00802919"/>
    <w:rsid w:val="00802C9E"/>
    <w:rsid w:val="00802D6B"/>
    <w:rsid w:val="00802F62"/>
    <w:rsid w:val="008031A8"/>
    <w:rsid w:val="008033B8"/>
    <w:rsid w:val="008034E8"/>
    <w:rsid w:val="00803775"/>
    <w:rsid w:val="0080392E"/>
    <w:rsid w:val="00803B8B"/>
    <w:rsid w:val="00803CD1"/>
    <w:rsid w:val="00804386"/>
    <w:rsid w:val="00804A8D"/>
    <w:rsid w:val="008051B7"/>
    <w:rsid w:val="008052CB"/>
    <w:rsid w:val="0080545E"/>
    <w:rsid w:val="00805A2B"/>
    <w:rsid w:val="00805CB9"/>
    <w:rsid w:val="00805E5E"/>
    <w:rsid w:val="00806386"/>
    <w:rsid w:val="008066AE"/>
    <w:rsid w:val="00806819"/>
    <w:rsid w:val="0080696B"/>
    <w:rsid w:val="008069C7"/>
    <w:rsid w:val="00806C2D"/>
    <w:rsid w:val="00806D7A"/>
    <w:rsid w:val="00806DFE"/>
    <w:rsid w:val="00806F13"/>
    <w:rsid w:val="0080702A"/>
    <w:rsid w:val="008075B5"/>
    <w:rsid w:val="008075FA"/>
    <w:rsid w:val="00807712"/>
    <w:rsid w:val="00807725"/>
    <w:rsid w:val="008077A1"/>
    <w:rsid w:val="00807EA3"/>
    <w:rsid w:val="00807F0E"/>
    <w:rsid w:val="0081028D"/>
    <w:rsid w:val="008102BA"/>
    <w:rsid w:val="008105BC"/>
    <w:rsid w:val="00810608"/>
    <w:rsid w:val="0081087C"/>
    <w:rsid w:val="008108CF"/>
    <w:rsid w:val="008109FE"/>
    <w:rsid w:val="00810A04"/>
    <w:rsid w:val="00810C18"/>
    <w:rsid w:val="00811288"/>
    <w:rsid w:val="008121E3"/>
    <w:rsid w:val="00812229"/>
    <w:rsid w:val="00812431"/>
    <w:rsid w:val="00812542"/>
    <w:rsid w:val="00812554"/>
    <w:rsid w:val="0081255C"/>
    <w:rsid w:val="00812639"/>
    <w:rsid w:val="00812819"/>
    <w:rsid w:val="008129D7"/>
    <w:rsid w:val="00812AD0"/>
    <w:rsid w:val="00812CBE"/>
    <w:rsid w:val="00812FE4"/>
    <w:rsid w:val="00813131"/>
    <w:rsid w:val="008136A3"/>
    <w:rsid w:val="008137D9"/>
    <w:rsid w:val="00813C1A"/>
    <w:rsid w:val="00813C1C"/>
    <w:rsid w:val="00813D80"/>
    <w:rsid w:val="00813FEF"/>
    <w:rsid w:val="008140F5"/>
    <w:rsid w:val="0081438F"/>
    <w:rsid w:val="00814634"/>
    <w:rsid w:val="00814858"/>
    <w:rsid w:val="00814935"/>
    <w:rsid w:val="00814CDF"/>
    <w:rsid w:val="00814D4D"/>
    <w:rsid w:val="00814DF8"/>
    <w:rsid w:val="00814F86"/>
    <w:rsid w:val="008150C9"/>
    <w:rsid w:val="0081577F"/>
    <w:rsid w:val="00815880"/>
    <w:rsid w:val="00815910"/>
    <w:rsid w:val="00815A7D"/>
    <w:rsid w:val="00815E1B"/>
    <w:rsid w:val="00816565"/>
    <w:rsid w:val="00816583"/>
    <w:rsid w:val="00816606"/>
    <w:rsid w:val="0081660E"/>
    <w:rsid w:val="008166AC"/>
    <w:rsid w:val="008169B0"/>
    <w:rsid w:val="008169D3"/>
    <w:rsid w:val="00816DA3"/>
    <w:rsid w:val="00817064"/>
    <w:rsid w:val="00817589"/>
    <w:rsid w:val="00817833"/>
    <w:rsid w:val="00817CA2"/>
    <w:rsid w:val="00817DBA"/>
    <w:rsid w:val="00817EF8"/>
    <w:rsid w:val="008200DE"/>
    <w:rsid w:val="008200F0"/>
    <w:rsid w:val="00820769"/>
    <w:rsid w:val="0082076A"/>
    <w:rsid w:val="00820808"/>
    <w:rsid w:val="00820973"/>
    <w:rsid w:val="00820B39"/>
    <w:rsid w:val="00820B70"/>
    <w:rsid w:val="00820C9C"/>
    <w:rsid w:val="00820DB4"/>
    <w:rsid w:val="00821106"/>
    <w:rsid w:val="00821640"/>
    <w:rsid w:val="0082188E"/>
    <w:rsid w:val="00821AE8"/>
    <w:rsid w:val="00821BE8"/>
    <w:rsid w:val="0082206D"/>
    <w:rsid w:val="00822322"/>
    <w:rsid w:val="00822698"/>
    <w:rsid w:val="00822760"/>
    <w:rsid w:val="008227FB"/>
    <w:rsid w:val="00822D0B"/>
    <w:rsid w:val="00822DAB"/>
    <w:rsid w:val="0082329F"/>
    <w:rsid w:val="008232C9"/>
    <w:rsid w:val="008234BC"/>
    <w:rsid w:val="00823728"/>
    <w:rsid w:val="00823B1F"/>
    <w:rsid w:val="008242EA"/>
    <w:rsid w:val="008245E2"/>
    <w:rsid w:val="00824B26"/>
    <w:rsid w:val="00824C27"/>
    <w:rsid w:val="008251B0"/>
    <w:rsid w:val="00825387"/>
    <w:rsid w:val="00825436"/>
    <w:rsid w:val="008255F2"/>
    <w:rsid w:val="00825772"/>
    <w:rsid w:val="0082595D"/>
    <w:rsid w:val="008259AD"/>
    <w:rsid w:val="00825BA2"/>
    <w:rsid w:val="00825BCF"/>
    <w:rsid w:val="00825FB1"/>
    <w:rsid w:val="008262C5"/>
    <w:rsid w:val="008268F8"/>
    <w:rsid w:val="00826A36"/>
    <w:rsid w:val="00826A51"/>
    <w:rsid w:val="00826C66"/>
    <w:rsid w:val="0082702B"/>
    <w:rsid w:val="00827131"/>
    <w:rsid w:val="0082716C"/>
    <w:rsid w:val="008271D7"/>
    <w:rsid w:val="008272E0"/>
    <w:rsid w:val="008274A1"/>
    <w:rsid w:val="00827520"/>
    <w:rsid w:val="008276D4"/>
    <w:rsid w:val="00830601"/>
    <w:rsid w:val="00830889"/>
    <w:rsid w:val="00830B14"/>
    <w:rsid w:val="00830B1F"/>
    <w:rsid w:val="00830E2B"/>
    <w:rsid w:val="00831213"/>
    <w:rsid w:val="008313CC"/>
    <w:rsid w:val="0083180A"/>
    <w:rsid w:val="00831815"/>
    <w:rsid w:val="008318B8"/>
    <w:rsid w:val="008318CE"/>
    <w:rsid w:val="008321EF"/>
    <w:rsid w:val="0083241A"/>
    <w:rsid w:val="008325F1"/>
    <w:rsid w:val="00832CC9"/>
    <w:rsid w:val="00832E4C"/>
    <w:rsid w:val="00832EDD"/>
    <w:rsid w:val="00832F2C"/>
    <w:rsid w:val="00832FC1"/>
    <w:rsid w:val="0083337B"/>
    <w:rsid w:val="008336A6"/>
    <w:rsid w:val="00833708"/>
    <w:rsid w:val="0083387B"/>
    <w:rsid w:val="0083397D"/>
    <w:rsid w:val="00833C4D"/>
    <w:rsid w:val="0083402F"/>
    <w:rsid w:val="00834076"/>
    <w:rsid w:val="008343E0"/>
    <w:rsid w:val="008344DA"/>
    <w:rsid w:val="0083468E"/>
    <w:rsid w:val="008347A8"/>
    <w:rsid w:val="00834B7E"/>
    <w:rsid w:val="00834B8D"/>
    <w:rsid w:val="00834DCA"/>
    <w:rsid w:val="008351E7"/>
    <w:rsid w:val="00835237"/>
    <w:rsid w:val="008353C7"/>
    <w:rsid w:val="008353F8"/>
    <w:rsid w:val="00835885"/>
    <w:rsid w:val="00835956"/>
    <w:rsid w:val="00835C14"/>
    <w:rsid w:val="00835DC8"/>
    <w:rsid w:val="00835F6B"/>
    <w:rsid w:val="0083620D"/>
    <w:rsid w:val="00836253"/>
    <w:rsid w:val="008362EC"/>
    <w:rsid w:val="008365DC"/>
    <w:rsid w:val="00836D33"/>
    <w:rsid w:val="0083736A"/>
    <w:rsid w:val="0083785B"/>
    <w:rsid w:val="008379CA"/>
    <w:rsid w:val="00837B63"/>
    <w:rsid w:val="00837C02"/>
    <w:rsid w:val="00837C38"/>
    <w:rsid w:val="008401E7"/>
    <w:rsid w:val="008403D6"/>
    <w:rsid w:val="0084046E"/>
    <w:rsid w:val="00840881"/>
    <w:rsid w:val="00840B33"/>
    <w:rsid w:val="00840CC9"/>
    <w:rsid w:val="00840CD0"/>
    <w:rsid w:val="008414C6"/>
    <w:rsid w:val="008415A4"/>
    <w:rsid w:val="00841A82"/>
    <w:rsid w:val="00841C02"/>
    <w:rsid w:val="00841CBC"/>
    <w:rsid w:val="00841D3E"/>
    <w:rsid w:val="00841EA7"/>
    <w:rsid w:val="00841F1E"/>
    <w:rsid w:val="008420BE"/>
    <w:rsid w:val="00842211"/>
    <w:rsid w:val="008422B7"/>
    <w:rsid w:val="0084245D"/>
    <w:rsid w:val="008426FC"/>
    <w:rsid w:val="00842B49"/>
    <w:rsid w:val="00842B60"/>
    <w:rsid w:val="00842D3F"/>
    <w:rsid w:val="00842E83"/>
    <w:rsid w:val="00843114"/>
    <w:rsid w:val="00843176"/>
    <w:rsid w:val="00843998"/>
    <w:rsid w:val="008441E8"/>
    <w:rsid w:val="0084459F"/>
    <w:rsid w:val="00844737"/>
    <w:rsid w:val="0084477E"/>
    <w:rsid w:val="008447C7"/>
    <w:rsid w:val="00844850"/>
    <w:rsid w:val="00844ACC"/>
    <w:rsid w:val="00844B7C"/>
    <w:rsid w:val="00844EF4"/>
    <w:rsid w:val="00845020"/>
    <w:rsid w:val="00845160"/>
    <w:rsid w:val="008452E8"/>
    <w:rsid w:val="008458CB"/>
    <w:rsid w:val="00845997"/>
    <w:rsid w:val="00845E67"/>
    <w:rsid w:val="00846006"/>
    <w:rsid w:val="00846345"/>
    <w:rsid w:val="00846899"/>
    <w:rsid w:val="008468F2"/>
    <w:rsid w:val="00846A5E"/>
    <w:rsid w:val="00846AEF"/>
    <w:rsid w:val="00846C9A"/>
    <w:rsid w:val="00846D96"/>
    <w:rsid w:val="008475DE"/>
    <w:rsid w:val="00847744"/>
    <w:rsid w:val="00847BE0"/>
    <w:rsid w:val="0085000B"/>
    <w:rsid w:val="008501D4"/>
    <w:rsid w:val="00850370"/>
    <w:rsid w:val="008504B3"/>
    <w:rsid w:val="0085050C"/>
    <w:rsid w:val="00850998"/>
    <w:rsid w:val="008509EA"/>
    <w:rsid w:val="00850D53"/>
    <w:rsid w:val="00851256"/>
    <w:rsid w:val="008512CD"/>
    <w:rsid w:val="00851349"/>
    <w:rsid w:val="00851389"/>
    <w:rsid w:val="008515B1"/>
    <w:rsid w:val="008516B7"/>
    <w:rsid w:val="008519D1"/>
    <w:rsid w:val="00851C32"/>
    <w:rsid w:val="00851CB3"/>
    <w:rsid w:val="00851CE0"/>
    <w:rsid w:val="00851FB3"/>
    <w:rsid w:val="00852972"/>
    <w:rsid w:val="00852E25"/>
    <w:rsid w:val="00852E5E"/>
    <w:rsid w:val="00852F47"/>
    <w:rsid w:val="0085323E"/>
    <w:rsid w:val="00853598"/>
    <w:rsid w:val="00853680"/>
    <w:rsid w:val="00853AC9"/>
    <w:rsid w:val="00853C40"/>
    <w:rsid w:val="00853CED"/>
    <w:rsid w:val="00854063"/>
    <w:rsid w:val="008540F4"/>
    <w:rsid w:val="00854433"/>
    <w:rsid w:val="00854549"/>
    <w:rsid w:val="00854825"/>
    <w:rsid w:val="00854966"/>
    <w:rsid w:val="0085579B"/>
    <w:rsid w:val="0085583B"/>
    <w:rsid w:val="008558C1"/>
    <w:rsid w:val="00855C41"/>
    <w:rsid w:val="00855D40"/>
    <w:rsid w:val="008560D7"/>
    <w:rsid w:val="008564F4"/>
    <w:rsid w:val="008565AC"/>
    <w:rsid w:val="0085670D"/>
    <w:rsid w:val="0085698F"/>
    <w:rsid w:val="00857640"/>
    <w:rsid w:val="0085771D"/>
    <w:rsid w:val="008577A3"/>
    <w:rsid w:val="00857859"/>
    <w:rsid w:val="008578BA"/>
    <w:rsid w:val="008579F4"/>
    <w:rsid w:val="00857B18"/>
    <w:rsid w:val="00857B6F"/>
    <w:rsid w:val="00857BBB"/>
    <w:rsid w:val="00857ED6"/>
    <w:rsid w:val="00860007"/>
    <w:rsid w:val="0086066B"/>
    <w:rsid w:val="0086072F"/>
    <w:rsid w:val="00860A15"/>
    <w:rsid w:val="00860A40"/>
    <w:rsid w:val="00860C52"/>
    <w:rsid w:val="00860EE2"/>
    <w:rsid w:val="0086197D"/>
    <w:rsid w:val="00861E9C"/>
    <w:rsid w:val="00862008"/>
    <w:rsid w:val="0086202C"/>
    <w:rsid w:val="00862273"/>
    <w:rsid w:val="00862423"/>
    <w:rsid w:val="008627C4"/>
    <w:rsid w:val="00862832"/>
    <w:rsid w:val="0086290B"/>
    <w:rsid w:val="00862CE5"/>
    <w:rsid w:val="00862D73"/>
    <w:rsid w:val="00863023"/>
    <w:rsid w:val="008630A5"/>
    <w:rsid w:val="008635BA"/>
    <w:rsid w:val="00863632"/>
    <w:rsid w:val="00863C1F"/>
    <w:rsid w:val="00863D37"/>
    <w:rsid w:val="008640DF"/>
    <w:rsid w:val="00864576"/>
    <w:rsid w:val="00864BB8"/>
    <w:rsid w:val="00864BBD"/>
    <w:rsid w:val="00864E47"/>
    <w:rsid w:val="00864EDE"/>
    <w:rsid w:val="008651B9"/>
    <w:rsid w:val="00865266"/>
    <w:rsid w:val="0086529E"/>
    <w:rsid w:val="00865345"/>
    <w:rsid w:val="00865576"/>
    <w:rsid w:val="008657F9"/>
    <w:rsid w:val="00865813"/>
    <w:rsid w:val="00865A61"/>
    <w:rsid w:val="00865C75"/>
    <w:rsid w:val="00865DAC"/>
    <w:rsid w:val="0086607B"/>
    <w:rsid w:val="0086625F"/>
    <w:rsid w:val="008663A1"/>
    <w:rsid w:val="00866B8A"/>
    <w:rsid w:val="00866E61"/>
    <w:rsid w:val="00866ED4"/>
    <w:rsid w:val="0086722F"/>
    <w:rsid w:val="00867374"/>
    <w:rsid w:val="008674B6"/>
    <w:rsid w:val="00867795"/>
    <w:rsid w:val="0086787C"/>
    <w:rsid w:val="008679FF"/>
    <w:rsid w:val="00867A08"/>
    <w:rsid w:val="00867D68"/>
    <w:rsid w:val="00867E42"/>
    <w:rsid w:val="0087005F"/>
    <w:rsid w:val="008703ED"/>
    <w:rsid w:val="008704F4"/>
    <w:rsid w:val="008705FA"/>
    <w:rsid w:val="0087063B"/>
    <w:rsid w:val="00870B51"/>
    <w:rsid w:val="00870C5F"/>
    <w:rsid w:val="00870C8E"/>
    <w:rsid w:val="00871107"/>
    <w:rsid w:val="0087154E"/>
    <w:rsid w:val="0087161A"/>
    <w:rsid w:val="0087178E"/>
    <w:rsid w:val="00871E62"/>
    <w:rsid w:val="00871E7C"/>
    <w:rsid w:val="00871E95"/>
    <w:rsid w:val="008720D4"/>
    <w:rsid w:val="008720D8"/>
    <w:rsid w:val="00872504"/>
    <w:rsid w:val="00872A99"/>
    <w:rsid w:val="00872D12"/>
    <w:rsid w:val="00872E1D"/>
    <w:rsid w:val="00872EFA"/>
    <w:rsid w:val="0087322A"/>
    <w:rsid w:val="00873355"/>
    <w:rsid w:val="0087372F"/>
    <w:rsid w:val="00873B98"/>
    <w:rsid w:val="008741CA"/>
    <w:rsid w:val="00874249"/>
    <w:rsid w:val="00874371"/>
    <w:rsid w:val="0087441A"/>
    <w:rsid w:val="0087449A"/>
    <w:rsid w:val="0087452D"/>
    <w:rsid w:val="0087469D"/>
    <w:rsid w:val="00874726"/>
    <w:rsid w:val="00874853"/>
    <w:rsid w:val="008748D1"/>
    <w:rsid w:val="0087490F"/>
    <w:rsid w:val="00874D64"/>
    <w:rsid w:val="00874FBE"/>
    <w:rsid w:val="00875103"/>
    <w:rsid w:val="00875274"/>
    <w:rsid w:val="00875292"/>
    <w:rsid w:val="00875397"/>
    <w:rsid w:val="008757B4"/>
    <w:rsid w:val="00875854"/>
    <w:rsid w:val="008759F9"/>
    <w:rsid w:val="00875B7A"/>
    <w:rsid w:val="00875CE5"/>
    <w:rsid w:val="0087602B"/>
    <w:rsid w:val="00876157"/>
    <w:rsid w:val="0087621B"/>
    <w:rsid w:val="0087636F"/>
    <w:rsid w:val="00876402"/>
    <w:rsid w:val="008765C5"/>
    <w:rsid w:val="008767D3"/>
    <w:rsid w:val="008768BD"/>
    <w:rsid w:val="00876971"/>
    <w:rsid w:val="008769D3"/>
    <w:rsid w:val="00876CFA"/>
    <w:rsid w:val="008772EE"/>
    <w:rsid w:val="00877367"/>
    <w:rsid w:val="0087745C"/>
    <w:rsid w:val="00877558"/>
    <w:rsid w:val="00877E12"/>
    <w:rsid w:val="00877F59"/>
    <w:rsid w:val="00877F8A"/>
    <w:rsid w:val="0088032D"/>
    <w:rsid w:val="00880794"/>
    <w:rsid w:val="008807AD"/>
    <w:rsid w:val="0088085C"/>
    <w:rsid w:val="00880C4D"/>
    <w:rsid w:val="00880D5A"/>
    <w:rsid w:val="00880E58"/>
    <w:rsid w:val="00880EF9"/>
    <w:rsid w:val="0088110A"/>
    <w:rsid w:val="008812AD"/>
    <w:rsid w:val="00881685"/>
    <w:rsid w:val="0088192F"/>
    <w:rsid w:val="00881AAA"/>
    <w:rsid w:val="00881AB3"/>
    <w:rsid w:val="00881AC4"/>
    <w:rsid w:val="00881B2C"/>
    <w:rsid w:val="00881EBC"/>
    <w:rsid w:val="00881F92"/>
    <w:rsid w:val="008821FE"/>
    <w:rsid w:val="00882245"/>
    <w:rsid w:val="00882389"/>
    <w:rsid w:val="00882E33"/>
    <w:rsid w:val="008833FA"/>
    <w:rsid w:val="00883467"/>
    <w:rsid w:val="0088372F"/>
    <w:rsid w:val="008837A3"/>
    <w:rsid w:val="00883BD0"/>
    <w:rsid w:val="00883EFB"/>
    <w:rsid w:val="0088456B"/>
    <w:rsid w:val="0088467F"/>
    <w:rsid w:val="0088469C"/>
    <w:rsid w:val="00884BAA"/>
    <w:rsid w:val="00884D26"/>
    <w:rsid w:val="00884D5B"/>
    <w:rsid w:val="0088507D"/>
    <w:rsid w:val="00885162"/>
    <w:rsid w:val="0088517E"/>
    <w:rsid w:val="00885313"/>
    <w:rsid w:val="008854B0"/>
    <w:rsid w:val="00885946"/>
    <w:rsid w:val="00885A8A"/>
    <w:rsid w:val="00885FD4"/>
    <w:rsid w:val="008860C9"/>
    <w:rsid w:val="0088620E"/>
    <w:rsid w:val="0088687A"/>
    <w:rsid w:val="00886980"/>
    <w:rsid w:val="00886CC5"/>
    <w:rsid w:val="00886D99"/>
    <w:rsid w:val="00887350"/>
    <w:rsid w:val="008873D0"/>
    <w:rsid w:val="0088759F"/>
    <w:rsid w:val="0088764C"/>
    <w:rsid w:val="008876B3"/>
    <w:rsid w:val="008876C0"/>
    <w:rsid w:val="0088770F"/>
    <w:rsid w:val="00887758"/>
    <w:rsid w:val="00887799"/>
    <w:rsid w:val="00887811"/>
    <w:rsid w:val="00887A76"/>
    <w:rsid w:val="00887CD9"/>
    <w:rsid w:val="00887EB6"/>
    <w:rsid w:val="008900CA"/>
    <w:rsid w:val="008900E0"/>
    <w:rsid w:val="00890746"/>
    <w:rsid w:val="008907A3"/>
    <w:rsid w:val="00890DBF"/>
    <w:rsid w:val="008911DC"/>
    <w:rsid w:val="008913DA"/>
    <w:rsid w:val="00891576"/>
    <w:rsid w:val="00891673"/>
    <w:rsid w:val="00891753"/>
    <w:rsid w:val="008918AF"/>
    <w:rsid w:val="008918C9"/>
    <w:rsid w:val="00891ACD"/>
    <w:rsid w:val="00891BDD"/>
    <w:rsid w:val="00891D02"/>
    <w:rsid w:val="00891DDA"/>
    <w:rsid w:val="00892042"/>
    <w:rsid w:val="008920BB"/>
    <w:rsid w:val="008921BE"/>
    <w:rsid w:val="0089225C"/>
    <w:rsid w:val="0089237C"/>
    <w:rsid w:val="0089240C"/>
    <w:rsid w:val="00892C7B"/>
    <w:rsid w:val="00893070"/>
    <w:rsid w:val="0089323F"/>
    <w:rsid w:val="008932B4"/>
    <w:rsid w:val="0089360F"/>
    <w:rsid w:val="0089376C"/>
    <w:rsid w:val="00893AB8"/>
    <w:rsid w:val="00893C73"/>
    <w:rsid w:val="008946CF"/>
    <w:rsid w:val="00894732"/>
    <w:rsid w:val="008948D6"/>
    <w:rsid w:val="00894A7C"/>
    <w:rsid w:val="00894DF9"/>
    <w:rsid w:val="008951F1"/>
    <w:rsid w:val="00895782"/>
    <w:rsid w:val="00895E46"/>
    <w:rsid w:val="0089610D"/>
    <w:rsid w:val="008961E0"/>
    <w:rsid w:val="0089632B"/>
    <w:rsid w:val="008963CC"/>
    <w:rsid w:val="008964F4"/>
    <w:rsid w:val="00896525"/>
    <w:rsid w:val="0089659B"/>
    <w:rsid w:val="00896618"/>
    <w:rsid w:val="008968AE"/>
    <w:rsid w:val="008969D2"/>
    <w:rsid w:val="00896CA6"/>
    <w:rsid w:val="00896E8C"/>
    <w:rsid w:val="00897766"/>
    <w:rsid w:val="008977D1"/>
    <w:rsid w:val="00897894"/>
    <w:rsid w:val="008978C4"/>
    <w:rsid w:val="00897D31"/>
    <w:rsid w:val="00897E48"/>
    <w:rsid w:val="008A0092"/>
    <w:rsid w:val="008A0370"/>
    <w:rsid w:val="008A0433"/>
    <w:rsid w:val="008A09C0"/>
    <w:rsid w:val="008A09CD"/>
    <w:rsid w:val="008A09F1"/>
    <w:rsid w:val="008A0A95"/>
    <w:rsid w:val="008A0BAA"/>
    <w:rsid w:val="008A0C71"/>
    <w:rsid w:val="008A0DCC"/>
    <w:rsid w:val="008A0E76"/>
    <w:rsid w:val="008A0E91"/>
    <w:rsid w:val="008A0ECA"/>
    <w:rsid w:val="008A112A"/>
    <w:rsid w:val="008A1580"/>
    <w:rsid w:val="008A159D"/>
    <w:rsid w:val="008A1618"/>
    <w:rsid w:val="008A168C"/>
    <w:rsid w:val="008A1778"/>
    <w:rsid w:val="008A17A2"/>
    <w:rsid w:val="008A17D0"/>
    <w:rsid w:val="008A1945"/>
    <w:rsid w:val="008A1F88"/>
    <w:rsid w:val="008A203E"/>
    <w:rsid w:val="008A2285"/>
    <w:rsid w:val="008A22FD"/>
    <w:rsid w:val="008A2362"/>
    <w:rsid w:val="008A2370"/>
    <w:rsid w:val="008A2392"/>
    <w:rsid w:val="008A239E"/>
    <w:rsid w:val="008A2410"/>
    <w:rsid w:val="008A2615"/>
    <w:rsid w:val="008A2776"/>
    <w:rsid w:val="008A2871"/>
    <w:rsid w:val="008A2A32"/>
    <w:rsid w:val="008A2BF6"/>
    <w:rsid w:val="008A2DD3"/>
    <w:rsid w:val="008A2E08"/>
    <w:rsid w:val="008A3082"/>
    <w:rsid w:val="008A3944"/>
    <w:rsid w:val="008A39BD"/>
    <w:rsid w:val="008A3A0D"/>
    <w:rsid w:val="008A3C99"/>
    <w:rsid w:val="008A457E"/>
    <w:rsid w:val="008A4EE6"/>
    <w:rsid w:val="008A525D"/>
    <w:rsid w:val="008A5352"/>
    <w:rsid w:val="008A54D4"/>
    <w:rsid w:val="008A557A"/>
    <w:rsid w:val="008A567C"/>
    <w:rsid w:val="008A56B8"/>
    <w:rsid w:val="008A5789"/>
    <w:rsid w:val="008A57CD"/>
    <w:rsid w:val="008A5AA0"/>
    <w:rsid w:val="008A5DC5"/>
    <w:rsid w:val="008A5F6B"/>
    <w:rsid w:val="008A6085"/>
    <w:rsid w:val="008A6AEC"/>
    <w:rsid w:val="008A6B98"/>
    <w:rsid w:val="008A7124"/>
    <w:rsid w:val="008A7393"/>
    <w:rsid w:val="008A73F5"/>
    <w:rsid w:val="008A74F4"/>
    <w:rsid w:val="008A7691"/>
    <w:rsid w:val="008A7781"/>
    <w:rsid w:val="008B024A"/>
    <w:rsid w:val="008B080E"/>
    <w:rsid w:val="008B1007"/>
    <w:rsid w:val="008B102D"/>
    <w:rsid w:val="008B10AF"/>
    <w:rsid w:val="008B1116"/>
    <w:rsid w:val="008B1867"/>
    <w:rsid w:val="008B1AD3"/>
    <w:rsid w:val="008B1D68"/>
    <w:rsid w:val="008B1DF7"/>
    <w:rsid w:val="008B1EFB"/>
    <w:rsid w:val="008B1F59"/>
    <w:rsid w:val="008B1F77"/>
    <w:rsid w:val="008B2048"/>
    <w:rsid w:val="008B23E8"/>
    <w:rsid w:val="008B27A1"/>
    <w:rsid w:val="008B27FC"/>
    <w:rsid w:val="008B2868"/>
    <w:rsid w:val="008B2D00"/>
    <w:rsid w:val="008B2E63"/>
    <w:rsid w:val="008B31F7"/>
    <w:rsid w:val="008B32A0"/>
    <w:rsid w:val="008B330F"/>
    <w:rsid w:val="008B3407"/>
    <w:rsid w:val="008B39ED"/>
    <w:rsid w:val="008B3B3F"/>
    <w:rsid w:val="008B3BF8"/>
    <w:rsid w:val="008B3DED"/>
    <w:rsid w:val="008B4113"/>
    <w:rsid w:val="008B42E1"/>
    <w:rsid w:val="008B479A"/>
    <w:rsid w:val="008B4C5C"/>
    <w:rsid w:val="008B4EA2"/>
    <w:rsid w:val="008B4EDB"/>
    <w:rsid w:val="008B5667"/>
    <w:rsid w:val="008B5838"/>
    <w:rsid w:val="008B590A"/>
    <w:rsid w:val="008B5922"/>
    <w:rsid w:val="008B5C87"/>
    <w:rsid w:val="008B6459"/>
    <w:rsid w:val="008B64EE"/>
    <w:rsid w:val="008B663E"/>
    <w:rsid w:val="008B6998"/>
    <w:rsid w:val="008B69F2"/>
    <w:rsid w:val="008B6F12"/>
    <w:rsid w:val="008B6F75"/>
    <w:rsid w:val="008B735C"/>
    <w:rsid w:val="008B7693"/>
    <w:rsid w:val="008B7843"/>
    <w:rsid w:val="008B7E9F"/>
    <w:rsid w:val="008C00EB"/>
    <w:rsid w:val="008C056A"/>
    <w:rsid w:val="008C0678"/>
    <w:rsid w:val="008C0940"/>
    <w:rsid w:val="008C0BA1"/>
    <w:rsid w:val="008C0CDB"/>
    <w:rsid w:val="008C0EA5"/>
    <w:rsid w:val="008C110E"/>
    <w:rsid w:val="008C1891"/>
    <w:rsid w:val="008C19A8"/>
    <w:rsid w:val="008C1B24"/>
    <w:rsid w:val="008C1BAC"/>
    <w:rsid w:val="008C1F09"/>
    <w:rsid w:val="008C270F"/>
    <w:rsid w:val="008C2B6D"/>
    <w:rsid w:val="008C2C56"/>
    <w:rsid w:val="008C2DF4"/>
    <w:rsid w:val="008C2F64"/>
    <w:rsid w:val="008C3388"/>
    <w:rsid w:val="008C3461"/>
    <w:rsid w:val="008C34EF"/>
    <w:rsid w:val="008C36FD"/>
    <w:rsid w:val="008C3887"/>
    <w:rsid w:val="008C39CC"/>
    <w:rsid w:val="008C4127"/>
    <w:rsid w:val="008C434B"/>
    <w:rsid w:val="008C4360"/>
    <w:rsid w:val="008C487A"/>
    <w:rsid w:val="008C499B"/>
    <w:rsid w:val="008C4E70"/>
    <w:rsid w:val="008C4F67"/>
    <w:rsid w:val="008C5006"/>
    <w:rsid w:val="008C500B"/>
    <w:rsid w:val="008C514A"/>
    <w:rsid w:val="008C5AB5"/>
    <w:rsid w:val="008C5BE1"/>
    <w:rsid w:val="008C5F9D"/>
    <w:rsid w:val="008C65B4"/>
    <w:rsid w:val="008C66C1"/>
    <w:rsid w:val="008C6720"/>
    <w:rsid w:val="008C6ADD"/>
    <w:rsid w:val="008C6B01"/>
    <w:rsid w:val="008C6C1B"/>
    <w:rsid w:val="008C6D6A"/>
    <w:rsid w:val="008C6F78"/>
    <w:rsid w:val="008C70F3"/>
    <w:rsid w:val="008C714F"/>
    <w:rsid w:val="008C73E6"/>
    <w:rsid w:val="008C75B5"/>
    <w:rsid w:val="008C7777"/>
    <w:rsid w:val="008C7870"/>
    <w:rsid w:val="008C7BFC"/>
    <w:rsid w:val="008C7E37"/>
    <w:rsid w:val="008C7ED3"/>
    <w:rsid w:val="008C7F7D"/>
    <w:rsid w:val="008D0576"/>
    <w:rsid w:val="008D05B6"/>
    <w:rsid w:val="008D089E"/>
    <w:rsid w:val="008D0E08"/>
    <w:rsid w:val="008D1182"/>
    <w:rsid w:val="008D1301"/>
    <w:rsid w:val="008D1355"/>
    <w:rsid w:val="008D1AAC"/>
    <w:rsid w:val="008D1CC1"/>
    <w:rsid w:val="008D22DA"/>
    <w:rsid w:val="008D239F"/>
    <w:rsid w:val="008D23EE"/>
    <w:rsid w:val="008D270B"/>
    <w:rsid w:val="008D2B95"/>
    <w:rsid w:val="008D2CC3"/>
    <w:rsid w:val="008D2E09"/>
    <w:rsid w:val="008D2F78"/>
    <w:rsid w:val="008D3183"/>
    <w:rsid w:val="008D3808"/>
    <w:rsid w:val="008D3875"/>
    <w:rsid w:val="008D387F"/>
    <w:rsid w:val="008D38B3"/>
    <w:rsid w:val="008D3BDB"/>
    <w:rsid w:val="008D3E29"/>
    <w:rsid w:val="008D3F7C"/>
    <w:rsid w:val="008D45F3"/>
    <w:rsid w:val="008D4675"/>
    <w:rsid w:val="008D474F"/>
    <w:rsid w:val="008D4873"/>
    <w:rsid w:val="008D4A51"/>
    <w:rsid w:val="008D4AF5"/>
    <w:rsid w:val="008D4E5B"/>
    <w:rsid w:val="008D4F84"/>
    <w:rsid w:val="008D5168"/>
    <w:rsid w:val="008D52FC"/>
    <w:rsid w:val="008D55E8"/>
    <w:rsid w:val="008D59D6"/>
    <w:rsid w:val="008D619E"/>
    <w:rsid w:val="008D6213"/>
    <w:rsid w:val="008D6324"/>
    <w:rsid w:val="008D6332"/>
    <w:rsid w:val="008D6392"/>
    <w:rsid w:val="008D6BD5"/>
    <w:rsid w:val="008D6E95"/>
    <w:rsid w:val="008D6F8A"/>
    <w:rsid w:val="008D71C3"/>
    <w:rsid w:val="008D7467"/>
    <w:rsid w:val="008D7794"/>
    <w:rsid w:val="008D7976"/>
    <w:rsid w:val="008D7A4C"/>
    <w:rsid w:val="008D7C3B"/>
    <w:rsid w:val="008D7CD8"/>
    <w:rsid w:val="008D7D33"/>
    <w:rsid w:val="008D7D4C"/>
    <w:rsid w:val="008D7D80"/>
    <w:rsid w:val="008D7DDC"/>
    <w:rsid w:val="008D7E6C"/>
    <w:rsid w:val="008E019A"/>
    <w:rsid w:val="008E03E5"/>
    <w:rsid w:val="008E09BA"/>
    <w:rsid w:val="008E09EA"/>
    <w:rsid w:val="008E0BCE"/>
    <w:rsid w:val="008E1494"/>
    <w:rsid w:val="008E2830"/>
    <w:rsid w:val="008E2FB1"/>
    <w:rsid w:val="008E305B"/>
    <w:rsid w:val="008E36E9"/>
    <w:rsid w:val="008E382D"/>
    <w:rsid w:val="008E3A6A"/>
    <w:rsid w:val="008E3F5F"/>
    <w:rsid w:val="008E43D2"/>
    <w:rsid w:val="008E4A88"/>
    <w:rsid w:val="008E4B4D"/>
    <w:rsid w:val="008E4C5A"/>
    <w:rsid w:val="008E4CAD"/>
    <w:rsid w:val="008E51E8"/>
    <w:rsid w:val="008E5217"/>
    <w:rsid w:val="008E5237"/>
    <w:rsid w:val="008E53CE"/>
    <w:rsid w:val="008E5510"/>
    <w:rsid w:val="008E564E"/>
    <w:rsid w:val="008E5666"/>
    <w:rsid w:val="008E57B6"/>
    <w:rsid w:val="008E5B24"/>
    <w:rsid w:val="008E5C4A"/>
    <w:rsid w:val="008E5CFD"/>
    <w:rsid w:val="008E5FC1"/>
    <w:rsid w:val="008E6329"/>
    <w:rsid w:val="008E63A8"/>
    <w:rsid w:val="008E6550"/>
    <w:rsid w:val="008E6858"/>
    <w:rsid w:val="008E69E6"/>
    <w:rsid w:val="008E6E7E"/>
    <w:rsid w:val="008E6FDF"/>
    <w:rsid w:val="008E7001"/>
    <w:rsid w:val="008E735F"/>
    <w:rsid w:val="008E758D"/>
    <w:rsid w:val="008E75B5"/>
    <w:rsid w:val="008E7B30"/>
    <w:rsid w:val="008E7F1F"/>
    <w:rsid w:val="008F041E"/>
    <w:rsid w:val="008F0459"/>
    <w:rsid w:val="008F089C"/>
    <w:rsid w:val="008F0990"/>
    <w:rsid w:val="008F0D20"/>
    <w:rsid w:val="008F0E5E"/>
    <w:rsid w:val="008F0EEB"/>
    <w:rsid w:val="008F1455"/>
    <w:rsid w:val="008F1584"/>
    <w:rsid w:val="008F15A7"/>
    <w:rsid w:val="008F162F"/>
    <w:rsid w:val="008F1AC4"/>
    <w:rsid w:val="008F1D83"/>
    <w:rsid w:val="008F1ECA"/>
    <w:rsid w:val="008F1FC9"/>
    <w:rsid w:val="008F2013"/>
    <w:rsid w:val="008F29FC"/>
    <w:rsid w:val="008F2A1F"/>
    <w:rsid w:val="008F2D43"/>
    <w:rsid w:val="008F2E3A"/>
    <w:rsid w:val="008F2E5F"/>
    <w:rsid w:val="008F2F56"/>
    <w:rsid w:val="008F300F"/>
    <w:rsid w:val="008F3663"/>
    <w:rsid w:val="008F3BB4"/>
    <w:rsid w:val="008F3F68"/>
    <w:rsid w:val="008F45EB"/>
    <w:rsid w:val="008F49C6"/>
    <w:rsid w:val="008F5189"/>
    <w:rsid w:val="008F5486"/>
    <w:rsid w:val="008F58DD"/>
    <w:rsid w:val="008F5A9E"/>
    <w:rsid w:val="008F5BCF"/>
    <w:rsid w:val="008F5EDB"/>
    <w:rsid w:val="008F6406"/>
    <w:rsid w:val="008F6C27"/>
    <w:rsid w:val="008F6D46"/>
    <w:rsid w:val="008F7B10"/>
    <w:rsid w:val="008F7B86"/>
    <w:rsid w:val="008F7BFF"/>
    <w:rsid w:val="008F7C51"/>
    <w:rsid w:val="009003DE"/>
    <w:rsid w:val="00900779"/>
    <w:rsid w:val="00900881"/>
    <w:rsid w:val="00900AF6"/>
    <w:rsid w:val="00900EAD"/>
    <w:rsid w:val="009011DC"/>
    <w:rsid w:val="009014E9"/>
    <w:rsid w:val="009015BD"/>
    <w:rsid w:val="009017E7"/>
    <w:rsid w:val="00901BC5"/>
    <w:rsid w:val="00901D7D"/>
    <w:rsid w:val="00901F84"/>
    <w:rsid w:val="009022B2"/>
    <w:rsid w:val="009023ED"/>
    <w:rsid w:val="00902446"/>
    <w:rsid w:val="0090285B"/>
    <w:rsid w:val="0090287E"/>
    <w:rsid w:val="0090295C"/>
    <w:rsid w:val="00902CAB"/>
    <w:rsid w:val="00903040"/>
    <w:rsid w:val="0090322C"/>
    <w:rsid w:val="00903401"/>
    <w:rsid w:val="009035D3"/>
    <w:rsid w:val="009035ED"/>
    <w:rsid w:val="009036BC"/>
    <w:rsid w:val="00903ACF"/>
    <w:rsid w:val="00903D5A"/>
    <w:rsid w:val="0090407C"/>
    <w:rsid w:val="0090417A"/>
    <w:rsid w:val="0090418A"/>
    <w:rsid w:val="00904426"/>
    <w:rsid w:val="00904A14"/>
    <w:rsid w:val="00904A59"/>
    <w:rsid w:val="00904ACF"/>
    <w:rsid w:val="00904F2F"/>
    <w:rsid w:val="0090509C"/>
    <w:rsid w:val="00905178"/>
    <w:rsid w:val="009051B8"/>
    <w:rsid w:val="00905426"/>
    <w:rsid w:val="009055AF"/>
    <w:rsid w:val="009056BE"/>
    <w:rsid w:val="009056FC"/>
    <w:rsid w:val="00905ECF"/>
    <w:rsid w:val="00905F3A"/>
    <w:rsid w:val="00906272"/>
    <w:rsid w:val="009064C2"/>
    <w:rsid w:val="00906601"/>
    <w:rsid w:val="00906633"/>
    <w:rsid w:val="009071CC"/>
    <w:rsid w:val="0090799B"/>
    <w:rsid w:val="00907E30"/>
    <w:rsid w:val="00907EA1"/>
    <w:rsid w:val="00907FB2"/>
    <w:rsid w:val="00910439"/>
    <w:rsid w:val="00910B73"/>
    <w:rsid w:val="00910BD1"/>
    <w:rsid w:val="00911037"/>
    <w:rsid w:val="00911137"/>
    <w:rsid w:val="00911496"/>
    <w:rsid w:val="009119A9"/>
    <w:rsid w:val="00911F94"/>
    <w:rsid w:val="00912017"/>
    <w:rsid w:val="009126F2"/>
    <w:rsid w:val="00912924"/>
    <w:rsid w:val="00912DFB"/>
    <w:rsid w:val="0091313F"/>
    <w:rsid w:val="009131AC"/>
    <w:rsid w:val="009137C1"/>
    <w:rsid w:val="00913826"/>
    <w:rsid w:val="00913862"/>
    <w:rsid w:val="00913DD7"/>
    <w:rsid w:val="00913E15"/>
    <w:rsid w:val="00913EF8"/>
    <w:rsid w:val="00914257"/>
    <w:rsid w:val="00914673"/>
    <w:rsid w:val="00914878"/>
    <w:rsid w:val="00914A2F"/>
    <w:rsid w:val="00914A75"/>
    <w:rsid w:val="00914C1D"/>
    <w:rsid w:val="00914CB9"/>
    <w:rsid w:val="00915397"/>
    <w:rsid w:val="009157B8"/>
    <w:rsid w:val="00915B2D"/>
    <w:rsid w:val="00915D6F"/>
    <w:rsid w:val="00916029"/>
    <w:rsid w:val="009161C7"/>
    <w:rsid w:val="00916728"/>
    <w:rsid w:val="009167FB"/>
    <w:rsid w:val="009168A9"/>
    <w:rsid w:val="00917059"/>
    <w:rsid w:val="0091706D"/>
    <w:rsid w:val="00917242"/>
    <w:rsid w:val="0091797B"/>
    <w:rsid w:val="009201A6"/>
    <w:rsid w:val="009207A6"/>
    <w:rsid w:val="0092092B"/>
    <w:rsid w:val="009209A1"/>
    <w:rsid w:val="00920CAA"/>
    <w:rsid w:val="00920DF2"/>
    <w:rsid w:val="00920E58"/>
    <w:rsid w:val="009211AC"/>
    <w:rsid w:val="009212F1"/>
    <w:rsid w:val="00921813"/>
    <w:rsid w:val="00921B7A"/>
    <w:rsid w:val="009229EE"/>
    <w:rsid w:val="00922C5B"/>
    <w:rsid w:val="0092319A"/>
    <w:rsid w:val="009231DD"/>
    <w:rsid w:val="009233E8"/>
    <w:rsid w:val="0092380A"/>
    <w:rsid w:val="0092380B"/>
    <w:rsid w:val="009238C2"/>
    <w:rsid w:val="00923B3C"/>
    <w:rsid w:val="009240A1"/>
    <w:rsid w:val="0092440E"/>
    <w:rsid w:val="009244B5"/>
    <w:rsid w:val="009244CF"/>
    <w:rsid w:val="009245D4"/>
    <w:rsid w:val="00924E5B"/>
    <w:rsid w:val="00925054"/>
    <w:rsid w:val="0092558A"/>
    <w:rsid w:val="00925611"/>
    <w:rsid w:val="00925841"/>
    <w:rsid w:val="00925957"/>
    <w:rsid w:val="00925F5B"/>
    <w:rsid w:val="009266C9"/>
    <w:rsid w:val="00926BBA"/>
    <w:rsid w:val="00926C9B"/>
    <w:rsid w:val="00926D45"/>
    <w:rsid w:val="00926F47"/>
    <w:rsid w:val="00926FD8"/>
    <w:rsid w:val="0092704D"/>
    <w:rsid w:val="0092705A"/>
    <w:rsid w:val="009272BE"/>
    <w:rsid w:val="0092744A"/>
    <w:rsid w:val="00927523"/>
    <w:rsid w:val="0092759D"/>
    <w:rsid w:val="00927B88"/>
    <w:rsid w:val="00927CEB"/>
    <w:rsid w:val="00930474"/>
    <w:rsid w:val="009308E1"/>
    <w:rsid w:val="00930930"/>
    <w:rsid w:val="00930A6A"/>
    <w:rsid w:val="009310AF"/>
    <w:rsid w:val="009312FD"/>
    <w:rsid w:val="009313BF"/>
    <w:rsid w:val="009313CB"/>
    <w:rsid w:val="009317D4"/>
    <w:rsid w:val="0093181F"/>
    <w:rsid w:val="009318BF"/>
    <w:rsid w:val="00931A83"/>
    <w:rsid w:val="00931BD4"/>
    <w:rsid w:val="00931C4C"/>
    <w:rsid w:val="00931CEB"/>
    <w:rsid w:val="00932043"/>
    <w:rsid w:val="00932341"/>
    <w:rsid w:val="009324C0"/>
    <w:rsid w:val="00932615"/>
    <w:rsid w:val="0093262A"/>
    <w:rsid w:val="00932798"/>
    <w:rsid w:val="0093287C"/>
    <w:rsid w:val="00932A6A"/>
    <w:rsid w:val="00932D52"/>
    <w:rsid w:val="00932D9C"/>
    <w:rsid w:val="00932ED9"/>
    <w:rsid w:val="00933170"/>
    <w:rsid w:val="00933248"/>
    <w:rsid w:val="00933265"/>
    <w:rsid w:val="00933279"/>
    <w:rsid w:val="0093334D"/>
    <w:rsid w:val="00933978"/>
    <w:rsid w:val="00933B68"/>
    <w:rsid w:val="00933D92"/>
    <w:rsid w:val="0093434E"/>
    <w:rsid w:val="009344CE"/>
    <w:rsid w:val="009346D7"/>
    <w:rsid w:val="009347AD"/>
    <w:rsid w:val="00934803"/>
    <w:rsid w:val="0093491A"/>
    <w:rsid w:val="00934A63"/>
    <w:rsid w:val="00935036"/>
    <w:rsid w:val="00935352"/>
    <w:rsid w:val="00935452"/>
    <w:rsid w:val="009355D1"/>
    <w:rsid w:val="00935BE4"/>
    <w:rsid w:val="00935DF4"/>
    <w:rsid w:val="00935F0A"/>
    <w:rsid w:val="00935FF7"/>
    <w:rsid w:val="009363E4"/>
    <w:rsid w:val="00936900"/>
    <w:rsid w:val="0093698F"/>
    <w:rsid w:val="00936DD3"/>
    <w:rsid w:val="00936EA2"/>
    <w:rsid w:val="00936F9C"/>
    <w:rsid w:val="009370C2"/>
    <w:rsid w:val="009371A9"/>
    <w:rsid w:val="00937518"/>
    <w:rsid w:val="0093797F"/>
    <w:rsid w:val="00937A21"/>
    <w:rsid w:val="00937AB9"/>
    <w:rsid w:val="00937B50"/>
    <w:rsid w:val="00937C32"/>
    <w:rsid w:val="00937F6D"/>
    <w:rsid w:val="0094000F"/>
    <w:rsid w:val="00940961"/>
    <w:rsid w:val="00940AE9"/>
    <w:rsid w:val="00940BDE"/>
    <w:rsid w:val="00940C29"/>
    <w:rsid w:val="00940D16"/>
    <w:rsid w:val="00940D44"/>
    <w:rsid w:val="0094101F"/>
    <w:rsid w:val="00941573"/>
    <w:rsid w:val="00941592"/>
    <w:rsid w:val="009415F7"/>
    <w:rsid w:val="009416B6"/>
    <w:rsid w:val="0094229A"/>
    <w:rsid w:val="009423F5"/>
    <w:rsid w:val="00942456"/>
    <w:rsid w:val="00942552"/>
    <w:rsid w:val="009426D5"/>
    <w:rsid w:val="009426EE"/>
    <w:rsid w:val="009429E9"/>
    <w:rsid w:val="00942AC1"/>
    <w:rsid w:val="00942B02"/>
    <w:rsid w:val="00942C50"/>
    <w:rsid w:val="00942DE4"/>
    <w:rsid w:val="00942FAD"/>
    <w:rsid w:val="0094341B"/>
    <w:rsid w:val="00943661"/>
    <w:rsid w:val="0094394E"/>
    <w:rsid w:val="00943CF2"/>
    <w:rsid w:val="00943E6E"/>
    <w:rsid w:val="00943EAA"/>
    <w:rsid w:val="0094414C"/>
    <w:rsid w:val="00944218"/>
    <w:rsid w:val="009442AF"/>
    <w:rsid w:val="009442BF"/>
    <w:rsid w:val="009443A7"/>
    <w:rsid w:val="00944AA5"/>
    <w:rsid w:val="00944CDD"/>
    <w:rsid w:val="00944E7F"/>
    <w:rsid w:val="009451A8"/>
    <w:rsid w:val="0094525E"/>
    <w:rsid w:val="009453A1"/>
    <w:rsid w:val="0094549A"/>
    <w:rsid w:val="009455AC"/>
    <w:rsid w:val="009457AE"/>
    <w:rsid w:val="00945B52"/>
    <w:rsid w:val="00945CAD"/>
    <w:rsid w:val="00945D3F"/>
    <w:rsid w:val="00946212"/>
    <w:rsid w:val="0094624B"/>
    <w:rsid w:val="00946690"/>
    <w:rsid w:val="00946CF5"/>
    <w:rsid w:val="00946D41"/>
    <w:rsid w:val="00946E85"/>
    <w:rsid w:val="00946ED2"/>
    <w:rsid w:val="00947036"/>
    <w:rsid w:val="009474B1"/>
    <w:rsid w:val="00947ADA"/>
    <w:rsid w:val="00950658"/>
    <w:rsid w:val="009508AA"/>
    <w:rsid w:val="00950920"/>
    <w:rsid w:val="00951143"/>
    <w:rsid w:val="0095117C"/>
    <w:rsid w:val="009511E5"/>
    <w:rsid w:val="0095152B"/>
    <w:rsid w:val="0095153F"/>
    <w:rsid w:val="009515F8"/>
    <w:rsid w:val="009516DB"/>
    <w:rsid w:val="00951758"/>
    <w:rsid w:val="0095189C"/>
    <w:rsid w:val="009519A7"/>
    <w:rsid w:val="009519BF"/>
    <w:rsid w:val="00951A52"/>
    <w:rsid w:val="00951C0D"/>
    <w:rsid w:val="00952005"/>
    <w:rsid w:val="00952068"/>
    <w:rsid w:val="0095234A"/>
    <w:rsid w:val="00952791"/>
    <w:rsid w:val="00952BA1"/>
    <w:rsid w:val="00952F6C"/>
    <w:rsid w:val="009532BE"/>
    <w:rsid w:val="0095379D"/>
    <w:rsid w:val="00953838"/>
    <w:rsid w:val="009539F0"/>
    <w:rsid w:val="00953D26"/>
    <w:rsid w:val="00953D3A"/>
    <w:rsid w:val="00953E80"/>
    <w:rsid w:val="00953F04"/>
    <w:rsid w:val="0095410A"/>
    <w:rsid w:val="00954381"/>
    <w:rsid w:val="00954457"/>
    <w:rsid w:val="00954D0F"/>
    <w:rsid w:val="00954EDA"/>
    <w:rsid w:val="0095519F"/>
    <w:rsid w:val="009551F9"/>
    <w:rsid w:val="00955265"/>
    <w:rsid w:val="00955288"/>
    <w:rsid w:val="009555F4"/>
    <w:rsid w:val="00955760"/>
    <w:rsid w:val="00955CB9"/>
    <w:rsid w:val="00955D59"/>
    <w:rsid w:val="00955D83"/>
    <w:rsid w:val="00956144"/>
    <w:rsid w:val="00956530"/>
    <w:rsid w:val="009567D2"/>
    <w:rsid w:val="0095689E"/>
    <w:rsid w:val="00956A20"/>
    <w:rsid w:val="00957147"/>
    <w:rsid w:val="0095715A"/>
    <w:rsid w:val="009571DF"/>
    <w:rsid w:val="00957428"/>
    <w:rsid w:val="009579FE"/>
    <w:rsid w:val="00957AF5"/>
    <w:rsid w:val="0095C1F2"/>
    <w:rsid w:val="009601C1"/>
    <w:rsid w:val="0096054B"/>
    <w:rsid w:val="00960661"/>
    <w:rsid w:val="00960A69"/>
    <w:rsid w:val="00960D11"/>
    <w:rsid w:val="009611CA"/>
    <w:rsid w:val="009615B8"/>
    <w:rsid w:val="00961640"/>
    <w:rsid w:val="009619B4"/>
    <w:rsid w:val="00961A6C"/>
    <w:rsid w:val="00961B1A"/>
    <w:rsid w:val="00961E90"/>
    <w:rsid w:val="009620B9"/>
    <w:rsid w:val="0096213F"/>
    <w:rsid w:val="009622CD"/>
    <w:rsid w:val="00962385"/>
    <w:rsid w:val="009624D9"/>
    <w:rsid w:val="0096287C"/>
    <w:rsid w:val="0096295B"/>
    <w:rsid w:val="00962C27"/>
    <w:rsid w:val="00962DDE"/>
    <w:rsid w:val="00962F35"/>
    <w:rsid w:val="00963054"/>
    <w:rsid w:val="0096308D"/>
    <w:rsid w:val="0096315F"/>
    <w:rsid w:val="00963792"/>
    <w:rsid w:val="00963B1F"/>
    <w:rsid w:val="00963DEF"/>
    <w:rsid w:val="00963E8B"/>
    <w:rsid w:val="009640EA"/>
    <w:rsid w:val="00964148"/>
    <w:rsid w:val="009641A7"/>
    <w:rsid w:val="009646B0"/>
    <w:rsid w:val="00964A35"/>
    <w:rsid w:val="00964A4C"/>
    <w:rsid w:val="00964A9B"/>
    <w:rsid w:val="00964FD3"/>
    <w:rsid w:val="00965018"/>
    <w:rsid w:val="009653B0"/>
    <w:rsid w:val="009655BA"/>
    <w:rsid w:val="009655BE"/>
    <w:rsid w:val="0096571C"/>
    <w:rsid w:val="00965752"/>
    <w:rsid w:val="00965832"/>
    <w:rsid w:val="00965E09"/>
    <w:rsid w:val="00966296"/>
    <w:rsid w:val="00966967"/>
    <w:rsid w:val="00966F3F"/>
    <w:rsid w:val="00966FCE"/>
    <w:rsid w:val="009675CF"/>
    <w:rsid w:val="00967721"/>
    <w:rsid w:val="00967B1D"/>
    <w:rsid w:val="00967DA9"/>
    <w:rsid w:val="009703AC"/>
    <w:rsid w:val="009704E9"/>
    <w:rsid w:val="00970B7C"/>
    <w:rsid w:val="00970BAB"/>
    <w:rsid w:val="00970C9A"/>
    <w:rsid w:val="00970DF0"/>
    <w:rsid w:val="00970F74"/>
    <w:rsid w:val="009711FC"/>
    <w:rsid w:val="009717DE"/>
    <w:rsid w:val="00971820"/>
    <w:rsid w:val="00971B2C"/>
    <w:rsid w:val="00972552"/>
    <w:rsid w:val="00972729"/>
    <w:rsid w:val="00972732"/>
    <w:rsid w:val="00972752"/>
    <w:rsid w:val="00972951"/>
    <w:rsid w:val="00972DA3"/>
    <w:rsid w:val="00972E24"/>
    <w:rsid w:val="00973325"/>
    <w:rsid w:val="009735C6"/>
    <w:rsid w:val="00973810"/>
    <w:rsid w:val="00973DE5"/>
    <w:rsid w:val="0097401C"/>
    <w:rsid w:val="009740FF"/>
    <w:rsid w:val="00974548"/>
    <w:rsid w:val="009746E6"/>
    <w:rsid w:val="00974875"/>
    <w:rsid w:val="00974A35"/>
    <w:rsid w:val="00974B37"/>
    <w:rsid w:val="00974C06"/>
    <w:rsid w:val="00975558"/>
    <w:rsid w:val="0097555A"/>
    <w:rsid w:val="009755AB"/>
    <w:rsid w:val="00975626"/>
    <w:rsid w:val="00975D63"/>
    <w:rsid w:val="00975EA5"/>
    <w:rsid w:val="00976028"/>
    <w:rsid w:val="0097631D"/>
    <w:rsid w:val="00976497"/>
    <w:rsid w:val="00976625"/>
    <w:rsid w:val="0097678E"/>
    <w:rsid w:val="00976A36"/>
    <w:rsid w:val="0097704D"/>
    <w:rsid w:val="00977112"/>
    <w:rsid w:val="009771F6"/>
    <w:rsid w:val="00977911"/>
    <w:rsid w:val="00977D8C"/>
    <w:rsid w:val="00980341"/>
    <w:rsid w:val="00980631"/>
    <w:rsid w:val="00980666"/>
    <w:rsid w:val="00980676"/>
    <w:rsid w:val="00980883"/>
    <w:rsid w:val="009809A6"/>
    <w:rsid w:val="00980AD8"/>
    <w:rsid w:val="00980CFD"/>
    <w:rsid w:val="00980EC9"/>
    <w:rsid w:val="00981403"/>
    <w:rsid w:val="00981526"/>
    <w:rsid w:val="00981705"/>
    <w:rsid w:val="009817B8"/>
    <w:rsid w:val="00981EB4"/>
    <w:rsid w:val="00981F98"/>
    <w:rsid w:val="00982079"/>
    <w:rsid w:val="009825FD"/>
    <w:rsid w:val="00982748"/>
    <w:rsid w:val="0098275D"/>
    <w:rsid w:val="0098285F"/>
    <w:rsid w:val="009829CF"/>
    <w:rsid w:val="00982CE2"/>
    <w:rsid w:val="00982D16"/>
    <w:rsid w:val="009832A4"/>
    <w:rsid w:val="00983443"/>
    <w:rsid w:val="009834F9"/>
    <w:rsid w:val="00983582"/>
    <w:rsid w:val="009838F3"/>
    <w:rsid w:val="00983E12"/>
    <w:rsid w:val="00983F21"/>
    <w:rsid w:val="00984436"/>
    <w:rsid w:val="00984472"/>
    <w:rsid w:val="00984576"/>
    <w:rsid w:val="0098467E"/>
    <w:rsid w:val="0098471C"/>
    <w:rsid w:val="009849CA"/>
    <w:rsid w:val="00984C74"/>
    <w:rsid w:val="00984D2E"/>
    <w:rsid w:val="00985004"/>
    <w:rsid w:val="00985026"/>
    <w:rsid w:val="009853A5"/>
    <w:rsid w:val="00985A03"/>
    <w:rsid w:val="00985B07"/>
    <w:rsid w:val="00985B80"/>
    <w:rsid w:val="00985C20"/>
    <w:rsid w:val="00985C6E"/>
    <w:rsid w:val="00986165"/>
    <w:rsid w:val="009862BC"/>
    <w:rsid w:val="009862D9"/>
    <w:rsid w:val="00986326"/>
    <w:rsid w:val="009863F0"/>
    <w:rsid w:val="00986617"/>
    <w:rsid w:val="00986639"/>
    <w:rsid w:val="00986717"/>
    <w:rsid w:val="00986836"/>
    <w:rsid w:val="009868EE"/>
    <w:rsid w:val="009869C0"/>
    <w:rsid w:val="00986BEC"/>
    <w:rsid w:val="00987436"/>
    <w:rsid w:val="009875D1"/>
    <w:rsid w:val="009876B3"/>
    <w:rsid w:val="00987824"/>
    <w:rsid w:val="00987833"/>
    <w:rsid w:val="00987AB3"/>
    <w:rsid w:val="00987EB7"/>
    <w:rsid w:val="0099000A"/>
    <w:rsid w:val="00990010"/>
    <w:rsid w:val="00990194"/>
    <w:rsid w:val="00990263"/>
    <w:rsid w:val="00990390"/>
    <w:rsid w:val="00990493"/>
    <w:rsid w:val="00990A5E"/>
    <w:rsid w:val="00990FA4"/>
    <w:rsid w:val="0099113F"/>
    <w:rsid w:val="00991524"/>
    <w:rsid w:val="009915A9"/>
    <w:rsid w:val="00991706"/>
    <w:rsid w:val="00991ADA"/>
    <w:rsid w:val="00991C35"/>
    <w:rsid w:val="00991D8F"/>
    <w:rsid w:val="009921B5"/>
    <w:rsid w:val="009921FF"/>
    <w:rsid w:val="009924F9"/>
    <w:rsid w:val="009925A3"/>
    <w:rsid w:val="00992761"/>
    <w:rsid w:val="00992780"/>
    <w:rsid w:val="009929DE"/>
    <w:rsid w:val="00992C38"/>
    <w:rsid w:val="00992CE4"/>
    <w:rsid w:val="00993073"/>
    <w:rsid w:val="0099315C"/>
    <w:rsid w:val="00993B1E"/>
    <w:rsid w:val="00993BD4"/>
    <w:rsid w:val="00993C2B"/>
    <w:rsid w:val="00993C8E"/>
    <w:rsid w:val="00993EBA"/>
    <w:rsid w:val="00994787"/>
    <w:rsid w:val="009947A2"/>
    <w:rsid w:val="00994986"/>
    <w:rsid w:val="00994ABF"/>
    <w:rsid w:val="00994AD1"/>
    <w:rsid w:val="00994C9C"/>
    <w:rsid w:val="00994CC5"/>
    <w:rsid w:val="00994EBA"/>
    <w:rsid w:val="00994EF1"/>
    <w:rsid w:val="00994FB6"/>
    <w:rsid w:val="0099504B"/>
    <w:rsid w:val="0099512D"/>
    <w:rsid w:val="009951FA"/>
    <w:rsid w:val="0099557B"/>
    <w:rsid w:val="009957A2"/>
    <w:rsid w:val="00995BE6"/>
    <w:rsid w:val="00995ED6"/>
    <w:rsid w:val="00996001"/>
    <w:rsid w:val="009961F6"/>
    <w:rsid w:val="009964E4"/>
    <w:rsid w:val="00996DC8"/>
    <w:rsid w:val="0099710C"/>
    <w:rsid w:val="009971F3"/>
    <w:rsid w:val="00997857"/>
    <w:rsid w:val="00997B61"/>
    <w:rsid w:val="00997CFC"/>
    <w:rsid w:val="00997E2D"/>
    <w:rsid w:val="00997E54"/>
    <w:rsid w:val="009A00D5"/>
    <w:rsid w:val="009A063A"/>
    <w:rsid w:val="009A0655"/>
    <w:rsid w:val="009A06C9"/>
    <w:rsid w:val="009A0793"/>
    <w:rsid w:val="009A07A8"/>
    <w:rsid w:val="009A084D"/>
    <w:rsid w:val="009A099E"/>
    <w:rsid w:val="009A0DDA"/>
    <w:rsid w:val="009A129F"/>
    <w:rsid w:val="009A1521"/>
    <w:rsid w:val="009A161F"/>
    <w:rsid w:val="009A1CA8"/>
    <w:rsid w:val="009A1D43"/>
    <w:rsid w:val="009A1F01"/>
    <w:rsid w:val="009A20A4"/>
    <w:rsid w:val="009A221D"/>
    <w:rsid w:val="009A242E"/>
    <w:rsid w:val="009A2538"/>
    <w:rsid w:val="009A2782"/>
    <w:rsid w:val="009A2807"/>
    <w:rsid w:val="009A28FF"/>
    <w:rsid w:val="009A2D96"/>
    <w:rsid w:val="009A2D97"/>
    <w:rsid w:val="009A3089"/>
    <w:rsid w:val="009A317A"/>
    <w:rsid w:val="009A3588"/>
    <w:rsid w:val="009A377B"/>
    <w:rsid w:val="009A395E"/>
    <w:rsid w:val="009A3A7A"/>
    <w:rsid w:val="009A3AD3"/>
    <w:rsid w:val="009A3B1C"/>
    <w:rsid w:val="009A3B48"/>
    <w:rsid w:val="009A3D9C"/>
    <w:rsid w:val="009A3EAC"/>
    <w:rsid w:val="009A3F4E"/>
    <w:rsid w:val="009A4012"/>
    <w:rsid w:val="009A412B"/>
    <w:rsid w:val="009A4301"/>
    <w:rsid w:val="009A459B"/>
    <w:rsid w:val="009A4A7B"/>
    <w:rsid w:val="009A4C2B"/>
    <w:rsid w:val="009A4D11"/>
    <w:rsid w:val="009A52FC"/>
    <w:rsid w:val="009A567B"/>
    <w:rsid w:val="009A56F4"/>
    <w:rsid w:val="009A5D19"/>
    <w:rsid w:val="009A5F11"/>
    <w:rsid w:val="009A5F89"/>
    <w:rsid w:val="009A602F"/>
    <w:rsid w:val="009A6321"/>
    <w:rsid w:val="009A654E"/>
    <w:rsid w:val="009A65B1"/>
    <w:rsid w:val="009A6845"/>
    <w:rsid w:val="009A6BA6"/>
    <w:rsid w:val="009A6FDC"/>
    <w:rsid w:val="009A711B"/>
    <w:rsid w:val="009A726B"/>
    <w:rsid w:val="009A73A1"/>
    <w:rsid w:val="009A77C9"/>
    <w:rsid w:val="009A7C32"/>
    <w:rsid w:val="009A7C8D"/>
    <w:rsid w:val="009A7DD6"/>
    <w:rsid w:val="009A7E16"/>
    <w:rsid w:val="009B058E"/>
    <w:rsid w:val="009B05E6"/>
    <w:rsid w:val="009B061F"/>
    <w:rsid w:val="009B093D"/>
    <w:rsid w:val="009B0B7F"/>
    <w:rsid w:val="009B0C2B"/>
    <w:rsid w:val="009B0F3F"/>
    <w:rsid w:val="009B1010"/>
    <w:rsid w:val="009B1135"/>
    <w:rsid w:val="009B119E"/>
    <w:rsid w:val="009B15AC"/>
    <w:rsid w:val="009B15DE"/>
    <w:rsid w:val="009B1888"/>
    <w:rsid w:val="009B1F8F"/>
    <w:rsid w:val="009B233E"/>
    <w:rsid w:val="009B2586"/>
    <w:rsid w:val="009B25D3"/>
    <w:rsid w:val="009B2609"/>
    <w:rsid w:val="009B296D"/>
    <w:rsid w:val="009B2AE5"/>
    <w:rsid w:val="009B2E92"/>
    <w:rsid w:val="009B2EE2"/>
    <w:rsid w:val="009B2F53"/>
    <w:rsid w:val="009B309B"/>
    <w:rsid w:val="009B3255"/>
    <w:rsid w:val="009B35FB"/>
    <w:rsid w:val="009B39C6"/>
    <w:rsid w:val="009B3AF7"/>
    <w:rsid w:val="009B405D"/>
    <w:rsid w:val="009B41B7"/>
    <w:rsid w:val="009B42F8"/>
    <w:rsid w:val="009B434A"/>
    <w:rsid w:val="009B4374"/>
    <w:rsid w:val="009B46CF"/>
    <w:rsid w:val="009B47F1"/>
    <w:rsid w:val="009B486F"/>
    <w:rsid w:val="009B4A18"/>
    <w:rsid w:val="009B4E43"/>
    <w:rsid w:val="009B4F73"/>
    <w:rsid w:val="009B505F"/>
    <w:rsid w:val="009B5181"/>
    <w:rsid w:val="009B55B8"/>
    <w:rsid w:val="009B5777"/>
    <w:rsid w:val="009B5B7E"/>
    <w:rsid w:val="009B5BCF"/>
    <w:rsid w:val="009B5F45"/>
    <w:rsid w:val="009B61AC"/>
    <w:rsid w:val="009B671F"/>
    <w:rsid w:val="009B6E7D"/>
    <w:rsid w:val="009B6E8C"/>
    <w:rsid w:val="009B743F"/>
    <w:rsid w:val="009B745E"/>
    <w:rsid w:val="009B74AB"/>
    <w:rsid w:val="009B7D9E"/>
    <w:rsid w:val="009C0122"/>
    <w:rsid w:val="009C08F0"/>
    <w:rsid w:val="009C092B"/>
    <w:rsid w:val="009C09B4"/>
    <w:rsid w:val="009C0FE4"/>
    <w:rsid w:val="009C1883"/>
    <w:rsid w:val="009C197F"/>
    <w:rsid w:val="009C20FF"/>
    <w:rsid w:val="009C21CA"/>
    <w:rsid w:val="009C2533"/>
    <w:rsid w:val="009C26D2"/>
    <w:rsid w:val="009C282F"/>
    <w:rsid w:val="009C2ACF"/>
    <w:rsid w:val="009C2B96"/>
    <w:rsid w:val="009C2CCA"/>
    <w:rsid w:val="009C2CFB"/>
    <w:rsid w:val="009C2FB8"/>
    <w:rsid w:val="009C3117"/>
    <w:rsid w:val="009C3606"/>
    <w:rsid w:val="009C3648"/>
    <w:rsid w:val="009C3668"/>
    <w:rsid w:val="009C366C"/>
    <w:rsid w:val="009C389A"/>
    <w:rsid w:val="009C38A5"/>
    <w:rsid w:val="009C3A3F"/>
    <w:rsid w:val="009C3E13"/>
    <w:rsid w:val="009C3F04"/>
    <w:rsid w:val="009C402B"/>
    <w:rsid w:val="009C42D9"/>
    <w:rsid w:val="009C492F"/>
    <w:rsid w:val="009C49C8"/>
    <w:rsid w:val="009C4B31"/>
    <w:rsid w:val="009C4B7D"/>
    <w:rsid w:val="009C4B9D"/>
    <w:rsid w:val="009C4E41"/>
    <w:rsid w:val="009C52D0"/>
    <w:rsid w:val="009C52F5"/>
    <w:rsid w:val="009C5308"/>
    <w:rsid w:val="009C53A2"/>
    <w:rsid w:val="009C55B7"/>
    <w:rsid w:val="009C58AC"/>
    <w:rsid w:val="009C5ADE"/>
    <w:rsid w:val="009C5E16"/>
    <w:rsid w:val="009C5E24"/>
    <w:rsid w:val="009C6164"/>
    <w:rsid w:val="009C641A"/>
    <w:rsid w:val="009C6489"/>
    <w:rsid w:val="009C677F"/>
    <w:rsid w:val="009C68CC"/>
    <w:rsid w:val="009C6E76"/>
    <w:rsid w:val="009C716E"/>
    <w:rsid w:val="009C71A8"/>
    <w:rsid w:val="009C7289"/>
    <w:rsid w:val="009C72AC"/>
    <w:rsid w:val="009C758B"/>
    <w:rsid w:val="009C76F2"/>
    <w:rsid w:val="009C7C91"/>
    <w:rsid w:val="009C7EDF"/>
    <w:rsid w:val="009D01AD"/>
    <w:rsid w:val="009D04F7"/>
    <w:rsid w:val="009D0563"/>
    <w:rsid w:val="009D09FC"/>
    <w:rsid w:val="009D0A60"/>
    <w:rsid w:val="009D0EC4"/>
    <w:rsid w:val="009D1076"/>
    <w:rsid w:val="009D1195"/>
    <w:rsid w:val="009D12BA"/>
    <w:rsid w:val="009D15CE"/>
    <w:rsid w:val="009D1914"/>
    <w:rsid w:val="009D1C0E"/>
    <w:rsid w:val="009D1C95"/>
    <w:rsid w:val="009D1DDD"/>
    <w:rsid w:val="009D1DFB"/>
    <w:rsid w:val="009D1F81"/>
    <w:rsid w:val="009D2012"/>
    <w:rsid w:val="009D218A"/>
    <w:rsid w:val="009D2198"/>
    <w:rsid w:val="009D22FF"/>
    <w:rsid w:val="009D2403"/>
    <w:rsid w:val="009D2445"/>
    <w:rsid w:val="009D29D9"/>
    <w:rsid w:val="009D2A8A"/>
    <w:rsid w:val="009D2DF8"/>
    <w:rsid w:val="009D2F46"/>
    <w:rsid w:val="009D3102"/>
    <w:rsid w:val="009D31AF"/>
    <w:rsid w:val="009D341D"/>
    <w:rsid w:val="009D3423"/>
    <w:rsid w:val="009D3623"/>
    <w:rsid w:val="009D38C0"/>
    <w:rsid w:val="009D3A9A"/>
    <w:rsid w:val="009D3BB9"/>
    <w:rsid w:val="009D3CD9"/>
    <w:rsid w:val="009D40B7"/>
    <w:rsid w:val="009D483B"/>
    <w:rsid w:val="009D4A59"/>
    <w:rsid w:val="009D5187"/>
    <w:rsid w:val="009D5285"/>
    <w:rsid w:val="009D53CC"/>
    <w:rsid w:val="009D54DB"/>
    <w:rsid w:val="009D5503"/>
    <w:rsid w:val="009D5587"/>
    <w:rsid w:val="009D5643"/>
    <w:rsid w:val="009D5B03"/>
    <w:rsid w:val="009D60E0"/>
    <w:rsid w:val="009D6551"/>
    <w:rsid w:val="009D656C"/>
    <w:rsid w:val="009D65F5"/>
    <w:rsid w:val="009D66CD"/>
    <w:rsid w:val="009D6801"/>
    <w:rsid w:val="009D6A63"/>
    <w:rsid w:val="009D6CB4"/>
    <w:rsid w:val="009D6D4E"/>
    <w:rsid w:val="009D6DB7"/>
    <w:rsid w:val="009D6DCD"/>
    <w:rsid w:val="009D712F"/>
    <w:rsid w:val="009D71F6"/>
    <w:rsid w:val="009D7872"/>
    <w:rsid w:val="009D788F"/>
    <w:rsid w:val="009D797D"/>
    <w:rsid w:val="009D797F"/>
    <w:rsid w:val="009D7E84"/>
    <w:rsid w:val="009E02C7"/>
    <w:rsid w:val="009E0326"/>
    <w:rsid w:val="009E067E"/>
    <w:rsid w:val="009E089C"/>
    <w:rsid w:val="009E09DF"/>
    <w:rsid w:val="009E0A3E"/>
    <w:rsid w:val="009E1005"/>
    <w:rsid w:val="009E1153"/>
    <w:rsid w:val="009E121B"/>
    <w:rsid w:val="009E147E"/>
    <w:rsid w:val="009E14E1"/>
    <w:rsid w:val="009E25DA"/>
    <w:rsid w:val="009E2815"/>
    <w:rsid w:val="009E2AD6"/>
    <w:rsid w:val="009E2B7C"/>
    <w:rsid w:val="009E2B83"/>
    <w:rsid w:val="009E2D32"/>
    <w:rsid w:val="009E2F3A"/>
    <w:rsid w:val="009E334A"/>
    <w:rsid w:val="009E369D"/>
    <w:rsid w:val="009E3B70"/>
    <w:rsid w:val="009E3BF3"/>
    <w:rsid w:val="009E3C3A"/>
    <w:rsid w:val="009E3D0E"/>
    <w:rsid w:val="009E3D35"/>
    <w:rsid w:val="009E3E18"/>
    <w:rsid w:val="009E4336"/>
    <w:rsid w:val="009E4411"/>
    <w:rsid w:val="009E44D2"/>
    <w:rsid w:val="009E4895"/>
    <w:rsid w:val="009E4969"/>
    <w:rsid w:val="009E49FF"/>
    <w:rsid w:val="009E4CC8"/>
    <w:rsid w:val="009E4E46"/>
    <w:rsid w:val="009E5100"/>
    <w:rsid w:val="009E55C8"/>
    <w:rsid w:val="009E5D7D"/>
    <w:rsid w:val="009E5E82"/>
    <w:rsid w:val="009E5F00"/>
    <w:rsid w:val="009E5FAE"/>
    <w:rsid w:val="009E61CC"/>
    <w:rsid w:val="009E65C6"/>
    <w:rsid w:val="009E68C3"/>
    <w:rsid w:val="009E6CC0"/>
    <w:rsid w:val="009E6D11"/>
    <w:rsid w:val="009E704E"/>
    <w:rsid w:val="009E76E4"/>
    <w:rsid w:val="009E78FF"/>
    <w:rsid w:val="009E7A02"/>
    <w:rsid w:val="009E7A1E"/>
    <w:rsid w:val="009E7D2D"/>
    <w:rsid w:val="009E7E27"/>
    <w:rsid w:val="009F026E"/>
    <w:rsid w:val="009F0279"/>
    <w:rsid w:val="009F04DE"/>
    <w:rsid w:val="009F0561"/>
    <w:rsid w:val="009F0594"/>
    <w:rsid w:val="009F0665"/>
    <w:rsid w:val="009F0708"/>
    <w:rsid w:val="009F09B4"/>
    <w:rsid w:val="009F0AAE"/>
    <w:rsid w:val="009F0C0F"/>
    <w:rsid w:val="009F0F40"/>
    <w:rsid w:val="009F112C"/>
    <w:rsid w:val="009F11CF"/>
    <w:rsid w:val="009F1202"/>
    <w:rsid w:val="009F15B1"/>
    <w:rsid w:val="009F1A0C"/>
    <w:rsid w:val="009F2434"/>
    <w:rsid w:val="009F28BB"/>
    <w:rsid w:val="009F2B40"/>
    <w:rsid w:val="009F2D14"/>
    <w:rsid w:val="009F3537"/>
    <w:rsid w:val="009F3A30"/>
    <w:rsid w:val="009F3D31"/>
    <w:rsid w:val="009F40A0"/>
    <w:rsid w:val="009F412E"/>
    <w:rsid w:val="009F462C"/>
    <w:rsid w:val="009F48A1"/>
    <w:rsid w:val="009F4962"/>
    <w:rsid w:val="009F4E57"/>
    <w:rsid w:val="009F5D63"/>
    <w:rsid w:val="009F5F3D"/>
    <w:rsid w:val="009F6331"/>
    <w:rsid w:val="009F6798"/>
    <w:rsid w:val="009F693E"/>
    <w:rsid w:val="009F6981"/>
    <w:rsid w:val="009F698A"/>
    <w:rsid w:val="009F6C33"/>
    <w:rsid w:val="009F6D04"/>
    <w:rsid w:val="009F6E3C"/>
    <w:rsid w:val="009F6E46"/>
    <w:rsid w:val="009F720C"/>
    <w:rsid w:val="009F735C"/>
    <w:rsid w:val="009F73F0"/>
    <w:rsid w:val="009F763C"/>
    <w:rsid w:val="009F76B8"/>
    <w:rsid w:val="009F789F"/>
    <w:rsid w:val="009F7A4F"/>
    <w:rsid w:val="009F7ADF"/>
    <w:rsid w:val="009F7BE3"/>
    <w:rsid w:val="009F7EC2"/>
    <w:rsid w:val="009F7F0D"/>
    <w:rsid w:val="00A00126"/>
    <w:rsid w:val="00A0022D"/>
    <w:rsid w:val="00A00592"/>
    <w:rsid w:val="00A00AE1"/>
    <w:rsid w:val="00A00B43"/>
    <w:rsid w:val="00A00B89"/>
    <w:rsid w:val="00A00D8B"/>
    <w:rsid w:val="00A00F58"/>
    <w:rsid w:val="00A0103B"/>
    <w:rsid w:val="00A011F4"/>
    <w:rsid w:val="00A0157B"/>
    <w:rsid w:val="00A01635"/>
    <w:rsid w:val="00A01779"/>
    <w:rsid w:val="00A0194F"/>
    <w:rsid w:val="00A01CF4"/>
    <w:rsid w:val="00A01EC8"/>
    <w:rsid w:val="00A01F8B"/>
    <w:rsid w:val="00A0229C"/>
    <w:rsid w:val="00A027B8"/>
    <w:rsid w:val="00A02C5E"/>
    <w:rsid w:val="00A02F41"/>
    <w:rsid w:val="00A03048"/>
    <w:rsid w:val="00A032EB"/>
    <w:rsid w:val="00A033A2"/>
    <w:rsid w:val="00A039F9"/>
    <w:rsid w:val="00A03C70"/>
    <w:rsid w:val="00A03C84"/>
    <w:rsid w:val="00A04144"/>
    <w:rsid w:val="00A04196"/>
    <w:rsid w:val="00A04680"/>
    <w:rsid w:val="00A04955"/>
    <w:rsid w:val="00A04AFB"/>
    <w:rsid w:val="00A04FDD"/>
    <w:rsid w:val="00A050C8"/>
    <w:rsid w:val="00A051D3"/>
    <w:rsid w:val="00A053F7"/>
    <w:rsid w:val="00A0552A"/>
    <w:rsid w:val="00A05676"/>
    <w:rsid w:val="00A05768"/>
    <w:rsid w:val="00A05B17"/>
    <w:rsid w:val="00A0610E"/>
    <w:rsid w:val="00A061ED"/>
    <w:rsid w:val="00A0644D"/>
    <w:rsid w:val="00A06852"/>
    <w:rsid w:val="00A0686B"/>
    <w:rsid w:val="00A069EB"/>
    <w:rsid w:val="00A06A6B"/>
    <w:rsid w:val="00A0719A"/>
    <w:rsid w:val="00A0752F"/>
    <w:rsid w:val="00A07A3A"/>
    <w:rsid w:val="00A07E15"/>
    <w:rsid w:val="00A100D2"/>
    <w:rsid w:val="00A1011E"/>
    <w:rsid w:val="00A1019E"/>
    <w:rsid w:val="00A105F2"/>
    <w:rsid w:val="00A10CBD"/>
    <w:rsid w:val="00A10CE4"/>
    <w:rsid w:val="00A10CEC"/>
    <w:rsid w:val="00A10FC9"/>
    <w:rsid w:val="00A1124F"/>
    <w:rsid w:val="00A11519"/>
    <w:rsid w:val="00A11759"/>
    <w:rsid w:val="00A1182C"/>
    <w:rsid w:val="00A11AC4"/>
    <w:rsid w:val="00A11B4A"/>
    <w:rsid w:val="00A11D28"/>
    <w:rsid w:val="00A11E1D"/>
    <w:rsid w:val="00A12029"/>
    <w:rsid w:val="00A12105"/>
    <w:rsid w:val="00A121FD"/>
    <w:rsid w:val="00A1228B"/>
    <w:rsid w:val="00A12C17"/>
    <w:rsid w:val="00A12CBD"/>
    <w:rsid w:val="00A1302E"/>
    <w:rsid w:val="00A130CC"/>
    <w:rsid w:val="00A13321"/>
    <w:rsid w:val="00A136C1"/>
    <w:rsid w:val="00A13C22"/>
    <w:rsid w:val="00A13E22"/>
    <w:rsid w:val="00A14052"/>
    <w:rsid w:val="00A1408F"/>
    <w:rsid w:val="00A14405"/>
    <w:rsid w:val="00A14438"/>
    <w:rsid w:val="00A1444A"/>
    <w:rsid w:val="00A14682"/>
    <w:rsid w:val="00A146A8"/>
    <w:rsid w:val="00A1498B"/>
    <w:rsid w:val="00A149BB"/>
    <w:rsid w:val="00A14A55"/>
    <w:rsid w:val="00A14EAF"/>
    <w:rsid w:val="00A14F64"/>
    <w:rsid w:val="00A15085"/>
    <w:rsid w:val="00A15769"/>
    <w:rsid w:val="00A15966"/>
    <w:rsid w:val="00A15E40"/>
    <w:rsid w:val="00A164FC"/>
    <w:rsid w:val="00A16D57"/>
    <w:rsid w:val="00A1704A"/>
    <w:rsid w:val="00A170AD"/>
    <w:rsid w:val="00A170C9"/>
    <w:rsid w:val="00A1718C"/>
    <w:rsid w:val="00A171A8"/>
    <w:rsid w:val="00A171CF"/>
    <w:rsid w:val="00A1732A"/>
    <w:rsid w:val="00A1751F"/>
    <w:rsid w:val="00A17600"/>
    <w:rsid w:val="00A1797B"/>
    <w:rsid w:val="00A179AD"/>
    <w:rsid w:val="00A17CC4"/>
    <w:rsid w:val="00A17F06"/>
    <w:rsid w:val="00A203DA"/>
    <w:rsid w:val="00A2043E"/>
    <w:rsid w:val="00A20AC3"/>
    <w:rsid w:val="00A21205"/>
    <w:rsid w:val="00A21770"/>
    <w:rsid w:val="00A219D7"/>
    <w:rsid w:val="00A21B87"/>
    <w:rsid w:val="00A21C9D"/>
    <w:rsid w:val="00A21D14"/>
    <w:rsid w:val="00A21E20"/>
    <w:rsid w:val="00A225D5"/>
    <w:rsid w:val="00A2267C"/>
    <w:rsid w:val="00A228D9"/>
    <w:rsid w:val="00A22A96"/>
    <w:rsid w:val="00A22AFB"/>
    <w:rsid w:val="00A22B6C"/>
    <w:rsid w:val="00A2328E"/>
    <w:rsid w:val="00A23607"/>
    <w:rsid w:val="00A236BC"/>
    <w:rsid w:val="00A23904"/>
    <w:rsid w:val="00A23AF1"/>
    <w:rsid w:val="00A23AFD"/>
    <w:rsid w:val="00A23BDA"/>
    <w:rsid w:val="00A23DDD"/>
    <w:rsid w:val="00A23E07"/>
    <w:rsid w:val="00A23ED4"/>
    <w:rsid w:val="00A2409A"/>
    <w:rsid w:val="00A240AD"/>
    <w:rsid w:val="00A241F9"/>
    <w:rsid w:val="00A243BE"/>
    <w:rsid w:val="00A2460D"/>
    <w:rsid w:val="00A24629"/>
    <w:rsid w:val="00A249AE"/>
    <w:rsid w:val="00A250C3"/>
    <w:rsid w:val="00A25385"/>
    <w:rsid w:val="00A2538E"/>
    <w:rsid w:val="00A25807"/>
    <w:rsid w:val="00A25DD2"/>
    <w:rsid w:val="00A264D0"/>
    <w:rsid w:val="00A26539"/>
    <w:rsid w:val="00A2675D"/>
    <w:rsid w:val="00A2686D"/>
    <w:rsid w:val="00A2694B"/>
    <w:rsid w:val="00A26E52"/>
    <w:rsid w:val="00A26EC1"/>
    <w:rsid w:val="00A271A4"/>
    <w:rsid w:val="00A271F6"/>
    <w:rsid w:val="00A27847"/>
    <w:rsid w:val="00A27883"/>
    <w:rsid w:val="00A27A8D"/>
    <w:rsid w:val="00A27DA2"/>
    <w:rsid w:val="00A27E12"/>
    <w:rsid w:val="00A27E9D"/>
    <w:rsid w:val="00A30061"/>
    <w:rsid w:val="00A300C9"/>
    <w:rsid w:val="00A3035E"/>
    <w:rsid w:val="00A30542"/>
    <w:rsid w:val="00A308DA"/>
    <w:rsid w:val="00A30DAD"/>
    <w:rsid w:val="00A31069"/>
    <w:rsid w:val="00A311B8"/>
    <w:rsid w:val="00A311CD"/>
    <w:rsid w:val="00A31558"/>
    <w:rsid w:val="00A316B7"/>
    <w:rsid w:val="00A319B4"/>
    <w:rsid w:val="00A31AB1"/>
    <w:rsid w:val="00A31B5D"/>
    <w:rsid w:val="00A31DA3"/>
    <w:rsid w:val="00A323C3"/>
    <w:rsid w:val="00A324B2"/>
    <w:rsid w:val="00A324F3"/>
    <w:rsid w:val="00A3273E"/>
    <w:rsid w:val="00A3298B"/>
    <w:rsid w:val="00A3298E"/>
    <w:rsid w:val="00A329B4"/>
    <w:rsid w:val="00A32A0B"/>
    <w:rsid w:val="00A32B18"/>
    <w:rsid w:val="00A32D18"/>
    <w:rsid w:val="00A32D1D"/>
    <w:rsid w:val="00A32DB0"/>
    <w:rsid w:val="00A32DC0"/>
    <w:rsid w:val="00A33159"/>
    <w:rsid w:val="00A331C5"/>
    <w:rsid w:val="00A333DF"/>
    <w:rsid w:val="00A33811"/>
    <w:rsid w:val="00A339C2"/>
    <w:rsid w:val="00A33D58"/>
    <w:rsid w:val="00A33F27"/>
    <w:rsid w:val="00A34392"/>
    <w:rsid w:val="00A343A3"/>
    <w:rsid w:val="00A34889"/>
    <w:rsid w:val="00A34B89"/>
    <w:rsid w:val="00A34E06"/>
    <w:rsid w:val="00A35071"/>
    <w:rsid w:val="00A3541F"/>
    <w:rsid w:val="00A356FD"/>
    <w:rsid w:val="00A35A46"/>
    <w:rsid w:val="00A35E55"/>
    <w:rsid w:val="00A35EC3"/>
    <w:rsid w:val="00A35EC5"/>
    <w:rsid w:val="00A36104"/>
    <w:rsid w:val="00A362C4"/>
    <w:rsid w:val="00A363A4"/>
    <w:rsid w:val="00A365C4"/>
    <w:rsid w:val="00A368A0"/>
    <w:rsid w:val="00A36A6A"/>
    <w:rsid w:val="00A36D73"/>
    <w:rsid w:val="00A36E33"/>
    <w:rsid w:val="00A36E63"/>
    <w:rsid w:val="00A36E87"/>
    <w:rsid w:val="00A37508"/>
    <w:rsid w:val="00A37605"/>
    <w:rsid w:val="00A3788E"/>
    <w:rsid w:val="00A378D6"/>
    <w:rsid w:val="00A379D3"/>
    <w:rsid w:val="00A37E1C"/>
    <w:rsid w:val="00A40672"/>
    <w:rsid w:val="00A40692"/>
    <w:rsid w:val="00A40AFC"/>
    <w:rsid w:val="00A40B90"/>
    <w:rsid w:val="00A40C5B"/>
    <w:rsid w:val="00A40EBC"/>
    <w:rsid w:val="00A412C4"/>
    <w:rsid w:val="00A412CC"/>
    <w:rsid w:val="00A4149F"/>
    <w:rsid w:val="00A414F4"/>
    <w:rsid w:val="00A41CB0"/>
    <w:rsid w:val="00A41EEB"/>
    <w:rsid w:val="00A42414"/>
    <w:rsid w:val="00A42529"/>
    <w:rsid w:val="00A42623"/>
    <w:rsid w:val="00A42724"/>
    <w:rsid w:val="00A4275B"/>
    <w:rsid w:val="00A42B13"/>
    <w:rsid w:val="00A42BFE"/>
    <w:rsid w:val="00A42FB4"/>
    <w:rsid w:val="00A4392C"/>
    <w:rsid w:val="00A439C5"/>
    <w:rsid w:val="00A43B0C"/>
    <w:rsid w:val="00A43E75"/>
    <w:rsid w:val="00A440A1"/>
    <w:rsid w:val="00A44304"/>
    <w:rsid w:val="00A4441B"/>
    <w:rsid w:val="00A4486A"/>
    <w:rsid w:val="00A44A0A"/>
    <w:rsid w:val="00A44E1E"/>
    <w:rsid w:val="00A456C0"/>
    <w:rsid w:val="00A45723"/>
    <w:rsid w:val="00A457CE"/>
    <w:rsid w:val="00A45CD3"/>
    <w:rsid w:val="00A45F85"/>
    <w:rsid w:val="00A460A3"/>
    <w:rsid w:val="00A46288"/>
    <w:rsid w:val="00A4629A"/>
    <w:rsid w:val="00A46668"/>
    <w:rsid w:val="00A46775"/>
    <w:rsid w:val="00A46B83"/>
    <w:rsid w:val="00A46C80"/>
    <w:rsid w:val="00A46E68"/>
    <w:rsid w:val="00A4715A"/>
    <w:rsid w:val="00A4716B"/>
    <w:rsid w:val="00A4716E"/>
    <w:rsid w:val="00A47221"/>
    <w:rsid w:val="00A47570"/>
    <w:rsid w:val="00A475E5"/>
    <w:rsid w:val="00A47744"/>
    <w:rsid w:val="00A478A1"/>
    <w:rsid w:val="00A47B7E"/>
    <w:rsid w:val="00A5002A"/>
    <w:rsid w:val="00A50059"/>
    <w:rsid w:val="00A502C5"/>
    <w:rsid w:val="00A5098D"/>
    <w:rsid w:val="00A50AB6"/>
    <w:rsid w:val="00A510A8"/>
    <w:rsid w:val="00A517E7"/>
    <w:rsid w:val="00A5195B"/>
    <w:rsid w:val="00A51C04"/>
    <w:rsid w:val="00A51D2C"/>
    <w:rsid w:val="00A51DE5"/>
    <w:rsid w:val="00A51EBB"/>
    <w:rsid w:val="00A51F45"/>
    <w:rsid w:val="00A523EE"/>
    <w:rsid w:val="00A5254B"/>
    <w:rsid w:val="00A52CBD"/>
    <w:rsid w:val="00A52CF9"/>
    <w:rsid w:val="00A52D28"/>
    <w:rsid w:val="00A53123"/>
    <w:rsid w:val="00A537A8"/>
    <w:rsid w:val="00A54471"/>
    <w:rsid w:val="00A5453E"/>
    <w:rsid w:val="00A54792"/>
    <w:rsid w:val="00A54AE4"/>
    <w:rsid w:val="00A54C71"/>
    <w:rsid w:val="00A54CFA"/>
    <w:rsid w:val="00A54F26"/>
    <w:rsid w:val="00A55639"/>
    <w:rsid w:val="00A557D3"/>
    <w:rsid w:val="00A55D29"/>
    <w:rsid w:val="00A55FCF"/>
    <w:rsid w:val="00A5607D"/>
    <w:rsid w:val="00A5609B"/>
    <w:rsid w:val="00A560CD"/>
    <w:rsid w:val="00A561EF"/>
    <w:rsid w:val="00A567E7"/>
    <w:rsid w:val="00A56909"/>
    <w:rsid w:val="00A569A0"/>
    <w:rsid w:val="00A569FC"/>
    <w:rsid w:val="00A56AE3"/>
    <w:rsid w:val="00A56BBF"/>
    <w:rsid w:val="00A5750E"/>
    <w:rsid w:val="00A5792A"/>
    <w:rsid w:val="00A5799B"/>
    <w:rsid w:val="00A57C92"/>
    <w:rsid w:val="00A57DF2"/>
    <w:rsid w:val="00A600B6"/>
    <w:rsid w:val="00A60427"/>
    <w:rsid w:val="00A60599"/>
    <w:rsid w:val="00A606AA"/>
    <w:rsid w:val="00A608E5"/>
    <w:rsid w:val="00A60963"/>
    <w:rsid w:val="00A60C13"/>
    <w:rsid w:val="00A60D89"/>
    <w:rsid w:val="00A60EC6"/>
    <w:rsid w:val="00A613B9"/>
    <w:rsid w:val="00A618CC"/>
    <w:rsid w:val="00A61ADC"/>
    <w:rsid w:val="00A61C7D"/>
    <w:rsid w:val="00A629CB"/>
    <w:rsid w:val="00A629EC"/>
    <w:rsid w:val="00A62A87"/>
    <w:rsid w:val="00A62C84"/>
    <w:rsid w:val="00A62DCB"/>
    <w:rsid w:val="00A63101"/>
    <w:rsid w:val="00A63295"/>
    <w:rsid w:val="00A632E0"/>
    <w:rsid w:val="00A64164"/>
    <w:rsid w:val="00A644F6"/>
    <w:rsid w:val="00A64703"/>
    <w:rsid w:val="00A64750"/>
    <w:rsid w:val="00A64C60"/>
    <w:rsid w:val="00A64DDE"/>
    <w:rsid w:val="00A64EBB"/>
    <w:rsid w:val="00A64F7A"/>
    <w:rsid w:val="00A650DA"/>
    <w:rsid w:val="00A65314"/>
    <w:rsid w:val="00A654E5"/>
    <w:rsid w:val="00A6552D"/>
    <w:rsid w:val="00A65645"/>
    <w:rsid w:val="00A65A27"/>
    <w:rsid w:val="00A65AE5"/>
    <w:rsid w:val="00A65B34"/>
    <w:rsid w:val="00A65E65"/>
    <w:rsid w:val="00A660A9"/>
    <w:rsid w:val="00A664C2"/>
    <w:rsid w:val="00A666E5"/>
    <w:rsid w:val="00A66B6F"/>
    <w:rsid w:val="00A66BA7"/>
    <w:rsid w:val="00A66EA8"/>
    <w:rsid w:val="00A66F09"/>
    <w:rsid w:val="00A6718F"/>
    <w:rsid w:val="00A67269"/>
    <w:rsid w:val="00A67343"/>
    <w:rsid w:val="00A67604"/>
    <w:rsid w:val="00A6760D"/>
    <w:rsid w:val="00A6779E"/>
    <w:rsid w:val="00A67A7D"/>
    <w:rsid w:val="00A67A99"/>
    <w:rsid w:val="00A700B0"/>
    <w:rsid w:val="00A70900"/>
    <w:rsid w:val="00A70905"/>
    <w:rsid w:val="00A7094C"/>
    <w:rsid w:val="00A7094D"/>
    <w:rsid w:val="00A70A46"/>
    <w:rsid w:val="00A70B12"/>
    <w:rsid w:val="00A70CB9"/>
    <w:rsid w:val="00A70E49"/>
    <w:rsid w:val="00A70FCD"/>
    <w:rsid w:val="00A71872"/>
    <w:rsid w:val="00A719B2"/>
    <w:rsid w:val="00A71A35"/>
    <w:rsid w:val="00A71ABB"/>
    <w:rsid w:val="00A71CB2"/>
    <w:rsid w:val="00A71DFF"/>
    <w:rsid w:val="00A7213F"/>
    <w:rsid w:val="00A72179"/>
    <w:rsid w:val="00A723EC"/>
    <w:rsid w:val="00A72560"/>
    <w:rsid w:val="00A72665"/>
    <w:rsid w:val="00A727FA"/>
    <w:rsid w:val="00A72D8C"/>
    <w:rsid w:val="00A730C5"/>
    <w:rsid w:val="00A73210"/>
    <w:rsid w:val="00A734DE"/>
    <w:rsid w:val="00A7390A"/>
    <w:rsid w:val="00A73AFE"/>
    <w:rsid w:val="00A73C75"/>
    <w:rsid w:val="00A73DCB"/>
    <w:rsid w:val="00A7405A"/>
    <w:rsid w:val="00A74111"/>
    <w:rsid w:val="00A74191"/>
    <w:rsid w:val="00A7457E"/>
    <w:rsid w:val="00A74BCC"/>
    <w:rsid w:val="00A74D46"/>
    <w:rsid w:val="00A74EC7"/>
    <w:rsid w:val="00A74F00"/>
    <w:rsid w:val="00A752E5"/>
    <w:rsid w:val="00A755E9"/>
    <w:rsid w:val="00A758E5"/>
    <w:rsid w:val="00A75A74"/>
    <w:rsid w:val="00A75E31"/>
    <w:rsid w:val="00A75E59"/>
    <w:rsid w:val="00A7661D"/>
    <w:rsid w:val="00A76C67"/>
    <w:rsid w:val="00A76D64"/>
    <w:rsid w:val="00A770F4"/>
    <w:rsid w:val="00A77886"/>
    <w:rsid w:val="00A77C9B"/>
    <w:rsid w:val="00A77EF8"/>
    <w:rsid w:val="00A77F63"/>
    <w:rsid w:val="00A77FF2"/>
    <w:rsid w:val="00A805FD"/>
    <w:rsid w:val="00A8076F"/>
    <w:rsid w:val="00A807AB"/>
    <w:rsid w:val="00A80837"/>
    <w:rsid w:val="00A80A17"/>
    <w:rsid w:val="00A80B47"/>
    <w:rsid w:val="00A80B7A"/>
    <w:rsid w:val="00A80CB3"/>
    <w:rsid w:val="00A80F5F"/>
    <w:rsid w:val="00A80F8E"/>
    <w:rsid w:val="00A810B9"/>
    <w:rsid w:val="00A8123D"/>
    <w:rsid w:val="00A812FA"/>
    <w:rsid w:val="00A813DB"/>
    <w:rsid w:val="00A81BC5"/>
    <w:rsid w:val="00A81D81"/>
    <w:rsid w:val="00A8210C"/>
    <w:rsid w:val="00A823C6"/>
    <w:rsid w:val="00A823DA"/>
    <w:rsid w:val="00A82461"/>
    <w:rsid w:val="00A82682"/>
    <w:rsid w:val="00A8286D"/>
    <w:rsid w:val="00A82D10"/>
    <w:rsid w:val="00A82E4C"/>
    <w:rsid w:val="00A832B3"/>
    <w:rsid w:val="00A83525"/>
    <w:rsid w:val="00A83636"/>
    <w:rsid w:val="00A8365F"/>
    <w:rsid w:val="00A83892"/>
    <w:rsid w:val="00A83899"/>
    <w:rsid w:val="00A83D5E"/>
    <w:rsid w:val="00A83E67"/>
    <w:rsid w:val="00A83E7E"/>
    <w:rsid w:val="00A842B8"/>
    <w:rsid w:val="00A843BF"/>
    <w:rsid w:val="00A84731"/>
    <w:rsid w:val="00A848DE"/>
    <w:rsid w:val="00A84ACB"/>
    <w:rsid w:val="00A84F42"/>
    <w:rsid w:val="00A85150"/>
    <w:rsid w:val="00A855A2"/>
    <w:rsid w:val="00A85626"/>
    <w:rsid w:val="00A8594F"/>
    <w:rsid w:val="00A85950"/>
    <w:rsid w:val="00A85C20"/>
    <w:rsid w:val="00A85FE0"/>
    <w:rsid w:val="00A86157"/>
    <w:rsid w:val="00A862C8"/>
    <w:rsid w:val="00A863A4"/>
    <w:rsid w:val="00A86513"/>
    <w:rsid w:val="00A86661"/>
    <w:rsid w:val="00A869F0"/>
    <w:rsid w:val="00A86A14"/>
    <w:rsid w:val="00A86A5B"/>
    <w:rsid w:val="00A86BAC"/>
    <w:rsid w:val="00A86FD7"/>
    <w:rsid w:val="00A8791A"/>
    <w:rsid w:val="00A87D25"/>
    <w:rsid w:val="00A87DE4"/>
    <w:rsid w:val="00A87FBF"/>
    <w:rsid w:val="00A90145"/>
    <w:rsid w:val="00A9014D"/>
    <w:rsid w:val="00A9038B"/>
    <w:rsid w:val="00A906EA"/>
    <w:rsid w:val="00A907E3"/>
    <w:rsid w:val="00A9080E"/>
    <w:rsid w:val="00A90913"/>
    <w:rsid w:val="00A90EA8"/>
    <w:rsid w:val="00A90EF7"/>
    <w:rsid w:val="00A91239"/>
    <w:rsid w:val="00A91245"/>
    <w:rsid w:val="00A916EC"/>
    <w:rsid w:val="00A9195F"/>
    <w:rsid w:val="00A91B92"/>
    <w:rsid w:val="00A91BA5"/>
    <w:rsid w:val="00A91D57"/>
    <w:rsid w:val="00A91F6A"/>
    <w:rsid w:val="00A9202F"/>
    <w:rsid w:val="00A9218D"/>
    <w:rsid w:val="00A921AC"/>
    <w:rsid w:val="00A924A8"/>
    <w:rsid w:val="00A925B0"/>
    <w:rsid w:val="00A9266E"/>
    <w:rsid w:val="00A92DF1"/>
    <w:rsid w:val="00A92E62"/>
    <w:rsid w:val="00A9308D"/>
    <w:rsid w:val="00A93472"/>
    <w:rsid w:val="00A93548"/>
    <w:rsid w:val="00A93A37"/>
    <w:rsid w:val="00A93A58"/>
    <w:rsid w:val="00A93BAA"/>
    <w:rsid w:val="00A93CF0"/>
    <w:rsid w:val="00A93E96"/>
    <w:rsid w:val="00A940D3"/>
    <w:rsid w:val="00A9422D"/>
    <w:rsid w:val="00A94469"/>
    <w:rsid w:val="00A9447D"/>
    <w:rsid w:val="00A946B3"/>
    <w:rsid w:val="00A94AFE"/>
    <w:rsid w:val="00A95101"/>
    <w:rsid w:val="00A951C3"/>
    <w:rsid w:val="00A95726"/>
    <w:rsid w:val="00A96025"/>
    <w:rsid w:val="00A9679F"/>
    <w:rsid w:val="00A9686D"/>
    <w:rsid w:val="00A96FE1"/>
    <w:rsid w:val="00A970F5"/>
    <w:rsid w:val="00A977F1"/>
    <w:rsid w:val="00A97989"/>
    <w:rsid w:val="00A97F74"/>
    <w:rsid w:val="00AA01C9"/>
    <w:rsid w:val="00AA0477"/>
    <w:rsid w:val="00AA04EC"/>
    <w:rsid w:val="00AA0547"/>
    <w:rsid w:val="00AA07AF"/>
    <w:rsid w:val="00AA0B56"/>
    <w:rsid w:val="00AA12CF"/>
    <w:rsid w:val="00AA1632"/>
    <w:rsid w:val="00AA17F0"/>
    <w:rsid w:val="00AA18E4"/>
    <w:rsid w:val="00AA1DD6"/>
    <w:rsid w:val="00AA1E0E"/>
    <w:rsid w:val="00AA21E1"/>
    <w:rsid w:val="00AA23FE"/>
    <w:rsid w:val="00AA2464"/>
    <w:rsid w:val="00AA2684"/>
    <w:rsid w:val="00AA29F1"/>
    <w:rsid w:val="00AA2A7E"/>
    <w:rsid w:val="00AA2DBA"/>
    <w:rsid w:val="00AA2DFC"/>
    <w:rsid w:val="00AA2F95"/>
    <w:rsid w:val="00AA2FDB"/>
    <w:rsid w:val="00AA32B2"/>
    <w:rsid w:val="00AA33CE"/>
    <w:rsid w:val="00AA358C"/>
    <w:rsid w:val="00AA35B7"/>
    <w:rsid w:val="00AA3910"/>
    <w:rsid w:val="00AA3AA9"/>
    <w:rsid w:val="00AA3C66"/>
    <w:rsid w:val="00AA3CDA"/>
    <w:rsid w:val="00AA3D18"/>
    <w:rsid w:val="00AA4627"/>
    <w:rsid w:val="00AA4977"/>
    <w:rsid w:val="00AA4993"/>
    <w:rsid w:val="00AA4EFF"/>
    <w:rsid w:val="00AA56A1"/>
    <w:rsid w:val="00AA5D98"/>
    <w:rsid w:val="00AA5DB3"/>
    <w:rsid w:val="00AA5E66"/>
    <w:rsid w:val="00AA65DF"/>
    <w:rsid w:val="00AA660F"/>
    <w:rsid w:val="00AA6C2B"/>
    <w:rsid w:val="00AA6F78"/>
    <w:rsid w:val="00AA73C3"/>
    <w:rsid w:val="00AA745A"/>
    <w:rsid w:val="00AA74B7"/>
    <w:rsid w:val="00AA7744"/>
    <w:rsid w:val="00AA77E4"/>
    <w:rsid w:val="00AA7A7F"/>
    <w:rsid w:val="00AA7B8F"/>
    <w:rsid w:val="00AA7E25"/>
    <w:rsid w:val="00AB007E"/>
    <w:rsid w:val="00AB0798"/>
    <w:rsid w:val="00AB0AA9"/>
    <w:rsid w:val="00AB0DE2"/>
    <w:rsid w:val="00AB1125"/>
    <w:rsid w:val="00AB1308"/>
    <w:rsid w:val="00AB1391"/>
    <w:rsid w:val="00AB156C"/>
    <w:rsid w:val="00AB1776"/>
    <w:rsid w:val="00AB1818"/>
    <w:rsid w:val="00AB193C"/>
    <w:rsid w:val="00AB199E"/>
    <w:rsid w:val="00AB1C51"/>
    <w:rsid w:val="00AB1CA0"/>
    <w:rsid w:val="00AB1E93"/>
    <w:rsid w:val="00AB1F81"/>
    <w:rsid w:val="00AB23EC"/>
    <w:rsid w:val="00AB24AD"/>
    <w:rsid w:val="00AB286D"/>
    <w:rsid w:val="00AB2B54"/>
    <w:rsid w:val="00AB2CCB"/>
    <w:rsid w:val="00AB2D72"/>
    <w:rsid w:val="00AB2F86"/>
    <w:rsid w:val="00AB32CC"/>
    <w:rsid w:val="00AB3673"/>
    <w:rsid w:val="00AB39EF"/>
    <w:rsid w:val="00AB3C60"/>
    <w:rsid w:val="00AB3C76"/>
    <w:rsid w:val="00AB436E"/>
    <w:rsid w:val="00AB4A13"/>
    <w:rsid w:val="00AB5434"/>
    <w:rsid w:val="00AB54EB"/>
    <w:rsid w:val="00AB59DF"/>
    <w:rsid w:val="00AB5A19"/>
    <w:rsid w:val="00AB6721"/>
    <w:rsid w:val="00AB6AB8"/>
    <w:rsid w:val="00AB6C46"/>
    <w:rsid w:val="00AB6C69"/>
    <w:rsid w:val="00AB6E1B"/>
    <w:rsid w:val="00AB6F2D"/>
    <w:rsid w:val="00AB7273"/>
    <w:rsid w:val="00AB7591"/>
    <w:rsid w:val="00AB7695"/>
    <w:rsid w:val="00AB7736"/>
    <w:rsid w:val="00AB7871"/>
    <w:rsid w:val="00AB79EB"/>
    <w:rsid w:val="00AB7E16"/>
    <w:rsid w:val="00AC0194"/>
    <w:rsid w:val="00AC01D8"/>
    <w:rsid w:val="00AC07DC"/>
    <w:rsid w:val="00AC093A"/>
    <w:rsid w:val="00AC0C0A"/>
    <w:rsid w:val="00AC0E8A"/>
    <w:rsid w:val="00AC1079"/>
    <w:rsid w:val="00AC1099"/>
    <w:rsid w:val="00AC10AF"/>
    <w:rsid w:val="00AC10B9"/>
    <w:rsid w:val="00AC10C2"/>
    <w:rsid w:val="00AC1136"/>
    <w:rsid w:val="00AC1147"/>
    <w:rsid w:val="00AC125E"/>
    <w:rsid w:val="00AC1309"/>
    <w:rsid w:val="00AC1754"/>
    <w:rsid w:val="00AC17FC"/>
    <w:rsid w:val="00AC1A06"/>
    <w:rsid w:val="00AC2018"/>
    <w:rsid w:val="00AC23F9"/>
    <w:rsid w:val="00AC2518"/>
    <w:rsid w:val="00AC2697"/>
    <w:rsid w:val="00AC2A06"/>
    <w:rsid w:val="00AC2C7F"/>
    <w:rsid w:val="00AC2F0F"/>
    <w:rsid w:val="00AC2F49"/>
    <w:rsid w:val="00AC31C8"/>
    <w:rsid w:val="00AC33AD"/>
    <w:rsid w:val="00AC34C3"/>
    <w:rsid w:val="00AC37CE"/>
    <w:rsid w:val="00AC3FD5"/>
    <w:rsid w:val="00AC426A"/>
    <w:rsid w:val="00AC45FB"/>
    <w:rsid w:val="00AC493F"/>
    <w:rsid w:val="00AC514D"/>
    <w:rsid w:val="00AC546F"/>
    <w:rsid w:val="00AC559B"/>
    <w:rsid w:val="00AC57CB"/>
    <w:rsid w:val="00AC61A2"/>
    <w:rsid w:val="00AC6324"/>
    <w:rsid w:val="00AC6525"/>
    <w:rsid w:val="00AC663B"/>
    <w:rsid w:val="00AC6657"/>
    <w:rsid w:val="00AC6671"/>
    <w:rsid w:val="00AC6E96"/>
    <w:rsid w:val="00AC761A"/>
    <w:rsid w:val="00AC7A08"/>
    <w:rsid w:val="00AC7A6A"/>
    <w:rsid w:val="00AC7CB2"/>
    <w:rsid w:val="00AC7E47"/>
    <w:rsid w:val="00AC7F04"/>
    <w:rsid w:val="00AD0850"/>
    <w:rsid w:val="00AD0AB4"/>
    <w:rsid w:val="00AD0BD7"/>
    <w:rsid w:val="00AD0D07"/>
    <w:rsid w:val="00AD11C0"/>
    <w:rsid w:val="00AD1252"/>
    <w:rsid w:val="00AD12B6"/>
    <w:rsid w:val="00AD17FC"/>
    <w:rsid w:val="00AD187A"/>
    <w:rsid w:val="00AD1A64"/>
    <w:rsid w:val="00AD1C63"/>
    <w:rsid w:val="00AD1C7F"/>
    <w:rsid w:val="00AD1D3E"/>
    <w:rsid w:val="00AD1F94"/>
    <w:rsid w:val="00AD205D"/>
    <w:rsid w:val="00AD212E"/>
    <w:rsid w:val="00AD240E"/>
    <w:rsid w:val="00AD246A"/>
    <w:rsid w:val="00AD259A"/>
    <w:rsid w:val="00AD2750"/>
    <w:rsid w:val="00AD2817"/>
    <w:rsid w:val="00AD28FB"/>
    <w:rsid w:val="00AD290F"/>
    <w:rsid w:val="00AD2B98"/>
    <w:rsid w:val="00AD2C24"/>
    <w:rsid w:val="00AD3390"/>
    <w:rsid w:val="00AD3432"/>
    <w:rsid w:val="00AD359C"/>
    <w:rsid w:val="00AD35BA"/>
    <w:rsid w:val="00AD39B8"/>
    <w:rsid w:val="00AD3BAB"/>
    <w:rsid w:val="00AD3D24"/>
    <w:rsid w:val="00AD42B3"/>
    <w:rsid w:val="00AD4399"/>
    <w:rsid w:val="00AD448D"/>
    <w:rsid w:val="00AD4501"/>
    <w:rsid w:val="00AD46E7"/>
    <w:rsid w:val="00AD47AF"/>
    <w:rsid w:val="00AD4AE8"/>
    <w:rsid w:val="00AD50A5"/>
    <w:rsid w:val="00AD53B0"/>
    <w:rsid w:val="00AD53C2"/>
    <w:rsid w:val="00AD5424"/>
    <w:rsid w:val="00AD5469"/>
    <w:rsid w:val="00AD55CC"/>
    <w:rsid w:val="00AD591F"/>
    <w:rsid w:val="00AD5A1C"/>
    <w:rsid w:val="00AD5D3B"/>
    <w:rsid w:val="00AD5FF2"/>
    <w:rsid w:val="00AD68E3"/>
    <w:rsid w:val="00AD69FC"/>
    <w:rsid w:val="00AD6AC9"/>
    <w:rsid w:val="00AD6CE8"/>
    <w:rsid w:val="00AD7303"/>
    <w:rsid w:val="00AD7640"/>
    <w:rsid w:val="00AD7794"/>
    <w:rsid w:val="00AD77C1"/>
    <w:rsid w:val="00AD7E08"/>
    <w:rsid w:val="00AE0538"/>
    <w:rsid w:val="00AE0554"/>
    <w:rsid w:val="00AE079D"/>
    <w:rsid w:val="00AE0BC8"/>
    <w:rsid w:val="00AE0EB0"/>
    <w:rsid w:val="00AE0FED"/>
    <w:rsid w:val="00AE109B"/>
    <w:rsid w:val="00AE1727"/>
    <w:rsid w:val="00AE172B"/>
    <w:rsid w:val="00AE1854"/>
    <w:rsid w:val="00AE189D"/>
    <w:rsid w:val="00AE1C13"/>
    <w:rsid w:val="00AE1D35"/>
    <w:rsid w:val="00AE2747"/>
    <w:rsid w:val="00AE2855"/>
    <w:rsid w:val="00AE29A5"/>
    <w:rsid w:val="00AE2E54"/>
    <w:rsid w:val="00AE349B"/>
    <w:rsid w:val="00AE3F65"/>
    <w:rsid w:val="00AE43D0"/>
    <w:rsid w:val="00AE4403"/>
    <w:rsid w:val="00AE444E"/>
    <w:rsid w:val="00AE4A91"/>
    <w:rsid w:val="00AE4AE1"/>
    <w:rsid w:val="00AE56C1"/>
    <w:rsid w:val="00AE5950"/>
    <w:rsid w:val="00AE5AF8"/>
    <w:rsid w:val="00AE5D1C"/>
    <w:rsid w:val="00AE5D5E"/>
    <w:rsid w:val="00AE5EDE"/>
    <w:rsid w:val="00AE635D"/>
    <w:rsid w:val="00AE6866"/>
    <w:rsid w:val="00AE6DD8"/>
    <w:rsid w:val="00AE7099"/>
    <w:rsid w:val="00AE70FB"/>
    <w:rsid w:val="00AE7284"/>
    <w:rsid w:val="00AE76AD"/>
    <w:rsid w:val="00AE7AE8"/>
    <w:rsid w:val="00AE7B7C"/>
    <w:rsid w:val="00AE7C7C"/>
    <w:rsid w:val="00AF0114"/>
    <w:rsid w:val="00AF03DE"/>
    <w:rsid w:val="00AF04A2"/>
    <w:rsid w:val="00AF05D4"/>
    <w:rsid w:val="00AF06E6"/>
    <w:rsid w:val="00AF07A8"/>
    <w:rsid w:val="00AF07CF"/>
    <w:rsid w:val="00AF08AD"/>
    <w:rsid w:val="00AF091B"/>
    <w:rsid w:val="00AF0C5D"/>
    <w:rsid w:val="00AF0C6D"/>
    <w:rsid w:val="00AF0D6E"/>
    <w:rsid w:val="00AF117A"/>
    <w:rsid w:val="00AF140C"/>
    <w:rsid w:val="00AF1457"/>
    <w:rsid w:val="00AF146B"/>
    <w:rsid w:val="00AF1575"/>
    <w:rsid w:val="00AF180A"/>
    <w:rsid w:val="00AF1C25"/>
    <w:rsid w:val="00AF1CD6"/>
    <w:rsid w:val="00AF1D08"/>
    <w:rsid w:val="00AF1EAF"/>
    <w:rsid w:val="00AF1F8A"/>
    <w:rsid w:val="00AF1FD3"/>
    <w:rsid w:val="00AF1FFB"/>
    <w:rsid w:val="00AF256D"/>
    <w:rsid w:val="00AF267E"/>
    <w:rsid w:val="00AF298A"/>
    <w:rsid w:val="00AF2A69"/>
    <w:rsid w:val="00AF2CBF"/>
    <w:rsid w:val="00AF33CD"/>
    <w:rsid w:val="00AF3427"/>
    <w:rsid w:val="00AF4197"/>
    <w:rsid w:val="00AF4610"/>
    <w:rsid w:val="00AF4701"/>
    <w:rsid w:val="00AF4C72"/>
    <w:rsid w:val="00AF4F63"/>
    <w:rsid w:val="00AF501A"/>
    <w:rsid w:val="00AF511A"/>
    <w:rsid w:val="00AF5773"/>
    <w:rsid w:val="00AF57E6"/>
    <w:rsid w:val="00AF580B"/>
    <w:rsid w:val="00AF592E"/>
    <w:rsid w:val="00AF60BD"/>
    <w:rsid w:val="00AF6217"/>
    <w:rsid w:val="00AF6389"/>
    <w:rsid w:val="00AF6843"/>
    <w:rsid w:val="00AF689A"/>
    <w:rsid w:val="00AF6AB0"/>
    <w:rsid w:val="00AF6B60"/>
    <w:rsid w:val="00AF6B64"/>
    <w:rsid w:val="00AF6C6F"/>
    <w:rsid w:val="00AF714F"/>
    <w:rsid w:val="00AF723B"/>
    <w:rsid w:val="00AF7404"/>
    <w:rsid w:val="00AF77F7"/>
    <w:rsid w:val="00AF791F"/>
    <w:rsid w:val="00AF798A"/>
    <w:rsid w:val="00AF7DA9"/>
    <w:rsid w:val="00AF7EE7"/>
    <w:rsid w:val="00B002DE"/>
    <w:rsid w:val="00B0036F"/>
    <w:rsid w:val="00B003F2"/>
    <w:rsid w:val="00B00C51"/>
    <w:rsid w:val="00B01021"/>
    <w:rsid w:val="00B011B6"/>
    <w:rsid w:val="00B012D4"/>
    <w:rsid w:val="00B01385"/>
    <w:rsid w:val="00B0160F"/>
    <w:rsid w:val="00B01716"/>
    <w:rsid w:val="00B0196A"/>
    <w:rsid w:val="00B019A0"/>
    <w:rsid w:val="00B019F8"/>
    <w:rsid w:val="00B01BFC"/>
    <w:rsid w:val="00B01C1F"/>
    <w:rsid w:val="00B01CD4"/>
    <w:rsid w:val="00B02A4D"/>
    <w:rsid w:val="00B02E62"/>
    <w:rsid w:val="00B02FF4"/>
    <w:rsid w:val="00B0307F"/>
    <w:rsid w:val="00B03597"/>
    <w:rsid w:val="00B03D1D"/>
    <w:rsid w:val="00B03D76"/>
    <w:rsid w:val="00B041E8"/>
    <w:rsid w:val="00B04543"/>
    <w:rsid w:val="00B04ACE"/>
    <w:rsid w:val="00B04B1F"/>
    <w:rsid w:val="00B04E87"/>
    <w:rsid w:val="00B051B1"/>
    <w:rsid w:val="00B052E8"/>
    <w:rsid w:val="00B054C0"/>
    <w:rsid w:val="00B055A3"/>
    <w:rsid w:val="00B05690"/>
    <w:rsid w:val="00B0583E"/>
    <w:rsid w:val="00B05E74"/>
    <w:rsid w:val="00B05F76"/>
    <w:rsid w:val="00B06805"/>
    <w:rsid w:val="00B06898"/>
    <w:rsid w:val="00B06DCC"/>
    <w:rsid w:val="00B06EB6"/>
    <w:rsid w:val="00B07134"/>
    <w:rsid w:val="00B0752A"/>
    <w:rsid w:val="00B078DB"/>
    <w:rsid w:val="00B07E15"/>
    <w:rsid w:val="00B10030"/>
    <w:rsid w:val="00B1007A"/>
    <w:rsid w:val="00B100AA"/>
    <w:rsid w:val="00B101B0"/>
    <w:rsid w:val="00B10243"/>
    <w:rsid w:val="00B1037B"/>
    <w:rsid w:val="00B103D8"/>
    <w:rsid w:val="00B10A68"/>
    <w:rsid w:val="00B10CC8"/>
    <w:rsid w:val="00B10EA8"/>
    <w:rsid w:val="00B10F73"/>
    <w:rsid w:val="00B1102A"/>
    <w:rsid w:val="00B110CE"/>
    <w:rsid w:val="00B115D6"/>
    <w:rsid w:val="00B11603"/>
    <w:rsid w:val="00B11C5C"/>
    <w:rsid w:val="00B11D43"/>
    <w:rsid w:val="00B11DB4"/>
    <w:rsid w:val="00B11DF8"/>
    <w:rsid w:val="00B12A26"/>
    <w:rsid w:val="00B12A6F"/>
    <w:rsid w:val="00B13005"/>
    <w:rsid w:val="00B13417"/>
    <w:rsid w:val="00B1372F"/>
    <w:rsid w:val="00B1392E"/>
    <w:rsid w:val="00B13EB4"/>
    <w:rsid w:val="00B13EDB"/>
    <w:rsid w:val="00B13F37"/>
    <w:rsid w:val="00B14042"/>
    <w:rsid w:val="00B14256"/>
    <w:rsid w:val="00B1443A"/>
    <w:rsid w:val="00B1451F"/>
    <w:rsid w:val="00B14700"/>
    <w:rsid w:val="00B14852"/>
    <w:rsid w:val="00B14C0C"/>
    <w:rsid w:val="00B14C91"/>
    <w:rsid w:val="00B14DED"/>
    <w:rsid w:val="00B14FD5"/>
    <w:rsid w:val="00B15075"/>
    <w:rsid w:val="00B15103"/>
    <w:rsid w:val="00B15268"/>
    <w:rsid w:val="00B15433"/>
    <w:rsid w:val="00B1544C"/>
    <w:rsid w:val="00B15456"/>
    <w:rsid w:val="00B154D1"/>
    <w:rsid w:val="00B156FD"/>
    <w:rsid w:val="00B157F3"/>
    <w:rsid w:val="00B15DE0"/>
    <w:rsid w:val="00B1623C"/>
    <w:rsid w:val="00B16350"/>
    <w:rsid w:val="00B16362"/>
    <w:rsid w:val="00B16628"/>
    <w:rsid w:val="00B16B18"/>
    <w:rsid w:val="00B16B21"/>
    <w:rsid w:val="00B16B31"/>
    <w:rsid w:val="00B16DFD"/>
    <w:rsid w:val="00B17787"/>
    <w:rsid w:val="00B17844"/>
    <w:rsid w:val="00B17904"/>
    <w:rsid w:val="00B17962"/>
    <w:rsid w:val="00B17F6E"/>
    <w:rsid w:val="00B202CB"/>
    <w:rsid w:val="00B2041D"/>
    <w:rsid w:val="00B20430"/>
    <w:rsid w:val="00B20442"/>
    <w:rsid w:val="00B20478"/>
    <w:rsid w:val="00B205BF"/>
    <w:rsid w:val="00B20626"/>
    <w:rsid w:val="00B2074B"/>
    <w:rsid w:val="00B213B5"/>
    <w:rsid w:val="00B21649"/>
    <w:rsid w:val="00B2173C"/>
    <w:rsid w:val="00B2174B"/>
    <w:rsid w:val="00B217B4"/>
    <w:rsid w:val="00B219AB"/>
    <w:rsid w:val="00B219E6"/>
    <w:rsid w:val="00B21A3F"/>
    <w:rsid w:val="00B21B03"/>
    <w:rsid w:val="00B21BD8"/>
    <w:rsid w:val="00B21CE9"/>
    <w:rsid w:val="00B21EEF"/>
    <w:rsid w:val="00B21EF1"/>
    <w:rsid w:val="00B220CC"/>
    <w:rsid w:val="00B2267B"/>
    <w:rsid w:val="00B22856"/>
    <w:rsid w:val="00B2293C"/>
    <w:rsid w:val="00B235F0"/>
    <w:rsid w:val="00B2372E"/>
    <w:rsid w:val="00B238C0"/>
    <w:rsid w:val="00B23A52"/>
    <w:rsid w:val="00B23BC0"/>
    <w:rsid w:val="00B23DEF"/>
    <w:rsid w:val="00B2402F"/>
    <w:rsid w:val="00B24346"/>
    <w:rsid w:val="00B243F7"/>
    <w:rsid w:val="00B24895"/>
    <w:rsid w:val="00B251CC"/>
    <w:rsid w:val="00B2532E"/>
    <w:rsid w:val="00B25539"/>
    <w:rsid w:val="00B255C9"/>
    <w:rsid w:val="00B257CE"/>
    <w:rsid w:val="00B25A64"/>
    <w:rsid w:val="00B25C34"/>
    <w:rsid w:val="00B25C91"/>
    <w:rsid w:val="00B25FA0"/>
    <w:rsid w:val="00B26143"/>
    <w:rsid w:val="00B26386"/>
    <w:rsid w:val="00B26632"/>
    <w:rsid w:val="00B2668E"/>
    <w:rsid w:val="00B2698A"/>
    <w:rsid w:val="00B26AC3"/>
    <w:rsid w:val="00B26CB7"/>
    <w:rsid w:val="00B26D10"/>
    <w:rsid w:val="00B26F6C"/>
    <w:rsid w:val="00B271E5"/>
    <w:rsid w:val="00B27281"/>
    <w:rsid w:val="00B272F1"/>
    <w:rsid w:val="00B2742C"/>
    <w:rsid w:val="00B276DF"/>
    <w:rsid w:val="00B277FD"/>
    <w:rsid w:val="00B3015A"/>
    <w:rsid w:val="00B303A9"/>
    <w:rsid w:val="00B30495"/>
    <w:rsid w:val="00B30729"/>
    <w:rsid w:val="00B3082D"/>
    <w:rsid w:val="00B30A33"/>
    <w:rsid w:val="00B30B30"/>
    <w:rsid w:val="00B30D4F"/>
    <w:rsid w:val="00B30E17"/>
    <w:rsid w:val="00B3109D"/>
    <w:rsid w:val="00B310C8"/>
    <w:rsid w:val="00B31124"/>
    <w:rsid w:val="00B31784"/>
    <w:rsid w:val="00B319A1"/>
    <w:rsid w:val="00B31D22"/>
    <w:rsid w:val="00B31DEF"/>
    <w:rsid w:val="00B31E64"/>
    <w:rsid w:val="00B3239B"/>
    <w:rsid w:val="00B323D2"/>
    <w:rsid w:val="00B32746"/>
    <w:rsid w:val="00B328EB"/>
    <w:rsid w:val="00B32B15"/>
    <w:rsid w:val="00B32D09"/>
    <w:rsid w:val="00B32DCC"/>
    <w:rsid w:val="00B3313B"/>
    <w:rsid w:val="00B331F5"/>
    <w:rsid w:val="00B33446"/>
    <w:rsid w:val="00B33D21"/>
    <w:rsid w:val="00B343E8"/>
    <w:rsid w:val="00B34E56"/>
    <w:rsid w:val="00B35293"/>
    <w:rsid w:val="00B35891"/>
    <w:rsid w:val="00B35C08"/>
    <w:rsid w:val="00B35C3A"/>
    <w:rsid w:val="00B35C6D"/>
    <w:rsid w:val="00B35D41"/>
    <w:rsid w:val="00B36090"/>
    <w:rsid w:val="00B363D4"/>
    <w:rsid w:val="00B36444"/>
    <w:rsid w:val="00B36558"/>
    <w:rsid w:val="00B36786"/>
    <w:rsid w:val="00B36C9D"/>
    <w:rsid w:val="00B36DC5"/>
    <w:rsid w:val="00B36F56"/>
    <w:rsid w:val="00B36F9D"/>
    <w:rsid w:val="00B37175"/>
    <w:rsid w:val="00B37194"/>
    <w:rsid w:val="00B373A7"/>
    <w:rsid w:val="00B37650"/>
    <w:rsid w:val="00B37767"/>
    <w:rsid w:val="00B377EE"/>
    <w:rsid w:val="00B379ED"/>
    <w:rsid w:val="00B37D7E"/>
    <w:rsid w:val="00B37E22"/>
    <w:rsid w:val="00B4016F"/>
    <w:rsid w:val="00B40441"/>
    <w:rsid w:val="00B40830"/>
    <w:rsid w:val="00B40882"/>
    <w:rsid w:val="00B40BFF"/>
    <w:rsid w:val="00B40D57"/>
    <w:rsid w:val="00B40DC0"/>
    <w:rsid w:val="00B412CE"/>
    <w:rsid w:val="00B41415"/>
    <w:rsid w:val="00B41424"/>
    <w:rsid w:val="00B41487"/>
    <w:rsid w:val="00B41765"/>
    <w:rsid w:val="00B41965"/>
    <w:rsid w:val="00B41A5F"/>
    <w:rsid w:val="00B41D20"/>
    <w:rsid w:val="00B41FC0"/>
    <w:rsid w:val="00B42176"/>
    <w:rsid w:val="00B4244C"/>
    <w:rsid w:val="00B424EF"/>
    <w:rsid w:val="00B42800"/>
    <w:rsid w:val="00B428EE"/>
    <w:rsid w:val="00B429A7"/>
    <w:rsid w:val="00B42AB2"/>
    <w:rsid w:val="00B42ED2"/>
    <w:rsid w:val="00B433D9"/>
    <w:rsid w:val="00B435B4"/>
    <w:rsid w:val="00B43958"/>
    <w:rsid w:val="00B4395C"/>
    <w:rsid w:val="00B440C3"/>
    <w:rsid w:val="00B44AD8"/>
    <w:rsid w:val="00B44BA9"/>
    <w:rsid w:val="00B45095"/>
    <w:rsid w:val="00B452DE"/>
    <w:rsid w:val="00B45608"/>
    <w:rsid w:val="00B456C8"/>
    <w:rsid w:val="00B4599A"/>
    <w:rsid w:val="00B45E4B"/>
    <w:rsid w:val="00B45F12"/>
    <w:rsid w:val="00B46028"/>
    <w:rsid w:val="00B460AB"/>
    <w:rsid w:val="00B4615A"/>
    <w:rsid w:val="00B46190"/>
    <w:rsid w:val="00B4620D"/>
    <w:rsid w:val="00B46345"/>
    <w:rsid w:val="00B4655C"/>
    <w:rsid w:val="00B46878"/>
    <w:rsid w:val="00B46BAF"/>
    <w:rsid w:val="00B46F95"/>
    <w:rsid w:val="00B474F6"/>
    <w:rsid w:val="00B476BA"/>
    <w:rsid w:val="00B476BB"/>
    <w:rsid w:val="00B477B7"/>
    <w:rsid w:val="00B47879"/>
    <w:rsid w:val="00B47BE4"/>
    <w:rsid w:val="00B47D8C"/>
    <w:rsid w:val="00B502FC"/>
    <w:rsid w:val="00B5062C"/>
    <w:rsid w:val="00B5071F"/>
    <w:rsid w:val="00B50B49"/>
    <w:rsid w:val="00B50C22"/>
    <w:rsid w:val="00B50DC9"/>
    <w:rsid w:val="00B50F34"/>
    <w:rsid w:val="00B5112D"/>
    <w:rsid w:val="00B5130E"/>
    <w:rsid w:val="00B513A4"/>
    <w:rsid w:val="00B519AC"/>
    <w:rsid w:val="00B52398"/>
    <w:rsid w:val="00B52649"/>
    <w:rsid w:val="00B52AA7"/>
    <w:rsid w:val="00B52D97"/>
    <w:rsid w:val="00B53032"/>
    <w:rsid w:val="00B53103"/>
    <w:rsid w:val="00B5318D"/>
    <w:rsid w:val="00B53475"/>
    <w:rsid w:val="00B5360C"/>
    <w:rsid w:val="00B53966"/>
    <w:rsid w:val="00B53984"/>
    <w:rsid w:val="00B53B50"/>
    <w:rsid w:val="00B53BF8"/>
    <w:rsid w:val="00B540A3"/>
    <w:rsid w:val="00B54389"/>
    <w:rsid w:val="00B54448"/>
    <w:rsid w:val="00B54485"/>
    <w:rsid w:val="00B5467D"/>
    <w:rsid w:val="00B5494B"/>
    <w:rsid w:val="00B54988"/>
    <w:rsid w:val="00B54A62"/>
    <w:rsid w:val="00B54CF3"/>
    <w:rsid w:val="00B54E2F"/>
    <w:rsid w:val="00B54E92"/>
    <w:rsid w:val="00B55081"/>
    <w:rsid w:val="00B55267"/>
    <w:rsid w:val="00B552CF"/>
    <w:rsid w:val="00B5537D"/>
    <w:rsid w:val="00B556D1"/>
    <w:rsid w:val="00B5592F"/>
    <w:rsid w:val="00B5596F"/>
    <w:rsid w:val="00B564DC"/>
    <w:rsid w:val="00B569B8"/>
    <w:rsid w:val="00B56BCD"/>
    <w:rsid w:val="00B56F65"/>
    <w:rsid w:val="00B5702A"/>
    <w:rsid w:val="00B57412"/>
    <w:rsid w:val="00B575A1"/>
    <w:rsid w:val="00B57868"/>
    <w:rsid w:val="00B57994"/>
    <w:rsid w:val="00B57A99"/>
    <w:rsid w:val="00B57AF1"/>
    <w:rsid w:val="00B57EBF"/>
    <w:rsid w:val="00B602BE"/>
    <w:rsid w:val="00B60422"/>
    <w:rsid w:val="00B60486"/>
    <w:rsid w:val="00B60774"/>
    <w:rsid w:val="00B6091E"/>
    <w:rsid w:val="00B60A78"/>
    <w:rsid w:val="00B613D0"/>
    <w:rsid w:val="00B6145A"/>
    <w:rsid w:val="00B6185A"/>
    <w:rsid w:val="00B61A30"/>
    <w:rsid w:val="00B61A98"/>
    <w:rsid w:val="00B61ABC"/>
    <w:rsid w:val="00B61AFF"/>
    <w:rsid w:val="00B61B71"/>
    <w:rsid w:val="00B61C08"/>
    <w:rsid w:val="00B61D1A"/>
    <w:rsid w:val="00B620A0"/>
    <w:rsid w:val="00B622ED"/>
    <w:rsid w:val="00B62316"/>
    <w:rsid w:val="00B6238F"/>
    <w:rsid w:val="00B62B69"/>
    <w:rsid w:val="00B62CBD"/>
    <w:rsid w:val="00B62F8F"/>
    <w:rsid w:val="00B63163"/>
    <w:rsid w:val="00B63199"/>
    <w:rsid w:val="00B63256"/>
    <w:rsid w:val="00B632B5"/>
    <w:rsid w:val="00B632F2"/>
    <w:rsid w:val="00B634CB"/>
    <w:rsid w:val="00B6369F"/>
    <w:rsid w:val="00B639A5"/>
    <w:rsid w:val="00B63BE0"/>
    <w:rsid w:val="00B63C13"/>
    <w:rsid w:val="00B63D7B"/>
    <w:rsid w:val="00B6410F"/>
    <w:rsid w:val="00B6422A"/>
    <w:rsid w:val="00B64279"/>
    <w:rsid w:val="00B642B6"/>
    <w:rsid w:val="00B644E7"/>
    <w:rsid w:val="00B64521"/>
    <w:rsid w:val="00B6465E"/>
    <w:rsid w:val="00B646D2"/>
    <w:rsid w:val="00B648BB"/>
    <w:rsid w:val="00B6495E"/>
    <w:rsid w:val="00B64D51"/>
    <w:rsid w:val="00B65202"/>
    <w:rsid w:val="00B65268"/>
    <w:rsid w:val="00B65404"/>
    <w:rsid w:val="00B65428"/>
    <w:rsid w:val="00B65711"/>
    <w:rsid w:val="00B65BF6"/>
    <w:rsid w:val="00B65CF8"/>
    <w:rsid w:val="00B65DB8"/>
    <w:rsid w:val="00B66293"/>
    <w:rsid w:val="00B6640C"/>
    <w:rsid w:val="00B66B86"/>
    <w:rsid w:val="00B66EA8"/>
    <w:rsid w:val="00B67056"/>
    <w:rsid w:val="00B67446"/>
    <w:rsid w:val="00B675BD"/>
    <w:rsid w:val="00B678C6"/>
    <w:rsid w:val="00B67C2A"/>
    <w:rsid w:val="00B701BD"/>
    <w:rsid w:val="00B7066B"/>
    <w:rsid w:val="00B7073D"/>
    <w:rsid w:val="00B708D0"/>
    <w:rsid w:val="00B708EA"/>
    <w:rsid w:val="00B70D83"/>
    <w:rsid w:val="00B7144F"/>
    <w:rsid w:val="00B7158C"/>
    <w:rsid w:val="00B71D1E"/>
    <w:rsid w:val="00B71E1A"/>
    <w:rsid w:val="00B71FED"/>
    <w:rsid w:val="00B72092"/>
    <w:rsid w:val="00B720FF"/>
    <w:rsid w:val="00B721DF"/>
    <w:rsid w:val="00B72480"/>
    <w:rsid w:val="00B7260F"/>
    <w:rsid w:val="00B728B2"/>
    <w:rsid w:val="00B72917"/>
    <w:rsid w:val="00B72943"/>
    <w:rsid w:val="00B7299F"/>
    <w:rsid w:val="00B729C9"/>
    <w:rsid w:val="00B72A93"/>
    <w:rsid w:val="00B72B13"/>
    <w:rsid w:val="00B72C9F"/>
    <w:rsid w:val="00B72D41"/>
    <w:rsid w:val="00B72FEF"/>
    <w:rsid w:val="00B731A5"/>
    <w:rsid w:val="00B73241"/>
    <w:rsid w:val="00B736C9"/>
    <w:rsid w:val="00B73D1F"/>
    <w:rsid w:val="00B73F11"/>
    <w:rsid w:val="00B741AD"/>
    <w:rsid w:val="00B74402"/>
    <w:rsid w:val="00B74473"/>
    <w:rsid w:val="00B7475B"/>
    <w:rsid w:val="00B7479D"/>
    <w:rsid w:val="00B74D95"/>
    <w:rsid w:val="00B74F7D"/>
    <w:rsid w:val="00B750D4"/>
    <w:rsid w:val="00B751CD"/>
    <w:rsid w:val="00B753F6"/>
    <w:rsid w:val="00B753FC"/>
    <w:rsid w:val="00B75492"/>
    <w:rsid w:val="00B75579"/>
    <w:rsid w:val="00B75877"/>
    <w:rsid w:val="00B75B3B"/>
    <w:rsid w:val="00B75D8E"/>
    <w:rsid w:val="00B761F3"/>
    <w:rsid w:val="00B76878"/>
    <w:rsid w:val="00B76954"/>
    <w:rsid w:val="00B76C21"/>
    <w:rsid w:val="00B76C52"/>
    <w:rsid w:val="00B76D68"/>
    <w:rsid w:val="00B76E00"/>
    <w:rsid w:val="00B76F82"/>
    <w:rsid w:val="00B76FD2"/>
    <w:rsid w:val="00B77339"/>
    <w:rsid w:val="00B7738E"/>
    <w:rsid w:val="00B773CD"/>
    <w:rsid w:val="00B77409"/>
    <w:rsid w:val="00B7742D"/>
    <w:rsid w:val="00B777F3"/>
    <w:rsid w:val="00B77A58"/>
    <w:rsid w:val="00B77D4E"/>
    <w:rsid w:val="00B77DCD"/>
    <w:rsid w:val="00B8011D"/>
    <w:rsid w:val="00B8089E"/>
    <w:rsid w:val="00B80D42"/>
    <w:rsid w:val="00B80E89"/>
    <w:rsid w:val="00B80F2A"/>
    <w:rsid w:val="00B8163B"/>
    <w:rsid w:val="00B81754"/>
    <w:rsid w:val="00B817AE"/>
    <w:rsid w:val="00B81C6D"/>
    <w:rsid w:val="00B81D67"/>
    <w:rsid w:val="00B81DEA"/>
    <w:rsid w:val="00B81E24"/>
    <w:rsid w:val="00B82008"/>
    <w:rsid w:val="00B82111"/>
    <w:rsid w:val="00B82115"/>
    <w:rsid w:val="00B82485"/>
    <w:rsid w:val="00B82497"/>
    <w:rsid w:val="00B82DEC"/>
    <w:rsid w:val="00B82EE8"/>
    <w:rsid w:val="00B830C8"/>
    <w:rsid w:val="00B837B6"/>
    <w:rsid w:val="00B837BF"/>
    <w:rsid w:val="00B83C0A"/>
    <w:rsid w:val="00B83C42"/>
    <w:rsid w:val="00B84195"/>
    <w:rsid w:val="00B84287"/>
    <w:rsid w:val="00B842A7"/>
    <w:rsid w:val="00B844E4"/>
    <w:rsid w:val="00B84F92"/>
    <w:rsid w:val="00B84FBA"/>
    <w:rsid w:val="00B8510B"/>
    <w:rsid w:val="00B85294"/>
    <w:rsid w:val="00B852B7"/>
    <w:rsid w:val="00B8531F"/>
    <w:rsid w:val="00B855C7"/>
    <w:rsid w:val="00B8569A"/>
    <w:rsid w:val="00B8573B"/>
    <w:rsid w:val="00B8579D"/>
    <w:rsid w:val="00B85A59"/>
    <w:rsid w:val="00B85B19"/>
    <w:rsid w:val="00B85BAD"/>
    <w:rsid w:val="00B85DA9"/>
    <w:rsid w:val="00B85E86"/>
    <w:rsid w:val="00B85F15"/>
    <w:rsid w:val="00B85FE6"/>
    <w:rsid w:val="00B86256"/>
    <w:rsid w:val="00B864D7"/>
    <w:rsid w:val="00B86514"/>
    <w:rsid w:val="00B8678F"/>
    <w:rsid w:val="00B867BD"/>
    <w:rsid w:val="00B86C75"/>
    <w:rsid w:val="00B87414"/>
    <w:rsid w:val="00B875FF"/>
    <w:rsid w:val="00B87BD5"/>
    <w:rsid w:val="00B87CC2"/>
    <w:rsid w:val="00B90137"/>
    <w:rsid w:val="00B90303"/>
    <w:rsid w:val="00B9052F"/>
    <w:rsid w:val="00B90763"/>
    <w:rsid w:val="00B908E8"/>
    <w:rsid w:val="00B90B8F"/>
    <w:rsid w:val="00B90C37"/>
    <w:rsid w:val="00B90C5C"/>
    <w:rsid w:val="00B90C9F"/>
    <w:rsid w:val="00B91187"/>
    <w:rsid w:val="00B91434"/>
    <w:rsid w:val="00B9164E"/>
    <w:rsid w:val="00B9178E"/>
    <w:rsid w:val="00B91794"/>
    <w:rsid w:val="00B917EA"/>
    <w:rsid w:val="00B919BC"/>
    <w:rsid w:val="00B91BBE"/>
    <w:rsid w:val="00B91DF8"/>
    <w:rsid w:val="00B920B0"/>
    <w:rsid w:val="00B920ED"/>
    <w:rsid w:val="00B9224F"/>
    <w:rsid w:val="00B922CF"/>
    <w:rsid w:val="00B925A3"/>
    <w:rsid w:val="00B92953"/>
    <w:rsid w:val="00B92F83"/>
    <w:rsid w:val="00B9332C"/>
    <w:rsid w:val="00B93892"/>
    <w:rsid w:val="00B93946"/>
    <w:rsid w:val="00B939A1"/>
    <w:rsid w:val="00B93CE7"/>
    <w:rsid w:val="00B93D04"/>
    <w:rsid w:val="00B93F74"/>
    <w:rsid w:val="00B94862"/>
    <w:rsid w:val="00B94AB3"/>
    <w:rsid w:val="00B95334"/>
    <w:rsid w:val="00B95348"/>
    <w:rsid w:val="00B95589"/>
    <w:rsid w:val="00B955E4"/>
    <w:rsid w:val="00B95AEE"/>
    <w:rsid w:val="00B95BA4"/>
    <w:rsid w:val="00B95C35"/>
    <w:rsid w:val="00B95E7E"/>
    <w:rsid w:val="00B9602A"/>
    <w:rsid w:val="00B966F1"/>
    <w:rsid w:val="00B96B96"/>
    <w:rsid w:val="00B96E01"/>
    <w:rsid w:val="00B97150"/>
    <w:rsid w:val="00B97227"/>
    <w:rsid w:val="00B9738E"/>
    <w:rsid w:val="00B97757"/>
    <w:rsid w:val="00B97AB0"/>
    <w:rsid w:val="00B97FEA"/>
    <w:rsid w:val="00BA016C"/>
    <w:rsid w:val="00BA02A9"/>
    <w:rsid w:val="00BA0569"/>
    <w:rsid w:val="00BA0B86"/>
    <w:rsid w:val="00BA0E2B"/>
    <w:rsid w:val="00BA0F3B"/>
    <w:rsid w:val="00BA11A2"/>
    <w:rsid w:val="00BA1594"/>
    <w:rsid w:val="00BA15E6"/>
    <w:rsid w:val="00BA172F"/>
    <w:rsid w:val="00BA19B1"/>
    <w:rsid w:val="00BA1D36"/>
    <w:rsid w:val="00BA1FF9"/>
    <w:rsid w:val="00BA2028"/>
    <w:rsid w:val="00BA237D"/>
    <w:rsid w:val="00BA251D"/>
    <w:rsid w:val="00BA257A"/>
    <w:rsid w:val="00BA290B"/>
    <w:rsid w:val="00BA2DC1"/>
    <w:rsid w:val="00BA2E42"/>
    <w:rsid w:val="00BA3301"/>
    <w:rsid w:val="00BA3589"/>
    <w:rsid w:val="00BA3644"/>
    <w:rsid w:val="00BA39B9"/>
    <w:rsid w:val="00BA3F7B"/>
    <w:rsid w:val="00BA404D"/>
    <w:rsid w:val="00BA444C"/>
    <w:rsid w:val="00BA45D9"/>
    <w:rsid w:val="00BA48F1"/>
    <w:rsid w:val="00BA49CC"/>
    <w:rsid w:val="00BA4BF7"/>
    <w:rsid w:val="00BA4DA1"/>
    <w:rsid w:val="00BA4E1B"/>
    <w:rsid w:val="00BA4E5F"/>
    <w:rsid w:val="00BA4E70"/>
    <w:rsid w:val="00BA4EC8"/>
    <w:rsid w:val="00BA5105"/>
    <w:rsid w:val="00BA5812"/>
    <w:rsid w:val="00BA60D0"/>
    <w:rsid w:val="00BA6116"/>
    <w:rsid w:val="00BA62AB"/>
    <w:rsid w:val="00BA67B0"/>
    <w:rsid w:val="00BA69EA"/>
    <w:rsid w:val="00BA6B22"/>
    <w:rsid w:val="00BA6B37"/>
    <w:rsid w:val="00BA6C56"/>
    <w:rsid w:val="00BA6D5B"/>
    <w:rsid w:val="00BA7230"/>
    <w:rsid w:val="00BA755C"/>
    <w:rsid w:val="00BA7606"/>
    <w:rsid w:val="00BA770D"/>
    <w:rsid w:val="00BA7A2E"/>
    <w:rsid w:val="00BA7AB1"/>
    <w:rsid w:val="00BA7AC5"/>
    <w:rsid w:val="00BA7BFE"/>
    <w:rsid w:val="00BA7FBF"/>
    <w:rsid w:val="00BB078F"/>
    <w:rsid w:val="00BB0BDF"/>
    <w:rsid w:val="00BB1241"/>
    <w:rsid w:val="00BB1A8F"/>
    <w:rsid w:val="00BB1C0E"/>
    <w:rsid w:val="00BB20DD"/>
    <w:rsid w:val="00BB21E3"/>
    <w:rsid w:val="00BB23A3"/>
    <w:rsid w:val="00BB2482"/>
    <w:rsid w:val="00BB2496"/>
    <w:rsid w:val="00BB25A9"/>
    <w:rsid w:val="00BB25E8"/>
    <w:rsid w:val="00BB26BD"/>
    <w:rsid w:val="00BB2800"/>
    <w:rsid w:val="00BB2A37"/>
    <w:rsid w:val="00BB2C1C"/>
    <w:rsid w:val="00BB2F31"/>
    <w:rsid w:val="00BB35D7"/>
    <w:rsid w:val="00BB36F4"/>
    <w:rsid w:val="00BB387B"/>
    <w:rsid w:val="00BB387E"/>
    <w:rsid w:val="00BB38DB"/>
    <w:rsid w:val="00BB3A40"/>
    <w:rsid w:val="00BB3BBF"/>
    <w:rsid w:val="00BB3C3A"/>
    <w:rsid w:val="00BB3D1C"/>
    <w:rsid w:val="00BB3E16"/>
    <w:rsid w:val="00BB3F37"/>
    <w:rsid w:val="00BB44B9"/>
    <w:rsid w:val="00BB4C45"/>
    <w:rsid w:val="00BB4D3A"/>
    <w:rsid w:val="00BB4DBD"/>
    <w:rsid w:val="00BB4FDE"/>
    <w:rsid w:val="00BB56A1"/>
    <w:rsid w:val="00BB56E5"/>
    <w:rsid w:val="00BB56FA"/>
    <w:rsid w:val="00BB5778"/>
    <w:rsid w:val="00BB5AE9"/>
    <w:rsid w:val="00BB5BC7"/>
    <w:rsid w:val="00BB5DFE"/>
    <w:rsid w:val="00BB607F"/>
    <w:rsid w:val="00BB60CF"/>
    <w:rsid w:val="00BB61D7"/>
    <w:rsid w:val="00BB621E"/>
    <w:rsid w:val="00BB6B54"/>
    <w:rsid w:val="00BB6C3C"/>
    <w:rsid w:val="00BB7414"/>
    <w:rsid w:val="00BB76FE"/>
    <w:rsid w:val="00BB789E"/>
    <w:rsid w:val="00BB7B82"/>
    <w:rsid w:val="00BB7DAD"/>
    <w:rsid w:val="00BC00CF"/>
    <w:rsid w:val="00BC0E46"/>
    <w:rsid w:val="00BC12B6"/>
    <w:rsid w:val="00BC12F7"/>
    <w:rsid w:val="00BC1792"/>
    <w:rsid w:val="00BC19E1"/>
    <w:rsid w:val="00BC1AEC"/>
    <w:rsid w:val="00BC1C26"/>
    <w:rsid w:val="00BC1DE3"/>
    <w:rsid w:val="00BC2233"/>
    <w:rsid w:val="00BC240F"/>
    <w:rsid w:val="00BC2496"/>
    <w:rsid w:val="00BC25E2"/>
    <w:rsid w:val="00BC272D"/>
    <w:rsid w:val="00BC2BC0"/>
    <w:rsid w:val="00BC2D8C"/>
    <w:rsid w:val="00BC2F91"/>
    <w:rsid w:val="00BC3046"/>
    <w:rsid w:val="00BC31E7"/>
    <w:rsid w:val="00BC32CF"/>
    <w:rsid w:val="00BC3462"/>
    <w:rsid w:val="00BC3648"/>
    <w:rsid w:val="00BC3DA6"/>
    <w:rsid w:val="00BC3F25"/>
    <w:rsid w:val="00BC3F45"/>
    <w:rsid w:val="00BC41B7"/>
    <w:rsid w:val="00BC42D3"/>
    <w:rsid w:val="00BC43CC"/>
    <w:rsid w:val="00BC43FD"/>
    <w:rsid w:val="00BC45E0"/>
    <w:rsid w:val="00BC4813"/>
    <w:rsid w:val="00BC4B6C"/>
    <w:rsid w:val="00BC4F2F"/>
    <w:rsid w:val="00BC5010"/>
    <w:rsid w:val="00BC53C3"/>
    <w:rsid w:val="00BC55DC"/>
    <w:rsid w:val="00BC5682"/>
    <w:rsid w:val="00BC584C"/>
    <w:rsid w:val="00BC5C1E"/>
    <w:rsid w:val="00BC5DDA"/>
    <w:rsid w:val="00BC6006"/>
    <w:rsid w:val="00BC601C"/>
    <w:rsid w:val="00BC64E9"/>
    <w:rsid w:val="00BC6655"/>
    <w:rsid w:val="00BC6DFE"/>
    <w:rsid w:val="00BC6E3C"/>
    <w:rsid w:val="00BC7390"/>
    <w:rsid w:val="00BC748D"/>
    <w:rsid w:val="00BC7657"/>
    <w:rsid w:val="00BC76F5"/>
    <w:rsid w:val="00BC7B1A"/>
    <w:rsid w:val="00BD04EC"/>
    <w:rsid w:val="00BD05C1"/>
    <w:rsid w:val="00BD05F7"/>
    <w:rsid w:val="00BD0AE5"/>
    <w:rsid w:val="00BD0B32"/>
    <w:rsid w:val="00BD0BDC"/>
    <w:rsid w:val="00BD0D60"/>
    <w:rsid w:val="00BD0F41"/>
    <w:rsid w:val="00BD0F69"/>
    <w:rsid w:val="00BD124B"/>
    <w:rsid w:val="00BD198B"/>
    <w:rsid w:val="00BD1DD3"/>
    <w:rsid w:val="00BD1E98"/>
    <w:rsid w:val="00BD1FDB"/>
    <w:rsid w:val="00BD2033"/>
    <w:rsid w:val="00BD2430"/>
    <w:rsid w:val="00BD2453"/>
    <w:rsid w:val="00BD2490"/>
    <w:rsid w:val="00BD2A22"/>
    <w:rsid w:val="00BD2EC1"/>
    <w:rsid w:val="00BD2F52"/>
    <w:rsid w:val="00BD3286"/>
    <w:rsid w:val="00BD32F0"/>
    <w:rsid w:val="00BD37F3"/>
    <w:rsid w:val="00BD391B"/>
    <w:rsid w:val="00BD39F2"/>
    <w:rsid w:val="00BD3CF1"/>
    <w:rsid w:val="00BD42AE"/>
    <w:rsid w:val="00BD4529"/>
    <w:rsid w:val="00BD4710"/>
    <w:rsid w:val="00BD48AC"/>
    <w:rsid w:val="00BD493E"/>
    <w:rsid w:val="00BD4DA0"/>
    <w:rsid w:val="00BD5026"/>
    <w:rsid w:val="00BD5318"/>
    <w:rsid w:val="00BD5990"/>
    <w:rsid w:val="00BD5DAD"/>
    <w:rsid w:val="00BD6101"/>
    <w:rsid w:val="00BD6538"/>
    <w:rsid w:val="00BD6E01"/>
    <w:rsid w:val="00BD7702"/>
    <w:rsid w:val="00BD7718"/>
    <w:rsid w:val="00BD7816"/>
    <w:rsid w:val="00BD79C5"/>
    <w:rsid w:val="00BD7DC5"/>
    <w:rsid w:val="00BD7E8C"/>
    <w:rsid w:val="00BE010B"/>
    <w:rsid w:val="00BE0656"/>
    <w:rsid w:val="00BE0734"/>
    <w:rsid w:val="00BE087D"/>
    <w:rsid w:val="00BE0898"/>
    <w:rsid w:val="00BE0983"/>
    <w:rsid w:val="00BE0ABC"/>
    <w:rsid w:val="00BE1440"/>
    <w:rsid w:val="00BE14D5"/>
    <w:rsid w:val="00BE1515"/>
    <w:rsid w:val="00BE1865"/>
    <w:rsid w:val="00BE1897"/>
    <w:rsid w:val="00BE1C23"/>
    <w:rsid w:val="00BE20C9"/>
    <w:rsid w:val="00BE21E7"/>
    <w:rsid w:val="00BE27FB"/>
    <w:rsid w:val="00BE2A0D"/>
    <w:rsid w:val="00BE2A4E"/>
    <w:rsid w:val="00BE2D3C"/>
    <w:rsid w:val="00BE2F7F"/>
    <w:rsid w:val="00BE32F9"/>
    <w:rsid w:val="00BE39F8"/>
    <w:rsid w:val="00BE3B21"/>
    <w:rsid w:val="00BE3DE3"/>
    <w:rsid w:val="00BE4463"/>
    <w:rsid w:val="00BE49F4"/>
    <w:rsid w:val="00BE4B72"/>
    <w:rsid w:val="00BE4C8B"/>
    <w:rsid w:val="00BE4E5E"/>
    <w:rsid w:val="00BE4FBF"/>
    <w:rsid w:val="00BE51B9"/>
    <w:rsid w:val="00BE524F"/>
    <w:rsid w:val="00BE53AB"/>
    <w:rsid w:val="00BE54B5"/>
    <w:rsid w:val="00BE56B1"/>
    <w:rsid w:val="00BE5981"/>
    <w:rsid w:val="00BE5E84"/>
    <w:rsid w:val="00BE67B8"/>
    <w:rsid w:val="00BE6938"/>
    <w:rsid w:val="00BE6A6D"/>
    <w:rsid w:val="00BE6A6F"/>
    <w:rsid w:val="00BE6D36"/>
    <w:rsid w:val="00BE7055"/>
    <w:rsid w:val="00BE7302"/>
    <w:rsid w:val="00BE76B0"/>
    <w:rsid w:val="00BE771D"/>
    <w:rsid w:val="00BE77E0"/>
    <w:rsid w:val="00BE7830"/>
    <w:rsid w:val="00BE7B7A"/>
    <w:rsid w:val="00BE7C2F"/>
    <w:rsid w:val="00BE7FD1"/>
    <w:rsid w:val="00BE7FF3"/>
    <w:rsid w:val="00BF002F"/>
    <w:rsid w:val="00BF027E"/>
    <w:rsid w:val="00BF09BD"/>
    <w:rsid w:val="00BF0A0F"/>
    <w:rsid w:val="00BF0A8A"/>
    <w:rsid w:val="00BF0B34"/>
    <w:rsid w:val="00BF0E95"/>
    <w:rsid w:val="00BF0F5F"/>
    <w:rsid w:val="00BF0FCE"/>
    <w:rsid w:val="00BF1132"/>
    <w:rsid w:val="00BF1186"/>
    <w:rsid w:val="00BF1967"/>
    <w:rsid w:val="00BF19C2"/>
    <w:rsid w:val="00BF1A35"/>
    <w:rsid w:val="00BF1B2B"/>
    <w:rsid w:val="00BF1DBE"/>
    <w:rsid w:val="00BF1EE0"/>
    <w:rsid w:val="00BF1EF9"/>
    <w:rsid w:val="00BF1F14"/>
    <w:rsid w:val="00BF1F6E"/>
    <w:rsid w:val="00BF20EC"/>
    <w:rsid w:val="00BF214B"/>
    <w:rsid w:val="00BF22BB"/>
    <w:rsid w:val="00BF29E2"/>
    <w:rsid w:val="00BF2A6E"/>
    <w:rsid w:val="00BF30D5"/>
    <w:rsid w:val="00BF329B"/>
    <w:rsid w:val="00BF34FE"/>
    <w:rsid w:val="00BF3A5C"/>
    <w:rsid w:val="00BF3D3C"/>
    <w:rsid w:val="00BF3DED"/>
    <w:rsid w:val="00BF43B1"/>
    <w:rsid w:val="00BF43B4"/>
    <w:rsid w:val="00BF47B9"/>
    <w:rsid w:val="00BF48A8"/>
    <w:rsid w:val="00BF49FE"/>
    <w:rsid w:val="00BF4B7E"/>
    <w:rsid w:val="00BF4DB4"/>
    <w:rsid w:val="00BF5012"/>
    <w:rsid w:val="00BF526B"/>
    <w:rsid w:val="00BF527C"/>
    <w:rsid w:val="00BF5521"/>
    <w:rsid w:val="00BF5BD9"/>
    <w:rsid w:val="00BF61A5"/>
    <w:rsid w:val="00BF6225"/>
    <w:rsid w:val="00BF6348"/>
    <w:rsid w:val="00BF638B"/>
    <w:rsid w:val="00BF63EB"/>
    <w:rsid w:val="00BF6513"/>
    <w:rsid w:val="00BF66F7"/>
    <w:rsid w:val="00BF6BC9"/>
    <w:rsid w:val="00BF6BF5"/>
    <w:rsid w:val="00BF6C2C"/>
    <w:rsid w:val="00BF6EBB"/>
    <w:rsid w:val="00BF6FE3"/>
    <w:rsid w:val="00BF794C"/>
    <w:rsid w:val="00BF7CEA"/>
    <w:rsid w:val="00BF7F4E"/>
    <w:rsid w:val="00C0009B"/>
    <w:rsid w:val="00C0035F"/>
    <w:rsid w:val="00C00398"/>
    <w:rsid w:val="00C004DB"/>
    <w:rsid w:val="00C00CBE"/>
    <w:rsid w:val="00C00F5E"/>
    <w:rsid w:val="00C015E1"/>
    <w:rsid w:val="00C01758"/>
    <w:rsid w:val="00C017F6"/>
    <w:rsid w:val="00C01CD0"/>
    <w:rsid w:val="00C021E1"/>
    <w:rsid w:val="00C0228A"/>
    <w:rsid w:val="00C025F1"/>
    <w:rsid w:val="00C0280A"/>
    <w:rsid w:val="00C02C0C"/>
    <w:rsid w:val="00C02E12"/>
    <w:rsid w:val="00C02F6C"/>
    <w:rsid w:val="00C02FB8"/>
    <w:rsid w:val="00C0307F"/>
    <w:rsid w:val="00C0331A"/>
    <w:rsid w:val="00C034B2"/>
    <w:rsid w:val="00C034EA"/>
    <w:rsid w:val="00C0378C"/>
    <w:rsid w:val="00C037D2"/>
    <w:rsid w:val="00C03943"/>
    <w:rsid w:val="00C03E18"/>
    <w:rsid w:val="00C03E35"/>
    <w:rsid w:val="00C03EB3"/>
    <w:rsid w:val="00C04223"/>
    <w:rsid w:val="00C04C73"/>
    <w:rsid w:val="00C04DC5"/>
    <w:rsid w:val="00C04DEC"/>
    <w:rsid w:val="00C04E74"/>
    <w:rsid w:val="00C04FBA"/>
    <w:rsid w:val="00C053FB"/>
    <w:rsid w:val="00C0542E"/>
    <w:rsid w:val="00C057F8"/>
    <w:rsid w:val="00C05B7E"/>
    <w:rsid w:val="00C05CF8"/>
    <w:rsid w:val="00C05F95"/>
    <w:rsid w:val="00C0608D"/>
    <w:rsid w:val="00C060D1"/>
    <w:rsid w:val="00C060E0"/>
    <w:rsid w:val="00C063CF"/>
    <w:rsid w:val="00C063EF"/>
    <w:rsid w:val="00C06423"/>
    <w:rsid w:val="00C065BB"/>
    <w:rsid w:val="00C06887"/>
    <w:rsid w:val="00C069CD"/>
    <w:rsid w:val="00C06CD1"/>
    <w:rsid w:val="00C06D32"/>
    <w:rsid w:val="00C06FF0"/>
    <w:rsid w:val="00C07522"/>
    <w:rsid w:val="00C07651"/>
    <w:rsid w:val="00C07838"/>
    <w:rsid w:val="00C078B1"/>
    <w:rsid w:val="00C07B1E"/>
    <w:rsid w:val="00C10126"/>
    <w:rsid w:val="00C102D7"/>
    <w:rsid w:val="00C103E5"/>
    <w:rsid w:val="00C105A3"/>
    <w:rsid w:val="00C105C0"/>
    <w:rsid w:val="00C106C8"/>
    <w:rsid w:val="00C107A7"/>
    <w:rsid w:val="00C10AFE"/>
    <w:rsid w:val="00C10C61"/>
    <w:rsid w:val="00C11278"/>
    <w:rsid w:val="00C114F7"/>
    <w:rsid w:val="00C1187D"/>
    <w:rsid w:val="00C11999"/>
    <w:rsid w:val="00C11C0C"/>
    <w:rsid w:val="00C11E39"/>
    <w:rsid w:val="00C11E3B"/>
    <w:rsid w:val="00C11F7D"/>
    <w:rsid w:val="00C12022"/>
    <w:rsid w:val="00C126B0"/>
    <w:rsid w:val="00C12707"/>
    <w:rsid w:val="00C12897"/>
    <w:rsid w:val="00C12DE4"/>
    <w:rsid w:val="00C13425"/>
    <w:rsid w:val="00C13450"/>
    <w:rsid w:val="00C135E5"/>
    <w:rsid w:val="00C13666"/>
    <w:rsid w:val="00C13A71"/>
    <w:rsid w:val="00C13AA4"/>
    <w:rsid w:val="00C13DDF"/>
    <w:rsid w:val="00C13E7A"/>
    <w:rsid w:val="00C13FEA"/>
    <w:rsid w:val="00C141ED"/>
    <w:rsid w:val="00C145A9"/>
    <w:rsid w:val="00C1481C"/>
    <w:rsid w:val="00C1487F"/>
    <w:rsid w:val="00C148DC"/>
    <w:rsid w:val="00C14982"/>
    <w:rsid w:val="00C14E56"/>
    <w:rsid w:val="00C150EE"/>
    <w:rsid w:val="00C152B5"/>
    <w:rsid w:val="00C1555D"/>
    <w:rsid w:val="00C1563B"/>
    <w:rsid w:val="00C1568A"/>
    <w:rsid w:val="00C15B9F"/>
    <w:rsid w:val="00C15BB8"/>
    <w:rsid w:val="00C15BE8"/>
    <w:rsid w:val="00C161BC"/>
    <w:rsid w:val="00C1620D"/>
    <w:rsid w:val="00C1631A"/>
    <w:rsid w:val="00C164F5"/>
    <w:rsid w:val="00C16735"/>
    <w:rsid w:val="00C16A54"/>
    <w:rsid w:val="00C16BE5"/>
    <w:rsid w:val="00C173C5"/>
    <w:rsid w:val="00C175C0"/>
    <w:rsid w:val="00C17B1D"/>
    <w:rsid w:val="00C200A3"/>
    <w:rsid w:val="00C205F4"/>
    <w:rsid w:val="00C208EB"/>
    <w:rsid w:val="00C2097E"/>
    <w:rsid w:val="00C209C4"/>
    <w:rsid w:val="00C20F7B"/>
    <w:rsid w:val="00C21508"/>
    <w:rsid w:val="00C21520"/>
    <w:rsid w:val="00C2155C"/>
    <w:rsid w:val="00C21673"/>
    <w:rsid w:val="00C21A9E"/>
    <w:rsid w:val="00C21BFC"/>
    <w:rsid w:val="00C21EE3"/>
    <w:rsid w:val="00C22003"/>
    <w:rsid w:val="00C221F1"/>
    <w:rsid w:val="00C225A1"/>
    <w:rsid w:val="00C227CF"/>
    <w:rsid w:val="00C22F51"/>
    <w:rsid w:val="00C23127"/>
    <w:rsid w:val="00C23160"/>
    <w:rsid w:val="00C23256"/>
    <w:rsid w:val="00C232C9"/>
    <w:rsid w:val="00C23585"/>
    <w:rsid w:val="00C2370A"/>
    <w:rsid w:val="00C2374F"/>
    <w:rsid w:val="00C23989"/>
    <w:rsid w:val="00C23A86"/>
    <w:rsid w:val="00C23B34"/>
    <w:rsid w:val="00C23E09"/>
    <w:rsid w:val="00C23EFA"/>
    <w:rsid w:val="00C23F42"/>
    <w:rsid w:val="00C24BFE"/>
    <w:rsid w:val="00C24F10"/>
    <w:rsid w:val="00C25049"/>
    <w:rsid w:val="00C25139"/>
    <w:rsid w:val="00C25258"/>
    <w:rsid w:val="00C2530F"/>
    <w:rsid w:val="00C25418"/>
    <w:rsid w:val="00C2543A"/>
    <w:rsid w:val="00C255E9"/>
    <w:rsid w:val="00C256B3"/>
    <w:rsid w:val="00C25B74"/>
    <w:rsid w:val="00C260E9"/>
    <w:rsid w:val="00C261A5"/>
    <w:rsid w:val="00C264EC"/>
    <w:rsid w:val="00C26752"/>
    <w:rsid w:val="00C2687F"/>
    <w:rsid w:val="00C2690B"/>
    <w:rsid w:val="00C26D4E"/>
    <w:rsid w:val="00C26D86"/>
    <w:rsid w:val="00C26E81"/>
    <w:rsid w:val="00C26F60"/>
    <w:rsid w:val="00C26F8D"/>
    <w:rsid w:val="00C27EC9"/>
    <w:rsid w:val="00C30228"/>
    <w:rsid w:val="00C30289"/>
    <w:rsid w:val="00C30381"/>
    <w:rsid w:val="00C303A2"/>
    <w:rsid w:val="00C303B0"/>
    <w:rsid w:val="00C30529"/>
    <w:rsid w:val="00C30729"/>
    <w:rsid w:val="00C30767"/>
    <w:rsid w:val="00C30AED"/>
    <w:rsid w:val="00C30B0C"/>
    <w:rsid w:val="00C30D2F"/>
    <w:rsid w:val="00C31064"/>
    <w:rsid w:val="00C318FB"/>
    <w:rsid w:val="00C31918"/>
    <w:rsid w:val="00C3191A"/>
    <w:rsid w:val="00C31969"/>
    <w:rsid w:val="00C31C9B"/>
    <w:rsid w:val="00C31D62"/>
    <w:rsid w:val="00C3218B"/>
    <w:rsid w:val="00C32415"/>
    <w:rsid w:val="00C3248B"/>
    <w:rsid w:val="00C324B2"/>
    <w:rsid w:val="00C326DD"/>
    <w:rsid w:val="00C32737"/>
    <w:rsid w:val="00C32C72"/>
    <w:rsid w:val="00C32D5E"/>
    <w:rsid w:val="00C331CA"/>
    <w:rsid w:val="00C3349A"/>
    <w:rsid w:val="00C339A9"/>
    <w:rsid w:val="00C33A66"/>
    <w:rsid w:val="00C33B42"/>
    <w:rsid w:val="00C33FAF"/>
    <w:rsid w:val="00C3410E"/>
    <w:rsid w:val="00C3459A"/>
    <w:rsid w:val="00C3492B"/>
    <w:rsid w:val="00C34C22"/>
    <w:rsid w:val="00C34C47"/>
    <w:rsid w:val="00C34C49"/>
    <w:rsid w:val="00C34F3F"/>
    <w:rsid w:val="00C3504A"/>
    <w:rsid w:val="00C352AF"/>
    <w:rsid w:val="00C352C4"/>
    <w:rsid w:val="00C35428"/>
    <w:rsid w:val="00C3554E"/>
    <w:rsid w:val="00C35731"/>
    <w:rsid w:val="00C3633F"/>
    <w:rsid w:val="00C36435"/>
    <w:rsid w:val="00C368C0"/>
    <w:rsid w:val="00C36A78"/>
    <w:rsid w:val="00C36C02"/>
    <w:rsid w:val="00C36CDD"/>
    <w:rsid w:val="00C36CF2"/>
    <w:rsid w:val="00C36E94"/>
    <w:rsid w:val="00C36F2E"/>
    <w:rsid w:val="00C36F4A"/>
    <w:rsid w:val="00C371EF"/>
    <w:rsid w:val="00C37284"/>
    <w:rsid w:val="00C37831"/>
    <w:rsid w:val="00C3796C"/>
    <w:rsid w:val="00C37FF3"/>
    <w:rsid w:val="00C4037D"/>
    <w:rsid w:val="00C403BB"/>
    <w:rsid w:val="00C403E9"/>
    <w:rsid w:val="00C4049E"/>
    <w:rsid w:val="00C40813"/>
    <w:rsid w:val="00C4092D"/>
    <w:rsid w:val="00C40955"/>
    <w:rsid w:val="00C40A4E"/>
    <w:rsid w:val="00C40B82"/>
    <w:rsid w:val="00C40E37"/>
    <w:rsid w:val="00C41656"/>
    <w:rsid w:val="00C417EA"/>
    <w:rsid w:val="00C41887"/>
    <w:rsid w:val="00C419B7"/>
    <w:rsid w:val="00C41A72"/>
    <w:rsid w:val="00C41D59"/>
    <w:rsid w:val="00C4239D"/>
    <w:rsid w:val="00C424EF"/>
    <w:rsid w:val="00C42612"/>
    <w:rsid w:val="00C42959"/>
    <w:rsid w:val="00C42CAB"/>
    <w:rsid w:val="00C42DF8"/>
    <w:rsid w:val="00C43088"/>
    <w:rsid w:val="00C43237"/>
    <w:rsid w:val="00C432EC"/>
    <w:rsid w:val="00C434E6"/>
    <w:rsid w:val="00C43595"/>
    <w:rsid w:val="00C43A81"/>
    <w:rsid w:val="00C44002"/>
    <w:rsid w:val="00C44189"/>
    <w:rsid w:val="00C44222"/>
    <w:rsid w:val="00C44508"/>
    <w:rsid w:val="00C447FC"/>
    <w:rsid w:val="00C45059"/>
    <w:rsid w:val="00C45173"/>
    <w:rsid w:val="00C451C8"/>
    <w:rsid w:val="00C452A7"/>
    <w:rsid w:val="00C4579D"/>
    <w:rsid w:val="00C45D50"/>
    <w:rsid w:val="00C46014"/>
    <w:rsid w:val="00C46596"/>
    <w:rsid w:val="00C466B5"/>
    <w:rsid w:val="00C46A0F"/>
    <w:rsid w:val="00C46BE9"/>
    <w:rsid w:val="00C46C35"/>
    <w:rsid w:val="00C46FA8"/>
    <w:rsid w:val="00C4781C"/>
    <w:rsid w:val="00C47CFC"/>
    <w:rsid w:val="00C50337"/>
    <w:rsid w:val="00C5035F"/>
    <w:rsid w:val="00C50B29"/>
    <w:rsid w:val="00C50D27"/>
    <w:rsid w:val="00C50E4A"/>
    <w:rsid w:val="00C51688"/>
    <w:rsid w:val="00C5178C"/>
    <w:rsid w:val="00C51961"/>
    <w:rsid w:val="00C51B8E"/>
    <w:rsid w:val="00C51FD8"/>
    <w:rsid w:val="00C52514"/>
    <w:rsid w:val="00C52DC1"/>
    <w:rsid w:val="00C52E86"/>
    <w:rsid w:val="00C52EF0"/>
    <w:rsid w:val="00C5375C"/>
    <w:rsid w:val="00C53858"/>
    <w:rsid w:val="00C53ABF"/>
    <w:rsid w:val="00C53D85"/>
    <w:rsid w:val="00C54021"/>
    <w:rsid w:val="00C543ED"/>
    <w:rsid w:val="00C5471B"/>
    <w:rsid w:val="00C54C72"/>
    <w:rsid w:val="00C54DBB"/>
    <w:rsid w:val="00C551A8"/>
    <w:rsid w:val="00C55B8B"/>
    <w:rsid w:val="00C55DD2"/>
    <w:rsid w:val="00C55E01"/>
    <w:rsid w:val="00C55F64"/>
    <w:rsid w:val="00C55FD7"/>
    <w:rsid w:val="00C56059"/>
    <w:rsid w:val="00C562FB"/>
    <w:rsid w:val="00C56347"/>
    <w:rsid w:val="00C56BE1"/>
    <w:rsid w:val="00C56DEC"/>
    <w:rsid w:val="00C56EDC"/>
    <w:rsid w:val="00C56FCE"/>
    <w:rsid w:val="00C570D3"/>
    <w:rsid w:val="00C57117"/>
    <w:rsid w:val="00C574EA"/>
    <w:rsid w:val="00C5769A"/>
    <w:rsid w:val="00C57815"/>
    <w:rsid w:val="00C57CFB"/>
    <w:rsid w:val="00C600AD"/>
    <w:rsid w:val="00C6014F"/>
    <w:rsid w:val="00C601C2"/>
    <w:rsid w:val="00C6030B"/>
    <w:rsid w:val="00C606D8"/>
    <w:rsid w:val="00C6075E"/>
    <w:rsid w:val="00C60FF4"/>
    <w:rsid w:val="00C6114B"/>
    <w:rsid w:val="00C61200"/>
    <w:rsid w:val="00C61206"/>
    <w:rsid w:val="00C6129A"/>
    <w:rsid w:val="00C613F9"/>
    <w:rsid w:val="00C61441"/>
    <w:rsid w:val="00C61759"/>
    <w:rsid w:val="00C61A5F"/>
    <w:rsid w:val="00C620CE"/>
    <w:rsid w:val="00C62506"/>
    <w:rsid w:val="00C625EB"/>
    <w:rsid w:val="00C625FF"/>
    <w:rsid w:val="00C626DC"/>
    <w:rsid w:val="00C628E2"/>
    <w:rsid w:val="00C6296F"/>
    <w:rsid w:val="00C62999"/>
    <w:rsid w:val="00C62D21"/>
    <w:rsid w:val="00C62F63"/>
    <w:rsid w:val="00C6315E"/>
    <w:rsid w:val="00C63278"/>
    <w:rsid w:val="00C63615"/>
    <w:rsid w:val="00C63916"/>
    <w:rsid w:val="00C63991"/>
    <w:rsid w:val="00C63AD9"/>
    <w:rsid w:val="00C63C06"/>
    <w:rsid w:val="00C63C4A"/>
    <w:rsid w:val="00C63C71"/>
    <w:rsid w:val="00C64332"/>
    <w:rsid w:val="00C64681"/>
    <w:rsid w:val="00C64E59"/>
    <w:rsid w:val="00C64FCF"/>
    <w:rsid w:val="00C6510F"/>
    <w:rsid w:val="00C65311"/>
    <w:rsid w:val="00C657D0"/>
    <w:rsid w:val="00C65B3D"/>
    <w:rsid w:val="00C65C8C"/>
    <w:rsid w:val="00C65D89"/>
    <w:rsid w:val="00C65D94"/>
    <w:rsid w:val="00C66286"/>
    <w:rsid w:val="00C662D1"/>
    <w:rsid w:val="00C66454"/>
    <w:rsid w:val="00C667D4"/>
    <w:rsid w:val="00C66BF3"/>
    <w:rsid w:val="00C66CE5"/>
    <w:rsid w:val="00C670FB"/>
    <w:rsid w:val="00C6734A"/>
    <w:rsid w:val="00C674B0"/>
    <w:rsid w:val="00C675EB"/>
    <w:rsid w:val="00C678EC"/>
    <w:rsid w:val="00C67B08"/>
    <w:rsid w:val="00C67C3B"/>
    <w:rsid w:val="00C67D6D"/>
    <w:rsid w:val="00C700C9"/>
    <w:rsid w:val="00C70410"/>
    <w:rsid w:val="00C7042C"/>
    <w:rsid w:val="00C70471"/>
    <w:rsid w:val="00C705A4"/>
    <w:rsid w:val="00C7073D"/>
    <w:rsid w:val="00C70930"/>
    <w:rsid w:val="00C70AAF"/>
    <w:rsid w:val="00C70C16"/>
    <w:rsid w:val="00C71271"/>
    <w:rsid w:val="00C712F0"/>
    <w:rsid w:val="00C71382"/>
    <w:rsid w:val="00C714AB"/>
    <w:rsid w:val="00C71518"/>
    <w:rsid w:val="00C716C7"/>
    <w:rsid w:val="00C717FD"/>
    <w:rsid w:val="00C71942"/>
    <w:rsid w:val="00C71E6A"/>
    <w:rsid w:val="00C723D7"/>
    <w:rsid w:val="00C7263E"/>
    <w:rsid w:val="00C7289C"/>
    <w:rsid w:val="00C729BF"/>
    <w:rsid w:val="00C72BA5"/>
    <w:rsid w:val="00C72BF2"/>
    <w:rsid w:val="00C72EF7"/>
    <w:rsid w:val="00C737D0"/>
    <w:rsid w:val="00C73D26"/>
    <w:rsid w:val="00C73E01"/>
    <w:rsid w:val="00C74225"/>
    <w:rsid w:val="00C743AD"/>
    <w:rsid w:val="00C74508"/>
    <w:rsid w:val="00C74543"/>
    <w:rsid w:val="00C746AE"/>
    <w:rsid w:val="00C74E8A"/>
    <w:rsid w:val="00C75039"/>
    <w:rsid w:val="00C752B2"/>
    <w:rsid w:val="00C75355"/>
    <w:rsid w:val="00C753C8"/>
    <w:rsid w:val="00C75A43"/>
    <w:rsid w:val="00C75ADD"/>
    <w:rsid w:val="00C76048"/>
    <w:rsid w:val="00C7619C"/>
    <w:rsid w:val="00C761B3"/>
    <w:rsid w:val="00C7635F"/>
    <w:rsid w:val="00C769F5"/>
    <w:rsid w:val="00C76CF0"/>
    <w:rsid w:val="00C76F28"/>
    <w:rsid w:val="00C76F56"/>
    <w:rsid w:val="00C7718C"/>
    <w:rsid w:val="00C7733A"/>
    <w:rsid w:val="00C773BD"/>
    <w:rsid w:val="00C774AC"/>
    <w:rsid w:val="00C77932"/>
    <w:rsid w:val="00C77B77"/>
    <w:rsid w:val="00C77BFC"/>
    <w:rsid w:val="00C77F90"/>
    <w:rsid w:val="00C80333"/>
    <w:rsid w:val="00C80AF7"/>
    <w:rsid w:val="00C80BB0"/>
    <w:rsid w:val="00C80C9C"/>
    <w:rsid w:val="00C80DDD"/>
    <w:rsid w:val="00C80E59"/>
    <w:rsid w:val="00C8111D"/>
    <w:rsid w:val="00C81505"/>
    <w:rsid w:val="00C815A3"/>
    <w:rsid w:val="00C81852"/>
    <w:rsid w:val="00C81AC3"/>
    <w:rsid w:val="00C81EE4"/>
    <w:rsid w:val="00C820A7"/>
    <w:rsid w:val="00C821B3"/>
    <w:rsid w:val="00C82271"/>
    <w:rsid w:val="00C825E1"/>
    <w:rsid w:val="00C82B15"/>
    <w:rsid w:val="00C82BB8"/>
    <w:rsid w:val="00C82D4C"/>
    <w:rsid w:val="00C82FAD"/>
    <w:rsid w:val="00C8302A"/>
    <w:rsid w:val="00C83101"/>
    <w:rsid w:val="00C8316D"/>
    <w:rsid w:val="00C835E6"/>
    <w:rsid w:val="00C836DC"/>
    <w:rsid w:val="00C83885"/>
    <w:rsid w:val="00C8399C"/>
    <w:rsid w:val="00C839FC"/>
    <w:rsid w:val="00C83B25"/>
    <w:rsid w:val="00C83D80"/>
    <w:rsid w:val="00C83DC3"/>
    <w:rsid w:val="00C83DC8"/>
    <w:rsid w:val="00C83E12"/>
    <w:rsid w:val="00C842FB"/>
    <w:rsid w:val="00C843BA"/>
    <w:rsid w:val="00C844D8"/>
    <w:rsid w:val="00C844EE"/>
    <w:rsid w:val="00C847A4"/>
    <w:rsid w:val="00C84B05"/>
    <w:rsid w:val="00C84DCE"/>
    <w:rsid w:val="00C84FB5"/>
    <w:rsid w:val="00C8506C"/>
    <w:rsid w:val="00C8516D"/>
    <w:rsid w:val="00C8516F"/>
    <w:rsid w:val="00C85678"/>
    <w:rsid w:val="00C85841"/>
    <w:rsid w:val="00C85A24"/>
    <w:rsid w:val="00C85A59"/>
    <w:rsid w:val="00C86243"/>
    <w:rsid w:val="00C863CD"/>
    <w:rsid w:val="00C86D4A"/>
    <w:rsid w:val="00C86D51"/>
    <w:rsid w:val="00C86E83"/>
    <w:rsid w:val="00C87003"/>
    <w:rsid w:val="00C87005"/>
    <w:rsid w:val="00C870A1"/>
    <w:rsid w:val="00C87607"/>
    <w:rsid w:val="00C87A0E"/>
    <w:rsid w:val="00C9015F"/>
    <w:rsid w:val="00C9042F"/>
    <w:rsid w:val="00C9054E"/>
    <w:rsid w:val="00C9091B"/>
    <w:rsid w:val="00C913DB"/>
    <w:rsid w:val="00C91545"/>
    <w:rsid w:val="00C91F90"/>
    <w:rsid w:val="00C92185"/>
    <w:rsid w:val="00C92726"/>
    <w:rsid w:val="00C927B3"/>
    <w:rsid w:val="00C9293F"/>
    <w:rsid w:val="00C92B88"/>
    <w:rsid w:val="00C92D5A"/>
    <w:rsid w:val="00C92FCC"/>
    <w:rsid w:val="00C93111"/>
    <w:rsid w:val="00C934C0"/>
    <w:rsid w:val="00C936B0"/>
    <w:rsid w:val="00C93F51"/>
    <w:rsid w:val="00C94009"/>
    <w:rsid w:val="00C944A2"/>
    <w:rsid w:val="00C94709"/>
    <w:rsid w:val="00C94A14"/>
    <w:rsid w:val="00C94EB9"/>
    <w:rsid w:val="00C950DB"/>
    <w:rsid w:val="00C954E0"/>
    <w:rsid w:val="00C9563D"/>
    <w:rsid w:val="00C957EF"/>
    <w:rsid w:val="00C95B39"/>
    <w:rsid w:val="00C95E02"/>
    <w:rsid w:val="00C966FF"/>
    <w:rsid w:val="00C9691B"/>
    <w:rsid w:val="00C96A10"/>
    <w:rsid w:val="00C96C44"/>
    <w:rsid w:val="00C96F6B"/>
    <w:rsid w:val="00C97402"/>
    <w:rsid w:val="00C9742A"/>
    <w:rsid w:val="00C9745E"/>
    <w:rsid w:val="00C9749B"/>
    <w:rsid w:val="00C97746"/>
    <w:rsid w:val="00C97797"/>
    <w:rsid w:val="00C97C5B"/>
    <w:rsid w:val="00CA0165"/>
    <w:rsid w:val="00CA0415"/>
    <w:rsid w:val="00CA0EA1"/>
    <w:rsid w:val="00CA134E"/>
    <w:rsid w:val="00CA16D8"/>
    <w:rsid w:val="00CA1741"/>
    <w:rsid w:val="00CA1A10"/>
    <w:rsid w:val="00CA1C7C"/>
    <w:rsid w:val="00CA1DDA"/>
    <w:rsid w:val="00CA2011"/>
    <w:rsid w:val="00CA21D7"/>
    <w:rsid w:val="00CA28CF"/>
    <w:rsid w:val="00CA2B30"/>
    <w:rsid w:val="00CA2CB0"/>
    <w:rsid w:val="00CA2F88"/>
    <w:rsid w:val="00CA30B2"/>
    <w:rsid w:val="00CA36FF"/>
    <w:rsid w:val="00CA3A76"/>
    <w:rsid w:val="00CA3A80"/>
    <w:rsid w:val="00CA3F59"/>
    <w:rsid w:val="00CA40F1"/>
    <w:rsid w:val="00CA44F0"/>
    <w:rsid w:val="00CA4C0E"/>
    <w:rsid w:val="00CA4C1B"/>
    <w:rsid w:val="00CA4DD8"/>
    <w:rsid w:val="00CA5082"/>
    <w:rsid w:val="00CA5128"/>
    <w:rsid w:val="00CA56D5"/>
    <w:rsid w:val="00CA5828"/>
    <w:rsid w:val="00CA5D2B"/>
    <w:rsid w:val="00CA5EB1"/>
    <w:rsid w:val="00CA5EF9"/>
    <w:rsid w:val="00CA5F64"/>
    <w:rsid w:val="00CA5FF2"/>
    <w:rsid w:val="00CA6160"/>
    <w:rsid w:val="00CA636F"/>
    <w:rsid w:val="00CA6577"/>
    <w:rsid w:val="00CA6695"/>
    <w:rsid w:val="00CA687E"/>
    <w:rsid w:val="00CA6DD6"/>
    <w:rsid w:val="00CA6EC3"/>
    <w:rsid w:val="00CA6F3E"/>
    <w:rsid w:val="00CA6F5B"/>
    <w:rsid w:val="00CA72CE"/>
    <w:rsid w:val="00CA7686"/>
    <w:rsid w:val="00CA7B83"/>
    <w:rsid w:val="00CA7BE5"/>
    <w:rsid w:val="00CA7FC6"/>
    <w:rsid w:val="00CB034F"/>
    <w:rsid w:val="00CB03C4"/>
    <w:rsid w:val="00CB06AB"/>
    <w:rsid w:val="00CB0D81"/>
    <w:rsid w:val="00CB0D93"/>
    <w:rsid w:val="00CB1434"/>
    <w:rsid w:val="00CB15C6"/>
    <w:rsid w:val="00CB1C2D"/>
    <w:rsid w:val="00CB1E48"/>
    <w:rsid w:val="00CB1F0F"/>
    <w:rsid w:val="00CB21E7"/>
    <w:rsid w:val="00CB2351"/>
    <w:rsid w:val="00CB24EF"/>
    <w:rsid w:val="00CB27AD"/>
    <w:rsid w:val="00CB2B63"/>
    <w:rsid w:val="00CB2B92"/>
    <w:rsid w:val="00CB2BD0"/>
    <w:rsid w:val="00CB2F17"/>
    <w:rsid w:val="00CB32C6"/>
    <w:rsid w:val="00CB3403"/>
    <w:rsid w:val="00CB34E2"/>
    <w:rsid w:val="00CB3572"/>
    <w:rsid w:val="00CB359E"/>
    <w:rsid w:val="00CB35FC"/>
    <w:rsid w:val="00CB3D93"/>
    <w:rsid w:val="00CB406F"/>
    <w:rsid w:val="00CB4243"/>
    <w:rsid w:val="00CB42C8"/>
    <w:rsid w:val="00CB42E1"/>
    <w:rsid w:val="00CB44F2"/>
    <w:rsid w:val="00CB4B96"/>
    <w:rsid w:val="00CB4CBE"/>
    <w:rsid w:val="00CB50C3"/>
    <w:rsid w:val="00CB51A5"/>
    <w:rsid w:val="00CB5211"/>
    <w:rsid w:val="00CB54F2"/>
    <w:rsid w:val="00CB563F"/>
    <w:rsid w:val="00CB5C96"/>
    <w:rsid w:val="00CB6395"/>
    <w:rsid w:val="00CB6507"/>
    <w:rsid w:val="00CB65DE"/>
    <w:rsid w:val="00CB67BF"/>
    <w:rsid w:val="00CB6A53"/>
    <w:rsid w:val="00CB6B23"/>
    <w:rsid w:val="00CB6E8D"/>
    <w:rsid w:val="00CB6FBB"/>
    <w:rsid w:val="00CB706A"/>
    <w:rsid w:val="00CB7167"/>
    <w:rsid w:val="00CB7905"/>
    <w:rsid w:val="00CB7AB7"/>
    <w:rsid w:val="00CB7D0F"/>
    <w:rsid w:val="00CC0018"/>
    <w:rsid w:val="00CC005E"/>
    <w:rsid w:val="00CC0492"/>
    <w:rsid w:val="00CC052A"/>
    <w:rsid w:val="00CC063E"/>
    <w:rsid w:val="00CC09EE"/>
    <w:rsid w:val="00CC09FB"/>
    <w:rsid w:val="00CC0A56"/>
    <w:rsid w:val="00CC0B05"/>
    <w:rsid w:val="00CC0DD8"/>
    <w:rsid w:val="00CC1A88"/>
    <w:rsid w:val="00CC1B35"/>
    <w:rsid w:val="00CC1E2E"/>
    <w:rsid w:val="00CC24F1"/>
    <w:rsid w:val="00CC266A"/>
    <w:rsid w:val="00CC288F"/>
    <w:rsid w:val="00CC2915"/>
    <w:rsid w:val="00CC2972"/>
    <w:rsid w:val="00CC2A2C"/>
    <w:rsid w:val="00CC2BBA"/>
    <w:rsid w:val="00CC2E29"/>
    <w:rsid w:val="00CC2EDE"/>
    <w:rsid w:val="00CC32EF"/>
    <w:rsid w:val="00CC3587"/>
    <w:rsid w:val="00CC358C"/>
    <w:rsid w:val="00CC3669"/>
    <w:rsid w:val="00CC3786"/>
    <w:rsid w:val="00CC37D3"/>
    <w:rsid w:val="00CC3B2B"/>
    <w:rsid w:val="00CC41B7"/>
    <w:rsid w:val="00CC42F4"/>
    <w:rsid w:val="00CC43A5"/>
    <w:rsid w:val="00CC441F"/>
    <w:rsid w:val="00CC447C"/>
    <w:rsid w:val="00CC471C"/>
    <w:rsid w:val="00CC4853"/>
    <w:rsid w:val="00CC49B7"/>
    <w:rsid w:val="00CC4EAB"/>
    <w:rsid w:val="00CC4F03"/>
    <w:rsid w:val="00CC50B3"/>
    <w:rsid w:val="00CC50E5"/>
    <w:rsid w:val="00CC5124"/>
    <w:rsid w:val="00CC5162"/>
    <w:rsid w:val="00CC52D1"/>
    <w:rsid w:val="00CC546C"/>
    <w:rsid w:val="00CC5795"/>
    <w:rsid w:val="00CC5AE3"/>
    <w:rsid w:val="00CC5B9A"/>
    <w:rsid w:val="00CC5BA2"/>
    <w:rsid w:val="00CC5D0C"/>
    <w:rsid w:val="00CC5EB4"/>
    <w:rsid w:val="00CC5FC6"/>
    <w:rsid w:val="00CC61E5"/>
    <w:rsid w:val="00CC647A"/>
    <w:rsid w:val="00CC6481"/>
    <w:rsid w:val="00CC666C"/>
    <w:rsid w:val="00CC6844"/>
    <w:rsid w:val="00CC6884"/>
    <w:rsid w:val="00CC69F0"/>
    <w:rsid w:val="00CC6B98"/>
    <w:rsid w:val="00CC6ED4"/>
    <w:rsid w:val="00CC71BF"/>
    <w:rsid w:val="00CC751E"/>
    <w:rsid w:val="00CC7544"/>
    <w:rsid w:val="00CC7826"/>
    <w:rsid w:val="00CC78BE"/>
    <w:rsid w:val="00CC792E"/>
    <w:rsid w:val="00CC7A71"/>
    <w:rsid w:val="00CC7B2A"/>
    <w:rsid w:val="00CC7C63"/>
    <w:rsid w:val="00CD00A4"/>
    <w:rsid w:val="00CD031C"/>
    <w:rsid w:val="00CD03D7"/>
    <w:rsid w:val="00CD052A"/>
    <w:rsid w:val="00CD0552"/>
    <w:rsid w:val="00CD056E"/>
    <w:rsid w:val="00CD0A5F"/>
    <w:rsid w:val="00CD1820"/>
    <w:rsid w:val="00CD22EF"/>
    <w:rsid w:val="00CD2349"/>
    <w:rsid w:val="00CD2C80"/>
    <w:rsid w:val="00CD3154"/>
    <w:rsid w:val="00CD3B5C"/>
    <w:rsid w:val="00CD3F36"/>
    <w:rsid w:val="00CD40E5"/>
    <w:rsid w:val="00CD42C3"/>
    <w:rsid w:val="00CD4444"/>
    <w:rsid w:val="00CD462D"/>
    <w:rsid w:val="00CD47EC"/>
    <w:rsid w:val="00CD4ACF"/>
    <w:rsid w:val="00CD4B58"/>
    <w:rsid w:val="00CD4CC5"/>
    <w:rsid w:val="00CD4E86"/>
    <w:rsid w:val="00CD4F66"/>
    <w:rsid w:val="00CD513A"/>
    <w:rsid w:val="00CD574D"/>
    <w:rsid w:val="00CD58EB"/>
    <w:rsid w:val="00CD5903"/>
    <w:rsid w:val="00CD61EF"/>
    <w:rsid w:val="00CD6994"/>
    <w:rsid w:val="00CD69F5"/>
    <w:rsid w:val="00CD6B4E"/>
    <w:rsid w:val="00CD7046"/>
    <w:rsid w:val="00CD705A"/>
    <w:rsid w:val="00CD7255"/>
    <w:rsid w:val="00CD73AB"/>
    <w:rsid w:val="00CD75A1"/>
    <w:rsid w:val="00CD7647"/>
    <w:rsid w:val="00CD78C1"/>
    <w:rsid w:val="00CE00B7"/>
    <w:rsid w:val="00CE00C8"/>
    <w:rsid w:val="00CE00DC"/>
    <w:rsid w:val="00CE0429"/>
    <w:rsid w:val="00CE0835"/>
    <w:rsid w:val="00CE0B53"/>
    <w:rsid w:val="00CE0E74"/>
    <w:rsid w:val="00CE0E88"/>
    <w:rsid w:val="00CE1074"/>
    <w:rsid w:val="00CE117D"/>
    <w:rsid w:val="00CE13E7"/>
    <w:rsid w:val="00CE1651"/>
    <w:rsid w:val="00CE20A1"/>
    <w:rsid w:val="00CE21C1"/>
    <w:rsid w:val="00CE22BC"/>
    <w:rsid w:val="00CE2344"/>
    <w:rsid w:val="00CE239A"/>
    <w:rsid w:val="00CE24C1"/>
    <w:rsid w:val="00CE27C8"/>
    <w:rsid w:val="00CE3090"/>
    <w:rsid w:val="00CE32A2"/>
    <w:rsid w:val="00CE33B5"/>
    <w:rsid w:val="00CE34C5"/>
    <w:rsid w:val="00CE35D2"/>
    <w:rsid w:val="00CE360C"/>
    <w:rsid w:val="00CE383D"/>
    <w:rsid w:val="00CE3A3A"/>
    <w:rsid w:val="00CE3DE1"/>
    <w:rsid w:val="00CE4337"/>
    <w:rsid w:val="00CE4735"/>
    <w:rsid w:val="00CE48A1"/>
    <w:rsid w:val="00CE4CC1"/>
    <w:rsid w:val="00CE4E31"/>
    <w:rsid w:val="00CE4F3E"/>
    <w:rsid w:val="00CE50D4"/>
    <w:rsid w:val="00CE51E9"/>
    <w:rsid w:val="00CE5A0B"/>
    <w:rsid w:val="00CE5EA4"/>
    <w:rsid w:val="00CE6032"/>
    <w:rsid w:val="00CE63E0"/>
    <w:rsid w:val="00CE65D2"/>
    <w:rsid w:val="00CE6C27"/>
    <w:rsid w:val="00CE6D3F"/>
    <w:rsid w:val="00CE6E67"/>
    <w:rsid w:val="00CE71BB"/>
    <w:rsid w:val="00CE748F"/>
    <w:rsid w:val="00CE77A3"/>
    <w:rsid w:val="00CE7AA8"/>
    <w:rsid w:val="00CE7E9E"/>
    <w:rsid w:val="00CF033C"/>
    <w:rsid w:val="00CF04F0"/>
    <w:rsid w:val="00CF0BD2"/>
    <w:rsid w:val="00CF0C0A"/>
    <w:rsid w:val="00CF0C2E"/>
    <w:rsid w:val="00CF1399"/>
    <w:rsid w:val="00CF14A4"/>
    <w:rsid w:val="00CF14AB"/>
    <w:rsid w:val="00CF1D4D"/>
    <w:rsid w:val="00CF2345"/>
    <w:rsid w:val="00CF2648"/>
    <w:rsid w:val="00CF2662"/>
    <w:rsid w:val="00CF27E7"/>
    <w:rsid w:val="00CF308A"/>
    <w:rsid w:val="00CF33EF"/>
    <w:rsid w:val="00CF386A"/>
    <w:rsid w:val="00CF3A25"/>
    <w:rsid w:val="00CF3F02"/>
    <w:rsid w:val="00CF41CB"/>
    <w:rsid w:val="00CF42A9"/>
    <w:rsid w:val="00CF42C0"/>
    <w:rsid w:val="00CF436E"/>
    <w:rsid w:val="00CF4462"/>
    <w:rsid w:val="00CF44E8"/>
    <w:rsid w:val="00CF47E0"/>
    <w:rsid w:val="00CF4935"/>
    <w:rsid w:val="00CF4AF2"/>
    <w:rsid w:val="00CF4CC1"/>
    <w:rsid w:val="00CF514A"/>
    <w:rsid w:val="00CF51ED"/>
    <w:rsid w:val="00CF527B"/>
    <w:rsid w:val="00CF5317"/>
    <w:rsid w:val="00CF5357"/>
    <w:rsid w:val="00CF5675"/>
    <w:rsid w:val="00CF567C"/>
    <w:rsid w:val="00CF57D3"/>
    <w:rsid w:val="00CF5BA8"/>
    <w:rsid w:val="00CF5C88"/>
    <w:rsid w:val="00CF5DAD"/>
    <w:rsid w:val="00CF5E5B"/>
    <w:rsid w:val="00CF5EDD"/>
    <w:rsid w:val="00CF5FC8"/>
    <w:rsid w:val="00CF632F"/>
    <w:rsid w:val="00CF6411"/>
    <w:rsid w:val="00CF6A1A"/>
    <w:rsid w:val="00CF6AE9"/>
    <w:rsid w:val="00CF6B7F"/>
    <w:rsid w:val="00CF6D75"/>
    <w:rsid w:val="00CF6E34"/>
    <w:rsid w:val="00CF7203"/>
    <w:rsid w:val="00CF72BC"/>
    <w:rsid w:val="00CF73A3"/>
    <w:rsid w:val="00CF7589"/>
    <w:rsid w:val="00CF762A"/>
    <w:rsid w:val="00CF764E"/>
    <w:rsid w:val="00CF7785"/>
    <w:rsid w:val="00CF7C70"/>
    <w:rsid w:val="00CF7D51"/>
    <w:rsid w:val="00D00011"/>
    <w:rsid w:val="00D0012A"/>
    <w:rsid w:val="00D00333"/>
    <w:rsid w:val="00D0059B"/>
    <w:rsid w:val="00D00B50"/>
    <w:rsid w:val="00D01086"/>
    <w:rsid w:val="00D010AB"/>
    <w:rsid w:val="00D01179"/>
    <w:rsid w:val="00D013FD"/>
    <w:rsid w:val="00D0167C"/>
    <w:rsid w:val="00D0172F"/>
    <w:rsid w:val="00D01AA0"/>
    <w:rsid w:val="00D01E4D"/>
    <w:rsid w:val="00D02612"/>
    <w:rsid w:val="00D0264C"/>
    <w:rsid w:val="00D02AE6"/>
    <w:rsid w:val="00D02B1C"/>
    <w:rsid w:val="00D02FFD"/>
    <w:rsid w:val="00D03027"/>
    <w:rsid w:val="00D03235"/>
    <w:rsid w:val="00D032B1"/>
    <w:rsid w:val="00D03575"/>
    <w:rsid w:val="00D03FD3"/>
    <w:rsid w:val="00D04394"/>
    <w:rsid w:val="00D04583"/>
    <w:rsid w:val="00D04ADB"/>
    <w:rsid w:val="00D04C2A"/>
    <w:rsid w:val="00D04E08"/>
    <w:rsid w:val="00D051BA"/>
    <w:rsid w:val="00D052EB"/>
    <w:rsid w:val="00D054FF"/>
    <w:rsid w:val="00D059D8"/>
    <w:rsid w:val="00D05BC2"/>
    <w:rsid w:val="00D062AA"/>
    <w:rsid w:val="00D0647E"/>
    <w:rsid w:val="00D066CE"/>
    <w:rsid w:val="00D066EC"/>
    <w:rsid w:val="00D06A0E"/>
    <w:rsid w:val="00D06A95"/>
    <w:rsid w:val="00D06B7C"/>
    <w:rsid w:val="00D06F76"/>
    <w:rsid w:val="00D075C9"/>
    <w:rsid w:val="00D0763A"/>
    <w:rsid w:val="00D077DC"/>
    <w:rsid w:val="00D077E5"/>
    <w:rsid w:val="00D078FB"/>
    <w:rsid w:val="00D07971"/>
    <w:rsid w:val="00D07B54"/>
    <w:rsid w:val="00D07E61"/>
    <w:rsid w:val="00D07F59"/>
    <w:rsid w:val="00D07F8D"/>
    <w:rsid w:val="00D10102"/>
    <w:rsid w:val="00D10500"/>
    <w:rsid w:val="00D10BA5"/>
    <w:rsid w:val="00D113B0"/>
    <w:rsid w:val="00D1146E"/>
    <w:rsid w:val="00D1148E"/>
    <w:rsid w:val="00D11844"/>
    <w:rsid w:val="00D1188D"/>
    <w:rsid w:val="00D11A7B"/>
    <w:rsid w:val="00D11C4D"/>
    <w:rsid w:val="00D1226E"/>
    <w:rsid w:val="00D1238E"/>
    <w:rsid w:val="00D124FD"/>
    <w:rsid w:val="00D1275F"/>
    <w:rsid w:val="00D1288C"/>
    <w:rsid w:val="00D12CEA"/>
    <w:rsid w:val="00D12EE0"/>
    <w:rsid w:val="00D13620"/>
    <w:rsid w:val="00D13BEB"/>
    <w:rsid w:val="00D13D12"/>
    <w:rsid w:val="00D13FFE"/>
    <w:rsid w:val="00D1407C"/>
    <w:rsid w:val="00D1480E"/>
    <w:rsid w:val="00D149C8"/>
    <w:rsid w:val="00D14CB2"/>
    <w:rsid w:val="00D14ECC"/>
    <w:rsid w:val="00D1502C"/>
    <w:rsid w:val="00D1525D"/>
    <w:rsid w:val="00D1537B"/>
    <w:rsid w:val="00D15405"/>
    <w:rsid w:val="00D154CE"/>
    <w:rsid w:val="00D155E5"/>
    <w:rsid w:val="00D1562B"/>
    <w:rsid w:val="00D15A51"/>
    <w:rsid w:val="00D15C6C"/>
    <w:rsid w:val="00D15CB8"/>
    <w:rsid w:val="00D16154"/>
    <w:rsid w:val="00D163FE"/>
    <w:rsid w:val="00D164FF"/>
    <w:rsid w:val="00D1708A"/>
    <w:rsid w:val="00D1715D"/>
    <w:rsid w:val="00D17B8C"/>
    <w:rsid w:val="00D17CCA"/>
    <w:rsid w:val="00D17E9F"/>
    <w:rsid w:val="00D201DD"/>
    <w:rsid w:val="00D20245"/>
    <w:rsid w:val="00D2026B"/>
    <w:rsid w:val="00D20FBE"/>
    <w:rsid w:val="00D20FC5"/>
    <w:rsid w:val="00D210FB"/>
    <w:rsid w:val="00D213C9"/>
    <w:rsid w:val="00D2155A"/>
    <w:rsid w:val="00D21683"/>
    <w:rsid w:val="00D21A81"/>
    <w:rsid w:val="00D21ADF"/>
    <w:rsid w:val="00D2220E"/>
    <w:rsid w:val="00D22215"/>
    <w:rsid w:val="00D22CA3"/>
    <w:rsid w:val="00D231E6"/>
    <w:rsid w:val="00D23401"/>
    <w:rsid w:val="00D23707"/>
    <w:rsid w:val="00D23946"/>
    <w:rsid w:val="00D23961"/>
    <w:rsid w:val="00D239E2"/>
    <w:rsid w:val="00D23B07"/>
    <w:rsid w:val="00D23B85"/>
    <w:rsid w:val="00D23D6C"/>
    <w:rsid w:val="00D23D84"/>
    <w:rsid w:val="00D23EE2"/>
    <w:rsid w:val="00D242DB"/>
    <w:rsid w:val="00D2434F"/>
    <w:rsid w:val="00D24419"/>
    <w:rsid w:val="00D246D3"/>
    <w:rsid w:val="00D24732"/>
    <w:rsid w:val="00D24A52"/>
    <w:rsid w:val="00D24AB7"/>
    <w:rsid w:val="00D24C3A"/>
    <w:rsid w:val="00D24ECF"/>
    <w:rsid w:val="00D25180"/>
    <w:rsid w:val="00D25182"/>
    <w:rsid w:val="00D25273"/>
    <w:rsid w:val="00D2527A"/>
    <w:rsid w:val="00D252C4"/>
    <w:rsid w:val="00D2567A"/>
    <w:rsid w:val="00D25959"/>
    <w:rsid w:val="00D25A01"/>
    <w:rsid w:val="00D25C1E"/>
    <w:rsid w:val="00D25D2C"/>
    <w:rsid w:val="00D25F1D"/>
    <w:rsid w:val="00D26144"/>
    <w:rsid w:val="00D26426"/>
    <w:rsid w:val="00D26525"/>
    <w:rsid w:val="00D26B7E"/>
    <w:rsid w:val="00D26D13"/>
    <w:rsid w:val="00D26FCD"/>
    <w:rsid w:val="00D27029"/>
    <w:rsid w:val="00D27686"/>
    <w:rsid w:val="00D277FA"/>
    <w:rsid w:val="00D27B0B"/>
    <w:rsid w:val="00D27B21"/>
    <w:rsid w:val="00D27DEE"/>
    <w:rsid w:val="00D27E33"/>
    <w:rsid w:val="00D3041A"/>
    <w:rsid w:val="00D30704"/>
    <w:rsid w:val="00D307EF"/>
    <w:rsid w:val="00D30852"/>
    <w:rsid w:val="00D308FF"/>
    <w:rsid w:val="00D30A8A"/>
    <w:rsid w:val="00D30DE5"/>
    <w:rsid w:val="00D31143"/>
    <w:rsid w:val="00D3124F"/>
    <w:rsid w:val="00D31360"/>
    <w:rsid w:val="00D31D7B"/>
    <w:rsid w:val="00D31DF4"/>
    <w:rsid w:val="00D31F18"/>
    <w:rsid w:val="00D32350"/>
    <w:rsid w:val="00D32841"/>
    <w:rsid w:val="00D3294E"/>
    <w:rsid w:val="00D32982"/>
    <w:rsid w:val="00D32FF2"/>
    <w:rsid w:val="00D334C0"/>
    <w:rsid w:val="00D337AA"/>
    <w:rsid w:val="00D33988"/>
    <w:rsid w:val="00D33A3C"/>
    <w:rsid w:val="00D33A9C"/>
    <w:rsid w:val="00D33AFC"/>
    <w:rsid w:val="00D33E11"/>
    <w:rsid w:val="00D33E77"/>
    <w:rsid w:val="00D33F47"/>
    <w:rsid w:val="00D34061"/>
    <w:rsid w:val="00D3435D"/>
    <w:rsid w:val="00D346A4"/>
    <w:rsid w:val="00D34C1B"/>
    <w:rsid w:val="00D34CEF"/>
    <w:rsid w:val="00D34DDE"/>
    <w:rsid w:val="00D3519C"/>
    <w:rsid w:val="00D35374"/>
    <w:rsid w:val="00D35832"/>
    <w:rsid w:val="00D3593A"/>
    <w:rsid w:val="00D35D48"/>
    <w:rsid w:val="00D35D5D"/>
    <w:rsid w:val="00D35DAF"/>
    <w:rsid w:val="00D35E67"/>
    <w:rsid w:val="00D35EBA"/>
    <w:rsid w:val="00D367BF"/>
    <w:rsid w:val="00D368F2"/>
    <w:rsid w:val="00D36A41"/>
    <w:rsid w:val="00D36EE0"/>
    <w:rsid w:val="00D376D0"/>
    <w:rsid w:val="00D37B66"/>
    <w:rsid w:val="00D37F96"/>
    <w:rsid w:val="00D40009"/>
    <w:rsid w:val="00D403EC"/>
    <w:rsid w:val="00D40462"/>
    <w:rsid w:val="00D40783"/>
    <w:rsid w:val="00D407F8"/>
    <w:rsid w:val="00D40D70"/>
    <w:rsid w:val="00D4129D"/>
    <w:rsid w:val="00D41A19"/>
    <w:rsid w:val="00D41A9E"/>
    <w:rsid w:val="00D41B6D"/>
    <w:rsid w:val="00D42426"/>
    <w:rsid w:val="00D42508"/>
    <w:rsid w:val="00D42558"/>
    <w:rsid w:val="00D428E5"/>
    <w:rsid w:val="00D428F7"/>
    <w:rsid w:val="00D4294C"/>
    <w:rsid w:val="00D42AF7"/>
    <w:rsid w:val="00D42C61"/>
    <w:rsid w:val="00D430F9"/>
    <w:rsid w:val="00D4319F"/>
    <w:rsid w:val="00D4360A"/>
    <w:rsid w:val="00D437CF"/>
    <w:rsid w:val="00D43A76"/>
    <w:rsid w:val="00D43B09"/>
    <w:rsid w:val="00D43BD4"/>
    <w:rsid w:val="00D43EC3"/>
    <w:rsid w:val="00D43F5A"/>
    <w:rsid w:val="00D4412B"/>
    <w:rsid w:val="00D447B4"/>
    <w:rsid w:val="00D44960"/>
    <w:rsid w:val="00D44C4A"/>
    <w:rsid w:val="00D44E7A"/>
    <w:rsid w:val="00D44FAC"/>
    <w:rsid w:val="00D44FB5"/>
    <w:rsid w:val="00D4521E"/>
    <w:rsid w:val="00D4540A"/>
    <w:rsid w:val="00D45592"/>
    <w:rsid w:val="00D45668"/>
    <w:rsid w:val="00D45753"/>
    <w:rsid w:val="00D45784"/>
    <w:rsid w:val="00D459F0"/>
    <w:rsid w:val="00D45FD2"/>
    <w:rsid w:val="00D46074"/>
    <w:rsid w:val="00D461E6"/>
    <w:rsid w:val="00D461F5"/>
    <w:rsid w:val="00D461FD"/>
    <w:rsid w:val="00D46359"/>
    <w:rsid w:val="00D463FD"/>
    <w:rsid w:val="00D46998"/>
    <w:rsid w:val="00D46AF2"/>
    <w:rsid w:val="00D46BB0"/>
    <w:rsid w:val="00D46E3C"/>
    <w:rsid w:val="00D46E58"/>
    <w:rsid w:val="00D46E67"/>
    <w:rsid w:val="00D46F0A"/>
    <w:rsid w:val="00D479E5"/>
    <w:rsid w:val="00D47EFD"/>
    <w:rsid w:val="00D50105"/>
    <w:rsid w:val="00D5024B"/>
    <w:rsid w:val="00D50364"/>
    <w:rsid w:val="00D5049C"/>
    <w:rsid w:val="00D504AD"/>
    <w:rsid w:val="00D50507"/>
    <w:rsid w:val="00D50524"/>
    <w:rsid w:val="00D5054F"/>
    <w:rsid w:val="00D506F9"/>
    <w:rsid w:val="00D508CC"/>
    <w:rsid w:val="00D50937"/>
    <w:rsid w:val="00D50E7C"/>
    <w:rsid w:val="00D51300"/>
    <w:rsid w:val="00D517AA"/>
    <w:rsid w:val="00D51821"/>
    <w:rsid w:val="00D51C17"/>
    <w:rsid w:val="00D51C4B"/>
    <w:rsid w:val="00D51D70"/>
    <w:rsid w:val="00D51DBC"/>
    <w:rsid w:val="00D51EDF"/>
    <w:rsid w:val="00D52226"/>
    <w:rsid w:val="00D522C4"/>
    <w:rsid w:val="00D529C8"/>
    <w:rsid w:val="00D529D0"/>
    <w:rsid w:val="00D52E56"/>
    <w:rsid w:val="00D5319E"/>
    <w:rsid w:val="00D53372"/>
    <w:rsid w:val="00D5388C"/>
    <w:rsid w:val="00D538B0"/>
    <w:rsid w:val="00D5392E"/>
    <w:rsid w:val="00D539CB"/>
    <w:rsid w:val="00D5420D"/>
    <w:rsid w:val="00D542BB"/>
    <w:rsid w:val="00D545E2"/>
    <w:rsid w:val="00D54B88"/>
    <w:rsid w:val="00D5506B"/>
    <w:rsid w:val="00D5547B"/>
    <w:rsid w:val="00D554A9"/>
    <w:rsid w:val="00D55611"/>
    <w:rsid w:val="00D55830"/>
    <w:rsid w:val="00D55E35"/>
    <w:rsid w:val="00D55F20"/>
    <w:rsid w:val="00D55F72"/>
    <w:rsid w:val="00D5637E"/>
    <w:rsid w:val="00D564B8"/>
    <w:rsid w:val="00D5654C"/>
    <w:rsid w:val="00D5689F"/>
    <w:rsid w:val="00D569C5"/>
    <w:rsid w:val="00D56A27"/>
    <w:rsid w:val="00D57237"/>
    <w:rsid w:val="00D572B4"/>
    <w:rsid w:val="00D57311"/>
    <w:rsid w:val="00D57681"/>
    <w:rsid w:val="00D579DD"/>
    <w:rsid w:val="00D57A0F"/>
    <w:rsid w:val="00D57A47"/>
    <w:rsid w:val="00D57A5C"/>
    <w:rsid w:val="00D57D33"/>
    <w:rsid w:val="00D57EC4"/>
    <w:rsid w:val="00D57F8F"/>
    <w:rsid w:val="00D60075"/>
    <w:rsid w:val="00D601F1"/>
    <w:rsid w:val="00D603F3"/>
    <w:rsid w:val="00D60496"/>
    <w:rsid w:val="00D60677"/>
    <w:rsid w:val="00D60745"/>
    <w:rsid w:val="00D60897"/>
    <w:rsid w:val="00D60A90"/>
    <w:rsid w:val="00D60C41"/>
    <w:rsid w:val="00D61BD8"/>
    <w:rsid w:val="00D61C90"/>
    <w:rsid w:val="00D62284"/>
    <w:rsid w:val="00D622E8"/>
    <w:rsid w:val="00D623AC"/>
    <w:rsid w:val="00D626EB"/>
    <w:rsid w:val="00D62B99"/>
    <w:rsid w:val="00D62BB1"/>
    <w:rsid w:val="00D62E90"/>
    <w:rsid w:val="00D632B9"/>
    <w:rsid w:val="00D635B5"/>
    <w:rsid w:val="00D6362D"/>
    <w:rsid w:val="00D636B4"/>
    <w:rsid w:val="00D6377C"/>
    <w:rsid w:val="00D63FE9"/>
    <w:rsid w:val="00D640E2"/>
    <w:rsid w:val="00D64247"/>
    <w:rsid w:val="00D64415"/>
    <w:rsid w:val="00D64440"/>
    <w:rsid w:val="00D645B6"/>
    <w:rsid w:val="00D645FA"/>
    <w:rsid w:val="00D646A3"/>
    <w:rsid w:val="00D64881"/>
    <w:rsid w:val="00D648B0"/>
    <w:rsid w:val="00D64960"/>
    <w:rsid w:val="00D64C6F"/>
    <w:rsid w:val="00D64D29"/>
    <w:rsid w:val="00D6504E"/>
    <w:rsid w:val="00D653D3"/>
    <w:rsid w:val="00D6541A"/>
    <w:rsid w:val="00D6573C"/>
    <w:rsid w:val="00D65CD9"/>
    <w:rsid w:val="00D65E1B"/>
    <w:rsid w:val="00D66172"/>
    <w:rsid w:val="00D66199"/>
    <w:rsid w:val="00D661C3"/>
    <w:rsid w:val="00D661F7"/>
    <w:rsid w:val="00D66498"/>
    <w:rsid w:val="00D665F3"/>
    <w:rsid w:val="00D6669D"/>
    <w:rsid w:val="00D668D6"/>
    <w:rsid w:val="00D66C51"/>
    <w:rsid w:val="00D6729A"/>
    <w:rsid w:val="00D67350"/>
    <w:rsid w:val="00D6748E"/>
    <w:rsid w:val="00D6765D"/>
    <w:rsid w:val="00D67BB4"/>
    <w:rsid w:val="00D70149"/>
    <w:rsid w:val="00D70160"/>
    <w:rsid w:val="00D70494"/>
    <w:rsid w:val="00D709AA"/>
    <w:rsid w:val="00D70B41"/>
    <w:rsid w:val="00D70C39"/>
    <w:rsid w:val="00D70D8E"/>
    <w:rsid w:val="00D70E0E"/>
    <w:rsid w:val="00D70E79"/>
    <w:rsid w:val="00D7140A"/>
    <w:rsid w:val="00D71643"/>
    <w:rsid w:val="00D716E7"/>
    <w:rsid w:val="00D7173D"/>
    <w:rsid w:val="00D7173E"/>
    <w:rsid w:val="00D71825"/>
    <w:rsid w:val="00D71DB8"/>
    <w:rsid w:val="00D71FE0"/>
    <w:rsid w:val="00D723D5"/>
    <w:rsid w:val="00D72490"/>
    <w:rsid w:val="00D72864"/>
    <w:rsid w:val="00D728E0"/>
    <w:rsid w:val="00D72A63"/>
    <w:rsid w:val="00D72AC3"/>
    <w:rsid w:val="00D72D83"/>
    <w:rsid w:val="00D7337B"/>
    <w:rsid w:val="00D733DF"/>
    <w:rsid w:val="00D7351E"/>
    <w:rsid w:val="00D7356B"/>
    <w:rsid w:val="00D73678"/>
    <w:rsid w:val="00D737DC"/>
    <w:rsid w:val="00D73811"/>
    <w:rsid w:val="00D739DB"/>
    <w:rsid w:val="00D73A19"/>
    <w:rsid w:val="00D73DDA"/>
    <w:rsid w:val="00D73F7D"/>
    <w:rsid w:val="00D7419E"/>
    <w:rsid w:val="00D7434E"/>
    <w:rsid w:val="00D74529"/>
    <w:rsid w:val="00D7459C"/>
    <w:rsid w:val="00D747AB"/>
    <w:rsid w:val="00D747C3"/>
    <w:rsid w:val="00D748AB"/>
    <w:rsid w:val="00D74B1C"/>
    <w:rsid w:val="00D74D30"/>
    <w:rsid w:val="00D75122"/>
    <w:rsid w:val="00D751CB"/>
    <w:rsid w:val="00D751CC"/>
    <w:rsid w:val="00D75218"/>
    <w:rsid w:val="00D752A0"/>
    <w:rsid w:val="00D75507"/>
    <w:rsid w:val="00D75756"/>
    <w:rsid w:val="00D75C01"/>
    <w:rsid w:val="00D75CAB"/>
    <w:rsid w:val="00D75D68"/>
    <w:rsid w:val="00D75E21"/>
    <w:rsid w:val="00D75F27"/>
    <w:rsid w:val="00D76783"/>
    <w:rsid w:val="00D767A2"/>
    <w:rsid w:val="00D76CEF"/>
    <w:rsid w:val="00D76DFA"/>
    <w:rsid w:val="00D770C2"/>
    <w:rsid w:val="00D7745D"/>
    <w:rsid w:val="00D774DE"/>
    <w:rsid w:val="00D775E9"/>
    <w:rsid w:val="00D77871"/>
    <w:rsid w:val="00D77997"/>
    <w:rsid w:val="00D77AFD"/>
    <w:rsid w:val="00D77DEB"/>
    <w:rsid w:val="00D80049"/>
    <w:rsid w:val="00D8033C"/>
    <w:rsid w:val="00D80386"/>
    <w:rsid w:val="00D807E8"/>
    <w:rsid w:val="00D811E1"/>
    <w:rsid w:val="00D81476"/>
    <w:rsid w:val="00D81495"/>
    <w:rsid w:val="00D818AE"/>
    <w:rsid w:val="00D81991"/>
    <w:rsid w:val="00D819BD"/>
    <w:rsid w:val="00D81D62"/>
    <w:rsid w:val="00D820EA"/>
    <w:rsid w:val="00D823FC"/>
    <w:rsid w:val="00D8249A"/>
    <w:rsid w:val="00D826F2"/>
    <w:rsid w:val="00D828FE"/>
    <w:rsid w:val="00D82A50"/>
    <w:rsid w:val="00D82CE5"/>
    <w:rsid w:val="00D83576"/>
    <w:rsid w:val="00D835E3"/>
    <w:rsid w:val="00D835F0"/>
    <w:rsid w:val="00D8388A"/>
    <w:rsid w:val="00D841F1"/>
    <w:rsid w:val="00D84265"/>
    <w:rsid w:val="00D84321"/>
    <w:rsid w:val="00D84439"/>
    <w:rsid w:val="00D844EC"/>
    <w:rsid w:val="00D8467E"/>
    <w:rsid w:val="00D8473F"/>
    <w:rsid w:val="00D848A4"/>
    <w:rsid w:val="00D8492B"/>
    <w:rsid w:val="00D849B1"/>
    <w:rsid w:val="00D84AC8"/>
    <w:rsid w:val="00D84B23"/>
    <w:rsid w:val="00D8514F"/>
    <w:rsid w:val="00D855EF"/>
    <w:rsid w:val="00D8563E"/>
    <w:rsid w:val="00D85848"/>
    <w:rsid w:val="00D85AE7"/>
    <w:rsid w:val="00D85EA4"/>
    <w:rsid w:val="00D85EEC"/>
    <w:rsid w:val="00D85F95"/>
    <w:rsid w:val="00D8602B"/>
    <w:rsid w:val="00D86105"/>
    <w:rsid w:val="00D861BA"/>
    <w:rsid w:val="00D86216"/>
    <w:rsid w:val="00D86AA3"/>
    <w:rsid w:val="00D86C28"/>
    <w:rsid w:val="00D87225"/>
    <w:rsid w:val="00D87305"/>
    <w:rsid w:val="00D873CE"/>
    <w:rsid w:val="00D8751B"/>
    <w:rsid w:val="00D877BB"/>
    <w:rsid w:val="00D87941"/>
    <w:rsid w:val="00D879B1"/>
    <w:rsid w:val="00D87A88"/>
    <w:rsid w:val="00D87C22"/>
    <w:rsid w:val="00D87C8B"/>
    <w:rsid w:val="00D87E8E"/>
    <w:rsid w:val="00D87F3A"/>
    <w:rsid w:val="00D90268"/>
    <w:rsid w:val="00D902D4"/>
    <w:rsid w:val="00D904E1"/>
    <w:rsid w:val="00D90626"/>
    <w:rsid w:val="00D90B3E"/>
    <w:rsid w:val="00D90B5F"/>
    <w:rsid w:val="00D90F74"/>
    <w:rsid w:val="00D91062"/>
    <w:rsid w:val="00D9109A"/>
    <w:rsid w:val="00D911AC"/>
    <w:rsid w:val="00D91598"/>
    <w:rsid w:val="00D91728"/>
    <w:rsid w:val="00D91B36"/>
    <w:rsid w:val="00D9218B"/>
    <w:rsid w:val="00D92694"/>
    <w:rsid w:val="00D926A0"/>
    <w:rsid w:val="00D9299F"/>
    <w:rsid w:val="00D93043"/>
    <w:rsid w:val="00D930F7"/>
    <w:rsid w:val="00D931C0"/>
    <w:rsid w:val="00D93204"/>
    <w:rsid w:val="00D93443"/>
    <w:rsid w:val="00D93925"/>
    <w:rsid w:val="00D93A84"/>
    <w:rsid w:val="00D93EFA"/>
    <w:rsid w:val="00D94017"/>
    <w:rsid w:val="00D942A6"/>
    <w:rsid w:val="00D9457C"/>
    <w:rsid w:val="00D94709"/>
    <w:rsid w:val="00D947A3"/>
    <w:rsid w:val="00D94C90"/>
    <w:rsid w:val="00D94D1B"/>
    <w:rsid w:val="00D95174"/>
    <w:rsid w:val="00D951C1"/>
    <w:rsid w:val="00D9535C"/>
    <w:rsid w:val="00D9543A"/>
    <w:rsid w:val="00D95781"/>
    <w:rsid w:val="00D95ACF"/>
    <w:rsid w:val="00D95B87"/>
    <w:rsid w:val="00D95D2C"/>
    <w:rsid w:val="00D95EA0"/>
    <w:rsid w:val="00D95F66"/>
    <w:rsid w:val="00D9611A"/>
    <w:rsid w:val="00D9695D"/>
    <w:rsid w:val="00D96C52"/>
    <w:rsid w:val="00D96D4C"/>
    <w:rsid w:val="00D96F4F"/>
    <w:rsid w:val="00D97489"/>
    <w:rsid w:val="00D9764D"/>
    <w:rsid w:val="00D97876"/>
    <w:rsid w:val="00D97AED"/>
    <w:rsid w:val="00D97D9C"/>
    <w:rsid w:val="00DA02FF"/>
    <w:rsid w:val="00DA04D3"/>
    <w:rsid w:val="00DA060A"/>
    <w:rsid w:val="00DA08C8"/>
    <w:rsid w:val="00DA0ADA"/>
    <w:rsid w:val="00DA0C9E"/>
    <w:rsid w:val="00DA0D6E"/>
    <w:rsid w:val="00DA1085"/>
    <w:rsid w:val="00DA15D2"/>
    <w:rsid w:val="00DA15E4"/>
    <w:rsid w:val="00DA1820"/>
    <w:rsid w:val="00DA2099"/>
    <w:rsid w:val="00DA2583"/>
    <w:rsid w:val="00DA2631"/>
    <w:rsid w:val="00DA26A3"/>
    <w:rsid w:val="00DA2A5D"/>
    <w:rsid w:val="00DA2B5E"/>
    <w:rsid w:val="00DA2B8A"/>
    <w:rsid w:val="00DA2BE3"/>
    <w:rsid w:val="00DA30CD"/>
    <w:rsid w:val="00DA38EB"/>
    <w:rsid w:val="00DA3AEE"/>
    <w:rsid w:val="00DA3CD4"/>
    <w:rsid w:val="00DA43C4"/>
    <w:rsid w:val="00DA46FE"/>
    <w:rsid w:val="00DA47F4"/>
    <w:rsid w:val="00DA4EBE"/>
    <w:rsid w:val="00DA4EE8"/>
    <w:rsid w:val="00DA4EF1"/>
    <w:rsid w:val="00DA4F68"/>
    <w:rsid w:val="00DA5219"/>
    <w:rsid w:val="00DA54C6"/>
    <w:rsid w:val="00DA57A5"/>
    <w:rsid w:val="00DA5C14"/>
    <w:rsid w:val="00DA5E94"/>
    <w:rsid w:val="00DA603A"/>
    <w:rsid w:val="00DA60C5"/>
    <w:rsid w:val="00DA61D5"/>
    <w:rsid w:val="00DA65C9"/>
    <w:rsid w:val="00DA6FD7"/>
    <w:rsid w:val="00DA74A7"/>
    <w:rsid w:val="00DA7582"/>
    <w:rsid w:val="00DA76B7"/>
    <w:rsid w:val="00DA778C"/>
    <w:rsid w:val="00DA7CC0"/>
    <w:rsid w:val="00DA7D88"/>
    <w:rsid w:val="00DA7DE2"/>
    <w:rsid w:val="00DA7EEE"/>
    <w:rsid w:val="00DA7F0D"/>
    <w:rsid w:val="00DA7F21"/>
    <w:rsid w:val="00DB00E1"/>
    <w:rsid w:val="00DB01F3"/>
    <w:rsid w:val="00DB04F3"/>
    <w:rsid w:val="00DB0734"/>
    <w:rsid w:val="00DB0A5D"/>
    <w:rsid w:val="00DB0C22"/>
    <w:rsid w:val="00DB0C77"/>
    <w:rsid w:val="00DB0D6D"/>
    <w:rsid w:val="00DB129D"/>
    <w:rsid w:val="00DB12F0"/>
    <w:rsid w:val="00DB131B"/>
    <w:rsid w:val="00DB169A"/>
    <w:rsid w:val="00DB1989"/>
    <w:rsid w:val="00DB2780"/>
    <w:rsid w:val="00DB2DFD"/>
    <w:rsid w:val="00DB314B"/>
    <w:rsid w:val="00DB33BB"/>
    <w:rsid w:val="00DB37FF"/>
    <w:rsid w:val="00DB3B29"/>
    <w:rsid w:val="00DB3B61"/>
    <w:rsid w:val="00DB4369"/>
    <w:rsid w:val="00DB43A1"/>
    <w:rsid w:val="00DB43AB"/>
    <w:rsid w:val="00DB4551"/>
    <w:rsid w:val="00DB4567"/>
    <w:rsid w:val="00DB461B"/>
    <w:rsid w:val="00DB461E"/>
    <w:rsid w:val="00DB486D"/>
    <w:rsid w:val="00DB49C2"/>
    <w:rsid w:val="00DB4A64"/>
    <w:rsid w:val="00DB500E"/>
    <w:rsid w:val="00DB507F"/>
    <w:rsid w:val="00DB52D4"/>
    <w:rsid w:val="00DB5475"/>
    <w:rsid w:val="00DB55A3"/>
    <w:rsid w:val="00DB5862"/>
    <w:rsid w:val="00DB6013"/>
    <w:rsid w:val="00DB6050"/>
    <w:rsid w:val="00DB60C7"/>
    <w:rsid w:val="00DB61EC"/>
    <w:rsid w:val="00DB6A0B"/>
    <w:rsid w:val="00DB6CB2"/>
    <w:rsid w:val="00DB6DC9"/>
    <w:rsid w:val="00DB6E52"/>
    <w:rsid w:val="00DB6F93"/>
    <w:rsid w:val="00DB72CB"/>
    <w:rsid w:val="00DB733E"/>
    <w:rsid w:val="00DB7368"/>
    <w:rsid w:val="00DB7560"/>
    <w:rsid w:val="00DB7717"/>
    <w:rsid w:val="00DB783E"/>
    <w:rsid w:val="00DB7B29"/>
    <w:rsid w:val="00DC0637"/>
    <w:rsid w:val="00DC0842"/>
    <w:rsid w:val="00DC08CD"/>
    <w:rsid w:val="00DC0A4F"/>
    <w:rsid w:val="00DC1078"/>
    <w:rsid w:val="00DC1262"/>
    <w:rsid w:val="00DC14AF"/>
    <w:rsid w:val="00DC186C"/>
    <w:rsid w:val="00DC1D89"/>
    <w:rsid w:val="00DC1DFC"/>
    <w:rsid w:val="00DC2052"/>
    <w:rsid w:val="00DC25EB"/>
    <w:rsid w:val="00DC2964"/>
    <w:rsid w:val="00DC2A41"/>
    <w:rsid w:val="00DC2B2A"/>
    <w:rsid w:val="00DC2B9E"/>
    <w:rsid w:val="00DC2E63"/>
    <w:rsid w:val="00DC2EDF"/>
    <w:rsid w:val="00DC3725"/>
    <w:rsid w:val="00DC37FE"/>
    <w:rsid w:val="00DC3AEB"/>
    <w:rsid w:val="00DC3B54"/>
    <w:rsid w:val="00DC3BAE"/>
    <w:rsid w:val="00DC3DED"/>
    <w:rsid w:val="00DC42E6"/>
    <w:rsid w:val="00DC4B5D"/>
    <w:rsid w:val="00DC51A8"/>
    <w:rsid w:val="00DC5B68"/>
    <w:rsid w:val="00DC5D8C"/>
    <w:rsid w:val="00DC6118"/>
    <w:rsid w:val="00DC645F"/>
    <w:rsid w:val="00DC646D"/>
    <w:rsid w:val="00DC64B5"/>
    <w:rsid w:val="00DC6AD5"/>
    <w:rsid w:val="00DC6AFB"/>
    <w:rsid w:val="00DC6F47"/>
    <w:rsid w:val="00DC7073"/>
    <w:rsid w:val="00DC7456"/>
    <w:rsid w:val="00DC77A5"/>
    <w:rsid w:val="00DC78A2"/>
    <w:rsid w:val="00DC7A1F"/>
    <w:rsid w:val="00DC7C35"/>
    <w:rsid w:val="00DC7C5E"/>
    <w:rsid w:val="00DC7CB2"/>
    <w:rsid w:val="00DC7CD0"/>
    <w:rsid w:val="00DC7FEA"/>
    <w:rsid w:val="00DD0026"/>
    <w:rsid w:val="00DD00E6"/>
    <w:rsid w:val="00DD01DF"/>
    <w:rsid w:val="00DD0552"/>
    <w:rsid w:val="00DD08C1"/>
    <w:rsid w:val="00DD0999"/>
    <w:rsid w:val="00DD0AA8"/>
    <w:rsid w:val="00DD0C38"/>
    <w:rsid w:val="00DD15C8"/>
    <w:rsid w:val="00DD1878"/>
    <w:rsid w:val="00DD1989"/>
    <w:rsid w:val="00DD1E50"/>
    <w:rsid w:val="00DD1F6B"/>
    <w:rsid w:val="00DD20C2"/>
    <w:rsid w:val="00DD210B"/>
    <w:rsid w:val="00DD24B7"/>
    <w:rsid w:val="00DD2504"/>
    <w:rsid w:val="00DD2526"/>
    <w:rsid w:val="00DD2648"/>
    <w:rsid w:val="00DD27F7"/>
    <w:rsid w:val="00DD2AC2"/>
    <w:rsid w:val="00DD2EE1"/>
    <w:rsid w:val="00DD32B8"/>
    <w:rsid w:val="00DD3465"/>
    <w:rsid w:val="00DD3BED"/>
    <w:rsid w:val="00DD3CD2"/>
    <w:rsid w:val="00DD3DBC"/>
    <w:rsid w:val="00DD3E62"/>
    <w:rsid w:val="00DD4370"/>
    <w:rsid w:val="00DD44C9"/>
    <w:rsid w:val="00DD45CD"/>
    <w:rsid w:val="00DD4BBC"/>
    <w:rsid w:val="00DD4CF8"/>
    <w:rsid w:val="00DD4EE0"/>
    <w:rsid w:val="00DD55D6"/>
    <w:rsid w:val="00DD5A4F"/>
    <w:rsid w:val="00DD5B12"/>
    <w:rsid w:val="00DD5CF0"/>
    <w:rsid w:val="00DD5D79"/>
    <w:rsid w:val="00DD5EF2"/>
    <w:rsid w:val="00DD62E1"/>
    <w:rsid w:val="00DD6A54"/>
    <w:rsid w:val="00DD6F95"/>
    <w:rsid w:val="00DD7118"/>
    <w:rsid w:val="00DD723A"/>
    <w:rsid w:val="00DD7268"/>
    <w:rsid w:val="00DD73A8"/>
    <w:rsid w:val="00DD754C"/>
    <w:rsid w:val="00DD7578"/>
    <w:rsid w:val="00DD78E6"/>
    <w:rsid w:val="00DD7964"/>
    <w:rsid w:val="00DD7B33"/>
    <w:rsid w:val="00DD7BC6"/>
    <w:rsid w:val="00DD7BE2"/>
    <w:rsid w:val="00DD7C25"/>
    <w:rsid w:val="00DD7C95"/>
    <w:rsid w:val="00DD7E8F"/>
    <w:rsid w:val="00DE059B"/>
    <w:rsid w:val="00DE0F92"/>
    <w:rsid w:val="00DE1197"/>
    <w:rsid w:val="00DE12AC"/>
    <w:rsid w:val="00DE137C"/>
    <w:rsid w:val="00DE13D9"/>
    <w:rsid w:val="00DE1A6C"/>
    <w:rsid w:val="00DE1B1B"/>
    <w:rsid w:val="00DE1C25"/>
    <w:rsid w:val="00DE200C"/>
    <w:rsid w:val="00DE29E4"/>
    <w:rsid w:val="00DE3125"/>
    <w:rsid w:val="00DE33D8"/>
    <w:rsid w:val="00DE3536"/>
    <w:rsid w:val="00DE3816"/>
    <w:rsid w:val="00DE39BF"/>
    <w:rsid w:val="00DE3CA2"/>
    <w:rsid w:val="00DE3E02"/>
    <w:rsid w:val="00DE4728"/>
    <w:rsid w:val="00DE49B6"/>
    <w:rsid w:val="00DE4D5F"/>
    <w:rsid w:val="00DE51E1"/>
    <w:rsid w:val="00DE524D"/>
    <w:rsid w:val="00DE53EA"/>
    <w:rsid w:val="00DE54E1"/>
    <w:rsid w:val="00DE5592"/>
    <w:rsid w:val="00DE5784"/>
    <w:rsid w:val="00DE5B15"/>
    <w:rsid w:val="00DE5C58"/>
    <w:rsid w:val="00DE621E"/>
    <w:rsid w:val="00DE675B"/>
    <w:rsid w:val="00DE68AC"/>
    <w:rsid w:val="00DE695A"/>
    <w:rsid w:val="00DE69D7"/>
    <w:rsid w:val="00DE6A28"/>
    <w:rsid w:val="00DE6A7B"/>
    <w:rsid w:val="00DE6FC8"/>
    <w:rsid w:val="00DE714F"/>
    <w:rsid w:val="00DE73EF"/>
    <w:rsid w:val="00DE7421"/>
    <w:rsid w:val="00DE75BA"/>
    <w:rsid w:val="00DE789D"/>
    <w:rsid w:val="00DE7910"/>
    <w:rsid w:val="00DE7AB8"/>
    <w:rsid w:val="00DE7CF0"/>
    <w:rsid w:val="00DE7F00"/>
    <w:rsid w:val="00DF0089"/>
    <w:rsid w:val="00DF043E"/>
    <w:rsid w:val="00DF076F"/>
    <w:rsid w:val="00DF0C49"/>
    <w:rsid w:val="00DF106D"/>
    <w:rsid w:val="00DF118C"/>
    <w:rsid w:val="00DF137D"/>
    <w:rsid w:val="00DF186E"/>
    <w:rsid w:val="00DF1885"/>
    <w:rsid w:val="00DF1B21"/>
    <w:rsid w:val="00DF23D2"/>
    <w:rsid w:val="00DF2619"/>
    <w:rsid w:val="00DF27F4"/>
    <w:rsid w:val="00DF2C14"/>
    <w:rsid w:val="00DF2CB0"/>
    <w:rsid w:val="00DF2E09"/>
    <w:rsid w:val="00DF3373"/>
    <w:rsid w:val="00DF34F8"/>
    <w:rsid w:val="00DF383A"/>
    <w:rsid w:val="00DF3C08"/>
    <w:rsid w:val="00DF3D8E"/>
    <w:rsid w:val="00DF3E05"/>
    <w:rsid w:val="00DF3E17"/>
    <w:rsid w:val="00DF47AA"/>
    <w:rsid w:val="00DF4B91"/>
    <w:rsid w:val="00DF4E75"/>
    <w:rsid w:val="00DF517E"/>
    <w:rsid w:val="00DF5237"/>
    <w:rsid w:val="00DF5298"/>
    <w:rsid w:val="00DF53CF"/>
    <w:rsid w:val="00DF53E6"/>
    <w:rsid w:val="00DF55D9"/>
    <w:rsid w:val="00DF5715"/>
    <w:rsid w:val="00DF5EAF"/>
    <w:rsid w:val="00DF6209"/>
    <w:rsid w:val="00DF6344"/>
    <w:rsid w:val="00DF6387"/>
    <w:rsid w:val="00DF6846"/>
    <w:rsid w:val="00DF69B2"/>
    <w:rsid w:val="00DF6C4D"/>
    <w:rsid w:val="00DF6DF7"/>
    <w:rsid w:val="00DF74B6"/>
    <w:rsid w:val="00DF7505"/>
    <w:rsid w:val="00DF75A9"/>
    <w:rsid w:val="00DF7600"/>
    <w:rsid w:val="00DF765A"/>
    <w:rsid w:val="00DF77A2"/>
    <w:rsid w:val="00DF7945"/>
    <w:rsid w:val="00DF7B29"/>
    <w:rsid w:val="00E0019D"/>
    <w:rsid w:val="00E002FB"/>
    <w:rsid w:val="00E006DE"/>
    <w:rsid w:val="00E0082E"/>
    <w:rsid w:val="00E00BCD"/>
    <w:rsid w:val="00E00F61"/>
    <w:rsid w:val="00E00FCF"/>
    <w:rsid w:val="00E015A7"/>
    <w:rsid w:val="00E01652"/>
    <w:rsid w:val="00E01666"/>
    <w:rsid w:val="00E0184F"/>
    <w:rsid w:val="00E01AD0"/>
    <w:rsid w:val="00E01ADA"/>
    <w:rsid w:val="00E01CD9"/>
    <w:rsid w:val="00E02276"/>
    <w:rsid w:val="00E02472"/>
    <w:rsid w:val="00E0261A"/>
    <w:rsid w:val="00E02781"/>
    <w:rsid w:val="00E02857"/>
    <w:rsid w:val="00E02912"/>
    <w:rsid w:val="00E02A38"/>
    <w:rsid w:val="00E02ABC"/>
    <w:rsid w:val="00E0303B"/>
    <w:rsid w:val="00E033C6"/>
    <w:rsid w:val="00E033DF"/>
    <w:rsid w:val="00E03442"/>
    <w:rsid w:val="00E03497"/>
    <w:rsid w:val="00E03499"/>
    <w:rsid w:val="00E03B59"/>
    <w:rsid w:val="00E03BC6"/>
    <w:rsid w:val="00E03CD8"/>
    <w:rsid w:val="00E03ECB"/>
    <w:rsid w:val="00E03EEA"/>
    <w:rsid w:val="00E0423B"/>
    <w:rsid w:val="00E0430A"/>
    <w:rsid w:val="00E04334"/>
    <w:rsid w:val="00E043E4"/>
    <w:rsid w:val="00E04884"/>
    <w:rsid w:val="00E04948"/>
    <w:rsid w:val="00E04A84"/>
    <w:rsid w:val="00E04D5D"/>
    <w:rsid w:val="00E04DB8"/>
    <w:rsid w:val="00E051A9"/>
    <w:rsid w:val="00E05386"/>
    <w:rsid w:val="00E0558B"/>
    <w:rsid w:val="00E056B5"/>
    <w:rsid w:val="00E0583E"/>
    <w:rsid w:val="00E059B7"/>
    <w:rsid w:val="00E05A25"/>
    <w:rsid w:val="00E05E9C"/>
    <w:rsid w:val="00E06251"/>
    <w:rsid w:val="00E0644C"/>
    <w:rsid w:val="00E06644"/>
    <w:rsid w:val="00E067A1"/>
    <w:rsid w:val="00E06A5A"/>
    <w:rsid w:val="00E06A61"/>
    <w:rsid w:val="00E07207"/>
    <w:rsid w:val="00E0777E"/>
    <w:rsid w:val="00E07920"/>
    <w:rsid w:val="00E07952"/>
    <w:rsid w:val="00E07C8B"/>
    <w:rsid w:val="00E07E03"/>
    <w:rsid w:val="00E07E7B"/>
    <w:rsid w:val="00E101E7"/>
    <w:rsid w:val="00E102A4"/>
    <w:rsid w:val="00E10601"/>
    <w:rsid w:val="00E1075D"/>
    <w:rsid w:val="00E10AA2"/>
    <w:rsid w:val="00E10EAF"/>
    <w:rsid w:val="00E10FF2"/>
    <w:rsid w:val="00E11012"/>
    <w:rsid w:val="00E11184"/>
    <w:rsid w:val="00E11453"/>
    <w:rsid w:val="00E115A8"/>
    <w:rsid w:val="00E11695"/>
    <w:rsid w:val="00E1193F"/>
    <w:rsid w:val="00E11C34"/>
    <w:rsid w:val="00E11C9A"/>
    <w:rsid w:val="00E11E18"/>
    <w:rsid w:val="00E12479"/>
    <w:rsid w:val="00E12766"/>
    <w:rsid w:val="00E129CA"/>
    <w:rsid w:val="00E12EEE"/>
    <w:rsid w:val="00E1322D"/>
    <w:rsid w:val="00E13299"/>
    <w:rsid w:val="00E132B3"/>
    <w:rsid w:val="00E1375E"/>
    <w:rsid w:val="00E13BA0"/>
    <w:rsid w:val="00E13BA9"/>
    <w:rsid w:val="00E13CB6"/>
    <w:rsid w:val="00E13D62"/>
    <w:rsid w:val="00E140EB"/>
    <w:rsid w:val="00E14892"/>
    <w:rsid w:val="00E148EA"/>
    <w:rsid w:val="00E14926"/>
    <w:rsid w:val="00E1493A"/>
    <w:rsid w:val="00E14A58"/>
    <w:rsid w:val="00E14C0D"/>
    <w:rsid w:val="00E14F3F"/>
    <w:rsid w:val="00E1546B"/>
    <w:rsid w:val="00E154B9"/>
    <w:rsid w:val="00E1553C"/>
    <w:rsid w:val="00E155E0"/>
    <w:rsid w:val="00E15AF1"/>
    <w:rsid w:val="00E15B45"/>
    <w:rsid w:val="00E15DB4"/>
    <w:rsid w:val="00E1613B"/>
    <w:rsid w:val="00E1631A"/>
    <w:rsid w:val="00E164E5"/>
    <w:rsid w:val="00E16567"/>
    <w:rsid w:val="00E165BD"/>
    <w:rsid w:val="00E16750"/>
    <w:rsid w:val="00E16930"/>
    <w:rsid w:val="00E17205"/>
    <w:rsid w:val="00E17513"/>
    <w:rsid w:val="00E17787"/>
    <w:rsid w:val="00E17A59"/>
    <w:rsid w:val="00E20214"/>
    <w:rsid w:val="00E20698"/>
    <w:rsid w:val="00E20A50"/>
    <w:rsid w:val="00E20D8B"/>
    <w:rsid w:val="00E212D1"/>
    <w:rsid w:val="00E21303"/>
    <w:rsid w:val="00E214A1"/>
    <w:rsid w:val="00E215CE"/>
    <w:rsid w:val="00E218CD"/>
    <w:rsid w:val="00E21A55"/>
    <w:rsid w:val="00E21AD7"/>
    <w:rsid w:val="00E21CE8"/>
    <w:rsid w:val="00E21D38"/>
    <w:rsid w:val="00E21D82"/>
    <w:rsid w:val="00E21FDC"/>
    <w:rsid w:val="00E2212E"/>
    <w:rsid w:val="00E22153"/>
    <w:rsid w:val="00E226D8"/>
    <w:rsid w:val="00E2271F"/>
    <w:rsid w:val="00E22741"/>
    <w:rsid w:val="00E227C8"/>
    <w:rsid w:val="00E228B8"/>
    <w:rsid w:val="00E228BB"/>
    <w:rsid w:val="00E22921"/>
    <w:rsid w:val="00E22B0B"/>
    <w:rsid w:val="00E22CFD"/>
    <w:rsid w:val="00E22D40"/>
    <w:rsid w:val="00E22DAC"/>
    <w:rsid w:val="00E2384D"/>
    <w:rsid w:val="00E23870"/>
    <w:rsid w:val="00E239CA"/>
    <w:rsid w:val="00E23A67"/>
    <w:rsid w:val="00E23C35"/>
    <w:rsid w:val="00E24049"/>
    <w:rsid w:val="00E24190"/>
    <w:rsid w:val="00E243E1"/>
    <w:rsid w:val="00E246A9"/>
    <w:rsid w:val="00E246B7"/>
    <w:rsid w:val="00E24786"/>
    <w:rsid w:val="00E24AF7"/>
    <w:rsid w:val="00E24B51"/>
    <w:rsid w:val="00E255AE"/>
    <w:rsid w:val="00E25713"/>
    <w:rsid w:val="00E25AEA"/>
    <w:rsid w:val="00E25DCA"/>
    <w:rsid w:val="00E25EDF"/>
    <w:rsid w:val="00E26446"/>
    <w:rsid w:val="00E268FF"/>
    <w:rsid w:val="00E26BAB"/>
    <w:rsid w:val="00E26D6F"/>
    <w:rsid w:val="00E27138"/>
    <w:rsid w:val="00E27331"/>
    <w:rsid w:val="00E275C7"/>
    <w:rsid w:val="00E277D7"/>
    <w:rsid w:val="00E27ACD"/>
    <w:rsid w:val="00E27B52"/>
    <w:rsid w:val="00E27BC3"/>
    <w:rsid w:val="00E27BD3"/>
    <w:rsid w:val="00E27CD8"/>
    <w:rsid w:val="00E27DA3"/>
    <w:rsid w:val="00E30451"/>
    <w:rsid w:val="00E30A84"/>
    <w:rsid w:val="00E30B79"/>
    <w:rsid w:val="00E30B7F"/>
    <w:rsid w:val="00E30C48"/>
    <w:rsid w:val="00E30D40"/>
    <w:rsid w:val="00E31116"/>
    <w:rsid w:val="00E3149A"/>
    <w:rsid w:val="00E314A2"/>
    <w:rsid w:val="00E318F3"/>
    <w:rsid w:val="00E319E3"/>
    <w:rsid w:val="00E31B0D"/>
    <w:rsid w:val="00E31BE5"/>
    <w:rsid w:val="00E31DD6"/>
    <w:rsid w:val="00E31E31"/>
    <w:rsid w:val="00E31EA7"/>
    <w:rsid w:val="00E320A8"/>
    <w:rsid w:val="00E3228F"/>
    <w:rsid w:val="00E32567"/>
    <w:rsid w:val="00E32C44"/>
    <w:rsid w:val="00E32E92"/>
    <w:rsid w:val="00E33215"/>
    <w:rsid w:val="00E33275"/>
    <w:rsid w:val="00E33486"/>
    <w:rsid w:val="00E33559"/>
    <w:rsid w:val="00E33995"/>
    <w:rsid w:val="00E33B53"/>
    <w:rsid w:val="00E33D18"/>
    <w:rsid w:val="00E346C7"/>
    <w:rsid w:val="00E34A73"/>
    <w:rsid w:val="00E351FE"/>
    <w:rsid w:val="00E35378"/>
    <w:rsid w:val="00E3561C"/>
    <w:rsid w:val="00E35661"/>
    <w:rsid w:val="00E35662"/>
    <w:rsid w:val="00E3569E"/>
    <w:rsid w:val="00E35829"/>
    <w:rsid w:val="00E358A6"/>
    <w:rsid w:val="00E358FB"/>
    <w:rsid w:val="00E35962"/>
    <w:rsid w:val="00E35CDE"/>
    <w:rsid w:val="00E35E17"/>
    <w:rsid w:val="00E35EE2"/>
    <w:rsid w:val="00E36412"/>
    <w:rsid w:val="00E364D9"/>
    <w:rsid w:val="00E366B1"/>
    <w:rsid w:val="00E36938"/>
    <w:rsid w:val="00E36C07"/>
    <w:rsid w:val="00E36EA8"/>
    <w:rsid w:val="00E36EDC"/>
    <w:rsid w:val="00E36F04"/>
    <w:rsid w:val="00E36F5E"/>
    <w:rsid w:val="00E36F7E"/>
    <w:rsid w:val="00E36FCC"/>
    <w:rsid w:val="00E3759F"/>
    <w:rsid w:val="00E37613"/>
    <w:rsid w:val="00E377CC"/>
    <w:rsid w:val="00E37BDF"/>
    <w:rsid w:val="00E37F86"/>
    <w:rsid w:val="00E37F99"/>
    <w:rsid w:val="00E400E6"/>
    <w:rsid w:val="00E402E2"/>
    <w:rsid w:val="00E40310"/>
    <w:rsid w:val="00E40432"/>
    <w:rsid w:val="00E404AC"/>
    <w:rsid w:val="00E405E7"/>
    <w:rsid w:val="00E4069C"/>
    <w:rsid w:val="00E4076E"/>
    <w:rsid w:val="00E408D2"/>
    <w:rsid w:val="00E409E9"/>
    <w:rsid w:val="00E40D1E"/>
    <w:rsid w:val="00E41050"/>
    <w:rsid w:val="00E418AC"/>
    <w:rsid w:val="00E418F0"/>
    <w:rsid w:val="00E4197D"/>
    <w:rsid w:val="00E41A3E"/>
    <w:rsid w:val="00E41AF2"/>
    <w:rsid w:val="00E41D56"/>
    <w:rsid w:val="00E41FDE"/>
    <w:rsid w:val="00E421D4"/>
    <w:rsid w:val="00E422BD"/>
    <w:rsid w:val="00E4234E"/>
    <w:rsid w:val="00E42541"/>
    <w:rsid w:val="00E4291C"/>
    <w:rsid w:val="00E429D6"/>
    <w:rsid w:val="00E42BA0"/>
    <w:rsid w:val="00E42D78"/>
    <w:rsid w:val="00E42D9C"/>
    <w:rsid w:val="00E42DBF"/>
    <w:rsid w:val="00E42DC2"/>
    <w:rsid w:val="00E4361A"/>
    <w:rsid w:val="00E43672"/>
    <w:rsid w:val="00E43738"/>
    <w:rsid w:val="00E43818"/>
    <w:rsid w:val="00E43953"/>
    <w:rsid w:val="00E43AB0"/>
    <w:rsid w:val="00E43D00"/>
    <w:rsid w:val="00E43EC3"/>
    <w:rsid w:val="00E43EF2"/>
    <w:rsid w:val="00E43F82"/>
    <w:rsid w:val="00E4412E"/>
    <w:rsid w:val="00E44165"/>
    <w:rsid w:val="00E44342"/>
    <w:rsid w:val="00E443A3"/>
    <w:rsid w:val="00E44429"/>
    <w:rsid w:val="00E446E2"/>
    <w:rsid w:val="00E44A0E"/>
    <w:rsid w:val="00E44A61"/>
    <w:rsid w:val="00E44BF3"/>
    <w:rsid w:val="00E44D31"/>
    <w:rsid w:val="00E44D50"/>
    <w:rsid w:val="00E45104"/>
    <w:rsid w:val="00E452ED"/>
    <w:rsid w:val="00E4537E"/>
    <w:rsid w:val="00E454CF"/>
    <w:rsid w:val="00E4577F"/>
    <w:rsid w:val="00E459F0"/>
    <w:rsid w:val="00E45C69"/>
    <w:rsid w:val="00E4618F"/>
    <w:rsid w:val="00E46364"/>
    <w:rsid w:val="00E46871"/>
    <w:rsid w:val="00E46BBF"/>
    <w:rsid w:val="00E46F02"/>
    <w:rsid w:val="00E4710B"/>
    <w:rsid w:val="00E47507"/>
    <w:rsid w:val="00E47AA3"/>
    <w:rsid w:val="00E47E21"/>
    <w:rsid w:val="00E500EC"/>
    <w:rsid w:val="00E50307"/>
    <w:rsid w:val="00E5039D"/>
    <w:rsid w:val="00E50460"/>
    <w:rsid w:val="00E5068F"/>
    <w:rsid w:val="00E50AE8"/>
    <w:rsid w:val="00E50E17"/>
    <w:rsid w:val="00E51187"/>
    <w:rsid w:val="00E51362"/>
    <w:rsid w:val="00E516D9"/>
    <w:rsid w:val="00E5183F"/>
    <w:rsid w:val="00E51C11"/>
    <w:rsid w:val="00E51D79"/>
    <w:rsid w:val="00E51DA6"/>
    <w:rsid w:val="00E52176"/>
    <w:rsid w:val="00E52498"/>
    <w:rsid w:val="00E52928"/>
    <w:rsid w:val="00E529E4"/>
    <w:rsid w:val="00E52A8D"/>
    <w:rsid w:val="00E52CE9"/>
    <w:rsid w:val="00E532F9"/>
    <w:rsid w:val="00E53336"/>
    <w:rsid w:val="00E53390"/>
    <w:rsid w:val="00E534EB"/>
    <w:rsid w:val="00E537D2"/>
    <w:rsid w:val="00E53A17"/>
    <w:rsid w:val="00E53DBD"/>
    <w:rsid w:val="00E53F4D"/>
    <w:rsid w:val="00E5415E"/>
    <w:rsid w:val="00E5439B"/>
    <w:rsid w:val="00E54AAB"/>
    <w:rsid w:val="00E54B20"/>
    <w:rsid w:val="00E54BBA"/>
    <w:rsid w:val="00E54BE1"/>
    <w:rsid w:val="00E54C67"/>
    <w:rsid w:val="00E54E4B"/>
    <w:rsid w:val="00E551C1"/>
    <w:rsid w:val="00E55558"/>
    <w:rsid w:val="00E5566C"/>
    <w:rsid w:val="00E5592D"/>
    <w:rsid w:val="00E559E3"/>
    <w:rsid w:val="00E55A2C"/>
    <w:rsid w:val="00E55CC3"/>
    <w:rsid w:val="00E562BA"/>
    <w:rsid w:val="00E5647D"/>
    <w:rsid w:val="00E56AD2"/>
    <w:rsid w:val="00E56CC3"/>
    <w:rsid w:val="00E56CCD"/>
    <w:rsid w:val="00E57499"/>
    <w:rsid w:val="00E57863"/>
    <w:rsid w:val="00E57884"/>
    <w:rsid w:val="00E578D2"/>
    <w:rsid w:val="00E57B2D"/>
    <w:rsid w:val="00E57B64"/>
    <w:rsid w:val="00E6002E"/>
    <w:rsid w:val="00E60146"/>
    <w:rsid w:val="00E603F4"/>
    <w:rsid w:val="00E60424"/>
    <w:rsid w:val="00E60869"/>
    <w:rsid w:val="00E609EB"/>
    <w:rsid w:val="00E60B1D"/>
    <w:rsid w:val="00E60D96"/>
    <w:rsid w:val="00E611C5"/>
    <w:rsid w:val="00E61308"/>
    <w:rsid w:val="00E614B4"/>
    <w:rsid w:val="00E61573"/>
    <w:rsid w:val="00E6182F"/>
    <w:rsid w:val="00E61939"/>
    <w:rsid w:val="00E61B63"/>
    <w:rsid w:val="00E61D65"/>
    <w:rsid w:val="00E62258"/>
    <w:rsid w:val="00E6227F"/>
    <w:rsid w:val="00E62348"/>
    <w:rsid w:val="00E623FA"/>
    <w:rsid w:val="00E626BB"/>
    <w:rsid w:val="00E62913"/>
    <w:rsid w:val="00E62CA7"/>
    <w:rsid w:val="00E62CFD"/>
    <w:rsid w:val="00E62D24"/>
    <w:rsid w:val="00E62DD3"/>
    <w:rsid w:val="00E62F5D"/>
    <w:rsid w:val="00E630BA"/>
    <w:rsid w:val="00E637C8"/>
    <w:rsid w:val="00E637D6"/>
    <w:rsid w:val="00E63A40"/>
    <w:rsid w:val="00E63E40"/>
    <w:rsid w:val="00E640F5"/>
    <w:rsid w:val="00E6428A"/>
    <w:rsid w:val="00E64471"/>
    <w:rsid w:val="00E64867"/>
    <w:rsid w:val="00E64994"/>
    <w:rsid w:val="00E64FFC"/>
    <w:rsid w:val="00E6530D"/>
    <w:rsid w:val="00E65443"/>
    <w:rsid w:val="00E65AAA"/>
    <w:rsid w:val="00E65B3B"/>
    <w:rsid w:val="00E66034"/>
    <w:rsid w:val="00E66042"/>
    <w:rsid w:val="00E6605D"/>
    <w:rsid w:val="00E66654"/>
    <w:rsid w:val="00E66BD6"/>
    <w:rsid w:val="00E66CCD"/>
    <w:rsid w:val="00E67267"/>
    <w:rsid w:val="00E674DB"/>
    <w:rsid w:val="00E67BB6"/>
    <w:rsid w:val="00E70090"/>
    <w:rsid w:val="00E70575"/>
    <w:rsid w:val="00E705AA"/>
    <w:rsid w:val="00E70656"/>
    <w:rsid w:val="00E7069E"/>
    <w:rsid w:val="00E709E0"/>
    <w:rsid w:val="00E70CA7"/>
    <w:rsid w:val="00E7100D"/>
    <w:rsid w:val="00E710FD"/>
    <w:rsid w:val="00E711CB"/>
    <w:rsid w:val="00E7173E"/>
    <w:rsid w:val="00E7195E"/>
    <w:rsid w:val="00E71C1D"/>
    <w:rsid w:val="00E71C7D"/>
    <w:rsid w:val="00E71CBB"/>
    <w:rsid w:val="00E72800"/>
    <w:rsid w:val="00E7294B"/>
    <w:rsid w:val="00E72964"/>
    <w:rsid w:val="00E73078"/>
    <w:rsid w:val="00E733E6"/>
    <w:rsid w:val="00E73850"/>
    <w:rsid w:val="00E73856"/>
    <w:rsid w:val="00E73CBF"/>
    <w:rsid w:val="00E73D29"/>
    <w:rsid w:val="00E73DEA"/>
    <w:rsid w:val="00E73FCC"/>
    <w:rsid w:val="00E740AE"/>
    <w:rsid w:val="00E741CF"/>
    <w:rsid w:val="00E7423F"/>
    <w:rsid w:val="00E747C8"/>
    <w:rsid w:val="00E74964"/>
    <w:rsid w:val="00E74A55"/>
    <w:rsid w:val="00E74C4D"/>
    <w:rsid w:val="00E74C8A"/>
    <w:rsid w:val="00E74D9D"/>
    <w:rsid w:val="00E75490"/>
    <w:rsid w:val="00E75959"/>
    <w:rsid w:val="00E75DF4"/>
    <w:rsid w:val="00E75E42"/>
    <w:rsid w:val="00E75ED9"/>
    <w:rsid w:val="00E76109"/>
    <w:rsid w:val="00E764DA"/>
    <w:rsid w:val="00E768CD"/>
    <w:rsid w:val="00E769F7"/>
    <w:rsid w:val="00E76AEC"/>
    <w:rsid w:val="00E76B33"/>
    <w:rsid w:val="00E76B8C"/>
    <w:rsid w:val="00E772F6"/>
    <w:rsid w:val="00E773B6"/>
    <w:rsid w:val="00E77407"/>
    <w:rsid w:val="00E77655"/>
    <w:rsid w:val="00E776E6"/>
    <w:rsid w:val="00E777B4"/>
    <w:rsid w:val="00E77CD6"/>
    <w:rsid w:val="00E77E87"/>
    <w:rsid w:val="00E8020A"/>
    <w:rsid w:val="00E804D7"/>
    <w:rsid w:val="00E804EF"/>
    <w:rsid w:val="00E80C14"/>
    <w:rsid w:val="00E80C1B"/>
    <w:rsid w:val="00E80D39"/>
    <w:rsid w:val="00E80F5F"/>
    <w:rsid w:val="00E8149F"/>
    <w:rsid w:val="00E81915"/>
    <w:rsid w:val="00E81B5C"/>
    <w:rsid w:val="00E81C15"/>
    <w:rsid w:val="00E81F95"/>
    <w:rsid w:val="00E82519"/>
    <w:rsid w:val="00E82A3F"/>
    <w:rsid w:val="00E82CE9"/>
    <w:rsid w:val="00E82D45"/>
    <w:rsid w:val="00E82DA2"/>
    <w:rsid w:val="00E82DC7"/>
    <w:rsid w:val="00E82F6E"/>
    <w:rsid w:val="00E831EE"/>
    <w:rsid w:val="00E83325"/>
    <w:rsid w:val="00E83416"/>
    <w:rsid w:val="00E83DBB"/>
    <w:rsid w:val="00E8401D"/>
    <w:rsid w:val="00E841F8"/>
    <w:rsid w:val="00E8443E"/>
    <w:rsid w:val="00E846E3"/>
    <w:rsid w:val="00E8483A"/>
    <w:rsid w:val="00E84AA3"/>
    <w:rsid w:val="00E84E5F"/>
    <w:rsid w:val="00E85060"/>
    <w:rsid w:val="00E8515C"/>
    <w:rsid w:val="00E85866"/>
    <w:rsid w:val="00E85BED"/>
    <w:rsid w:val="00E85C0D"/>
    <w:rsid w:val="00E85D36"/>
    <w:rsid w:val="00E85D3A"/>
    <w:rsid w:val="00E86060"/>
    <w:rsid w:val="00E863ED"/>
    <w:rsid w:val="00E8645D"/>
    <w:rsid w:val="00E867C8"/>
    <w:rsid w:val="00E86D86"/>
    <w:rsid w:val="00E86F54"/>
    <w:rsid w:val="00E8717E"/>
    <w:rsid w:val="00E87CD8"/>
    <w:rsid w:val="00E87E45"/>
    <w:rsid w:val="00E87E79"/>
    <w:rsid w:val="00E87F86"/>
    <w:rsid w:val="00E87FA0"/>
    <w:rsid w:val="00E9005B"/>
    <w:rsid w:val="00E909C4"/>
    <w:rsid w:val="00E90B43"/>
    <w:rsid w:val="00E90C84"/>
    <w:rsid w:val="00E90D10"/>
    <w:rsid w:val="00E90F57"/>
    <w:rsid w:val="00E913EB"/>
    <w:rsid w:val="00E914FA"/>
    <w:rsid w:val="00E919B5"/>
    <w:rsid w:val="00E91A18"/>
    <w:rsid w:val="00E91B9A"/>
    <w:rsid w:val="00E921BA"/>
    <w:rsid w:val="00E928DB"/>
    <w:rsid w:val="00E92935"/>
    <w:rsid w:val="00E92ABD"/>
    <w:rsid w:val="00E92BBD"/>
    <w:rsid w:val="00E92DB3"/>
    <w:rsid w:val="00E92DF5"/>
    <w:rsid w:val="00E92F67"/>
    <w:rsid w:val="00E9303E"/>
    <w:rsid w:val="00E93075"/>
    <w:rsid w:val="00E93082"/>
    <w:rsid w:val="00E9320B"/>
    <w:rsid w:val="00E9323E"/>
    <w:rsid w:val="00E932F9"/>
    <w:rsid w:val="00E93349"/>
    <w:rsid w:val="00E9347F"/>
    <w:rsid w:val="00E934A2"/>
    <w:rsid w:val="00E9355A"/>
    <w:rsid w:val="00E93564"/>
    <w:rsid w:val="00E93759"/>
    <w:rsid w:val="00E937E4"/>
    <w:rsid w:val="00E93848"/>
    <w:rsid w:val="00E93FD8"/>
    <w:rsid w:val="00E94004"/>
    <w:rsid w:val="00E94215"/>
    <w:rsid w:val="00E9431A"/>
    <w:rsid w:val="00E943D7"/>
    <w:rsid w:val="00E9452A"/>
    <w:rsid w:val="00E9476B"/>
    <w:rsid w:val="00E948ED"/>
    <w:rsid w:val="00E94BDB"/>
    <w:rsid w:val="00E94FBF"/>
    <w:rsid w:val="00E952C3"/>
    <w:rsid w:val="00E956D1"/>
    <w:rsid w:val="00E9576D"/>
    <w:rsid w:val="00E95885"/>
    <w:rsid w:val="00E95A6A"/>
    <w:rsid w:val="00E95BF1"/>
    <w:rsid w:val="00E95C41"/>
    <w:rsid w:val="00E96140"/>
    <w:rsid w:val="00E961DF"/>
    <w:rsid w:val="00E96595"/>
    <w:rsid w:val="00E967A5"/>
    <w:rsid w:val="00E9715F"/>
    <w:rsid w:val="00E9724A"/>
    <w:rsid w:val="00E97538"/>
    <w:rsid w:val="00E976D9"/>
    <w:rsid w:val="00E976DA"/>
    <w:rsid w:val="00E979FF"/>
    <w:rsid w:val="00E97C85"/>
    <w:rsid w:val="00EA01CA"/>
    <w:rsid w:val="00EA02B1"/>
    <w:rsid w:val="00EA02E9"/>
    <w:rsid w:val="00EA0305"/>
    <w:rsid w:val="00EA0385"/>
    <w:rsid w:val="00EA0A70"/>
    <w:rsid w:val="00EA102A"/>
    <w:rsid w:val="00EA14A7"/>
    <w:rsid w:val="00EA1560"/>
    <w:rsid w:val="00EA17B5"/>
    <w:rsid w:val="00EA1848"/>
    <w:rsid w:val="00EA1948"/>
    <w:rsid w:val="00EA1A81"/>
    <w:rsid w:val="00EA1A9C"/>
    <w:rsid w:val="00EA1B26"/>
    <w:rsid w:val="00EA1F6E"/>
    <w:rsid w:val="00EA2024"/>
    <w:rsid w:val="00EA2109"/>
    <w:rsid w:val="00EA2504"/>
    <w:rsid w:val="00EA2513"/>
    <w:rsid w:val="00EA27FB"/>
    <w:rsid w:val="00EA289B"/>
    <w:rsid w:val="00EA2ABC"/>
    <w:rsid w:val="00EA2B02"/>
    <w:rsid w:val="00EA2BAD"/>
    <w:rsid w:val="00EA2E16"/>
    <w:rsid w:val="00EA2F78"/>
    <w:rsid w:val="00EA2F84"/>
    <w:rsid w:val="00EA3050"/>
    <w:rsid w:val="00EA318D"/>
    <w:rsid w:val="00EA33E4"/>
    <w:rsid w:val="00EA3853"/>
    <w:rsid w:val="00EA38E1"/>
    <w:rsid w:val="00EA39DC"/>
    <w:rsid w:val="00EA3AA6"/>
    <w:rsid w:val="00EA3DB9"/>
    <w:rsid w:val="00EA3DE3"/>
    <w:rsid w:val="00EA3F18"/>
    <w:rsid w:val="00EA403D"/>
    <w:rsid w:val="00EA419E"/>
    <w:rsid w:val="00EA420E"/>
    <w:rsid w:val="00EA4293"/>
    <w:rsid w:val="00EA446C"/>
    <w:rsid w:val="00EA45E3"/>
    <w:rsid w:val="00EA4713"/>
    <w:rsid w:val="00EA48F2"/>
    <w:rsid w:val="00EA48FC"/>
    <w:rsid w:val="00EA493D"/>
    <w:rsid w:val="00EA4BC4"/>
    <w:rsid w:val="00EA4C95"/>
    <w:rsid w:val="00EA520C"/>
    <w:rsid w:val="00EA56F7"/>
    <w:rsid w:val="00EA575C"/>
    <w:rsid w:val="00EA5788"/>
    <w:rsid w:val="00EA5797"/>
    <w:rsid w:val="00EA5967"/>
    <w:rsid w:val="00EA5DEC"/>
    <w:rsid w:val="00EA6112"/>
    <w:rsid w:val="00EA6123"/>
    <w:rsid w:val="00EA64C8"/>
    <w:rsid w:val="00EA6D2F"/>
    <w:rsid w:val="00EA6F63"/>
    <w:rsid w:val="00EA7150"/>
    <w:rsid w:val="00EA71D2"/>
    <w:rsid w:val="00EA77CF"/>
    <w:rsid w:val="00EA7AE7"/>
    <w:rsid w:val="00EA7DDC"/>
    <w:rsid w:val="00EA7E9D"/>
    <w:rsid w:val="00EB029A"/>
    <w:rsid w:val="00EB03D7"/>
    <w:rsid w:val="00EB0BA5"/>
    <w:rsid w:val="00EB0F29"/>
    <w:rsid w:val="00EB1077"/>
    <w:rsid w:val="00EB1645"/>
    <w:rsid w:val="00EB170D"/>
    <w:rsid w:val="00EB183B"/>
    <w:rsid w:val="00EB18FD"/>
    <w:rsid w:val="00EB192E"/>
    <w:rsid w:val="00EB19F9"/>
    <w:rsid w:val="00EB1B91"/>
    <w:rsid w:val="00EB1BE3"/>
    <w:rsid w:val="00EB1C82"/>
    <w:rsid w:val="00EB1EC0"/>
    <w:rsid w:val="00EB2277"/>
    <w:rsid w:val="00EB238D"/>
    <w:rsid w:val="00EB23A4"/>
    <w:rsid w:val="00EB28C2"/>
    <w:rsid w:val="00EB2E08"/>
    <w:rsid w:val="00EB3460"/>
    <w:rsid w:val="00EB3574"/>
    <w:rsid w:val="00EB3A08"/>
    <w:rsid w:val="00EB3AB1"/>
    <w:rsid w:val="00EB4454"/>
    <w:rsid w:val="00EB4779"/>
    <w:rsid w:val="00EB48B9"/>
    <w:rsid w:val="00EB497E"/>
    <w:rsid w:val="00EB4DF1"/>
    <w:rsid w:val="00EB516A"/>
    <w:rsid w:val="00EB521B"/>
    <w:rsid w:val="00EB5239"/>
    <w:rsid w:val="00EB5320"/>
    <w:rsid w:val="00EB58AA"/>
    <w:rsid w:val="00EB59AD"/>
    <w:rsid w:val="00EB5EBD"/>
    <w:rsid w:val="00EB5FAD"/>
    <w:rsid w:val="00EB6455"/>
    <w:rsid w:val="00EB656B"/>
    <w:rsid w:val="00EB66A7"/>
    <w:rsid w:val="00EB67ED"/>
    <w:rsid w:val="00EB70A0"/>
    <w:rsid w:val="00EB70AC"/>
    <w:rsid w:val="00EB727E"/>
    <w:rsid w:val="00EB7574"/>
    <w:rsid w:val="00EB76BA"/>
    <w:rsid w:val="00EB7750"/>
    <w:rsid w:val="00EB7BBC"/>
    <w:rsid w:val="00EB7D53"/>
    <w:rsid w:val="00EC0143"/>
    <w:rsid w:val="00EC065E"/>
    <w:rsid w:val="00EC0805"/>
    <w:rsid w:val="00EC0A3D"/>
    <w:rsid w:val="00EC0BA5"/>
    <w:rsid w:val="00EC1109"/>
    <w:rsid w:val="00EC1363"/>
    <w:rsid w:val="00EC175E"/>
    <w:rsid w:val="00EC212A"/>
    <w:rsid w:val="00EC231E"/>
    <w:rsid w:val="00EC264F"/>
    <w:rsid w:val="00EC266C"/>
    <w:rsid w:val="00EC2A86"/>
    <w:rsid w:val="00EC2B98"/>
    <w:rsid w:val="00EC2F1F"/>
    <w:rsid w:val="00EC33FB"/>
    <w:rsid w:val="00EC37FF"/>
    <w:rsid w:val="00EC3A0B"/>
    <w:rsid w:val="00EC3CB6"/>
    <w:rsid w:val="00EC3D2A"/>
    <w:rsid w:val="00EC3D5A"/>
    <w:rsid w:val="00EC44DB"/>
    <w:rsid w:val="00EC461B"/>
    <w:rsid w:val="00EC46D6"/>
    <w:rsid w:val="00EC48FF"/>
    <w:rsid w:val="00EC4AF7"/>
    <w:rsid w:val="00EC4CB2"/>
    <w:rsid w:val="00EC4F5D"/>
    <w:rsid w:val="00EC50E2"/>
    <w:rsid w:val="00EC5379"/>
    <w:rsid w:val="00EC571F"/>
    <w:rsid w:val="00EC5CC3"/>
    <w:rsid w:val="00EC5CD4"/>
    <w:rsid w:val="00EC5D9A"/>
    <w:rsid w:val="00EC5DA2"/>
    <w:rsid w:val="00EC62C0"/>
    <w:rsid w:val="00EC63DD"/>
    <w:rsid w:val="00EC645C"/>
    <w:rsid w:val="00EC64DF"/>
    <w:rsid w:val="00EC69F4"/>
    <w:rsid w:val="00EC6B8D"/>
    <w:rsid w:val="00EC6E70"/>
    <w:rsid w:val="00EC6ED6"/>
    <w:rsid w:val="00EC6F17"/>
    <w:rsid w:val="00EC7181"/>
    <w:rsid w:val="00EC743A"/>
    <w:rsid w:val="00EC7C2A"/>
    <w:rsid w:val="00ED045F"/>
    <w:rsid w:val="00ED08D7"/>
    <w:rsid w:val="00ED0A7E"/>
    <w:rsid w:val="00ED0B23"/>
    <w:rsid w:val="00ED0E6D"/>
    <w:rsid w:val="00ED15B8"/>
    <w:rsid w:val="00ED166A"/>
    <w:rsid w:val="00ED1A3D"/>
    <w:rsid w:val="00ED1DE3"/>
    <w:rsid w:val="00ED24FA"/>
    <w:rsid w:val="00ED2603"/>
    <w:rsid w:val="00ED2877"/>
    <w:rsid w:val="00ED2AE2"/>
    <w:rsid w:val="00ED2DAA"/>
    <w:rsid w:val="00ED333C"/>
    <w:rsid w:val="00ED3442"/>
    <w:rsid w:val="00ED3647"/>
    <w:rsid w:val="00ED36CE"/>
    <w:rsid w:val="00ED3CA8"/>
    <w:rsid w:val="00ED3DB9"/>
    <w:rsid w:val="00ED3EBC"/>
    <w:rsid w:val="00ED3F3C"/>
    <w:rsid w:val="00ED4085"/>
    <w:rsid w:val="00ED442E"/>
    <w:rsid w:val="00ED4635"/>
    <w:rsid w:val="00ED4BA8"/>
    <w:rsid w:val="00ED4C3D"/>
    <w:rsid w:val="00ED4D86"/>
    <w:rsid w:val="00ED4DD6"/>
    <w:rsid w:val="00ED4ED4"/>
    <w:rsid w:val="00ED50FD"/>
    <w:rsid w:val="00ED5118"/>
    <w:rsid w:val="00ED5277"/>
    <w:rsid w:val="00ED53B5"/>
    <w:rsid w:val="00ED54EA"/>
    <w:rsid w:val="00ED5524"/>
    <w:rsid w:val="00ED5682"/>
    <w:rsid w:val="00ED56A7"/>
    <w:rsid w:val="00ED571E"/>
    <w:rsid w:val="00ED5723"/>
    <w:rsid w:val="00ED5A74"/>
    <w:rsid w:val="00ED612C"/>
    <w:rsid w:val="00ED63AB"/>
    <w:rsid w:val="00ED6853"/>
    <w:rsid w:val="00ED6C18"/>
    <w:rsid w:val="00ED6CAA"/>
    <w:rsid w:val="00ED6E0E"/>
    <w:rsid w:val="00ED6EA4"/>
    <w:rsid w:val="00ED722F"/>
    <w:rsid w:val="00ED73D4"/>
    <w:rsid w:val="00ED76FB"/>
    <w:rsid w:val="00ED79B8"/>
    <w:rsid w:val="00ED7A4A"/>
    <w:rsid w:val="00ED7E53"/>
    <w:rsid w:val="00ED7E92"/>
    <w:rsid w:val="00ED7FE0"/>
    <w:rsid w:val="00EE02EA"/>
    <w:rsid w:val="00EE06C6"/>
    <w:rsid w:val="00EE07F5"/>
    <w:rsid w:val="00EE0922"/>
    <w:rsid w:val="00EE0B64"/>
    <w:rsid w:val="00EE0BA9"/>
    <w:rsid w:val="00EE0CFA"/>
    <w:rsid w:val="00EE0F31"/>
    <w:rsid w:val="00EE108A"/>
    <w:rsid w:val="00EE12C2"/>
    <w:rsid w:val="00EE169C"/>
    <w:rsid w:val="00EE1857"/>
    <w:rsid w:val="00EE1AE4"/>
    <w:rsid w:val="00EE1C13"/>
    <w:rsid w:val="00EE1FF3"/>
    <w:rsid w:val="00EE203E"/>
    <w:rsid w:val="00EE236B"/>
    <w:rsid w:val="00EE2418"/>
    <w:rsid w:val="00EE26DC"/>
    <w:rsid w:val="00EE27A8"/>
    <w:rsid w:val="00EE2912"/>
    <w:rsid w:val="00EE2B0E"/>
    <w:rsid w:val="00EE2CCE"/>
    <w:rsid w:val="00EE2CF4"/>
    <w:rsid w:val="00EE30E1"/>
    <w:rsid w:val="00EE31BC"/>
    <w:rsid w:val="00EE320F"/>
    <w:rsid w:val="00EE36D8"/>
    <w:rsid w:val="00EE3A7E"/>
    <w:rsid w:val="00EE3D12"/>
    <w:rsid w:val="00EE3D1E"/>
    <w:rsid w:val="00EE4304"/>
    <w:rsid w:val="00EE445F"/>
    <w:rsid w:val="00EE4673"/>
    <w:rsid w:val="00EE4C3E"/>
    <w:rsid w:val="00EE50DD"/>
    <w:rsid w:val="00EE54E1"/>
    <w:rsid w:val="00EE54E7"/>
    <w:rsid w:val="00EE5697"/>
    <w:rsid w:val="00EE592F"/>
    <w:rsid w:val="00EE59CF"/>
    <w:rsid w:val="00EE5B58"/>
    <w:rsid w:val="00EE5B82"/>
    <w:rsid w:val="00EE5C87"/>
    <w:rsid w:val="00EE5E06"/>
    <w:rsid w:val="00EE5EC0"/>
    <w:rsid w:val="00EE6008"/>
    <w:rsid w:val="00EE60D0"/>
    <w:rsid w:val="00EE6302"/>
    <w:rsid w:val="00EE653A"/>
    <w:rsid w:val="00EE6675"/>
    <w:rsid w:val="00EE66BB"/>
    <w:rsid w:val="00EE6758"/>
    <w:rsid w:val="00EE68C4"/>
    <w:rsid w:val="00EE6B36"/>
    <w:rsid w:val="00EE6C96"/>
    <w:rsid w:val="00EE6D13"/>
    <w:rsid w:val="00EE6D2D"/>
    <w:rsid w:val="00EE704A"/>
    <w:rsid w:val="00EE706E"/>
    <w:rsid w:val="00EE737D"/>
    <w:rsid w:val="00EE77E5"/>
    <w:rsid w:val="00EE7B6A"/>
    <w:rsid w:val="00EE7CE6"/>
    <w:rsid w:val="00EF0644"/>
    <w:rsid w:val="00EF0B05"/>
    <w:rsid w:val="00EF0B62"/>
    <w:rsid w:val="00EF0B95"/>
    <w:rsid w:val="00EF0C75"/>
    <w:rsid w:val="00EF0D0B"/>
    <w:rsid w:val="00EF1002"/>
    <w:rsid w:val="00EF1009"/>
    <w:rsid w:val="00EF151F"/>
    <w:rsid w:val="00EF182C"/>
    <w:rsid w:val="00EF19DF"/>
    <w:rsid w:val="00EF1D0D"/>
    <w:rsid w:val="00EF1D58"/>
    <w:rsid w:val="00EF1DE6"/>
    <w:rsid w:val="00EF1E5B"/>
    <w:rsid w:val="00EF1F6A"/>
    <w:rsid w:val="00EF27CC"/>
    <w:rsid w:val="00EF2B7C"/>
    <w:rsid w:val="00EF2FFD"/>
    <w:rsid w:val="00EF3053"/>
    <w:rsid w:val="00EF3123"/>
    <w:rsid w:val="00EF3244"/>
    <w:rsid w:val="00EF32FD"/>
    <w:rsid w:val="00EF34A9"/>
    <w:rsid w:val="00EF385E"/>
    <w:rsid w:val="00EF3E36"/>
    <w:rsid w:val="00EF3F60"/>
    <w:rsid w:val="00EF40F2"/>
    <w:rsid w:val="00EF47E6"/>
    <w:rsid w:val="00EF4E88"/>
    <w:rsid w:val="00EF5344"/>
    <w:rsid w:val="00EF549C"/>
    <w:rsid w:val="00EF54F7"/>
    <w:rsid w:val="00EF579C"/>
    <w:rsid w:val="00EF5A5D"/>
    <w:rsid w:val="00EF5E6E"/>
    <w:rsid w:val="00EF6634"/>
    <w:rsid w:val="00EF6979"/>
    <w:rsid w:val="00EF6AD4"/>
    <w:rsid w:val="00EF6B16"/>
    <w:rsid w:val="00EF6B81"/>
    <w:rsid w:val="00EF6D5F"/>
    <w:rsid w:val="00EF6DBB"/>
    <w:rsid w:val="00EF6DFB"/>
    <w:rsid w:val="00EF7547"/>
    <w:rsid w:val="00EF7DDF"/>
    <w:rsid w:val="00EF7F11"/>
    <w:rsid w:val="00EFAAA9"/>
    <w:rsid w:val="00F005DF"/>
    <w:rsid w:val="00F00A08"/>
    <w:rsid w:val="00F00C08"/>
    <w:rsid w:val="00F011B4"/>
    <w:rsid w:val="00F0133B"/>
    <w:rsid w:val="00F01376"/>
    <w:rsid w:val="00F01931"/>
    <w:rsid w:val="00F01BA1"/>
    <w:rsid w:val="00F01C22"/>
    <w:rsid w:val="00F01D14"/>
    <w:rsid w:val="00F01D28"/>
    <w:rsid w:val="00F02054"/>
    <w:rsid w:val="00F020E7"/>
    <w:rsid w:val="00F02144"/>
    <w:rsid w:val="00F02198"/>
    <w:rsid w:val="00F022EA"/>
    <w:rsid w:val="00F025C8"/>
    <w:rsid w:val="00F025CC"/>
    <w:rsid w:val="00F0283A"/>
    <w:rsid w:val="00F0295D"/>
    <w:rsid w:val="00F02A18"/>
    <w:rsid w:val="00F02B31"/>
    <w:rsid w:val="00F02C1D"/>
    <w:rsid w:val="00F02CB0"/>
    <w:rsid w:val="00F03334"/>
    <w:rsid w:val="00F033F0"/>
    <w:rsid w:val="00F0341E"/>
    <w:rsid w:val="00F0351D"/>
    <w:rsid w:val="00F0371F"/>
    <w:rsid w:val="00F038C4"/>
    <w:rsid w:val="00F0395F"/>
    <w:rsid w:val="00F039CE"/>
    <w:rsid w:val="00F03F14"/>
    <w:rsid w:val="00F0413B"/>
    <w:rsid w:val="00F04186"/>
    <w:rsid w:val="00F04485"/>
    <w:rsid w:val="00F045AB"/>
    <w:rsid w:val="00F0478B"/>
    <w:rsid w:val="00F04954"/>
    <w:rsid w:val="00F0497E"/>
    <w:rsid w:val="00F04BA4"/>
    <w:rsid w:val="00F04E8C"/>
    <w:rsid w:val="00F04E9B"/>
    <w:rsid w:val="00F04F7E"/>
    <w:rsid w:val="00F05316"/>
    <w:rsid w:val="00F053C7"/>
    <w:rsid w:val="00F057AA"/>
    <w:rsid w:val="00F05AB6"/>
    <w:rsid w:val="00F05D1E"/>
    <w:rsid w:val="00F05F10"/>
    <w:rsid w:val="00F05F2A"/>
    <w:rsid w:val="00F063EC"/>
    <w:rsid w:val="00F064FF"/>
    <w:rsid w:val="00F0667A"/>
    <w:rsid w:val="00F06939"/>
    <w:rsid w:val="00F06994"/>
    <w:rsid w:val="00F06EDF"/>
    <w:rsid w:val="00F070B3"/>
    <w:rsid w:val="00F074FD"/>
    <w:rsid w:val="00F076FA"/>
    <w:rsid w:val="00F07A88"/>
    <w:rsid w:val="00F07F72"/>
    <w:rsid w:val="00F1003D"/>
    <w:rsid w:val="00F10320"/>
    <w:rsid w:val="00F10ADE"/>
    <w:rsid w:val="00F10C5A"/>
    <w:rsid w:val="00F111AD"/>
    <w:rsid w:val="00F1151D"/>
    <w:rsid w:val="00F115B7"/>
    <w:rsid w:val="00F11C24"/>
    <w:rsid w:val="00F11C69"/>
    <w:rsid w:val="00F11CBC"/>
    <w:rsid w:val="00F12403"/>
    <w:rsid w:val="00F12776"/>
    <w:rsid w:val="00F1279A"/>
    <w:rsid w:val="00F12854"/>
    <w:rsid w:val="00F12864"/>
    <w:rsid w:val="00F129B4"/>
    <w:rsid w:val="00F12B0D"/>
    <w:rsid w:val="00F12ED8"/>
    <w:rsid w:val="00F13070"/>
    <w:rsid w:val="00F135FD"/>
    <w:rsid w:val="00F137BB"/>
    <w:rsid w:val="00F13D93"/>
    <w:rsid w:val="00F13E17"/>
    <w:rsid w:val="00F14468"/>
    <w:rsid w:val="00F14DCA"/>
    <w:rsid w:val="00F14F42"/>
    <w:rsid w:val="00F15096"/>
    <w:rsid w:val="00F153D2"/>
    <w:rsid w:val="00F15538"/>
    <w:rsid w:val="00F15950"/>
    <w:rsid w:val="00F15976"/>
    <w:rsid w:val="00F16109"/>
    <w:rsid w:val="00F16209"/>
    <w:rsid w:val="00F16427"/>
    <w:rsid w:val="00F16955"/>
    <w:rsid w:val="00F16A6C"/>
    <w:rsid w:val="00F16CBC"/>
    <w:rsid w:val="00F1705B"/>
    <w:rsid w:val="00F171FE"/>
    <w:rsid w:val="00F17388"/>
    <w:rsid w:val="00F17887"/>
    <w:rsid w:val="00F17C08"/>
    <w:rsid w:val="00F17E50"/>
    <w:rsid w:val="00F20428"/>
    <w:rsid w:val="00F205D3"/>
    <w:rsid w:val="00F20EB0"/>
    <w:rsid w:val="00F20EF7"/>
    <w:rsid w:val="00F20F9E"/>
    <w:rsid w:val="00F21157"/>
    <w:rsid w:val="00F2121F"/>
    <w:rsid w:val="00F214CE"/>
    <w:rsid w:val="00F21633"/>
    <w:rsid w:val="00F2168B"/>
    <w:rsid w:val="00F216D3"/>
    <w:rsid w:val="00F21772"/>
    <w:rsid w:val="00F21A42"/>
    <w:rsid w:val="00F21B8B"/>
    <w:rsid w:val="00F21DEF"/>
    <w:rsid w:val="00F21F1E"/>
    <w:rsid w:val="00F21F72"/>
    <w:rsid w:val="00F222E7"/>
    <w:rsid w:val="00F2230B"/>
    <w:rsid w:val="00F22344"/>
    <w:rsid w:val="00F22742"/>
    <w:rsid w:val="00F22813"/>
    <w:rsid w:val="00F22A15"/>
    <w:rsid w:val="00F22B9F"/>
    <w:rsid w:val="00F22BA5"/>
    <w:rsid w:val="00F22E80"/>
    <w:rsid w:val="00F22F2F"/>
    <w:rsid w:val="00F22F7B"/>
    <w:rsid w:val="00F231FD"/>
    <w:rsid w:val="00F23564"/>
    <w:rsid w:val="00F23638"/>
    <w:rsid w:val="00F23C51"/>
    <w:rsid w:val="00F23FBA"/>
    <w:rsid w:val="00F24499"/>
    <w:rsid w:val="00F2475D"/>
    <w:rsid w:val="00F24D0B"/>
    <w:rsid w:val="00F24EE0"/>
    <w:rsid w:val="00F25184"/>
    <w:rsid w:val="00F255C1"/>
    <w:rsid w:val="00F25A4C"/>
    <w:rsid w:val="00F25EA8"/>
    <w:rsid w:val="00F25FD7"/>
    <w:rsid w:val="00F26757"/>
    <w:rsid w:val="00F26962"/>
    <w:rsid w:val="00F269E3"/>
    <w:rsid w:val="00F26B3A"/>
    <w:rsid w:val="00F26CF9"/>
    <w:rsid w:val="00F26E59"/>
    <w:rsid w:val="00F2709D"/>
    <w:rsid w:val="00F272BF"/>
    <w:rsid w:val="00F2750A"/>
    <w:rsid w:val="00F2750C"/>
    <w:rsid w:val="00F2771A"/>
    <w:rsid w:val="00F279C1"/>
    <w:rsid w:val="00F27CCD"/>
    <w:rsid w:val="00F30192"/>
    <w:rsid w:val="00F30307"/>
    <w:rsid w:val="00F3038B"/>
    <w:rsid w:val="00F303F6"/>
    <w:rsid w:val="00F309BB"/>
    <w:rsid w:val="00F31048"/>
    <w:rsid w:val="00F31226"/>
    <w:rsid w:val="00F315D0"/>
    <w:rsid w:val="00F31949"/>
    <w:rsid w:val="00F31DD1"/>
    <w:rsid w:val="00F325CA"/>
    <w:rsid w:val="00F326D9"/>
    <w:rsid w:val="00F327EF"/>
    <w:rsid w:val="00F32AA5"/>
    <w:rsid w:val="00F32AC4"/>
    <w:rsid w:val="00F32C67"/>
    <w:rsid w:val="00F32DBA"/>
    <w:rsid w:val="00F32EE9"/>
    <w:rsid w:val="00F3304C"/>
    <w:rsid w:val="00F33306"/>
    <w:rsid w:val="00F339DC"/>
    <w:rsid w:val="00F33ABF"/>
    <w:rsid w:val="00F33C5E"/>
    <w:rsid w:val="00F33C6E"/>
    <w:rsid w:val="00F33E9A"/>
    <w:rsid w:val="00F33F53"/>
    <w:rsid w:val="00F342F0"/>
    <w:rsid w:val="00F34330"/>
    <w:rsid w:val="00F3446D"/>
    <w:rsid w:val="00F346A9"/>
    <w:rsid w:val="00F3470F"/>
    <w:rsid w:val="00F347E7"/>
    <w:rsid w:val="00F34900"/>
    <w:rsid w:val="00F34990"/>
    <w:rsid w:val="00F349C7"/>
    <w:rsid w:val="00F34AD5"/>
    <w:rsid w:val="00F34C5C"/>
    <w:rsid w:val="00F34DFB"/>
    <w:rsid w:val="00F356BF"/>
    <w:rsid w:val="00F35931"/>
    <w:rsid w:val="00F35AA7"/>
    <w:rsid w:val="00F35ED6"/>
    <w:rsid w:val="00F35F28"/>
    <w:rsid w:val="00F360F2"/>
    <w:rsid w:val="00F36141"/>
    <w:rsid w:val="00F36935"/>
    <w:rsid w:val="00F369B7"/>
    <w:rsid w:val="00F36F5B"/>
    <w:rsid w:val="00F372F8"/>
    <w:rsid w:val="00F375F2"/>
    <w:rsid w:val="00F37CB1"/>
    <w:rsid w:val="00F37D80"/>
    <w:rsid w:val="00F37DC7"/>
    <w:rsid w:val="00F40062"/>
    <w:rsid w:val="00F40171"/>
    <w:rsid w:val="00F404C8"/>
    <w:rsid w:val="00F4065A"/>
    <w:rsid w:val="00F40771"/>
    <w:rsid w:val="00F41070"/>
    <w:rsid w:val="00F41120"/>
    <w:rsid w:val="00F414C2"/>
    <w:rsid w:val="00F417EF"/>
    <w:rsid w:val="00F417F9"/>
    <w:rsid w:val="00F41CFA"/>
    <w:rsid w:val="00F41E59"/>
    <w:rsid w:val="00F422A6"/>
    <w:rsid w:val="00F42498"/>
    <w:rsid w:val="00F42713"/>
    <w:rsid w:val="00F427A8"/>
    <w:rsid w:val="00F42892"/>
    <w:rsid w:val="00F428C7"/>
    <w:rsid w:val="00F4298E"/>
    <w:rsid w:val="00F42D1B"/>
    <w:rsid w:val="00F4309C"/>
    <w:rsid w:val="00F433D4"/>
    <w:rsid w:val="00F43520"/>
    <w:rsid w:val="00F43C62"/>
    <w:rsid w:val="00F43E56"/>
    <w:rsid w:val="00F4455C"/>
    <w:rsid w:val="00F44652"/>
    <w:rsid w:val="00F4469E"/>
    <w:rsid w:val="00F44794"/>
    <w:rsid w:val="00F44A11"/>
    <w:rsid w:val="00F44A7F"/>
    <w:rsid w:val="00F44C5E"/>
    <w:rsid w:val="00F44D77"/>
    <w:rsid w:val="00F44F67"/>
    <w:rsid w:val="00F45386"/>
    <w:rsid w:val="00F453B4"/>
    <w:rsid w:val="00F45437"/>
    <w:rsid w:val="00F454B1"/>
    <w:rsid w:val="00F4594E"/>
    <w:rsid w:val="00F45D46"/>
    <w:rsid w:val="00F45F42"/>
    <w:rsid w:val="00F46094"/>
    <w:rsid w:val="00F4611E"/>
    <w:rsid w:val="00F4658E"/>
    <w:rsid w:val="00F46938"/>
    <w:rsid w:val="00F46D74"/>
    <w:rsid w:val="00F47027"/>
    <w:rsid w:val="00F47199"/>
    <w:rsid w:val="00F47382"/>
    <w:rsid w:val="00F4791A"/>
    <w:rsid w:val="00F47CE8"/>
    <w:rsid w:val="00F47E10"/>
    <w:rsid w:val="00F47E76"/>
    <w:rsid w:val="00F50147"/>
    <w:rsid w:val="00F502D4"/>
    <w:rsid w:val="00F50A0A"/>
    <w:rsid w:val="00F50A16"/>
    <w:rsid w:val="00F50B58"/>
    <w:rsid w:val="00F50C41"/>
    <w:rsid w:val="00F50D43"/>
    <w:rsid w:val="00F510E2"/>
    <w:rsid w:val="00F514A1"/>
    <w:rsid w:val="00F514F2"/>
    <w:rsid w:val="00F51643"/>
    <w:rsid w:val="00F51662"/>
    <w:rsid w:val="00F51AA9"/>
    <w:rsid w:val="00F51ACD"/>
    <w:rsid w:val="00F51BD5"/>
    <w:rsid w:val="00F51C4C"/>
    <w:rsid w:val="00F52001"/>
    <w:rsid w:val="00F520E5"/>
    <w:rsid w:val="00F5210E"/>
    <w:rsid w:val="00F522AF"/>
    <w:rsid w:val="00F523C3"/>
    <w:rsid w:val="00F5257B"/>
    <w:rsid w:val="00F525B6"/>
    <w:rsid w:val="00F5289F"/>
    <w:rsid w:val="00F52993"/>
    <w:rsid w:val="00F52A59"/>
    <w:rsid w:val="00F52B49"/>
    <w:rsid w:val="00F52D13"/>
    <w:rsid w:val="00F52F71"/>
    <w:rsid w:val="00F53161"/>
    <w:rsid w:val="00F531FA"/>
    <w:rsid w:val="00F53338"/>
    <w:rsid w:val="00F539D0"/>
    <w:rsid w:val="00F540AD"/>
    <w:rsid w:val="00F540C7"/>
    <w:rsid w:val="00F542AE"/>
    <w:rsid w:val="00F545DD"/>
    <w:rsid w:val="00F549C7"/>
    <w:rsid w:val="00F54A1F"/>
    <w:rsid w:val="00F54A62"/>
    <w:rsid w:val="00F54B67"/>
    <w:rsid w:val="00F54CDE"/>
    <w:rsid w:val="00F54E40"/>
    <w:rsid w:val="00F54F8A"/>
    <w:rsid w:val="00F55325"/>
    <w:rsid w:val="00F55477"/>
    <w:rsid w:val="00F5548E"/>
    <w:rsid w:val="00F556A0"/>
    <w:rsid w:val="00F5595B"/>
    <w:rsid w:val="00F55BB8"/>
    <w:rsid w:val="00F55C93"/>
    <w:rsid w:val="00F565A3"/>
    <w:rsid w:val="00F565B3"/>
    <w:rsid w:val="00F56915"/>
    <w:rsid w:val="00F56978"/>
    <w:rsid w:val="00F56A6F"/>
    <w:rsid w:val="00F56AB2"/>
    <w:rsid w:val="00F5701D"/>
    <w:rsid w:val="00F57500"/>
    <w:rsid w:val="00F577BB"/>
    <w:rsid w:val="00F57853"/>
    <w:rsid w:val="00F57895"/>
    <w:rsid w:val="00F57A54"/>
    <w:rsid w:val="00F57D82"/>
    <w:rsid w:val="00F601F6"/>
    <w:rsid w:val="00F60350"/>
    <w:rsid w:val="00F607D3"/>
    <w:rsid w:val="00F60806"/>
    <w:rsid w:val="00F60887"/>
    <w:rsid w:val="00F60D64"/>
    <w:rsid w:val="00F60F93"/>
    <w:rsid w:val="00F61073"/>
    <w:rsid w:val="00F6108C"/>
    <w:rsid w:val="00F6109F"/>
    <w:rsid w:val="00F610B9"/>
    <w:rsid w:val="00F6123B"/>
    <w:rsid w:val="00F61860"/>
    <w:rsid w:val="00F61C26"/>
    <w:rsid w:val="00F61E4E"/>
    <w:rsid w:val="00F62085"/>
    <w:rsid w:val="00F62163"/>
    <w:rsid w:val="00F623A7"/>
    <w:rsid w:val="00F6272C"/>
    <w:rsid w:val="00F629CE"/>
    <w:rsid w:val="00F62C8B"/>
    <w:rsid w:val="00F6345B"/>
    <w:rsid w:val="00F63523"/>
    <w:rsid w:val="00F63611"/>
    <w:rsid w:val="00F63645"/>
    <w:rsid w:val="00F636CC"/>
    <w:rsid w:val="00F63959"/>
    <w:rsid w:val="00F63B97"/>
    <w:rsid w:val="00F63C13"/>
    <w:rsid w:val="00F63CC6"/>
    <w:rsid w:val="00F63F86"/>
    <w:rsid w:val="00F64130"/>
    <w:rsid w:val="00F6416E"/>
    <w:rsid w:val="00F6417B"/>
    <w:rsid w:val="00F642DA"/>
    <w:rsid w:val="00F6475B"/>
    <w:rsid w:val="00F64807"/>
    <w:rsid w:val="00F64D64"/>
    <w:rsid w:val="00F64E41"/>
    <w:rsid w:val="00F6513F"/>
    <w:rsid w:val="00F651ED"/>
    <w:rsid w:val="00F65384"/>
    <w:rsid w:val="00F655A2"/>
    <w:rsid w:val="00F65C37"/>
    <w:rsid w:val="00F65C38"/>
    <w:rsid w:val="00F65EDD"/>
    <w:rsid w:val="00F66028"/>
    <w:rsid w:val="00F661EE"/>
    <w:rsid w:val="00F6651B"/>
    <w:rsid w:val="00F66538"/>
    <w:rsid w:val="00F6709B"/>
    <w:rsid w:val="00F671B6"/>
    <w:rsid w:val="00F672DF"/>
    <w:rsid w:val="00F674A2"/>
    <w:rsid w:val="00F67797"/>
    <w:rsid w:val="00F677FF"/>
    <w:rsid w:val="00F67869"/>
    <w:rsid w:val="00F67ACF"/>
    <w:rsid w:val="00F703B0"/>
    <w:rsid w:val="00F704FF"/>
    <w:rsid w:val="00F70780"/>
    <w:rsid w:val="00F707F6"/>
    <w:rsid w:val="00F70ECC"/>
    <w:rsid w:val="00F713D7"/>
    <w:rsid w:val="00F713F5"/>
    <w:rsid w:val="00F714E2"/>
    <w:rsid w:val="00F7182B"/>
    <w:rsid w:val="00F71947"/>
    <w:rsid w:val="00F719B4"/>
    <w:rsid w:val="00F71A42"/>
    <w:rsid w:val="00F71DF2"/>
    <w:rsid w:val="00F71F63"/>
    <w:rsid w:val="00F720B2"/>
    <w:rsid w:val="00F72432"/>
    <w:rsid w:val="00F7255B"/>
    <w:rsid w:val="00F725FA"/>
    <w:rsid w:val="00F7269A"/>
    <w:rsid w:val="00F72786"/>
    <w:rsid w:val="00F72AD5"/>
    <w:rsid w:val="00F72D96"/>
    <w:rsid w:val="00F72E3D"/>
    <w:rsid w:val="00F72F3D"/>
    <w:rsid w:val="00F73053"/>
    <w:rsid w:val="00F73089"/>
    <w:rsid w:val="00F73863"/>
    <w:rsid w:val="00F73951"/>
    <w:rsid w:val="00F73A53"/>
    <w:rsid w:val="00F73C00"/>
    <w:rsid w:val="00F73D86"/>
    <w:rsid w:val="00F73D8D"/>
    <w:rsid w:val="00F73EB8"/>
    <w:rsid w:val="00F7438F"/>
    <w:rsid w:val="00F744E2"/>
    <w:rsid w:val="00F749BD"/>
    <w:rsid w:val="00F74D1D"/>
    <w:rsid w:val="00F74E81"/>
    <w:rsid w:val="00F75846"/>
    <w:rsid w:val="00F758D4"/>
    <w:rsid w:val="00F75D70"/>
    <w:rsid w:val="00F75E42"/>
    <w:rsid w:val="00F76110"/>
    <w:rsid w:val="00F76ABD"/>
    <w:rsid w:val="00F77251"/>
    <w:rsid w:val="00F773CD"/>
    <w:rsid w:val="00F777EE"/>
    <w:rsid w:val="00F77975"/>
    <w:rsid w:val="00F77D46"/>
    <w:rsid w:val="00F77D73"/>
    <w:rsid w:val="00F77D7E"/>
    <w:rsid w:val="00F77F32"/>
    <w:rsid w:val="00F806C9"/>
    <w:rsid w:val="00F80820"/>
    <w:rsid w:val="00F80833"/>
    <w:rsid w:val="00F809A1"/>
    <w:rsid w:val="00F80AFD"/>
    <w:rsid w:val="00F80EAE"/>
    <w:rsid w:val="00F811F7"/>
    <w:rsid w:val="00F81261"/>
    <w:rsid w:val="00F81265"/>
    <w:rsid w:val="00F8150A"/>
    <w:rsid w:val="00F81786"/>
    <w:rsid w:val="00F81E1B"/>
    <w:rsid w:val="00F81EA1"/>
    <w:rsid w:val="00F8227A"/>
    <w:rsid w:val="00F82280"/>
    <w:rsid w:val="00F823DD"/>
    <w:rsid w:val="00F827AA"/>
    <w:rsid w:val="00F82A1D"/>
    <w:rsid w:val="00F82C9E"/>
    <w:rsid w:val="00F82EA0"/>
    <w:rsid w:val="00F82EA9"/>
    <w:rsid w:val="00F82F43"/>
    <w:rsid w:val="00F8322C"/>
    <w:rsid w:val="00F833AB"/>
    <w:rsid w:val="00F8372C"/>
    <w:rsid w:val="00F83808"/>
    <w:rsid w:val="00F83834"/>
    <w:rsid w:val="00F83884"/>
    <w:rsid w:val="00F839CC"/>
    <w:rsid w:val="00F83A09"/>
    <w:rsid w:val="00F83BA5"/>
    <w:rsid w:val="00F83C68"/>
    <w:rsid w:val="00F83C74"/>
    <w:rsid w:val="00F8400B"/>
    <w:rsid w:val="00F84061"/>
    <w:rsid w:val="00F84465"/>
    <w:rsid w:val="00F8448C"/>
    <w:rsid w:val="00F84615"/>
    <w:rsid w:val="00F84A81"/>
    <w:rsid w:val="00F84A9A"/>
    <w:rsid w:val="00F850BE"/>
    <w:rsid w:val="00F851C6"/>
    <w:rsid w:val="00F857B9"/>
    <w:rsid w:val="00F85911"/>
    <w:rsid w:val="00F85AFB"/>
    <w:rsid w:val="00F85B51"/>
    <w:rsid w:val="00F85D7D"/>
    <w:rsid w:val="00F85DD0"/>
    <w:rsid w:val="00F86210"/>
    <w:rsid w:val="00F864F0"/>
    <w:rsid w:val="00F86B5A"/>
    <w:rsid w:val="00F86DE9"/>
    <w:rsid w:val="00F86F3F"/>
    <w:rsid w:val="00F86F9B"/>
    <w:rsid w:val="00F87097"/>
    <w:rsid w:val="00F87A4C"/>
    <w:rsid w:val="00F87E04"/>
    <w:rsid w:val="00F87F6D"/>
    <w:rsid w:val="00F87F82"/>
    <w:rsid w:val="00F902BC"/>
    <w:rsid w:val="00F90726"/>
    <w:rsid w:val="00F907B7"/>
    <w:rsid w:val="00F90B47"/>
    <w:rsid w:val="00F90CC4"/>
    <w:rsid w:val="00F90EA8"/>
    <w:rsid w:val="00F9103E"/>
    <w:rsid w:val="00F914ED"/>
    <w:rsid w:val="00F91626"/>
    <w:rsid w:val="00F9164B"/>
    <w:rsid w:val="00F91AE6"/>
    <w:rsid w:val="00F92711"/>
    <w:rsid w:val="00F928BF"/>
    <w:rsid w:val="00F92D69"/>
    <w:rsid w:val="00F93413"/>
    <w:rsid w:val="00F93414"/>
    <w:rsid w:val="00F9360D"/>
    <w:rsid w:val="00F93DE0"/>
    <w:rsid w:val="00F9400D"/>
    <w:rsid w:val="00F944EF"/>
    <w:rsid w:val="00F948CC"/>
    <w:rsid w:val="00F949E3"/>
    <w:rsid w:val="00F94B69"/>
    <w:rsid w:val="00F94BBE"/>
    <w:rsid w:val="00F94BCD"/>
    <w:rsid w:val="00F94C8A"/>
    <w:rsid w:val="00F95152"/>
    <w:rsid w:val="00F95285"/>
    <w:rsid w:val="00F957AA"/>
    <w:rsid w:val="00F9589E"/>
    <w:rsid w:val="00F959F7"/>
    <w:rsid w:val="00F95E25"/>
    <w:rsid w:val="00F96185"/>
    <w:rsid w:val="00F96392"/>
    <w:rsid w:val="00F96439"/>
    <w:rsid w:val="00F966D0"/>
    <w:rsid w:val="00F96CDE"/>
    <w:rsid w:val="00F9718D"/>
    <w:rsid w:val="00F97373"/>
    <w:rsid w:val="00F975C7"/>
    <w:rsid w:val="00F97603"/>
    <w:rsid w:val="00F97676"/>
    <w:rsid w:val="00F979A9"/>
    <w:rsid w:val="00F979DF"/>
    <w:rsid w:val="00F97F66"/>
    <w:rsid w:val="00FA03AC"/>
    <w:rsid w:val="00FA0E68"/>
    <w:rsid w:val="00FA0ED0"/>
    <w:rsid w:val="00FA0F90"/>
    <w:rsid w:val="00FA100A"/>
    <w:rsid w:val="00FA1407"/>
    <w:rsid w:val="00FA18A3"/>
    <w:rsid w:val="00FA1969"/>
    <w:rsid w:val="00FA1BA3"/>
    <w:rsid w:val="00FA1C51"/>
    <w:rsid w:val="00FA1CB1"/>
    <w:rsid w:val="00FA1D97"/>
    <w:rsid w:val="00FA219F"/>
    <w:rsid w:val="00FA2559"/>
    <w:rsid w:val="00FA294E"/>
    <w:rsid w:val="00FA2E84"/>
    <w:rsid w:val="00FA37B5"/>
    <w:rsid w:val="00FA38A6"/>
    <w:rsid w:val="00FA38D1"/>
    <w:rsid w:val="00FA3D43"/>
    <w:rsid w:val="00FA3DFB"/>
    <w:rsid w:val="00FA40D8"/>
    <w:rsid w:val="00FA453F"/>
    <w:rsid w:val="00FA459E"/>
    <w:rsid w:val="00FA4650"/>
    <w:rsid w:val="00FA4DFF"/>
    <w:rsid w:val="00FA5096"/>
    <w:rsid w:val="00FA5634"/>
    <w:rsid w:val="00FA56F6"/>
    <w:rsid w:val="00FA5AB2"/>
    <w:rsid w:val="00FA5CBC"/>
    <w:rsid w:val="00FA5E32"/>
    <w:rsid w:val="00FA6288"/>
    <w:rsid w:val="00FA63F7"/>
    <w:rsid w:val="00FA67B5"/>
    <w:rsid w:val="00FA6957"/>
    <w:rsid w:val="00FA6B1C"/>
    <w:rsid w:val="00FA6F7F"/>
    <w:rsid w:val="00FA7451"/>
    <w:rsid w:val="00FA775F"/>
    <w:rsid w:val="00FA7BE3"/>
    <w:rsid w:val="00FA7C18"/>
    <w:rsid w:val="00FB01A9"/>
    <w:rsid w:val="00FB0298"/>
    <w:rsid w:val="00FB031A"/>
    <w:rsid w:val="00FB0344"/>
    <w:rsid w:val="00FB05B5"/>
    <w:rsid w:val="00FB06E1"/>
    <w:rsid w:val="00FB0A09"/>
    <w:rsid w:val="00FB0BEC"/>
    <w:rsid w:val="00FB0C8D"/>
    <w:rsid w:val="00FB13FE"/>
    <w:rsid w:val="00FB1438"/>
    <w:rsid w:val="00FB1758"/>
    <w:rsid w:val="00FB1923"/>
    <w:rsid w:val="00FB194A"/>
    <w:rsid w:val="00FB2039"/>
    <w:rsid w:val="00FB2341"/>
    <w:rsid w:val="00FB284C"/>
    <w:rsid w:val="00FB2B00"/>
    <w:rsid w:val="00FB3135"/>
    <w:rsid w:val="00FB3362"/>
    <w:rsid w:val="00FB3464"/>
    <w:rsid w:val="00FB3647"/>
    <w:rsid w:val="00FB3650"/>
    <w:rsid w:val="00FB3845"/>
    <w:rsid w:val="00FB3A99"/>
    <w:rsid w:val="00FB3C24"/>
    <w:rsid w:val="00FB3EAA"/>
    <w:rsid w:val="00FB3F89"/>
    <w:rsid w:val="00FB404E"/>
    <w:rsid w:val="00FB4374"/>
    <w:rsid w:val="00FB43FF"/>
    <w:rsid w:val="00FB4444"/>
    <w:rsid w:val="00FB4675"/>
    <w:rsid w:val="00FB46EE"/>
    <w:rsid w:val="00FB4716"/>
    <w:rsid w:val="00FB4A13"/>
    <w:rsid w:val="00FB4FC0"/>
    <w:rsid w:val="00FB5250"/>
    <w:rsid w:val="00FB5326"/>
    <w:rsid w:val="00FB564D"/>
    <w:rsid w:val="00FB577B"/>
    <w:rsid w:val="00FB589E"/>
    <w:rsid w:val="00FB5905"/>
    <w:rsid w:val="00FB5C24"/>
    <w:rsid w:val="00FB5D34"/>
    <w:rsid w:val="00FB608B"/>
    <w:rsid w:val="00FB61DF"/>
    <w:rsid w:val="00FB631C"/>
    <w:rsid w:val="00FB64DE"/>
    <w:rsid w:val="00FB66D5"/>
    <w:rsid w:val="00FB679A"/>
    <w:rsid w:val="00FB6847"/>
    <w:rsid w:val="00FB6892"/>
    <w:rsid w:val="00FB6E7A"/>
    <w:rsid w:val="00FB72B4"/>
    <w:rsid w:val="00FB74D6"/>
    <w:rsid w:val="00FB7512"/>
    <w:rsid w:val="00FB7C8B"/>
    <w:rsid w:val="00FC011C"/>
    <w:rsid w:val="00FC02B2"/>
    <w:rsid w:val="00FC02CD"/>
    <w:rsid w:val="00FC03E8"/>
    <w:rsid w:val="00FC040B"/>
    <w:rsid w:val="00FC071A"/>
    <w:rsid w:val="00FC0965"/>
    <w:rsid w:val="00FC0B1D"/>
    <w:rsid w:val="00FC0B78"/>
    <w:rsid w:val="00FC13ED"/>
    <w:rsid w:val="00FC1764"/>
    <w:rsid w:val="00FC186B"/>
    <w:rsid w:val="00FC18CE"/>
    <w:rsid w:val="00FC1972"/>
    <w:rsid w:val="00FC19EF"/>
    <w:rsid w:val="00FC1D86"/>
    <w:rsid w:val="00FC2146"/>
    <w:rsid w:val="00FC2161"/>
    <w:rsid w:val="00FC21EC"/>
    <w:rsid w:val="00FC23BC"/>
    <w:rsid w:val="00FC25F4"/>
    <w:rsid w:val="00FC2AF2"/>
    <w:rsid w:val="00FC2C16"/>
    <w:rsid w:val="00FC2C67"/>
    <w:rsid w:val="00FC2CEE"/>
    <w:rsid w:val="00FC2E3B"/>
    <w:rsid w:val="00FC3028"/>
    <w:rsid w:val="00FC30FE"/>
    <w:rsid w:val="00FC32A7"/>
    <w:rsid w:val="00FC3307"/>
    <w:rsid w:val="00FC3B8C"/>
    <w:rsid w:val="00FC4594"/>
    <w:rsid w:val="00FC46E5"/>
    <w:rsid w:val="00FC4793"/>
    <w:rsid w:val="00FC4916"/>
    <w:rsid w:val="00FC4D7F"/>
    <w:rsid w:val="00FC518C"/>
    <w:rsid w:val="00FC52EF"/>
    <w:rsid w:val="00FC5636"/>
    <w:rsid w:val="00FC57EB"/>
    <w:rsid w:val="00FC5866"/>
    <w:rsid w:val="00FC59AF"/>
    <w:rsid w:val="00FC5B6D"/>
    <w:rsid w:val="00FC5D6F"/>
    <w:rsid w:val="00FC63BE"/>
    <w:rsid w:val="00FC64EF"/>
    <w:rsid w:val="00FC66F7"/>
    <w:rsid w:val="00FC6851"/>
    <w:rsid w:val="00FC686D"/>
    <w:rsid w:val="00FC6A0E"/>
    <w:rsid w:val="00FC6D93"/>
    <w:rsid w:val="00FC6D95"/>
    <w:rsid w:val="00FC6E36"/>
    <w:rsid w:val="00FC6F7A"/>
    <w:rsid w:val="00FC7120"/>
    <w:rsid w:val="00FC71C9"/>
    <w:rsid w:val="00FC74AE"/>
    <w:rsid w:val="00FC74E3"/>
    <w:rsid w:val="00FC7681"/>
    <w:rsid w:val="00FC7823"/>
    <w:rsid w:val="00FC7B39"/>
    <w:rsid w:val="00FC7CD0"/>
    <w:rsid w:val="00FC7E13"/>
    <w:rsid w:val="00FD00F1"/>
    <w:rsid w:val="00FD0323"/>
    <w:rsid w:val="00FD037C"/>
    <w:rsid w:val="00FD076A"/>
    <w:rsid w:val="00FD078C"/>
    <w:rsid w:val="00FD09CD"/>
    <w:rsid w:val="00FD09FA"/>
    <w:rsid w:val="00FD0E8A"/>
    <w:rsid w:val="00FD125F"/>
    <w:rsid w:val="00FD1371"/>
    <w:rsid w:val="00FD140D"/>
    <w:rsid w:val="00FD1893"/>
    <w:rsid w:val="00FD1AAC"/>
    <w:rsid w:val="00FD1BE1"/>
    <w:rsid w:val="00FD2368"/>
    <w:rsid w:val="00FD23E5"/>
    <w:rsid w:val="00FD2483"/>
    <w:rsid w:val="00FD26A0"/>
    <w:rsid w:val="00FD2F93"/>
    <w:rsid w:val="00FD30C9"/>
    <w:rsid w:val="00FD33D1"/>
    <w:rsid w:val="00FD38C1"/>
    <w:rsid w:val="00FD38FA"/>
    <w:rsid w:val="00FD41DC"/>
    <w:rsid w:val="00FD4C33"/>
    <w:rsid w:val="00FD52D8"/>
    <w:rsid w:val="00FD599D"/>
    <w:rsid w:val="00FD5D88"/>
    <w:rsid w:val="00FD628D"/>
    <w:rsid w:val="00FD764F"/>
    <w:rsid w:val="00FD778B"/>
    <w:rsid w:val="00FD77DE"/>
    <w:rsid w:val="00FD7898"/>
    <w:rsid w:val="00FD789A"/>
    <w:rsid w:val="00FD78A9"/>
    <w:rsid w:val="00FE01C5"/>
    <w:rsid w:val="00FE07ED"/>
    <w:rsid w:val="00FE0A5C"/>
    <w:rsid w:val="00FE0B76"/>
    <w:rsid w:val="00FE0E5A"/>
    <w:rsid w:val="00FE0E95"/>
    <w:rsid w:val="00FE1315"/>
    <w:rsid w:val="00FE1637"/>
    <w:rsid w:val="00FE164C"/>
    <w:rsid w:val="00FE1B12"/>
    <w:rsid w:val="00FE1C4A"/>
    <w:rsid w:val="00FE1CA9"/>
    <w:rsid w:val="00FE1DCB"/>
    <w:rsid w:val="00FE2345"/>
    <w:rsid w:val="00FE24BF"/>
    <w:rsid w:val="00FE25D4"/>
    <w:rsid w:val="00FE2623"/>
    <w:rsid w:val="00FE26A3"/>
    <w:rsid w:val="00FE2870"/>
    <w:rsid w:val="00FE288F"/>
    <w:rsid w:val="00FE2CB1"/>
    <w:rsid w:val="00FE2CD5"/>
    <w:rsid w:val="00FE2DED"/>
    <w:rsid w:val="00FE2F7D"/>
    <w:rsid w:val="00FE319A"/>
    <w:rsid w:val="00FE31FB"/>
    <w:rsid w:val="00FE361A"/>
    <w:rsid w:val="00FE3703"/>
    <w:rsid w:val="00FE391A"/>
    <w:rsid w:val="00FE39A4"/>
    <w:rsid w:val="00FE3A17"/>
    <w:rsid w:val="00FE3C97"/>
    <w:rsid w:val="00FE429E"/>
    <w:rsid w:val="00FE4638"/>
    <w:rsid w:val="00FE4782"/>
    <w:rsid w:val="00FE4B0D"/>
    <w:rsid w:val="00FE4C73"/>
    <w:rsid w:val="00FE4DD5"/>
    <w:rsid w:val="00FE5758"/>
    <w:rsid w:val="00FE5BB4"/>
    <w:rsid w:val="00FE5C78"/>
    <w:rsid w:val="00FE5FC9"/>
    <w:rsid w:val="00FE616F"/>
    <w:rsid w:val="00FE630B"/>
    <w:rsid w:val="00FE653E"/>
    <w:rsid w:val="00FE68D4"/>
    <w:rsid w:val="00FE6BEC"/>
    <w:rsid w:val="00FE6C19"/>
    <w:rsid w:val="00FE6CB7"/>
    <w:rsid w:val="00FE6DDD"/>
    <w:rsid w:val="00FE6E1D"/>
    <w:rsid w:val="00FE6F72"/>
    <w:rsid w:val="00FE7211"/>
    <w:rsid w:val="00FE738F"/>
    <w:rsid w:val="00FE73C4"/>
    <w:rsid w:val="00FE776F"/>
    <w:rsid w:val="00FE7967"/>
    <w:rsid w:val="00FE7FB3"/>
    <w:rsid w:val="00FF0195"/>
    <w:rsid w:val="00FF03FD"/>
    <w:rsid w:val="00FF0429"/>
    <w:rsid w:val="00FF04FA"/>
    <w:rsid w:val="00FF05C5"/>
    <w:rsid w:val="00FF0BAF"/>
    <w:rsid w:val="00FF0CD9"/>
    <w:rsid w:val="00FF0E16"/>
    <w:rsid w:val="00FF10F8"/>
    <w:rsid w:val="00FF111E"/>
    <w:rsid w:val="00FF142F"/>
    <w:rsid w:val="00FF1573"/>
    <w:rsid w:val="00FF161B"/>
    <w:rsid w:val="00FF179A"/>
    <w:rsid w:val="00FF1A2B"/>
    <w:rsid w:val="00FF1B30"/>
    <w:rsid w:val="00FF1D43"/>
    <w:rsid w:val="00FF1DF8"/>
    <w:rsid w:val="00FF1E1A"/>
    <w:rsid w:val="00FF1F94"/>
    <w:rsid w:val="00FF2133"/>
    <w:rsid w:val="00FF21C4"/>
    <w:rsid w:val="00FF26C6"/>
    <w:rsid w:val="00FF2892"/>
    <w:rsid w:val="00FF2CE3"/>
    <w:rsid w:val="00FF2D7D"/>
    <w:rsid w:val="00FF2EF4"/>
    <w:rsid w:val="00FF34C8"/>
    <w:rsid w:val="00FF381C"/>
    <w:rsid w:val="00FF3855"/>
    <w:rsid w:val="00FF398F"/>
    <w:rsid w:val="00FF39B6"/>
    <w:rsid w:val="00FF3A81"/>
    <w:rsid w:val="00FF3C19"/>
    <w:rsid w:val="00FF3CFC"/>
    <w:rsid w:val="00FF3F43"/>
    <w:rsid w:val="00FF4039"/>
    <w:rsid w:val="00FF41F3"/>
    <w:rsid w:val="00FF4312"/>
    <w:rsid w:val="00FF465C"/>
    <w:rsid w:val="00FF493C"/>
    <w:rsid w:val="00FF4C91"/>
    <w:rsid w:val="00FF52A1"/>
    <w:rsid w:val="00FF59FA"/>
    <w:rsid w:val="00FF5F4E"/>
    <w:rsid w:val="00FF5FD8"/>
    <w:rsid w:val="00FF6174"/>
    <w:rsid w:val="00FF6438"/>
    <w:rsid w:val="00FF653C"/>
    <w:rsid w:val="00FF6688"/>
    <w:rsid w:val="00FF671C"/>
    <w:rsid w:val="00FF6FA2"/>
    <w:rsid w:val="00FF70E2"/>
    <w:rsid w:val="00FF717C"/>
    <w:rsid w:val="00FF7676"/>
    <w:rsid w:val="00FF7694"/>
    <w:rsid w:val="00FF76A0"/>
    <w:rsid w:val="00FF7757"/>
    <w:rsid w:val="00FF775A"/>
    <w:rsid w:val="00FF77E4"/>
    <w:rsid w:val="00FF79AA"/>
    <w:rsid w:val="00FF7B51"/>
    <w:rsid w:val="00FF7FE1"/>
    <w:rsid w:val="010E7243"/>
    <w:rsid w:val="0136135C"/>
    <w:rsid w:val="013BA1B4"/>
    <w:rsid w:val="01554875"/>
    <w:rsid w:val="016BEEF2"/>
    <w:rsid w:val="016C9ABF"/>
    <w:rsid w:val="01810BF7"/>
    <w:rsid w:val="01833E84"/>
    <w:rsid w:val="01A28B85"/>
    <w:rsid w:val="01B9DDB7"/>
    <w:rsid w:val="01C4003D"/>
    <w:rsid w:val="01C4A4AB"/>
    <w:rsid w:val="01C85A4A"/>
    <w:rsid w:val="01F577C3"/>
    <w:rsid w:val="01FCF951"/>
    <w:rsid w:val="02002BCE"/>
    <w:rsid w:val="020213EC"/>
    <w:rsid w:val="0210FBED"/>
    <w:rsid w:val="02189A11"/>
    <w:rsid w:val="023BE534"/>
    <w:rsid w:val="023D8E35"/>
    <w:rsid w:val="025319C4"/>
    <w:rsid w:val="025CDC50"/>
    <w:rsid w:val="0264CB4E"/>
    <w:rsid w:val="0279375E"/>
    <w:rsid w:val="027C479B"/>
    <w:rsid w:val="02A35430"/>
    <w:rsid w:val="02A87145"/>
    <w:rsid w:val="02AB7787"/>
    <w:rsid w:val="02ED0D1C"/>
    <w:rsid w:val="0304621B"/>
    <w:rsid w:val="0307B6D5"/>
    <w:rsid w:val="030B47E6"/>
    <w:rsid w:val="0329D259"/>
    <w:rsid w:val="032BC112"/>
    <w:rsid w:val="032F41E5"/>
    <w:rsid w:val="03489E5A"/>
    <w:rsid w:val="03750C78"/>
    <w:rsid w:val="037D0390"/>
    <w:rsid w:val="03803E93"/>
    <w:rsid w:val="0380F756"/>
    <w:rsid w:val="039B0544"/>
    <w:rsid w:val="03BAC616"/>
    <w:rsid w:val="03C3BE4A"/>
    <w:rsid w:val="03CF99A1"/>
    <w:rsid w:val="03DEB90D"/>
    <w:rsid w:val="03F5B77B"/>
    <w:rsid w:val="04001FF7"/>
    <w:rsid w:val="041067DF"/>
    <w:rsid w:val="042D50A0"/>
    <w:rsid w:val="042DE91C"/>
    <w:rsid w:val="0452AA35"/>
    <w:rsid w:val="04788314"/>
    <w:rsid w:val="0497F8D8"/>
    <w:rsid w:val="04A8785C"/>
    <w:rsid w:val="04ACC15C"/>
    <w:rsid w:val="04ACFD73"/>
    <w:rsid w:val="04B40C42"/>
    <w:rsid w:val="04BA6FB5"/>
    <w:rsid w:val="04CAAF76"/>
    <w:rsid w:val="04EAA9E7"/>
    <w:rsid w:val="04FACE81"/>
    <w:rsid w:val="0500511B"/>
    <w:rsid w:val="050DF715"/>
    <w:rsid w:val="05183DA0"/>
    <w:rsid w:val="0528EC6B"/>
    <w:rsid w:val="0537985A"/>
    <w:rsid w:val="05406331"/>
    <w:rsid w:val="05452242"/>
    <w:rsid w:val="05489327"/>
    <w:rsid w:val="0561C0BE"/>
    <w:rsid w:val="056492D9"/>
    <w:rsid w:val="0568D791"/>
    <w:rsid w:val="056DFC2C"/>
    <w:rsid w:val="05878870"/>
    <w:rsid w:val="059E6B75"/>
    <w:rsid w:val="059EA02F"/>
    <w:rsid w:val="05BE9FA8"/>
    <w:rsid w:val="05C56C9D"/>
    <w:rsid w:val="05C5941D"/>
    <w:rsid w:val="05C74F91"/>
    <w:rsid w:val="05CDA569"/>
    <w:rsid w:val="05D501B9"/>
    <w:rsid w:val="05DAC3B3"/>
    <w:rsid w:val="05DB2499"/>
    <w:rsid w:val="05FD0D31"/>
    <w:rsid w:val="060B036D"/>
    <w:rsid w:val="0623E877"/>
    <w:rsid w:val="062F8820"/>
    <w:rsid w:val="06454C81"/>
    <w:rsid w:val="0646B6AB"/>
    <w:rsid w:val="06484CAE"/>
    <w:rsid w:val="065C69B2"/>
    <w:rsid w:val="06715574"/>
    <w:rsid w:val="06726F91"/>
    <w:rsid w:val="067BF390"/>
    <w:rsid w:val="068162AC"/>
    <w:rsid w:val="06852603"/>
    <w:rsid w:val="06958177"/>
    <w:rsid w:val="0696DE1A"/>
    <w:rsid w:val="06B04E01"/>
    <w:rsid w:val="06B173F9"/>
    <w:rsid w:val="06D54AE2"/>
    <w:rsid w:val="06D5A5DA"/>
    <w:rsid w:val="06D61430"/>
    <w:rsid w:val="06D9BA7F"/>
    <w:rsid w:val="06DE505E"/>
    <w:rsid w:val="06E83393"/>
    <w:rsid w:val="06F3C611"/>
    <w:rsid w:val="070E6C7B"/>
    <w:rsid w:val="0727336C"/>
    <w:rsid w:val="07366AC8"/>
    <w:rsid w:val="075E40D7"/>
    <w:rsid w:val="07758F49"/>
    <w:rsid w:val="0779DEA6"/>
    <w:rsid w:val="0789A6BD"/>
    <w:rsid w:val="0790C936"/>
    <w:rsid w:val="07B1B179"/>
    <w:rsid w:val="07BED19C"/>
    <w:rsid w:val="07DC87B5"/>
    <w:rsid w:val="07DCCD9C"/>
    <w:rsid w:val="08499665"/>
    <w:rsid w:val="0856B0BA"/>
    <w:rsid w:val="085B75AE"/>
    <w:rsid w:val="087E32CD"/>
    <w:rsid w:val="08A7295C"/>
    <w:rsid w:val="08C4D6C5"/>
    <w:rsid w:val="08D130A5"/>
    <w:rsid w:val="08D3911A"/>
    <w:rsid w:val="08D4399D"/>
    <w:rsid w:val="08DC7413"/>
    <w:rsid w:val="08E54BEF"/>
    <w:rsid w:val="08FD0D5F"/>
    <w:rsid w:val="0914A9A4"/>
    <w:rsid w:val="093C7070"/>
    <w:rsid w:val="09684581"/>
    <w:rsid w:val="099B9401"/>
    <w:rsid w:val="099DEC4C"/>
    <w:rsid w:val="09A63E2A"/>
    <w:rsid w:val="09A7C8AF"/>
    <w:rsid w:val="09B2DB20"/>
    <w:rsid w:val="09B393DD"/>
    <w:rsid w:val="09BE1A81"/>
    <w:rsid w:val="09C72649"/>
    <w:rsid w:val="09DBCA24"/>
    <w:rsid w:val="09EC9C06"/>
    <w:rsid w:val="09F0A941"/>
    <w:rsid w:val="09F7FAD3"/>
    <w:rsid w:val="0A070CA2"/>
    <w:rsid w:val="0A13F299"/>
    <w:rsid w:val="0A2CAACB"/>
    <w:rsid w:val="0A312C9D"/>
    <w:rsid w:val="0A3AD568"/>
    <w:rsid w:val="0A3B7E00"/>
    <w:rsid w:val="0A41CE2A"/>
    <w:rsid w:val="0A4C69DE"/>
    <w:rsid w:val="0A508766"/>
    <w:rsid w:val="0A518FDC"/>
    <w:rsid w:val="0A6AAFA7"/>
    <w:rsid w:val="0A6EC89B"/>
    <w:rsid w:val="0A7462D9"/>
    <w:rsid w:val="0A80661C"/>
    <w:rsid w:val="0A9CB155"/>
    <w:rsid w:val="0AAE7A95"/>
    <w:rsid w:val="0ADBF60D"/>
    <w:rsid w:val="0ADC092D"/>
    <w:rsid w:val="0AE70206"/>
    <w:rsid w:val="0AE7920D"/>
    <w:rsid w:val="0AF75620"/>
    <w:rsid w:val="0AFDE2FC"/>
    <w:rsid w:val="0B0CBE29"/>
    <w:rsid w:val="0B10B2B1"/>
    <w:rsid w:val="0B17AA3D"/>
    <w:rsid w:val="0B1C0653"/>
    <w:rsid w:val="0B38CDEA"/>
    <w:rsid w:val="0B397AB6"/>
    <w:rsid w:val="0B53E06D"/>
    <w:rsid w:val="0B778DCD"/>
    <w:rsid w:val="0B795546"/>
    <w:rsid w:val="0B7E58D1"/>
    <w:rsid w:val="0B7F7C8E"/>
    <w:rsid w:val="0B82C81F"/>
    <w:rsid w:val="0B855755"/>
    <w:rsid w:val="0B93C853"/>
    <w:rsid w:val="0B9A953D"/>
    <w:rsid w:val="0BCE964A"/>
    <w:rsid w:val="0BD097E6"/>
    <w:rsid w:val="0BE1BF39"/>
    <w:rsid w:val="0C008BFA"/>
    <w:rsid w:val="0C054B38"/>
    <w:rsid w:val="0C0E623A"/>
    <w:rsid w:val="0C38F83F"/>
    <w:rsid w:val="0C46702B"/>
    <w:rsid w:val="0C4A18F5"/>
    <w:rsid w:val="0C514527"/>
    <w:rsid w:val="0C520AFC"/>
    <w:rsid w:val="0C686725"/>
    <w:rsid w:val="0C956154"/>
    <w:rsid w:val="0CD12739"/>
    <w:rsid w:val="0CF8CF7E"/>
    <w:rsid w:val="0CFA44E5"/>
    <w:rsid w:val="0D082792"/>
    <w:rsid w:val="0D246972"/>
    <w:rsid w:val="0D2C7B6B"/>
    <w:rsid w:val="0D33B047"/>
    <w:rsid w:val="0D43E89C"/>
    <w:rsid w:val="0D4AE0B2"/>
    <w:rsid w:val="0D697FD5"/>
    <w:rsid w:val="0D70EC37"/>
    <w:rsid w:val="0D77FFE9"/>
    <w:rsid w:val="0D9375D9"/>
    <w:rsid w:val="0DA9342F"/>
    <w:rsid w:val="0DAE6184"/>
    <w:rsid w:val="0DBDCB05"/>
    <w:rsid w:val="0DC59C9F"/>
    <w:rsid w:val="0DD0E23A"/>
    <w:rsid w:val="0DDF46B9"/>
    <w:rsid w:val="0DF70BD1"/>
    <w:rsid w:val="0E07F2E6"/>
    <w:rsid w:val="0E2A0B6B"/>
    <w:rsid w:val="0E2F519A"/>
    <w:rsid w:val="0E497595"/>
    <w:rsid w:val="0E4B14D0"/>
    <w:rsid w:val="0E4EF29C"/>
    <w:rsid w:val="0E6DE1C7"/>
    <w:rsid w:val="0E6E0770"/>
    <w:rsid w:val="0E797C95"/>
    <w:rsid w:val="0E9450B3"/>
    <w:rsid w:val="0E991318"/>
    <w:rsid w:val="0EB40B57"/>
    <w:rsid w:val="0EBF1EEA"/>
    <w:rsid w:val="0ED07229"/>
    <w:rsid w:val="0EDDB1FA"/>
    <w:rsid w:val="0EE6B825"/>
    <w:rsid w:val="0EF61014"/>
    <w:rsid w:val="0F12069F"/>
    <w:rsid w:val="0F141E78"/>
    <w:rsid w:val="0F172677"/>
    <w:rsid w:val="0F1C87CB"/>
    <w:rsid w:val="0F297E1D"/>
    <w:rsid w:val="0F2D1B88"/>
    <w:rsid w:val="0F38DE7C"/>
    <w:rsid w:val="0F39C2D9"/>
    <w:rsid w:val="0F4CF81C"/>
    <w:rsid w:val="0F556D9B"/>
    <w:rsid w:val="0F5C58E4"/>
    <w:rsid w:val="0F604854"/>
    <w:rsid w:val="0F62595E"/>
    <w:rsid w:val="0F6D499A"/>
    <w:rsid w:val="0F6F05D7"/>
    <w:rsid w:val="0F705236"/>
    <w:rsid w:val="0F7366A6"/>
    <w:rsid w:val="0F7378F5"/>
    <w:rsid w:val="0F82EAD5"/>
    <w:rsid w:val="0F845DF4"/>
    <w:rsid w:val="0FA1B8A3"/>
    <w:rsid w:val="0FBA227C"/>
    <w:rsid w:val="0FCA4CE9"/>
    <w:rsid w:val="0FD229B6"/>
    <w:rsid w:val="0FE2D8B0"/>
    <w:rsid w:val="0FFF9EEE"/>
    <w:rsid w:val="1000F883"/>
    <w:rsid w:val="101F75A8"/>
    <w:rsid w:val="10219487"/>
    <w:rsid w:val="103F725A"/>
    <w:rsid w:val="10464601"/>
    <w:rsid w:val="104A0ACE"/>
    <w:rsid w:val="106F1378"/>
    <w:rsid w:val="108181A7"/>
    <w:rsid w:val="108556BB"/>
    <w:rsid w:val="108717D7"/>
    <w:rsid w:val="109F8FCD"/>
    <w:rsid w:val="10A0012A"/>
    <w:rsid w:val="10A32A5D"/>
    <w:rsid w:val="10A65444"/>
    <w:rsid w:val="10B1D3B1"/>
    <w:rsid w:val="10BAB307"/>
    <w:rsid w:val="10C0E7F9"/>
    <w:rsid w:val="10C382D4"/>
    <w:rsid w:val="10CCAB84"/>
    <w:rsid w:val="10D8AFB5"/>
    <w:rsid w:val="10E67EA4"/>
    <w:rsid w:val="10E87387"/>
    <w:rsid w:val="10F31BCA"/>
    <w:rsid w:val="110D8900"/>
    <w:rsid w:val="110EA611"/>
    <w:rsid w:val="1128C11F"/>
    <w:rsid w:val="113FF8DD"/>
    <w:rsid w:val="114C7328"/>
    <w:rsid w:val="1159259E"/>
    <w:rsid w:val="1173EF28"/>
    <w:rsid w:val="1174ED1F"/>
    <w:rsid w:val="117EF43C"/>
    <w:rsid w:val="11A2199C"/>
    <w:rsid w:val="11A393AA"/>
    <w:rsid w:val="11A58A41"/>
    <w:rsid w:val="11C00999"/>
    <w:rsid w:val="11D9D593"/>
    <w:rsid w:val="11DC0E0A"/>
    <w:rsid w:val="12085BFF"/>
    <w:rsid w:val="122B7586"/>
    <w:rsid w:val="1232A79D"/>
    <w:rsid w:val="123390E3"/>
    <w:rsid w:val="125B5B2C"/>
    <w:rsid w:val="12734E57"/>
    <w:rsid w:val="1278527F"/>
    <w:rsid w:val="128927B1"/>
    <w:rsid w:val="12A3DAD6"/>
    <w:rsid w:val="12AC57EB"/>
    <w:rsid w:val="12BB8E58"/>
    <w:rsid w:val="12CAE88E"/>
    <w:rsid w:val="12F29663"/>
    <w:rsid w:val="131106E0"/>
    <w:rsid w:val="131C0C35"/>
    <w:rsid w:val="132F8CD7"/>
    <w:rsid w:val="1336A838"/>
    <w:rsid w:val="133AE1E3"/>
    <w:rsid w:val="134C0938"/>
    <w:rsid w:val="13573C9A"/>
    <w:rsid w:val="136B30B9"/>
    <w:rsid w:val="1384BAA2"/>
    <w:rsid w:val="138B6EF4"/>
    <w:rsid w:val="1393AAF6"/>
    <w:rsid w:val="13BC8C0B"/>
    <w:rsid w:val="13D38508"/>
    <w:rsid w:val="13F1B4D5"/>
    <w:rsid w:val="13F79969"/>
    <w:rsid w:val="13F865CB"/>
    <w:rsid w:val="13FAC611"/>
    <w:rsid w:val="140079D9"/>
    <w:rsid w:val="14076B93"/>
    <w:rsid w:val="140CB1BE"/>
    <w:rsid w:val="142A4A4F"/>
    <w:rsid w:val="142E8992"/>
    <w:rsid w:val="142F4A52"/>
    <w:rsid w:val="143A0057"/>
    <w:rsid w:val="14584F39"/>
    <w:rsid w:val="145A742B"/>
    <w:rsid w:val="1462C521"/>
    <w:rsid w:val="14698E27"/>
    <w:rsid w:val="146F707F"/>
    <w:rsid w:val="147E9551"/>
    <w:rsid w:val="1480792C"/>
    <w:rsid w:val="14A5DDE4"/>
    <w:rsid w:val="14A92FE3"/>
    <w:rsid w:val="14AC4BA2"/>
    <w:rsid w:val="14BA6689"/>
    <w:rsid w:val="14C60166"/>
    <w:rsid w:val="14F3A0DE"/>
    <w:rsid w:val="1500BC21"/>
    <w:rsid w:val="150E976F"/>
    <w:rsid w:val="15292597"/>
    <w:rsid w:val="1552083C"/>
    <w:rsid w:val="1559F924"/>
    <w:rsid w:val="15767E29"/>
    <w:rsid w:val="15780A1E"/>
    <w:rsid w:val="158FDA3B"/>
    <w:rsid w:val="15A6995F"/>
    <w:rsid w:val="15F474E6"/>
    <w:rsid w:val="15FA0F32"/>
    <w:rsid w:val="1606FC86"/>
    <w:rsid w:val="16097FE0"/>
    <w:rsid w:val="161A429C"/>
    <w:rsid w:val="161FB3C4"/>
    <w:rsid w:val="162B5FE5"/>
    <w:rsid w:val="1635E1A0"/>
    <w:rsid w:val="163714DA"/>
    <w:rsid w:val="166616DA"/>
    <w:rsid w:val="1688FEA2"/>
    <w:rsid w:val="168B7F5B"/>
    <w:rsid w:val="16A84109"/>
    <w:rsid w:val="16AC27B9"/>
    <w:rsid w:val="16B4B032"/>
    <w:rsid w:val="16B8E184"/>
    <w:rsid w:val="16C1EC86"/>
    <w:rsid w:val="16D12F0C"/>
    <w:rsid w:val="16E21ED0"/>
    <w:rsid w:val="16F2F5D5"/>
    <w:rsid w:val="17068DF4"/>
    <w:rsid w:val="171E8396"/>
    <w:rsid w:val="172093B7"/>
    <w:rsid w:val="172FD272"/>
    <w:rsid w:val="1731DD52"/>
    <w:rsid w:val="17394F98"/>
    <w:rsid w:val="176EB8EF"/>
    <w:rsid w:val="17A11CEB"/>
    <w:rsid w:val="17A7E01F"/>
    <w:rsid w:val="17B12DD6"/>
    <w:rsid w:val="17B37941"/>
    <w:rsid w:val="17B90AC7"/>
    <w:rsid w:val="17BCAA6D"/>
    <w:rsid w:val="17D31634"/>
    <w:rsid w:val="17D4E49F"/>
    <w:rsid w:val="17D8CBE4"/>
    <w:rsid w:val="17DF9CDA"/>
    <w:rsid w:val="17E3F045"/>
    <w:rsid w:val="17FA5131"/>
    <w:rsid w:val="18190DF6"/>
    <w:rsid w:val="1830625F"/>
    <w:rsid w:val="18340FBC"/>
    <w:rsid w:val="183F04B3"/>
    <w:rsid w:val="18555BFD"/>
    <w:rsid w:val="18603A37"/>
    <w:rsid w:val="187EB6E1"/>
    <w:rsid w:val="188BFC14"/>
    <w:rsid w:val="189101CD"/>
    <w:rsid w:val="18A11CEE"/>
    <w:rsid w:val="18A26E56"/>
    <w:rsid w:val="18A41320"/>
    <w:rsid w:val="18C2CD57"/>
    <w:rsid w:val="18CA913E"/>
    <w:rsid w:val="18D03B27"/>
    <w:rsid w:val="18D08C87"/>
    <w:rsid w:val="18D420AA"/>
    <w:rsid w:val="18F23B45"/>
    <w:rsid w:val="18F547E0"/>
    <w:rsid w:val="18F7DC90"/>
    <w:rsid w:val="19055D39"/>
    <w:rsid w:val="1931AFF4"/>
    <w:rsid w:val="1932A852"/>
    <w:rsid w:val="193D581F"/>
    <w:rsid w:val="1947ED37"/>
    <w:rsid w:val="194E119B"/>
    <w:rsid w:val="195819D3"/>
    <w:rsid w:val="195A2B1D"/>
    <w:rsid w:val="1973ED15"/>
    <w:rsid w:val="1975A08A"/>
    <w:rsid w:val="1976B276"/>
    <w:rsid w:val="1979EBEF"/>
    <w:rsid w:val="19834C99"/>
    <w:rsid w:val="198ED164"/>
    <w:rsid w:val="1995AABE"/>
    <w:rsid w:val="19967BE1"/>
    <w:rsid w:val="199A0196"/>
    <w:rsid w:val="199D7C92"/>
    <w:rsid w:val="19A01DFC"/>
    <w:rsid w:val="19AD25E8"/>
    <w:rsid w:val="19C14FB1"/>
    <w:rsid w:val="19CD8A69"/>
    <w:rsid w:val="19D422BF"/>
    <w:rsid w:val="19D7A47A"/>
    <w:rsid w:val="19D85C9C"/>
    <w:rsid w:val="19D93B06"/>
    <w:rsid w:val="19E3125A"/>
    <w:rsid w:val="19EE16BE"/>
    <w:rsid w:val="19FFA69D"/>
    <w:rsid w:val="1A133369"/>
    <w:rsid w:val="1A16D75A"/>
    <w:rsid w:val="1A2291D4"/>
    <w:rsid w:val="1A2863ED"/>
    <w:rsid w:val="1A2CA2E6"/>
    <w:rsid w:val="1A34D144"/>
    <w:rsid w:val="1A4B22DA"/>
    <w:rsid w:val="1A4BD11A"/>
    <w:rsid w:val="1A50F090"/>
    <w:rsid w:val="1A6C5CE8"/>
    <w:rsid w:val="1A9A0AF7"/>
    <w:rsid w:val="1AAE59CE"/>
    <w:rsid w:val="1AB38CBE"/>
    <w:rsid w:val="1AC5FC0C"/>
    <w:rsid w:val="1AC6AE45"/>
    <w:rsid w:val="1ACEEF6C"/>
    <w:rsid w:val="1AD41211"/>
    <w:rsid w:val="1AD7AB65"/>
    <w:rsid w:val="1ADCA1A6"/>
    <w:rsid w:val="1AE0B8EF"/>
    <w:rsid w:val="1B135FD9"/>
    <w:rsid w:val="1B2889AB"/>
    <w:rsid w:val="1B352A5B"/>
    <w:rsid w:val="1B392A9A"/>
    <w:rsid w:val="1B453647"/>
    <w:rsid w:val="1B5BDD22"/>
    <w:rsid w:val="1B7A63CB"/>
    <w:rsid w:val="1B81EE50"/>
    <w:rsid w:val="1BB90019"/>
    <w:rsid w:val="1BC39CD6"/>
    <w:rsid w:val="1BC6B574"/>
    <w:rsid w:val="1BD7DA01"/>
    <w:rsid w:val="1BE37495"/>
    <w:rsid w:val="1BF1EE09"/>
    <w:rsid w:val="1BF46AB9"/>
    <w:rsid w:val="1BFC91DC"/>
    <w:rsid w:val="1C01909E"/>
    <w:rsid w:val="1C117A2D"/>
    <w:rsid w:val="1C14FFA0"/>
    <w:rsid w:val="1C20C3A4"/>
    <w:rsid w:val="1C54639C"/>
    <w:rsid w:val="1C55076F"/>
    <w:rsid w:val="1C5C50F0"/>
    <w:rsid w:val="1CD5585E"/>
    <w:rsid w:val="1CD5F2EA"/>
    <w:rsid w:val="1CE00732"/>
    <w:rsid w:val="1CE7948E"/>
    <w:rsid w:val="1D1150A8"/>
    <w:rsid w:val="1D289700"/>
    <w:rsid w:val="1D2C5AC2"/>
    <w:rsid w:val="1D325CFA"/>
    <w:rsid w:val="1D40E65A"/>
    <w:rsid w:val="1D421750"/>
    <w:rsid w:val="1D4664F0"/>
    <w:rsid w:val="1D509479"/>
    <w:rsid w:val="1D578D8A"/>
    <w:rsid w:val="1D58A76F"/>
    <w:rsid w:val="1D656DB4"/>
    <w:rsid w:val="1D6CA4E4"/>
    <w:rsid w:val="1D79EAC6"/>
    <w:rsid w:val="1D7F58D3"/>
    <w:rsid w:val="1D8977B8"/>
    <w:rsid w:val="1DAEAC0E"/>
    <w:rsid w:val="1DB274A1"/>
    <w:rsid w:val="1DB775AA"/>
    <w:rsid w:val="1DDC6F3D"/>
    <w:rsid w:val="1DDCA67E"/>
    <w:rsid w:val="1DE31010"/>
    <w:rsid w:val="1DFF8C45"/>
    <w:rsid w:val="1E24FD62"/>
    <w:rsid w:val="1E2E502F"/>
    <w:rsid w:val="1E329498"/>
    <w:rsid w:val="1E3F25D6"/>
    <w:rsid w:val="1E6FD04C"/>
    <w:rsid w:val="1E7B7F5B"/>
    <w:rsid w:val="1E81FB71"/>
    <w:rsid w:val="1E8D1C3C"/>
    <w:rsid w:val="1E905FDA"/>
    <w:rsid w:val="1EA30369"/>
    <w:rsid w:val="1EBC2BC7"/>
    <w:rsid w:val="1EF8BBDA"/>
    <w:rsid w:val="1EFB3D98"/>
    <w:rsid w:val="1F0DA288"/>
    <w:rsid w:val="1F1FE6AB"/>
    <w:rsid w:val="1F2F2944"/>
    <w:rsid w:val="1F315FE6"/>
    <w:rsid w:val="1F41CC37"/>
    <w:rsid w:val="1F5C7BEF"/>
    <w:rsid w:val="1F6A31DB"/>
    <w:rsid w:val="1F796C5B"/>
    <w:rsid w:val="1FA015F9"/>
    <w:rsid w:val="1FAF4A9C"/>
    <w:rsid w:val="1FB0CB89"/>
    <w:rsid w:val="1FC2640C"/>
    <w:rsid w:val="1FC739CC"/>
    <w:rsid w:val="1FCDA836"/>
    <w:rsid w:val="1FD0101A"/>
    <w:rsid w:val="1FD2D764"/>
    <w:rsid w:val="1FD8A3ED"/>
    <w:rsid w:val="1FE7DEEE"/>
    <w:rsid w:val="1FEED916"/>
    <w:rsid w:val="200F10B2"/>
    <w:rsid w:val="201C16C4"/>
    <w:rsid w:val="201CE08D"/>
    <w:rsid w:val="202B190F"/>
    <w:rsid w:val="20425B94"/>
    <w:rsid w:val="204BF31C"/>
    <w:rsid w:val="204E6ED2"/>
    <w:rsid w:val="207224FB"/>
    <w:rsid w:val="2091C385"/>
    <w:rsid w:val="209D52B6"/>
    <w:rsid w:val="209EE5F3"/>
    <w:rsid w:val="20B2FC42"/>
    <w:rsid w:val="20C05B19"/>
    <w:rsid w:val="20C10D37"/>
    <w:rsid w:val="20C43BC4"/>
    <w:rsid w:val="20C4D95E"/>
    <w:rsid w:val="20C5B8B1"/>
    <w:rsid w:val="20C663AC"/>
    <w:rsid w:val="20D8B2AF"/>
    <w:rsid w:val="20DF9C78"/>
    <w:rsid w:val="20E905AC"/>
    <w:rsid w:val="21078E19"/>
    <w:rsid w:val="2110BADD"/>
    <w:rsid w:val="21211BED"/>
    <w:rsid w:val="2121B84B"/>
    <w:rsid w:val="214B5DFF"/>
    <w:rsid w:val="215D5444"/>
    <w:rsid w:val="216167A5"/>
    <w:rsid w:val="2163CB4C"/>
    <w:rsid w:val="2165C447"/>
    <w:rsid w:val="2195F4EF"/>
    <w:rsid w:val="21BF71FC"/>
    <w:rsid w:val="21CD36D2"/>
    <w:rsid w:val="21E9DEB6"/>
    <w:rsid w:val="21EBB728"/>
    <w:rsid w:val="21FB264F"/>
    <w:rsid w:val="2204BDEB"/>
    <w:rsid w:val="2222622C"/>
    <w:rsid w:val="222528C3"/>
    <w:rsid w:val="223413FC"/>
    <w:rsid w:val="22585FFB"/>
    <w:rsid w:val="2270593B"/>
    <w:rsid w:val="22792E68"/>
    <w:rsid w:val="22922DA3"/>
    <w:rsid w:val="229A2318"/>
    <w:rsid w:val="22C04AAF"/>
    <w:rsid w:val="22C7126F"/>
    <w:rsid w:val="22C75BA6"/>
    <w:rsid w:val="22D84F81"/>
    <w:rsid w:val="22DD1987"/>
    <w:rsid w:val="22DE0863"/>
    <w:rsid w:val="22EE3C3B"/>
    <w:rsid w:val="23073995"/>
    <w:rsid w:val="231E7F69"/>
    <w:rsid w:val="231E9178"/>
    <w:rsid w:val="2325EB73"/>
    <w:rsid w:val="232B7FFA"/>
    <w:rsid w:val="23349694"/>
    <w:rsid w:val="23395F15"/>
    <w:rsid w:val="233B7D72"/>
    <w:rsid w:val="233C9FC5"/>
    <w:rsid w:val="2347D339"/>
    <w:rsid w:val="23499D07"/>
    <w:rsid w:val="235DB20C"/>
    <w:rsid w:val="235FBA5F"/>
    <w:rsid w:val="236B31C0"/>
    <w:rsid w:val="237F6BA5"/>
    <w:rsid w:val="238B0A3F"/>
    <w:rsid w:val="239BC5C8"/>
    <w:rsid w:val="239E3F29"/>
    <w:rsid w:val="23A94209"/>
    <w:rsid w:val="23B55556"/>
    <w:rsid w:val="23CC0C4A"/>
    <w:rsid w:val="23CD856F"/>
    <w:rsid w:val="23DBCCA1"/>
    <w:rsid w:val="24028508"/>
    <w:rsid w:val="2415A4AA"/>
    <w:rsid w:val="242C2675"/>
    <w:rsid w:val="242FF079"/>
    <w:rsid w:val="244A46FF"/>
    <w:rsid w:val="244B9C80"/>
    <w:rsid w:val="24508E31"/>
    <w:rsid w:val="246C7EA5"/>
    <w:rsid w:val="246E8BAF"/>
    <w:rsid w:val="248A6F2B"/>
    <w:rsid w:val="248F19FB"/>
    <w:rsid w:val="24B1B91D"/>
    <w:rsid w:val="24B7950B"/>
    <w:rsid w:val="24C1BBD4"/>
    <w:rsid w:val="24D5E753"/>
    <w:rsid w:val="24D68E53"/>
    <w:rsid w:val="24D8FED6"/>
    <w:rsid w:val="24E76B8E"/>
    <w:rsid w:val="24ED044E"/>
    <w:rsid w:val="24F251CD"/>
    <w:rsid w:val="25058430"/>
    <w:rsid w:val="25069BCB"/>
    <w:rsid w:val="2506FEF0"/>
    <w:rsid w:val="250CA59E"/>
    <w:rsid w:val="2525A52B"/>
    <w:rsid w:val="252A0F2A"/>
    <w:rsid w:val="253A1370"/>
    <w:rsid w:val="2545BAF7"/>
    <w:rsid w:val="2559C636"/>
    <w:rsid w:val="257A2E05"/>
    <w:rsid w:val="2580B447"/>
    <w:rsid w:val="258143EA"/>
    <w:rsid w:val="2583A802"/>
    <w:rsid w:val="258C9BB9"/>
    <w:rsid w:val="2594A438"/>
    <w:rsid w:val="259A1D1E"/>
    <w:rsid w:val="25A196F7"/>
    <w:rsid w:val="25AF4260"/>
    <w:rsid w:val="25B3D763"/>
    <w:rsid w:val="25BB5DD2"/>
    <w:rsid w:val="25CB9B1B"/>
    <w:rsid w:val="25D1367D"/>
    <w:rsid w:val="25E11216"/>
    <w:rsid w:val="25F9991E"/>
    <w:rsid w:val="260C7D35"/>
    <w:rsid w:val="2639F8AA"/>
    <w:rsid w:val="263CA0A8"/>
    <w:rsid w:val="264526E4"/>
    <w:rsid w:val="2648CD0B"/>
    <w:rsid w:val="2653C469"/>
    <w:rsid w:val="26634D2B"/>
    <w:rsid w:val="2664167A"/>
    <w:rsid w:val="266C4199"/>
    <w:rsid w:val="26738AC0"/>
    <w:rsid w:val="267B0677"/>
    <w:rsid w:val="2685196E"/>
    <w:rsid w:val="269BF1EA"/>
    <w:rsid w:val="26B27CD1"/>
    <w:rsid w:val="26C725E0"/>
    <w:rsid w:val="26D20108"/>
    <w:rsid w:val="26DC7783"/>
    <w:rsid w:val="26F84E09"/>
    <w:rsid w:val="2701D1D0"/>
    <w:rsid w:val="2706C66B"/>
    <w:rsid w:val="274E78D4"/>
    <w:rsid w:val="275A356B"/>
    <w:rsid w:val="27B8CA0D"/>
    <w:rsid w:val="27C070B2"/>
    <w:rsid w:val="27C4A244"/>
    <w:rsid w:val="27F07C6A"/>
    <w:rsid w:val="27F43F1F"/>
    <w:rsid w:val="2803C3A7"/>
    <w:rsid w:val="280FE760"/>
    <w:rsid w:val="2827E82A"/>
    <w:rsid w:val="2829E2D4"/>
    <w:rsid w:val="282E0CEF"/>
    <w:rsid w:val="282F5F97"/>
    <w:rsid w:val="2835D0F4"/>
    <w:rsid w:val="284A2414"/>
    <w:rsid w:val="2854FBE4"/>
    <w:rsid w:val="285A193A"/>
    <w:rsid w:val="286BCC09"/>
    <w:rsid w:val="28747B2F"/>
    <w:rsid w:val="2874BF91"/>
    <w:rsid w:val="287F3D23"/>
    <w:rsid w:val="28A599F3"/>
    <w:rsid w:val="28D2B4B3"/>
    <w:rsid w:val="28D5768B"/>
    <w:rsid w:val="28EB7FD9"/>
    <w:rsid w:val="2907AA8D"/>
    <w:rsid w:val="290D3839"/>
    <w:rsid w:val="2912AF36"/>
    <w:rsid w:val="29135357"/>
    <w:rsid w:val="29166B4F"/>
    <w:rsid w:val="29185300"/>
    <w:rsid w:val="295D1656"/>
    <w:rsid w:val="29604261"/>
    <w:rsid w:val="2966D54B"/>
    <w:rsid w:val="296B8776"/>
    <w:rsid w:val="296DF0E5"/>
    <w:rsid w:val="2975AEA0"/>
    <w:rsid w:val="298BA64B"/>
    <w:rsid w:val="29970468"/>
    <w:rsid w:val="299DE815"/>
    <w:rsid w:val="29B8165C"/>
    <w:rsid w:val="29CE24A6"/>
    <w:rsid w:val="29D515C4"/>
    <w:rsid w:val="29EBAF78"/>
    <w:rsid w:val="29EE7006"/>
    <w:rsid w:val="2A342307"/>
    <w:rsid w:val="2A52AA11"/>
    <w:rsid w:val="2A591B08"/>
    <w:rsid w:val="2A61AF1D"/>
    <w:rsid w:val="2A7CE7F5"/>
    <w:rsid w:val="2A85B348"/>
    <w:rsid w:val="2A9490DA"/>
    <w:rsid w:val="2A9B36C7"/>
    <w:rsid w:val="2A9F3F0F"/>
    <w:rsid w:val="2AA46999"/>
    <w:rsid w:val="2AB44166"/>
    <w:rsid w:val="2AB94A80"/>
    <w:rsid w:val="2AC8E292"/>
    <w:rsid w:val="2ACBC035"/>
    <w:rsid w:val="2ADD451D"/>
    <w:rsid w:val="2AEDCF5C"/>
    <w:rsid w:val="2B05677F"/>
    <w:rsid w:val="2B123808"/>
    <w:rsid w:val="2B267547"/>
    <w:rsid w:val="2B328A8C"/>
    <w:rsid w:val="2B590E53"/>
    <w:rsid w:val="2B867177"/>
    <w:rsid w:val="2BD5C9C0"/>
    <w:rsid w:val="2BE2459E"/>
    <w:rsid w:val="2BED71F1"/>
    <w:rsid w:val="2BF50E71"/>
    <w:rsid w:val="2BFE2D46"/>
    <w:rsid w:val="2BFFFE74"/>
    <w:rsid w:val="2C1F5837"/>
    <w:rsid w:val="2C25E4D2"/>
    <w:rsid w:val="2C369281"/>
    <w:rsid w:val="2C479E18"/>
    <w:rsid w:val="2C576A70"/>
    <w:rsid w:val="2C70EC08"/>
    <w:rsid w:val="2C76D0C9"/>
    <w:rsid w:val="2C810C1D"/>
    <w:rsid w:val="2CCFDCB3"/>
    <w:rsid w:val="2CD5E880"/>
    <w:rsid w:val="2CDD932B"/>
    <w:rsid w:val="2CE1D4C8"/>
    <w:rsid w:val="2CE41A65"/>
    <w:rsid w:val="2CE46533"/>
    <w:rsid w:val="2CF50DD2"/>
    <w:rsid w:val="2CFBABDF"/>
    <w:rsid w:val="2CFBE64E"/>
    <w:rsid w:val="2D03B2FE"/>
    <w:rsid w:val="2D2D2830"/>
    <w:rsid w:val="2D320429"/>
    <w:rsid w:val="2D3DFA24"/>
    <w:rsid w:val="2D45A3A0"/>
    <w:rsid w:val="2D4A3867"/>
    <w:rsid w:val="2D4A62AA"/>
    <w:rsid w:val="2D6324F8"/>
    <w:rsid w:val="2D73797F"/>
    <w:rsid w:val="2D7857B7"/>
    <w:rsid w:val="2D836D25"/>
    <w:rsid w:val="2D9C96A2"/>
    <w:rsid w:val="2DA53F9E"/>
    <w:rsid w:val="2DAA57D4"/>
    <w:rsid w:val="2DAD5EA4"/>
    <w:rsid w:val="2DAF8722"/>
    <w:rsid w:val="2E08951A"/>
    <w:rsid w:val="2E14CE49"/>
    <w:rsid w:val="2E1B2302"/>
    <w:rsid w:val="2E2765B8"/>
    <w:rsid w:val="2E35A6C6"/>
    <w:rsid w:val="2E5EF25C"/>
    <w:rsid w:val="2E64F8AF"/>
    <w:rsid w:val="2E6D7BC8"/>
    <w:rsid w:val="2E70E7DB"/>
    <w:rsid w:val="2E808BCB"/>
    <w:rsid w:val="2E8AE570"/>
    <w:rsid w:val="2E996D3E"/>
    <w:rsid w:val="2EBBECFD"/>
    <w:rsid w:val="2EC343A5"/>
    <w:rsid w:val="2ED176CA"/>
    <w:rsid w:val="2EDEA7AE"/>
    <w:rsid w:val="2EE5F1F5"/>
    <w:rsid w:val="2EF21CF2"/>
    <w:rsid w:val="2EF45EB2"/>
    <w:rsid w:val="2EF7999D"/>
    <w:rsid w:val="2F01C625"/>
    <w:rsid w:val="2F10503E"/>
    <w:rsid w:val="2F11859F"/>
    <w:rsid w:val="2F1F8B79"/>
    <w:rsid w:val="2F2BE0E6"/>
    <w:rsid w:val="2F650F48"/>
    <w:rsid w:val="2F6BF830"/>
    <w:rsid w:val="2F890D39"/>
    <w:rsid w:val="2F89BDB1"/>
    <w:rsid w:val="2F97600A"/>
    <w:rsid w:val="2F98403A"/>
    <w:rsid w:val="2F99CB95"/>
    <w:rsid w:val="2F9FCEA5"/>
    <w:rsid w:val="2FAE1480"/>
    <w:rsid w:val="2FB78D00"/>
    <w:rsid w:val="2FC76E42"/>
    <w:rsid w:val="2FC7C6BD"/>
    <w:rsid w:val="2FC98A9C"/>
    <w:rsid w:val="2FDE1D3F"/>
    <w:rsid w:val="3004BDD9"/>
    <w:rsid w:val="30070657"/>
    <w:rsid w:val="300F1CA6"/>
    <w:rsid w:val="301BF4C2"/>
    <w:rsid w:val="301CD936"/>
    <w:rsid w:val="30253FBC"/>
    <w:rsid w:val="303E5F01"/>
    <w:rsid w:val="304D8E92"/>
    <w:rsid w:val="304E9999"/>
    <w:rsid w:val="30543983"/>
    <w:rsid w:val="30699AC0"/>
    <w:rsid w:val="30703CB0"/>
    <w:rsid w:val="308E115B"/>
    <w:rsid w:val="3090B6BB"/>
    <w:rsid w:val="309E1C4C"/>
    <w:rsid w:val="30AD3CAD"/>
    <w:rsid w:val="30AD8499"/>
    <w:rsid w:val="30B176BB"/>
    <w:rsid w:val="30C0337C"/>
    <w:rsid w:val="30C279E7"/>
    <w:rsid w:val="30C99DB1"/>
    <w:rsid w:val="30CA2544"/>
    <w:rsid w:val="30CDF097"/>
    <w:rsid w:val="30D031B6"/>
    <w:rsid w:val="30DFF715"/>
    <w:rsid w:val="30F0D637"/>
    <w:rsid w:val="3127ADD3"/>
    <w:rsid w:val="312E66B5"/>
    <w:rsid w:val="312F8C85"/>
    <w:rsid w:val="31311200"/>
    <w:rsid w:val="313302C7"/>
    <w:rsid w:val="3134477C"/>
    <w:rsid w:val="313DC958"/>
    <w:rsid w:val="314C50D8"/>
    <w:rsid w:val="315184DD"/>
    <w:rsid w:val="3153C793"/>
    <w:rsid w:val="317DC254"/>
    <w:rsid w:val="318A177E"/>
    <w:rsid w:val="31A4F9B8"/>
    <w:rsid w:val="31A8E8FC"/>
    <w:rsid w:val="31B40D75"/>
    <w:rsid w:val="31BF672D"/>
    <w:rsid w:val="31BFC422"/>
    <w:rsid w:val="31CA782E"/>
    <w:rsid w:val="31DA2D60"/>
    <w:rsid w:val="31DD86BD"/>
    <w:rsid w:val="31EA36D7"/>
    <w:rsid w:val="31ED15FE"/>
    <w:rsid w:val="31F5FE8F"/>
    <w:rsid w:val="32077F76"/>
    <w:rsid w:val="3210CC13"/>
    <w:rsid w:val="322ACB68"/>
    <w:rsid w:val="32430907"/>
    <w:rsid w:val="326D2587"/>
    <w:rsid w:val="329DF3AE"/>
    <w:rsid w:val="329E2596"/>
    <w:rsid w:val="32BDD79E"/>
    <w:rsid w:val="32C55626"/>
    <w:rsid w:val="32C682DE"/>
    <w:rsid w:val="32CF7A9B"/>
    <w:rsid w:val="32D45BFC"/>
    <w:rsid w:val="32DDF236"/>
    <w:rsid w:val="32F1DAF2"/>
    <w:rsid w:val="32F9DFE8"/>
    <w:rsid w:val="330A8BF8"/>
    <w:rsid w:val="3349C973"/>
    <w:rsid w:val="335DF22C"/>
    <w:rsid w:val="33646895"/>
    <w:rsid w:val="3367DC26"/>
    <w:rsid w:val="336BCD69"/>
    <w:rsid w:val="336EAE41"/>
    <w:rsid w:val="336F30AC"/>
    <w:rsid w:val="3385E7A9"/>
    <w:rsid w:val="33A7DD72"/>
    <w:rsid w:val="33AB891B"/>
    <w:rsid w:val="33CA8CDC"/>
    <w:rsid w:val="33D295AD"/>
    <w:rsid w:val="340CC90E"/>
    <w:rsid w:val="341E8B46"/>
    <w:rsid w:val="343943B3"/>
    <w:rsid w:val="34428C8E"/>
    <w:rsid w:val="3472D4D1"/>
    <w:rsid w:val="347B43CC"/>
    <w:rsid w:val="3483DC82"/>
    <w:rsid w:val="3483F19A"/>
    <w:rsid w:val="34A6374F"/>
    <w:rsid w:val="34A9F34A"/>
    <w:rsid w:val="34AB9B4D"/>
    <w:rsid w:val="34BF5117"/>
    <w:rsid w:val="34C03AFE"/>
    <w:rsid w:val="34DC74A8"/>
    <w:rsid w:val="34FC812F"/>
    <w:rsid w:val="34FEC96E"/>
    <w:rsid w:val="350343AA"/>
    <w:rsid w:val="35046F28"/>
    <w:rsid w:val="350D8037"/>
    <w:rsid w:val="3528F6D2"/>
    <w:rsid w:val="353158C4"/>
    <w:rsid w:val="3535B0A0"/>
    <w:rsid w:val="354FFD41"/>
    <w:rsid w:val="3560BC8E"/>
    <w:rsid w:val="356EF0AD"/>
    <w:rsid w:val="358A547A"/>
    <w:rsid w:val="358D7196"/>
    <w:rsid w:val="35B5F40C"/>
    <w:rsid w:val="35CCC03F"/>
    <w:rsid w:val="35D734DA"/>
    <w:rsid w:val="35E0F604"/>
    <w:rsid w:val="35E5216C"/>
    <w:rsid w:val="35ED0B1B"/>
    <w:rsid w:val="36149CA0"/>
    <w:rsid w:val="36219BBE"/>
    <w:rsid w:val="3624D0DB"/>
    <w:rsid w:val="3629CB83"/>
    <w:rsid w:val="36351C2F"/>
    <w:rsid w:val="36391C31"/>
    <w:rsid w:val="363F3F3D"/>
    <w:rsid w:val="36437F36"/>
    <w:rsid w:val="36461B2F"/>
    <w:rsid w:val="364A99F9"/>
    <w:rsid w:val="364CCC89"/>
    <w:rsid w:val="3653FC92"/>
    <w:rsid w:val="3653FE88"/>
    <w:rsid w:val="366C33C2"/>
    <w:rsid w:val="366DF844"/>
    <w:rsid w:val="366EE8B8"/>
    <w:rsid w:val="36836E23"/>
    <w:rsid w:val="368AE749"/>
    <w:rsid w:val="368DD67A"/>
    <w:rsid w:val="3699FDC5"/>
    <w:rsid w:val="36A3DB8A"/>
    <w:rsid w:val="36C8EA1F"/>
    <w:rsid w:val="36CEA377"/>
    <w:rsid w:val="36D5E811"/>
    <w:rsid w:val="36E80524"/>
    <w:rsid w:val="3701E7E2"/>
    <w:rsid w:val="3702BF48"/>
    <w:rsid w:val="3709C777"/>
    <w:rsid w:val="3714FB83"/>
    <w:rsid w:val="371B7527"/>
    <w:rsid w:val="3726EB94"/>
    <w:rsid w:val="3742246A"/>
    <w:rsid w:val="37497E03"/>
    <w:rsid w:val="375B15E2"/>
    <w:rsid w:val="375D6112"/>
    <w:rsid w:val="3786FFEA"/>
    <w:rsid w:val="378C4585"/>
    <w:rsid w:val="37934CE2"/>
    <w:rsid w:val="379CEF14"/>
    <w:rsid w:val="37B6F05A"/>
    <w:rsid w:val="37C87C5A"/>
    <w:rsid w:val="37EF6212"/>
    <w:rsid w:val="37F390E4"/>
    <w:rsid w:val="383BF095"/>
    <w:rsid w:val="383DFF1A"/>
    <w:rsid w:val="383F8431"/>
    <w:rsid w:val="386AD93F"/>
    <w:rsid w:val="386D081B"/>
    <w:rsid w:val="38887923"/>
    <w:rsid w:val="38A54D64"/>
    <w:rsid w:val="38BF3ED8"/>
    <w:rsid w:val="38D92FED"/>
    <w:rsid w:val="38E5E98F"/>
    <w:rsid w:val="38E80B88"/>
    <w:rsid w:val="38FB3B46"/>
    <w:rsid w:val="39027B68"/>
    <w:rsid w:val="391A2A76"/>
    <w:rsid w:val="3937C5B7"/>
    <w:rsid w:val="39592925"/>
    <w:rsid w:val="396B9300"/>
    <w:rsid w:val="3991DF97"/>
    <w:rsid w:val="39A23C62"/>
    <w:rsid w:val="39B80D1C"/>
    <w:rsid w:val="39BB797C"/>
    <w:rsid w:val="39C2F3A4"/>
    <w:rsid w:val="39CF73C8"/>
    <w:rsid w:val="39D0C1DF"/>
    <w:rsid w:val="39E12DC0"/>
    <w:rsid w:val="39E287BF"/>
    <w:rsid w:val="39ECD022"/>
    <w:rsid w:val="3A1117AE"/>
    <w:rsid w:val="3A22D853"/>
    <w:rsid w:val="3A4810A9"/>
    <w:rsid w:val="3A59DD72"/>
    <w:rsid w:val="3A705EF4"/>
    <w:rsid w:val="3A85B266"/>
    <w:rsid w:val="3A8E492B"/>
    <w:rsid w:val="3A8FF062"/>
    <w:rsid w:val="3A9B554E"/>
    <w:rsid w:val="3AC2FCC8"/>
    <w:rsid w:val="3ADF3A93"/>
    <w:rsid w:val="3B0050F4"/>
    <w:rsid w:val="3B27A2E8"/>
    <w:rsid w:val="3B35D590"/>
    <w:rsid w:val="3B38C3B6"/>
    <w:rsid w:val="3B607A7E"/>
    <w:rsid w:val="3B64CEF6"/>
    <w:rsid w:val="3B743CAD"/>
    <w:rsid w:val="3B8B3E7A"/>
    <w:rsid w:val="3BA1BE07"/>
    <w:rsid w:val="3BB0B389"/>
    <w:rsid w:val="3BB16024"/>
    <w:rsid w:val="3BD42CFE"/>
    <w:rsid w:val="3BDAA494"/>
    <w:rsid w:val="3BDEF749"/>
    <w:rsid w:val="3BF0E4A3"/>
    <w:rsid w:val="3C0668FF"/>
    <w:rsid w:val="3C179CCF"/>
    <w:rsid w:val="3C2280F6"/>
    <w:rsid w:val="3C2A1646"/>
    <w:rsid w:val="3C473140"/>
    <w:rsid w:val="3C4F2D0B"/>
    <w:rsid w:val="3C7B6EB3"/>
    <w:rsid w:val="3C9D8C78"/>
    <w:rsid w:val="3CA31EE5"/>
    <w:rsid w:val="3CAA6746"/>
    <w:rsid w:val="3CBBDC4E"/>
    <w:rsid w:val="3CF85AB1"/>
    <w:rsid w:val="3CFA7A30"/>
    <w:rsid w:val="3D08CE56"/>
    <w:rsid w:val="3D1C20DE"/>
    <w:rsid w:val="3D241483"/>
    <w:rsid w:val="3D2553FE"/>
    <w:rsid w:val="3D30AA1E"/>
    <w:rsid w:val="3D35B401"/>
    <w:rsid w:val="3D369C3B"/>
    <w:rsid w:val="3D38C0A1"/>
    <w:rsid w:val="3D3AA9FE"/>
    <w:rsid w:val="3D40793E"/>
    <w:rsid w:val="3D40E460"/>
    <w:rsid w:val="3D4EBFB8"/>
    <w:rsid w:val="3D599F12"/>
    <w:rsid w:val="3D799622"/>
    <w:rsid w:val="3D9917DF"/>
    <w:rsid w:val="3D9A1B34"/>
    <w:rsid w:val="3DA21D04"/>
    <w:rsid w:val="3DD6B1B8"/>
    <w:rsid w:val="3DE039DD"/>
    <w:rsid w:val="3DE374EA"/>
    <w:rsid w:val="3DEA1472"/>
    <w:rsid w:val="3E069F0B"/>
    <w:rsid w:val="3E2668C0"/>
    <w:rsid w:val="3E2EB282"/>
    <w:rsid w:val="3E38899D"/>
    <w:rsid w:val="3E39A2A4"/>
    <w:rsid w:val="3E45DE68"/>
    <w:rsid w:val="3E54EEF6"/>
    <w:rsid w:val="3E6470E8"/>
    <w:rsid w:val="3E6976AF"/>
    <w:rsid w:val="3E875A99"/>
    <w:rsid w:val="3EA47383"/>
    <w:rsid w:val="3ECFF1C5"/>
    <w:rsid w:val="3ED7F58A"/>
    <w:rsid w:val="3ED8C9F5"/>
    <w:rsid w:val="3EDC69D1"/>
    <w:rsid w:val="3EDC7CB5"/>
    <w:rsid w:val="3EDFB9F6"/>
    <w:rsid w:val="3EEC4250"/>
    <w:rsid w:val="3EFE5F8C"/>
    <w:rsid w:val="3F088CEA"/>
    <w:rsid w:val="3F1862A9"/>
    <w:rsid w:val="3F20BB50"/>
    <w:rsid w:val="3F2CE2FC"/>
    <w:rsid w:val="3F3505AF"/>
    <w:rsid w:val="3F4332DD"/>
    <w:rsid w:val="3F49C583"/>
    <w:rsid w:val="3F4DC5D5"/>
    <w:rsid w:val="3F595C7A"/>
    <w:rsid w:val="3F8B5A7D"/>
    <w:rsid w:val="3FAF56E5"/>
    <w:rsid w:val="3FB19A15"/>
    <w:rsid w:val="3FBA16C7"/>
    <w:rsid w:val="3FCDF621"/>
    <w:rsid w:val="3FCFB315"/>
    <w:rsid w:val="3FD42D7E"/>
    <w:rsid w:val="3FD8CC79"/>
    <w:rsid w:val="3FE2403A"/>
    <w:rsid w:val="3FE33659"/>
    <w:rsid w:val="3FE8D938"/>
    <w:rsid w:val="4015F1FB"/>
    <w:rsid w:val="4029E083"/>
    <w:rsid w:val="402B3802"/>
    <w:rsid w:val="40333DA2"/>
    <w:rsid w:val="403CB8D8"/>
    <w:rsid w:val="4049C137"/>
    <w:rsid w:val="404DDBE0"/>
    <w:rsid w:val="405475F3"/>
    <w:rsid w:val="405EF1A3"/>
    <w:rsid w:val="4068DB3E"/>
    <w:rsid w:val="406D381D"/>
    <w:rsid w:val="40856D11"/>
    <w:rsid w:val="408928C7"/>
    <w:rsid w:val="409BB088"/>
    <w:rsid w:val="40A74D01"/>
    <w:rsid w:val="40AC9D40"/>
    <w:rsid w:val="40AD41CF"/>
    <w:rsid w:val="40BE0743"/>
    <w:rsid w:val="40C21960"/>
    <w:rsid w:val="40C969F0"/>
    <w:rsid w:val="40D7FAAC"/>
    <w:rsid w:val="40F52CDB"/>
    <w:rsid w:val="40F7A590"/>
    <w:rsid w:val="40F7DA19"/>
    <w:rsid w:val="40FBD153"/>
    <w:rsid w:val="410B2B66"/>
    <w:rsid w:val="41107E01"/>
    <w:rsid w:val="41194E68"/>
    <w:rsid w:val="413AF53E"/>
    <w:rsid w:val="41446AFC"/>
    <w:rsid w:val="414D005F"/>
    <w:rsid w:val="415E1CB0"/>
    <w:rsid w:val="4164B8A5"/>
    <w:rsid w:val="4165EC7D"/>
    <w:rsid w:val="41814A39"/>
    <w:rsid w:val="4184450F"/>
    <w:rsid w:val="41A5D632"/>
    <w:rsid w:val="41A82CD3"/>
    <w:rsid w:val="41AA735B"/>
    <w:rsid w:val="41B3BBE2"/>
    <w:rsid w:val="41ED273D"/>
    <w:rsid w:val="41F7065B"/>
    <w:rsid w:val="420C5624"/>
    <w:rsid w:val="422184BA"/>
    <w:rsid w:val="422D0744"/>
    <w:rsid w:val="4241908F"/>
    <w:rsid w:val="426AA977"/>
    <w:rsid w:val="426F21C6"/>
    <w:rsid w:val="42732550"/>
    <w:rsid w:val="42756888"/>
    <w:rsid w:val="429DAA9A"/>
    <w:rsid w:val="42CA27B8"/>
    <w:rsid w:val="42F0D6D7"/>
    <w:rsid w:val="42F59735"/>
    <w:rsid w:val="43136EDD"/>
    <w:rsid w:val="4314F05F"/>
    <w:rsid w:val="4316A3C0"/>
    <w:rsid w:val="431C3E9A"/>
    <w:rsid w:val="432BB02C"/>
    <w:rsid w:val="43316B3A"/>
    <w:rsid w:val="436FC8B9"/>
    <w:rsid w:val="437ED789"/>
    <w:rsid w:val="439098AC"/>
    <w:rsid w:val="43B59D5C"/>
    <w:rsid w:val="43B961B5"/>
    <w:rsid w:val="43C40B6E"/>
    <w:rsid w:val="43C7744F"/>
    <w:rsid w:val="43CE1A32"/>
    <w:rsid w:val="43FFBCA7"/>
    <w:rsid w:val="4416D6B1"/>
    <w:rsid w:val="441BE6FC"/>
    <w:rsid w:val="442A335D"/>
    <w:rsid w:val="443496E0"/>
    <w:rsid w:val="4450C3CD"/>
    <w:rsid w:val="4453348A"/>
    <w:rsid w:val="44724392"/>
    <w:rsid w:val="44A76231"/>
    <w:rsid w:val="44B38A70"/>
    <w:rsid w:val="44BB5BF4"/>
    <w:rsid w:val="44C3C458"/>
    <w:rsid w:val="4505EB39"/>
    <w:rsid w:val="451C2C43"/>
    <w:rsid w:val="451DD1CF"/>
    <w:rsid w:val="45380F4D"/>
    <w:rsid w:val="453FFF97"/>
    <w:rsid w:val="4541079D"/>
    <w:rsid w:val="454B8B23"/>
    <w:rsid w:val="45735AAD"/>
    <w:rsid w:val="4596108B"/>
    <w:rsid w:val="459DBAB8"/>
    <w:rsid w:val="45B18A2A"/>
    <w:rsid w:val="45B4687C"/>
    <w:rsid w:val="45BF34D1"/>
    <w:rsid w:val="45D1B208"/>
    <w:rsid w:val="45D57E2D"/>
    <w:rsid w:val="45DAA0FB"/>
    <w:rsid w:val="45EDEC87"/>
    <w:rsid w:val="45F52583"/>
    <w:rsid w:val="45FBDE40"/>
    <w:rsid w:val="45FDA85D"/>
    <w:rsid w:val="45FE790C"/>
    <w:rsid w:val="46157D49"/>
    <w:rsid w:val="461F9F0F"/>
    <w:rsid w:val="462573CC"/>
    <w:rsid w:val="46512D6B"/>
    <w:rsid w:val="466F07B8"/>
    <w:rsid w:val="4687BBA8"/>
    <w:rsid w:val="469CB50E"/>
    <w:rsid w:val="469FA359"/>
    <w:rsid w:val="46A7D501"/>
    <w:rsid w:val="46C56588"/>
    <w:rsid w:val="46C72C0B"/>
    <w:rsid w:val="46D12A97"/>
    <w:rsid w:val="46DA2891"/>
    <w:rsid w:val="46FB661E"/>
    <w:rsid w:val="47007554"/>
    <w:rsid w:val="4703EAC6"/>
    <w:rsid w:val="47312132"/>
    <w:rsid w:val="47371A81"/>
    <w:rsid w:val="474204DB"/>
    <w:rsid w:val="475D03B5"/>
    <w:rsid w:val="475D64A5"/>
    <w:rsid w:val="476AFA24"/>
    <w:rsid w:val="479F76DA"/>
    <w:rsid w:val="47A874D6"/>
    <w:rsid w:val="47A975B7"/>
    <w:rsid w:val="47AB9B35"/>
    <w:rsid w:val="47BBB728"/>
    <w:rsid w:val="47C6D76A"/>
    <w:rsid w:val="47EE01C1"/>
    <w:rsid w:val="47FEB810"/>
    <w:rsid w:val="48281696"/>
    <w:rsid w:val="484ABFD5"/>
    <w:rsid w:val="487520A4"/>
    <w:rsid w:val="487E8A72"/>
    <w:rsid w:val="48818A0E"/>
    <w:rsid w:val="488B81E9"/>
    <w:rsid w:val="48A2CCDC"/>
    <w:rsid w:val="48AAD45B"/>
    <w:rsid w:val="48ADBBED"/>
    <w:rsid w:val="48CDE768"/>
    <w:rsid w:val="48D36241"/>
    <w:rsid w:val="48D4A2FC"/>
    <w:rsid w:val="48DC9AD0"/>
    <w:rsid w:val="48DD808B"/>
    <w:rsid w:val="48F02457"/>
    <w:rsid w:val="49056BF4"/>
    <w:rsid w:val="490920D3"/>
    <w:rsid w:val="49224FB1"/>
    <w:rsid w:val="492D1269"/>
    <w:rsid w:val="495291FF"/>
    <w:rsid w:val="49568E0E"/>
    <w:rsid w:val="495A0639"/>
    <w:rsid w:val="495D1621"/>
    <w:rsid w:val="4966B299"/>
    <w:rsid w:val="49754FC0"/>
    <w:rsid w:val="49760BE6"/>
    <w:rsid w:val="499CCB35"/>
    <w:rsid w:val="499D0CF2"/>
    <w:rsid w:val="499FEBDE"/>
    <w:rsid w:val="49A6A2C4"/>
    <w:rsid w:val="49FAFDC6"/>
    <w:rsid w:val="4A11EE22"/>
    <w:rsid w:val="4A17EDA6"/>
    <w:rsid w:val="4A19A189"/>
    <w:rsid w:val="4A4A44CB"/>
    <w:rsid w:val="4A4C5E1B"/>
    <w:rsid w:val="4A4E06E2"/>
    <w:rsid w:val="4A527379"/>
    <w:rsid w:val="4A62EB16"/>
    <w:rsid w:val="4A667D7F"/>
    <w:rsid w:val="4A6BA1C0"/>
    <w:rsid w:val="4A783574"/>
    <w:rsid w:val="4A7CE235"/>
    <w:rsid w:val="4AA1074F"/>
    <w:rsid w:val="4AA1F9C7"/>
    <w:rsid w:val="4AA8A425"/>
    <w:rsid w:val="4AC0041F"/>
    <w:rsid w:val="4AC21CBA"/>
    <w:rsid w:val="4AD35B81"/>
    <w:rsid w:val="4AE5553A"/>
    <w:rsid w:val="4AF3D497"/>
    <w:rsid w:val="4AF996DC"/>
    <w:rsid w:val="4B19E48E"/>
    <w:rsid w:val="4B1EC7FD"/>
    <w:rsid w:val="4B529551"/>
    <w:rsid w:val="4B8725DA"/>
    <w:rsid w:val="4B874DE5"/>
    <w:rsid w:val="4B9530BB"/>
    <w:rsid w:val="4B99D6C3"/>
    <w:rsid w:val="4BA1A44A"/>
    <w:rsid w:val="4BD65715"/>
    <w:rsid w:val="4BE92583"/>
    <w:rsid w:val="4BEFDD85"/>
    <w:rsid w:val="4BF2AA4D"/>
    <w:rsid w:val="4C1D8F73"/>
    <w:rsid w:val="4C2B20BA"/>
    <w:rsid w:val="4C3668ED"/>
    <w:rsid w:val="4C4164D8"/>
    <w:rsid w:val="4C84E084"/>
    <w:rsid w:val="4CCFFF6B"/>
    <w:rsid w:val="4CDBA6F1"/>
    <w:rsid w:val="4CDD5CB1"/>
    <w:rsid w:val="4CE3FD0B"/>
    <w:rsid w:val="4CE6F004"/>
    <w:rsid w:val="4CEA48A7"/>
    <w:rsid w:val="4CF7F204"/>
    <w:rsid w:val="4D200B67"/>
    <w:rsid w:val="4D27388A"/>
    <w:rsid w:val="4D3679D1"/>
    <w:rsid w:val="4D709EC3"/>
    <w:rsid w:val="4D7CE622"/>
    <w:rsid w:val="4D8CD404"/>
    <w:rsid w:val="4D988B90"/>
    <w:rsid w:val="4D9EE6D9"/>
    <w:rsid w:val="4DBFA73B"/>
    <w:rsid w:val="4DC6B26D"/>
    <w:rsid w:val="4DCAEE38"/>
    <w:rsid w:val="4DCE973D"/>
    <w:rsid w:val="4DD9B37D"/>
    <w:rsid w:val="4DEA9680"/>
    <w:rsid w:val="4DF5C9A7"/>
    <w:rsid w:val="4E081A17"/>
    <w:rsid w:val="4E084473"/>
    <w:rsid w:val="4E140676"/>
    <w:rsid w:val="4E15BCD6"/>
    <w:rsid w:val="4E489E2B"/>
    <w:rsid w:val="4E49D5A8"/>
    <w:rsid w:val="4E588EE2"/>
    <w:rsid w:val="4E5E4642"/>
    <w:rsid w:val="4E5F3526"/>
    <w:rsid w:val="4E6A5ED3"/>
    <w:rsid w:val="4E748345"/>
    <w:rsid w:val="4E875D64"/>
    <w:rsid w:val="4E978D3E"/>
    <w:rsid w:val="4E98055F"/>
    <w:rsid w:val="4EAB1501"/>
    <w:rsid w:val="4EB225C5"/>
    <w:rsid w:val="4EBF6C5C"/>
    <w:rsid w:val="4ECFE757"/>
    <w:rsid w:val="4ED7DD00"/>
    <w:rsid w:val="4EDDEBDA"/>
    <w:rsid w:val="4EE8EC65"/>
    <w:rsid w:val="4EF401C5"/>
    <w:rsid w:val="4F06C94C"/>
    <w:rsid w:val="4F202B43"/>
    <w:rsid w:val="4F277C19"/>
    <w:rsid w:val="4F506651"/>
    <w:rsid w:val="4F5A0618"/>
    <w:rsid w:val="4F659D36"/>
    <w:rsid w:val="4F871950"/>
    <w:rsid w:val="4F8A56C0"/>
    <w:rsid w:val="4FB9F3EE"/>
    <w:rsid w:val="4FC5E09C"/>
    <w:rsid w:val="4FD9B442"/>
    <w:rsid w:val="4FE531E3"/>
    <w:rsid w:val="4FE6D482"/>
    <w:rsid w:val="4FF2B1B4"/>
    <w:rsid w:val="4FF5477D"/>
    <w:rsid w:val="50033BD2"/>
    <w:rsid w:val="5006C2BE"/>
    <w:rsid w:val="500CD877"/>
    <w:rsid w:val="50185276"/>
    <w:rsid w:val="501998DE"/>
    <w:rsid w:val="501C5F64"/>
    <w:rsid w:val="501CE0D1"/>
    <w:rsid w:val="501FB6B1"/>
    <w:rsid w:val="502BB36C"/>
    <w:rsid w:val="5036C9F8"/>
    <w:rsid w:val="504368E6"/>
    <w:rsid w:val="5043AC9D"/>
    <w:rsid w:val="504B9928"/>
    <w:rsid w:val="504DE72F"/>
    <w:rsid w:val="505E4B09"/>
    <w:rsid w:val="506C1ECF"/>
    <w:rsid w:val="50758B26"/>
    <w:rsid w:val="50784641"/>
    <w:rsid w:val="50A25004"/>
    <w:rsid w:val="50B37D61"/>
    <w:rsid w:val="50BB9AA0"/>
    <w:rsid w:val="50CBDEB6"/>
    <w:rsid w:val="50DD2B6E"/>
    <w:rsid w:val="50DE3089"/>
    <w:rsid w:val="50E5F006"/>
    <w:rsid w:val="51019D29"/>
    <w:rsid w:val="5113CD37"/>
    <w:rsid w:val="511F8B29"/>
    <w:rsid w:val="51268A2A"/>
    <w:rsid w:val="5128561E"/>
    <w:rsid w:val="512AC1D9"/>
    <w:rsid w:val="514399F6"/>
    <w:rsid w:val="51516A6B"/>
    <w:rsid w:val="5163F68A"/>
    <w:rsid w:val="51698EED"/>
    <w:rsid w:val="516A3C39"/>
    <w:rsid w:val="517016F2"/>
    <w:rsid w:val="5173DFAB"/>
    <w:rsid w:val="5175DC3D"/>
    <w:rsid w:val="51847E38"/>
    <w:rsid w:val="518BB248"/>
    <w:rsid w:val="51930982"/>
    <w:rsid w:val="51A2D040"/>
    <w:rsid w:val="51AD4023"/>
    <w:rsid w:val="51B27E9A"/>
    <w:rsid w:val="51D18194"/>
    <w:rsid w:val="51DFA605"/>
    <w:rsid w:val="51E770B3"/>
    <w:rsid w:val="51EFD1E2"/>
    <w:rsid w:val="51F8BBA4"/>
    <w:rsid w:val="520DD6CB"/>
    <w:rsid w:val="52128D05"/>
    <w:rsid w:val="52191C3D"/>
    <w:rsid w:val="5224BD62"/>
    <w:rsid w:val="52380CDA"/>
    <w:rsid w:val="524A3434"/>
    <w:rsid w:val="526877F8"/>
    <w:rsid w:val="526984F1"/>
    <w:rsid w:val="52751DD6"/>
    <w:rsid w:val="52825A48"/>
    <w:rsid w:val="5285E1B3"/>
    <w:rsid w:val="528B015F"/>
    <w:rsid w:val="52A01D88"/>
    <w:rsid w:val="52A459F5"/>
    <w:rsid w:val="52A61C4E"/>
    <w:rsid w:val="52D91476"/>
    <w:rsid w:val="52DD3357"/>
    <w:rsid w:val="52F6F29E"/>
    <w:rsid w:val="5309BC0B"/>
    <w:rsid w:val="5327EAFD"/>
    <w:rsid w:val="532AA29E"/>
    <w:rsid w:val="53544D21"/>
    <w:rsid w:val="5355C5E4"/>
    <w:rsid w:val="535DE44B"/>
    <w:rsid w:val="536628A7"/>
    <w:rsid w:val="537CF16A"/>
    <w:rsid w:val="538831AB"/>
    <w:rsid w:val="538B8B23"/>
    <w:rsid w:val="538D3D1D"/>
    <w:rsid w:val="539066BD"/>
    <w:rsid w:val="53D16D11"/>
    <w:rsid w:val="53E95212"/>
    <w:rsid w:val="53FF1D46"/>
    <w:rsid w:val="540D5FC5"/>
    <w:rsid w:val="541B5C87"/>
    <w:rsid w:val="5427E237"/>
    <w:rsid w:val="542AF27B"/>
    <w:rsid w:val="5442C31D"/>
    <w:rsid w:val="544BDA78"/>
    <w:rsid w:val="54634035"/>
    <w:rsid w:val="546937A1"/>
    <w:rsid w:val="546BE2B9"/>
    <w:rsid w:val="54717F3D"/>
    <w:rsid w:val="54749D19"/>
    <w:rsid w:val="5476FCDD"/>
    <w:rsid w:val="548A0EC2"/>
    <w:rsid w:val="548B6FA1"/>
    <w:rsid w:val="548D43A3"/>
    <w:rsid w:val="54B7C47F"/>
    <w:rsid w:val="54C37A48"/>
    <w:rsid w:val="54C40E56"/>
    <w:rsid w:val="54DD29A4"/>
    <w:rsid w:val="54E3EC9E"/>
    <w:rsid w:val="54EC3023"/>
    <w:rsid w:val="54FDF563"/>
    <w:rsid w:val="550E614A"/>
    <w:rsid w:val="5520DAC5"/>
    <w:rsid w:val="552B9FEB"/>
    <w:rsid w:val="5538B73B"/>
    <w:rsid w:val="553ADAA1"/>
    <w:rsid w:val="553CC69F"/>
    <w:rsid w:val="553D3364"/>
    <w:rsid w:val="556D2A60"/>
    <w:rsid w:val="557790BF"/>
    <w:rsid w:val="55A7EC3F"/>
    <w:rsid w:val="55A95CD0"/>
    <w:rsid w:val="55B48A79"/>
    <w:rsid w:val="55E780C2"/>
    <w:rsid w:val="55EF9B06"/>
    <w:rsid w:val="55FDFDEE"/>
    <w:rsid w:val="55FEF5D4"/>
    <w:rsid w:val="560E06FF"/>
    <w:rsid w:val="561E8AEC"/>
    <w:rsid w:val="5632DAD4"/>
    <w:rsid w:val="563AB147"/>
    <w:rsid w:val="565B991C"/>
    <w:rsid w:val="567D2B6D"/>
    <w:rsid w:val="5685DC10"/>
    <w:rsid w:val="56928226"/>
    <w:rsid w:val="56A8E64B"/>
    <w:rsid w:val="56AD9678"/>
    <w:rsid w:val="56B64256"/>
    <w:rsid w:val="56BD5589"/>
    <w:rsid w:val="56D07869"/>
    <w:rsid w:val="56D51466"/>
    <w:rsid w:val="56E6C6A8"/>
    <w:rsid w:val="56F9BB3C"/>
    <w:rsid w:val="56FAEDB4"/>
    <w:rsid w:val="5702E0AD"/>
    <w:rsid w:val="572EC774"/>
    <w:rsid w:val="57450087"/>
    <w:rsid w:val="574A62E1"/>
    <w:rsid w:val="5761C7DE"/>
    <w:rsid w:val="576D2509"/>
    <w:rsid w:val="57819B33"/>
    <w:rsid w:val="5786B51F"/>
    <w:rsid w:val="578CA606"/>
    <w:rsid w:val="579267A2"/>
    <w:rsid w:val="57B06A5C"/>
    <w:rsid w:val="57BDB7AF"/>
    <w:rsid w:val="57C5C521"/>
    <w:rsid w:val="57E3A85B"/>
    <w:rsid w:val="57E48841"/>
    <w:rsid w:val="57EA1371"/>
    <w:rsid w:val="57F1ED74"/>
    <w:rsid w:val="57F85A04"/>
    <w:rsid w:val="57F85A37"/>
    <w:rsid w:val="57FE7226"/>
    <w:rsid w:val="580724E8"/>
    <w:rsid w:val="580E0C3D"/>
    <w:rsid w:val="582D32AE"/>
    <w:rsid w:val="583254C8"/>
    <w:rsid w:val="58351531"/>
    <w:rsid w:val="5849E744"/>
    <w:rsid w:val="5859C905"/>
    <w:rsid w:val="58611B34"/>
    <w:rsid w:val="587DC645"/>
    <w:rsid w:val="58854152"/>
    <w:rsid w:val="58B0878B"/>
    <w:rsid w:val="58D63D3B"/>
    <w:rsid w:val="591B8170"/>
    <w:rsid w:val="591FBA04"/>
    <w:rsid w:val="59428175"/>
    <w:rsid w:val="5954B984"/>
    <w:rsid w:val="59571974"/>
    <w:rsid w:val="5971CAF6"/>
    <w:rsid w:val="5973AF24"/>
    <w:rsid w:val="597E76B2"/>
    <w:rsid w:val="59922CA2"/>
    <w:rsid w:val="59947986"/>
    <w:rsid w:val="59BD51FD"/>
    <w:rsid w:val="59DDA58C"/>
    <w:rsid w:val="59E5CFE5"/>
    <w:rsid w:val="59F1B80A"/>
    <w:rsid w:val="59F5B35B"/>
    <w:rsid w:val="5A04C985"/>
    <w:rsid w:val="5A175C9B"/>
    <w:rsid w:val="5A329D9A"/>
    <w:rsid w:val="5A37C61E"/>
    <w:rsid w:val="5A4A900E"/>
    <w:rsid w:val="5A4B6379"/>
    <w:rsid w:val="5A650563"/>
    <w:rsid w:val="5A6B6672"/>
    <w:rsid w:val="5A6C46B0"/>
    <w:rsid w:val="5A73B9D1"/>
    <w:rsid w:val="5A754740"/>
    <w:rsid w:val="5A835B6B"/>
    <w:rsid w:val="5A963CB6"/>
    <w:rsid w:val="5A9FB876"/>
    <w:rsid w:val="5AAF8CBD"/>
    <w:rsid w:val="5AB1DC11"/>
    <w:rsid w:val="5AD83A1D"/>
    <w:rsid w:val="5ADB9438"/>
    <w:rsid w:val="5ADFEE12"/>
    <w:rsid w:val="5AE597FE"/>
    <w:rsid w:val="5B254AA4"/>
    <w:rsid w:val="5B408D26"/>
    <w:rsid w:val="5B4761CE"/>
    <w:rsid w:val="5B57E35B"/>
    <w:rsid w:val="5B5E5632"/>
    <w:rsid w:val="5B5FDB6C"/>
    <w:rsid w:val="5B66E7EF"/>
    <w:rsid w:val="5B77D896"/>
    <w:rsid w:val="5B8D85B5"/>
    <w:rsid w:val="5B8EB009"/>
    <w:rsid w:val="5B9C64A4"/>
    <w:rsid w:val="5BAB06E3"/>
    <w:rsid w:val="5BBFB59A"/>
    <w:rsid w:val="5BC140AC"/>
    <w:rsid w:val="5BDB5302"/>
    <w:rsid w:val="5BEDE5A3"/>
    <w:rsid w:val="5BF49C56"/>
    <w:rsid w:val="5C099C3E"/>
    <w:rsid w:val="5C1C00F9"/>
    <w:rsid w:val="5C383064"/>
    <w:rsid w:val="5C4A76B7"/>
    <w:rsid w:val="5C504EDF"/>
    <w:rsid w:val="5C531C7D"/>
    <w:rsid w:val="5C598BE1"/>
    <w:rsid w:val="5C868318"/>
    <w:rsid w:val="5C954F62"/>
    <w:rsid w:val="5C9A9378"/>
    <w:rsid w:val="5CBC74E6"/>
    <w:rsid w:val="5CC4A29A"/>
    <w:rsid w:val="5CD33B4B"/>
    <w:rsid w:val="5CDE092D"/>
    <w:rsid w:val="5CF401CB"/>
    <w:rsid w:val="5CF55197"/>
    <w:rsid w:val="5CFC0579"/>
    <w:rsid w:val="5CFC508B"/>
    <w:rsid w:val="5D044717"/>
    <w:rsid w:val="5D233E2A"/>
    <w:rsid w:val="5D23A5B4"/>
    <w:rsid w:val="5D283C35"/>
    <w:rsid w:val="5D28E4FD"/>
    <w:rsid w:val="5D2D541D"/>
    <w:rsid w:val="5D400DB5"/>
    <w:rsid w:val="5D44FEA8"/>
    <w:rsid w:val="5D48D7AE"/>
    <w:rsid w:val="5D4DA320"/>
    <w:rsid w:val="5D54BDD7"/>
    <w:rsid w:val="5D5997A5"/>
    <w:rsid w:val="5D59E998"/>
    <w:rsid w:val="5D5A5C2B"/>
    <w:rsid w:val="5D5F49F9"/>
    <w:rsid w:val="5D66C01B"/>
    <w:rsid w:val="5D6770AD"/>
    <w:rsid w:val="5D6B278C"/>
    <w:rsid w:val="5D7324D6"/>
    <w:rsid w:val="5D822FE0"/>
    <w:rsid w:val="5D841097"/>
    <w:rsid w:val="5D8705F1"/>
    <w:rsid w:val="5D8E1017"/>
    <w:rsid w:val="5DA60ADB"/>
    <w:rsid w:val="5DA69CD3"/>
    <w:rsid w:val="5DD0B7F2"/>
    <w:rsid w:val="5DDD77B4"/>
    <w:rsid w:val="5DE0EA08"/>
    <w:rsid w:val="5DE6EAF7"/>
    <w:rsid w:val="5DFDEACD"/>
    <w:rsid w:val="5E11DA26"/>
    <w:rsid w:val="5E2BF7F8"/>
    <w:rsid w:val="5E3C7985"/>
    <w:rsid w:val="5E434884"/>
    <w:rsid w:val="5E57D9A1"/>
    <w:rsid w:val="5E582DC1"/>
    <w:rsid w:val="5E6AFF95"/>
    <w:rsid w:val="5E799623"/>
    <w:rsid w:val="5EBB70C0"/>
    <w:rsid w:val="5ECB50D9"/>
    <w:rsid w:val="5EE936B3"/>
    <w:rsid w:val="5EF34157"/>
    <w:rsid w:val="5EF6004B"/>
    <w:rsid w:val="5EFB1420"/>
    <w:rsid w:val="5EFBA12C"/>
    <w:rsid w:val="5F20D651"/>
    <w:rsid w:val="5F26B665"/>
    <w:rsid w:val="5F2C8B94"/>
    <w:rsid w:val="5F351921"/>
    <w:rsid w:val="5F40585E"/>
    <w:rsid w:val="5F47D075"/>
    <w:rsid w:val="5F49EF2F"/>
    <w:rsid w:val="5F6900BE"/>
    <w:rsid w:val="5F76C916"/>
    <w:rsid w:val="5F783860"/>
    <w:rsid w:val="5F863BBC"/>
    <w:rsid w:val="5F90EDDD"/>
    <w:rsid w:val="5F949D6C"/>
    <w:rsid w:val="5F99AD8B"/>
    <w:rsid w:val="5F9BFEE1"/>
    <w:rsid w:val="5FA27626"/>
    <w:rsid w:val="5FA5FC9E"/>
    <w:rsid w:val="5FAE263B"/>
    <w:rsid w:val="5FB48EF7"/>
    <w:rsid w:val="5FBB640B"/>
    <w:rsid w:val="5FC21B44"/>
    <w:rsid w:val="5FC5F684"/>
    <w:rsid w:val="5FCEFB15"/>
    <w:rsid w:val="5FCFF513"/>
    <w:rsid w:val="5FE63261"/>
    <w:rsid w:val="5FEA438C"/>
    <w:rsid w:val="5FF208F2"/>
    <w:rsid w:val="60092D61"/>
    <w:rsid w:val="602182B0"/>
    <w:rsid w:val="6049E136"/>
    <w:rsid w:val="607CDFED"/>
    <w:rsid w:val="607F5030"/>
    <w:rsid w:val="60B1D974"/>
    <w:rsid w:val="60BE952C"/>
    <w:rsid w:val="60BEAA1A"/>
    <w:rsid w:val="60C54BB4"/>
    <w:rsid w:val="60F9677A"/>
    <w:rsid w:val="6117EC57"/>
    <w:rsid w:val="6119A035"/>
    <w:rsid w:val="614AD74B"/>
    <w:rsid w:val="61555646"/>
    <w:rsid w:val="6156FF1E"/>
    <w:rsid w:val="615C6C08"/>
    <w:rsid w:val="6165A4C9"/>
    <w:rsid w:val="616E6314"/>
    <w:rsid w:val="6170B54C"/>
    <w:rsid w:val="61A6C941"/>
    <w:rsid w:val="61C32321"/>
    <w:rsid w:val="61C72839"/>
    <w:rsid w:val="61D8F747"/>
    <w:rsid w:val="61EFC332"/>
    <w:rsid w:val="61F4FD0C"/>
    <w:rsid w:val="61F5DA8D"/>
    <w:rsid w:val="6204B265"/>
    <w:rsid w:val="621AF993"/>
    <w:rsid w:val="623702FF"/>
    <w:rsid w:val="623C7159"/>
    <w:rsid w:val="62402067"/>
    <w:rsid w:val="624AB431"/>
    <w:rsid w:val="624E273A"/>
    <w:rsid w:val="62509738"/>
    <w:rsid w:val="625A15B2"/>
    <w:rsid w:val="627EEDFA"/>
    <w:rsid w:val="62A29E58"/>
    <w:rsid w:val="62A548F2"/>
    <w:rsid w:val="62A6CC0F"/>
    <w:rsid w:val="62B31DD8"/>
    <w:rsid w:val="62E058A7"/>
    <w:rsid w:val="62E70BCA"/>
    <w:rsid w:val="63098C48"/>
    <w:rsid w:val="63137547"/>
    <w:rsid w:val="631C9462"/>
    <w:rsid w:val="632208B0"/>
    <w:rsid w:val="63299EEA"/>
    <w:rsid w:val="632B3AD4"/>
    <w:rsid w:val="632E24D5"/>
    <w:rsid w:val="632F5DE4"/>
    <w:rsid w:val="6342925F"/>
    <w:rsid w:val="6351A539"/>
    <w:rsid w:val="63568024"/>
    <w:rsid w:val="6356B56C"/>
    <w:rsid w:val="636A01E5"/>
    <w:rsid w:val="636EE55C"/>
    <w:rsid w:val="6371AF7D"/>
    <w:rsid w:val="63773B4A"/>
    <w:rsid w:val="6388E803"/>
    <w:rsid w:val="638F44B2"/>
    <w:rsid w:val="63B479F4"/>
    <w:rsid w:val="63B4ADAC"/>
    <w:rsid w:val="63C19B05"/>
    <w:rsid w:val="63CAA469"/>
    <w:rsid w:val="63CC50EE"/>
    <w:rsid w:val="63D1750A"/>
    <w:rsid w:val="63EE1B57"/>
    <w:rsid w:val="63F68554"/>
    <w:rsid w:val="63FF85F3"/>
    <w:rsid w:val="640E29F5"/>
    <w:rsid w:val="6432E1EC"/>
    <w:rsid w:val="644E7ED2"/>
    <w:rsid w:val="646D178E"/>
    <w:rsid w:val="6488DF91"/>
    <w:rsid w:val="64AADE34"/>
    <w:rsid w:val="64ADF04F"/>
    <w:rsid w:val="64B0BEF7"/>
    <w:rsid w:val="64DE5B9B"/>
    <w:rsid w:val="64DEC367"/>
    <w:rsid w:val="64F7CE53"/>
    <w:rsid w:val="64FEBD21"/>
    <w:rsid w:val="651D0F82"/>
    <w:rsid w:val="653143C5"/>
    <w:rsid w:val="654CAA25"/>
    <w:rsid w:val="654DA4F8"/>
    <w:rsid w:val="655AA966"/>
    <w:rsid w:val="655ED382"/>
    <w:rsid w:val="65694E67"/>
    <w:rsid w:val="657786F0"/>
    <w:rsid w:val="657F2670"/>
    <w:rsid w:val="658001BD"/>
    <w:rsid w:val="659D3DBD"/>
    <w:rsid w:val="65A2AA56"/>
    <w:rsid w:val="65A678AC"/>
    <w:rsid w:val="65BC085C"/>
    <w:rsid w:val="65C07A48"/>
    <w:rsid w:val="65CE20B9"/>
    <w:rsid w:val="65D50943"/>
    <w:rsid w:val="65DBC9D7"/>
    <w:rsid w:val="65F787D0"/>
    <w:rsid w:val="6605968E"/>
    <w:rsid w:val="660C62B9"/>
    <w:rsid w:val="661161CF"/>
    <w:rsid w:val="6616ECAE"/>
    <w:rsid w:val="66283E5B"/>
    <w:rsid w:val="6638A44B"/>
    <w:rsid w:val="664F78F0"/>
    <w:rsid w:val="6654E3B5"/>
    <w:rsid w:val="66686DB3"/>
    <w:rsid w:val="66721C60"/>
    <w:rsid w:val="66910F9A"/>
    <w:rsid w:val="66994384"/>
    <w:rsid w:val="66B3438D"/>
    <w:rsid w:val="66C89B63"/>
    <w:rsid w:val="66D579A9"/>
    <w:rsid w:val="66DAB5D9"/>
    <w:rsid w:val="66E9DEA0"/>
    <w:rsid w:val="670EE2E7"/>
    <w:rsid w:val="67122C00"/>
    <w:rsid w:val="672C514B"/>
    <w:rsid w:val="673381A9"/>
    <w:rsid w:val="6739A606"/>
    <w:rsid w:val="67612F1C"/>
    <w:rsid w:val="676F04F7"/>
    <w:rsid w:val="67718419"/>
    <w:rsid w:val="67820819"/>
    <w:rsid w:val="678F7F65"/>
    <w:rsid w:val="67B119C3"/>
    <w:rsid w:val="67B35354"/>
    <w:rsid w:val="67B69296"/>
    <w:rsid w:val="67D7162A"/>
    <w:rsid w:val="67EACF4B"/>
    <w:rsid w:val="67EBBDF2"/>
    <w:rsid w:val="67EDDD38"/>
    <w:rsid w:val="67F46DEA"/>
    <w:rsid w:val="67FA5B31"/>
    <w:rsid w:val="67FFD584"/>
    <w:rsid w:val="680354DC"/>
    <w:rsid w:val="6825A84B"/>
    <w:rsid w:val="683A7CDB"/>
    <w:rsid w:val="683D9C6D"/>
    <w:rsid w:val="6848109D"/>
    <w:rsid w:val="684D2036"/>
    <w:rsid w:val="684F5E62"/>
    <w:rsid w:val="6850969F"/>
    <w:rsid w:val="686A6730"/>
    <w:rsid w:val="689DA707"/>
    <w:rsid w:val="68A49D56"/>
    <w:rsid w:val="68AC3474"/>
    <w:rsid w:val="68AD9A3F"/>
    <w:rsid w:val="68AE75F2"/>
    <w:rsid w:val="68C8D844"/>
    <w:rsid w:val="68CEFC22"/>
    <w:rsid w:val="68D4CCD3"/>
    <w:rsid w:val="68EED950"/>
    <w:rsid w:val="68F833C8"/>
    <w:rsid w:val="690016C4"/>
    <w:rsid w:val="691CC863"/>
    <w:rsid w:val="692F0204"/>
    <w:rsid w:val="693F90B6"/>
    <w:rsid w:val="69542A00"/>
    <w:rsid w:val="69751207"/>
    <w:rsid w:val="6975A9B2"/>
    <w:rsid w:val="6981D439"/>
    <w:rsid w:val="69840A68"/>
    <w:rsid w:val="6991960C"/>
    <w:rsid w:val="69948123"/>
    <w:rsid w:val="69B3F4D9"/>
    <w:rsid w:val="69BC3590"/>
    <w:rsid w:val="69BDA316"/>
    <w:rsid w:val="69E67FD3"/>
    <w:rsid w:val="69FCF758"/>
    <w:rsid w:val="6A074709"/>
    <w:rsid w:val="6A2A55C3"/>
    <w:rsid w:val="6A31BD0E"/>
    <w:rsid w:val="6A425223"/>
    <w:rsid w:val="6A7C8B7A"/>
    <w:rsid w:val="6A8E075B"/>
    <w:rsid w:val="6A9B3EE2"/>
    <w:rsid w:val="6AA1CF05"/>
    <w:rsid w:val="6AA9DF18"/>
    <w:rsid w:val="6AB34E15"/>
    <w:rsid w:val="6AC3FF64"/>
    <w:rsid w:val="6ACB6AB5"/>
    <w:rsid w:val="6AD91840"/>
    <w:rsid w:val="6ADB7696"/>
    <w:rsid w:val="6AE1EE0B"/>
    <w:rsid w:val="6B0B4CCD"/>
    <w:rsid w:val="6B436217"/>
    <w:rsid w:val="6B43D4EC"/>
    <w:rsid w:val="6B46F570"/>
    <w:rsid w:val="6B4B9CC4"/>
    <w:rsid w:val="6B69B15C"/>
    <w:rsid w:val="6B6E5C0B"/>
    <w:rsid w:val="6B819C79"/>
    <w:rsid w:val="6B88B56D"/>
    <w:rsid w:val="6BA7527B"/>
    <w:rsid w:val="6BB045D1"/>
    <w:rsid w:val="6BCA6221"/>
    <w:rsid w:val="6BE0C7B4"/>
    <w:rsid w:val="6BE4DDB2"/>
    <w:rsid w:val="6BEAB70B"/>
    <w:rsid w:val="6BFB95B3"/>
    <w:rsid w:val="6C03980B"/>
    <w:rsid w:val="6C0E4DE0"/>
    <w:rsid w:val="6C221B3E"/>
    <w:rsid w:val="6C2EA2F0"/>
    <w:rsid w:val="6C31BFA9"/>
    <w:rsid w:val="6C4CBA03"/>
    <w:rsid w:val="6C542A8B"/>
    <w:rsid w:val="6C5B4E43"/>
    <w:rsid w:val="6C628362"/>
    <w:rsid w:val="6C682E19"/>
    <w:rsid w:val="6C788895"/>
    <w:rsid w:val="6C793E72"/>
    <w:rsid w:val="6C7FA0F4"/>
    <w:rsid w:val="6C812938"/>
    <w:rsid w:val="6C817802"/>
    <w:rsid w:val="6C8DF1F1"/>
    <w:rsid w:val="6C908109"/>
    <w:rsid w:val="6C98CD10"/>
    <w:rsid w:val="6CAC6F9B"/>
    <w:rsid w:val="6CB073FA"/>
    <w:rsid w:val="6CB4BCEC"/>
    <w:rsid w:val="6CB8F7CF"/>
    <w:rsid w:val="6CD65E4C"/>
    <w:rsid w:val="6CD7B949"/>
    <w:rsid w:val="6CDBD0EC"/>
    <w:rsid w:val="6CEBB48D"/>
    <w:rsid w:val="6CF795F7"/>
    <w:rsid w:val="6D05A950"/>
    <w:rsid w:val="6D188E67"/>
    <w:rsid w:val="6D27E1E6"/>
    <w:rsid w:val="6D2B36EE"/>
    <w:rsid w:val="6D32102A"/>
    <w:rsid w:val="6D4C7AD3"/>
    <w:rsid w:val="6D60BF0E"/>
    <w:rsid w:val="6D63AEFC"/>
    <w:rsid w:val="6D64DD7C"/>
    <w:rsid w:val="6D9D3A81"/>
    <w:rsid w:val="6DA02EDE"/>
    <w:rsid w:val="6DA94905"/>
    <w:rsid w:val="6DB950E7"/>
    <w:rsid w:val="6DBF622A"/>
    <w:rsid w:val="6DD497BD"/>
    <w:rsid w:val="6DDCCB58"/>
    <w:rsid w:val="6DDD9B05"/>
    <w:rsid w:val="6DEDE984"/>
    <w:rsid w:val="6DF5D4EB"/>
    <w:rsid w:val="6DF62F0A"/>
    <w:rsid w:val="6DFD1F5B"/>
    <w:rsid w:val="6DFD8278"/>
    <w:rsid w:val="6E347CEB"/>
    <w:rsid w:val="6E36E3E0"/>
    <w:rsid w:val="6E472A89"/>
    <w:rsid w:val="6E4A14E6"/>
    <w:rsid w:val="6E6D42E7"/>
    <w:rsid w:val="6E88106F"/>
    <w:rsid w:val="6E945DF5"/>
    <w:rsid w:val="6EA9C627"/>
    <w:rsid w:val="6EAF8549"/>
    <w:rsid w:val="6EB075C1"/>
    <w:rsid w:val="6EB8BAF6"/>
    <w:rsid w:val="6EC0F6CA"/>
    <w:rsid w:val="6EF216B6"/>
    <w:rsid w:val="6EFDDDD7"/>
    <w:rsid w:val="6F12CAD8"/>
    <w:rsid w:val="6F16FEF4"/>
    <w:rsid w:val="6F2109A8"/>
    <w:rsid w:val="6F24FA26"/>
    <w:rsid w:val="6F3642A5"/>
    <w:rsid w:val="6F368A95"/>
    <w:rsid w:val="6F3A3D71"/>
    <w:rsid w:val="6F3D92D1"/>
    <w:rsid w:val="6F547FB4"/>
    <w:rsid w:val="6F64249B"/>
    <w:rsid w:val="6F77463B"/>
    <w:rsid w:val="6F780966"/>
    <w:rsid w:val="6F7F9B01"/>
    <w:rsid w:val="6F86AEEA"/>
    <w:rsid w:val="6F97FF66"/>
    <w:rsid w:val="6F9D814D"/>
    <w:rsid w:val="6FB4E5F4"/>
    <w:rsid w:val="6FCAC913"/>
    <w:rsid w:val="6FD79372"/>
    <w:rsid w:val="6FDD8D83"/>
    <w:rsid w:val="6FE88D58"/>
    <w:rsid w:val="6FEA64A1"/>
    <w:rsid w:val="6FEB1221"/>
    <w:rsid w:val="700A4E6C"/>
    <w:rsid w:val="7010741F"/>
    <w:rsid w:val="7012DD07"/>
    <w:rsid w:val="7014B6E0"/>
    <w:rsid w:val="70207B00"/>
    <w:rsid w:val="7026EB51"/>
    <w:rsid w:val="70359A9F"/>
    <w:rsid w:val="703B2471"/>
    <w:rsid w:val="704632E9"/>
    <w:rsid w:val="70560150"/>
    <w:rsid w:val="70560588"/>
    <w:rsid w:val="707C5C4B"/>
    <w:rsid w:val="707D8809"/>
    <w:rsid w:val="70915C15"/>
    <w:rsid w:val="709E7E8B"/>
    <w:rsid w:val="709F1B35"/>
    <w:rsid w:val="70B91905"/>
    <w:rsid w:val="70D652FA"/>
    <w:rsid w:val="70E79EDC"/>
    <w:rsid w:val="70ED1DA7"/>
    <w:rsid w:val="70F14F6B"/>
    <w:rsid w:val="70FCD449"/>
    <w:rsid w:val="7155E61B"/>
    <w:rsid w:val="7175DD34"/>
    <w:rsid w:val="717C1D85"/>
    <w:rsid w:val="7184BD4A"/>
    <w:rsid w:val="718F00B4"/>
    <w:rsid w:val="71A0DAD0"/>
    <w:rsid w:val="71AFAE43"/>
    <w:rsid w:val="71B8C425"/>
    <w:rsid w:val="71FC41C5"/>
    <w:rsid w:val="71FC4862"/>
    <w:rsid w:val="722CDBE3"/>
    <w:rsid w:val="723A69D3"/>
    <w:rsid w:val="72438992"/>
    <w:rsid w:val="724E51CA"/>
    <w:rsid w:val="7255EFB0"/>
    <w:rsid w:val="7258AA6A"/>
    <w:rsid w:val="72598CB1"/>
    <w:rsid w:val="72612720"/>
    <w:rsid w:val="72634951"/>
    <w:rsid w:val="7271C0B3"/>
    <w:rsid w:val="7278998D"/>
    <w:rsid w:val="727AF60F"/>
    <w:rsid w:val="728D10D8"/>
    <w:rsid w:val="728DF4F5"/>
    <w:rsid w:val="72953B20"/>
    <w:rsid w:val="729C75D6"/>
    <w:rsid w:val="72A97989"/>
    <w:rsid w:val="72B83EFF"/>
    <w:rsid w:val="72C32271"/>
    <w:rsid w:val="72C8BC90"/>
    <w:rsid w:val="72CFFEC1"/>
    <w:rsid w:val="72E29C23"/>
    <w:rsid w:val="72E6C634"/>
    <w:rsid w:val="72E75052"/>
    <w:rsid w:val="72EFC9A4"/>
    <w:rsid w:val="72F07C26"/>
    <w:rsid w:val="73278042"/>
    <w:rsid w:val="733FD58B"/>
    <w:rsid w:val="733FF59E"/>
    <w:rsid w:val="734AA682"/>
    <w:rsid w:val="7353C270"/>
    <w:rsid w:val="7356333B"/>
    <w:rsid w:val="735BBDB0"/>
    <w:rsid w:val="7360A86F"/>
    <w:rsid w:val="73ADFB92"/>
    <w:rsid w:val="73C3C8F5"/>
    <w:rsid w:val="73C79579"/>
    <w:rsid w:val="73E52408"/>
    <w:rsid w:val="73F9C1E1"/>
    <w:rsid w:val="73FEB684"/>
    <w:rsid w:val="73FFEE02"/>
    <w:rsid w:val="74222131"/>
    <w:rsid w:val="742B5075"/>
    <w:rsid w:val="7430F781"/>
    <w:rsid w:val="7435DC5C"/>
    <w:rsid w:val="743971DC"/>
    <w:rsid w:val="744ECED6"/>
    <w:rsid w:val="7463751F"/>
    <w:rsid w:val="746D1817"/>
    <w:rsid w:val="74721BB0"/>
    <w:rsid w:val="747F7B4B"/>
    <w:rsid w:val="749CA1A4"/>
    <w:rsid w:val="74B65061"/>
    <w:rsid w:val="74C31983"/>
    <w:rsid w:val="74C709A5"/>
    <w:rsid w:val="74C98BEA"/>
    <w:rsid w:val="74CE9AFE"/>
    <w:rsid w:val="74CF8342"/>
    <w:rsid w:val="74D41D94"/>
    <w:rsid w:val="74E2EF9B"/>
    <w:rsid w:val="74E49DAA"/>
    <w:rsid w:val="74F022CB"/>
    <w:rsid w:val="75030718"/>
    <w:rsid w:val="75199526"/>
    <w:rsid w:val="7520F016"/>
    <w:rsid w:val="7526E3BE"/>
    <w:rsid w:val="753C3131"/>
    <w:rsid w:val="753EC374"/>
    <w:rsid w:val="755868B6"/>
    <w:rsid w:val="7565EE40"/>
    <w:rsid w:val="756FA3DB"/>
    <w:rsid w:val="758121DE"/>
    <w:rsid w:val="758338CC"/>
    <w:rsid w:val="75A56585"/>
    <w:rsid w:val="75C91217"/>
    <w:rsid w:val="75C9A9E6"/>
    <w:rsid w:val="75DD89C0"/>
    <w:rsid w:val="75DE0CFF"/>
    <w:rsid w:val="75E38B85"/>
    <w:rsid w:val="75EF08C2"/>
    <w:rsid w:val="76054678"/>
    <w:rsid w:val="760CC503"/>
    <w:rsid w:val="76173F7C"/>
    <w:rsid w:val="7633C70B"/>
    <w:rsid w:val="76457F86"/>
    <w:rsid w:val="764A30A6"/>
    <w:rsid w:val="7662DAAC"/>
    <w:rsid w:val="76645732"/>
    <w:rsid w:val="766CF210"/>
    <w:rsid w:val="7684B488"/>
    <w:rsid w:val="769665F1"/>
    <w:rsid w:val="7699D3BC"/>
    <w:rsid w:val="769BA464"/>
    <w:rsid w:val="76A768E7"/>
    <w:rsid w:val="76B0D605"/>
    <w:rsid w:val="76BE4540"/>
    <w:rsid w:val="76C3E8E3"/>
    <w:rsid w:val="76C5D7DC"/>
    <w:rsid w:val="76C8773B"/>
    <w:rsid w:val="76C89893"/>
    <w:rsid w:val="76D923C6"/>
    <w:rsid w:val="76E4C479"/>
    <w:rsid w:val="76E9AA2C"/>
    <w:rsid w:val="76F4FCBB"/>
    <w:rsid w:val="76FD04B7"/>
    <w:rsid w:val="77145FCB"/>
    <w:rsid w:val="7737DCA3"/>
    <w:rsid w:val="775C24FD"/>
    <w:rsid w:val="775E38CB"/>
    <w:rsid w:val="775F9590"/>
    <w:rsid w:val="776F2FD2"/>
    <w:rsid w:val="7783513F"/>
    <w:rsid w:val="7786FDF0"/>
    <w:rsid w:val="7796219D"/>
    <w:rsid w:val="77AE5E00"/>
    <w:rsid w:val="77B76E19"/>
    <w:rsid w:val="77B8F3A0"/>
    <w:rsid w:val="77BDE09D"/>
    <w:rsid w:val="77BE4955"/>
    <w:rsid w:val="77D0BA3C"/>
    <w:rsid w:val="77D30888"/>
    <w:rsid w:val="77D92F8A"/>
    <w:rsid w:val="77D9D82E"/>
    <w:rsid w:val="77F51893"/>
    <w:rsid w:val="78046CD3"/>
    <w:rsid w:val="78048F0A"/>
    <w:rsid w:val="7816F2C0"/>
    <w:rsid w:val="783526D8"/>
    <w:rsid w:val="78379CCB"/>
    <w:rsid w:val="783815E3"/>
    <w:rsid w:val="783FDE62"/>
    <w:rsid w:val="78448500"/>
    <w:rsid w:val="7844AC41"/>
    <w:rsid w:val="785B2896"/>
    <w:rsid w:val="786B9616"/>
    <w:rsid w:val="7880898F"/>
    <w:rsid w:val="789A2B47"/>
    <w:rsid w:val="789BD8BE"/>
    <w:rsid w:val="78B16559"/>
    <w:rsid w:val="78B68613"/>
    <w:rsid w:val="78C5C462"/>
    <w:rsid w:val="78D44F14"/>
    <w:rsid w:val="78D99F52"/>
    <w:rsid w:val="78F4754D"/>
    <w:rsid w:val="78FDF319"/>
    <w:rsid w:val="79236A9D"/>
    <w:rsid w:val="792F6E9D"/>
    <w:rsid w:val="793DA492"/>
    <w:rsid w:val="79657ABD"/>
    <w:rsid w:val="797F60FB"/>
    <w:rsid w:val="799E9893"/>
    <w:rsid w:val="79C7DD1E"/>
    <w:rsid w:val="79CFD3ED"/>
    <w:rsid w:val="79D844DB"/>
    <w:rsid w:val="79E33AC5"/>
    <w:rsid w:val="79EC7343"/>
    <w:rsid w:val="79ECA684"/>
    <w:rsid w:val="7A003DD0"/>
    <w:rsid w:val="7A0F4C85"/>
    <w:rsid w:val="7A152A43"/>
    <w:rsid w:val="7A160E8C"/>
    <w:rsid w:val="7A20E9CB"/>
    <w:rsid w:val="7A260E6F"/>
    <w:rsid w:val="7A30DDEA"/>
    <w:rsid w:val="7A3237F6"/>
    <w:rsid w:val="7A3989A7"/>
    <w:rsid w:val="7A44D31D"/>
    <w:rsid w:val="7A807CF2"/>
    <w:rsid w:val="7A96D585"/>
    <w:rsid w:val="7A98EEFE"/>
    <w:rsid w:val="7ABA0DA4"/>
    <w:rsid w:val="7ACE1773"/>
    <w:rsid w:val="7AE390BF"/>
    <w:rsid w:val="7AED9577"/>
    <w:rsid w:val="7AF06EFB"/>
    <w:rsid w:val="7AFD8B10"/>
    <w:rsid w:val="7B0D48BB"/>
    <w:rsid w:val="7B1F4389"/>
    <w:rsid w:val="7B21197A"/>
    <w:rsid w:val="7B32E5BE"/>
    <w:rsid w:val="7B34A31D"/>
    <w:rsid w:val="7B37F04A"/>
    <w:rsid w:val="7B3B7C65"/>
    <w:rsid w:val="7B608779"/>
    <w:rsid w:val="7B6BFC52"/>
    <w:rsid w:val="7B767EF5"/>
    <w:rsid w:val="7B792C54"/>
    <w:rsid w:val="7B8E207B"/>
    <w:rsid w:val="7B92C641"/>
    <w:rsid w:val="7B9ECE55"/>
    <w:rsid w:val="7BA3C00B"/>
    <w:rsid w:val="7BA41AF2"/>
    <w:rsid w:val="7BAEEE5D"/>
    <w:rsid w:val="7BB5CE1D"/>
    <w:rsid w:val="7BBADB96"/>
    <w:rsid w:val="7BEFA379"/>
    <w:rsid w:val="7BF42B67"/>
    <w:rsid w:val="7BF5645A"/>
    <w:rsid w:val="7BF6792B"/>
    <w:rsid w:val="7BF7441B"/>
    <w:rsid w:val="7BFC46D1"/>
    <w:rsid w:val="7C107B1C"/>
    <w:rsid w:val="7C1BF24D"/>
    <w:rsid w:val="7C36C48E"/>
    <w:rsid w:val="7C533E66"/>
    <w:rsid w:val="7C5DE79A"/>
    <w:rsid w:val="7C6A3C8C"/>
    <w:rsid w:val="7C7B3C9E"/>
    <w:rsid w:val="7C7E034B"/>
    <w:rsid w:val="7C81415A"/>
    <w:rsid w:val="7C8559B5"/>
    <w:rsid w:val="7C8D799B"/>
    <w:rsid w:val="7C93BED5"/>
    <w:rsid w:val="7CA0C93F"/>
    <w:rsid w:val="7CA5B752"/>
    <w:rsid w:val="7CAF37E7"/>
    <w:rsid w:val="7CCE4D4C"/>
    <w:rsid w:val="7CD19412"/>
    <w:rsid w:val="7CDCC342"/>
    <w:rsid w:val="7CE0C8AD"/>
    <w:rsid w:val="7CEF10DB"/>
    <w:rsid w:val="7D116B88"/>
    <w:rsid w:val="7D344ACC"/>
    <w:rsid w:val="7D4E86BA"/>
    <w:rsid w:val="7D584E61"/>
    <w:rsid w:val="7D65B838"/>
    <w:rsid w:val="7D66971F"/>
    <w:rsid w:val="7D6A7EA6"/>
    <w:rsid w:val="7D833D3D"/>
    <w:rsid w:val="7D8ED453"/>
    <w:rsid w:val="7D97B7A6"/>
    <w:rsid w:val="7DB2ADC4"/>
    <w:rsid w:val="7DB9BB64"/>
    <w:rsid w:val="7DF6C888"/>
    <w:rsid w:val="7E0D050B"/>
    <w:rsid w:val="7E0E8FDE"/>
    <w:rsid w:val="7E19CB19"/>
    <w:rsid w:val="7E1F8AE5"/>
    <w:rsid w:val="7E27BB8A"/>
    <w:rsid w:val="7E3A61C0"/>
    <w:rsid w:val="7E3CB381"/>
    <w:rsid w:val="7E520B60"/>
    <w:rsid w:val="7E5A548F"/>
    <w:rsid w:val="7E689D34"/>
    <w:rsid w:val="7E6B7A33"/>
    <w:rsid w:val="7E724F11"/>
    <w:rsid w:val="7E8C0C1C"/>
    <w:rsid w:val="7EAA464E"/>
    <w:rsid w:val="7EAFB359"/>
    <w:rsid w:val="7EC2F9B7"/>
    <w:rsid w:val="7F035CC1"/>
    <w:rsid w:val="7F143EDE"/>
    <w:rsid w:val="7F1A9170"/>
    <w:rsid w:val="7F3E6078"/>
    <w:rsid w:val="7F442B88"/>
    <w:rsid w:val="7F514BCA"/>
    <w:rsid w:val="7F711414"/>
    <w:rsid w:val="7F85D656"/>
    <w:rsid w:val="7F8A0D06"/>
    <w:rsid w:val="7F9153C5"/>
    <w:rsid w:val="7F9B5A51"/>
    <w:rsid w:val="7FB6DE4B"/>
    <w:rsid w:val="7FB899E5"/>
    <w:rsid w:val="7FC14B0B"/>
    <w:rsid w:val="7FCFE582"/>
    <w:rsid w:val="7FE08C6A"/>
    <w:rsid w:val="7FE1E91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F26CE"/>
  <w15:docId w15:val="{A76BF0DA-579F-4608-ACD7-AFAB4CEB6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2"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
    <w:lsdException w:name="List Bullet 3" w:uiPriority="1"/>
    <w:lsdException w:name="List Bullet 4" w:semiHidden="1" w:unhideWhenUsed="1"/>
    <w:lsdException w:name="List Bullet 5" w:semiHidden="1" w:unhideWhenUsed="1"/>
    <w:lsdException w:name="List Number 2" w:uiPriority="1"/>
    <w:lsdException w:name="List Number 3" w:semiHidden="1" w:uiPriority="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F4E"/>
    <w:pPr>
      <w:spacing w:after="240" w:line="264" w:lineRule="auto"/>
    </w:pPr>
    <w:rPr>
      <w:rFonts w:asciiTheme="minorHAnsi" w:hAnsiTheme="minorHAnsi"/>
      <w:szCs w:val="22"/>
      <w:lang w:eastAsia="en-US"/>
    </w:rPr>
  </w:style>
  <w:style w:type="paragraph" w:styleId="Heading1">
    <w:name w:val="heading 1"/>
    <w:aliases w:val="Heading 1 small,Major Division,boo,Major Divisions,h1,Main Heading,Para1,h11,h12,A MAJOR/BOLD,EOI - Heading 1 (Low),Heading 1 (low),Part,H1,1,Schedheading,Heading 1(Report Only),Head1,Heading apps,Main Heading1,H11,11,h13,A MAJOR/BOLD1,Head11"/>
    <w:basedOn w:val="Normal"/>
    <w:next w:val="Normal"/>
    <w:link w:val="Heading1Char"/>
    <w:uiPriority w:val="9"/>
    <w:qFormat/>
    <w:rsid w:val="00B10EA8"/>
    <w:pPr>
      <w:keepNext/>
      <w:pageBreakBefore/>
      <w:numPr>
        <w:numId w:val="7"/>
      </w:numPr>
      <w:shd w:val="clear" w:color="auto" w:fill="DAEDF3" w:themeFill="accent2" w:themeFillTint="33"/>
      <w:spacing w:before="240" w:after="360"/>
      <w:outlineLvl w:val="0"/>
    </w:pPr>
    <w:rPr>
      <w:rFonts w:asciiTheme="majorHAnsi" w:eastAsia="Times New Roman" w:hAnsiTheme="majorHAnsi"/>
      <w:b/>
      <w:bCs/>
      <w:caps/>
      <w:color w:val="215565" w:themeColor="accent2" w:themeShade="80"/>
      <w:sz w:val="32"/>
      <w:szCs w:val="28"/>
    </w:rPr>
  </w:style>
  <w:style w:type="paragraph" w:styleId="Heading2">
    <w:name w:val="heading 2"/>
    <w:aliases w:val="h2"/>
    <w:basedOn w:val="Normal"/>
    <w:next w:val="Normal"/>
    <w:link w:val="Heading2Char"/>
    <w:qFormat/>
    <w:rsid w:val="00C753C8"/>
    <w:pPr>
      <w:keepNext/>
      <w:keepLines/>
      <w:numPr>
        <w:ilvl w:val="1"/>
        <w:numId w:val="7"/>
      </w:numPr>
      <w:spacing w:before="360"/>
      <w:outlineLvl w:val="1"/>
    </w:pPr>
    <w:rPr>
      <w:rFonts w:asciiTheme="majorHAnsi" w:eastAsia="Times New Roman" w:hAnsiTheme="majorHAnsi"/>
      <w:bCs/>
      <w:caps/>
      <w:color w:val="215565" w:themeColor="accent2" w:themeShade="80"/>
      <w:sz w:val="28"/>
      <w:szCs w:val="26"/>
    </w:rPr>
  </w:style>
  <w:style w:type="paragraph" w:styleId="Heading3">
    <w:name w:val="heading 3"/>
    <w:aliases w:val="h3"/>
    <w:basedOn w:val="Normal"/>
    <w:next w:val="Normal"/>
    <w:link w:val="Heading3Char"/>
    <w:qFormat/>
    <w:rsid w:val="00C753C8"/>
    <w:pPr>
      <w:keepNext/>
      <w:keepLines/>
      <w:numPr>
        <w:ilvl w:val="2"/>
        <w:numId w:val="7"/>
      </w:numPr>
      <w:spacing w:before="360"/>
      <w:outlineLvl w:val="2"/>
    </w:pPr>
    <w:rPr>
      <w:rFonts w:eastAsia="Times New Roman"/>
      <w:bCs/>
      <w:caps/>
      <w:color w:val="215565" w:themeColor="accent2" w:themeShade="80"/>
      <w:sz w:val="24"/>
    </w:rPr>
  </w:style>
  <w:style w:type="paragraph" w:styleId="Heading4">
    <w:name w:val="heading 4"/>
    <w:basedOn w:val="Heading3"/>
    <w:next w:val="Normal"/>
    <w:link w:val="Heading4Char"/>
    <w:qFormat/>
    <w:rsid w:val="00C753C8"/>
    <w:pPr>
      <w:numPr>
        <w:ilvl w:val="0"/>
        <w:numId w:val="0"/>
      </w:numPr>
      <w:outlineLvl w:val="3"/>
    </w:pPr>
    <w:rPr>
      <w:rFonts w:asciiTheme="majorHAnsi" w:hAnsiTheme="majorHAnsi"/>
      <w:bCs w:val="0"/>
      <w:iCs/>
      <w:sz w:val="20"/>
    </w:rPr>
  </w:style>
  <w:style w:type="paragraph" w:styleId="Heading5">
    <w:name w:val="heading 5"/>
    <w:basedOn w:val="Normal"/>
    <w:next w:val="Normal"/>
    <w:link w:val="Heading5Char"/>
    <w:uiPriority w:val="9"/>
    <w:semiHidden/>
    <w:qFormat/>
    <w:rsid w:val="00C753C8"/>
    <w:pPr>
      <w:keepNext/>
      <w:keepLines/>
      <w:spacing w:before="240" w:after="120"/>
      <w:outlineLvl w:val="4"/>
    </w:pPr>
    <w:rPr>
      <w:rFonts w:eastAsia="Times New Roman"/>
      <w:i/>
      <w:color w:val="1F497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small Char,Major Division Char,boo Char,Major Divisions Char,h1 Char,Main Heading Char,Para1 Char,h11 Char,h12 Char,A MAJOR/BOLD Char,EOI - Heading 1 (Low) Char,Heading 1 (low) Char,Part Char,H1 Char,1 Char,Schedheading Char"/>
    <w:basedOn w:val="DefaultParagraphFont"/>
    <w:link w:val="Heading1"/>
    <w:uiPriority w:val="9"/>
    <w:rsid w:val="00B10EA8"/>
    <w:rPr>
      <w:rFonts w:asciiTheme="majorHAnsi" w:eastAsia="Times New Roman" w:hAnsiTheme="majorHAnsi"/>
      <w:b/>
      <w:bCs/>
      <w:caps/>
      <w:color w:val="215565" w:themeColor="accent2" w:themeShade="80"/>
      <w:sz w:val="32"/>
      <w:szCs w:val="28"/>
      <w:shd w:val="clear" w:color="auto" w:fill="DAEDF3" w:themeFill="accent2" w:themeFillTint="33"/>
      <w:lang w:eastAsia="en-US"/>
    </w:rPr>
  </w:style>
  <w:style w:type="paragraph" w:styleId="NormalWeb">
    <w:name w:val="Normal (Web)"/>
    <w:basedOn w:val="Normal"/>
    <w:uiPriority w:val="99"/>
    <w:semiHidden/>
    <w:unhideWhenUsed/>
    <w:rsid w:val="00C753C8"/>
    <w:pPr>
      <w:spacing w:before="100" w:beforeAutospacing="1" w:after="100" w:afterAutospacing="1" w:line="240" w:lineRule="auto"/>
    </w:pPr>
    <w:rPr>
      <w:rFonts w:ascii="Times New Roman" w:eastAsia="Times New Roman" w:hAnsi="Times New Roman"/>
      <w:szCs w:val="24"/>
      <w:lang w:eastAsia="en-AU"/>
    </w:rPr>
  </w:style>
  <w:style w:type="character" w:customStyle="1" w:styleId="Heading2Char">
    <w:name w:val="Heading 2 Char"/>
    <w:aliases w:val="h2 Char"/>
    <w:basedOn w:val="DefaultParagraphFont"/>
    <w:link w:val="Heading2"/>
    <w:rsid w:val="00C753C8"/>
    <w:rPr>
      <w:rFonts w:asciiTheme="majorHAnsi" w:eastAsia="Times New Roman" w:hAnsiTheme="majorHAnsi"/>
      <w:bCs/>
      <w:caps/>
      <w:color w:val="215565" w:themeColor="accent2" w:themeShade="80"/>
      <w:sz w:val="28"/>
      <w:szCs w:val="26"/>
      <w:lang w:eastAsia="en-US"/>
    </w:rPr>
  </w:style>
  <w:style w:type="character" w:customStyle="1" w:styleId="Heading3Char">
    <w:name w:val="Heading 3 Char"/>
    <w:aliases w:val="h3 Char"/>
    <w:basedOn w:val="DefaultParagraphFont"/>
    <w:link w:val="Heading3"/>
    <w:rsid w:val="00C753C8"/>
    <w:rPr>
      <w:rFonts w:asciiTheme="minorHAnsi" w:eastAsia="Times New Roman" w:hAnsiTheme="minorHAnsi"/>
      <w:bCs/>
      <w:caps/>
      <w:color w:val="215565" w:themeColor="accent2" w:themeShade="80"/>
      <w:sz w:val="24"/>
      <w:szCs w:val="22"/>
      <w:lang w:eastAsia="en-US"/>
    </w:rPr>
  </w:style>
  <w:style w:type="paragraph" w:styleId="Header">
    <w:name w:val="header"/>
    <w:basedOn w:val="Normal"/>
    <w:link w:val="HeaderChar"/>
    <w:uiPriority w:val="2"/>
    <w:rsid w:val="00C753C8"/>
    <w:pPr>
      <w:tabs>
        <w:tab w:val="center" w:pos="4513"/>
        <w:tab w:val="right" w:pos="9026"/>
      </w:tabs>
      <w:spacing w:after="0" w:line="240" w:lineRule="auto"/>
    </w:pPr>
    <w:rPr>
      <w:i/>
    </w:rPr>
  </w:style>
  <w:style w:type="character" w:customStyle="1" w:styleId="HeaderChar">
    <w:name w:val="Header Char"/>
    <w:basedOn w:val="DefaultParagraphFont"/>
    <w:link w:val="Header"/>
    <w:uiPriority w:val="2"/>
    <w:rsid w:val="00C753C8"/>
    <w:rPr>
      <w:rFonts w:asciiTheme="minorHAnsi" w:hAnsiTheme="minorHAnsi"/>
      <w:i/>
      <w:szCs w:val="22"/>
      <w:lang w:eastAsia="en-US"/>
    </w:rPr>
  </w:style>
  <w:style w:type="paragraph" w:styleId="Footer">
    <w:name w:val="footer"/>
    <w:basedOn w:val="Normal"/>
    <w:link w:val="FooterChar"/>
    <w:uiPriority w:val="2"/>
    <w:rsid w:val="00C753C8"/>
    <w:pPr>
      <w:tabs>
        <w:tab w:val="center" w:pos="4513"/>
        <w:tab w:val="right" w:pos="9026"/>
      </w:tabs>
      <w:spacing w:after="0" w:line="240" w:lineRule="auto"/>
    </w:pPr>
    <w:rPr>
      <w:i/>
      <w:sz w:val="16"/>
    </w:rPr>
  </w:style>
  <w:style w:type="character" w:customStyle="1" w:styleId="FooterChar">
    <w:name w:val="Footer Char"/>
    <w:basedOn w:val="DefaultParagraphFont"/>
    <w:link w:val="Footer"/>
    <w:uiPriority w:val="2"/>
    <w:rsid w:val="006927A6"/>
    <w:rPr>
      <w:rFonts w:asciiTheme="minorHAnsi" w:hAnsiTheme="minorHAnsi"/>
      <w:i/>
      <w:sz w:val="16"/>
      <w:szCs w:val="22"/>
      <w:lang w:eastAsia="en-US"/>
    </w:rPr>
  </w:style>
  <w:style w:type="table" w:styleId="TableGrid">
    <w:name w:val="Table Grid"/>
    <w:basedOn w:val="TableNormal"/>
    <w:uiPriority w:val="59"/>
    <w:rsid w:val="00C753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753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3C8"/>
    <w:rPr>
      <w:rFonts w:ascii="Tahoma" w:hAnsi="Tahoma" w:cs="Tahoma"/>
      <w:sz w:val="16"/>
      <w:szCs w:val="16"/>
      <w:lang w:eastAsia="en-US"/>
    </w:rPr>
  </w:style>
  <w:style w:type="paragraph" w:styleId="TOC2">
    <w:name w:val="toc 2"/>
    <w:basedOn w:val="Normal"/>
    <w:next w:val="Normal"/>
    <w:autoRedefine/>
    <w:uiPriority w:val="39"/>
    <w:unhideWhenUsed/>
    <w:rsid w:val="00C753C8"/>
    <w:pPr>
      <w:tabs>
        <w:tab w:val="left" w:pos="1134"/>
        <w:tab w:val="right" w:leader="dot" w:pos="9016"/>
      </w:tabs>
      <w:spacing w:after="0" w:line="240" w:lineRule="auto"/>
      <w:ind w:left="1134" w:right="567" w:hanging="567"/>
    </w:pPr>
    <w:rPr>
      <w:szCs w:val="24"/>
    </w:rPr>
  </w:style>
  <w:style w:type="paragraph" w:styleId="TOC1">
    <w:name w:val="toc 1"/>
    <w:basedOn w:val="Normal"/>
    <w:next w:val="Normal"/>
    <w:autoRedefine/>
    <w:uiPriority w:val="39"/>
    <w:unhideWhenUsed/>
    <w:rsid w:val="00CE65D2"/>
    <w:pPr>
      <w:tabs>
        <w:tab w:val="right" w:leader="dot" w:pos="9015"/>
      </w:tabs>
      <w:spacing w:before="120" w:after="0" w:line="240" w:lineRule="auto"/>
      <w:ind w:left="567" w:right="567" w:hanging="567"/>
    </w:pPr>
    <w:rPr>
      <w:color w:val="215565" w:themeColor="accent2" w:themeShade="80"/>
      <w:szCs w:val="24"/>
      <w:lang w:eastAsia="en-AU"/>
    </w:rPr>
  </w:style>
  <w:style w:type="paragraph" w:styleId="TOC3">
    <w:name w:val="toc 3"/>
    <w:basedOn w:val="Normal"/>
    <w:next w:val="Normal"/>
    <w:autoRedefine/>
    <w:uiPriority w:val="39"/>
    <w:unhideWhenUsed/>
    <w:rsid w:val="00CF632F"/>
    <w:pPr>
      <w:tabs>
        <w:tab w:val="left" w:pos="1760"/>
        <w:tab w:val="right" w:leader="dot" w:pos="9016"/>
      </w:tabs>
      <w:spacing w:before="60" w:after="0" w:line="240" w:lineRule="auto"/>
      <w:ind w:left="1701" w:hanging="567"/>
    </w:pPr>
  </w:style>
  <w:style w:type="character" w:styleId="Hyperlink">
    <w:name w:val="Hyperlink"/>
    <w:basedOn w:val="DefaultParagraphFont"/>
    <w:uiPriority w:val="99"/>
    <w:rsid w:val="00C753C8"/>
    <w:rPr>
      <w:noProof w:val="0"/>
      <w:color w:val="215565" w:themeColor="accent2" w:themeShade="80"/>
      <w:u w:val="single"/>
      <w:lang w:val="en-AU"/>
    </w:rPr>
  </w:style>
  <w:style w:type="paragraph" w:customStyle="1" w:styleId="GeneralHeading">
    <w:name w:val="General Heading"/>
    <w:basedOn w:val="Heading1"/>
    <w:next w:val="Normal"/>
    <w:qFormat/>
    <w:rsid w:val="00C753C8"/>
    <w:pPr>
      <w:numPr>
        <w:numId w:val="0"/>
      </w:numPr>
    </w:pPr>
  </w:style>
  <w:style w:type="paragraph" w:styleId="TOCHeading">
    <w:name w:val="TOC Heading"/>
    <w:basedOn w:val="Heading1"/>
    <w:next w:val="Normal"/>
    <w:autoRedefine/>
    <w:uiPriority w:val="39"/>
    <w:unhideWhenUsed/>
    <w:qFormat/>
    <w:rsid w:val="00CE65D2"/>
    <w:pPr>
      <w:keepLines/>
      <w:numPr>
        <w:numId w:val="0"/>
      </w:numPr>
      <w:spacing w:before="0" w:after="240"/>
      <w:outlineLvl w:val="9"/>
    </w:pPr>
    <w:rPr>
      <w:rFonts w:eastAsiaTheme="majorEastAsia" w:cstheme="majorBidi"/>
    </w:rPr>
  </w:style>
  <w:style w:type="paragraph" w:customStyle="1" w:styleId="Reporttitle">
    <w:name w:val="Report title"/>
    <w:basedOn w:val="Normal"/>
    <w:qFormat/>
    <w:rsid w:val="00C753C8"/>
    <w:pPr>
      <w:spacing w:after="0" w:line="240" w:lineRule="auto"/>
    </w:pPr>
    <w:rPr>
      <w:rFonts w:cs="Segoe UI"/>
      <w:b/>
      <w:caps/>
      <w:color w:val="215565" w:themeColor="accent2" w:themeShade="80"/>
      <w:sz w:val="48"/>
      <w:szCs w:val="84"/>
    </w:rPr>
  </w:style>
  <w:style w:type="paragraph" w:customStyle="1" w:styleId="Tablebodytext">
    <w:name w:val="Table body text"/>
    <w:basedOn w:val="Normal"/>
    <w:link w:val="TablebodytextChar"/>
    <w:qFormat/>
    <w:rsid w:val="00C753C8"/>
    <w:pPr>
      <w:spacing w:after="0" w:line="240" w:lineRule="auto"/>
    </w:pPr>
  </w:style>
  <w:style w:type="paragraph" w:customStyle="1" w:styleId="Tablebullet">
    <w:name w:val="Table bullet"/>
    <w:basedOn w:val="Tablebodytext"/>
    <w:qFormat/>
    <w:rsid w:val="00C753C8"/>
    <w:pPr>
      <w:numPr>
        <w:numId w:val="2"/>
      </w:numPr>
      <w:spacing w:line="264" w:lineRule="auto"/>
    </w:pPr>
  </w:style>
  <w:style w:type="paragraph" w:customStyle="1" w:styleId="Listdashlevel2">
    <w:name w:val="List dash (level 2)"/>
    <w:basedOn w:val="Normal"/>
    <w:qFormat/>
    <w:rsid w:val="00C753C8"/>
    <w:pPr>
      <w:numPr>
        <w:numId w:val="3"/>
      </w:numPr>
      <w:spacing w:after="0"/>
    </w:pPr>
  </w:style>
  <w:style w:type="paragraph" w:customStyle="1" w:styleId="Notes">
    <w:name w:val="Notes"/>
    <w:basedOn w:val="Normal"/>
    <w:qFormat/>
    <w:rsid w:val="00D24732"/>
    <w:pPr>
      <w:spacing w:after="0" w:line="240" w:lineRule="auto"/>
    </w:pPr>
    <w:rPr>
      <w:sz w:val="18"/>
    </w:rPr>
  </w:style>
  <w:style w:type="paragraph" w:customStyle="1" w:styleId="ColorfulGrid-Accent11">
    <w:name w:val="Colorful Grid - Accent 11"/>
    <w:basedOn w:val="Normal"/>
    <w:next w:val="Normal"/>
    <w:link w:val="ColorfulGrid-Accent1Char"/>
    <w:uiPriority w:val="29"/>
    <w:semiHidden/>
    <w:qFormat/>
    <w:rsid w:val="00C753C8"/>
    <w:pPr>
      <w:spacing w:line="240" w:lineRule="auto"/>
      <w:ind w:left="567"/>
    </w:pPr>
    <w:rPr>
      <w:i/>
      <w:iCs/>
      <w:color w:val="000000"/>
    </w:rPr>
  </w:style>
  <w:style w:type="character" w:customStyle="1" w:styleId="ColorfulGrid-Accent1Char">
    <w:name w:val="Colorful Grid - Accent 1 Char"/>
    <w:basedOn w:val="DefaultParagraphFont"/>
    <w:link w:val="ColorfulGrid-Accent11"/>
    <w:uiPriority w:val="29"/>
    <w:semiHidden/>
    <w:rsid w:val="00C753C8"/>
    <w:rPr>
      <w:rFonts w:asciiTheme="minorHAnsi" w:hAnsiTheme="minorHAnsi"/>
      <w:i/>
      <w:iCs/>
      <w:color w:val="000000"/>
      <w:szCs w:val="22"/>
      <w:lang w:eastAsia="en-US"/>
    </w:rPr>
  </w:style>
  <w:style w:type="paragraph" w:styleId="Subtitle">
    <w:name w:val="Subtitle"/>
    <w:aliases w:val="Report subtitle"/>
    <w:basedOn w:val="Normal"/>
    <w:next w:val="Reporttype"/>
    <w:link w:val="SubtitleChar"/>
    <w:uiPriority w:val="11"/>
    <w:qFormat/>
    <w:rsid w:val="00C753C8"/>
    <w:pPr>
      <w:spacing w:before="120" w:after="120" w:line="240" w:lineRule="auto"/>
    </w:pPr>
    <w:rPr>
      <w:rFonts w:cs="Segoe UI"/>
      <w:caps/>
      <w:color w:val="08193E"/>
      <w:sz w:val="36"/>
      <w:szCs w:val="40"/>
    </w:rPr>
  </w:style>
  <w:style w:type="character" w:customStyle="1" w:styleId="SubtitleChar">
    <w:name w:val="Subtitle Char"/>
    <w:aliases w:val="Report subtitle Char"/>
    <w:basedOn w:val="DefaultParagraphFont"/>
    <w:link w:val="Subtitle"/>
    <w:uiPriority w:val="11"/>
    <w:rsid w:val="00C753C8"/>
    <w:rPr>
      <w:rFonts w:asciiTheme="minorHAnsi" w:hAnsiTheme="minorHAnsi" w:cs="Segoe UI"/>
      <w:caps/>
      <w:color w:val="08193E"/>
      <w:sz w:val="36"/>
      <w:szCs w:val="40"/>
      <w:lang w:eastAsia="en-US"/>
    </w:rPr>
  </w:style>
  <w:style w:type="paragraph" w:customStyle="1" w:styleId="Reportdate">
    <w:name w:val="Report date"/>
    <w:basedOn w:val="Normal"/>
    <w:semiHidden/>
    <w:qFormat/>
    <w:rsid w:val="00C753C8"/>
    <w:pPr>
      <w:spacing w:after="300" w:line="240" w:lineRule="auto"/>
      <w:contextualSpacing/>
    </w:pPr>
    <w:rPr>
      <w:rFonts w:eastAsia="Times New Roman"/>
      <w:b/>
      <w:color w:val="1F497D"/>
      <w:spacing w:val="5"/>
      <w:kern w:val="28"/>
      <w:szCs w:val="52"/>
    </w:rPr>
  </w:style>
  <w:style w:type="paragraph" w:customStyle="1" w:styleId="Boxname">
    <w:name w:val="Box name"/>
    <w:basedOn w:val="Heading3"/>
    <w:semiHidden/>
    <w:qFormat/>
    <w:rsid w:val="00C753C8"/>
    <w:pPr>
      <w:numPr>
        <w:ilvl w:val="0"/>
        <w:numId w:val="0"/>
      </w:numPr>
      <w:pBdr>
        <w:top w:val="single" w:sz="4" w:space="4" w:color="1F497D"/>
        <w:left w:val="single" w:sz="4" w:space="4" w:color="1F497D"/>
        <w:bottom w:val="single" w:sz="4" w:space="4" w:color="1F497D"/>
        <w:right w:val="single" w:sz="4" w:space="4" w:color="1F497D"/>
      </w:pBdr>
      <w:shd w:val="clear" w:color="auto" w:fill="1F497D"/>
      <w:spacing w:after="120"/>
    </w:pPr>
    <w:rPr>
      <w:rFonts w:ascii="Arial Narrow" w:hAnsi="Arial Narrow"/>
      <w:color w:val="EEECE1"/>
    </w:rPr>
  </w:style>
  <w:style w:type="paragraph" w:customStyle="1" w:styleId="Boxtext">
    <w:name w:val="Box t ext"/>
    <w:basedOn w:val="Normal"/>
    <w:semiHidden/>
    <w:qFormat/>
    <w:rsid w:val="00C753C8"/>
    <w:pPr>
      <w:pBdr>
        <w:top w:val="single" w:sz="4" w:space="4" w:color="1F497D"/>
        <w:left w:val="single" w:sz="4" w:space="4" w:color="1F497D"/>
        <w:bottom w:val="single" w:sz="4" w:space="4" w:color="1F497D"/>
        <w:right w:val="single" w:sz="4" w:space="4" w:color="1F497D"/>
      </w:pBdr>
      <w:spacing w:before="240"/>
    </w:pPr>
    <w:rPr>
      <w:rFonts w:ascii="Arial Narrow" w:hAnsi="Arial Narrow"/>
    </w:rPr>
  </w:style>
  <w:style w:type="paragraph" w:customStyle="1" w:styleId="Boxbullet">
    <w:name w:val="Box bullet"/>
    <w:basedOn w:val="Boxtext"/>
    <w:semiHidden/>
    <w:qFormat/>
    <w:rsid w:val="007F103E"/>
    <w:pPr>
      <w:spacing w:after="0"/>
    </w:pPr>
  </w:style>
  <w:style w:type="paragraph" w:styleId="FootnoteText">
    <w:name w:val="footnote text"/>
    <w:aliases w:val="Footnote,Footnotes refss,Footnote number,Ref,de nota al pie,opcalrc,callout,NO,4_G Char Char Char Char,Footnotes refss Char Char Char Char,ftref Char Char Char Char,BVI fnr Char Char Char Char,BVI fnr Car Car Char Char Char Char,4_G"/>
    <w:basedOn w:val="Normal"/>
    <w:link w:val="FootnoteTextChar"/>
    <w:rsid w:val="00FE24BF"/>
    <w:pPr>
      <w:spacing w:after="0" w:line="240" w:lineRule="auto"/>
    </w:pPr>
    <w:rPr>
      <w:sz w:val="18"/>
      <w:szCs w:val="20"/>
    </w:rPr>
  </w:style>
  <w:style w:type="character" w:customStyle="1" w:styleId="FootnoteTextChar">
    <w:name w:val="Footnote Text Char"/>
    <w:aliases w:val="Footnote Char,Footnotes refss Char1,Footnote number Char1,Ref Char1,de nota al pie Char1,opcalrc Char1,callout Char1,NO Char1,4_G Char Char Char Char Char1,Footnotes refss Char Char Char Char Char1,ftref Char Char Char Char Char1"/>
    <w:basedOn w:val="DefaultParagraphFont"/>
    <w:link w:val="FootnoteText"/>
    <w:uiPriority w:val="99"/>
    <w:rsid w:val="00FE24BF"/>
    <w:rPr>
      <w:rFonts w:asciiTheme="minorHAnsi" w:hAnsiTheme="minorHAnsi"/>
      <w:sz w:val="18"/>
      <w:lang w:eastAsia="en-US"/>
    </w:rPr>
  </w:style>
  <w:style w:type="character" w:styleId="FootnoteReference">
    <w:name w:val="footnote reference"/>
    <w:aliases w:val="Footnotes refss Char,Footnote number Char,Ref Char,de nota al pie Char,opcalrc Char,callout Char,NO Char,4_G Char Char Char Char Char,Footnotes refss Char Char Char Char Char,ftref Char Char Char Char Char"/>
    <w:basedOn w:val="DefaultParagraphFont"/>
    <w:uiPriority w:val="99"/>
    <w:unhideWhenUsed/>
    <w:rsid w:val="00C753C8"/>
    <w:rPr>
      <w:vertAlign w:val="superscript"/>
    </w:rPr>
  </w:style>
  <w:style w:type="character" w:customStyle="1" w:styleId="Heading4Char">
    <w:name w:val="Heading 4 Char"/>
    <w:basedOn w:val="DefaultParagraphFont"/>
    <w:link w:val="Heading4"/>
    <w:rsid w:val="00C753C8"/>
    <w:rPr>
      <w:rFonts w:asciiTheme="majorHAnsi" w:eastAsia="Times New Roman" w:hAnsiTheme="majorHAnsi"/>
      <w:iCs/>
      <w:caps/>
      <w:color w:val="215565" w:themeColor="accent2" w:themeShade="80"/>
      <w:szCs w:val="22"/>
      <w:lang w:eastAsia="en-US"/>
    </w:rPr>
  </w:style>
  <w:style w:type="character" w:customStyle="1" w:styleId="Heading5Char">
    <w:name w:val="Heading 5 Char"/>
    <w:basedOn w:val="DefaultParagraphFont"/>
    <w:link w:val="Heading5"/>
    <w:uiPriority w:val="9"/>
    <w:semiHidden/>
    <w:rsid w:val="00C753C8"/>
    <w:rPr>
      <w:rFonts w:asciiTheme="minorHAnsi" w:eastAsia="Times New Roman" w:hAnsiTheme="minorHAnsi"/>
      <w:i/>
      <w:color w:val="1F497D"/>
      <w:szCs w:val="22"/>
      <w:lang w:eastAsia="en-US"/>
    </w:rPr>
  </w:style>
  <w:style w:type="character" w:styleId="BookTitle">
    <w:name w:val="Book Title"/>
    <w:basedOn w:val="DefaultParagraphFont"/>
    <w:uiPriority w:val="33"/>
    <w:semiHidden/>
    <w:qFormat/>
    <w:rsid w:val="00C753C8"/>
    <w:rPr>
      <w:b/>
      <w:bCs/>
      <w:smallCaps/>
      <w:spacing w:val="5"/>
    </w:rPr>
  </w:style>
  <w:style w:type="paragraph" w:customStyle="1" w:styleId="ExecSummaryH3">
    <w:name w:val="Exec Summary H3"/>
    <w:basedOn w:val="Heading3"/>
    <w:next w:val="Normal"/>
    <w:qFormat/>
    <w:rsid w:val="00C753C8"/>
    <w:pPr>
      <w:keepLines w:val="0"/>
      <w:numPr>
        <w:ilvl w:val="0"/>
        <w:numId w:val="0"/>
      </w:numPr>
      <w:spacing w:before="240" w:line="240" w:lineRule="auto"/>
      <w:outlineLvl w:val="9"/>
    </w:pPr>
    <w:rPr>
      <w:rFonts w:cs="Arial"/>
      <w:sz w:val="22"/>
      <w:szCs w:val="26"/>
      <w:lang w:eastAsia="en-AU"/>
    </w:rPr>
  </w:style>
  <w:style w:type="paragraph" w:styleId="TableofFigures">
    <w:name w:val="table of figures"/>
    <w:basedOn w:val="Normal"/>
    <w:next w:val="Normal"/>
    <w:uiPriority w:val="99"/>
    <w:rsid w:val="00C753C8"/>
    <w:pPr>
      <w:tabs>
        <w:tab w:val="left" w:pos="1800"/>
        <w:tab w:val="right" w:leader="dot" w:pos="9000"/>
      </w:tabs>
      <w:spacing w:line="240" w:lineRule="auto"/>
      <w:ind w:left="1077" w:right="567" w:hanging="1077"/>
    </w:pPr>
    <w:rPr>
      <w:rFonts w:eastAsia="Times New Roman"/>
      <w:color w:val="000000"/>
      <w:szCs w:val="20"/>
      <w:lang w:eastAsia="en-AU"/>
    </w:rPr>
  </w:style>
  <w:style w:type="paragraph" w:customStyle="1" w:styleId="ExecSummaryH2">
    <w:name w:val="Exec Summary H2"/>
    <w:basedOn w:val="Heading2"/>
    <w:next w:val="Normal"/>
    <w:qFormat/>
    <w:rsid w:val="00C753C8"/>
    <w:pPr>
      <w:numPr>
        <w:ilvl w:val="0"/>
        <w:numId w:val="0"/>
      </w:numPr>
    </w:pPr>
  </w:style>
  <w:style w:type="paragraph" w:customStyle="1" w:styleId="Boxheading">
    <w:name w:val="Box heading"/>
    <w:basedOn w:val="Normal"/>
    <w:next w:val="Boxtext0"/>
    <w:autoRedefine/>
    <w:qFormat/>
    <w:rsid w:val="00615025"/>
    <w:pPr>
      <w:keepNext/>
      <w:shd w:val="clear" w:color="auto" w:fill="EAF5F7" w:themeFill="background2"/>
      <w:spacing w:after="0" w:line="240" w:lineRule="auto"/>
    </w:pPr>
    <w:rPr>
      <w:b/>
      <w:color w:val="215565" w:themeColor="accent2" w:themeShade="80"/>
    </w:rPr>
  </w:style>
  <w:style w:type="paragraph" w:customStyle="1" w:styleId="Boxtext0">
    <w:name w:val="Box text"/>
    <w:basedOn w:val="Tablebodytext"/>
    <w:qFormat/>
    <w:rsid w:val="00C753C8"/>
    <w:pPr>
      <w:shd w:val="clear" w:color="auto" w:fill="EAF5F7" w:themeFill="background2"/>
      <w:spacing w:after="120"/>
    </w:pPr>
  </w:style>
  <w:style w:type="paragraph" w:customStyle="1" w:styleId="ReportDepartment">
    <w:name w:val="Report Department"/>
    <w:basedOn w:val="ReportPeriod"/>
    <w:qFormat/>
    <w:rsid w:val="00C753C8"/>
  </w:style>
  <w:style w:type="character" w:styleId="PageNumber">
    <w:name w:val="page number"/>
    <w:basedOn w:val="DefaultParagraphFont"/>
    <w:semiHidden/>
    <w:rsid w:val="00C753C8"/>
  </w:style>
  <w:style w:type="paragraph" w:styleId="TOC4">
    <w:name w:val="toc 4"/>
    <w:basedOn w:val="Normal"/>
    <w:next w:val="Normal"/>
    <w:autoRedefine/>
    <w:semiHidden/>
    <w:rsid w:val="00C753C8"/>
    <w:pPr>
      <w:tabs>
        <w:tab w:val="right" w:leader="dot" w:pos="9060"/>
      </w:tabs>
      <w:spacing w:before="40" w:after="0" w:line="240" w:lineRule="auto"/>
      <w:ind w:left="1701"/>
    </w:pPr>
    <w:rPr>
      <w:i/>
      <w:noProof/>
      <w:szCs w:val="20"/>
    </w:rPr>
  </w:style>
  <w:style w:type="paragraph" w:customStyle="1" w:styleId="Tablecolumnheading">
    <w:name w:val="Table column heading"/>
    <w:basedOn w:val="Tablebodytext"/>
    <w:qFormat/>
    <w:rsid w:val="00C753C8"/>
    <w:rPr>
      <w:bCs/>
      <w:color w:val="005677" w:themeColor="accent1"/>
    </w:rPr>
  </w:style>
  <w:style w:type="paragraph" w:customStyle="1" w:styleId="Tablecolumnheadingdata">
    <w:name w:val="Table column heading data"/>
    <w:basedOn w:val="Tablecolumnheading"/>
    <w:rsid w:val="00C753C8"/>
    <w:pPr>
      <w:jc w:val="right"/>
    </w:pPr>
    <w:rPr>
      <w:rFonts w:eastAsia="Times New Roman"/>
      <w:szCs w:val="20"/>
    </w:rPr>
  </w:style>
  <w:style w:type="paragraph" w:customStyle="1" w:styleId="Tabledata">
    <w:name w:val="Table data"/>
    <w:basedOn w:val="Tablebodytext"/>
    <w:qFormat/>
    <w:rsid w:val="00C753C8"/>
    <w:pPr>
      <w:jc w:val="right"/>
    </w:pPr>
    <w:rPr>
      <w:rFonts w:eastAsia="Times New Roman"/>
      <w:szCs w:val="20"/>
    </w:rPr>
  </w:style>
  <w:style w:type="numbering" w:customStyle="1" w:styleId="TableBullet0">
    <w:name w:val="Table Bullet"/>
    <w:basedOn w:val="NoList"/>
    <w:rsid w:val="00C753C8"/>
    <w:pPr>
      <w:numPr>
        <w:numId w:val="4"/>
      </w:numPr>
    </w:pPr>
  </w:style>
  <w:style w:type="numbering" w:customStyle="1" w:styleId="TableBulletDash">
    <w:name w:val="Table Bullet Dash"/>
    <w:basedOn w:val="NoList"/>
    <w:rsid w:val="00C753C8"/>
    <w:pPr>
      <w:numPr>
        <w:numId w:val="5"/>
      </w:numPr>
    </w:pPr>
  </w:style>
  <w:style w:type="paragraph" w:styleId="Index1">
    <w:name w:val="index 1"/>
    <w:basedOn w:val="Normal"/>
    <w:next w:val="Normal"/>
    <w:autoRedefine/>
    <w:semiHidden/>
    <w:rsid w:val="00C753C8"/>
    <w:pPr>
      <w:ind w:left="210" w:hanging="210"/>
    </w:pPr>
  </w:style>
  <w:style w:type="numbering" w:customStyle="1" w:styleId="NumberedList">
    <w:name w:val="Numbered List"/>
    <w:basedOn w:val="NoList"/>
    <w:rsid w:val="00C753C8"/>
    <w:pPr>
      <w:numPr>
        <w:numId w:val="6"/>
      </w:numPr>
    </w:pPr>
  </w:style>
  <w:style w:type="paragraph" w:customStyle="1" w:styleId="Listletterlevel2">
    <w:name w:val="List letter (level 2)"/>
    <w:basedOn w:val="ListNumber"/>
    <w:qFormat/>
    <w:rsid w:val="00C753C8"/>
    <w:pPr>
      <w:ind w:left="907" w:hanging="453"/>
    </w:pPr>
  </w:style>
  <w:style w:type="paragraph" w:styleId="Quote">
    <w:name w:val="Quote"/>
    <w:basedOn w:val="Normal"/>
    <w:next w:val="Normal"/>
    <w:link w:val="QuoteChar"/>
    <w:uiPriority w:val="29"/>
    <w:qFormat/>
    <w:rsid w:val="00C753C8"/>
    <w:pPr>
      <w:ind w:left="454"/>
    </w:pPr>
    <w:rPr>
      <w:i/>
      <w:iCs/>
    </w:rPr>
  </w:style>
  <w:style w:type="character" w:customStyle="1" w:styleId="QuoteChar">
    <w:name w:val="Quote Char"/>
    <w:basedOn w:val="DefaultParagraphFont"/>
    <w:link w:val="Quote"/>
    <w:uiPriority w:val="29"/>
    <w:rsid w:val="00C753C8"/>
    <w:rPr>
      <w:rFonts w:asciiTheme="minorHAnsi" w:hAnsiTheme="minorHAnsi"/>
      <w:i/>
      <w:iCs/>
      <w:szCs w:val="22"/>
      <w:lang w:eastAsia="en-US"/>
    </w:rPr>
  </w:style>
  <w:style w:type="paragraph" w:customStyle="1" w:styleId="ARTDcompanydetails">
    <w:name w:val="ARTD company details"/>
    <w:basedOn w:val="Reportdate"/>
    <w:uiPriority w:val="1"/>
    <w:rsid w:val="00C753C8"/>
    <w:pPr>
      <w:spacing w:after="0"/>
    </w:pPr>
    <w:rPr>
      <w:rFonts w:cs="Segoe UI"/>
      <w:bCs/>
      <w:color w:val="215565" w:themeColor="accent2" w:themeShade="80"/>
      <w:sz w:val="16"/>
      <w:szCs w:val="20"/>
    </w:rPr>
  </w:style>
  <w:style w:type="paragraph" w:customStyle="1" w:styleId="FrontPage">
    <w:name w:val="FrontPage"/>
    <w:basedOn w:val="Normal"/>
    <w:semiHidden/>
    <w:qFormat/>
    <w:rsid w:val="00C753C8"/>
    <w:pPr>
      <w:spacing w:after="3320" w:line="240" w:lineRule="auto"/>
    </w:pPr>
  </w:style>
  <w:style w:type="paragraph" w:styleId="ListBullet">
    <w:name w:val="List Bullet"/>
    <w:basedOn w:val="Normal"/>
    <w:uiPriority w:val="1"/>
    <w:unhideWhenUsed/>
    <w:qFormat/>
    <w:rsid w:val="005824B9"/>
    <w:pPr>
      <w:numPr>
        <w:numId w:val="36"/>
      </w:numPr>
      <w:spacing w:after="0"/>
    </w:pPr>
  </w:style>
  <w:style w:type="numbering" w:customStyle="1" w:styleId="Headings">
    <w:name w:val="Headings"/>
    <w:uiPriority w:val="99"/>
    <w:rsid w:val="00C753C8"/>
    <w:pPr>
      <w:numPr>
        <w:numId w:val="7"/>
      </w:numPr>
    </w:pPr>
  </w:style>
  <w:style w:type="numbering" w:customStyle="1" w:styleId="Bullets">
    <w:name w:val="Bullets"/>
    <w:uiPriority w:val="99"/>
    <w:rsid w:val="00C753C8"/>
    <w:pPr>
      <w:numPr>
        <w:numId w:val="8"/>
      </w:numPr>
    </w:pPr>
  </w:style>
  <w:style w:type="paragraph" w:styleId="ListNumber">
    <w:name w:val="List Number"/>
    <w:basedOn w:val="Normal"/>
    <w:uiPriority w:val="99"/>
    <w:unhideWhenUsed/>
    <w:qFormat/>
    <w:rsid w:val="000C2570"/>
    <w:pPr>
      <w:numPr>
        <w:numId w:val="40"/>
      </w:numPr>
      <w:spacing w:after="0"/>
    </w:pPr>
    <w:rPr>
      <w:lang w:val="en-US"/>
    </w:rPr>
  </w:style>
  <w:style w:type="table" w:customStyle="1" w:styleId="ARTDTable">
    <w:name w:val="ARTD_Table"/>
    <w:basedOn w:val="TableNormal"/>
    <w:uiPriority w:val="99"/>
    <w:rsid w:val="005C4D0C"/>
    <w:rPr>
      <w:rFonts w:asciiTheme="minorHAnsi" w:hAnsiTheme="minorHAnsi"/>
      <w:color w:val="215565" w:themeColor="accent2" w:themeShade="80"/>
      <w:sz w:val="18"/>
    </w:rPr>
    <w:tblPr>
      <w:tblStyleRowBandSize w:val="1"/>
      <w:tblInd w:w="57" w:type="dxa"/>
      <w:tblBorders>
        <w:bottom w:val="single" w:sz="4" w:space="0" w:color="B2B3B2" w:themeColor="accent6"/>
        <w:insideH w:val="single" w:sz="4" w:space="0" w:color="D0D1D0" w:themeColor="accent6" w:themeTint="99"/>
      </w:tblBorders>
      <w:tblCellMar>
        <w:top w:w="113" w:type="dxa"/>
        <w:left w:w="57" w:type="dxa"/>
        <w:bottom w:w="57" w:type="dxa"/>
        <w:right w:w="57" w:type="dxa"/>
      </w:tblCellMar>
    </w:tblPr>
    <w:tblStylePr w:type="firstRow">
      <w:pPr>
        <w:wordWrap/>
        <w:spacing w:afterLines="0" w:after="60" w:afterAutospacing="0"/>
      </w:pPr>
      <w:rPr>
        <w:rFonts w:ascii="Myanmar Text" w:hAnsi="Myanmar Text"/>
        <w:b/>
        <w:i w:val="0"/>
        <w:color w:val="215565" w:themeColor="accent2" w:themeShade="80"/>
        <w:sz w:val="18"/>
      </w:rPr>
      <w:tblPr/>
      <w:tcPr>
        <w:tcBorders>
          <w:top w:val="nil"/>
          <w:left w:val="nil"/>
          <w:bottom w:val="nil"/>
          <w:right w:val="nil"/>
          <w:insideH w:val="nil"/>
          <w:insideV w:val="nil"/>
          <w:tl2br w:val="nil"/>
          <w:tr2bl w:val="nil"/>
        </w:tcBorders>
        <w:shd w:val="clear" w:color="auto" w:fill="C7E4EA" w:themeFill="background2" w:themeFillShade="E6"/>
      </w:tcPr>
    </w:tblStylePr>
    <w:tblStylePr w:type="lastRow">
      <w:rPr>
        <w:rFonts w:ascii="Myanmar Text" w:hAnsi="Myanmar Text"/>
        <w:b w:val="0"/>
        <w:color w:val="FFFFFF" w:themeColor="text1"/>
        <w:sz w:val="18"/>
      </w:rPr>
      <w:tblPr/>
      <w:tcPr>
        <w:shd w:val="clear" w:color="auto" w:fill="C7E4EA" w:themeFill="background2" w:themeFillShade="E6"/>
      </w:tcPr>
    </w:tblStylePr>
    <w:tblStylePr w:type="band1Horz">
      <w:rPr>
        <w:color w:val="auto"/>
      </w:rPr>
      <w:tblPr/>
      <w:tcPr>
        <w:tcBorders>
          <w:top w:val="single" w:sz="4" w:space="0" w:color="EFEFEF" w:themeColor="accent6" w:themeTint="33"/>
          <w:left w:val="nil"/>
          <w:bottom w:val="single" w:sz="4" w:space="0" w:color="EFEFEF" w:themeColor="accent6" w:themeTint="33"/>
          <w:right w:val="nil"/>
          <w:insideH w:val="nil"/>
          <w:insideV w:val="nil"/>
          <w:tl2br w:val="nil"/>
          <w:tr2bl w:val="nil"/>
        </w:tcBorders>
      </w:tcPr>
    </w:tblStylePr>
    <w:tblStylePr w:type="band2Horz">
      <w:rPr>
        <w:color w:val="000000" w:themeColor="text2"/>
      </w:rPr>
      <w:tblPr/>
      <w:tcPr>
        <w:tcBorders>
          <w:top w:val="nil"/>
          <w:left w:val="nil"/>
          <w:bottom w:val="single" w:sz="4" w:space="0" w:color="EFEFEF" w:themeColor="accent6" w:themeTint="33"/>
          <w:right w:val="nil"/>
          <w:insideH w:val="nil"/>
          <w:insideV w:val="nil"/>
          <w:tl2br w:val="nil"/>
          <w:tr2bl w:val="nil"/>
        </w:tcBorders>
      </w:tcPr>
    </w:tblStylePr>
  </w:style>
  <w:style w:type="table" w:customStyle="1" w:styleId="ARTDTable2">
    <w:name w:val="ARTD_Table_2"/>
    <w:basedOn w:val="TableNormal"/>
    <w:uiPriority w:val="99"/>
    <w:rsid w:val="005C4D0C"/>
    <w:rPr>
      <w:rFonts w:asciiTheme="majorHAnsi" w:hAnsiTheme="majorHAnsi"/>
      <w:sz w:val="18"/>
    </w:rPr>
    <w:tblPr>
      <w:tblStyleRowBandSize w:val="1"/>
      <w:tblInd w:w="57" w:type="dxa"/>
      <w:tblBorders>
        <w:bottom w:val="single" w:sz="4" w:space="0" w:color="auto"/>
      </w:tblBorders>
      <w:tblCellMar>
        <w:top w:w="113" w:type="dxa"/>
        <w:left w:w="57" w:type="dxa"/>
        <w:bottom w:w="57" w:type="dxa"/>
        <w:right w:w="57" w:type="dxa"/>
      </w:tblCellMar>
    </w:tblPr>
    <w:trPr>
      <w:cantSplit/>
    </w:trPr>
    <w:tcPr>
      <w:shd w:val="clear" w:color="auto" w:fill="auto"/>
    </w:tcPr>
    <w:tblStylePr w:type="firstRow">
      <w:rPr>
        <w:rFonts w:ascii="Myanmar Text" w:hAnsi="Myanmar Text"/>
        <w:b/>
        <w:i w:val="0"/>
        <w:color w:val="215565" w:themeColor="accent2" w:themeShade="80"/>
        <w:sz w:val="18"/>
      </w:rPr>
      <w:tblPr/>
      <w:tcPr>
        <w:tcBorders>
          <w:top w:val="nil"/>
          <w:left w:val="nil"/>
          <w:bottom w:val="nil"/>
          <w:right w:val="nil"/>
          <w:insideH w:val="nil"/>
          <w:insideV w:val="nil"/>
          <w:tl2br w:val="nil"/>
          <w:tr2bl w:val="nil"/>
        </w:tcBorders>
        <w:shd w:val="clear" w:color="auto" w:fill="C7E4EA" w:themeFill="background2" w:themeFillShade="E6"/>
      </w:tcPr>
    </w:tblStylePr>
    <w:tblStylePr w:type="lastRow">
      <w:rPr>
        <w:rFonts w:ascii="Myanmar Text" w:hAnsi="Myanmar Text"/>
        <w:b w:val="0"/>
        <w:i w:val="0"/>
        <w:color w:val="005677" w:themeColor="accent1"/>
        <w:sz w:val="18"/>
      </w:rPr>
      <w:tblPr/>
      <w:tcPr>
        <w:shd w:val="clear" w:color="auto" w:fill="C7E4EA" w:themeFill="background2" w:themeFillShade="E6"/>
      </w:tcPr>
    </w:tblStylePr>
    <w:tblStylePr w:type="band1Horz">
      <w:tblPr/>
      <w:tcPr>
        <w:tcBorders>
          <w:top w:val="single" w:sz="4" w:space="0" w:color="EFEFEF" w:themeColor="accent6" w:themeTint="33"/>
          <w:left w:val="nil"/>
          <w:bottom w:val="single" w:sz="4" w:space="0" w:color="EFEFEF" w:themeColor="accent6" w:themeTint="33"/>
          <w:right w:val="nil"/>
          <w:insideH w:val="nil"/>
          <w:insideV w:val="nil"/>
          <w:tl2br w:val="nil"/>
          <w:tr2bl w:val="nil"/>
        </w:tcBorders>
        <w:shd w:val="clear" w:color="auto" w:fill="auto"/>
      </w:tcPr>
    </w:tblStylePr>
    <w:tblStylePr w:type="band2Horz">
      <w:tblPr/>
      <w:tcPr>
        <w:shd w:val="clear" w:color="auto" w:fill="EAF5F7" w:themeFill="background2"/>
      </w:tcPr>
    </w:tblStylePr>
  </w:style>
  <w:style w:type="paragraph" w:customStyle="1" w:styleId="TableHeading">
    <w:name w:val="Table Heading"/>
    <w:basedOn w:val="Normal"/>
    <w:next w:val="Normal"/>
    <w:uiPriority w:val="3"/>
    <w:qFormat/>
    <w:rsid w:val="00251887"/>
    <w:pPr>
      <w:numPr>
        <w:numId w:val="21"/>
      </w:numPr>
      <w:spacing w:before="480" w:line="240" w:lineRule="auto"/>
    </w:pPr>
    <w:rPr>
      <w:rFonts w:cs="Segoe UI"/>
      <w:b/>
      <w:caps/>
      <w:color w:val="0D0D0D" w:themeColor="text2" w:themeTint="F2"/>
    </w:rPr>
  </w:style>
  <w:style w:type="paragraph" w:customStyle="1" w:styleId="FigureHeading">
    <w:name w:val="Figure Heading"/>
    <w:basedOn w:val="TableHeading"/>
    <w:next w:val="Normal"/>
    <w:uiPriority w:val="1"/>
    <w:qFormat/>
    <w:rsid w:val="00224A7C"/>
    <w:pPr>
      <w:keepNext/>
      <w:numPr>
        <w:numId w:val="57"/>
      </w:numPr>
    </w:pPr>
  </w:style>
  <w:style w:type="numbering" w:customStyle="1" w:styleId="TableNumbers">
    <w:name w:val="TableNumbers"/>
    <w:uiPriority w:val="99"/>
    <w:rsid w:val="00251887"/>
    <w:pPr>
      <w:numPr>
        <w:numId w:val="9"/>
      </w:numPr>
    </w:pPr>
  </w:style>
  <w:style w:type="numbering" w:customStyle="1" w:styleId="FigureNumbers">
    <w:name w:val="FigureNumbers"/>
    <w:uiPriority w:val="99"/>
    <w:rsid w:val="00E17787"/>
    <w:pPr>
      <w:numPr>
        <w:numId w:val="10"/>
      </w:numPr>
    </w:pPr>
  </w:style>
  <w:style w:type="paragraph" w:styleId="Caption">
    <w:name w:val="caption"/>
    <w:basedOn w:val="Normal"/>
    <w:next w:val="Normal"/>
    <w:uiPriority w:val="35"/>
    <w:unhideWhenUsed/>
    <w:qFormat/>
    <w:rsid w:val="00C753C8"/>
    <w:pPr>
      <w:spacing w:after="200" w:line="240" w:lineRule="auto"/>
    </w:pPr>
    <w:rPr>
      <w:b/>
      <w:bCs/>
      <w:color w:val="08193E"/>
      <w:sz w:val="18"/>
      <w:szCs w:val="18"/>
    </w:rPr>
  </w:style>
  <w:style w:type="numbering" w:customStyle="1" w:styleId="Numbers">
    <w:name w:val="Numbers"/>
    <w:uiPriority w:val="99"/>
    <w:rsid w:val="00C753C8"/>
    <w:pPr>
      <w:numPr>
        <w:numId w:val="11"/>
      </w:numPr>
    </w:pPr>
  </w:style>
  <w:style w:type="paragraph" w:customStyle="1" w:styleId="GeneralHeading2">
    <w:name w:val="General Heading 2"/>
    <w:basedOn w:val="Heading2"/>
    <w:next w:val="Normal"/>
    <w:qFormat/>
    <w:rsid w:val="000C2570"/>
    <w:pPr>
      <w:numPr>
        <w:ilvl w:val="0"/>
        <w:numId w:val="12"/>
      </w:numPr>
    </w:pPr>
    <w:rPr>
      <w:lang w:val="en-US"/>
    </w:rPr>
  </w:style>
  <w:style w:type="paragraph" w:customStyle="1" w:styleId="Appendix">
    <w:name w:val="Appendix"/>
    <w:basedOn w:val="Heading1"/>
    <w:next w:val="Normal"/>
    <w:link w:val="AppendixChar"/>
    <w:qFormat/>
    <w:rsid w:val="00DF27F4"/>
    <w:pPr>
      <w:numPr>
        <w:numId w:val="18"/>
      </w:numPr>
      <w:tabs>
        <w:tab w:val="left" w:pos="2835"/>
      </w:tabs>
    </w:pPr>
  </w:style>
  <w:style w:type="character" w:customStyle="1" w:styleId="AppendixChar">
    <w:name w:val="Appendix Char"/>
    <w:link w:val="Appendix"/>
    <w:rsid w:val="00F62085"/>
    <w:rPr>
      <w:rFonts w:asciiTheme="majorHAnsi" w:eastAsia="Times New Roman" w:hAnsiTheme="majorHAnsi"/>
      <w:b/>
      <w:bCs/>
      <w:caps/>
      <w:color w:val="215565" w:themeColor="accent2" w:themeShade="80"/>
      <w:sz w:val="32"/>
      <w:szCs w:val="28"/>
      <w:shd w:val="clear" w:color="auto" w:fill="DAEDF3" w:themeFill="accent2" w:themeFillTint="33"/>
      <w:lang w:eastAsia="en-US"/>
    </w:rPr>
  </w:style>
  <w:style w:type="paragraph" w:customStyle="1" w:styleId="ProjexHead">
    <w:name w:val="Proj ex Head"/>
    <w:basedOn w:val="Normal"/>
    <w:qFormat/>
    <w:rsid w:val="00C753C8"/>
    <w:pPr>
      <w:spacing w:before="240" w:after="0" w:line="240" w:lineRule="auto"/>
      <w:ind w:left="340"/>
    </w:pPr>
    <w:rPr>
      <w:rFonts w:cs="Segoe UI"/>
      <w:b/>
    </w:rPr>
  </w:style>
  <w:style w:type="paragraph" w:customStyle="1" w:styleId="ProjexText">
    <w:name w:val="Proj ex Text"/>
    <w:basedOn w:val="Normal"/>
    <w:qFormat/>
    <w:rsid w:val="00C753C8"/>
    <w:pPr>
      <w:spacing w:after="0" w:line="240" w:lineRule="auto"/>
      <w:ind w:left="340"/>
    </w:pPr>
    <w:rPr>
      <w:rFonts w:cs="Segoe UI"/>
    </w:rPr>
  </w:style>
  <w:style w:type="paragraph" w:customStyle="1" w:styleId="Reporttype">
    <w:name w:val="Report type"/>
    <w:basedOn w:val="Normal"/>
    <w:next w:val="Reportperiodtext"/>
    <w:qFormat/>
    <w:rsid w:val="00C753C8"/>
    <w:pPr>
      <w:spacing w:before="240" w:after="120" w:line="240" w:lineRule="auto"/>
      <w:jc w:val="right"/>
    </w:pPr>
    <w:rPr>
      <w:rFonts w:cs="Segoe UI"/>
      <w:smallCaps/>
      <w:color w:val="08193E"/>
      <w:sz w:val="32"/>
      <w:szCs w:val="32"/>
    </w:rPr>
  </w:style>
  <w:style w:type="paragraph" w:customStyle="1" w:styleId="Reportperiodtext">
    <w:name w:val="Report period text"/>
    <w:basedOn w:val="Normal"/>
    <w:qFormat/>
    <w:rsid w:val="00C753C8"/>
    <w:pPr>
      <w:spacing w:before="240" w:after="120" w:line="240" w:lineRule="auto"/>
      <w:jc w:val="right"/>
    </w:pPr>
    <w:rPr>
      <w:rFonts w:cs="Segoe UI"/>
      <w:caps/>
      <w:color w:val="005677" w:themeColor="accent1"/>
      <w:sz w:val="24"/>
    </w:rPr>
  </w:style>
  <w:style w:type="paragraph" w:customStyle="1" w:styleId="TOCHeading2">
    <w:name w:val="TOC Heading 2"/>
    <w:basedOn w:val="ExecSummaryH2"/>
    <w:qFormat/>
    <w:rsid w:val="00C753C8"/>
    <w:rPr>
      <w:rFonts w:cs="Segoe UI"/>
    </w:rPr>
  </w:style>
  <w:style w:type="paragraph" w:customStyle="1" w:styleId="ReportPeriod">
    <w:name w:val="Report Period"/>
    <w:basedOn w:val="Normal"/>
    <w:next w:val="Reportperiodtext"/>
    <w:qFormat/>
    <w:rsid w:val="00C753C8"/>
    <w:rPr>
      <w:rFonts w:cs="Open Sans SemiBold"/>
      <w:b/>
      <w:bCs/>
      <w:caps/>
      <w:color w:val="005677"/>
    </w:rPr>
  </w:style>
  <w:style w:type="paragraph" w:customStyle="1" w:styleId="HeaderNew">
    <w:name w:val="Header New"/>
    <w:basedOn w:val="Header"/>
    <w:qFormat/>
    <w:rsid w:val="008A56B8"/>
    <w:rPr>
      <w:rFonts w:cs="Segoe UI"/>
      <w:i w:val="0"/>
      <w:color w:val="005677" w:themeColor="accent1"/>
      <w:sz w:val="18"/>
    </w:rPr>
  </w:style>
  <w:style w:type="paragraph" w:customStyle="1" w:styleId="HeaderTitle">
    <w:name w:val="Header Title"/>
    <w:basedOn w:val="HeaderNew"/>
    <w:qFormat/>
    <w:rsid w:val="00C753C8"/>
    <w:pPr>
      <w:jc w:val="right"/>
    </w:pPr>
    <w:rPr>
      <w:i/>
      <w:color w:val="000000" w:themeColor="text2"/>
    </w:rPr>
  </w:style>
  <w:style w:type="paragraph" w:customStyle="1" w:styleId="Heading4List">
    <w:name w:val="Heading 4 List"/>
    <w:basedOn w:val="ListParagraph"/>
    <w:autoRedefine/>
    <w:qFormat/>
    <w:rsid w:val="00C753C8"/>
    <w:pPr>
      <w:numPr>
        <w:numId w:val="13"/>
      </w:numPr>
      <w:tabs>
        <w:tab w:val="num" w:pos="454"/>
      </w:tabs>
    </w:pPr>
    <w:rPr>
      <w:b/>
      <w:color w:val="005677"/>
      <w:sz w:val="18"/>
    </w:rPr>
  </w:style>
  <w:style w:type="paragraph" w:styleId="ListParagraph">
    <w:name w:val="List Paragraph"/>
    <w:aliases w:val="Recommendation,List Paragraph1,CV text,Dot pt,F5 List Paragraph,FooterText,L,List Paragraph11,List Paragraph111,List Paragraph2,Medium Grid 1 - Accent 21,NFP GP Bulleted List,Paragraphe de liste1,numbered,列出段,Numbered Paragraph,Table text"/>
    <w:basedOn w:val="Normal"/>
    <w:link w:val="ListParagraphChar"/>
    <w:uiPriority w:val="34"/>
    <w:qFormat/>
    <w:rsid w:val="00C753C8"/>
    <w:pPr>
      <w:ind w:left="720"/>
      <w:contextualSpacing/>
    </w:pPr>
  </w:style>
  <w:style w:type="paragraph" w:customStyle="1" w:styleId="ReportDepartmenttext">
    <w:name w:val="Report Department text"/>
    <w:basedOn w:val="Reportperiodtext"/>
    <w:qFormat/>
    <w:rsid w:val="00C753C8"/>
    <w:pPr>
      <w:jc w:val="left"/>
    </w:pPr>
    <w:rPr>
      <w:sz w:val="20"/>
    </w:rPr>
  </w:style>
  <w:style w:type="paragraph" w:customStyle="1" w:styleId="TableColumnBodyText">
    <w:name w:val="Table Column Body Text"/>
    <w:basedOn w:val="Normal"/>
    <w:qFormat/>
    <w:rsid w:val="00C753C8"/>
    <w:pPr>
      <w:spacing w:after="0" w:line="240" w:lineRule="auto"/>
    </w:pPr>
    <w:rPr>
      <w:bCs/>
      <w:color w:val="000000" w:themeColor="text2"/>
      <w:sz w:val="18"/>
    </w:rPr>
  </w:style>
  <w:style w:type="paragraph" w:customStyle="1" w:styleId="ProjexHead0">
    <w:name w:val="Proj_ex Head"/>
    <w:basedOn w:val="Normal"/>
    <w:qFormat/>
    <w:rsid w:val="00C753C8"/>
    <w:pPr>
      <w:spacing w:before="240" w:after="0" w:line="240" w:lineRule="auto"/>
      <w:ind w:left="340"/>
    </w:pPr>
    <w:rPr>
      <w:rFonts w:cs="Segoe UI"/>
      <w:b/>
    </w:rPr>
  </w:style>
  <w:style w:type="paragraph" w:customStyle="1" w:styleId="ProjexText0">
    <w:name w:val="Proj_ex Text"/>
    <w:basedOn w:val="Normal"/>
    <w:qFormat/>
    <w:rsid w:val="00C753C8"/>
    <w:pPr>
      <w:spacing w:after="0" w:line="240" w:lineRule="auto"/>
      <w:ind w:left="340"/>
    </w:pPr>
    <w:rPr>
      <w:rFonts w:cs="Segoe UI"/>
    </w:rPr>
  </w:style>
  <w:style w:type="character" w:styleId="CommentReference">
    <w:name w:val="annotation reference"/>
    <w:basedOn w:val="DefaultParagraphFont"/>
    <w:uiPriority w:val="99"/>
    <w:semiHidden/>
    <w:unhideWhenUsed/>
    <w:rsid w:val="00C753C8"/>
    <w:rPr>
      <w:sz w:val="16"/>
      <w:szCs w:val="16"/>
    </w:rPr>
  </w:style>
  <w:style w:type="paragraph" w:styleId="CommentText">
    <w:name w:val="annotation text"/>
    <w:basedOn w:val="Normal"/>
    <w:link w:val="CommentTextChar"/>
    <w:uiPriority w:val="99"/>
    <w:unhideWhenUsed/>
    <w:rsid w:val="00C753C8"/>
    <w:pPr>
      <w:spacing w:line="240" w:lineRule="auto"/>
    </w:pPr>
    <w:rPr>
      <w:szCs w:val="20"/>
    </w:rPr>
  </w:style>
  <w:style w:type="character" w:customStyle="1" w:styleId="CommentTextChar">
    <w:name w:val="Comment Text Char"/>
    <w:basedOn w:val="DefaultParagraphFont"/>
    <w:link w:val="CommentText"/>
    <w:uiPriority w:val="99"/>
    <w:rsid w:val="00C753C8"/>
    <w:rPr>
      <w:rFonts w:asciiTheme="minorHAnsi" w:hAnsiTheme="minorHAnsi"/>
      <w:lang w:eastAsia="en-US"/>
    </w:rPr>
  </w:style>
  <w:style w:type="paragraph" w:styleId="CommentSubject">
    <w:name w:val="annotation subject"/>
    <w:basedOn w:val="CommentText"/>
    <w:next w:val="CommentText"/>
    <w:link w:val="CommentSubjectChar"/>
    <w:uiPriority w:val="99"/>
    <w:semiHidden/>
    <w:unhideWhenUsed/>
    <w:rsid w:val="00C753C8"/>
    <w:rPr>
      <w:b/>
      <w:bCs/>
    </w:rPr>
  </w:style>
  <w:style w:type="character" w:customStyle="1" w:styleId="CommentSubjectChar">
    <w:name w:val="Comment Subject Char"/>
    <w:basedOn w:val="CommentTextChar"/>
    <w:link w:val="CommentSubject"/>
    <w:uiPriority w:val="99"/>
    <w:semiHidden/>
    <w:rsid w:val="00C753C8"/>
    <w:rPr>
      <w:rFonts w:asciiTheme="minorHAnsi" w:hAnsiTheme="minorHAnsi"/>
      <w:b/>
      <w:bCs/>
      <w:lang w:eastAsia="en-US"/>
    </w:rPr>
  </w:style>
  <w:style w:type="paragraph" w:customStyle="1" w:styleId="Boxbullets">
    <w:name w:val="Box bullets"/>
    <w:basedOn w:val="Boxtext0"/>
    <w:qFormat/>
    <w:rsid w:val="00C753C8"/>
    <w:pPr>
      <w:numPr>
        <w:numId w:val="14"/>
      </w:numPr>
      <w:spacing w:after="0" w:line="264" w:lineRule="auto"/>
    </w:pPr>
  </w:style>
  <w:style w:type="character" w:styleId="UnresolvedMention">
    <w:name w:val="Unresolved Mention"/>
    <w:basedOn w:val="DefaultParagraphFont"/>
    <w:uiPriority w:val="99"/>
    <w:semiHidden/>
    <w:unhideWhenUsed/>
    <w:rsid w:val="00C753C8"/>
    <w:rPr>
      <w:color w:val="605E5C"/>
      <w:shd w:val="clear" w:color="auto" w:fill="E1DFDD"/>
    </w:rPr>
  </w:style>
  <w:style w:type="numbering" w:customStyle="1" w:styleId="AppendixStyle">
    <w:name w:val="Appendix Style"/>
    <w:uiPriority w:val="99"/>
    <w:rsid w:val="00DF27F4"/>
    <w:pPr>
      <w:numPr>
        <w:numId w:val="15"/>
      </w:numPr>
    </w:pPr>
  </w:style>
  <w:style w:type="paragraph" w:customStyle="1" w:styleId="Appendix2">
    <w:name w:val="Appendix 2"/>
    <w:basedOn w:val="Appendix"/>
    <w:next w:val="Normal"/>
    <w:qFormat/>
    <w:rsid w:val="009703AC"/>
    <w:pPr>
      <w:pageBreakBefore w:val="0"/>
      <w:numPr>
        <w:ilvl w:val="1"/>
      </w:numPr>
      <w:shd w:val="clear" w:color="auto" w:fill="auto"/>
      <w:tabs>
        <w:tab w:val="clear" w:pos="2835"/>
        <w:tab w:val="left" w:pos="737"/>
      </w:tabs>
      <w:spacing w:before="360" w:after="240"/>
      <w:ind w:left="964" w:hanging="964"/>
    </w:pPr>
    <w:rPr>
      <w:rFonts w:ascii="Segoe UI" w:hAnsi="Segoe UI"/>
      <w:b w:val="0"/>
      <w:bCs w:val="0"/>
      <w:sz w:val="28"/>
      <w14:scene3d>
        <w14:camera w14:prst="orthographicFront"/>
        <w14:lightRig w14:rig="threePt" w14:dir="t">
          <w14:rot w14:lat="0" w14:lon="0" w14:rev="0"/>
        </w14:lightRig>
      </w14:scene3d>
    </w:rPr>
  </w:style>
  <w:style w:type="paragraph" w:styleId="ListBullet2">
    <w:name w:val="List Bullet 2"/>
    <w:basedOn w:val="Normal"/>
    <w:uiPriority w:val="1"/>
    <w:rsid w:val="005824B9"/>
    <w:pPr>
      <w:numPr>
        <w:ilvl w:val="1"/>
        <w:numId w:val="16"/>
      </w:numPr>
      <w:contextualSpacing/>
    </w:pPr>
  </w:style>
  <w:style w:type="paragraph" w:styleId="ListBullet3">
    <w:name w:val="List Bullet 3"/>
    <w:basedOn w:val="Normal"/>
    <w:uiPriority w:val="1"/>
    <w:semiHidden/>
    <w:rsid w:val="00C753C8"/>
    <w:pPr>
      <w:numPr>
        <w:numId w:val="1"/>
      </w:numPr>
      <w:spacing w:after="0"/>
      <w:ind w:left="360"/>
    </w:pPr>
  </w:style>
  <w:style w:type="paragraph" w:styleId="ListNumber2">
    <w:name w:val="List Number 2"/>
    <w:basedOn w:val="Normal"/>
    <w:uiPriority w:val="1"/>
    <w:rsid w:val="000C2570"/>
    <w:pPr>
      <w:numPr>
        <w:ilvl w:val="1"/>
        <w:numId w:val="37"/>
      </w:numPr>
      <w:ind w:left="1080" w:hanging="360"/>
      <w:contextualSpacing/>
    </w:pPr>
  </w:style>
  <w:style w:type="table" w:styleId="PlainTable2">
    <w:name w:val="Plain Table 2"/>
    <w:basedOn w:val="TableNormal"/>
    <w:uiPriority w:val="42"/>
    <w:rsid w:val="00C753C8"/>
    <w:tblPr>
      <w:tblStyleRowBandSize w:val="1"/>
      <w:tblStyleColBandSize w:val="1"/>
      <w:tblBorders>
        <w:top w:val="single" w:sz="4" w:space="0" w:color="FFFFFF" w:themeColor="text1" w:themeTint="80"/>
        <w:bottom w:val="single" w:sz="4" w:space="0" w:color="FFFFFF" w:themeColor="text1" w:themeTint="80"/>
      </w:tblBorders>
    </w:tblPr>
    <w:tblStylePr w:type="firstRow">
      <w:rPr>
        <w:b/>
        <w:bCs/>
      </w:rPr>
      <w:tblPr/>
      <w:tcPr>
        <w:tcBorders>
          <w:bottom w:val="single" w:sz="4" w:space="0" w:color="FFFFFF" w:themeColor="text1" w:themeTint="80"/>
        </w:tcBorders>
      </w:tcPr>
    </w:tblStylePr>
    <w:tblStylePr w:type="lastRow">
      <w:rPr>
        <w:b/>
        <w:bCs/>
      </w:rPr>
      <w:tblPr/>
      <w:tcPr>
        <w:tcBorders>
          <w:top w:val="single" w:sz="4" w:space="0" w:color="FFFFFF" w:themeColor="text1" w:themeTint="80"/>
        </w:tcBorders>
      </w:tcPr>
    </w:tblStylePr>
    <w:tblStylePr w:type="firstCol">
      <w:rPr>
        <w:b/>
        <w:bCs/>
      </w:rPr>
    </w:tblStylePr>
    <w:tblStylePr w:type="lastCol">
      <w:rPr>
        <w:b/>
        <w:bCs/>
      </w:rPr>
    </w:tblStylePr>
    <w:tblStylePr w:type="band1Vert">
      <w:tblPr/>
      <w:tcPr>
        <w:tcBorders>
          <w:left w:val="single" w:sz="4" w:space="0" w:color="FFFFFF" w:themeColor="text1" w:themeTint="80"/>
          <w:right w:val="single" w:sz="4" w:space="0" w:color="FFFFFF" w:themeColor="text1" w:themeTint="80"/>
        </w:tcBorders>
      </w:tcPr>
    </w:tblStylePr>
    <w:tblStylePr w:type="band2Vert">
      <w:tblPr/>
      <w:tcPr>
        <w:tcBorders>
          <w:left w:val="single" w:sz="4" w:space="0" w:color="FFFFFF" w:themeColor="text1" w:themeTint="80"/>
          <w:right w:val="single" w:sz="4" w:space="0" w:color="FFFFFF" w:themeColor="text1" w:themeTint="80"/>
        </w:tcBorders>
      </w:tcPr>
    </w:tblStylePr>
    <w:tblStylePr w:type="band1Horz">
      <w:tblPr/>
      <w:tcPr>
        <w:tcBorders>
          <w:top w:val="single" w:sz="4" w:space="0" w:color="FFFFFF" w:themeColor="text1" w:themeTint="80"/>
          <w:bottom w:val="single" w:sz="4" w:space="0" w:color="FFFFFF" w:themeColor="text1" w:themeTint="80"/>
        </w:tcBorders>
      </w:tcPr>
    </w:tblStylePr>
  </w:style>
  <w:style w:type="paragraph" w:customStyle="1" w:styleId="Sourcenote">
    <w:name w:val="Source note"/>
    <w:next w:val="Normal"/>
    <w:qFormat/>
    <w:rsid w:val="00F577BB"/>
    <w:pPr>
      <w:spacing w:after="240"/>
    </w:pPr>
    <w:rPr>
      <w:rFonts w:asciiTheme="minorHAnsi" w:hAnsiTheme="minorHAnsi"/>
      <w:sz w:val="18"/>
      <w:lang w:eastAsia="en-US"/>
    </w:rPr>
  </w:style>
  <w:style w:type="paragraph" w:customStyle="1" w:styleId="Appendix3">
    <w:name w:val="Appendix 3"/>
    <w:basedOn w:val="Appendix2"/>
    <w:next w:val="Normal"/>
    <w:qFormat/>
    <w:rsid w:val="009703AC"/>
    <w:pPr>
      <w:numPr>
        <w:ilvl w:val="2"/>
      </w:numPr>
    </w:pPr>
    <w:rPr>
      <w:sz w:val="24"/>
      <w:szCs w:val="24"/>
    </w:rPr>
  </w:style>
  <w:style w:type="numbering" w:customStyle="1" w:styleId="ListBullet0">
    <w:name w:val="ListBullet"/>
    <w:uiPriority w:val="99"/>
    <w:rsid w:val="00CD0552"/>
    <w:pPr>
      <w:numPr>
        <w:numId w:val="16"/>
      </w:numPr>
    </w:pPr>
  </w:style>
  <w:style w:type="numbering" w:customStyle="1" w:styleId="ListNumber0">
    <w:name w:val="ListNumber"/>
    <w:uiPriority w:val="99"/>
    <w:rsid w:val="000C2570"/>
    <w:pPr>
      <w:numPr>
        <w:numId w:val="17"/>
      </w:numPr>
    </w:pPr>
  </w:style>
  <w:style w:type="paragraph" w:customStyle="1" w:styleId="Heading1Frame">
    <w:name w:val="Heading 1 Frame"/>
    <w:basedOn w:val="Heading1"/>
    <w:next w:val="Normal"/>
    <w:qFormat/>
    <w:rsid w:val="00E3569E"/>
    <w:pPr>
      <w:framePr w:w="8193" w:h="454" w:hRule="exact" w:wrap="around" w:vAnchor="text" w:hAnchor="text" w:y="1"/>
      <w:numPr>
        <w:numId w:val="20"/>
      </w:numPr>
      <w:spacing w:before="0"/>
    </w:pPr>
  </w:style>
  <w:style w:type="paragraph" w:customStyle="1" w:styleId="Heading2Frame">
    <w:name w:val="Heading 2 Frame"/>
    <w:basedOn w:val="Heading2"/>
    <w:next w:val="Normal"/>
    <w:qFormat/>
    <w:rsid w:val="007F4B18"/>
    <w:pPr>
      <w:framePr w:w="8193" w:h="454" w:hRule="exact" w:wrap="around" w:vAnchor="text" w:hAnchor="text" w:y="1"/>
      <w:numPr>
        <w:numId w:val="20"/>
      </w:numPr>
      <w:tabs>
        <w:tab w:val="num" w:pos="907"/>
      </w:tabs>
      <w:spacing w:before="0"/>
    </w:pPr>
  </w:style>
  <w:style w:type="paragraph" w:customStyle="1" w:styleId="Heading3Frame">
    <w:name w:val="Heading 3 Frame"/>
    <w:basedOn w:val="Heading3"/>
    <w:next w:val="Normal"/>
    <w:qFormat/>
    <w:rsid w:val="008F1584"/>
    <w:pPr>
      <w:framePr w:w="8193" w:h="454" w:hRule="exact" w:wrap="around" w:vAnchor="text" w:hAnchor="text" w:y="1"/>
      <w:numPr>
        <w:numId w:val="20"/>
      </w:numPr>
      <w:spacing w:before="0"/>
    </w:pPr>
  </w:style>
  <w:style w:type="paragraph" w:customStyle="1" w:styleId="Heading4Frame">
    <w:name w:val="Heading 4 Frame"/>
    <w:basedOn w:val="Heading4"/>
    <w:qFormat/>
    <w:rsid w:val="008F1584"/>
    <w:pPr>
      <w:framePr w:w="8193" w:h="454" w:hRule="exact" w:wrap="around" w:vAnchor="text" w:hAnchor="text" w:y="1"/>
      <w:numPr>
        <w:ilvl w:val="3"/>
        <w:numId w:val="20"/>
      </w:numPr>
      <w:spacing w:before="0"/>
    </w:pPr>
  </w:style>
  <w:style w:type="numbering" w:customStyle="1" w:styleId="Headingsframe">
    <w:name w:val="Headings frame"/>
    <w:uiPriority w:val="99"/>
    <w:rsid w:val="007F103E"/>
    <w:pPr>
      <w:numPr>
        <w:numId w:val="19"/>
      </w:numPr>
    </w:pPr>
  </w:style>
  <w:style w:type="paragraph" w:customStyle="1" w:styleId="FigureHeading2">
    <w:name w:val="Figure Heading 2"/>
    <w:basedOn w:val="Normal"/>
    <w:next w:val="Normal"/>
    <w:qFormat/>
    <w:rsid w:val="008B2048"/>
    <w:pPr>
      <w:tabs>
        <w:tab w:val="num" w:pos="1304"/>
      </w:tabs>
      <w:spacing w:before="480"/>
      <w:ind w:left="360" w:hanging="360"/>
    </w:pPr>
    <w:rPr>
      <w:b/>
      <w:caps/>
      <w:noProof/>
    </w:rPr>
  </w:style>
  <w:style w:type="paragraph" w:customStyle="1" w:styleId="TableHeading2">
    <w:name w:val="Table Heading 2"/>
    <w:basedOn w:val="TableHeading"/>
    <w:next w:val="Normal"/>
    <w:qFormat/>
    <w:rsid w:val="008B2048"/>
    <w:pPr>
      <w:numPr>
        <w:numId w:val="49"/>
      </w:numPr>
    </w:pPr>
  </w:style>
  <w:style w:type="character" w:styleId="IntenseEmphasis">
    <w:name w:val="Intense Emphasis"/>
    <w:basedOn w:val="DefaultParagraphFont"/>
    <w:uiPriority w:val="21"/>
    <w:qFormat/>
    <w:rsid w:val="00DA7F21"/>
    <w:rPr>
      <w:i/>
      <w:iCs/>
      <w:color w:val="005677" w:themeColor="accent1"/>
    </w:rPr>
  </w:style>
  <w:style w:type="numbering" w:customStyle="1" w:styleId="Appendixtables">
    <w:name w:val="Appendix tables"/>
    <w:uiPriority w:val="99"/>
    <w:rsid w:val="008B2048"/>
    <w:pPr>
      <w:numPr>
        <w:numId w:val="22"/>
      </w:numPr>
    </w:pPr>
  </w:style>
  <w:style w:type="numbering" w:customStyle="1" w:styleId="AppendixFigureheadings">
    <w:name w:val="Appendix Figure headings"/>
    <w:uiPriority w:val="99"/>
    <w:rsid w:val="008B2048"/>
    <w:pPr>
      <w:numPr>
        <w:numId w:val="23"/>
      </w:numPr>
    </w:pPr>
  </w:style>
  <w:style w:type="character" w:customStyle="1" w:styleId="ListParagraphChar">
    <w:name w:val="List Paragraph Char"/>
    <w:aliases w:val="Recommendation Char,List Paragraph1 Char,CV text Char,Dot pt Char,F5 List Paragraph Char,FooterText Char,L Char,List Paragraph11 Char,List Paragraph111 Char,List Paragraph2 Char,Medium Grid 1 - Accent 21 Char,numbered Char,列出段 Char"/>
    <w:basedOn w:val="DefaultParagraphFont"/>
    <w:link w:val="ListParagraph"/>
    <w:uiPriority w:val="34"/>
    <w:qFormat/>
    <w:locked/>
    <w:rsid w:val="0005356D"/>
    <w:rPr>
      <w:rFonts w:asciiTheme="minorHAnsi" w:hAnsiTheme="minorHAnsi"/>
      <w:szCs w:val="22"/>
      <w:lang w:eastAsia="en-US"/>
    </w:rPr>
  </w:style>
  <w:style w:type="character" w:customStyle="1" w:styleId="TablebodytextChar">
    <w:name w:val="Table body text Char"/>
    <w:link w:val="Tablebodytext"/>
    <w:locked/>
    <w:rsid w:val="0005356D"/>
    <w:rPr>
      <w:rFonts w:asciiTheme="minorHAnsi" w:hAnsiTheme="minorHAnsi"/>
      <w:szCs w:val="22"/>
      <w:lang w:eastAsia="en-US"/>
    </w:rPr>
  </w:style>
  <w:style w:type="numbering" w:customStyle="1" w:styleId="ZZBullets">
    <w:name w:val="ZZ Bullets"/>
    <w:rsid w:val="0005356D"/>
    <w:pPr>
      <w:numPr>
        <w:numId w:val="30"/>
      </w:numPr>
    </w:pPr>
  </w:style>
  <w:style w:type="paragraph" w:customStyle="1" w:styleId="tablebodytext0">
    <w:name w:val="tablebodytext"/>
    <w:basedOn w:val="Normal"/>
    <w:rsid w:val="0005356D"/>
    <w:pPr>
      <w:spacing w:before="100" w:beforeAutospacing="1" w:after="100" w:afterAutospacing="1" w:line="240" w:lineRule="auto"/>
    </w:pPr>
    <w:rPr>
      <w:rFonts w:ascii="Calibri" w:eastAsiaTheme="minorHAnsi" w:hAnsi="Calibri" w:cs="Calibri"/>
      <w:sz w:val="22"/>
      <w:lang w:eastAsia="en-AU"/>
    </w:rPr>
  </w:style>
  <w:style w:type="character" w:styleId="Mention">
    <w:name w:val="Mention"/>
    <w:basedOn w:val="DefaultParagraphFont"/>
    <w:uiPriority w:val="99"/>
    <w:unhideWhenUsed/>
    <w:rsid w:val="0005356D"/>
    <w:rPr>
      <w:color w:val="2B579A"/>
      <w:shd w:val="clear" w:color="auto" w:fill="E6E6E6"/>
    </w:rPr>
  </w:style>
  <w:style w:type="character" w:customStyle="1" w:styleId="normaltextrun">
    <w:name w:val="normaltextrun"/>
    <w:basedOn w:val="DefaultParagraphFont"/>
    <w:rsid w:val="0005356D"/>
  </w:style>
  <w:style w:type="character" w:customStyle="1" w:styleId="findhit">
    <w:name w:val="findhit"/>
    <w:basedOn w:val="DefaultParagraphFont"/>
    <w:rsid w:val="0005356D"/>
  </w:style>
  <w:style w:type="character" w:customStyle="1" w:styleId="eop">
    <w:name w:val="eop"/>
    <w:basedOn w:val="DefaultParagraphFont"/>
    <w:rsid w:val="0005356D"/>
  </w:style>
  <w:style w:type="character" w:styleId="FollowedHyperlink">
    <w:name w:val="FollowedHyperlink"/>
    <w:basedOn w:val="DefaultParagraphFont"/>
    <w:uiPriority w:val="99"/>
    <w:semiHidden/>
    <w:unhideWhenUsed/>
    <w:rsid w:val="0005356D"/>
    <w:rPr>
      <w:color w:val="49A7C3" w:themeColor="followedHyperlink"/>
      <w:u w:val="single"/>
    </w:rPr>
  </w:style>
  <w:style w:type="paragraph" w:customStyle="1" w:styleId="paragraph">
    <w:name w:val="paragraph"/>
    <w:basedOn w:val="Normal"/>
    <w:rsid w:val="0005356D"/>
    <w:pPr>
      <w:spacing w:before="100" w:beforeAutospacing="1" w:after="100" w:afterAutospacing="1" w:line="240" w:lineRule="auto"/>
    </w:pPr>
    <w:rPr>
      <w:rFonts w:ascii="Times New Roman" w:eastAsia="Times New Roman" w:hAnsi="Times New Roman"/>
      <w:sz w:val="24"/>
      <w:szCs w:val="24"/>
      <w:lang w:eastAsia="en-AU"/>
    </w:rPr>
  </w:style>
  <w:style w:type="paragraph" w:styleId="Revision">
    <w:name w:val="Revision"/>
    <w:hidden/>
    <w:uiPriority w:val="99"/>
    <w:semiHidden/>
    <w:rsid w:val="0005356D"/>
    <w:rPr>
      <w:rFonts w:asciiTheme="minorHAnsi" w:hAnsiTheme="minorHAnsi"/>
      <w:szCs w:val="22"/>
      <w:lang w:eastAsia="en-US"/>
    </w:rPr>
  </w:style>
  <w:style w:type="character" w:customStyle="1" w:styleId="cf01">
    <w:name w:val="cf01"/>
    <w:basedOn w:val="DefaultParagraphFont"/>
    <w:rsid w:val="0005356D"/>
    <w:rPr>
      <w:rFonts w:ascii="Segoe UI" w:hAnsi="Segoe UI" w:cs="Segoe UI" w:hint="default"/>
      <w:sz w:val="18"/>
      <w:szCs w:val="18"/>
    </w:rPr>
  </w:style>
  <w:style w:type="character" w:customStyle="1" w:styleId="ui-provider">
    <w:name w:val="ui-provider"/>
    <w:basedOn w:val="DefaultParagraphFont"/>
    <w:rsid w:val="0005356D"/>
  </w:style>
  <w:style w:type="paragraph" w:customStyle="1" w:styleId="Normalnumbered">
    <w:name w:val="Normal numbered"/>
    <w:basedOn w:val="Normal"/>
    <w:link w:val="NormalnumberedChar"/>
    <w:rsid w:val="0005356D"/>
    <w:pPr>
      <w:numPr>
        <w:numId w:val="33"/>
      </w:numPr>
      <w:tabs>
        <w:tab w:val="clear" w:pos="1134"/>
        <w:tab w:val="num" w:pos="360"/>
        <w:tab w:val="num" w:pos="1418"/>
      </w:tabs>
      <w:spacing w:line="260" w:lineRule="exact"/>
      <w:ind w:left="360" w:hanging="360"/>
      <w:jc w:val="both"/>
    </w:pPr>
    <w:rPr>
      <w:rFonts w:ascii="Corbel" w:eastAsia="Times New Roman" w:hAnsi="Corbel"/>
      <w:color w:val="000000"/>
      <w:sz w:val="23"/>
      <w:szCs w:val="20"/>
      <w:lang w:eastAsia="en-AU"/>
    </w:rPr>
  </w:style>
  <w:style w:type="character" w:customStyle="1" w:styleId="NormalnumberedChar">
    <w:name w:val="Normal numbered Char"/>
    <w:link w:val="Normalnumbered"/>
    <w:locked/>
    <w:rsid w:val="0005356D"/>
    <w:rPr>
      <w:rFonts w:ascii="Corbel" w:eastAsia="Times New Roman" w:hAnsi="Corbel"/>
      <w:color w:val="000000"/>
      <w:sz w:val="23"/>
    </w:rPr>
  </w:style>
  <w:style w:type="character" w:customStyle="1" w:styleId="CCSNormalTextChar">
    <w:name w:val="CCS Normal Text Char"/>
    <w:basedOn w:val="DefaultParagraphFont"/>
    <w:link w:val="CCSNormalText"/>
    <w:locked/>
    <w:rsid w:val="0005356D"/>
    <w:rPr>
      <w:rFonts w:ascii="Arial" w:hAnsi="Arial" w:cs="Arial"/>
      <w:lang w:eastAsia="zh-CN" w:bidi="th-TH"/>
    </w:rPr>
  </w:style>
  <w:style w:type="paragraph" w:customStyle="1" w:styleId="CCSNormalText">
    <w:name w:val="CCS Normal Text"/>
    <w:basedOn w:val="Normal"/>
    <w:link w:val="CCSNormalTextChar"/>
    <w:qFormat/>
    <w:rsid w:val="0005356D"/>
    <w:pPr>
      <w:spacing w:before="60" w:after="120" w:line="240" w:lineRule="auto"/>
    </w:pPr>
    <w:rPr>
      <w:rFonts w:ascii="Arial" w:hAnsi="Arial" w:cs="Arial"/>
      <w:szCs w:val="20"/>
      <w:lang w:eastAsia="zh-CN" w:bidi="th-TH"/>
    </w:rPr>
  </w:style>
  <w:style w:type="character" w:styleId="Strong">
    <w:name w:val="Strong"/>
    <w:basedOn w:val="DefaultParagraphFont"/>
    <w:uiPriority w:val="22"/>
    <w:qFormat/>
    <w:rsid w:val="0005356D"/>
    <w:rPr>
      <w:b/>
      <w:bCs/>
    </w:rPr>
  </w:style>
  <w:style w:type="character" w:customStyle="1" w:styleId="null">
    <w:name w:val="null"/>
    <w:basedOn w:val="DefaultParagraphFont"/>
    <w:rsid w:val="00413D19"/>
  </w:style>
  <w:style w:type="paragraph" w:customStyle="1" w:styleId="null2">
    <w:name w:val="null2"/>
    <w:basedOn w:val="Normal"/>
    <w:rsid w:val="00413D19"/>
    <w:pPr>
      <w:spacing w:before="100" w:beforeAutospacing="1" w:after="100" w:afterAutospacing="1" w:line="240" w:lineRule="auto"/>
    </w:pPr>
    <w:rPr>
      <w:rFonts w:ascii="Calibri" w:eastAsiaTheme="minorHAnsi" w:hAnsi="Calibri" w:cs="Calibri"/>
      <w:szCs w:val="20"/>
      <w:lang w:eastAsia="en-AU"/>
    </w:rPr>
  </w:style>
  <w:style w:type="paragraph" w:customStyle="1" w:styleId="pf0">
    <w:name w:val="pf0"/>
    <w:basedOn w:val="Normal"/>
    <w:rsid w:val="00ED2877"/>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pf1">
    <w:name w:val="pf1"/>
    <w:basedOn w:val="Normal"/>
    <w:rsid w:val="00371C4C"/>
    <w:pPr>
      <w:spacing w:before="100" w:beforeAutospacing="1" w:after="100" w:afterAutospacing="1" w:line="240" w:lineRule="auto"/>
      <w:ind w:left="720"/>
    </w:pPr>
    <w:rPr>
      <w:rFonts w:ascii="Times New Roman" w:eastAsia="Times New Roman" w:hAnsi="Times New Roman"/>
      <w:sz w:val="24"/>
      <w:szCs w:val="24"/>
      <w:lang w:eastAsia="en-AU"/>
    </w:rPr>
  </w:style>
  <w:style w:type="character" w:customStyle="1" w:styleId="cf11">
    <w:name w:val="cf11"/>
    <w:basedOn w:val="DefaultParagraphFont"/>
    <w:rsid w:val="00371C4C"/>
    <w:rPr>
      <w:rFonts w:ascii="Segoe UI" w:hAnsi="Segoe UI" w:cs="Segoe UI" w:hint="default"/>
      <w:sz w:val="18"/>
      <w:szCs w:val="18"/>
    </w:rPr>
  </w:style>
  <w:style w:type="character" w:styleId="Emphasis">
    <w:name w:val="Emphasis"/>
    <w:basedOn w:val="DefaultParagraphFont"/>
    <w:uiPriority w:val="20"/>
    <w:qFormat/>
    <w:rsid w:val="00522DB5"/>
    <w:rPr>
      <w:i/>
      <w:iCs/>
    </w:rPr>
  </w:style>
  <w:style w:type="character" w:customStyle="1" w:styleId="hgkelc">
    <w:name w:val="hgkelc"/>
    <w:basedOn w:val="DefaultParagraphFont"/>
    <w:rsid w:val="00AC1099"/>
  </w:style>
  <w:style w:type="character" w:customStyle="1" w:styleId="authors-list-item">
    <w:name w:val="authors-list-item"/>
    <w:basedOn w:val="DefaultParagraphFont"/>
    <w:rsid w:val="001509F9"/>
  </w:style>
  <w:style w:type="character" w:customStyle="1" w:styleId="author-sup-separator">
    <w:name w:val="author-sup-separator"/>
    <w:basedOn w:val="DefaultParagraphFont"/>
    <w:rsid w:val="001509F9"/>
  </w:style>
  <w:style w:type="character" w:customStyle="1" w:styleId="comma">
    <w:name w:val="comma"/>
    <w:basedOn w:val="DefaultParagraphFont"/>
    <w:rsid w:val="001509F9"/>
  </w:style>
  <w:style w:type="character" w:customStyle="1" w:styleId="period">
    <w:name w:val="period"/>
    <w:basedOn w:val="DefaultParagraphFont"/>
    <w:rsid w:val="001509F9"/>
  </w:style>
  <w:style w:type="character" w:customStyle="1" w:styleId="cit">
    <w:name w:val="cit"/>
    <w:basedOn w:val="DefaultParagraphFont"/>
    <w:rsid w:val="001509F9"/>
  </w:style>
  <w:style w:type="character" w:customStyle="1" w:styleId="citation-doi">
    <w:name w:val="citation-doi"/>
    <w:basedOn w:val="DefaultParagraphFont"/>
    <w:rsid w:val="001509F9"/>
  </w:style>
  <w:style w:type="paragraph" w:customStyle="1" w:styleId="TableText">
    <w:name w:val="Table Text"/>
    <w:qFormat/>
    <w:rsid w:val="00042E65"/>
    <w:pPr>
      <w:spacing w:before="120" w:after="120" w:line="276" w:lineRule="auto"/>
    </w:pPr>
    <w:rPr>
      <w:rFonts w:ascii="Arial" w:eastAsiaTheme="minorHAnsi" w:hAnsi="Arial" w:cstheme="minorBidi"/>
      <w:bCs/>
      <w:sz w:val="18"/>
      <w:szCs w:val="18"/>
      <w:lang w:eastAsia="en-US"/>
    </w:rPr>
  </w:style>
  <w:style w:type="table" w:customStyle="1" w:styleId="TableGrid2">
    <w:name w:val="Table Grid2"/>
    <w:basedOn w:val="TableNormal"/>
    <w:uiPriority w:val="39"/>
    <w:rsid w:val="0030716A"/>
    <w:rPr>
      <w:rFonts w:ascii="Times New Roman" w:eastAsiaTheme="minorHAnsi"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1">
    <w:name w:val="Bullet11"/>
    <w:basedOn w:val="ListParagraph"/>
    <w:qFormat/>
    <w:rsid w:val="00AA5D98"/>
    <w:pPr>
      <w:ind w:left="360" w:hanging="360"/>
    </w:pPr>
  </w:style>
  <w:style w:type="paragraph" w:customStyle="1" w:styleId="Paragraphtext">
    <w:name w:val="Paragraph text"/>
    <w:basedOn w:val="Normal"/>
    <w:qFormat/>
    <w:rsid w:val="00AC559B"/>
    <w:pPr>
      <w:spacing w:before="120" w:after="60" w:line="240" w:lineRule="auto"/>
    </w:pPr>
    <w:rPr>
      <w:rFonts w:ascii="Arial" w:eastAsia="Times New Roman" w:hAnsi="Arial"/>
      <w:color w:val="FFFFFF" w:themeColor="text1"/>
      <w:sz w:val="21"/>
      <w:szCs w:val="24"/>
    </w:rPr>
  </w:style>
  <w:style w:type="character" w:customStyle="1" w:styleId="field-content">
    <w:name w:val="field-content"/>
    <w:basedOn w:val="DefaultParagraphFont"/>
    <w:rsid w:val="001C5F71"/>
  </w:style>
  <w:style w:type="table" w:customStyle="1" w:styleId="CET1">
    <w:name w:val="CET 1"/>
    <w:basedOn w:val="TableNormal"/>
    <w:uiPriority w:val="99"/>
    <w:rsid w:val="00DB129D"/>
    <w:rPr>
      <w:rFonts w:asciiTheme="minorHAnsi" w:eastAsiaTheme="minorHAnsi" w:hAnsiTheme="minorHAnsi" w:cstheme="minorBidi"/>
      <w:szCs w:val="22"/>
      <w:lang w:eastAsia="en-US"/>
    </w:rPr>
    <w:tblPr>
      <w:tblStyleRowBandSize w:val="1"/>
      <w:tblInd w:w="0" w:type="nil"/>
      <w:tblBorders>
        <w:top w:val="single" w:sz="4" w:space="0" w:color="auto"/>
        <w:bottom w:val="single" w:sz="4" w:space="0" w:color="auto"/>
        <w:insideH w:val="single" w:sz="4" w:space="0" w:color="auto"/>
      </w:tblBorders>
    </w:tblPr>
    <w:tblStylePr w:type="firstRow">
      <w:rPr>
        <w:color w:val="FFFFFF" w:themeColor="background1"/>
      </w:rPr>
      <w:tblPr/>
      <w:tcPr>
        <w:shd w:val="clear" w:color="auto" w:fill="062D4A"/>
      </w:tcPr>
    </w:tblStylePr>
    <w:tblStylePr w:type="lastRow">
      <w:tblPr/>
      <w:tcPr>
        <w:shd w:val="clear" w:color="auto" w:fill="062D4A"/>
      </w:tcPr>
    </w:tblStylePr>
    <w:tblStylePr w:type="band1Horz">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Default">
    <w:name w:val="Default"/>
    <w:rsid w:val="00030379"/>
    <w:pPr>
      <w:autoSpaceDE w:val="0"/>
      <w:autoSpaceDN w:val="0"/>
      <w:adjustRightInd w:val="0"/>
    </w:pPr>
    <w:rPr>
      <w:rFonts w:ascii="Segoe UI" w:hAnsi="Segoe UI" w:cs="Segoe UI"/>
      <w:color w:val="000000"/>
      <w:sz w:val="24"/>
      <w:szCs w:val="24"/>
    </w:rPr>
  </w:style>
  <w:style w:type="character" w:customStyle="1" w:styleId="cf31">
    <w:name w:val="cf31"/>
    <w:basedOn w:val="DefaultParagraphFont"/>
    <w:rsid w:val="004E5540"/>
    <w:rPr>
      <w:rFonts w:ascii="Segoe UI" w:hAnsi="Segoe UI" w:cs="Segoe UI" w:hint="default"/>
      <w:sz w:val="18"/>
      <w:szCs w:val="18"/>
      <w:shd w:val="clear" w:color="auto" w:fill="FFFFFF"/>
    </w:rPr>
  </w:style>
  <w:style w:type="character" w:customStyle="1" w:styleId="cf41">
    <w:name w:val="cf41"/>
    <w:basedOn w:val="DefaultParagraphFont"/>
    <w:rsid w:val="004E5540"/>
    <w:rPr>
      <w:rFonts w:ascii="Segoe UI" w:hAnsi="Segoe UI" w:cs="Segoe UI" w:hint="default"/>
      <w:i/>
      <w:iCs/>
      <w:sz w:val="18"/>
      <w:szCs w:val="18"/>
      <w:shd w:val="clear" w:color="auto" w:fill="FFFFFF"/>
    </w:rPr>
  </w:style>
  <w:style w:type="table" w:customStyle="1" w:styleId="TFBlue">
    <w:name w:val="TF_Blue"/>
    <w:basedOn w:val="TableNormal"/>
    <w:uiPriority w:val="99"/>
    <w:rsid w:val="00B87CC2"/>
    <w:pPr>
      <w:spacing w:before="60" w:after="60"/>
    </w:pPr>
    <w:rPr>
      <w:rFonts w:asciiTheme="minorHAnsi" w:eastAsiaTheme="minorHAnsi" w:hAnsiTheme="minorHAnsi" w:cstheme="minorBidi"/>
      <w:sz w:val="22"/>
      <w:szCs w:val="22"/>
      <w:lang w:eastAsia="en-US"/>
    </w:rPr>
    <w:tblPr>
      <w:tblStyleRowBandSize w:val="1"/>
      <w:tblBorders>
        <w:top w:val="single" w:sz="4" w:space="0" w:color="005677" w:themeColor="accent1"/>
        <w:bottom w:val="single" w:sz="4" w:space="0" w:color="005677" w:themeColor="accent1"/>
      </w:tblBorders>
    </w:tblPr>
    <w:tblStylePr w:type="firstRow">
      <w:pPr>
        <w:jc w:val="left"/>
      </w:pPr>
      <w:rPr>
        <w:b/>
      </w:rPr>
      <w:tblPr/>
      <w:trPr>
        <w:tblHeader/>
      </w:trPr>
      <w:tcPr>
        <w:tcBorders>
          <w:top w:val="single" w:sz="4" w:space="0" w:color="005677" w:themeColor="accent1"/>
          <w:left w:val="nil"/>
          <w:bottom w:val="single" w:sz="4" w:space="0" w:color="005677" w:themeColor="accent1"/>
          <w:right w:val="nil"/>
          <w:insideH w:val="nil"/>
          <w:insideV w:val="nil"/>
          <w:tl2br w:val="nil"/>
          <w:tr2bl w:val="nil"/>
        </w:tcBorders>
        <w:vAlign w:val="bottom"/>
      </w:tcPr>
    </w:tblStylePr>
    <w:tblStylePr w:type="lastRow">
      <w:rPr>
        <w:b/>
      </w:rPr>
      <w:tblPr/>
      <w:tcPr>
        <w:tcBorders>
          <w:top w:val="single" w:sz="4" w:space="0" w:color="005677" w:themeColor="accent1"/>
          <w:left w:val="nil"/>
          <w:bottom w:val="single" w:sz="4" w:space="0" w:color="005677" w:themeColor="accent1"/>
          <w:right w:val="nil"/>
          <w:insideH w:val="nil"/>
          <w:insideV w:val="nil"/>
          <w:tl2br w:val="nil"/>
          <w:tr2bl w:val="nil"/>
        </w:tcBorders>
      </w:tcPr>
    </w:tblStylePr>
    <w:tblStylePr w:type="band1Horz">
      <w:tblPr/>
      <w:tcPr>
        <w:shd w:val="clear" w:color="auto" w:fill="EFF8FF"/>
      </w:tcPr>
    </w:tblStylePr>
  </w:style>
  <w:style w:type="character" w:customStyle="1" w:styleId="xxxxxui-provider">
    <w:name w:val="x_x_xxxui-provider"/>
    <w:basedOn w:val="DefaultParagraphFont"/>
    <w:rsid w:val="00D308FF"/>
  </w:style>
  <w:style w:type="paragraph" w:customStyle="1" w:styleId="Footerpagenumber">
    <w:name w:val="Footer page number"/>
    <w:basedOn w:val="Footer"/>
    <w:qFormat/>
    <w:rsid w:val="00113192"/>
    <w:pPr>
      <w:pBdr>
        <w:top w:val="single" w:sz="4" w:space="1" w:color="49A7C3" w:themeColor="accent2"/>
      </w:pBdr>
      <w:spacing w:after="120" w:line="480" w:lineRule="auto"/>
      <w:jc w:val="center"/>
    </w:pPr>
    <w:rPr>
      <w:i w:val="0"/>
      <w:color w:val="00567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04830">
      <w:bodyDiv w:val="1"/>
      <w:marLeft w:val="0"/>
      <w:marRight w:val="0"/>
      <w:marTop w:val="0"/>
      <w:marBottom w:val="0"/>
      <w:divBdr>
        <w:top w:val="none" w:sz="0" w:space="0" w:color="auto"/>
        <w:left w:val="none" w:sz="0" w:space="0" w:color="auto"/>
        <w:bottom w:val="none" w:sz="0" w:space="0" w:color="auto"/>
        <w:right w:val="none" w:sz="0" w:space="0" w:color="auto"/>
      </w:divBdr>
    </w:div>
    <w:div w:id="70129770">
      <w:bodyDiv w:val="1"/>
      <w:marLeft w:val="0"/>
      <w:marRight w:val="0"/>
      <w:marTop w:val="0"/>
      <w:marBottom w:val="0"/>
      <w:divBdr>
        <w:top w:val="none" w:sz="0" w:space="0" w:color="auto"/>
        <w:left w:val="none" w:sz="0" w:space="0" w:color="auto"/>
        <w:bottom w:val="none" w:sz="0" w:space="0" w:color="auto"/>
        <w:right w:val="none" w:sz="0" w:space="0" w:color="auto"/>
      </w:divBdr>
    </w:div>
    <w:div w:id="107241082">
      <w:bodyDiv w:val="1"/>
      <w:marLeft w:val="0"/>
      <w:marRight w:val="0"/>
      <w:marTop w:val="0"/>
      <w:marBottom w:val="0"/>
      <w:divBdr>
        <w:top w:val="none" w:sz="0" w:space="0" w:color="auto"/>
        <w:left w:val="none" w:sz="0" w:space="0" w:color="auto"/>
        <w:bottom w:val="none" w:sz="0" w:space="0" w:color="auto"/>
        <w:right w:val="none" w:sz="0" w:space="0" w:color="auto"/>
      </w:divBdr>
    </w:div>
    <w:div w:id="132792767">
      <w:bodyDiv w:val="1"/>
      <w:marLeft w:val="0"/>
      <w:marRight w:val="0"/>
      <w:marTop w:val="0"/>
      <w:marBottom w:val="0"/>
      <w:divBdr>
        <w:top w:val="none" w:sz="0" w:space="0" w:color="auto"/>
        <w:left w:val="none" w:sz="0" w:space="0" w:color="auto"/>
        <w:bottom w:val="none" w:sz="0" w:space="0" w:color="auto"/>
        <w:right w:val="none" w:sz="0" w:space="0" w:color="auto"/>
      </w:divBdr>
    </w:div>
    <w:div w:id="150679304">
      <w:bodyDiv w:val="1"/>
      <w:marLeft w:val="0"/>
      <w:marRight w:val="0"/>
      <w:marTop w:val="0"/>
      <w:marBottom w:val="0"/>
      <w:divBdr>
        <w:top w:val="none" w:sz="0" w:space="0" w:color="auto"/>
        <w:left w:val="none" w:sz="0" w:space="0" w:color="auto"/>
        <w:bottom w:val="none" w:sz="0" w:space="0" w:color="auto"/>
        <w:right w:val="none" w:sz="0" w:space="0" w:color="auto"/>
      </w:divBdr>
    </w:div>
    <w:div w:id="170150773">
      <w:bodyDiv w:val="1"/>
      <w:marLeft w:val="0"/>
      <w:marRight w:val="0"/>
      <w:marTop w:val="0"/>
      <w:marBottom w:val="0"/>
      <w:divBdr>
        <w:top w:val="none" w:sz="0" w:space="0" w:color="auto"/>
        <w:left w:val="none" w:sz="0" w:space="0" w:color="auto"/>
        <w:bottom w:val="none" w:sz="0" w:space="0" w:color="auto"/>
        <w:right w:val="none" w:sz="0" w:space="0" w:color="auto"/>
      </w:divBdr>
      <w:divsChild>
        <w:div w:id="1919291940">
          <w:marLeft w:val="274"/>
          <w:marRight w:val="0"/>
          <w:marTop w:val="150"/>
          <w:marBottom w:val="0"/>
          <w:divBdr>
            <w:top w:val="none" w:sz="0" w:space="0" w:color="auto"/>
            <w:left w:val="none" w:sz="0" w:space="0" w:color="auto"/>
            <w:bottom w:val="none" w:sz="0" w:space="0" w:color="auto"/>
            <w:right w:val="none" w:sz="0" w:space="0" w:color="auto"/>
          </w:divBdr>
        </w:div>
      </w:divsChild>
    </w:div>
    <w:div w:id="196043810">
      <w:bodyDiv w:val="1"/>
      <w:marLeft w:val="0"/>
      <w:marRight w:val="0"/>
      <w:marTop w:val="0"/>
      <w:marBottom w:val="0"/>
      <w:divBdr>
        <w:top w:val="none" w:sz="0" w:space="0" w:color="auto"/>
        <w:left w:val="none" w:sz="0" w:space="0" w:color="auto"/>
        <w:bottom w:val="none" w:sz="0" w:space="0" w:color="auto"/>
        <w:right w:val="none" w:sz="0" w:space="0" w:color="auto"/>
      </w:divBdr>
    </w:div>
    <w:div w:id="228343256">
      <w:bodyDiv w:val="1"/>
      <w:marLeft w:val="0"/>
      <w:marRight w:val="0"/>
      <w:marTop w:val="0"/>
      <w:marBottom w:val="0"/>
      <w:divBdr>
        <w:top w:val="none" w:sz="0" w:space="0" w:color="auto"/>
        <w:left w:val="none" w:sz="0" w:space="0" w:color="auto"/>
        <w:bottom w:val="none" w:sz="0" w:space="0" w:color="auto"/>
        <w:right w:val="none" w:sz="0" w:space="0" w:color="auto"/>
      </w:divBdr>
    </w:div>
    <w:div w:id="248194504">
      <w:bodyDiv w:val="1"/>
      <w:marLeft w:val="0"/>
      <w:marRight w:val="0"/>
      <w:marTop w:val="0"/>
      <w:marBottom w:val="0"/>
      <w:divBdr>
        <w:top w:val="none" w:sz="0" w:space="0" w:color="auto"/>
        <w:left w:val="none" w:sz="0" w:space="0" w:color="auto"/>
        <w:bottom w:val="none" w:sz="0" w:space="0" w:color="auto"/>
        <w:right w:val="none" w:sz="0" w:space="0" w:color="auto"/>
      </w:divBdr>
    </w:div>
    <w:div w:id="364600364">
      <w:bodyDiv w:val="1"/>
      <w:marLeft w:val="0"/>
      <w:marRight w:val="0"/>
      <w:marTop w:val="0"/>
      <w:marBottom w:val="0"/>
      <w:divBdr>
        <w:top w:val="none" w:sz="0" w:space="0" w:color="auto"/>
        <w:left w:val="none" w:sz="0" w:space="0" w:color="auto"/>
        <w:bottom w:val="none" w:sz="0" w:space="0" w:color="auto"/>
        <w:right w:val="none" w:sz="0" w:space="0" w:color="auto"/>
      </w:divBdr>
      <w:divsChild>
        <w:div w:id="1611161336">
          <w:marLeft w:val="0"/>
          <w:marRight w:val="0"/>
          <w:marTop w:val="0"/>
          <w:marBottom w:val="0"/>
          <w:divBdr>
            <w:top w:val="none" w:sz="0" w:space="0" w:color="auto"/>
            <w:left w:val="none" w:sz="0" w:space="0" w:color="auto"/>
            <w:bottom w:val="none" w:sz="0" w:space="0" w:color="auto"/>
            <w:right w:val="none" w:sz="0" w:space="0" w:color="auto"/>
          </w:divBdr>
        </w:div>
        <w:div w:id="1948584341">
          <w:marLeft w:val="0"/>
          <w:marRight w:val="0"/>
          <w:marTop w:val="0"/>
          <w:marBottom w:val="0"/>
          <w:divBdr>
            <w:top w:val="none" w:sz="0" w:space="0" w:color="auto"/>
            <w:left w:val="none" w:sz="0" w:space="0" w:color="auto"/>
            <w:bottom w:val="none" w:sz="0" w:space="0" w:color="auto"/>
            <w:right w:val="none" w:sz="0" w:space="0" w:color="auto"/>
          </w:divBdr>
        </w:div>
      </w:divsChild>
    </w:div>
    <w:div w:id="373505464">
      <w:bodyDiv w:val="1"/>
      <w:marLeft w:val="0"/>
      <w:marRight w:val="0"/>
      <w:marTop w:val="0"/>
      <w:marBottom w:val="0"/>
      <w:divBdr>
        <w:top w:val="none" w:sz="0" w:space="0" w:color="auto"/>
        <w:left w:val="none" w:sz="0" w:space="0" w:color="auto"/>
        <w:bottom w:val="none" w:sz="0" w:space="0" w:color="auto"/>
        <w:right w:val="none" w:sz="0" w:space="0" w:color="auto"/>
      </w:divBdr>
    </w:div>
    <w:div w:id="383451627">
      <w:bodyDiv w:val="1"/>
      <w:marLeft w:val="0"/>
      <w:marRight w:val="0"/>
      <w:marTop w:val="0"/>
      <w:marBottom w:val="0"/>
      <w:divBdr>
        <w:top w:val="none" w:sz="0" w:space="0" w:color="auto"/>
        <w:left w:val="none" w:sz="0" w:space="0" w:color="auto"/>
        <w:bottom w:val="none" w:sz="0" w:space="0" w:color="auto"/>
        <w:right w:val="none" w:sz="0" w:space="0" w:color="auto"/>
      </w:divBdr>
    </w:div>
    <w:div w:id="436877821">
      <w:bodyDiv w:val="1"/>
      <w:marLeft w:val="0"/>
      <w:marRight w:val="0"/>
      <w:marTop w:val="0"/>
      <w:marBottom w:val="0"/>
      <w:divBdr>
        <w:top w:val="none" w:sz="0" w:space="0" w:color="auto"/>
        <w:left w:val="none" w:sz="0" w:space="0" w:color="auto"/>
        <w:bottom w:val="none" w:sz="0" w:space="0" w:color="auto"/>
        <w:right w:val="none" w:sz="0" w:space="0" w:color="auto"/>
      </w:divBdr>
    </w:div>
    <w:div w:id="644627190">
      <w:bodyDiv w:val="1"/>
      <w:marLeft w:val="0"/>
      <w:marRight w:val="0"/>
      <w:marTop w:val="0"/>
      <w:marBottom w:val="0"/>
      <w:divBdr>
        <w:top w:val="none" w:sz="0" w:space="0" w:color="auto"/>
        <w:left w:val="none" w:sz="0" w:space="0" w:color="auto"/>
        <w:bottom w:val="none" w:sz="0" w:space="0" w:color="auto"/>
        <w:right w:val="none" w:sz="0" w:space="0" w:color="auto"/>
      </w:divBdr>
    </w:div>
    <w:div w:id="773940949">
      <w:bodyDiv w:val="1"/>
      <w:marLeft w:val="0"/>
      <w:marRight w:val="0"/>
      <w:marTop w:val="0"/>
      <w:marBottom w:val="0"/>
      <w:divBdr>
        <w:top w:val="none" w:sz="0" w:space="0" w:color="auto"/>
        <w:left w:val="none" w:sz="0" w:space="0" w:color="auto"/>
        <w:bottom w:val="none" w:sz="0" w:space="0" w:color="auto"/>
        <w:right w:val="none" w:sz="0" w:space="0" w:color="auto"/>
      </w:divBdr>
    </w:div>
    <w:div w:id="789977295">
      <w:bodyDiv w:val="1"/>
      <w:marLeft w:val="0"/>
      <w:marRight w:val="0"/>
      <w:marTop w:val="0"/>
      <w:marBottom w:val="0"/>
      <w:divBdr>
        <w:top w:val="none" w:sz="0" w:space="0" w:color="auto"/>
        <w:left w:val="none" w:sz="0" w:space="0" w:color="auto"/>
        <w:bottom w:val="none" w:sz="0" w:space="0" w:color="auto"/>
        <w:right w:val="none" w:sz="0" w:space="0" w:color="auto"/>
      </w:divBdr>
    </w:div>
    <w:div w:id="804010618">
      <w:bodyDiv w:val="1"/>
      <w:marLeft w:val="0"/>
      <w:marRight w:val="0"/>
      <w:marTop w:val="0"/>
      <w:marBottom w:val="0"/>
      <w:divBdr>
        <w:top w:val="none" w:sz="0" w:space="0" w:color="auto"/>
        <w:left w:val="none" w:sz="0" w:space="0" w:color="auto"/>
        <w:bottom w:val="none" w:sz="0" w:space="0" w:color="auto"/>
        <w:right w:val="none" w:sz="0" w:space="0" w:color="auto"/>
      </w:divBdr>
    </w:div>
    <w:div w:id="853229194">
      <w:bodyDiv w:val="1"/>
      <w:marLeft w:val="0"/>
      <w:marRight w:val="0"/>
      <w:marTop w:val="0"/>
      <w:marBottom w:val="0"/>
      <w:divBdr>
        <w:top w:val="none" w:sz="0" w:space="0" w:color="auto"/>
        <w:left w:val="none" w:sz="0" w:space="0" w:color="auto"/>
        <w:bottom w:val="none" w:sz="0" w:space="0" w:color="auto"/>
        <w:right w:val="none" w:sz="0" w:space="0" w:color="auto"/>
      </w:divBdr>
    </w:div>
    <w:div w:id="923993686">
      <w:bodyDiv w:val="1"/>
      <w:marLeft w:val="0"/>
      <w:marRight w:val="0"/>
      <w:marTop w:val="0"/>
      <w:marBottom w:val="0"/>
      <w:divBdr>
        <w:top w:val="none" w:sz="0" w:space="0" w:color="auto"/>
        <w:left w:val="none" w:sz="0" w:space="0" w:color="auto"/>
        <w:bottom w:val="none" w:sz="0" w:space="0" w:color="auto"/>
        <w:right w:val="none" w:sz="0" w:space="0" w:color="auto"/>
      </w:divBdr>
    </w:div>
    <w:div w:id="946932808">
      <w:bodyDiv w:val="1"/>
      <w:marLeft w:val="0"/>
      <w:marRight w:val="0"/>
      <w:marTop w:val="0"/>
      <w:marBottom w:val="0"/>
      <w:divBdr>
        <w:top w:val="none" w:sz="0" w:space="0" w:color="auto"/>
        <w:left w:val="none" w:sz="0" w:space="0" w:color="auto"/>
        <w:bottom w:val="none" w:sz="0" w:space="0" w:color="auto"/>
        <w:right w:val="none" w:sz="0" w:space="0" w:color="auto"/>
      </w:divBdr>
    </w:div>
    <w:div w:id="978998772">
      <w:bodyDiv w:val="1"/>
      <w:marLeft w:val="0"/>
      <w:marRight w:val="0"/>
      <w:marTop w:val="0"/>
      <w:marBottom w:val="0"/>
      <w:divBdr>
        <w:top w:val="none" w:sz="0" w:space="0" w:color="auto"/>
        <w:left w:val="none" w:sz="0" w:space="0" w:color="auto"/>
        <w:bottom w:val="none" w:sz="0" w:space="0" w:color="auto"/>
        <w:right w:val="none" w:sz="0" w:space="0" w:color="auto"/>
      </w:divBdr>
    </w:div>
    <w:div w:id="994181795">
      <w:bodyDiv w:val="1"/>
      <w:marLeft w:val="0"/>
      <w:marRight w:val="0"/>
      <w:marTop w:val="0"/>
      <w:marBottom w:val="0"/>
      <w:divBdr>
        <w:top w:val="none" w:sz="0" w:space="0" w:color="auto"/>
        <w:left w:val="none" w:sz="0" w:space="0" w:color="auto"/>
        <w:bottom w:val="none" w:sz="0" w:space="0" w:color="auto"/>
        <w:right w:val="none" w:sz="0" w:space="0" w:color="auto"/>
      </w:divBdr>
    </w:div>
    <w:div w:id="1007829950">
      <w:bodyDiv w:val="1"/>
      <w:marLeft w:val="0"/>
      <w:marRight w:val="0"/>
      <w:marTop w:val="0"/>
      <w:marBottom w:val="0"/>
      <w:divBdr>
        <w:top w:val="none" w:sz="0" w:space="0" w:color="auto"/>
        <w:left w:val="none" w:sz="0" w:space="0" w:color="auto"/>
        <w:bottom w:val="none" w:sz="0" w:space="0" w:color="auto"/>
        <w:right w:val="none" w:sz="0" w:space="0" w:color="auto"/>
      </w:divBdr>
    </w:div>
    <w:div w:id="1016738618">
      <w:bodyDiv w:val="1"/>
      <w:marLeft w:val="0"/>
      <w:marRight w:val="0"/>
      <w:marTop w:val="0"/>
      <w:marBottom w:val="0"/>
      <w:divBdr>
        <w:top w:val="none" w:sz="0" w:space="0" w:color="auto"/>
        <w:left w:val="none" w:sz="0" w:space="0" w:color="auto"/>
        <w:bottom w:val="none" w:sz="0" w:space="0" w:color="auto"/>
        <w:right w:val="none" w:sz="0" w:space="0" w:color="auto"/>
      </w:divBdr>
    </w:div>
    <w:div w:id="1019354645">
      <w:bodyDiv w:val="1"/>
      <w:marLeft w:val="0"/>
      <w:marRight w:val="0"/>
      <w:marTop w:val="0"/>
      <w:marBottom w:val="0"/>
      <w:divBdr>
        <w:top w:val="none" w:sz="0" w:space="0" w:color="auto"/>
        <w:left w:val="none" w:sz="0" w:space="0" w:color="auto"/>
        <w:bottom w:val="none" w:sz="0" w:space="0" w:color="auto"/>
        <w:right w:val="none" w:sz="0" w:space="0" w:color="auto"/>
      </w:divBdr>
    </w:div>
    <w:div w:id="1022706320">
      <w:bodyDiv w:val="1"/>
      <w:marLeft w:val="0"/>
      <w:marRight w:val="0"/>
      <w:marTop w:val="0"/>
      <w:marBottom w:val="0"/>
      <w:divBdr>
        <w:top w:val="none" w:sz="0" w:space="0" w:color="auto"/>
        <w:left w:val="none" w:sz="0" w:space="0" w:color="auto"/>
        <w:bottom w:val="none" w:sz="0" w:space="0" w:color="auto"/>
        <w:right w:val="none" w:sz="0" w:space="0" w:color="auto"/>
      </w:divBdr>
    </w:div>
    <w:div w:id="1039671761">
      <w:bodyDiv w:val="1"/>
      <w:marLeft w:val="0"/>
      <w:marRight w:val="0"/>
      <w:marTop w:val="0"/>
      <w:marBottom w:val="0"/>
      <w:divBdr>
        <w:top w:val="none" w:sz="0" w:space="0" w:color="auto"/>
        <w:left w:val="none" w:sz="0" w:space="0" w:color="auto"/>
        <w:bottom w:val="none" w:sz="0" w:space="0" w:color="auto"/>
        <w:right w:val="none" w:sz="0" w:space="0" w:color="auto"/>
      </w:divBdr>
    </w:div>
    <w:div w:id="1044594483">
      <w:bodyDiv w:val="1"/>
      <w:marLeft w:val="0"/>
      <w:marRight w:val="0"/>
      <w:marTop w:val="0"/>
      <w:marBottom w:val="0"/>
      <w:divBdr>
        <w:top w:val="none" w:sz="0" w:space="0" w:color="auto"/>
        <w:left w:val="none" w:sz="0" w:space="0" w:color="auto"/>
        <w:bottom w:val="none" w:sz="0" w:space="0" w:color="auto"/>
        <w:right w:val="none" w:sz="0" w:space="0" w:color="auto"/>
      </w:divBdr>
    </w:div>
    <w:div w:id="1066563606">
      <w:bodyDiv w:val="1"/>
      <w:marLeft w:val="0"/>
      <w:marRight w:val="0"/>
      <w:marTop w:val="0"/>
      <w:marBottom w:val="0"/>
      <w:divBdr>
        <w:top w:val="none" w:sz="0" w:space="0" w:color="auto"/>
        <w:left w:val="none" w:sz="0" w:space="0" w:color="auto"/>
        <w:bottom w:val="none" w:sz="0" w:space="0" w:color="auto"/>
        <w:right w:val="none" w:sz="0" w:space="0" w:color="auto"/>
      </w:divBdr>
      <w:divsChild>
        <w:div w:id="435487709">
          <w:marLeft w:val="0"/>
          <w:marRight w:val="0"/>
          <w:marTop w:val="0"/>
          <w:marBottom w:val="0"/>
          <w:divBdr>
            <w:top w:val="none" w:sz="0" w:space="0" w:color="auto"/>
            <w:left w:val="none" w:sz="0" w:space="0" w:color="auto"/>
            <w:bottom w:val="none" w:sz="0" w:space="0" w:color="auto"/>
            <w:right w:val="none" w:sz="0" w:space="0" w:color="auto"/>
          </w:divBdr>
        </w:div>
      </w:divsChild>
    </w:div>
    <w:div w:id="1078400405">
      <w:bodyDiv w:val="1"/>
      <w:marLeft w:val="0"/>
      <w:marRight w:val="0"/>
      <w:marTop w:val="0"/>
      <w:marBottom w:val="0"/>
      <w:divBdr>
        <w:top w:val="none" w:sz="0" w:space="0" w:color="auto"/>
        <w:left w:val="none" w:sz="0" w:space="0" w:color="auto"/>
        <w:bottom w:val="none" w:sz="0" w:space="0" w:color="auto"/>
        <w:right w:val="none" w:sz="0" w:space="0" w:color="auto"/>
      </w:divBdr>
    </w:div>
    <w:div w:id="1079836921">
      <w:bodyDiv w:val="1"/>
      <w:marLeft w:val="0"/>
      <w:marRight w:val="0"/>
      <w:marTop w:val="0"/>
      <w:marBottom w:val="0"/>
      <w:divBdr>
        <w:top w:val="none" w:sz="0" w:space="0" w:color="auto"/>
        <w:left w:val="none" w:sz="0" w:space="0" w:color="auto"/>
        <w:bottom w:val="none" w:sz="0" w:space="0" w:color="auto"/>
        <w:right w:val="none" w:sz="0" w:space="0" w:color="auto"/>
      </w:divBdr>
    </w:div>
    <w:div w:id="1101998172">
      <w:bodyDiv w:val="1"/>
      <w:marLeft w:val="0"/>
      <w:marRight w:val="0"/>
      <w:marTop w:val="0"/>
      <w:marBottom w:val="0"/>
      <w:divBdr>
        <w:top w:val="none" w:sz="0" w:space="0" w:color="auto"/>
        <w:left w:val="none" w:sz="0" w:space="0" w:color="auto"/>
        <w:bottom w:val="none" w:sz="0" w:space="0" w:color="auto"/>
        <w:right w:val="none" w:sz="0" w:space="0" w:color="auto"/>
      </w:divBdr>
    </w:div>
    <w:div w:id="1105809005">
      <w:bodyDiv w:val="1"/>
      <w:marLeft w:val="0"/>
      <w:marRight w:val="0"/>
      <w:marTop w:val="0"/>
      <w:marBottom w:val="0"/>
      <w:divBdr>
        <w:top w:val="none" w:sz="0" w:space="0" w:color="auto"/>
        <w:left w:val="none" w:sz="0" w:space="0" w:color="auto"/>
        <w:bottom w:val="none" w:sz="0" w:space="0" w:color="auto"/>
        <w:right w:val="none" w:sz="0" w:space="0" w:color="auto"/>
      </w:divBdr>
    </w:div>
    <w:div w:id="1111437427">
      <w:bodyDiv w:val="1"/>
      <w:marLeft w:val="0"/>
      <w:marRight w:val="0"/>
      <w:marTop w:val="0"/>
      <w:marBottom w:val="0"/>
      <w:divBdr>
        <w:top w:val="none" w:sz="0" w:space="0" w:color="auto"/>
        <w:left w:val="none" w:sz="0" w:space="0" w:color="auto"/>
        <w:bottom w:val="none" w:sz="0" w:space="0" w:color="auto"/>
        <w:right w:val="none" w:sz="0" w:space="0" w:color="auto"/>
      </w:divBdr>
    </w:div>
    <w:div w:id="1120759880">
      <w:bodyDiv w:val="1"/>
      <w:marLeft w:val="0"/>
      <w:marRight w:val="0"/>
      <w:marTop w:val="0"/>
      <w:marBottom w:val="0"/>
      <w:divBdr>
        <w:top w:val="none" w:sz="0" w:space="0" w:color="auto"/>
        <w:left w:val="none" w:sz="0" w:space="0" w:color="auto"/>
        <w:bottom w:val="none" w:sz="0" w:space="0" w:color="auto"/>
        <w:right w:val="none" w:sz="0" w:space="0" w:color="auto"/>
      </w:divBdr>
    </w:div>
    <w:div w:id="1138457739">
      <w:bodyDiv w:val="1"/>
      <w:marLeft w:val="0"/>
      <w:marRight w:val="0"/>
      <w:marTop w:val="0"/>
      <w:marBottom w:val="0"/>
      <w:divBdr>
        <w:top w:val="none" w:sz="0" w:space="0" w:color="auto"/>
        <w:left w:val="none" w:sz="0" w:space="0" w:color="auto"/>
        <w:bottom w:val="none" w:sz="0" w:space="0" w:color="auto"/>
        <w:right w:val="none" w:sz="0" w:space="0" w:color="auto"/>
      </w:divBdr>
    </w:div>
    <w:div w:id="1144082818">
      <w:bodyDiv w:val="1"/>
      <w:marLeft w:val="0"/>
      <w:marRight w:val="0"/>
      <w:marTop w:val="0"/>
      <w:marBottom w:val="0"/>
      <w:divBdr>
        <w:top w:val="none" w:sz="0" w:space="0" w:color="auto"/>
        <w:left w:val="none" w:sz="0" w:space="0" w:color="auto"/>
        <w:bottom w:val="none" w:sz="0" w:space="0" w:color="auto"/>
        <w:right w:val="none" w:sz="0" w:space="0" w:color="auto"/>
      </w:divBdr>
    </w:div>
    <w:div w:id="1163088166">
      <w:bodyDiv w:val="1"/>
      <w:marLeft w:val="0"/>
      <w:marRight w:val="0"/>
      <w:marTop w:val="0"/>
      <w:marBottom w:val="0"/>
      <w:divBdr>
        <w:top w:val="none" w:sz="0" w:space="0" w:color="auto"/>
        <w:left w:val="none" w:sz="0" w:space="0" w:color="auto"/>
        <w:bottom w:val="none" w:sz="0" w:space="0" w:color="auto"/>
        <w:right w:val="none" w:sz="0" w:space="0" w:color="auto"/>
      </w:divBdr>
    </w:div>
    <w:div w:id="1236746171">
      <w:bodyDiv w:val="1"/>
      <w:marLeft w:val="0"/>
      <w:marRight w:val="0"/>
      <w:marTop w:val="0"/>
      <w:marBottom w:val="0"/>
      <w:divBdr>
        <w:top w:val="none" w:sz="0" w:space="0" w:color="auto"/>
        <w:left w:val="none" w:sz="0" w:space="0" w:color="auto"/>
        <w:bottom w:val="none" w:sz="0" w:space="0" w:color="auto"/>
        <w:right w:val="none" w:sz="0" w:space="0" w:color="auto"/>
      </w:divBdr>
    </w:div>
    <w:div w:id="1242368666">
      <w:bodyDiv w:val="1"/>
      <w:marLeft w:val="0"/>
      <w:marRight w:val="0"/>
      <w:marTop w:val="0"/>
      <w:marBottom w:val="0"/>
      <w:divBdr>
        <w:top w:val="none" w:sz="0" w:space="0" w:color="auto"/>
        <w:left w:val="none" w:sz="0" w:space="0" w:color="auto"/>
        <w:bottom w:val="none" w:sz="0" w:space="0" w:color="auto"/>
        <w:right w:val="none" w:sz="0" w:space="0" w:color="auto"/>
      </w:divBdr>
      <w:divsChild>
        <w:div w:id="1314874644">
          <w:marLeft w:val="0"/>
          <w:marRight w:val="0"/>
          <w:marTop w:val="0"/>
          <w:marBottom w:val="0"/>
          <w:divBdr>
            <w:top w:val="none" w:sz="0" w:space="0" w:color="auto"/>
            <w:left w:val="none" w:sz="0" w:space="0" w:color="auto"/>
            <w:bottom w:val="none" w:sz="0" w:space="0" w:color="auto"/>
            <w:right w:val="none" w:sz="0" w:space="0" w:color="auto"/>
          </w:divBdr>
          <w:divsChild>
            <w:div w:id="1385062659">
              <w:marLeft w:val="0"/>
              <w:marRight w:val="0"/>
              <w:marTop w:val="0"/>
              <w:marBottom w:val="0"/>
              <w:divBdr>
                <w:top w:val="none" w:sz="0" w:space="0" w:color="auto"/>
                <w:left w:val="none" w:sz="0" w:space="0" w:color="auto"/>
                <w:bottom w:val="none" w:sz="0" w:space="0" w:color="auto"/>
                <w:right w:val="none" w:sz="0" w:space="0" w:color="auto"/>
              </w:divBdr>
              <w:divsChild>
                <w:div w:id="1265264950">
                  <w:marLeft w:val="0"/>
                  <w:marRight w:val="0"/>
                  <w:marTop w:val="0"/>
                  <w:marBottom w:val="0"/>
                  <w:divBdr>
                    <w:top w:val="none" w:sz="0" w:space="0" w:color="auto"/>
                    <w:left w:val="none" w:sz="0" w:space="0" w:color="auto"/>
                    <w:bottom w:val="none" w:sz="0" w:space="0" w:color="auto"/>
                    <w:right w:val="none" w:sz="0" w:space="0" w:color="auto"/>
                  </w:divBdr>
                  <w:divsChild>
                    <w:div w:id="1284382007">
                      <w:marLeft w:val="0"/>
                      <w:marRight w:val="0"/>
                      <w:marTop w:val="0"/>
                      <w:marBottom w:val="0"/>
                      <w:divBdr>
                        <w:top w:val="none" w:sz="0" w:space="0" w:color="auto"/>
                        <w:left w:val="none" w:sz="0" w:space="0" w:color="auto"/>
                        <w:bottom w:val="none" w:sz="0" w:space="0" w:color="auto"/>
                        <w:right w:val="none" w:sz="0" w:space="0" w:color="auto"/>
                      </w:divBdr>
                      <w:divsChild>
                        <w:div w:id="1822574105">
                          <w:marLeft w:val="0"/>
                          <w:marRight w:val="0"/>
                          <w:marTop w:val="0"/>
                          <w:marBottom w:val="0"/>
                          <w:divBdr>
                            <w:top w:val="none" w:sz="0" w:space="0" w:color="auto"/>
                            <w:left w:val="none" w:sz="0" w:space="0" w:color="auto"/>
                            <w:bottom w:val="none" w:sz="0" w:space="0" w:color="auto"/>
                            <w:right w:val="none" w:sz="0" w:space="0" w:color="auto"/>
                          </w:divBdr>
                          <w:divsChild>
                            <w:div w:id="1105804171">
                              <w:marLeft w:val="0"/>
                              <w:marRight w:val="0"/>
                              <w:marTop w:val="0"/>
                              <w:marBottom w:val="0"/>
                              <w:divBdr>
                                <w:top w:val="none" w:sz="0" w:space="0" w:color="auto"/>
                                <w:left w:val="none" w:sz="0" w:space="0" w:color="auto"/>
                                <w:bottom w:val="none" w:sz="0" w:space="0" w:color="auto"/>
                                <w:right w:val="none" w:sz="0" w:space="0" w:color="auto"/>
                              </w:divBdr>
                              <w:divsChild>
                                <w:div w:id="66147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0787900">
          <w:marLeft w:val="0"/>
          <w:marRight w:val="0"/>
          <w:marTop w:val="0"/>
          <w:marBottom w:val="0"/>
          <w:divBdr>
            <w:top w:val="none" w:sz="0" w:space="0" w:color="auto"/>
            <w:left w:val="none" w:sz="0" w:space="0" w:color="auto"/>
            <w:bottom w:val="none" w:sz="0" w:space="0" w:color="auto"/>
            <w:right w:val="none" w:sz="0" w:space="0" w:color="auto"/>
          </w:divBdr>
          <w:divsChild>
            <w:div w:id="2141872938">
              <w:marLeft w:val="0"/>
              <w:marRight w:val="0"/>
              <w:marTop w:val="0"/>
              <w:marBottom w:val="0"/>
              <w:divBdr>
                <w:top w:val="none" w:sz="0" w:space="0" w:color="auto"/>
                <w:left w:val="none" w:sz="0" w:space="0" w:color="auto"/>
                <w:bottom w:val="none" w:sz="0" w:space="0" w:color="auto"/>
                <w:right w:val="none" w:sz="0" w:space="0" w:color="auto"/>
              </w:divBdr>
              <w:divsChild>
                <w:div w:id="156599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687958">
      <w:bodyDiv w:val="1"/>
      <w:marLeft w:val="0"/>
      <w:marRight w:val="0"/>
      <w:marTop w:val="0"/>
      <w:marBottom w:val="0"/>
      <w:divBdr>
        <w:top w:val="none" w:sz="0" w:space="0" w:color="auto"/>
        <w:left w:val="none" w:sz="0" w:space="0" w:color="auto"/>
        <w:bottom w:val="none" w:sz="0" w:space="0" w:color="auto"/>
        <w:right w:val="none" w:sz="0" w:space="0" w:color="auto"/>
      </w:divBdr>
      <w:divsChild>
        <w:div w:id="485056332">
          <w:marLeft w:val="547"/>
          <w:marRight w:val="0"/>
          <w:marTop w:val="0"/>
          <w:marBottom w:val="0"/>
          <w:divBdr>
            <w:top w:val="none" w:sz="0" w:space="0" w:color="auto"/>
            <w:left w:val="none" w:sz="0" w:space="0" w:color="auto"/>
            <w:bottom w:val="none" w:sz="0" w:space="0" w:color="auto"/>
            <w:right w:val="none" w:sz="0" w:space="0" w:color="auto"/>
          </w:divBdr>
        </w:div>
        <w:div w:id="754014114">
          <w:marLeft w:val="547"/>
          <w:marRight w:val="0"/>
          <w:marTop w:val="0"/>
          <w:marBottom w:val="0"/>
          <w:divBdr>
            <w:top w:val="none" w:sz="0" w:space="0" w:color="auto"/>
            <w:left w:val="none" w:sz="0" w:space="0" w:color="auto"/>
            <w:bottom w:val="none" w:sz="0" w:space="0" w:color="auto"/>
            <w:right w:val="none" w:sz="0" w:space="0" w:color="auto"/>
          </w:divBdr>
        </w:div>
        <w:div w:id="838157208">
          <w:marLeft w:val="547"/>
          <w:marRight w:val="0"/>
          <w:marTop w:val="0"/>
          <w:marBottom w:val="0"/>
          <w:divBdr>
            <w:top w:val="none" w:sz="0" w:space="0" w:color="auto"/>
            <w:left w:val="none" w:sz="0" w:space="0" w:color="auto"/>
            <w:bottom w:val="none" w:sz="0" w:space="0" w:color="auto"/>
            <w:right w:val="none" w:sz="0" w:space="0" w:color="auto"/>
          </w:divBdr>
        </w:div>
        <w:div w:id="1170293938">
          <w:marLeft w:val="547"/>
          <w:marRight w:val="0"/>
          <w:marTop w:val="0"/>
          <w:marBottom w:val="0"/>
          <w:divBdr>
            <w:top w:val="none" w:sz="0" w:space="0" w:color="auto"/>
            <w:left w:val="none" w:sz="0" w:space="0" w:color="auto"/>
            <w:bottom w:val="none" w:sz="0" w:space="0" w:color="auto"/>
            <w:right w:val="none" w:sz="0" w:space="0" w:color="auto"/>
          </w:divBdr>
        </w:div>
        <w:div w:id="1442071317">
          <w:marLeft w:val="547"/>
          <w:marRight w:val="0"/>
          <w:marTop w:val="0"/>
          <w:marBottom w:val="0"/>
          <w:divBdr>
            <w:top w:val="none" w:sz="0" w:space="0" w:color="auto"/>
            <w:left w:val="none" w:sz="0" w:space="0" w:color="auto"/>
            <w:bottom w:val="none" w:sz="0" w:space="0" w:color="auto"/>
            <w:right w:val="none" w:sz="0" w:space="0" w:color="auto"/>
          </w:divBdr>
        </w:div>
        <w:div w:id="1567179522">
          <w:marLeft w:val="547"/>
          <w:marRight w:val="0"/>
          <w:marTop w:val="0"/>
          <w:marBottom w:val="0"/>
          <w:divBdr>
            <w:top w:val="none" w:sz="0" w:space="0" w:color="auto"/>
            <w:left w:val="none" w:sz="0" w:space="0" w:color="auto"/>
            <w:bottom w:val="none" w:sz="0" w:space="0" w:color="auto"/>
            <w:right w:val="none" w:sz="0" w:space="0" w:color="auto"/>
          </w:divBdr>
        </w:div>
        <w:div w:id="1708948139">
          <w:marLeft w:val="547"/>
          <w:marRight w:val="0"/>
          <w:marTop w:val="0"/>
          <w:marBottom w:val="0"/>
          <w:divBdr>
            <w:top w:val="none" w:sz="0" w:space="0" w:color="auto"/>
            <w:left w:val="none" w:sz="0" w:space="0" w:color="auto"/>
            <w:bottom w:val="none" w:sz="0" w:space="0" w:color="auto"/>
            <w:right w:val="none" w:sz="0" w:space="0" w:color="auto"/>
          </w:divBdr>
        </w:div>
        <w:div w:id="1757483270">
          <w:marLeft w:val="547"/>
          <w:marRight w:val="0"/>
          <w:marTop w:val="0"/>
          <w:marBottom w:val="0"/>
          <w:divBdr>
            <w:top w:val="none" w:sz="0" w:space="0" w:color="auto"/>
            <w:left w:val="none" w:sz="0" w:space="0" w:color="auto"/>
            <w:bottom w:val="none" w:sz="0" w:space="0" w:color="auto"/>
            <w:right w:val="none" w:sz="0" w:space="0" w:color="auto"/>
          </w:divBdr>
        </w:div>
        <w:div w:id="1863739941">
          <w:marLeft w:val="547"/>
          <w:marRight w:val="0"/>
          <w:marTop w:val="0"/>
          <w:marBottom w:val="0"/>
          <w:divBdr>
            <w:top w:val="none" w:sz="0" w:space="0" w:color="auto"/>
            <w:left w:val="none" w:sz="0" w:space="0" w:color="auto"/>
            <w:bottom w:val="none" w:sz="0" w:space="0" w:color="auto"/>
            <w:right w:val="none" w:sz="0" w:space="0" w:color="auto"/>
          </w:divBdr>
        </w:div>
        <w:div w:id="2069766742">
          <w:marLeft w:val="547"/>
          <w:marRight w:val="0"/>
          <w:marTop w:val="0"/>
          <w:marBottom w:val="0"/>
          <w:divBdr>
            <w:top w:val="none" w:sz="0" w:space="0" w:color="auto"/>
            <w:left w:val="none" w:sz="0" w:space="0" w:color="auto"/>
            <w:bottom w:val="none" w:sz="0" w:space="0" w:color="auto"/>
            <w:right w:val="none" w:sz="0" w:space="0" w:color="auto"/>
          </w:divBdr>
        </w:div>
      </w:divsChild>
    </w:div>
    <w:div w:id="1248615644">
      <w:bodyDiv w:val="1"/>
      <w:marLeft w:val="0"/>
      <w:marRight w:val="0"/>
      <w:marTop w:val="0"/>
      <w:marBottom w:val="0"/>
      <w:divBdr>
        <w:top w:val="none" w:sz="0" w:space="0" w:color="auto"/>
        <w:left w:val="none" w:sz="0" w:space="0" w:color="auto"/>
        <w:bottom w:val="none" w:sz="0" w:space="0" w:color="auto"/>
        <w:right w:val="none" w:sz="0" w:space="0" w:color="auto"/>
      </w:divBdr>
    </w:div>
    <w:div w:id="1253080311">
      <w:bodyDiv w:val="1"/>
      <w:marLeft w:val="0"/>
      <w:marRight w:val="0"/>
      <w:marTop w:val="0"/>
      <w:marBottom w:val="0"/>
      <w:divBdr>
        <w:top w:val="none" w:sz="0" w:space="0" w:color="auto"/>
        <w:left w:val="none" w:sz="0" w:space="0" w:color="auto"/>
        <w:bottom w:val="none" w:sz="0" w:space="0" w:color="auto"/>
        <w:right w:val="none" w:sz="0" w:space="0" w:color="auto"/>
      </w:divBdr>
      <w:divsChild>
        <w:div w:id="166021545">
          <w:marLeft w:val="1166"/>
          <w:marRight w:val="0"/>
          <w:marTop w:val="72"/>
          <w:marBottom w:val="0"/>
          <w:divBdr>
            <w:top w:val="none" w:sz="0" w:space="0" w:color="auto"/>
            <w:left w:val="none" w:sz="0" w:space="0" w:color="auto"/>
            <w:bottom w:val="none" w:sz="0" w:space="0" w:color="auto"/>
            <w:right w:val="none" w:sz="0" w:space="0" w:color="auto"/>
          </w:divBdr>
        </w:div>
        <w:div w:id="420182042">
          <w:marLeft w:val="1166"/>
          <w:marRight w:val="0"/>
          <w:marTop w:val="72"/>
          <w:marBottom w:val="0"/>
          <w:divBdr>
            <w:top w:val="none" w:sz="0" w:space="0" w:color="auto"/>
            <w:left w:val="none" w:sz="0" w:space="0" w:color="auto"/>
            <w:bottom w:val="none" w:sz="0" w:space="0" w:color="auto"/>
            <w:right w:val="none" w:sz="0" w:space="0" w:color="auto"/>
          </w:divBdr>
        </w:div>
        <w:div w:id="1842962714">
          <w:marLeft w:val="547"/>
          <w:marRight w:val="0"/>
          <w:marTop w:val="72"/>
          <w:marBottom w:val="0"/>
          <w:divBdr>
            <w:top w:val="none" w:sz="0" w:space="0" w:color="auto"/>
            <w:left w:val="none" w:sz="0" w:space="0" w:color="auto"/>
            <w:bottom w:val="none" w:sz="0" w:space="0" w:color="auto"/>
            <w:right w:val="none" w:sz="0" w:space="0" w:color="auto"/>
          </w:divBdr>
        </w:div>
        <w:div w:id="1905796267">
          <w:marLeft w:val="1166"/>
          <w:marRight w:val="0"/>
          <w:marTop w:val="72"/>
          <w:marBottom w:val="240"/>
          <w:divBdr>
            <w:top w:val="none" w:sz="0" w:space="0" w:color="auto"/>
            <w:left w:val="none" w:sz="0" w:space="0" w:color="auto"/>
            <w:bottom w:val="none" w:sz="0" w:space="0" w:color="auto"/>
            <w:right w:val="none" w:sz="0" w:space="0" w:color="auto"/>
          </w:divBdr>
        </w:div>
      </w:divsChild>
    </w:div>
    <w:div w:id="1268391795">
      <w:bodyDiv w:val="1"/>
      <w:marLeft w:val="0"/>
      <w:marRight w:val="0"/>
      <w:marTop w:val="0"/>
      <w:marBottom w:val="0"/>
      <w:divBdr>
        <w:top w:val="none" w:sz="0" w:space="0" w:color="auto"/>
        <w:left w:val="none" w:sz="0" w:space="0" w:color="auto"/>
        <w:bottom w:val="none" w:sz="0" w:space="0" w:color="auto"/>
        <w:right w:val="none" w:sz="0" w:space="0" w:color="auto"/>
      </w:divBdr>
    </w:div>
    <w:div w:id="1352341852">
      <w:bodyDiv w:val="1"/>
      <w:marLeft w:val="0"/>
      <w:marRight w:val="0"/>
      <w:marTop w:val="0"/>
      <w:marBottom w:val="0"/>
      <w:divBdr>
        <w:top w:val="none" w:sz="0" w:space="0" w:color="auto"/>
        <w:left w:val="none" w:sz="0" w:space="0" w:color="auto"/>
        <w:bottom w:val="none" w:sz="0" w:space="0" w:color="auto"/>
        <w:right w:val="none" w:sz="0" w:space="0" w:color="auto"/>
      </w:divBdr>
    </w:div>
    <w:div w:id="1381052059">
      <w:bodyDiv w:val="1"/>
      <w:marLeft w:val="0"/>
      <w:marRight w:val="0"/>
      <w:marTop w:val="0"/>
      <w:marBottom w:val="0"/>
      <w:divBdr>
        <w:top w:val="none" w:sz="0" w:space="0" w:color="auto"/>
        <w:left w:val="none" w:sz="0" w:space="0" w:color="auto"/>
        <w:bottom w:val="none" w:sz="0" w:space="0" w:color="auto"/>
        <w:right w:val="none" w:sz="0" w:space="0" w:color="auto"/>
      </w:divBdr>
    </w:div>
    <w:div w:id="1481145900">
      <w:bodyDiv w:val="1"/>
      <w:marLeft w:val="0"/>
      <w:marRight w:val="0"/>
      <w:marTop w:val="0"/>
      <w:marBottom w:val="0"/>
      <w:divBdr>
        <w:top w:val="none" w:sz="0" w:space="0" w:color="auto"/>
        <w:left w:val="none" w:sz="0" w:space="0" w:color="auto"/>
        <w:bottom w:val="none" w:sz="0" w:space="0" w:color="auto"/>
        <w:right w:val="none" w:sz="0" w:space="0" w:color="auto"/>
      </w:divBdr>
      <w:divsChild>
        <w:div w:id="396630434">
          <w:marLeft w:val="1714"/>
          <w:marRight w:val="0"/>
          <w:marTop w:val="72"/>
          <w:marBottom w:val="0"/>
          <w:divBdr>
            <w:top w:val="none" w:sz="0" w:space="0" w:color="auto"/>
            <w:left w:val="none" w:sz="0" w:space="0" w:color="auto"/>
            <w:bottom w:val="none" w:sz="0" w:space="0" w:color="auto"/>
            <w:right w:val="none" w:sz="0" w:space="0" w:color="auto"/>
          </w:divBdr>
        </w:div>
        <w:div w:id="529607365">
          <w:marLeft w:val="1166"/>
          <w:marRight w:val="0"/>
          <w:marTop w:val="72"/>
          <w:marBottom w:val="0"/>
          <w:divBdr>
            <w:top w:val="none" w:sz="0" w:space="0" w:color="auto"/>
            <w:left w:val="none" w:sz="0" w:space="0" w:color="auto"/>
            <w:bottom w:val="none" w:sz="0" w:space="0" w:color="auto"/>
            <w:right w:val="none" w:sz="0" w:space="0" w:color="auto"/>
          </w:divBdr>
        </w:div>
        <w:div w:id="603879783">
          <w:marLeft w:val="1714"/>
          <w:marRight w:val="0"/>
          <w:marTop w:val="72"/>
          <w:marBottom w:val="0"/>
          <w:divBdr>
            <w:top w:val="none" w:sz="0" w:space="0" w:color="auto"/>
            <w:left w:val="none" w:sz="0" w:space="0" w:color="auto"/>
            <w:bottom w:val="none" w:sz="0" w:space="0" w:color="auto"/>
            <w:right w:val="none" w:sz="0" w:space="0" w:color="auto"/>
          </w:divBdr>
        </w:div>
        <w:div w:id="844592545">
          <w:marLeft w:val="1166"/>
          <w:marRight w:val="0"/>
          <w:marTop w:val="72"/>
          <w:marBottom w:val="240"/>
          <w:divBdr>
            <w:top w:val="none" w:sz="0" w:space="0" w:color="auto"/>
            <w:left w:val="none" w:sz="0" w:space="0" w:color="auto"/>
            <w:bottom w:val="none" w:sz="0" w:space="0" w:color="auto"/>
            <w:right w:val="none" w:sz="0" w:space="0" w:color="auto"/>
          </w:divBdr>
        </w:div>
        <w:div w:id="1312826714">
          <w:marLeft w:val="1714"/>
          <w:marRight w:val="0"/>
          <w:marTop w:val="72"/>
          <w:marBottom w:val="0"/>
          <w:divBdr>
            <w:top w:val="none" w:sz="0" w:space="0" w:color="auto"/>
            <w:left w:val="none" w:sz="0" w:space="0" w:color="auto"/>
            <w:bottom w:val="none" w:sz="0" w:space="0" w:color="auto"/>
            <w:right w:val="none" w:sz="0" w:space="0" w:color="auto"/>
          </w:divBdr>
        </w:div>
        <w:div w:id="1399089523">
          <w:marLeft w:val="1166"/>
          <w:marRight w:val="0"/>
          <w:marTop w:val="72"/>
          <w:marBottom w:val="0"/>
          <w:divBdr>
            <w:top w:val="none" w:sz="0" w:space="0" w:color="auto"/>
            <w:left w:val="none" w:sz="0" w:space="0" w:color="auto"/>
            <w:bottom w:val="none" w:sz="0" w:space="0" w:color="auto"/>
            <w:right w:val="none" w:sz="0" w:space="0" w:color="auto"/>
          </w:divBdr>
        </w:div>
      </w:divsChild>
    </w:div>
    <w:div w:id="1488203349">
      <w:bodyDiv w:val="1"/>
      <w:marLeft w:val="0"/>
      <w:marRight w:val="0"/>
      <w:marTop w:val="0"/>
      <w:marBottom w:val="0"/>
      <w:divBdr>
        <w:top w:val="none" w:sz="0" w:space="0" w:color="auto"/>
        <w:left w:val="none" w:sz="0" w:space="0" w:color="auto"/>
        <w:bottom w:val="none" w:sz="0" w:space="0" w:color="auto"/>
        <w:right w:val="none" w:sz="0" w:space="0" w:color="auto"/>
      </w:divBdr>
    </w:div>
    <w:div w:id="1501431295">
      <w:bodyDiv w:val="1"/>
      <w:marLeft w:val="0"/>
      <w:marRight w:val="0"/>
      <w:marTop w:val="0"/>
      <w:marBottom w:val="0"/>
      <w:divBdr>
        <w:top w:val="none" w:sz="0" w:space="0" w:color="auto"/>
        <w:left w:val="none" w:sz="0" w:space="0" w:color="auto"/>
        <w:bottom w:val="none" w:sz="0" w:space="0" w:color="auto"/>
        <w:right w:val="none" w:sz="0" w:space="0" w:color="auto"/>
      </w:divBdr>
    </w:div>
    <w:div w:id="1517420707">
      <w:bodyDiv w:val="1"/>
      <w:marLeft w:val="0"/>
      <w:marRight w:val="0"/>
      <w:marTop w:val="0"/>
      <w:marBottom w:val="0"/>
      <w:divBdr>
        <w:top w:val="none" w:sz="0" w:space="0" w:color="auto"/>
        <w:left w:val="none" w:sz="0" w:space="0" w:color="auto"/>
        <w:bottom w:val="none" w:sz="0" w:space="0" w:color="auto"/>
        <w:right w:val="none" w:sz="0" w:space="0" w:color="auto"/>
      </w:divBdr>
    </w:div>
    <w:div w:id="1555040017">
      <w:bodyDiv w:val="1"/>
      <w:marLeft w:val="0"/>
      <w:marRight w:val="0"/>
      <w:marTop w:val="0"/>
      <w:marBottom w:val="0"/>
      <w:divBdr>
        <w:top w:val="none" w:sz="0" w:space="0" w:color="auto"/>
        <w:left w:val="none" w:sz="0" w:space="0" w:color="auto"/>
        <w:bottom w:val="none" w:sz="0" w:space="0" w:color="auto"/>
        <w:right w:val="none" w:sz="0" w:space="0" w:color="auto"/>
      </w:divBdr>
    </w:div>
    <w:div w:id="1618558528">
      <w:bodyDiv w:val="1"/>
      <w:marLeft w:val="0"/>
      <w:marRight w:val="0"/>
      <w:marTop w:val="0"/>
      <w:marBottom w:val="0"/>
      <w:divBdr>
        <w:top w:val="none" w:sz="0" w:space="0" w:color="auto"/>
        <w:left w:val="none" w:sz="0" w:space="0" w:color="auto"/>
        <w:bottom w:val="none" w:sz="0" w:space="0" w:color="auto"/>
        <w:right w:val="none" w:sz="0" w:space="0" w:color="auto"/>
      </w:divBdr>
      <w:divsChild>
        <w:div w:id="2073312556">
          <w:marLeft w:val="0"/>
          <w:marRight w:val="0"/>
          <w:marTop w:val="0"/>
          <w:marBottom w:val="0"/>
          <w:divBdr>
            <w:top w:val="none" w:sz="0" w:space="0" w:color="auto"/>
            <w:left w:val="none" w:sz="0" w:space="0" w:color="auto"/>
            <w:bottom w:val="none" w:sz="0" w:space="0" w:color="auto"/>
            <w:right w:val="none" w:sz="0" w:space="0" w:color="auto"/>
          </w:divBdr>
          <w:divsChild>
            <w:div w:id="1066143254">
              <w:marLeft w:val="0"/>
              <w:marRight w:val="0"/>
              <w:marTop w:val="0"/>
              <w:marBottom w:val="0"/>
              <w:divBdr>
                <w:top w:val="none" w:sz="0" w:space="0" w:color="auto"/>
                <w:left w:val="none" w:sz="0" w:space="0" w:color="auto"/>
                <w:bottom w:val="none" w:sz="0" w:space="0" w:color="auto"/>
                <w:right w:val="none" w:sz="0" w:space="0" w:color="auto"/>
              </w:divBdr>
              <w:divsChild>
                <w:div w:id="934945619">
                  <w:marLeft w:val="0"/>
                  <w:marRight w:val="0"/>
                  <w:marTop w:val="0"/>
                  <w:marBottom w:val="0"/>
                  <w:divBdr>
                    <w:top w:val="none" w:sz="0" w:space="0" w:color="auto"/>
                    <w:left w:val="none" w:sz="0" w:space="0" w:color="auto"/>
                    <w:bottom w:val="none" w:sz="0" w:space="0" w:color="auto"/>
                    <w:right w:val="none" w:sz="0" w:space="0" w:color="auto"/>
                  </w:divBdr>
                  <w:divsChild>
                    <w:div w:id="1809711736">
                      <w:marLeft w:val="0"/>
                      <w:marRight w:val="0"/>
                      <w:marTop w:val="0"/>
                      <w:marBottom w:val="0"/>
                      <w:divBdr>
                        <w:top w:val="none" w:sz="0" w:space="0" w:color="auto"/>
                        <w:left w:val="none" w:sz="0" w:space="0" w:color="auto"/>
                        <w:bottom w:val="none" w:sz="0" w:space="0" w:color="auto"/>
                        <w:right w:val="none" w:sz="0" w:space="0" w:color="auto"/>
                      </w:divBdr>
                      <w:divsChild>
                        <w:div w:id="171746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186377">
      <w:bodyDiv w:val="1"/>
      <w:marLeft w:val="0"/>
      <w:marRight w:val="0"/>
      <w:marTop w:val="0"/>
      <w:marBottom w:val="0"/>
      <w:divBdr>
        <w:top w:val="none" w:sz="0" w:space="0" w:color="auto"/>
        <w:left w:val="none" w:sz="0" w:space="0" w:color="auto"/>
        <w:bottom w:val="none" w:sz="0" w:space="0" w:color="auto"/>
        <w:right w:val="none" w:sz="0" w:space="0" w:color="auto"/>
      </w:divBdr>
    </w:div>
    <w:div w:id="1627195929">
      <w:bodyDiv w:val="1"/>
      <w:marLeft w:val="0"/>
      <w:marRight w:val="0"/>
      <w:marTop w:val="0"/>
      <w:marBottom w:val="0"/>
      <w:divBdr>
        <w:top w:val="none" w:sz="0" w:space="0" w:color="auto"/>
        <w:left w:val="none" w:sz="0" w:space="0" w:color="auto"/>
        <w:bottom w:val="none" w:sz="0" w:space="0" w:color="auto"/>
        <w:right w:val="none" w:sz="0" w:space="0" w:color="auto"/>
      </w:divBdr>
    </w:div>
    <w:div w:id="1629706373">
      <w:bodyDiv w:val="1"/>
      <w:marLeft w:val="0"/>
      <w:marRight w:val="0"/>
      <w:marTop w:val="0"/>
      <w:marBottom w:val="0"/>
      <w:divBdr>
        <w:top w:val="none" w:sz="0" w:space="0" w:color="auto"/>
        <w:left w:val="none" w:sz="0" w:space="0" w:color="auto"/>
        <w:bottom w:val="none" w:sz="0" w:space="0" w:color="auto"/>
        <w:right w:val="none" w:sz="0" w:space="0" w:color="auto"/>
      </w:divBdr>
    </w:div>
    <w:div w:id="1630672507">
      <w:bodyDiv w:val="1"/>
      <w:marLeft w:val="0"/>
      <w:marRight w:val="0"/>
      <w:marTop w:val="0"/>
      <w:marBottom w:val="0"/>
      <w:divBdr>
        <w:top w:val="none" w:sz="0" w:space="0" w:color="auto"/>
        <w:left w:val="none" w:sz="0" w:space="0" w:color="auto"/>
        <w:bottom w:val="none" w:sz="0" w:space="0" w:color="auto"/>
        <w:right w:val="none" w:sz="0" w:space="0" w:color="auto"/>
      </w:divBdr>
      <w:divsChild>
        <w:div w:id="433209224">
          <w:marLeft w:val="0"/>
          <w:marRight w:val="0"/>
          <w:marTop w:val="0"/>
          <w:marBottom w:val="0"/>
          <w:divBdr>
            <w:top w:val="none" w:sz="0" w:space="0" w:color="auto"/>
            <w:left w:val="none" w:sz="0" w:space="0" w:color="auto"/>
            <w:bottom w:val="none" w:sz="0" w:space="0" w:color="auto"/>
            <w:right w:val="none" w:sz="0" w:space="0" w:color="auto"/>
          </w:divBdr>
        </w:div>
      </w:divsChild>
    </w:div>
    <w:div w:id="1638679831">
      <w:bodyDiv w:val="1"/>
      <w:marLeft w:val="0"/>
      <w:marRight w:val="0"/>
      <w:marTop w:val="0"/>
      <w:marBottom w:val="0"/>
      <w:divBdr>
        <w:top w:val="none" w:sz="0" w:space="0" w:color="auto"/>
        <w:left w:val="none" w:sz="0" w:space="0" w:color="auto"/>
        <w:bottom w:val="none" w:sz="0" w:space="0" w:color="auto"/>
        <w:right w:val="none" w:sz="0" w:space="0" w:color="auto"/>
      </w:divBdr>
    </w:div>
    <w:div w:id="1696924329">
      <w:bodyDiv w:val="1"/>
      <w:marLeft w:val="0"/>
      <w:marRight w:val="0"/>
      <w:marTop w:val="0"/>
      <w:marBottom w:val="0"/>
      <w:divBdr>
        <w:top w:val="none" w:sz="0" w:space="0" w:color="auto"/>
        <w:left w:val="none" w:sz="0" w:space="0" w:color="auto"/>
        <w:bottom w:val="none" w:sz="0" w:space="0" w:color="auto"/>
        <w:right w:val="none" w:sz="0" w:space="0" w:color="auto"/>
      </w:divBdr>
      <w:divsChild>
        <w:div w:id="1170102291">
          <w:marLeft w:val="1166"/>
          <w:marRight w:val="0"/>
          <w:marTop w:val="72"/>
          <w:marBottom w:val="0"/>
          <w:divBdr>
            <w:top w:val="none" w:sz="0" w:space="0" w:color="auto"/>
            <w:left w:val="none" w:sz="0" w:space="0" w:color="auto"/>
            <w:bottom w:val="none" w:sz="0" w:space="0" w:color="auto"/>
            <w:right w:val="none" w:sz="0" w:space="0" w:color="auto"/>
          </w:divBdr>
        </w:div>
        <w:div w:id="2010939046">
          <w:marLeft w:val="1166"/>
          <w:marRight w:val="0"/>
          <w:marTop w:val="72"/>
          <w:marBottom w:val="240"/>
          <w:divBdr>
            <w:top w:val="none" w:sz="0" w:space="0" w:color="auto"/>
            <w:left w:val="none" w:sz="0" w:space="0" w:color="auto"/>
            <w:bottom w:val="none" w:sz="0" w:space="0" w:color="auto"/>
            <w:right w:val="none" w:sz="0" w:space="0" w:color="auto"/>
          </w:divBdr>
        </w:div>
      </w:divsChild>
    </w:div>
    <w:div w:id="1702826511">
      <w:bodyDiv w:val="1"/>
      <w:marLeft w:val="0"/>
      <w:marRight w:val="0"/>
      <w:marTop w:val="0"/>
      <w:marBottom w:val="0"/>
      <w:divBdr>
        <w:top w:val="none" w:sz="0" w:space="0" w:color="auto"/>
        <w:left w:val="none" w:sz="0" w:space="0" w:color="auto"/>
        <w:bottom w:val="none" w:sz="0" w:space="0" w:color="auto"/>
        <w:right w:val="none" w:sz="0" w:space="0" w:color="auto"/>
      </w:divBdr>
    </w:div>
    <w:div w:id="1717196579">
      <w:bodyDiv w:val="1"/>
      <w:marLeft w:val="0"/>
      <w:marRight w:val="0"/>
      <w:marTop w:val="0"/>
      <w:marBottom w:val="0"/>
      <w:divBdr>
        <w:top w:val="none" w:sz="0" w:space="0" w:color="auto"/>
        <w:left w:val="none" w:sz="0" w:space="0" w:color="auto"/>
        <w:bottom w:val="none" w:sz="0" w:space="0" w:color="auto"/>
        <w:right w:val="none" w:sz="0" w:space="0" w:color="auto"/>
      </w:divBdr>
      <w:divsChild>
        <w:div w:id="987855112">
          <w:marLeft w:val="0"/>
          <w:marRight w:val="0"/>
          <w:marTop w:val="0"/>
          <w:marBottom w:val="0"/>
          <w:divBdr>
            <w:top w:val="none" w:sz="0" w:space="0" w:color="auto"/>
            <w:left w:val="none" w:sz="0" w:space="0" w:color="auto"/>
            <w:bottom w:val="none" w:sz="0" w:space="0" w:color="auto"/>
            <w:right w:val="none" w:sz="0" w:space="0" w:color="auto"/>
          </w:divBdr>
        </w:div>
      </w:divsChild>
    </w:div>
    <w:div w:id="1738091027">
      <w:bodyDiv w:val="1"/>
      <w:marLeft w:val="0"/>
      <w:marRight w:val="0"/>
      <w:marTop w:val="0"/>
      <w:marBottom w:val="0"/>
      <w:divBdr>
        <w:top w:val="none" w:sz="0" w:space="0" w:color="auto"/>
        <w:left w:val="none" w:sz="0" w:space="0" w:color="auto"/>
        <w:bottom w:val="none" w:sz="0" w:space="0" w:color="auto"/>
        <w:right w:val="none" w:sz="0" w:space="0" w:color="auto"/>
      </w:divBdr>
    </w:div>
    <w:div w:id="1738438623">
      <w:bodyDiv w:val="1"/>
      <w:marLeft w:val="0"/>
      <w:marRight w:val="0"/>
      <w:marTop w:val="0"/>
      <w:marBottom w:val="0"/>
      <w:divBdr>
        <w:top w:val="none" w:sz="0" w:space="0" w:color="auto"/>
        <w:left w:val="none" w:sz="0" w:space="0" w:color="auto"/>
        <w:bottom w:val="none" w:sz="0" w:space="0" w:color="auto"/>
        <w:right w:val="none" w:sz="0" w:space="0" w:color="auto"/>
      </w:divBdr>
    </w:div>
    <w:div w:id="1763719330">
      <w:bodyDiv w:val="1"/>
      <w:marLeft w:val="0"/>
      <w:marRight w:val="0"/>
      <w:marTop w:val="0"/>
      <w:marBottom w:val="0"/>
      <w:divBdr>
        <w:top w:val="none" w:sz="0" w:space="0" w:color="auto"/>
        <w:left w:val="none" w:sz="0" w:space="0" w:color="auto"/>
        <w:bottom w:val="none" w:sz="0" w:space="0" w:color="auto"/>
        <w:right w:val="none" w:sz="0" w:space="0" w:color="auto"/>
      </w:divBdr>
    </w:div>
    <w:div w:id="1783106206">
      <w:bodyDiv w:val="1"/>
      <w:marLeft w:val="0"/>
      <w:marRight w:val="0"/>
      <w:marTop w:val="0"/>
      <w:marBottom w:val="0"/>
      <w:divBdr>
        <w:top w:val="none" w:sz="0" w:space="0" w:color="auto"/>
        <w:left w:val="none" w:sz="0" w:space="0" w:color="auto"/>
        <w:bottom w:val="none" w:sz="0" w:space="0" w:color="auto"/>
        <w:right w:val="none" w:sz="0" w:space="0" w:color="auto"/>
      </w:divBdr>
      <w:divsChild>
        <w:div w:id="209877976">
          <w:marLeft w:val="274"/>
          <w:marRight w:val="0"/>
          <w:marTop w:val="65"/>
          <w:marBottom w:val="0"/>
          <w:divBdr>
            <w:top w:val="none" w:sz="0" w:space="0" w:color="auto"/>
            <w:left w:val="none" w:sz="0" w:space="0" w:color="auto"/>
            <w:bottom w:val="none" w:sz="0" w:space="0" w:color="auto"/>
            <w:right w:val="none" w:sz="0" w:space="0" w:color="auto"/>
          </w:divBdr>
        </w:div>
        <w:div w:id="244191747">
          <w:marLeft w:val="274"/>
          <w:marRight w:val="0"/>
          <w:marTop w:val="65"/>
          <w:marBottom w:val="0"/>
          <w:divBdr>
            <w:top w:val="none" w:sz="0" w:space="0" w:color="auto"/>
            <w:left w:val="none" w:sz="0" w:space="0" w:color="auto"/>
            <w:bottom w:val="none" w:sz="0" w:space="0" w:color="auto"/>
            <w:right w:val="none" w:sz="0" w:space="0" w:color="auto"/>
          </w:divBdr>
        </w:div>
        <w:div w:id="364791875">
          <w:marLeft w:val="274"/>
          <w:marRight w:val="0"/>
          <w:marTop w:val="65"/>
          <w:marBottom w:val="0"/>
          <w:divBdr>
            <w:top w:val="none" w:sz="0" w:space="0" w:color="auto"/>
            <w:left w:val="none" w:sz="0" w:space="0" w:color="auto"/>
            <w:bottom w:val="none" w:sz="0" w:space="0" w:color="auto"/>
            <w:right w:val="none" w:sz="0" w:space="0" w:color="auto"/>
          </w:divBdr>
        </w:div>
        <w:div w:id="375617258">
          <w:marLeft w:val="274"/>
          <w:marRight w:val="0"/>
          <w:marTop w:val="65"/>
          <w:marBottom w:val="0"/>
          <w:divBdr>
            <w:top w:val="none" w:sz="0" w:space="0" w:color="auto"/>
            <w:left w:val="none" w:sz="0" w:space="0" w:color="auto"/>
            <w:bottom w:val="none" w:sz="0" w:space="0" w:color="auto"/>
            <w:right w:val="none" w:sz="0" w:space="0" w:color="auto"/>
          </w:divBdr>
        </w:div>
        <w:div w:id="878400507">
          <w:marLeft w:val="274"/>
          <w:marRight w:val="0"/>
          <w:marTop w:val="65"/>
          <w:marBottom w:val="0"/>
          <w:divBdr>
            <w:top w:val="none" w:sz="0" w:space="0" w:color="auto"/>
            <w:left w:val="none" w:sz="0" w:space="0" w:color="auto"/>
            <w:bottom w:val="none" w:sz="0" w:space="0" w:color="auto"/>
            <w:right w:val="none" w:sz="0" w:space="0" w:color="auto"/>
          </w:divBdr>
        </w:div>
        <w:div w:id="926109658">
          <w:marLeft w:val="274"/>
          <w:marRight w:val="0"/>
          <w:marTop w:val="65"/>
          <w:marBottom w:val="0"/>
          <w:divBdr>
            <w:top w:val="none" w:sz="0" w:space="0" w:color="auto"/>
            <w:left w:val="none" w:sz="0" w:space="0" w:color="auto"/>
            <w:bottom w:val="none" w:sz="0" w:space="0" w:color="auto"/>
            <w:right w:val="none" w:sz="0" w:space="0" w:color="auto"/>
          </w:divBdr>
        </w:div>
        <w:div w:id="1094324202">
          <w:marLeft w:val="274"/>
          <w:marRight w:val="0"/>
          <w:marTop w:val="65"/>
          <w:marBottom w:val="0"/>
          <w:divBdr>
            <w:top w:val="none" w:sz="0" w:space="0" w:color="auto"/>
            <w:left w:val="none" w:sz="0" w:space="0" w:color="auto"/>
            <w:bottom w:val="none" w:sz="0" w:space="0" w:color="auto"/>
            <w:right w:val="none" w:sz="0" w:space="0" w:color="auto"/>
          </w:divBdr>
        </w:div>
        <w:div w:id="1279950177">
          <w:marLeft w:val="274"/>
          <w:marRight w:val="0"/>
          <w:marTop w:val="65"/>
          <w:marBottom w:val="0"/>
          <w:divBdr>
            <w:top w:val="none" w:sz="0" w:space="0" w:color="auto"/>
            <w:left w:val="none" w:sz="0" w:space="0" w:color="auto"/>
            <w:bottom w:val="none" w:sz="0" w:space="0" w:color="auto"/>
            <w:right w:val="none" w:sz="0" w:space="0" w:color="auto"/>
          </w:divBdr>
        </w:div>
        <w:div w:id="1380519411">
          <w:marLeft w:val="274"/>
          <w:marRight w:val="0"/>
          <w:marTop w:val="65"/>
          <w:marBottom w:val="0"/>
          <w:divBdr>
            <w:top w:val="none" w:sz="0" w:space="0" w:color="auto"/>
            <w:left w:val="none" w:sz="0" w:space="0" w:color="auto"/>
            <w:bottom w:val="none" w:sz="0" w:space="0" w:color="auto"/>
            <w:right w:val="none" w:sz="0" w:space="0" w:color="auto"/>
          </w:divBdr>
        </w:div>
        <w:div w:id="1454252677">
          <w:marLeft w:val="274"/>
          <w:marRight w:val="0"/>
          <w:marTop w:val="65"/>
          <w:marBottom w:val="0"/>
          <w:divBdr>
            <w:top w:val="none" w:sz="0" w:space="0" w:color="auto"/>
            <w:left w:val="none" w:sz="0" w:space="0" w:color="auto"/>
            <w:bottom w:val="none" w:sz="0" w:space="0" w:color="auto"/>
            <w:right w:val="none" w:sz="0" w:space="0" w:color="auto"/>
          </w:divBdr>
        </w:div>
        <w:div w:id="1950624076">
          <w:marLeft w:val="274"/>
          <w:marRight w:val="0"/>
          <w:marTop w:val="65"/>
          <w:marBottom w:val="0"/>
          <w:divBdr>
            <w:top w:val="none" w:sz="0" w:space="0" w:color="auto"/>
            <w:left w:val="none" w:sz="0" w:space="0" w:color="auto"/>
            <w:bottom w:val="none" w:sz="0" w:space="0" w:color="auto"/>
            <w:right w:val="none" w:sz="0" w:space="0" w:color="auto"/>
          </w:divBdr>
        </w:div>
        <w:div w:id="1977442315">
          <w:marLeft w:val="274"/>
          <w:marRight w:val="0"/>
          <w:marTop w:val="65"/>
          <w:marBottom w:val="0"/>
          <w:divBdr>
            <w:top w:val="none" w:sz="0" w:space="0" w:color="auto"/>
            <w:left w:val="none" w:sz="0" w:space="0" w:color="auto"/>
            <w:bottom w:val="none" w:sz="0" w:space="0" w:color="auto"/>
            <w:right w:val="none" w:sz="0" w:space="0" w:color="auto"/>
          </w:divBdr>
        </w:div>
        <w:div w:id="2038388700">
          <w:marLeft w:val="274"/>
          <w:marRight w:val="0"/>
          <w:marTop w:val="65"/>
          <w:marBottom w:val="0"/>
          <w:divBdr>
            <w:top w:val="none" w:sz="0" w:space="0" w:color="auto"/>
            <w:left w:val="none" w:sz="0" w:space="0" w:color="auto"/>
            <w:bottom w:val="none" w:sz="0" w:space="0" w:color="auto"/>
            <w:right w:val="none" w:sz="0" w:space="0" w:color="auto"/>
          </w:divBdr>
        </w:div>
        <w:div w:id="2120099986">
          <w:marLeft w:val="274"/>
          <w:marRight w:val="0"/>
          <w:marTop w:val="65"/>
          <w:marBottom w:val="0"/>
          <w:divBdr>
            <w:top w:val="none" w:sz="0" w:space="0" w:color="auto"/>
            <w:left w:val="none" w:sz="0" w:space="0" w:color="auto"/>
            <w:bottom w:val="none" w:sz="0" w:space="0" w:color="auto"/>
            <w:right w:val="none" w:sz="0" w:space="0" w:color="auto"/>
          </w:divBdr>
        </w:div>
        <w:div w:id="2122457887">
          <w:marLeft w:val="274"/>
          <w:marRight w:val="0"/>
          <w:marTop w:val="65"/>
          <w:marBottom w:val="0"/>
          <w:divBdr>
            <w:top w:val="none" w:sz="0" w:space="0" w:color="auto"/>
            <w:left w:val="none" w:sz="0" w:space="0" w:color="auto"/>
            <w:bottom w:val="none" w:sz="0" w:space="0" w:color="auto"/>
            <w:right w:val="none" w:sz="0" w:space="0" w:color="auto"/>
          </w:divBdr>
        </w:div>
      </w:divsChild>
    </w:div>
    <w:div w:id="1789276072">
      <w:bodyDiv w:val="1"/>
      <w:marLeft w:val="0"/>
      <w:marRight w:val="0"/>
      <w:marTop w:val="0"/>
      <w:marBottom w:val="0"/>
      <w:divBdr>
        <w:top w:val="none" w:sz="0" w:space="0" w:color="auto"/>
        <w:left w:val="none" w:sz="0" w:space="0" w:color="auto"/>
        <w:bottom w:val="none" w:sz="0" w:space="0" w:color="auto"/>
        <w:right w:val="none" w:sz="0" w:space="0" w:color="auto"/>
      </w:divBdr>
    </w:div>
    <w:div w:id="1793593003">
      <w:bodyDiv w:val="1"/>
      <w:marLeft w:val="0"/>
      <w:marRight w:val="0"/>
      <w:marTop w:val="0"/>
      <w:marBottom w:val="0"/>
      <w:divBdr>
        <w:top w:val="none" w:sz="0" w:space="0" w:color="auto"/>
        <w:left w:val="none" w:sz="0" w:space="0" w:color="auto"/>
        <w:bottom w:val="none" w:sz="0" w:space="0" w:color="auto"/>
        <w:right w:val="none" w:sz="0" w:space="0" w:color="auto"/>
      </w:divBdr>
    </w:div>
    <w:div w:id="1823307575">
      <w:bodyDiv w:val="1"/>
      <w:marLeft w:val="0"/>
      <w:marRight w:val="0"/>
      <w:marTop w:val="0"/>
      <w:marBottom w:val="0"/>
      <w:divBdr>
        <w:top w:val="none" w:sz="0" w:space="0" w:color="auto"/>
        <w:left w:val="none" w:sz="0" w:space="0" w:color="auto"/>
        <w:bottom w:val="none" w:sz="0" w:space="0" w:color="auto"/>
        <w:right w:val="none" w:sz="0" w:space="0" w:color="auto"/>
      </w:divBdr>
      <w:divsChild>
        <w:div w:id="1952130821">
          <w:marLeft w:val="0"/>
          <w:marRight w:val="0"/>
          <w:marTop w:val="0"/>
          <w:marBottom w:val="0"/>
          <w:divBdr>
            <w:top w:val="none" w:sz="0" w:space="0" w:color="auto"/>
            <w:left w:val="none" w:sz="0" w:space="0" w:color="auto"/>
            <w:bottom w:val="none" w:sz="0" w:space="0" w:color="auto"/>
            <w:right w:val="none" w:sz="0" w:space="0" w:color="auto"/>
          </w:divBdr>
          <w:divsChild>
            <w:div w:id="1455706801">
              <w:marLeft w:val="0"/>
              <w:marRight w:val="0"/>
              <w:marTop w:val="0"/>
              <w:marBottom w:val="0"/>
              <w:divBdr>
                <w:top w:val="none" w:sz="0" w:space="0" w:color="auto"/>
                <w:left w:val="none" w:sz="0" w:space="0" w:color="auto"/>
                <w:bottom w:val="none" w:sz="0" w:space="0" w:color="auto"/>
                <w:right w:val="none" w:sz="0" w:space="0" w:color="auto"/>
              </w:divBdr>
              <w:divsChild>
                <w:div w:id="244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02759">
      <w:bodyDiv w:val="1"/>
      <w:marLeft w:val="0"/>
      <w:marRight w:val="0"/>
      <w:marTop w:val="0"/>
      <w:marBottom w:val="0"/>
      <w:divBdr>
        <w:top w:val="none" w:sz="0" w:space="0" w:color="auto"/>
        <w:left w:val="none" w:sz="0" w:space="0" w:color="auto"/>
        <w:bottom w:val="none" w:sz="0" w:space="0" w:color="auto"/>
        <w:right w:val="none" w:sz="0" w:space="0" w:color="auto"/>
      </w:divBdr>
    </w:div>
    <w:div w:id="1895118170">
      <w:bodyDiv w:val="1"/>
      <w:marLeft w:val="0"/>
      <w:marRight w:val="0"/>
      <w:marTop w:val="0"/>
      <w:marBottom w:val="0"/>
      <w:divBdr>
        <w:top w:val="none" w:sz="0" w:space="0" w:color="auto"/>
        <w:left w:val="none" w:sz="0" w:space="0" w:color="auto"/>
        <w:bottom w:val="none" w:sz="0" w:space="0" w:color="auto"/>
        <w:right w:val="none" w:sz="0" w:space="0" w:color="auto"/>
      </w:divBdr>
    </w:div>
    <w:div w:id="1912543020">
      <w:bodyDiv w:val="1"/>
      <w:marLeft w:val="0"/>
      <w:marRight w:val="0"/>
      <w:marTop w:val="0"/>
      <w:marBottom w:val="0"/>
      <w:divBdr>
        <w:top w:val="none" w:sz="0" w:space="0" w:color="auto"/>
        <w:left w:val="none" w:sz="0" w:space="0" w:color="auto"/>
        <w:bottom w:val="none" w:sz="0" w:space="0" w:color="auto"/>
        <w:right w:val="none" w:sz="0" w:space="0" w:color="auto"/>
      </w:divBdr>
      <w:divsChild>
        <w:div w:id="528033501">
          <w:marLeft w:val="0"/>
          <w:marRight w:val="0"/>
          <w:marTop w:val="0"/>
          <w:marBottom w:val="0"/>
          <w:divBdr>
            <w:top w:val="none" w:sz="0" w:space="0" w:color="auto"/>
            <w:left w:val="none" w:sz="0" w:space="0" w:color="auto"/>
            <w:bottom w:val="none" w:sz="0" w:space="0" w:color="auto"/>
            <w:right w:val="none" w:sz="0" w:space="0" w:color="auto"/>
          </w:divBdr>
          <w:divsChild>
            <w:div w:id="914163720">
              <w:marLeft w:val="0"/>
              <w:marRight w:val="0"/>
              <w:marTop w:val="0"/>
              <w:marBottom w:val="0"/>
              <w:divBdr>
                <w:top w:val="none" w:sz="0" w:space="0" w:color="auto"/>
                <w:left w:val="none" w:sz="0" w:space="0" w:color="auto"/>
                <w:bottom w:val="none" w:sz="0" w:space="0" w:color="auto"/>
                <w:right w:val="none" w:sz="0" w:space="0" w:color="auto"/>
              </w:divBdr>
              <w:divsChild>
                <w:div w:id="18878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542747">
      <w:bodyDiv w:val="1"/>
      <w:marLeft w:val="0"/>
      <w:marRight w:val="0"/>
      <w:marTop w:val="0"/>
      <w:marBottom w:val="0"/>
      <w:divBdr>
        <w:top w:val="none" w:sz="0" w:space="0" w:color="auto"/>
        <w:left w:val="none" w:sz="0" w:space="0" w:color="auto"/>
        <w:bottom w:val="none" w:sz="0" w:space="0" w:color="auto"/>
        <w:right w:val="none" w:sz="0" w:space="0" w:color="auto"/>
      </w:divBdr>
    </w:div>
    <w:div w:id="1967202180">
      <w:bodyDiv w:val="1"/>
      <w:marLeft w:val="0"/>
      <w:marRight w:val="0"/>
      <w:marTop w:val="0"/>
      <w:marBottom w:val="0"/>
      <w:divBdr>
        <w:top w:val="none" w:sz="0" w:space="0" w:color="auto"/>
        <w:left w:val="none" w:sz="0" w:space="0" w:color="auto"/>
        <w:bottom w:val="none" w:sz="0" w:space="0" w:color="auto"/>
        <w:right w:val="none" w:sz="0" w:space="0" w:color="auto"/>
      </w:divBdr>
    </w:div>
    <w:div w:id="2032022985">
      <w:bodyDiv w:val="1"/>
      <w:marLeft w:val="0"/>
      <w:marRight w:val="0"/>
      <w:marTop w:val="0"/>
      <w:marBottom w:val="0"/>
      <w:divBdr>
        <w:top w:val="none" w:sz="0" w:space="0" w:color="auto"/>
        <w:left w:val="none" w:sz="0" w:space="0" w:color="auto"/>
        <w:bottom w:val="none" w:sz="0" w:space="0" w:color="auto"/>
        <w:right w:val="none" w:sz="0" w:space="0" w:color="auto"/>
      </w:divBdr>
    </w:div>
    <w:div w:id="2037540679">
      <w:bodyDiv w:val="1"/>
      <w:marLeft w:val="0"/>
      <w:marRight w:val="0"/>
      <w:marTop w:val="0"/>
      <w:marBottom w:val="0"/>
      <w:divBdr>
        <w:top w:val="none" w:sz="0" w:space="0" w:color="auto"/>
        <w:left w:val="none" w:sz="0" w:space="0" w:color="auto"/>
        <w:bottom w:val="none" w:sz="0" w:space="0" w:color="auto"/>
        <w:right w:val="none" w:sz="0" w:space="0" w:color="auto"/>
      </w:divBdr>
      <w:divsChild>
        <w:div w:id="793526480">
          <w:marLeft w:val="0"/>
          <w:marRight w:val="0"/>
          <w:marTop w:val="0"/>
          <w:marBottom w:val="0"/>
          <w:divBdr>
            <w:top w:val="none" w:sz="0" w:space="0" w:color="auto"/>
            <w:left w:val="none" w:sz="0" w:space="0" w:color="auto"/>
            <w:bottom w:val="none" w:sz="0" w:space="0" w:color="auto"/>
            <w:right w:val="none" w:sz="0" w:space="0" w:color="auto"/>
          </w:divBdr>
          <w:divsChild>
            <w:div w:id="603271766">
              <w:marLeft w:val="0"/>
              <w:marRight w:val="0"/>
              <w:marTop w:val="0"/>
              <w:marBottom w:val="0"/>
              <w:divBdr>
                <w:top w:val="none" w:sz="0" w:space="0" w:color="auto"/>
                <w:left w:val="none" w:sz="0" w:space="0" w:color="auto"/>
                <w:bottom w:val="none" w:sz="0" w:space="0" w:color="auto"/>
                <w:right w:val="none" w:sz="0" w:space="0" w:color="auto"/>
              </w:divBdr>
              <w:divsChild>
                <w:div w:id="1326468179">
                  <w:marLeft w:val="0"/>
                  <w:marRight w:val="0"/>
                  <w:marTop w:val="0"/>
                  <w:marBottom w:val="0"/>
                  <w:divBdr>
                    <w:top w:val="none" w:sz="0" w:space="0" w:color="auto"/>
                    <w:left w:val="none" w:sz="0" w:space="0" w:color="auto"/>
                    <w:bottom w:val="none" w:sz="0" w:space="0" w:color="auto"/>
                    <w:right w:val="none" w:sz="0" w:space="0" w:color="auto"/>
                  </w:divBdr>
                  <w:divsChild>
                    <w:div w:id="59416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245408">
      <w:bodyDiv w:val="1"/>
      <w:marLeft w:val="0"/>
      <w:marRight w:val="0"/>
      <w:marTop w:val="0"/>
      <w:marBottom w:val="0"/>
      <w:divBdr>
        <w:top w:val="none" w:sz="0" w:space="0" w:color="auto"/>
        <w:left w:val="none" w:sz="0" w:space="0" w:color="auto"/>
        <w:bottom w:val="none" w:sz="0" w:space="0" w:color="auto"/>
        <w:right w:val="none" w:sz="0" w:space="0" w:color="auto"/>
      </w:divBdr>
    </w:div>
    <w:div w:id="212461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inance.gov.au/government/managing-commonwealth-resources/planning-and-reporting/commonwealth-performance-framework/evaluation-commonwealth-rmg-130" TargetMode="External"/><Relationship Id="rId117" Type="http://schemas.openxmlformats.org/officeDocument/2006/relationships/hyperlink" Target="https://www.finance.gov.au/government/managing-commonwealth-resources/planning-and-reporting/commonwealth-performance-framework/evaluation-commonwealth-rmg-130" TargetMode="External"/><Relationship Id="rId21" Type="http://schemas.openxmlformats.org/officeDocument/2006/relationships/hyperlink" Target="https://www.pc.gov.au/inquiries/completed/mental-health/report" TargetMode="External"/><Relationship Id="rId42" Type="http://schemas.openxmlformats.org/officeDocument/2006/relationships/hyperlink" Target="https://www.dpac.tas.gov.au/divisions/office_of_review_and_evaluation" TargetMode="External"/><Relationship Id="rId47" Type="http://schemas.openxmlformats.org/officeDocument/2006/relationships/header" Target="header8.xml"/><Relationship Id="rId63" Type="http://schemas.openxmlformats.org/officeDocument/2006/relationships/header" Target="header11.xml"/><Relationship Id="rId68" Type="http://schemas.openxmlformats.org/officeDocument/2006/relationships/footer" Target="footer11.xml"/><Relationship Id="rId84" Type="http://schemas.openxmlformats.org/officeDocument/2006/relationships/hyperlink" Target="https://www.amhocn.org/nocc-collection/nocc-measures" TargetMode="External"/><Relationship Id="rId89" Type="http://schemas.openxmlformats.org/officeDocument/2006/relationships/image" Target="media/image15.png"/><Relationship Id="rId112" Type="http://schemas.openxmlformats.org/officeDocument/2006/relationships/hyperlink" Target="https://www.betterevaluation.org/frameworks-guides/rainbow-framework" TargetMode="External"/><Relationship Id="rId133" Type="http://schemas.openxmlformats.org/officeDocument/2006/relationships/hyperlink" Target="https://www.linkedin.com/pulse/evaluating-mental-health-lived-experience-joanna-farmer" TargetMode="External"/><Relationship Id="rId138" Type="http://schemas.openxmlformats.org/officeDocument/2006/relationships/hyperlink" Target="https://rosesintheocean.com.au/wp-content/uploads/2022/03/3.-LESEP-Implementation-ToolKit-v1.1-FEB-2022.pdf" TargetMode="External"/><Relationship Id="rId16" Type="http://schemas.openxmlformats.org/officeDocument/2006/relationships/header" Target="header3.xml"/><Relationship Id="rId107" Type="http://schemas.openxmlformats.org/officeDocument/2006/relationships/hyperlink" Target="https://www.nhmrc.gov.au/about-us/publications/national-statement-ethical-conduct-human-research-2023" TargetMode="External"/><Relationship Id="rId11" Type="http://schemas.openxmlformats.org/officeDocument/2006/relationships/header" Target="header1.xml"/><Relationship Id="rId32" Type="http://schemas.openxmlformats.org/officeDocument/2006/relationships/hyperlink" Target="https://www.health.gov.au/resources/publications/national-standards-for-mental-health-services-2010-and-implementation-guidelines?language=en" TargetMode="External"/><Relationship Id="rId37" Type="http://schemas.openxmlformats.org/officeDocument/2006/relationships/hyperlink" Target="https://www.finance.gov.au/government/managing-commonwealth-resources/planning-and-reporting/commonwealth-performance-framework/evaluation-commonwealth-rmg-130" TargetMode="External"/><Relationship Id="rId53" Type="http://schemas.openxmlformats.org/officeDocument/2006/relationships/hyperlink" Target="https://nmhccf.org.au/our-work/discussion-papers/the-lived-experience-governance-framework-centring-people-identity-and-human-rights-for-the-benefit-of-all" TargetMode="External"/><Relationship Id="rId58" Type="http://schemas.openxmlformats.org/officeDocument/2006/relationships/hyperlink" Target="https://cfirguide.org/" TargetMode="External"/><Relationship Id="rId74" Type="http://schemas.openxmlformats.org/officeDocument/2006/relationships/hyperlink" Target="https://evaluation.treasury.gov.au/toolkit/randomised-controlled-trials" TargetMode="External"/><Relationship Id="rId79" Type="http://schemas.openxmlformats.org/officeDocument/2006/relationships/image" Target="media/image12.png"/><Relationship Id="rId102" Type="http://schemas.openxmlformats.org/officeDocument/2006/relationships/hyperlink" Target="https://www.dtf.vic.gov.au/planning-budgeting-and-financial-reporting-frameworks/resource-management-framework" TargetMode="External"/><Relationship Id="rId123" Type="http://schemas.openxmlformats.org/officeDocument/2006/relationships/hyperlink" Target="https://www.niaa.gov.au/resource-centre/indigenous-affairs/national-strategic-framework-mental-health-social-emotional-wellbeing-2017-23" TargetMode="External"/><Relationship Id="rId128" Type="http://schemas.openxmlformats.org/officeDocument/2006/relationships/hyperlink" Target="https://mhcsa.org.au/lived-experience-workforce-program/" TargetMode="External"/><Relationship Id="rId144" Type="http://schemas.openxmlformats.org/officeDocument/2006/relationships/header" Target="header21.xml"/><Relationship Id="rId149" Type="http://schemas.openxmlformats.org/officeDocument/2006/relationships/footer" Target="footer17.xml"/><Relationship Id="rId5" Type="http://schemas.openxmlformats.org/officeDocument/2006/relationships/numbering" Target="numbering.xml"/><Relationship Id="rId90" Type="http://schemas.openxmlformats.org/officeDocument/2006/relationships/header" Target="header19.xml"/><Relationship Id="rId95" Type="http://schemas.openxmlformats.org/officeDocument/2006/relationships/hyperlink" Target="https://www.gayaadhuwi.org.au/wp-content/uploads/2023/01/The-Wharerata-Declaration.pdf" TargetMode="External"/><Relationship Id="rId22" Type="http://schemas.openxmlformats.org/officeDocument/2006/relationships/header" Target="header5.xml"/><Relationship Id="rId27" Type="http://schemas.openxmlformats.org/officeDocument/2006/relationships/hyperlink" Target="https://www.amhocn.org/nocc-collection/nocc-measures" TargetMode="External"/><Relationship Id="rId43" Type="http://schemas.openxmlformats.org/officeDocument/2006/relationships/hyperlink" Target="https://www.dtf.vic.gov.au/sites/default/files/document/Resource%20Management%20Framework%202023-2024.pdf" TargetMode="External"/><Relationship Id="rId48" Type="http://schemas.openxmlformats.org/officeDocument/2006/relationships/image" Target="media/image8.png"/><Relationship Id="rId64" Type="http://schemas.openxmlformats.org/officeDocument/2006/relationships/header" Target="header12.xml"/><Relationship Id="rId69" Type="http://schemas.openxmlformats.org/officeDocument/2006/relationships/header" Target="header14.xml"/><Relationship Id="rId113" Type="http://schemas.openxmlformats.org/officeDocument/2006/relationships/hyperlink" Target="https://evaluation.treasury.gov.au/toolkit/commonwealth-evaluation-toolkit" TargetMode="External"/><Relationship Id="rId118" Type="http://schemas.openxmlformats.org/officeDocument/2006/relationships/hyperlink" Target="https://meteor.aihw.gov.au/content/721188" TargetMode="External"/><Relationship Id="rId134" Type="http://schemas.openxmlformats.org/officeDocument/2006/relationships/hyperlink" Target="https://www.blackdoginstitute.org.au/wp-content/uploads/2020/04/anu-lived-experience-framework.pdf" TargetMode="External"/><Relationship Id="rId139" Type="http://schemas.openxmlformats.org/officeDocument/2006/relationships/hyperlink" Target="https://www.nswmentalhealthcommission.com.au/report/lived-experience-framework" TargetMode="External"/><Relationship Id="rId80" Type="http://schemas.openxmlformats.org/officeDocument/2006/relationships/hyperlink" Target="https://www.betterevaluation.org/tools-resources/conducting-mixed-method-evaluations" TargetMode="External"/><Relationship Id="rId85" Type="http://schemas.openxmlformats.org/officeDocument/2006/relationships/hyperlink" Target="https://pmhc-mds.com/" TargetMode="External"/><Relationship Id="rId150"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hyperlink" Target="https://www.safetyandquality.gov.au/standards/nsqhs-standards" TargetMode="External"/><Relationship Id="rId38" Type="http://schemas.openxmlformats.org/officeDocument/2006/relationships/hyperlink" Target="https://treasury.nt.gov.au/dtf/financial-management-group/program-evaluation-unit/framework-and-toolkit" TargetMode="External"/><Relationship Id="rId46" Type="http://schemas.openxmlformats.org/officeDocument/2006/relationships/footer" Target="footer7.xml"/><Relationship Id="rId59" Type="http://schemas.openxmlformats.org/officeDocument/2006/relationships/image" Target="media/image10.png"/><Relationship Id="rId67" Type="http://schemas.openxmlformats.org/officeDocument/2006/relationships/header" Target="header13.xml"/><Relationship Id="rId103" Type="http://schemas.openxmlformats.org/officeDocument/2006/relationships/hyperlink" Target="https://www.google.com/url?sa=t&amp;rct=j&amp;q=&amp;esrc=s&amp;source=web&amp;cd=&amp;ved=2ahUKEwj67_7tpKGCAxVra2wGHWqGBT0QFnoECBIQAQ&amp;url=https%3A%2F%2Fwww.dtf.vic.gov.au%2Fsites%2Fdefault%2Ffiles%2F2018-03%2FEconomic%2520Evaluation%2520-%2520Technical%2520Guide.doc&amp;usg=AOvVaw2ZdDIyZ4S6EWd29eB19bdP&amp;opi=89978449" TargetMode="External"/><Relationship Id="rId108" Type="http://schemas.openxmlformats.org/officeDocument/2006/relationships/hyperlink" Target="https://aiatsis.gov.au/sites/default/files/2022-02/aiatsis-code-ethics-jan22.pdf" TargetMode="External"/><Relationship Id="rId116" Type="http://schemas.openxmlformats.org/officeDocument/2006/relationships/hyperlink" Target="https://www.betterevaluation.org/tools-resources/using-evaluation-findings" TargetMode="External"/><Relationship Id="rId124" Type="http://schemas.openxmlformats.org/officeDocument/2006/relationships/hyperlink" Target="https://www.gayaadhuwi.org.au/wp-content/uploads/2023/01/ATSISPEP-Report-Final-Web.pdf" TargetMode="External"/><Relationship Id="rId129" Type="http://schemas.openxmlformats.org/officeDocument/2006/relationships/hyperlink" Target="https://livedexperience.alivenetwork.com.au/training/" TargetMode="External"/><Relationship Id="rId137" Type="http://schemas.openxmlformats.org/officeDocument/2006/relationships/hyperlink" Target="https://rosesintheocean.com.au/resources-for-organisations/" TargetMode="External"/><Relationship Id="rId20" Type="http://schemas.openxmlformats.org/officeDocument/2006/relationships/image" Target="media/image5.png"/><Relationship Id="rId41" Type="http://schemas.openxmlformats.org/officeDocument/2006/relationships/hyperlink" Target="https://www.dpc.sa.gov.au/responsibilities/economic-insight-and-evaluation" TargetMode="External"/><Relationship Id="rId54" Type="http://schemas.openxmlformats.org/officeDocument/2006/relationships/hyperlink" Target="https://livedexperiencedigitallibrary.org.au/" TargetMode="External"/><Relationship Id="rId62" Type="http://schemas.openxmlformats.org/officeDocument/2006/relationships/footer" Target="footer9.xml"/><Relationship Id="rId70" Type="http://schemas.openxmlformats.org/officeDocument/2006/relationships/header" Target="header15.xml"/><Relationship Id="rId75" Type="http://schemas.openxmlformats.org/officeDocument/2006/relationships/hyperlink" Target="https://www.betterevaluation.org/tools-resources/quasi-experimental-design-methods" TargetMode="External"/><Relationship Id="rId83" Type="http://schemas.openxmlformats.org/officeDocument/2006/relationships/image" Target="media/image14.png"/><Relationship Id="rId88" Type="http://schemas.openxmlformats.org/officeDocument/2006/relationships/header" Target="header18.xml"/><Relationship Id="rId91" Type="http://schemas.openxmlformats.org/officeDocument/2006/relationships/footer" Target="footer14.xml"/><Relationship Id="rId96" Type="http://schemas.openxmlformats.org/officeDocument/2006/relationships/hyperlink" Target="https://www.abs.gov.au/statistics/health/mental-health/national-study-mental-health-and-wellbeing/latest-release" TargetMode="External"/><Relationship Id="rId111" Type="http://schemas.openxmlformats.org/officeDocument/2006/relationships/hyperlink" Target="https://www.google.com/search?client=firefox-b-d&amp;q=Governance+of+Indigenous+Data" TargetMode="External"/><Relationship Id="rId132" Type="http://schemas.openxmlformats.org/officeDocument/2006/relationships/hyperlink" Target="https://doi.org/10.1186/s12888-023-04973-9" TargetMode="External"/><Relationship Id="rId140" Type="http://schemas.openxmlformats.org/officeDocument/2006/relationships/hyperlink" Target="https://www.health.vic.gov.au/publications/mental-health-lived-experience-engagement-framework" TargetMode="External"/><Relationship Id="rId145" Type="http://schemas.openxmlformats.org/officeDocument/2006/relationships/hyperlink" Target="https://www.health.nsw.gov.au/mentalhealth/resources/Publications/mh-clsr-process-evaluation.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yperlink" Target="https://pmhc-mds.com/" TargetMode="External"/><Relationship Id="rId36" Type="http://schemas.openxmlformats.org/officeDocument/2006/relationships/hyperlink" Target="http://www.cmd.act.gov.au/__data/assets/pdf_file/0004/175432/ACT-Evaluation-Policy-Guidelines.pdf" TargetMode="External"/><Relationship Id="rId49" Type="http://schemas.openxmlformats.org/officeDocument/2006/relationships/hyperlink" Target="https://www.finance.gov.au/government/managing-commonwealth-resources/planning-and-reporting/commonwealth-performance-framework/evaluation-commonwealth-rmg-130" TargetMode="External"/><Relationship Id="rId57" Type="http://schemas.openxmlformats.org/officeDocument/2006/relationships/hyperlink" Target="https://www.oecd.org/dac/evaluation/daccriteriaforevaluatingdevelopmentassistance.htm" TargetMode="External"/><Relationship Id="rId106" Type="http://schemas.openxmlformats.org/officeDocument/2006/relationships/hyperlink" Target="https://www.mentalhealthcommission.gov.au/getmedia/17b27236-8660-48b3-b177-0bbd8c6fcdf1/Paid-Participation-Policy-revised-April-2020.pdf" TargetMode="External"/><Relationship Id="rId114" Type="http://schemas.openxmlformats.org/officeDocument/2006/relationships/hyperlink" Target="https://aifs.gov.au/sites/default/files/publication-documents/2006_making_the_most_out_of_evaluation_nine_principles_0.pdf" TargetMode="External"/><Relationship Id="rId119" Type="http://schemas.openxmlformats.org/officeDocument/2006/relationships/hyperlink" Target="https://www.aihw.gov.au/reports-data/australias-health-performance/australias-health-performance-framework" TargetMode="External"/><Relationship Id="rId127" Type="http://schemas.openxmlformats.org/officeDocument/2006/relationships/hyperlink" Target="https://www.vmiac.org.au/new-lived-and-living-experience-workforce-program-new-training-and-community-of-practice/" TargetMode="External"/><Relationship Id="rId10" Type="http://schemas.openxmlformats.org/officeDocument/2006/relationships/endnotes" Target="endnotes.xml"/><Relationship Id="rId31" Type="http://schemas.openxmlformats.org/officeDocument/2006/relationships/hyperlink" Target="https://www.safetyandquality.gov.au/" TargetMode="External"/><Relationship Id="rId44" Type="http://schemas.openxmlformats.org/officeDocument/2006/relationships/hyperlink" Target="https://www.wa.gov.au/government/document-collections/program-evaluation" TargetMode="External"/><Relationship Id="rId52" Type="http://schemas.openxmlformats.org/officeDocument/2006/relationships/footer" Target="footer8.xml"/><Relationship Id="rId60" Type="http://schemas.openxmlformats.org/officeDocument/2006/relationships/hyperlink" Target="https://cfirguide.org/" TargetMode="External"/><Relationship Id="rId65" Type="http://schemas.openxmlformats.org/officeDocument/2006/relationships/footer" Target="footer10.xml"/><Relationship Id="rId73" Type="http://schemas.openxmlformats.org/officeDocument/2006/relationships/hyperlink" Target="https://www.betterevaluation.org/methods-approaches/approaches/randomised-controlled-trial" TargetMode="External"/><Relationship Id="rId78" Type="http://schemas.openxmlformats.org/officeDocument/2006/relationships/hyperlink" Target="https://www.betterevaluation.org/methods-approaches/themes/impact-evaluation" TargetMode="External"/><Relationship Id="rId81" Type="http://schemas.openxmlformats.org/officeDocument/2006/relationships/image" Target="media/image13.png"/><Relationship Id="rId86" Type="http://schemas.openxmlformats.org/officeDocument/2006/relationships/header" Target="header17.xml"/><Relationship Id="rId94" Type="http://schemas.openxmlformats.org/officeDocument/2006/relationships/hyperlink" Target="https://www.gayaadhuwi.org.au/wp-content/uploads/2022/09/WEB_gayaa_dhuwi_declaration_A4-2.pdf" TargetMode="External"/><Relationship Id="rId99" Type="http://schemas.openxmlformats.org/officeDocument/2006/relationships/hyperlink" Target="https://www.treasury.nsw.gov.au/sites/default/files/2023-04/tpg23-08_nsw-government-guide-to-cost-benefit-analysis_202304.pdf" TargetMode="External"/><Relationship Id="rId101" Type="http://schemas.openxmlformats.org/officeDocument/2006/relationships/hyperlink" Target="https://www.treasury.sa.gov.au/__data/assets/pdf_file/0007/515293/ti17-guidelines-part-b.pdf" TargetMode="External"/><Relationship Id="rId122" Type="http://schemas.openxmlformats.org/officeDocument/2006/relationships/hyperlink" Target="https://www.closingthegap.gov.au/" TargetMode="External"/><Relationship Id="rId130" Type="http://schemas.openxmlformats.org/officeDocument/2006/relationships/hyperlink" Target="https://learn.livedexperienceaustralia.com.au/" TargetMode="External"/><Relationship Id="rId135" Type="http://schemas.openxmlformats.org/officeDocument/2006/relationships/hyperlink" Target="https://nmhccf.org.au/our-work/discussion-papers/the-lived-experience-governance-framework-centring-people-identity-and-human-rights-for-the-benefit-of-all" TargetMode="External"/><Relationship Id="rId143" Type="http://schemas.openxmlformats.org/officeDocument/2006/relationships/footer" Target="footer15.xml"/><Relationship Id="rId148" Type="http://schemas.openxmlformats.org/officeDocument/2006/relationships/header" Target="header23.xml"/><Relationship Id="rId15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s://www.treasury.nsw.gov.au/finance-resource/evaluation-policy-and-guidelines" TargetMode="External"/><Relationship Id="rId109" Type="http://schemas.openxmlformats.org/officeDocument/2006/relationships/hyperlink" Target="https://www.nhmrc.gov.au/about-us/resources/ethical-conduct-research-aboriginal-and-torres-strait-islander-peoples-and-communities" TargetMode="External"/><Relationship Id="rId34" Type="http://schemas.openxmlformats.org/officeDocument/2006/relationships/hyperlink" Target="https://www.safetyandquality.gov.au/standards/national-safety-and-quality-digital-mental-health-standards" TargetMode="External"/><Relationship Id="rId50" Type="http://schemas.openxmlformats.org/officeDocument/2006/relationships/hyperlink" Target="https://www.betterevaluation.org/tools-resources/creating-program-logic-models" TargetMode="External"/><Relationship Id="rId55" Type="http://schemas.openxmlformats.org/officeDocument/2006/relationships/image" Target="media/image9.png"/><Relationship Id="rId76" Type="http://schemas.openxmlformats.org/officeDocument/2006/relationships/hyperlink" Target="https://www.treasury.nsw.gov.au/sites/default/files/2023-07/202306_technical-note_outcome-evaluation-design.pdf" TargetMode="External"/><Relationship Id="rId97" Type="http://schemas.openxmlformats.org/officeDocument/2006/relationships/hyperlink" Target="https://www.aihw.gov.au/reports/australias-health/social-determinants-of-health" TargetMode="External"/><Relationship Id="rId104" Type="http://schemas.openxmlformats.org/officeDocument/2006/relationships/hyperlink" Target="https://s3.treasury.qld.gov.au/files/Queensland-Government-Program-Evaluation-Guidelines-2nd-edition-2020.pdf" TargetMode="External"/><Relationship Id="rId120" Type="http://schemas.openxmlformats.org/officeDocument/2006/relationships/hyperlink" Target="https://www.indigenoushpf.gov.au/" TargetMode="External"/><Relationship Id="rId125" Type="http://schemas.openxmlformats.org/officeDocument/2006/relationships/hyperlink" Target="https://www.mentalhealthcommission.gov.au/getmedia/17b27236-8660-48b3-b177-0bbd8c6fcdf1/Paid-Participation-Policy-revised-April-2020.pdf" TargetMode="External"/><Relationship Id="rId141" Type="http://schemas.openxmlformats.org/officeDocument/2006/relationships/hyperlink" Target="https://www.lelan.org.au/project/co-production-putting-principles-into-practice-in-mental-health-contexts/" TargetMode="External"/><Relationship Id="rId146" Type="http://schemas.openxmlformats.org/officeDocument/2006/relationships/header" Target="header22.xml"/><Relationship Id="rId7" Type="http://schemas.openxmlformats.org/officeDocument/2006/relationships/settings" Target="settings.xml"/><Relationship Id="rId71" Type="http://schemas.openxmlformats.org/officeDocument/2006/relationships/footer" Target="footer12.xml"/><Relationship Id="rId92" Type="http://schemas.openxmlformats.org/officeDocument/2006/relationships/image" Target="media/image16.png"/><Relationship Id="rId2" Type="http://schemas.openxmlformats.org/officeDocument/2006/relationships/customXml" Target="../customXml/item2.xml"/><Relationship Id="rId29" Type="http://schemas.openxmlformats.org/officeDocument/2006/relationships/hyperlink" Target="https://www.aihw.gov.au/reports-data/australias-health-performance/australias-health-performance-framework" TargetMode="External"/><Relationship Id="rId24" Type="http://schemas.openxmlformats.org/officeDocument/2006/relationships/header" Target="header6.xml"/><Relationship Id="rId40" Type="http://schemas.openxmlformats.org/officeDocument/2006/relationships/hyperlink" Target="https://www.treasury.qld.gov.au/resource/queensland-government-program-evaluation-guidelines/" TargetMode="External"/><Relationship Id="rId45" Type="http://schemas.openxmlformats.org/officeDocument/2006/relationships/header" Target="header7.xml"/><Relationship Id="rId66" Type="http://schemas.openxmlformats.org/officeDocument/2006/relationships/image" Target="media/image11.png"/><Relationship Id="rId87" Type="http://schemas.openxmlformats.org/officeDocument/2006/relationships/footer" Target="footer13.xml"/><Relationship Id="rId110" Type="http://schemas.openxmlformats.org/officeDocument/2006/relationships/hyperlink" Target="https://www.aes.asn.au/images/AES_FirstNations_Cultural_Framework_finalWEB_final.pdf" TargetMode="External"/><Relationship Id="rId115" Type="http://schemas.openxmlformats.org/officeDocument/2006/relationships/hyperlink" Target="https://evaluation.treasury.gov.au/toolkit/commonwealth-evaluation-toolkit" TargetMode="External"/><Relationship Id="rId131" Type="http://schemas.openxmlformats.org/officeDocument/2006/relationships/hyperlink" Target="https://www.headtohealth.gov.au/" TargetMode="External"/><Relationship Id="rId136" Type="http://schemas.openxmlformats.org/officeDocument/2006/relationships/hyperlink" Target="https://www.orygen.org.au/Training/Resources/Self-harm-and-suicide-prevention/Guidelines/Suicide-research" TargetMode="External"/><Relationship Id="rId61" Type="http://schemas.openxmlformats.org/officeDocument/2006/relationships/header" Target="header10.xml"/><Relationship Id="rId82" Type="http://schemas.openxmlformats.org/officeDocument/2006/relationships/hyperlink" Target="https://aifs.gov.au/resources/practice-guides/participatory-action-research" TargetMode="External"/><Relationship Id="rId152" Type="http://schemas.microsoft.com/office/2020/10/relationships/intelligence" Target="intelligence2.xml"/><Relationship Id="rId19" Type="http://schemas.openxmlformats.org/officeDocument/2006/relationships/footer" Target="footer5.xml"/><Relationship Id="rId14" Type="http://schemas.openxmlformats.org/officeDocument/2006/relationships/header" Target="header2.xml"/><Relationship Id="rId30" Type="http://schemas.openxmlformats.org/officeDocument/2006/relationships/hyperlink" Target="https://meteor.aihw.gov.au/content/721188" TargetMode="External"/><Relationship Id="rId35" Type="http://schemas.openxmlformats.org/officeDocument/2006/relationships/image" Target="media/image7.png"/><Relationship Id="rId56" Type="http://schemas.openxmlformats.org/officeDocument/2006/relationships/hyperlink" Target="https://re-aim.org/" TargetMode="External"/><Relationship Id="rId77" Type="http://schemas.openxmlformats.org/officeDocument/2006/relationships/hyperlink" Target="https://www.health.nsw.gov.au/research/Publications/study-design-guide.pdf" TargetMode="External"/><Relationship Id="rId100" Type="http://schemas.openxmlformats.org/officeDocument/2006/relationships/hyperlink" Target="https://evaluation.treasury.gov.au/about/commonwealth-evaluation-policy" TargetMode="External"/><Relationship Id="rId105" Type="http://schemas.openxmlformats.org/officeDocument/2006/relationships/hyperlink" Target="https://www.wa.gov.au/system/files/2021-01/evaluation-guide.pdf" TargetMode="External"/><Relationship Id="rId126" Type="http://schemas.openxmlformats.org/officeDocument/2006/relationships/hyperlink" Target="https://rosesintheocean.com.au/what-we-do/workshops/developing-a-lived-experience-expertise/" TargetMode="External"/><Relationship Id="rId147" Type="http://schemas.openxmlformats.org/officeDocument/2006/relationships/footer" Target="footer16.xml"/><Relationship Id="rId8" Type="http://schemas.openxmlformats.org/officeDocument/2006/relationships/webSettings" Target="webSettings.xml"/><Relationship Id="rId51" Type="http://schemas.openxmlformats.org/officeDocument/2006/relationships/header" Target="header9.xml"/><Relationship Id="rId72" Type="http://schemas.openxmlformats.org/officeDocument/2006/relationships/header" Target="header16.xml"/><Relationship Id="rId93" Type="http://schemas.openxmlformats.org/officeDocument/2006/relationships/hyperlink" Target="https://d1wqtxts1xzle7.cloudfront.net/34654727/Working_Together_Book-libre.pdf?1410110929=&amp;response-content-disposition=inline%3B+filename%3DWorking_Together_Aboriginal_Torres_Strai.pdf&amp;Expires=1698982670&amp;Signature=MQ28xehCpHjM83YZnUJKQTjrBsRkGBLvkRoKQPG8GiTrk2gFOA7FdunFSpQ6slD0eeJrxbj5eEffox43xKRMMqCJGggJ8uoFljrzb2XFXs-AElZupudYLkyN5y9ZeuM20Wc-t64hfkmv1i8Qu8jlAslzTsLm7-RufFUVcpbnM0uZZE94tDA-p0uoNmxJzD9AmBKmnVA33-L9cf5qLx2ONwUegpXBuNAIE1IOGJMKOo5KACnZQjEpTljgqHHqov3wIRni8TGZ9iSJLWmmWGs0HzX4rqk7Jjx4v9U85g-X2LQOYg0P-pTcA5ew4FYhRjkOnEHkzcU~cQFesGMc0hQCSg__&amp;Key-Pair-Id=APKAJLOHF5GGSLRBV4ZA" TargetMode="External"/><Relationship Id="rId98" Type="http://schemas.openxmlformats.org/officeDocument/2006/relationships/hyperlink" Target="https://www.datacommissioner.gov.au/share-data" TargetMode="External"/><Relationship Id="rId121" Type="http://schemas.openxmlformats.org/officeDocument/2006/relationships/hyperlink" Target="https://www.pc.gov.au/inquiries/completed/indigenous-evaluation/strategy/indigenous-evaluation-strategy.pdf" TargetMode="External"/><Relationship Id="rId142" Type="http://schemas.openxmlformats.org/officeDocument/2006/relationships/header" Target="header20.xml"/><Relationship Id="rId3" Type="http://schemas.openxmlformats.org/officeDocument/2006/relationships/customXml" Target="../customXml/item3.xml"/></Relationships>
</file>

<file path=word/_rels/footer10.xml.rels><?xml version="1.0" encoding="UTF-8" standalone="yes"?>
<Relationships xmlns="http://schemas.openxmlformats.org/package/2006/relationships"><Relationship Id="rId1" Type="http://schemas.openxmlformats.org/officeDocument/2006/relationships/image" Target="media/image4.jpg"/></Relationships>
</file>

<file path=word/_rels/footer11.xml.rels><?xml version="1.0" encoding="UTF-8" standalone="yes"?>
<Relationships xmlns="http://schemas.openxmlformats.org/package/2006/relationships"><Relationship Id="rId1" Type="http://schemas.openxmlformats.org/officeDocument/2006/relationships/image" Target="media/image4.jpg"/></Relationships>
</file>

<file path=word/_rels/footer12.xml.rels><?xml version="1.0" encoding="UTF-8" standalone="yes"?>
<Relationships xmlns="http://schemas.openxmlformats.org/package/2006/relationships"><Relationship Id="rId1" Type="http://schemas.openxmlformats.org/officeDocument/2006/relationships/image" Target="media/image4.jpg"/></Relationships>
</file>

<file path=word/_rels/footer13.xml.rels><?xml version="1.0" encoding="UTF-8" standalone="yes"?>
<Relationships xmlns="http://schemas.openxmlformats.org/package/2006/relationships"><Relationship Id="rId1" Type="http://schemas.openxmlformats.org/officeDocument/2006/relationships/image" Target="media/image4.jpg"/></Relationships>
</file>

<file path=word/_rels/footer14.xml.rels><?xml version="1.0" encoding="UTF-8" standalone="yes"?>
<Relationships xmlns="http://schemas.openxmlformats.org/package/2006/relationships"><Relationship Id="rId1" Type="http://schemas.openxmlformats.org/officeDocument/2006/relationships/image" Target="media/image4.jpg"/></Relationships>
</file>

<file path=word/_rels/footer15.xml.rels><?xml version="1.0" encoding="UTF-8" standalone="yes"?>
<Relationships xmlns="http://schemas.openxmlformats.org/package/2006/relationships"><Relationship Id="rId1" Type="http://schemas.openxmlformats.org/officeDocument/2006/relationships/image" Target="media/image4.jpg"/></Relationships>
</file>

<file path=word/_rels/footer16.xml.rels><?xml version="1.0" encoding="UTF-8" standalone="yes"?>
<Relationships xmlns="http://schemas.openxmlformats.org/package/2006/relationships"><Relationship Id="rId1" Type="http://schemas.openxmlformats.org/officeDocument/2006/relationships/image" Target="media/image4.jpg"/></Relationships>
</file>

<file path=word/_rels/footer17.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4.jpg"/></Relationships>
</file>

<file path=word/_rels/footer6.xml.rels><?xml version="1.0" encoding="UTF-8" standalone="yes"?>
<Relationships xmlns="http://schemas.openxmlformats.org/package/2006/relationships"><Relationship Id="rId1" Type="http://schemas.openxmlformats.org/officeDocument/2006/relationships/image" Target="media/image4.jpg"/></Relationships>
</file>

<file path=word/_rels/footer7.xml.rels><?xml version="1.0" encoding="UTF-8" standalone="yes"?>
<Relationships xmlns="http://schemas.openxmlformats.org/package/2006/relationships"><Relationship Id="rId1" Type="http://schemas.openxmlformats.org/officeDocument/2006/relationships/image" Target="media/image4.jpg"/></Relationships>
</file>

<file path=word/_rels/footer8.xml.rels><?xml version="1.0" encoding="UTF-8" standalone="yes"?>
<Relationships xmlns="http://schemas.openxmlformats.org/package/2006/relationships"><Relationship Id="rId1" Type="http://schemas.openxmlformats.org/officeDocument/2006/relationships/image" Target="media/image4.jpg"/></Relationships>
</file>

<file path=word/_rels/footer9.xml.rels><?xml version="1.0" encoding="UTF-8" standalone="yes"?>
<Relationships xmlns="http://schemas.openxmlformats.org/package/2006/relationships"><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13" Type="http://schemas.openxmlformats.org/officeDocument/2006/relationships/hyperlink" Target="https://doi.org/10.1186/1748-5908-4-50" TargetMode="External"/><Relationship Id="rId18" Type="http://schemas.openxmlformats.org/officeDocument/2006/relationships/hyperlink" Target="http://dx.doi.org/10.1177/1035719X1501500403" TargetMode="External"/><Relationship Id="rId26" Type="http://schemas.openxmlformats.org/officeDocument/2006/relationships/hyperlink" Target="https://openresearch-repository.anu.edu.au/bitstream/1885/148406/8/Defining_the_Indefinable_WEB2_FINAL.pdf" TargetMode="External"/><Relationship Id="rId39" Type="http://schemas.openxmlformats.org/officeDocument/2006/relationships/hyperlink" Target="https://pmc.gov.au/sites/default/files/publications/ias-evaluation-framework.pdf" TargetMode="External"/><Relationship Id="rId3" Type="http://schemas.openxmlformats.org/officeDocument/2006/relationships/hyperlink" Target="https://www.nhmrc.gov.au/about-us/publications/national-statement-ethical-conduct-human-research-2023" TargetMode="External"/><Relationship Id="rId21" Type="http://schemas.openxmlformats.org/officeDocument/2006/relationships/hyperlink" Target="https://www.unicef-irc.org/publications/754-comparative-case-studies-methodological-briefs-impact-evaluation-no-9.html" TargetMode="External"/><Relationship Id="rId34" Type="http://schemas.openxmlformats.org/officeDocument/2006/relationships/hyperlink" Target="https://www.nhmrc.gov.au/about-us/resources/ethical-considerations-quality-assurance-and-evaluation-activities" TargetMode="External"/><Relationship Id="rId42" Type="http://schemas.openxmlformats.org/officeDocument/2006/relationships/hyperlink" Target="https://www.linkedin.com/pulse/evaluating-mental-health-lived-experience-joanna-farmer" TargetMode="External"/><Relationship Id="rId47" Type="http://schemas.openxmlformats.org/officeDocument/2006/relationships/hyperlink" Target="https://www.gov.uk/government/uploads/system/uploads/attachment_data/file/248656/wp40-planning-eval-assessments.pdf" TargetMode="External"/><Relationship Id="rId7" Type="http://schemas.openxmlformats.org/officeDocument/2006/relationships/hyperlink" Target="https://aifs.gov.au/resources/practice-guides/needs-assessment" TargetMode="External"/><Relationship Id="rId12" Type="http://schemas.openxmlformats.org/officeDocument/2006/relationships/hyperlink" Target="https://pubmed.ncbi.nlm.nih.gov/?term=Lowery+JC&amp;cauthor_id=19664226" TargetMode="External"/><Relationship Id="rId17" Type="http://schemas.openxmlformats.org/officeDocument/2006/relationships/hyperlink" Target="https://www.betterevaluation.org/tools-resources/creating-rubrics" TargetMode="External"/><Relationship Id="rId25" Type="http://schemas.openxmlformats.org/officeDocument/2006/relationships/hyperlink" Target="https://www.researchgate.net/profile/Sarah-Bourke-2/publication/327225093_Evidence_Review_of_Indigenous_Culture_for_Health_and_Wellbeing/links/5d28b5e6a6fdcc2462da0f85/Evidence-Review-of-Indigenous-Culture-for-Health-and-Wellbeing.pdf" TargetMode="External"/><Relationship Id="rId33" Type="http://schemas.openxmlformats.org/officeDocument/2006/relationships/hyperlink" Target="https://www.nhmrc.gov.au/about-us/publications/national-statement-ethical-conduct-human-research-2023" TargetMode="External"/><Relationship Id="rId38" Type="http://schemas.openxmlformats.org/officeDocument/2006/relationships/hyperlink" Target="https://aiatsis.gov.au/sites/default/files/2022-02/aiatsis-code-ethics-jan22.pdf" TargetMode="External"/><Relationship Id="rId46" Type="http://schemas.openxmlformats.org/officeDocument/2006/relationships/hyperlink" Target="https://doi.org/10.1177/10497323231163735" TargetMode="External"/><Relationship Id="rId2" Type="http://schemas.openxmlformats.org/officeDocument/2006/relationships/hyperlink" Target="https://federalfinancialrelations.gov.au/agreements/mental-health-suicide-prevention-agreement" TargetMode="External"/><Relationship Id="rId16" Type="http://schemas.openxmlformats.org/officeDocument/2006/relationships/hyperlink" Target="http://www.communitymatters.com.au/RE_chapter.pdf" TargetMode="External"/><Relationship Id="rId20" Type="http://schemas.openxmlformats.org/officeDocument/2006/relationships/hyperlink" Target="https://www.betterevaluation.org/sites/default/files/choosing_appropriate_designs_and_methods_for_impact_evaluation_2015.pdf" TargetMode="External"/><Relationship Id="rId29" Type="http://schemas.openxmlformats.org/officeDocument/2006/relationships/hyperlink" Target="https://doi.org/10.1371/journal.pmed.1003606" TargetMode="External"/><Relationship Id="rId41" Type="http://schemas.openxmlformats.org/officeDocument/2006/relationships/hyperlink" Target="https://doi.org/10.1007/s11292-015-9238-7" TargetMode="External"/><Relationship Id="rId1" Type="http://schemas.openxmlformats.org/officeDocument/2006/relationships/hyperlink" Target="https://federalfinancialrelations.gov.au/agreements/mental-health-suicide-prevention-agreement" TargetMode="External"/><Relationship Id="rId6" Type="http://schemas.openxmlformats.org/officeDocument/2006/relationships/hyperlink" Target="https://doi.org/10.1186/s12888-023-04973-9" TargetMode="External"/><Relationship Id="rId11" Type="http://schemas.openxmlformats.org/officeDocument/2006/relationships/hyperlink" Target="https://pubmed.ncbi.nlm.nih.gov/?term=Alexander+JA&amp;cauthor_id=19664226" TargetMode="External"/><Relationship Id="rId24" Type="http://schemas.openxmlformats.org/officeDocument/2006/relationships/hyperlink" Target="http://www.dss.gov.au/sites/default/files/documents/06_2012/research_in_action.pdf" TargetMode="External"/><Relationship Id="rId32" Type="http://schemas.openxmlformats.org/officeDocument/2006/relationships/hyperlink" Target="https://blueknot.org.au/product/talking-about-trauma-guide-to-everyday-conversations-for-the-general-public-digital-download/" TargetMode="External"/><Relationship Id="rId37" Type="http://schemas.openxmlformats.org/officeDocument/2006/relationships/hyperlink" Target="https://www.nhmrc.gov.au/about-us/publications/national-statement-ethical-conduct-human-research-2023" TargetMode="External"/><Relationship Id="rId40" Type="http://schemas.openxmlformats.org/officeDocument/2006/relationships/hyperlink" Target="https://www.nhmrc.gov.au/about-us/resources/ethical-conduct-research-aboriginal-and-torres-strait-islander-peoples-and-communities" TargetMode="External"/><Relationship Id="rId45" Type="http://schemas.openxmlformats.org/officeDocument/2006/relationships/hyperlink" Target="https://doi.org/10.1186/s12888-023-04973-9" TargetMode="External"/><Relationship Id="rId5" Type="http://schemas.openxmlformats.org/officeDocument/2006/relationships/hyperlink" Target="https://www.treasury.nsw.gov.au/documents/tpg22-22-policy-and-guidelines-evaluation" TargetMode="External"/><Relationship Id="rId15" Type="http://schemas.openxmlformats.org/officeDocument/2006/relationships/hyperlink" Target="https://www.canada.ca/en/treasury-board-secretariat/services/audit-evaluation/evaluation-government-canada/theory-based-approaches-evaluation-concepts-practices.html" TargetMode="External"/><Relationship Id="rId23" Type="http://schemas.openxmlformats.org/officeDocument/2006/relationships/hyperlink" Target="https://aifs.gov.au/resources/practice-guides/participatory-action-research" TargetMode="External"/><Relationship Id="rId28" Type="http://schemas.openxmlformats.org/officeDocument/2006/relationships/hyperlink" Target="https://apps.who.int/gb/ebwha/pdf_files/EB152/B152_22-en.pdf" TargetMode="External"/><Relationship Id="rId36" Type="http://schemas.openxmlformats.org/officeDocument/2006/relationships/hyperlink" Target="https://aiatsis.gov.au/research/ethical-research" TargetMode="External"/><Relationship Id="rId49" Type="http://schemas.openxmlformats.org/officeDocument/2006/relationships/hyperlink" Target="https://doi.org/10.1007/s11292-015-9238-7" TargetMode="External"/><Relationship Id="rId10" Type="http://schemas.openxmlformats.org/officeDocument/2006/relationships/hyperlink" Target="https://pubmed.ncbi.nlm.nih.gov/?term=Kirsh+SR&amp;cauthor_id=19664226" TargetMode="External"/><Relationship Id="rId19" Type="http://schemas.openxmlformats.org/officeDocument/2006/relationships/hyperlink" Target="https://evaluation.treasury.gov.au/toolkit/randomised-controlled-trials" TargetMode="External"/><Relationship Id="rId31" Type="http://schemas.openxmlformats.org/officeDocument/2006/relationships/hyperlink" Target="https://www.saxinstitute.org.au/wp-content/uploads/2019_Suicide-Aftercare-Services-Report.pdf" TargetMode="External"/><Relationship Id="rId44" Type="http://schemas.openxmlformats.org/officeDocument/2006/relationships/hyperlink" Target="https://www.orygen.org.au/Training/Resources/Self-harm-and-suicide-prevention/Guidelines/Suicide-research" TargetMode="External"/><Relationship Id="rId4" Type="http://schemas.openxmlformats.org/officeDocument/2006/relationships/hyperlink" Target="https://www.oecd.org/development/peer-reviews/2754804.pdf" TargetMode="External"/><Relationship Id="rId9" Type="http://schemas.openxmlformats.org/officeDocument/2006/relationships/hyperlink" Target="https://pubmed.ncbi.nlm.nih.gov/?term=Keith+RE&amp;cauthor_id=19664226" TargetMode="External"/><Relationship Id="rId14" Type="http://schemas.openxmlformats.org/officeDocument/2006/relationships/hyperlink" Target="https://www.betterevaluation.org/en/blog/fools_gold_widely_touted_methodological_gold_standard" TargetMode="External"/><Relationship Id="rId22" Type="http://schemas.openxmlformats.org/officeDocument/2006/relationships/hyperlink" Target="https://www.pc.gov.au/inquiries/completed/indigenous-evaluation/strategy/indigenous-evaluation-strategy.pdf" TargetMode="External"/><Relationship Id="rId27" Type="http://schemas.openxmlformats.org/officeDocument/2006/relationships/hyperlink" Target="https://yulang.com.au/ngaa-bi-nya-evaluation-framework/" TargetMode="External"/><Relationship Id="rId30" Type="http://schemas.openxmlformats.org/officeDocument/2006/relationships/hyperlink" Target="https://doi.org/10.1007/s11292-015-9238-7" TargetMode="External"/><Relationship Id="rId35" Type="http://schemas.openxmlformats.org/officeDocument/2006/relationships/hyperlink" Target="https://www.ahmrc.org.au/wp-content/uploads/2021/02/AHMRC_Health-Ethics-guidelines-2023_01.pdf" TargetMode="External"/><Relationship Id="rId43" Type="http://schemas.openxmlformats.org/officeDocument/2006/relationships/hyperlink" Target="https://nmhccf.org.au/our-work/discussion-papers/the-lived-experience-governance-framework-centring-people-identity-and-human-rights-for-the-benefit-of-all" TargetMode="External"/><Relationship Id="rId48" Type="http://schemas.openxmlformats.org/officeDocument/2006/relationships/hyperlink" Target="http://www.unodc.org/documents/evaluation/Guidelines/Evaluability_Assessment_Template.pdf" TargetMode="External"/><Relationship Id="rId8" Type="http://schemas.openxmlformats.org/officeDocument/2006/relationships/hyperlink" Target="https://pubmed.ncbi.nlm.nih.gov/?term=Damschroder+LJ&amp;cauthor_id=1966422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1" Type="http://schemas.openxmlformats.org/officeDocument/2006/relationships/image" Target="media/image1.jpg"/></Relationships>
</file>

<file path=word/_rels/header13.xml.rels><?xml version="1.0" encoding="UTF-8" standalone="yes"?>
<Relationships xmlns="http://schemas.openxmlformats.org/package/2006/relationships"><Relationship Id="rId1" Type="http://schemas.openxmlformats.org/officeDocument/2006/relationships/image" Target="media/image1.jpg"/></Relationships>
</file>

<file path=word/_rels/header15.xml.rels><?xml version="1.0" encoding="UTF-8" standalone="yes"?>
<Relationships xmlns="http://schemas.openxmlformats.org/package/2006/relationships"><Relationship Id="rId1" Type="http://schemas.openxmlformats.org/officeDocument/2006/relationships/image" Target="media/image1.jpg"/></Relationships>
</file>

<file path=word/_rels/header16.xml.rels><?xml version="1.0" encoding="UTF-8" standalone="yes"?>
<Relationships xmlns="http://schemas.openxmlformats.org/package/2006/relationships"><Relationship Id="rId1" Type="http://schemas.openxmlformats.org/officeDocument/2006/relationships/image" Target="media/image1.jpg"/></Relationships>
</file>

<file path=word/_rels/header17.xml.rels><?xml version="1.0" encoding="UTF-8" standalone="yes"?>
<Relationships xmlns="http://schemas.openxmlformats.org/package/2006/relationships"><Relationship Id="rId1" Type="http://schemas.openxmlformats.org/officeDocument/2006/relationships/image" Target="media/image1.jpg"/></Relationships>
</file>

<file path=word/_rels/header18.xml.rels><?xml version="1.0" encoding="UTF-8" standalone="yes"?>
<Relationships xmlns="http://schemas.openxmlformats.org/package/2006/relationships"><Relationship Id="rId1" Type="http://schemas.openxmlformats.org/officeDocument/2006/relationships/image" Target="media/image1.jpg"/></Relationships>
</file>

<file path=word/_rels/header19.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1.jpg"/></Relationships>
</file>

<file path=word/_rels/header2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ARTD2019Theme">
  <a:themeElements>
    <a:clrScheme name="ARTD COLOURS 1">
      <a:dk1>
        <a:srgbClr val="FFFFFF"/>
      </a:dk1>
      <a:lt1>
        <a:srgbClr val="FFFFFF"/>
      </a:lt1>
      <a:dk2>
        <a:srgbClr val="000000"/>
      </a:dk2>
      <a:lt2>
        <a:srgbClr val="EAF5F7"/>
      </a:lt2>
      <a:accent1>
        <a:srgbClr val="005677"/>
      </a:accent1>
      <a:accent2>
        <a:srgbClr val="49A7C3"/>
      </a:accent2>
      <a:accent3>
        <a:srgbClr val="EA1C2D"/>
      </a:accent3>
      <a:accent4>
        <a:srgbClr val="ED6A22"/>
      </a:accent4>
      <a:accent5>
        <a:srgbClr val="202A44"/>
      </a:accent5>
      <a:accent6>
        <a:srgbClr val="B2B3B2"/>
      </a:accent6>
      <a:hlink>
        <a:srgbClr val="005677"/>
      </a:hlink>
      <a:folHlink>
        <a:srgbClr val="49A7C3"/>
      </a:folHlink>
    </a:clrScheme>
    <a:fontScheme name="ARTD_2015">
      <a:majorFont>
        <a:latin typeface="Segoe UI"/>
        <a:ea typeface=""/>
        <a:cs typeface="Arial"/>
      </a:majorFont>
      <a:minorFont>
        <a:latin typeface="Segoe UI"/>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8b5b77e8-63e1-4017-9239-c6b9b83bec15">
      <UserInfo>
        <DisplayName>Amanda Taylor-Short</DisplayName>
        <AccountId>29</AccountId>
        <AccountType/>
      </UserInfo>
      <UserInfo>
        <DisplayName>Alexandra Lorigan</DisplayName>
        <AccountId>14</AccountId>
        <AccountType/>
      </UserInfo>
      <UserInfo>
        <DisplayName>Rosie Dale</DisplayName>
        <AccountId>32</AccountId>
        <AccountType/>
      </UserInfo>
      <UserInfo>
        <DisplayName>Tracee Kresin</DisplayName>
        <AccountId>25</AccountId>
        <AccountType/>
      </UserInfo>
      <UserInfo>
        <DisplayName>Brendan Johnson</DisplayName>
        <AccountId>19</AccountId>
        <AccountType/>
      </UserInfo>
      <UserInfo>
        <DisplayName>Rosiel Elwyn</DisplayName>
        <AccountId>183</AccountId>
        <AccountType/>
      </UserInfo>
    </SharedWithUsers>
    <lcf76f155ced4ddcb4097134ff3c332f xmlns="3131bbf8-a857-471d-af55-a367e1cc6ed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C91AA01D6224D4CAB05B2CCFF7FB1EB" ma:contentTypeVersion="13" ma:contentTypeDescription="Create a new document." ma:contentTypeScope="" ma:versionID="d7e4aa214faa8cd38ab6403ffc7fc476">
  <xsd:schema xmlns:xsd="http://www.w3.org/2001/XMLSchema" xmlns:xs="http://www.w3.org/2001/XMLSchema" xmlns:p="http://schemas.microsoft.com/office/2006/metadata/properties" xmlns:ns2="3131bbf8-a857-471d-af55-a367e1cc6ed7" xmlns:ns3="8b5b77e8-63e1-4017-9239-c6b9b83bec15" targetNamespace="http://schemas.microsoft.com/office/2006/metadata/properties" ma:root="true" ma:fieldsID="f95349963773a1cf06d26631be8a871e" ns2:_="" ns3:_="">
    <xsd:import namespace="3131bbf8-a857-471d-af55-a367e1cc6ed7"/>
    <xsd:import namespace="8b5b77e8-63e1-4017-9239-c6b9b83bec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31bbf8-a857-471d-af55-a367e1cc6e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6a96a5f-6950-4f4f-978b-72bcf512c18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5b77e8-63e1-4017-9239-c6b9b83bec1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11DD3D-A250-4DC9-B895-A8D059B28598}">
  <ds:schemaRefs>
    <ds:schemaRef ds:uri="http://schemas.microsoft.com/sharepoint/v3/contenttype/forms"/>
  </ds:schemaRefs>
</ds:datastoreItem>
</file>

<file path=customXml/itemProps2.xml><?xml version="1.0" encoding="utf-8"?>
<ds:datastoreItem xmlns:ds="http://schemas.openxmlformats.org/officeDocument/2006/customXml" ds:itemID="{6954C024-340B-49CA-900F-DA68AF97E904}">
  <ds:schemaRefs>
    <ds:schemaRef ds:uri="http://schemas.openxmlformats.org/officeDocument/2006/bibliography"/>
  </ds:schemaRefs>
</ds:datastoreItem>
</file>

<file path=customXml/itemProps3.xml><?xml version="1.0" encoding="utf-8"?>
<ds:datastoreItem xmlns:ds="http://schemas.openxmlformats.org/officeDocument/2006/customXml" ds:itemID="{51D09C3F-A33E-42AB-9C4C-A14E56F68016}">
  <ds:schemaRefs>
    <ds:schemaRef ds:uri="http://schemas.microsoft.com/office/infopath/2007/PartnerControls"/>
    <ds:schemaRef ds:uri="http://purl.org/dc/elements/1.1/"/>
    <ds:schemaRef ds:uri="http://schemas.microsoft.com/office/2006/metadata/properties"/>
    <ds:schemaRef ds:uri="8b5b77e8-63e1-4017-9239-c6b9b83bec15"/>
    <ds:schemaRef ds:uri="http://schemas.microsoft.com/office/2006/documentManagement/types"/>
    <ds:schemaRef ds:uri="http://purl.org/dc/terms/"/>
    <ds:schemaRef ds:uri="3131bbf8-a857-471d-af55-a367e1cc6ed7"/>
    <ds:schemaRef ds:uri="http://purl.org/dc/dcmitype/"/>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66987727-5D49-4DD0-9AA3-FCE0AE89B0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31bbf8-a857-471d-af55-a367e1cc6ed7"/>
    <ds:schemaRef ds:uri="8b5b77e8-63e1-4017-9239-c6b9b83bec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104</Pages>
  <Words>30708</Words>
  <Characters>175036</Characters>
  <Application>Microsoft Office Word</Application>
  <DocSecurity>0</DocSecurity>
  <Lines>1458</Lines>
  <Paragraphs>410</Paragraphs>
  <ScaleCrop>false</ScaleCrop>
  <HeadingPairs>
    <vt:vector size="2" baseType="variant">
      <vt:variant>
        <vt:lpstr>Title</vt:lpstr>
      </vt:variant>
      <vt:variant>
        <vt:i4>1</vt:i4>
      </vt:variant>
    </vt:vector>
  </HeadingPairs>
  <TitlesOfParts>
    <vt:vector size="1" baseType="lpstr">
      <vt:lpstr>National Mental Health and Suicide Prevention Evaluation framework</vt:lpstr>
    </vt:vector>
  </TitlesOfParts>
  <Company/>
  <LinksUpToDate>false</LinksUpToDate>
  <CharactersWithSpaces>205334</CharactersWithSpaces>
  <SharedDoc>false</SharedDoc>
  <HLinks>
    <vt:vector size="1062" baseType="variant">
      <vt:variant>
        <vt:i4>5570589</vt:i4>
      </vt:variant>
      <vt:variant>
        <vt:i4>507</vt:i4>
      </vt:variant>
      <vt:variant>
        <vt:i4>0</vt:i4>
      </vt:variant>
      <vt:variant>
        <vt:i4>5</vt:i4>
      </vt:variant>
      <vt:variant>
        <vt:lpwstr>https://www.health.nsw.gov.au/mentalhealth/resources/Publications/mh-clsr-process-evaluation.pdf</vt:lpwstr>
      </vt:variant>
      <vt:variant>
        <vt:lpwstr/>
      </vt:variant>
      <vt:variant>
        <vt:i4>6815859</vt:i4>
      </vt:variant>
      <vt:variant>
        <vt:i4>504</vt:i4>
      </vt:variant>
      <vt:variant>
        <vt:i4>0</vt:i4>
      </vt:variant>
      <vt:variant>
        <vt:i4>5</vt:i4>
      </vt:variant>
      <vt:variant>
        <vt:lpwstr>https://www.lelan.org.au/project/co-production-putting-principles-into-practice-in-mental-health-contexts/</vt:lpwstr>
      </vt:variant>
      <vt:variant>
        <vt:lpwstr/>
      </vt:variant>
      <vt:variant>
        <vt:i4>7340144</vt:i4>
      </vt:variant>
      <vt:variant>
        <vt:i4>501</vt:i4>
      </vt:variant>
      <vt:variant>
        <vt:i4>0</vt:i4>
      </vt:variant>
      <vt:variant>
        <vt:i4>5</vt:i4>
      </vt:variant>
      <vt:variant>
        <vt:lpwstr>https://www.health.vic.gov.au/publications/mental-health-lived-experience-engagement-framework</vt:lpwstr>
      </vt:variant>
      <vt:variant>
        <vt:lpwstr/>
      </vt:variant>
      <vt:variant>
        <vt:i4>2228261</vt:i4>
      </vt:variant>
      <vt:variant>
        <vt:i4>498</vt:i4>
      </vt:variant>
      <vt:variant>
        <vt:i4>0</vt:i4>
      </vt:variant>
      <vt:variant>
        <vt:i4>5</vt:i4>
      </vt:variant>
      <vt:variant>
        <vt:lpwstr>https://www.nswmentalhealthcommission.com.au/report/lived-experience-framework</vt:lpwstr>
      </vt:variant>
      <vt:variant>
        <vt:lpwstr/>
      </vt:variant>
      <vt:variant>
        <vt:i4>2162807</vt:i4>
      </vt:variant>
      <vt:variant>
        <vt:i4>495</vt:i4>
      </vt:variant>
      <vt:variant>
        <vt:i4>0</vt:i4>
      </vt:variant>
      <vt:variant>
        <vt:i4>5</vt:i4>
      </vt:variant>
      <vt:variant>
        <vt:lpwstr>https://rosesintheocean.com.au/wp-content/uploads/2022/03/3.-LESEP-Implementation-ToolKit-v1.1-FEB-2022.pdf</vt:lpwstr>
      </vt:variant>
      <vt:variant>
        <vt:lpwstr/>
      </vt:variant>
      <vt:variant>
        <vt:i4>7733374</vt:i4>
      </vt:variant>
      <vt:variant>
        <vt:i4>492</vt:i4>
      </vt:variant>
      <vt:variant>
        <vt:i4>0</vt:i4>
      </vt:variant>
      <vt:variant>
        <vt:i4>5</vt:i4>
      </vt:variant>
      <vt:variant>
        <vt:lpwstr>https://rosesintheocean.com.au/resources-for-organisations/</vt:lpwstr>
      </vt:variant>
      <vt:variant>
        <vt:lpwstr/>
      </vt:variant>
      <vt:variant>
        <vt:i4>1572892</vt:i4>
      </vt:variant>
      <vt:variant>
        <vt:i4>489</vt:i4>
      </vt:variant>
      <vt:variant>
        <vt:i4>0</vt:i4>
      </vt:variant>
      <vt:variant>
        <vt:i4>5</vt:i4>
      </vt:variant>
      <vt:variant>
        <vt:lpwstr>https://www.orygen.org.au/Training/Resources/Self-harm-and-suicide-prevention/Guidelines/Suicide-research</vt:lpwstr>
      </vt:variant>
      <vt:variant>
        <vt:lpwstr/>
      </vt:variant>
      <vt:variant>
        <vt:i4>3997803</vt:i4>
      </vt:variant>
      <vt:variant>
        <vt:i4>486</vt:i4>
      </vt:variant>
      <vt:variant>
        <vt:i4>0</vt:i4>
      </vt:variant>
      <vt:variant>
        <vt:i4>5</vt:i4>
      </vt:variant>
      <vt:variant>
        <vt:lpwstr>https://nmhccf.org.au/our-work/discussion-papers/the-lived-experience-governance-framework-centring-people-identity-and-human-rights-for-the-benefit-of-all</vt:lpwstr>
      </vt:variant>
      <vt:variant>
        <vt:lpwstr/>
      </vt:variant>
      <vt:variant>
        <vt:i4>8323176</vt:i4>
      </vt:variant>
      <vt:variant>
        <vt:i4>483</vt:i4>
      </vt:variant>
      <vt:variant>
        <vt:i4>0</vt:i4>
      </vt:variant>
      <vt:variant>
        <vt:i4>5</vt:i4>
      </vt:variant>
      <vt:variant>
        <vt:lpwstr>https://www.blackdoginstitute.org.au/wp-content/uploads/2020/04/anu-lived-experience-framework.pdf</vt:lpwstr>
      </vt:variant>
      <vt:variant>
        <vt:lpwstr/>
      </vt:variant>
      <vt:variant>
        <vt:i4>3407985</vt:i4>
      </vt:variant>
      <vt:variant>
        <vt:i4>480</vt:i4>
      </vt:variant>
      <vt:variant>
        <vt:i4>0</vt:i4>
      </vt:variant>
      <vt:variant>
        <vt:i4>5</vt:i4>
      </vt:variant>
      <vt:variant>
        <vt:lpwstr>https://www.linkedin.com/pulse/evaluating-mental-health-lived-experience-joanna-farmer</vt:lpwstr>
      </vt:variant>
      <vt:variant>
        <vt:lpwstr/>
      </vt:variant>
      <vt:variant>
        <vt:i4>2752568</vt:i4>
      </vt:variant>
      <vt:variant>
        <vt:i4>477</vt:i4>
      </vt:variant>
      <vt:variant>
        <vt:i4>0</vt:i4>
      </vt:variant>
      <vt:variant>
        <vt:i4>5</vt:i4>
      </vt:variant>
      <vt:variant>
        <vt:lpwstr>https://doi.org/10.1186/s12888-023-04973-9</vt:lpwstr>
      </vt:variant>
      <vt:variant>
        <vt:lpwstr/>
      </vt:variant>
      <vt:variant>
        <vt:i4>1572954</vt:i4>
      </vt:variant>
      <vt:variant>
        <vt:i4>474</vt:i4>
      </vt:variant>
      <vt:variant>
        <vt:i4>0</vt:i4>
      </vt:variant>
      <vt:variant>
        <vt:i4>5</vt:i4>
      </vt:variant>
      <vt:variant>
        <vt:lpwstr>https://www.headtohealth.gov.au/</vt:lpwstr>
      </vt:variant>
      <vt:variant>
        <vt:lpwstr/>
      </vt:variant>
      <vt:variant>
        <vt:i4>6815793</vt:i4>
      </vt:variant>
      <vt:variant>
        <vt:i4>471</vt:i4>
      </vt:variant>
      <vt:variant>
        <vt:i4>0</vt:i4>
      </vt:variant>
      <vt:variant>
        <vt:i4>5</vt:i4>
      </vt:variant>
      <vt:variant>
        <vt:lpwstr>https://learn.livedexperienceaustralia.com.au/</vt:lpwstr>
      </vt:variant>
      <vt:variant>
        <vt:lpwstr/>
      </vt:variant>
      <vt:variant>
        <vt:i4>196675</vt:i4>
      </vt:variant>
      <vt:variant>
        <vt:i4>468</vt:i4>
      </vt:variant>
      <vt:variant>
        <vt:i4>0</vt:i4>
      </vt:variant>
      <vt:variant>
        <vt:i4>5</vt:i4>
      </vt:variant>
      <vt:variant>
        <vt:lpwstr>https://livedexperience.alivenetwork.com.au/training/</vt:lpwstr>
      </vt:variant>
      <vt:variant>
        <vt:lpwstr/>
      </vt:variant>
      <vt:variant>
        <vt:i4>4456517</vt:i4>
      </vt:variant>
      <vt:variant>
        <vt:i4>465</vt:i4>
      </vt:variant>
      <vt:variant>
        <vt:i4>0</vt:i4>
      </vt:variant>
      <vt:variant>
        <vt:i4>5</vt:i4>
      </vt:variant>
      <vt:variant>
        <vt:lpwstr>https://mhcsa.org.au/lived-experience-workforce-program/</vt:lpwstr>
      </vt:variant>
      <vt:variant>
        <vt:lpwstr>becoming-a-worker</vt:lpwstr>
      </vt:variant>
      <vt:variant>
        <vt:i4>7012459</vt:i4>
      </vt:variant>
      <vt:variant>
        <vt:i4>462</vt:i4>
      </vt:variant>
      <vt:variant>
        <vt:i4>0</vt:i4>
      </vt:variant>
      <vt:variant>
        <vt:i4>5</vt:i4>
      </vt:variant>
      <vt:variant>
        <vt:lpwstr>https://www.vmiac.org.au/new-lived-and-living-experience-workforce-program-new-training-and-community-of-practice/</vt:lpwstr>
      </vt:variant>
      <vt:variant>
        <vt:lpwstr/>
      </vt:variant>
      <vt:variant>
        <vt:i4>5898246</vt:i4>
      </vt:variant>
      <vt:variant>
        <vt:i4>459</vt:i4>
      </vt:variant>
      <vt:variant>
        <vt:i4>0</vt:i4>
      </vt:variant>
      <vt:variant>
        <vt:i4>5</vt:i4>
      </vt:variant>
      <vt:variant>
        <vt:lpwstr>https://rosesintheocean.com.au/what-we-do/workshops/developing-a-lived-experience-expertise/</vt:lpwstr>
      </vt:variant>
      <vt:variant>
        <vt:lpwstr/>
      </vt:variant>
      <vt:variant>
        <vt:i4>5374036</vt:i4>
      </vt:variant>
      <vt:variant>
        <vt:i4>456</vt:i4>
      </vt:variant>
      <vt:variant>
        <vt:i4>0</vt:i4>
      </vt:variant>
      <vt:variant>
        <vt:i4>5</vt:i4>
      </vt:variant>
      <vt:variant>
        <vt:lpwstr>https://www.mentalhealthcommission.gov.au/getmedia/17b27236-8660-48b3-b177-0bbd8c6fcdf1/Paid-Participation-Policy-revised-April-2020.pdf</vt:lpwstr>
      </vt:variant>
      <vt:variant>
        <vt:lpwstr/>
      </vt:variant>
      <vt:variant>
        <vt:i4>4128805</vt:i4>
      </vt:variant>
      <vt:variant>
        <vt:i4>453</vt:i4>
      </vt:variant>
      <vt:variant>
        <vt:i4>0</vt:i4>
      </vt:variant>
      <vt:variant>
        <vt:i4>5</vt:i4>
      </vt:variant>
      <vt:variant>
        <vt:lpwstr>https://www.gayaadhuwi.org.au/wp-content/uploads/2023/01/ATSISPEP-Report-Final-Web.pdf</vt:lpwstr>
      </vt:variant>
      <vt:variant>
        <vt:lpwstr/>
      </vt:variant>
      <vt:variant>
        <vt:i4>4653138</vt:i4>
      </vt:variant>
      <vt:variant>
        <vt:i4>450</vt:i4>
      </vt:variant>
      <vt:variant>
        <vt:i4>0</vt:i4>
      </vt:variant>
      <vt:variant>
        <vt:i4>5</vt:i4>
      </vt:variant>
      <vt:variant>
        <vt:lpwstr>https://www.niaa.gov.au/resource-centre/indigenous-affairs/national-strategic-framework-mental-health-social-emotional-wellbeing-2017-23</vt:lpwstr>
      </vt:variant>
      <vt:variant>
        <vt:lpwstr/>
      </vt:variant>
      <vt:variant>
        <vt:i4>5439565</vt:i4>
      </vt:variant>
      <vt:variant>
        <vt:i4>447</vt:i4>
      </vt:variant>
      <vt:variant>
        <vt:i4>0</vt:i4>
      </vt:variant>
      <vt:variant>
        <vt:i4>5</vt:i4>
      </vt:variant>
      <vt:variant>
        <vt:lpwstr>https://www.closingthegap.gov.au/</vt:lpwstr>
      </vt:variant>
      <vt:variant>
        <vt:lpwstr/>
      </vt:variant>
      <vt:variant>
        <vt:i4>2949230</vt:i4>
      </vt:variant>
      <vt:variant>
        <vt:i4>444</vt:i4>
      </vt:variant>
      <vt:variant>
        <vt:i4>0</vt:i4>
      </vt:variant>
      <vt:variant>
        <vt:i4>5</vt:i4>
      </vt:variant>
      <vt:variant>
        <vt:lpwstr>https://www.pc.gov.au/inquiries/completed/indigenous-evaluation/strategy/indigenous-evaluation-strategy.pdf</vt:lpwstr>
      </vt:variant>
      <vt:variant>
        <vt:lpwstr/>
      </vt:variant>
      <vt:variant>
        <vt:i4>6029391</vt:i4>
      </vt:variant>
      <vt:variant>
        <vt:i4>441</vt:i4>
      </vt:variant>
      <vt:variant>
        <vt:i4>0</vt:i4>
      </vt:variant>
      <vt:variant>
        <vt:i4>5</vt:i4>
      </vt:variant>
      <vt:variant>
        <vt:lpwstr>https://www.indigenoushpf.gov.au/</vt:lpwstr>
      </vt:variant>
      <vt:variant>
        <vt:lpwstr/>
      </vt:variant>
      <vt:variant>
        <vt:i4>3932279</vt:i4>
      </vt:variant>
      <vt:variant>
        <vt:i4>438</vt:i4>
      </vt:variant>
      <vt:variant>
        <vt:i4>0</vt:i4>
      </vt:variant>
      <vt:variant>
        <vt:i4>5</vt:i4>
      </vt:variant>
      <vt:variant>
        <vt:lpwstr>https://www.aihw.gov.au/reports-data/australias-health-performance/australias-health-performance-framework</vt:lpwstr>
      </vt:variant>
      <vt:variant>
        <vt:lpwstr/>
      </vt:variant>
      <vt:variant>
        <vt:i4>5373952</vt:i4>
      </vt:variant>
      <vt:variant>
        <vt:i4>435</vt:i4>
      </vt:variant>
      <vt:variant>
        <vt:i4>0</vt:i4>
      </vt:variant>
      <vt:variant>
        <vt:i4>5</vt:i4>
      </vt:variant>
      <vt:variant>
        <vt:lpwstr>https://meteor.aihw.gov.au/content/721188</vt:lpwstr>
      </vt:variant>
      <vt:variant>
        <vt:lpwstr/>
      </vt:variant>
      <vt:variant>
        <vt:i4>7798889</vt:i4>
      </vt:variant>
      <vt:variant>
        <vt:i4>432</vt:i4>
      </vt:variant>
      <vt:variant>
        <vt:i4>0</vt:i4>
      </vt:variant>
      <vt:variant>
        <vt:i4>5</vt:i4>
      </vt:variant>
      <vt:variant>
        <vt:lpwstr>https://www.finance.gov.au/government/managing-commonwealth-resources/planning-and-reporting/commonwealth-performance-framework/evaluation-commonwealth-rmg-130</vt:lpwstr>
      </vt:variant>
      <vt:variant>
        <vt:lpwstr/>
      </vt:variant>
      <vt:variant>
        <vt:i4>8323196</vt:i4>
      </vt:variant>
      <vt:variant>
        <vt:i4>429</vt:i4>
      </vt:variant>
      <vt:variant>
        <vt:i4>0</vt:i4>
      </vt:variant>
      <vt:variant>
        <vt:i4>5</vt:i4>
      </vt:variant>
      <vt:variant>
        <vt:lpwstr>https://www.betterevaluation.org/tools-resources/using-evaluation-findings</vt:lpwstr>
      </vt:variant>
      <vt:variant>
        <vt:lpwstr/>
      </vt:variant>
      <vt:variant>
        <vt:i4>3473441</vt:i4>
      </vt:variant>
      <vt:variant>
        <vt:i4>426</vt:i4>
      </vt:variant>
      <vt:variant>
        <vt:i4>0</vt:i4>
      </vt:variant>
      <vt:variant>
        <vt:i4>5</vt:i4>
      </vt:variant>
      <vt:variant>
        <vt:lpwstr>https://evaluation.treasury.gov.au/toolkit/commonwealth-evaluation-toolkit</vt:lpwstr>
      </vt:variant>
      <vt:variant>
        <vt:lpwstr/>
      </vt:variant>
      <vt:variant>
        <vt:i4>2228308</vt:i4>
      </vt:variant>
      <vt:variant>
        <vt:i4>423</vt:i4>
      </vt:variant>
      <vt:variant>
        <vt:i4>0</vt:i4>
      </vt:variant>
      <vt:variant>
        <vt:i4>5</vt:i4>
      </vt:variant>
      <vt:variant>
        <vt:lpwstr>https://aifs.gov.au/sites/default/files/publication-documents/2006_making_the_most_out_of_evaluation_nine_principles_0.pdf</vt:lpwstr>
      </vt:variant>
      <vt:variant>
        <vt:lpwstr/>
      </vt:variant>
      <vt:variant>
        <vt:i4>3473441</vt:i4>
      </vt:variant>
      <vt:variant>
        <vt:i4>420</vt:i4>
      </vt:variant>
      <vt:variant>
        <vt:i4>0</vt:i4>
      </vt:variant>
      <vt:variant>
        <vt:i4>5</vt:i4>
      </vt:variant>
      <vt:variant>
        <vt:lpwstr>https://evaluation.treasury.gov.au/toolkit/commonwealth-evaluation-toolkit</vt:lpwstr>
      </vt:variant>
      <vt:variant>
        <vt:lpwstr/>
      </vt:variant>
      <vt:variant>
        <vt:i4>1966160</vt:i4>
      </vt:variant>
      <vt:variant>
        <vt:i4>417</vt:i4>
      </vt:variant>
      <vt:variant>
        <vt:i4>0</vt:i4>
      </vt:variant>
      <vt:variant>
        <vt:i4>5</vt:i4>
      </vt:variant>
      <vt:variant>
        <vt:lpwstr>https://www.betterevaluation.org/frameworks-guides/rainbow-framework</vt:lpwstr>
      </vt:variant>
      <vt:variant>
        <vt:lpwstr/>
      </vt:variant>
      <vt:variant>
        <vt:i4>5308441</vt:i4>
      </vt:variant>
      <vt:variant>
        <vt:i4>414</vt:i4>
      </vt:variant>
      <vt:variant>
        <vt:i4>0</vt:i4>
      </vt:variant>
      <vt:variant>
        <vt:i4>5</vt:i4>
      </vt:variant>
      <vt:variant>
        <vt:lpwstr>https://www.niaa.gov.au/indigenous-affairs/closing-gap/implementation-measures/aps-wide-framework-indigenous-data-and-governance</vt:lpwstr>
      </vt:variant>
      <vt:variant>
        <vt:lpwstr/>
      </vt:variant>
      <vt:variant>
        <vt:i4>2162756</vt:i4>
      </vt:variant>
      <vt:variant>
        <vt:i4>411</vt:i4>
      </vt:variant>
      <vt:variant>
        <vt:i4>0</vt:i4>
      </vt:variant>
      <vt:variant>
        <vt:i4>5</vt:i4>
      </vt:variant>
      <vt:variant>
        <vt:lpwstr>https://www.aes.asn.au/images/AES_FirstNations_Cultural_Framework_finalWEB_final.pdf</vt:lpwstr>
      </vt:variant>
      <vt:variant>
        <vt:lpwstr/>
      </vt:variant>
      <vt:variant>
        <vt:i4>7798893</vt:i4>
      </vt:variant>
      <vt:variant>
        <vt:i4>408</vt:i4>
      </vt:variant>
      <vt:variant>
        <vt:i4>0</vt:i4>
      </vt:variant>
      <vt:variant>
        <vt:i4>5</vt:i4>
      </vt:variant>
      <vt:variant>
        <vt:lpwstr>https://www.nhmrc.gov.au/about-us/resources/ethical-conduct-research-aboriginal-and-torres-strait-islander-peoples-and-communities</vt:lpwstr>
      </vt:variant>
      <vt:variant>
        <vt:lpwstr/>
      </vt:variant>
      <vt:variant>
        <vt:i4>655436</vt:i4>
      </vt:variant>
      <vt:variant>
        <vt:i4>405</vt:i4>
      </vt:variant>
      <vt:variant>
        <vt:i4>0</vt:i4>
      </vt:variant>
      <vt:variant>
        <vt:i4>5</vt:i4>
      </vt:variant>
      <vt:variant>
        <vt:lpwstr>https://aiatsis.gov.au/sites/default/files/2022-02/aiatsis-code-ethics-jan22.pdf</vt:lpwstr>
      </vt:variant>
      <vt:variant>
        <vt:lpwstr/>
      </vt:variant>
      <vt:variant>
        <vt:i4>5898259</vt:i4>
      </vt:variant>
      <vt:variant>
        <vt:i4>402</vt:i4>
      </vt:variant>
      <vt:variant>
        <vt:i4>0</vt:i4>
      </vt:variant>
      <vt:variant>
        <vt:i4>5</vt:i4>
      </vt:variant>
      <vt:variant>
        <vt:lpwstr>https://www.nhmrc.gov.au/about-us/publications/national-statement-ethical-conduct-human-research-2023</vt:lpwstr>
      </vt:variant>
      <vt:variant>
        <vt:lpwstr/>
      </vt:variant>
      <vt:variant>
        <vt:i4>5374036</vt:i4>
      </vt:variant>
      <vt:variant>
        <vt:i4>399</vt:i4>
      </vt:variant>
      <vt:variant>
        <vt:i4>0</vt:i4>
      </vt:variant>
      <vt:variant>
        <vt:i4>5</vt:i4>
      </vt:variant>
      <vt:variant>
        <vt:lpwstr>https://www.mentalhealthcommission.gov.au/getmedia/17b27236-8660-48b3-b177-0bbd8c6fcdf1/Paid-Participation-Policy-revised-April-2020.pdf</vt:lpwstr>
      </vt:variant>
      <vt:variant>
        <vt:lpwstr/>
      </vt:variant>
      <vt:variant>
        <vt:i4>7274557</vt:i4>
      </vt:variant>
      <vt:variant>
        <vt:i4>396</vt:i4>
      </vt:variant>
      <vt:variant>
        <vt:i4>0</vt:i4>
      </vt:variant>
      <vt:variant>
        <vt:i4>5</vt:i4>
      </vt:variant>
      <vt:variant>
        <vt:lpwstr>https://www.wa.gov.au/system/files/2021-01/evaluation-guide.pdf</vt:lpwstr>
      </vt:variant>
      <vt:variant>
        <vt:lpwstr/>
      </vt:variant>
      <vt:variant>
        <vt:i4>196686</vt:i4>
      </vt:variant>
      <vt:variant>
        <vt:i4>393</vt:i4>
      </vt:variant>
      <vt:variant>
        <vt:i4>0</vt:i4>
      </vt:variant>
      <vt:variant>
        <vt:i4>5</vt:i4>
      </vt:variant>
      <vt:variant>
        <vt:lpwstr>https://s3.treasury.qld.gov.au/files/Queensland-Government-Program-Evaluation-Guidelines-2nd-edition-2020.pdf</vt:lpwstr>
      </vt:variant>
      <vt:variant>
        <vt:lpwstr/>
      </vt:variant>
      <vt:variant>
        <vt:i4>1572965</vt:i4>
      </vt:variant>
      <vt:variant>
        <vt:i4>390</vt:i4>
      </vt:variant>
      <vt:variant>
        <vt:i4>0</vt:i4>
      </vt:variant>
      <vt:variant>
        <vt:i4>5</vt:i4>
      </vt:variant>
      <vt:variant>
        <vt:lpwstr>https://www.google.com/url?sa=t&amp;rct=j&amp;q=&amp;esrc=s&amp;source=web&amp;cd=&amp;ved=2ahUKEwj67_7tpKGCAxVra2wGHWqGBT0QFnoECBIQAQ&amp;url=https%3A%2F%2Fwww.dtf.vic.gov.au%2Fsites%2Fdefault%2Ffiles%2F2018-03%2FEconomic%2520Evaluation%2520-%2520Technical%2520Guide.doc&amp;usg=AOvVaw2ZdDIyZ4S6EWd29eB19bdP&amp;opi=89978449</vt:lpwstr>
      </vt:variant>
      <vt:variant>
        <vt:lpwstr/>
      </vt:variant>
      <vt:variant>
        <vt:i4>6291573</vt:i4>
      </vt:variant>
      <vt:variant>
        <vt:i4>387</vt:i4>
      </vt:variant>
      <vt:variant>
        <vt:i4>0</vt:i4>
      </vt:variant>
      <vt:variant>
        <vt:i4>5</vt:i4>
      </vt:variant>
      <vt:variant>
        <vt:lpwstr>https://www.dtf.vic.gov.au/planning-budgeting-and-financial-reporting-frameworks/resource-management-framework</vt:lpwstr>
      </vt:variant>
      <vt:variant>
        <vt:lpwstr/>
      </vt:variant>
      <vt:variant>
        <vt:i4>7077907</vt:i4>
      </vt:variant>
      <vt:variant>
        <vt:i4>384</vt:i4>
      </vt:variant>
      <vt:variant>
        <vt:i4>0</vt:i4>
      </vt:variant>
      <vt:variant>
        <vt:i4>5</vt:i4>
      </vt:variant>
      <vt:variant>
        <vt:lpwstr>https://www.treasury.sa.gov.au/__data/assets/pdf_file/0007/515293/ti17-guidelines-part-b.pdf</vt:lpwstr>
      </vt:variant>
      <vt:variant>
        <vt:lpwstr/>
      </vt:variant>
      <vt:variant>
        <vt:i4>3145776</vt:i4>
      </vt:variant>
      <vt:variant>
        <vt:i4>381</vt:i4>
      </vt:variant>
      <vt:variant>
        <vt:i4>0</vt:i4>
      </vt:variant>
      <vt:variant>
        <vt:i4>5</vt:i4>
      </vt:variant>
      <vt:variant>
        <vt:lpwstr>https://evaluation.treasury.gov.au/about/commonwealth-evaluation-policy</vt:lpwstr>
      </vt:variant>
      <vt:variant>
        <vt:lpwstr/>
      </vt:variant>
      <vt:variant>
        <vt:i4>1769563</vt:i4>
      </vt:variant>
      <vt:variant>
        <vt:i4>378</vt:i4>
      </vt:variant>
      <vt:variant>
        <vt:i4>0</vt:i4>
      </vt:variant>
      <vt:variant>
        <vt:i4>5</vt:i4>
      </vt:variant>
      <vt:variant>
        <vt:lpwstr>https://www.treasury.nsw.gov.au/sites/default/files/2023-04/tpg23-08_nsw-government-guide-to-cost-benefit-analysis_202304.pdf</vt:lpwstr>
      </vt:variant>
      <vt:variant>
        <vt:lpwstr/>
      </vt:variant>
      <vt:variant>
        <vt:i4>2359347</vt:i4>
      </vt:variant>
      <vt:variant>
        <vt:i4>375</vt:i4>
      </vt:variant>
      <vt:variant>
        <vt:i4>0</vt:i4>
      </vt:variant>
      <vt:variant>
        <vt:i4>5</vt:i4>
      </vt:variant>
      <vt:variant>
        <vt:lpwstr>https://www.datacommissioner.gov.au/share-data</vt:lpwstr>
      </vt:variant>
      <vt:variant>
        <vt:lpwstr/>
      </vt:variant>
      <vt:variant>
        <vt:i4>3276920</vt:i4>
      </vt:variant>
      <vt:variant>
        <vt:i4>372</vt:i4>
      </vt:variant>
      <vt:variant>
        <vt:i4>0</vt:i4>
      </vt:variant>
      <vt:variant>
        <vt:i4>5</vt:i4>
      </vt:variant>
      <vt:variant>
        <vt:lpwstr>https://www.aihw.gov.au/reports/australias-health/social-determinants-of-health</vt:lpwstr>
      </vt:variant>
      <vt:variant>
        <vt:lpwstr/>
      </vt:variant>
      <vt:variant>
        <vt:i4>1114117</vt:i4>
      </vt:variant>
      <vt:variant>
        <vt:i4>369</vt:i4>
      </vt:variant>
      <vt:variant>
        <vt:i4>0</vt:i4>
      </vt:variant>
      <vt:variant>
        <vt:i4>5</vt:i4>
      </vt:variant>
      <vt:variant>
        <vt:lpwstr>https://www.abs.gov.au/statistics/health/mental-health/national-study-mental-health-and-wellbeing/latest-release</vt:lpwstr>
      </vt:variant>
      <vt:variant>
        <vt:lpwstr/>
      </vt:variant>
      <vt:variant>
        <vt:i4>8060977</vt:i4>
      </vt:variant>
      <vt:variant>
        <vt:i4>366</vt:i4>
      </vt:variant>
      <vt:variant>
        <vt:i4>0</vt:i4>
      </vt:variant>
      <vt:variant>
        <vt:i4>5</vt:i4>
      </vt:variant>
      <vt:variant>
        <vt:lpwstr>https://www.gayaadhuwi.org.au/wp-content/uploads/2023/01/The-Wharerata-Declaration.pdf</vt:lpwstr>
      </vt:variant>
      <vt:variant>
        <vt:lpwstr/>
      </vt:variant>
      <vt:variant>
        <vt:i4>1245186</vt:i4>
      </vt:variant>
      <vt:variant>
        <vt:i4>363</vt:i4>
      </vt:variant>
      <vt:variant>
        <vt:i4>0</vt:i4>
      </vt:variant>
      <vt:variant>
        <vt:i4>5</vt:i4>
      </vt:variant>
      <vt:variant>
        <vt:lpwstr>https://www.gayaadhuwi.org.au/wp-content/uploads/2022/09/WEB_gayaa_dhuwi_declaration_A4-2.pdf</vt:lpwstr>
      </vt:variant>
      <vt:variant>
        <vt:lpwstr/>
      </vt:variant>
      <vt:variant>
        <vt:i4>6815842</vt:i4>
      </vt:variant>
      <vt:variant>
        <vt:i4>360</vt:i4>
      </vt:variant>
      <vt:variant>
        <vt:i4>0</vt:i4>
      </vt:variant>
      <vt:variant>
        <vt:i4>5</vt:i4>
      </vt:variant>
      <vt:variant>
        <vt:lpwstr>https://d1wqtxts1xzle7.cloudfront.net/34654727/Working_Together_Book-libre.pdf?1410110929=&amp;response-content-disposition=inline%3B+filename%3DWorking_Together_Aboriginal_Torres_Strai.pdf&amp;Expires=1698982670&amp;Signature=MQ28xehCpHjM83YZnUJKQTjrBsRkGBLvkRoKQPG8GiTrk2gFOA7FdunFSpQ6slD0eeJrxbj5eEffox43xKRMMqCJGggJ8uoFljrzb2XFXs-AElZupudYLkyN5y9ZeuM20Wc-t64hfkmv1i8Qu8jlAslzTsLm7-RufFUVcpbnM0uZZE94tDA-p0uoNmxJzD9AmBKmnVA33-L9cf5qLx2ONwUegpXBuNAIE1IOGJMKOo5KACnZQjEpTljgqHHqov3wIRni8TGZ9iSJLWmmWGs0HzX4rqk7Jjx4v9U85g-X2LQOYg0P-pTcA5ew4FYhRjkOnEHkzcU~cQFesGMc0hQCSg__&amp;Key-Pair-Id=APKAJLOHF5GGSLRBV4ZA</vt:lpwstr>
      </vt:variant>
      <vt:variant>
        <vt:lpwstr>page=84</vt:lpwstr>
      </vt:variant>
      <vt:variant>
        <vt:i4>983120</vt:i4>
      </vt:variant>
      <vt:variant>
        <vt:i4>357</vt:i4>
      </vt:variant>
      <vt:variant>
        <vt:i4>0</vt:i4>
      </vt:variant>
      <vt:variant>
        <vt:i4>5</vt:i4>
      </vt:variant>
      <vt:variant>
        <vt:lpwstr>https://pmhc-mds.com/</vt:lpwstr>
      </vt:variant>
      <vt:variant>
        <vt:lpwstr/>
      </vt:variant>
      <vt:variant>
        <vt:i4>6029339</vt:i4>
      </vt:variant>
      <vt:variant>
        <vt:i4>354</vt:i4>
      </vt:variant>
      <vt:variant>
        <vt:i4>0</vt:i4>
      </vt:variant>
      <vt:variant>
        <vt:i4>5</vt:i4>
      </vt:variant>
      <vt:variant>
        <vt:lpwstr>https://www.amhocn.org/nocc-collection/nocc-measures</vt:lpwstr>
      </vt:variant>
      <vt:variant>
        <vt:lpwstr/>
      </vt:variant>
      <vt:variant>
        <vt:i4>7667744</vt:i4>
      </vt:variant>
      <vt:variant>
        <vt:i4>351</vt:i4>
      </vt:variant>
      <vt:variant>
        <vt:i4>0</vt:i4>
      </vt:variant>
      <vt:variant>
        <vt:i4>5</vt:i4>
      </vt:variant>
      <vt:variant>
        <vt:lpwstr>https://aifs.gov.au/resources/practice-guides/participatory-action-research</vt:lpwstr>
      </vt:variant>
      <vt:variant>
        <vt:lpwstr/>
      </vt:variant>
      <vt:variant>
        <vt:i4>5046278</vt:i4>
      </vt:variant>
      <vt:variant>
        <vt:i4>348</vt:i4>
      </vt:variant>
      <vt:variant>
        <vt:i4>0</vt:i4>
      </vt:variant>
      <vt:variant>
        <vt:i4>5</vt:i4>
      </vt:variant>
      <vt:variant>
        <vt:lpwstr>https://www.betterevaluation.org/tools-resources/conducting-mixed-method-evaluations</vt:lpwstr>
      </vt:variant>
      <vt:variant>
        <vt:lpwstr/>
      </vt:variant>
      <vt:variant>
        <vt:i4>5242975</vt:i4>
      </vt:variant>
      <vt:variant>
        <vt:i4>345</vt:i4>
      </vt:variant>
      <vt:variant>
        <vt:i4>0</vt:i4>
      </vt:variant>
      <vt:variant>
        <vt:i4>5</vt:i4>
      </vt:variant>
      <vt:variant>
        <vt:lpwstr>https://www.betterevaluation.org/methods-approaches/themes/impact-evaluation</vt:lpwstr>
      </vt:variant>
      <vt:variant>
        <vt:lpwstr/>
      </vt:variant>
      <vt:variant>
        <vt:i4>6619197</vt:i4>
      </vt:variant>
      <vt:variant>
        <vt:i4>342</vt:i4>
      </vt:variant>
      <vt:variant>
        <vt:i4>0</vt:i4>
      </vt:variant>
      <vt:variant>
        <vt:i4>5</vt:i4>
      </vt:variant>
      <vt:variant>
        <vt:lpwstr>https://www.health.nsw.gov.au/research/Publications/study-design-guide.pdf</vt:lpwstr>
      </vt:variant>
      <vt:variant>
        <vt:lpwstr/>
      </vt:variant>
      <vt:variant>
        <vt:i4>6029322</vt:i4>
      </vt:variant>
      <vt:variant>
        <vt:i4>339</vt:i4>
      </vt:variant>
      <vt:variant>
        <vt:i4>0</vt:i4>
      </vt:variant>
      <vt:variant>
        <vt:i4>5</vt:i4>
      </vt:variant>
      <vt:variant>
        <vt:lpwstr>https://www.treasury.nsw.gov.au/sites/default/files/2023-07/202306_technical-note_outcome-evaluation-design.pdf</vt:lpwstr>
      </vt:variant>
      <vt:variant>
        <vt:lpwstr/>
      </vt:variant>
      <vt:variant>
        <vt:i4>6619168</vt:i4>
      </vt:variant>
      <vt:variant>
        <vt:i4>336</vt:i4>
      </vt:variant>
      <vt:variant>
        <vt:i4>0</vt:i4>
      </vt:variant>
      <vt:variant>
        <vt:i4>5</vt:i4>
      </vt:variant>
      <vt:variant>
        <vt:lpwstr>https://www.betterevaluation.org/tools-resources/quasi-experimental-design-methods</vt:lpwstr>
      </vt:variant>
      <vt:variant>
        <vt:lpwstr/>
      </vt:variant>
      <vt:variant>
        <vt:i4>3932214</vt:i4>
      </vt:variant>
      <vt:variant>
        <vt:i4>333</vt:i4>
      </vt:variant>
      <vt:variant>
        <vt:i4>0</vt:i4>
      </vt:variant>
      <vt:variant>
        <vt:i4>5</vt:i4>
      </vt:variant>
      <vt:variant>
        <vt:lpwstr>https://evaluation.treasury.gov.au/toolkit/randomised-controlled-trials</vt:lpwstr>
      </vt:variant>
      <vt:variant>
        <vt:lpwstr/>
      </vt:variant>
      <vt:variant>
        <vt:i4>2752630</vt:i4>
      </vt:variant>
      <vt:variant>
        <vt:i4>330</vt:i4>
      </vt:variant>
      <vt:variant>
        <vt:i4>0</vt:i4>
      </vt:variant>
      <vt:variant>
        <vt:i4>5</vt:i4>
      </vt:variant>
      <vt:variant>
        <vt:lpwstr>https://www.betterevaluation.org/methods-approaches/approaches/randomised-controlled-trial</vt:lpwstr>
      </vt:variant>
      <vt:variant>
        <vt:lpwstr/>
      </vt:variant>
      <vt:variant>
        <vt:i4>6750249</vt:i4>
      </vt:variant>
      <vt:variant>
        <vt:i4>327</vt:i4>
      </vt:variant>
      <vt:variant>
        <vt:i4>0</vt:i4>
      </vt:variant>
      <vt:variant>
        <vt:i4>5</vt:i4>
      </vt:variant>
      <vt:variant>
        <vt:lpwstr>https://cfirguide.org/</vt:lpwstr>
      </vt:variant>
      <vt:variant>
        <vt:lpwstr/>
      </vt:variant>
      <vt:variant>
        <vt:i4>6750249</vt:i4>
      </vt:variant>
      <vt:variant>
        <vt:i4>324</vt:i4>
      </vt:variant>
      <vt:variant>
        <vt:i4>0</vt:i4>
      </vt:variant>
      <vt:variant>
        <vt:i4>5</vt:i4>
      </vt:variant>
      <vt:variant>
        <vt:lpwstr>https://cfirguide.org/</vt:lpwstr>
      </vt:variant>
      <vt:variant>
        <vt:lpwstr/>
      </vt:variant>
      <vt:variant>
        <vt:i4>5242889</vt:i4>
      </vt:variant>
      <vt:variant>
        <vt:i4>321</vt:i4>
      </vt:variant>
      <vt:variant>
        <vt:i4>0</vt:i4>
      </vt:variant>
      <vt:variant>
        <vt:i4>5</vt:i4>
      </vt:variant>
      <vt:variant>
        <vt:lpwstr>https://www.oecd.org/dac/evaluation/daccriteriaforevaluatingdevelopmentassistance.htm</vt:lpwstr>
      </vt:variant>
      <vt:variant>
        <vt:lpwstr/>
      </vt:variant>
      <vt:variant>
        <vt:i4>7340074</vt:i4>
      </vt:variant>
      <vt:variant>
        <vt:i4>318</vt:i4>
      </vt:variant>
      <vt:variant>
        <vt:i4>0</vt:i4>
      </vt:variant>
      <vt:variant>
        <vt:i4>5</vt:i4>
      </vt:variant>
      <vt:variant>
        <vt:lpwstr>https://re-aim.org/</vt:lpwstr>
      </vt:variant>
      <vt:variant>
        <vt:lpwstr/>
      </vt:variant>
      <vt:variant>
        <vt:i4>5570561</vt:i4>
      </vt:variant>
      <vt:variant>
        <vt:i4>315</vt:i4>
      </vt:variant>
      <vt:variant>
        <vt:i4>0</vt:i4>
      </vt:variant>
      <vt:variant>
        <vt:i4>5</vt:i4>
      </vt:variant>
      <vt:variant>
        <vt:lpwstr>https://www.pc.gov.au/inquiries/completed/indigenous-evaluation/strategy</vt:lpwstr>
      </vt:variant>
      <vt:variant>
        <vt:lpwstr/>
      </vt:variant>
      <vt:variant>
        <vt:i4>589919</vt:i4>
      </vt:variant>
      <vt:variant>
        <vt:i4>312</vt:i4>
      </vt:variant>
      <vt:variant>
        <vt:i4>0</vt:i4>
      </vt:variant>
      <vt:variant>
        <vt:i4>5</vt:i4>
      </vt:variant>
      <vt:variant>
        <vt:lpwstr>https://livedexperiencedigitallibrary.org.au/</vt:lpwstr>
      </vt:variant>
      <vt:variant>
        <vt:lpwstr/>
      </vt:variant>
      <vt:variant>
        <vt:i4>3997803</vt:i4>
      </vt:variant>
      <vt:variant>
        <vt:i4>309</vt:i4>
      </vt:variant>
      <vt:variant>
        <vt:i4>0</vt:i4>
      </vt:variant>
      <vt:variant>
        <vt:i4>5</vt:i4>
      </vt:variant>
      <vt:variant>
        <vt:lpwstr>https://nmhccf.org.au/our-work/discussion-papers/the-lived-experience-governance-framework-centring-people-identity-and-human-rights-for-the-benefit-of-all</vt:lpwstr>
      </vt:variant>
      <vt:variant>
        <vt:lpwstr/>
      </vt:variant>
      <vt:variant>
        <vt:i4>6881318</vt:i4>
      </vt:variant>
      <vt:variant>
        <vt:i4>306</vt:i4>
      </vt:variant>
      <vt:variant>
        <vt:i4>0</vt:i4>
      </vt:variant>
      <vt:variant>
        <vt:i4>5</vt:i4>
      </vt:variant>
      <vt:variant>
        <vt:lpwstr>https://www.betterevaluation.org/tools-resources/creating-program-logic-models</vt:lpwstr>
      </vt:variant>
      <vt:variant>
        <vt:lpwstr/>
      </vt:variant>
      <vt:variant>
        <vt:i4>7798889</vt:i4>
      </vt:variant>
      <vt:variant>
        <vt:i4>303</vt:i4>
      </vt:variant>
      <vt:variant>
        <vt:i4>0</vt:i4>
      </vt:variant>
      <vt:variant>
        <vt:i4>5</vt:i4>
      </vt:variant>
      <vt:variant>
        <vt:lpwstr>https://www.finance.gov.au/government/managing-commonwealth-resources/planning-and-reporting/commonwealth-performance-framework/evaluation-commonwealth-rmg-130</vt:lpwstr>
      </vt:variant>
      <vt:variant>
        <vt:lpwstr/>
      </vt:variant>
      <vt:variant>
        <vt:i4>4653057</vt:i4>
      </vt:variant>
      <vt:variant>
        <vt:i4>300</vt:i4>
      </vt:variant>
      <vt:variant>
        <vt:i4>0</vt:i4>
      </vt:variant>
      <vt:variant>
        <vt:i4>5</vt:i4>
      </vt:variant>
      <vt:variant>
        <vt:lpwstr>https://www.wa.gov.au/government/document-collections/program-evaluation</vt:lpwstr>
      </vt:variant>
      <vt:variant>
        <vt:lpwstr/>
      </vt:variant>
      <vt:variant>
        <vt:i4>7143480</vt:i4>
      </vt:variant>
      <vt:variant>
        <vt:i4>297</vt:i4>
      </vt:variant>
      <vt:variant>
        <vt:i4>0</vt:i4>
      </vt:variant>
      <vt:variant>
        <vt:i4>5</vt:i4>
      </vt:variant>
      <vt:variant>
        <vt:lpwstr>https://www.dtf.vic.gov.au/sites/default/files/document/Resource Management Framework 2023-2024.pdf</vt:lpwstr>
      </vt:variant>
      <vt:variant>
        <vt:lpwstr/>
      </vt:variant>
      <vt:variant>
        <vt:i4>6619171</vt:i4>
      </vt:variant>
      <vt:variant>
        <vt:i4>294</vt:i4>
      </vt:variant>
      <vt:variant>
        <vt:i4>0</vt:i4>
      </vt:variant>
      <vt:variant>
        <vt:i4>5</vt:i4>
      </vt:variant>
      <vt:variant>
        <vt:lpwstr>https://www.dpac.tas.gov.au/divisions/office_of_review_and_evaluation</vt:lpwstr>
      </vt:variant>
      <vt:variant>
        <vt:lpwstr/>
      </vt:variant>
      <vt:variant>
        <vt:i4>8126566</vt:i4>
      </vt:variant>
      <vt:variant>
        <vt:i4>291</vt:i4>
      </vt:variant>
      <vt:variant>
        <vt:i4>0</vt:i4>
      </vt:variant>
      <vt:variant>
        <vt:i4>5</vt:i4>
      </vt:variant>
      <vt:variant>
        <vt:lpwstr>https://www.dpc.sa.gov.au/responsibilities/economic-insight-and-evaluation</vt:lpwstr>
      </vt:variant>
      <vt:variant>
        <vt:lpwstr/>
      </vt:variant>
      <vt:variant>
        <vt:i4>458841</vt:i4>
      </vt:variant>
      <vt:variant>
        <vt:i4>288</vt:i4>
      </vt:variant>
      <vt:variant>
        <vt:i4>0</vt:i4>
      </vt:variant>
      <vt:variant>
        <vt:i4>5</vt:i4>
      </vt:variant>
      <vt:variant>
        <vt:lpwstr>https://www.treasury.qld.gov.au/resource/queensland-government-program-evaluation-guidelines/</vt:lpwstr>
      </vt:variant>
      <vt:variant>
        <vt:lpwstr/>
      </vt:variant>
      <vt:variant>
        <vt:i4>1048658</vt:i4>
      </vt:variant>
      <vt:variant>
        <vt:i4>285</vt:i4>
      </vt:variant>
      <vt:variant>
        <vt:i4>0</vt:i4>
      </vt:variant>
      <vt:variant>
        <vt:i4>5</vt:i4>
      </vt:variant>
      <vt:variant>
        <vt:lpwstr>https://www.treasury.nsw.gov.au/finance-resource/evaluation-policy-and-guidelines</vt:lpwstr>
      </vt:variant>
      <vt:variant>
        <vt:lpwstr/>
      </vt:variant>
      <vt:variant>
        <vt:i4>7405675</vt:i4>
      </vt:variant>
      <vt:variant>
        <vt:i4>282</vt:i4>
      </vt:variant>
      <vt:variant>
        <vt:i4>0</vt:i4>
      </vt:variant>
      <vt:variant>
        <vt:i4>5</vt:i4>
      </vt:variant>
      <vt:variant>
        <vt:lpwstr>https://treasury.nt.gov.au/dtf/financial-management-group/program-evaluation-unit/framework-and-toolkit</vt:lpwstr>
      </vt:variant>
      <vt:variant>
        <vt:lpwstr/>
      </vt:variant>
      <vt:variant>
        <vt:i4>7798889</vt:i4>
      </vt:variant>
      <vt:variant>
        <vt:i4>279</vt:i4>
      </vt:variant>
      <vt:variant>
        <vt:i4>0</vt:i4>
      </vt:variant>
      <vt:variant>
        <vt:i4>5</vt:i4>
      </vt:variant>
      <vt:variant>
        <vt:lpwstr>https://www.finance.gov.au/government/managing-commonwealth-resources/planning-and-reporting/commonwealth-performance-framework/evaluation-commonwealth-rmg-130</vt:lpwstr>
      </vt:variant>
      <vt:variant>
        <vt:lpwstr/>
      </vt:variant>
      <vt:variant>
        <vt:i4>5832752</vt:i4>
      </vt:variant>
      <vt:variant>
        <vt:i4>276</vt:i4>
      </vt:variant>
      <vt:variant>
        <vt:i4>0</vt:i4>
      </vt:variant>
      <vt:variant>
        <vt:i4>5</vt:i4>
      </vt:variant>
      <vt:variant>
        <vt:lpwstr>http://www.cmd.act.gov.au/__data/assets/pdf_file/0004/175432/ACT-Evaluation-Policy-Guidelines.pdf</vt:lpwstr>
      </vt:variant>
      <vt:variant>
        <vt:lpwstr/>
      </vt:variant>
      <vt:variant>
        <vt:i4>458757</vt:i4>
      </vt:variant>
      <vt:variant>
        <vt:i4>273</vt:i4>
      </vt:variant>
      <vt:variant>
        <vt:i4>0</vt:i4>
      </vt:variant>
      <vt:variant>
        <vt:i4>5</vt:i4>
      </vt:variant>
      <vt:variant>
        <vt:lpwstr>https://www.health.gov.au/resources/publications/national-standards-for-mental-health-services-2010-and-implementation-guidelines?language=en</vt:lpwstr>
      </vt:variant>
      <vt:variant>
        <vt:lpwstr/>
      </vt:variant>
      <vt:variant>
        <vt:i4>262227</vt:i4>
      </vt:variant>
      <vt:variant>
        <vt:i4>270</vt:i4>
      </vt:variant>
      <vt:variant>
        <vt:i4>0</vt:i4>
      </vt:variant>
      <vt:variant>
        <vt:i4>5</vt:i4>
      </vt:variant>
      <vt:variant>
        <vt:lpwstr>https://www.safetyandquality.gov.au/</vt:lpwstr>
      </vt:variant>
      <vt:variant>
        <vt:lpwstr/>
      </vt:variant>
      <vt:variant>
        <vt:i4>5373952</vt:i4>
      </vt:variant>
      <vt:variant>
        <vt:i4>267</vt:i4>
      </vt:variant>
      <vt:variant>
        <vt:i4>0</vt:i4>
      </vt:variant>
      <vt:variant>
        <vt:i4>5</vt:i4>
      </vt:variant>
      <vt:variant>
        <vt:lpwstr>https://meteor.aihw.gov.au/content/721188</vt:lpwstr>
      </vt:variant>
      <vt:variant>
        <vt:lpwstr/>
      </vt:variant>
      <vt:variant>
        <vt:i4>3932279</vt:i4>
      </vt:variant>
      <vt:variant>
        <vt:i4>264</vt:i4>
      </vt:variant>
      <vt:variant>
        <vt:i4>0</vt:i4>
      </vt:variant>
      <vt:variant>
        <vt:i4>5</vt:i4>
      </vt:variant>
      <vt:variant>
        <vt:lpwstr>https://www.aihw.gov.au/reports-data/australias-health-performance/australias-health-performance-framework</vt:lpwstr>
      </vt:variant>
      <vt:variant>
        <vt:lpwstr/>
      </vt:variant>
      <vt:variant>
        <vt:i4>5373952</vt:i4>
      </vt:variant>
      <vt:variant>
        <vt:i4>261</vt:i4>
      </vt:variant>
      <vt:variant>
        <vt:i4>0</vt:i4>
      </vt:variant>
      <vt:variant>
        <vt:i4>5</vt:i4>
      </vt:variant>
      <vt:variant>
        <vt:lpwstr>https://meteor.aihw.gov.au/content/721188</vt:lpwstr>
      </vt:variant>
      <vt:variant>
        <vt:lpwstr/>
      </vt:variant>
      <vt:variant>
        <vt:i4>3932279</vt:i4>
      </vt:variant>
      <vt:variant>
        <vt:i4>258</vt:i4>
      </vt:variant>
      <vt:variant>
        <vt:i4>0</vt:i4>
      </vt:variant>
      <vt:variant>
        <vt:i4>5</vt:i4>
      </vt:variant>
      <vt:variant>
        <vt:lpwstr>https://www.aihw.gov.au/reports-data/australias-health-performance/australias-health-performance-framework</vt:lpwstr>
      </vt:variant>
      <vt:variant>
        <vt:lpwstr/>
      </vt:variant>
      <vt:variant>
        <vt:i4>983120</vt:i4>
      </vt:variant>
      <vt:variant>
        <vt:i4>255</vt:i4>
      </vt:variant>
      <vt:variant>
        <vt:i4>0</vt:i4>
      </vt:variant>
      <vt:variant>
        <vt:i4>5</vt:i4>
      </vt:variant>
      <vt:variant>
        <vt:lpwstr>https://pmhc-mds.com/</vt:lpwstr>
      </vt:variant>
      <vt:variant>
        <vt:lpwstr/>
      </vt:variant>
      <vt:variant>
        <vt:i4>6029339</vt:i4>
      </vt:variant>
      <vt:variant>
        <vt:i4>252</vt:i4>
      </vt:variant>
      <vt:variant>
        <vt:i4>0</vt:i4>
      </vt:variant>
      <vt:variant>
        <vt:i4>5</vt:i4>
      </vt:variant>
      <vt:variant>
        <vt:lpwstr>https://www.amhocn.org/nocc-collection/nocc-measures</vt:lpwstr>
      </vt:variant>
      <vt:variant>
        <vt:lpwstr/>
      </vt:variant>
      <vt:variant>
        <vt:i4>7798889</vt:i4>
      </vt:variant>
      <vt:variant>
        <vt:i4>249</vt:i4>
      </vt:variant>
      <vt:variant>
        <vt:i4>0</vt:i4>
      </vt:variant>
      <vt:variant>
        <vt:i4>5</vt:i4>
      </vt:variant>
      <vt:variant>
        <vt:lpwstr>https://www.finance.gov.au/government/managing-commonwealth-resources/planning-and-reporting/commonwealth-performance-framework/evaluation-commonwealth-rmg-130</vt:lpwstr>
      </vt:variant>
      <vt:variant>
        <vt:lpwstr/>
      </vt:variant>
      <vt:variant>
        <vt:i4>3539053</vt:i4>
      </vt:variant>
      <vt:variant>
        <vt:i4>246</vt:i4>
      </vt:variant>
      <vt:variant>
        <vt:i4>0</vt:i4>
      </vt:variant>
      <vt:variant>
        <vt:i4>5</vt:i4>
      </vt:variant>
      <vt:variant>
        <vt:lpwstr>https://www.pc.gov.au/inquiries/completed/mental-health/report</vt:lpwstr>
      </vt:variant>
      <vt:variant>
        <vt:lpwstr/>
      </vt:variant>
      <vt:variant>
        <vt:i4>1114169</vt:i4>
      </vt:variant>
      <vt:variant>
        <vt:i4>236</vt:i4>
      </vt:variant>
      <vt:variant>
        <vt:i4>0</vt:i4>
      </vt:variant>
      <vt:variant>
        <vt:i4>5</vt:i4>
      </vt:variant>
      <vt:variant>
        <vt:lpwstr/>
      </vt:variant>
      <vt:variant>
        <vt:lpwstr>_Toc149919020</vt:lpwstr>
      </vt:variant>
      <vt:variant>
        <vt:i4>1179705</vt:i4>
      </vt:variant>
      <vt:variant>
        <vt:i4>230</vt:i4>
      </vt:variant>
      <vt:variant>
        <vt:i4>0</vt:i4>
      </vt:variant>
      <vt:variant>
        <vt:i4>5</vt:i4>
      </vt:variant>
      <vt:variant>
        <vt:lpwstr/>
      </vt:variant>
      <vt:variant>
        <vt:lpwstr>_Toc149919019</vt:lpwstr>
      </vt:variant>
      <vt:variant>
        <vt:i4>1179705</vt:i4>
      </vt:variant>
      <vt:variant>
        <vt:i4>224</vt:i4>
      </vt:variant>
      <vt:variant>
        <vt:i4>0</vt:i4>
      </vt:variant>
      <vt:variant>
        <vt:i4>5</vt:i4>
      </vt:variant>
      <vt:variant>
        <vt:lpwstr/>
      </vt:variant>
      <vt:variant>
        <vt:lpwstr>_Toc149919018</vt:lpwstr>
      </vt:variant>
      <vt:variant>
        <vt:i4>1179705</vt:i4>
      </vt:variant>
      <vt:variant>
        <vt:i4>218</vt:i4>
      </vt:variant>
      <vt:variant>
        <vt:i4>0</vt:i4>
      </vt:variant>
      <vt:variant>
        <vt:i4>5</vt:i4>
      </vt:variant>
      <vt:variant>
        <vt:lpwstr/>
      </vt:variant>
      <vt:variant>
        <vt:lpwstr>_Toc149919017</vt:lpwstr>
      </vt:variant>
      <vt:variant>
        <vt:i4>1179705</vt:i4>
      </vt:variant>
      <vt:variant>
        <vt:i4>212</vt:i4>
      </vt:variant>
      <vt:variant>
        <vt:i4>0</vt:i4>
      </vt:variant>
      <vt:variant>
        <vt:i4>5</vt:i4>
      </vt:variant>
      <vt:variant>
        <vt:lpwstr/>
      </vt:variant>
      <vt:variant>
        <vt:lpwstr>_Toc149919016</vt:lpwstr>
      </vt:variant>
      <vt:variant>
        <vt:i4>1179705</vt:i4>
      </vt:variant>
      <vt:variant>
        <vt:i4>206</vt:i4>
      </vt:variant>
      <vt:variant>
        <vt:i4>0</vt:i4>
      </vt:variant>
      <vt:variant>
        <vt:i4>5</vt:i4>
      </vt:variant>
      <vt:variant>
        <vt:lpwstr/>
      </vt:variant>
      <vt:variant>
        <vt:lpwstr>_Toc149919015</vt:lpwstr>
      </vt:variant>
      <vt:variant>
        <vt:i4>1179705</vt:i4>
      </vt:variant>
      <vt:variant>
        <vt:i4>200</vt:i4>
      </vt:variant>
      <vt:variant>
        <vt:i4>0</vt:i4>
      </vt:variant>
      <vt:variant>
        <vt:i4>5</vt:i4>
      </vt:variant>
      <vt:variant>
        <vt:lpwstr/>
      </vt:variant>
      <vt:variant>
        <vt:lpwstr>_Toc149919014</vt:lpwstr>
      </vt:variant>
      <vt:variant>
        <vt:i4>1179705</vt:i4>
      </vt:variant>
      <vt:variant>
        <vt:i4>194</vt:i4>
      </vt:variant>
      <vt:variant>
        <vt:i4>0</vt:i4>
      </vt:variant>
      <vt:variant>
        <vt:i4>5</vt:i4>
      </vt:variant>
      <vt:variant>
        <vt:lpwstr/>
      </vt:variant>
      <vt:variant>
        <vt:lpwstr>_Toc149919013</vt:lpwstr>
      </vt:variant>
      <vt:variant>
        <vt:i4>1179705</vt:i4>
      </vt:variant>
      <vt:variant>
        <vt:i4>188</vt:i4>
      </vt:variant>
      <vt:variant>
        <vt:i4>0</vt:i4>
      </vt:variant>
      <vt:variant>
        <vt:i4>5</vt:i4>
      </vt:variant>
      <vt:variant>
        <vt:lpwstr/>
      </vt:variant>
      <vt:variant>
        <vt:lpwstr>_Toc149919012</vt:lpwstr>
      </vt:variant>
      <vt:variant>
        <vt:i4>1179705</vt:i4>
      </vt:variant>
      <vt:variant>
        <vt:i4>182</vt:i4>
      </vt:variant>
      <vt:variant>
        <vt:i4>0</vt:i4>
      </vt:variant>
      <vt:variant>
        <vt:i4>5</vt:i4>
      </vt:variant>
      <vt:variant>
        <vt:lpwstr/>
      </vt:variant>
      <vt:variant>
        <vt:lpwstr>_Toc149919011</vt:lpwstr>
      </vt:variant>
      <vt:variant>
        <vt:i4>1179705</vt:i4>
      </vt:variant>
      <vt:variant>
        <vt:i4>176</vt:i4>
      </vt:variant>
      <vt:variant>
        <vt:i4>0</vt:i4>
      </vt:variant>
      <vt:variant>
        <vt:i4>5</vt:i4>
      </vt:variant>
      <vt:variant>
        <vt:lpwstr/>
      </vt:variant>
      <vt:variant>
        <vt:lpwstr>_Toc149919010</vt:lpwstr>
      </vt:variant>
      <vt:variant>
        <vt:i4>1245241</vt:i4>
      </vt:variant>
      <vt:variant>
        <vt:i4>170</vt:i4>
      </vt:variant>
      <vt:variant>
        <vt:i4>0</vt:i4>
      </vt:variant>
      <vt:variant>
        <vt:i4>5</vt:i4>
      </vt:variant>
      <vt:variant>
        <vt:lpwstr/>
      </vt:variant>
      <vt:variant>
        <vt:lpwstr>_Toc149919009</vt:lpwstr>
      </vt:variant>
      <vt:variant>
        <vt:i4>1245241</vt:i4>
      </vt:variant>
      <vt:variant>
        <vt:i4>164</vt:i4>
      </vt:variant>
      <vt:variant>
        <vt:i4>0</vt:i4>
      </vt:variant>
      <vt:variant>
        <vt:i4>5</vt:i4>
      </vt:variant>
      <vt:variant>
        <vt:lpwstr/>
      </vt:variant>
      <vt:variant>
        <vt:lpwstr>_Toc149919008</vt:lpwstr>
      </vt:variant>
      <vt:variant>
        <vt:i4>1245241</vt:i4>
      </vt:variant>
      <vt:variant>
        <vt:i4>158</vt:i4>
      </vt:variant>
      <vt:variant>
        <vt:i4>0</vt:i4>
      </vt:variant>
      <vt:variant>
        <vt:i4>5</vt:i4>
      </vt:variant>
      <vt:variant>
        <vt:lpwstr/>
      </vt:variant>
      <vt:variant>
        <vt:lpwstr>_Toc149919007</vt:lpwstr>
      </vt:variant>
      <vt:variant>
        <vt:i4>1245241</vt:i4>
      </vt:variant>
      <vt:variant>
        <vt:i4>152</vt:i4>
      </vt:variant>
      <vt:variant>
        <vt:i4>0</vt:i4>
      </vt:variant>
      <vt:variant>
        <vt:i4>5</vt:i4>
      </vt:variant>
      <vt:variant>
        <vt:lpwstr/>
      </vt:variant>
      <vt:variant>
        <vt:lpwstr>_Toc149919006</vt:lpwstr>
      </vt:variant>
      <vt:variant>
        <vt:i4>1245241</vt:i4>
      </vt:variant>
      <vt:variant>
        <vt:i4>146</vt:i4>
      </vt:variant>
      <vt:variant>
        <vt:i4>0</vt:i4>
      </vt:variant>
      <vt:variant>
        <vt:i4>5</vt:i4>
      </vt:variant>
      <vt:variant>
        <vt:lpwstr/>
      </vt:variant>
      <vt:variant>
        <vt:lpwstr>_Toc149919005</vt:lpwstr>
      </vt:variant>
      <vt:variant>
        <vt:i4>1245241</vt:i4>
      </vt:variant>
      <vt:variant>
        <vt:i4>140</vt:i4>
      </vt:variant>
      <vt:variant>
        <vt:i4>0</vt:i4>
      </vt:variant>
      <vt:variant>
        <vt:i4>5</vt:i4>
      </vt:variant>
      <vt:variant>
        <vt:lpwstr/>
      </vt:variant>
      <vt:variant>
        <vt:lpwstr>_Toc149919004</vt:lpwstr>
      </vt:variant>
      <vt:variant>
        <vt:i4>1245241</vt:i4>
      </vt:variant>
      <vt:variant>
        <vt:i4>134</vt:i4>
      </vt:variant>
      <vt:variant>
        <vt:i4>0</vt:i4>
      </vt:variant>
      <vt:variant>
        <vt:i4>5</vt:i4>
      </vt:variant>
      <vt:variant>
        <vt:lpwstr/>
      </vt:variant>
      <vt:variant>
        <vt:lpwstr>_Toc149919003</vt:lpwstr>
      </vt:variant>
      <vt:variant>
        <vt:i4>1245241</vt:i4>
      </vt:variant>
      <vt:variant>
        <vt:i4>128</vt:i4>
      </vt:variant>
      <vt:variant>
        <vt:i4>0</vt:i4>
      </vt:variant>
      <vt:variant>
        <vt:i4>5</vt:i4>
      </vt:variant>
      <vt:variant>
        <vt:lpwstr/>
      </vt:variant>
      <vt:variant>
        <vt:lpwstr>_Toc149919002</vt:lpwstr>
      </vt:variant>
      <vt:variant>
        <vt:i4>1245241</vt:i4>
      </vt:variant>
      <vt:variant>
        <vt:i4>122</vt:i4>
      </vt:variant>
      <vt:variant>
        <vt:i4>0</vt:i4>
      </vt:variant>
      <vt:variant>
        <vt:i4>5</vt:i4>
      </vt:variant>
      <vt:variant>
        <vt:lpwstr/>
      </vt:variant>
      <vt:variant>
        <vt:lpwstr>_Toc149919001</vt:lpwstr>
      </vt:variant>
      <vt:variant>
        <vt:i4>1245241</vt:i4>
      </vt:variant>
      <vt:variant>
        <vt:i4>116</vt:i4>
      </vt:variant>
      <vt:variant>
        <vt:i4>0</vt:i4>
      </vt:variant>
      <vt:variant>
        <vt:i4>5</vt:i4>
      </vt:variant>
      <vt:variant>
        <vt:lpwstr/>
      </vt:variant>
      <vt:variant>
        <vt:lpwstr>_Toc149919000</vt:lpwstr>
      </vt:variant>
      <vt:variant>
        <vt:i4>1769520</vt:i4>
      </vt:variant>
      <vt:variant>
        <vt:i4>110</vt:i4>
      </vt:variant>
      <vt:variant>
        <vt:i4>0</vt:i4>
      </vt:variant>
      <vt:variant>
        <vt:i4>5</vt:i4>
      </vt:variant>
      <vt:variant>
        <vt:lpwstr/>
      </vt:variant>
      <vt:variant>
        <vt:lpwstr>_Toc149918999</vt:lpwstr>
      </vt:variant>
      <vt:variant>
        <vt:i4>1769520</vt:i4>
      </vt:variant>
      <vt:variant>
        <vt:i4>104</vt:i4>
      </vt:variant>
      <vt:variant>
        <vt:i4>0</vt:i4>
      </vt:variant>
      <vt:variant>
        <vt:i4>5</vt:i4>
      </vt:variant>
      <vt:variant>
        <vt:lpwstr/>
      </vt:variant>
      <vt:variant>
        <vt:lpwstr>_Toc149918998</vt:lpwstr>
      </vt:variant>
      <vt:variant>
        <vt:i4>1769520</vt:i4>
      </vt:variant>
      <vt:variant>
        <vt:i4>98</vt:i4>
      </vt:variant>
      <vt:variant>
        <vt:i4>0</vt:i4>
      </vt:variant>
      <vt:variant>
        <vt:i4>5</vt:i4>
      </vt:variant>
      <vt:variant>
        <vt:lpwstr/>
      </vt:variant>
      <vt:variant>
        <vt:lpwstr>_Toc149918997</vt:lpwstr>
      </vt:variant>
      <vt:variant>
        <vt:i4>1769520</vt:i4>
      </vt:variant>
      <vt:variant>
        <vt:i4>92</vt:i4>
      </vt:variant>
      <vt:variant>
        <vt:i4>0</vt:i4>
      </vt:variant>
      <vt:variant>
        <vt:i4>5</vt:i4>
      </vt:variant>
      <vt:variant>
        <vt:lpwstr/>
      </vt:variant>
      <vt:variant>
        <vt:lpwstr>_Toc149918996</vt:lpwstr>
      </vt:variant>
      <vt:variant>
        <vt:i4>1769520</vt:i4>
      </vt:variant>
      <vt:variant>
        <vt:i4>86</vt:i4>
      </vt:variant>
      <vt:variant>
        <vt:i4>0</vt:i4>
      </vt:variant>
      <vt:variant>
        <vt:i4>5</vt:i4>
      </vt:variant>
      <vt:variant>
        <vt:lpwstr/>
      </vt:variant>
      <vt:variant>
        <vt:lpwstr>_Toc149918995</vt:lpwstr>
      </vt:variant>
      <vt:variant>
        <vt:i4>1769520</vt:i4>
      </vt:variant>
      <vt:variant>
        <vt:i4>80</vt:i4>
      </vt:variant>
      <vt:variant>
        <vt:i4>0</vt:i4>
      </vt:variant>
      <vt:variant>
        <vt:i4>5</vt:i4>
      </vt:variant>
      <vt:variant>
        <vt:lpwstr/>
      </vt:variant>
      <vt:variant>
        <vt:lpwstr>_Toc149918994</vt:lpwstr>
      </vt:variant>
      <vt:variant>
        <vt:i4>1769520</vt:i4>
      </vt:variant>
      <vt:variant>
        <vt:i4>74</vt:i4>
      </vt:variant>
      <vt:variant>
        <vt:i4>0</vt:i4>
      </vt:variant>
      <vt:variant>
        <vt:i4>5</vt:i4>
      </vt:variant>
      <vt:variant>
        <vt:lpwstr/>
      </vt:variant>
      <vt:variant>
        <vt:lpwstr>_Toc149918993</vt:lpwstr>
      </vt:variant>
      <vt:variant>
        <vt:i4>1769520</vt:i4>
      </vt:variant>
      <vt:variant>
        <vt:i4>68</vt:i4>
      </vt:variant>
      <vt:variant>
        <vt:i4>0</vt:i4>
      </vt:variant>
      <vt:variant>
        <vt:i4>5</vt:i4>
      </vt:variant>
      <vt:variant>
        <vt:lpwstr/>
      </vt:variant>
      <vt:variant>
        <vt:lpwstr>_Toc149918992</vt:lpwstr>
      </vt:variant>
      <vt:variant>
        <vt:i4>1769520</vt:i4>
      </vt:variant>
      <vt:variant>
        <vt:i4>62</vt:i4>
      </vt:variant>
      <vt:variant>
        <vt:i4>0</vt:i4>
      </vt:variant>
      <vt:variant>
        <vt:i4>5</vt:i4>
      </vt:variant>
      <vt:variant>
        <vt:lpwstr/>
      </vt:variant>
      <vt:variant>
        <vt:lpwstr>_Toc149918991</vt:lpwstr>
      </vt:variant>
      <vt:variant>
        <vt:i4>1769520</vt:i4>
      </vt:variant>
      <vt:variant>
        <vt:i4>56</vt:i4>
      </vt:variant>
      <vt:variant>
        <vt:i4>0</vt:i4>
      </vt:variant>
      <vt:variant>
        <vt:i4>5</vt:i4>
      </vt:variant>
      <vt:variant>
        <vt:lpwstr/>
      </vt:variant>
      <vt:variant>
        <vt:lpwstr>_Toc149918990</vt:lpwstr>
      </vt:variant>
      <vt:variant>
        <vt:i4>1703984</vt:i4>
      </vt:variant>
      <vt:variant>
        <vt:i4>50</vt:i4>
      </vt:variant>
      <vt:variant>
        <vt:i4>0</vt:i4>
      </vt:variant>
      <vt:variant>
        <vt:i4>5</vt:i4>
      </vt:variant>
      <vt:variant>
        <vt:lpwstr/>
      </vt:variant>
      <vt:variant>
        <vt:lpwstr>_Toc149918989</vt:lpwstr>
      </vt:variant>
      <vt:variant>
        <vt:i4>1703984</vt:i4>
      </vt:variant>
      <vt:variant>
        <vt:i4>44</vt:i4>
      </vt:variant>
      <vt:variant>
        <vt:i4>0</vt:i4>
      </vt:variant>
      <vt:variant>
        <vt:i4>5</vt:i4>
      </vt:variant>
      <vt:variant>
        <vt:lpwstr/>
      </vt:variant>
      <vt:variant>
        <vt:lpwstr>_Toc149918988</vt:lpwstr>
      </vt:variant>
      <vt:variant>
        <vt:i4>1703984</vt:i4>
      </vt:variant>
      <vt:variant>
        <vt:i4>38</vt:i4>
      </vt:variant>
      <vt:variant>
        <vt:i4>0</vt:i4>
      </vt:variant>
      <vt:variant>
        <vt:i4>5</vt:i4>
      </vt:variant>
      <vt:variant>
        <vt:lpwstr/>
      </vt:variant>
      <vt:variant>
        <vt:lpwstr>_Toc149918987</vt:lpwstr>
      </vt:variant>
      <vt:variant>
        <vt:i4>1703984</vt:i4>
      </vt:variant>
      <vt:variant>
        <vt:i4>32</vt:i4>
      </vt:variant>
      <vt:variant>
        <vt:i4>0</vt:i4>
      </vt:variant>
      <vt:variant>
        <vt:i4>5</vt:i4>
      </vt:variant>
      <vt:variant>
        <vt:lpwstr/>
      </vt:variant>
      <vt:variant>
        <vt:lpwstr>_Toc149918986</vt:lpwstr>
      </vt:variant>
      <vt:variant>
        <vt:i4>1703984</vt:i4>
      </vt:variant>
      <vt:variant>
        <vt:i4>26</vt:i4>
      </vt:variant>
      <vt:variant>
        <vt:i4>0</vt:i4>
      </vt:variant>
      <vt:variant>
        <vt:i4>5</vt:i4>
      </vt:variant>
      <vt:variant>
        <vt:lpwstr/>
      </vt:variant>
      <vt:variant>
        <vt:lpwstr>_Toc149918985</vt:lpwstr>
      </vt:variant>
      <vt:variant>
        <vt:i4>1703984</vt:i4>
      </vt:variant>
      <vt:variant>
        <vt:i4>20</vt:i4>
      </vt:variant>
      <vt:variant>
        <vt:i4>0</vt:i4>
      </vt:variant>
      <vt:variant>
        <vt:i4>5</vt:i4>
      </vt:variant>
      <vt:variant>
        <vt:lpwstr/>
      </vt:variant>
      <vt:variant>
        <vt:lpwstr>_Toc149918984</vt:lpwstr>
      </vt:variant>
      <vt:variant>
        <vt:i4>1703984</vt:i4>
      </vt:variant>
      <vt:variant>
        <vt:i4>14</vt:i4>
      </vt:variant>
      <vt:variant>
        <vt:i4>0</vt:i4>
      </vt:variant>
      <vt:variant>
        <vt:i4>5</vt:i4>
      </vt:variant>
      <vt:variant>
        <vt:lpwstr/>
      </vt:variant>
      <vt:variant>
        <vt:lpwstr>_Toc149918983</vt:lpwstr>
      </vt:variant>
      <vt:variant>
        <vt:i4>1703984</vt:i4>
      </vt:variant>
      <vt:variant>
        <vt:i4>8</vt:i4>
      </vt:variant>
      <vt:variant>
        <vt:i4>0</vt:i4>
      </vt:variant>
      <vt:variant>
        <vt:i4>5</vt:i4>
      </vt:variant>
      <vt:variant>
        <vt:lpwstr/>
      </vt:variant>
      <vt:variant>
        <vt:lpwstr>_Toc149918982</vt:lpwstr>
      </vt:variant>
      <vt:variant>
        <vt:i4>1703984</vt:i4>
      </vt:variant>
      <vt:variant>
        <vt:i4>2</vt:i4>
      </vt:variant>
      <vt:variant>
        <vt:i4>0</vt:i4>
      </vt:variant>
      <vt:variant>
        <vt:i4>5</vt:i4>
      </vt:variant>
      <vt:variant>
        <vt:lpwstr/>
      </vt:variant>
      <vt:variant>
        <vt:lpwstr>_Toc149918981</vt:lpwstr>
      </vt:variant>
      <vt:variant>
        <vt:i4>29</vt:i4>
      </vt:variant>
      <vt:variant>
        <vt:i4>144</vt:i4>
      </vt:variant>
      <vt:variant>
        <vt:i4>0</vt:i4>
      </vt:variant>
      <vt:variant>
        <vt:i4>5</vt:i4>
      </vt:variant>
      <vt:variant>
        <vt:lpwstr>https://doi.org/10.1007/s11292-015-9238-7</vt:lpwstr>
      </vt:variant>
      <vt:variant>
        <vt:lpwstr/>
      </vt:variant>
      <vt:variant>
        <vt:i4>6488167</vt:i4>
      </vt:variant>
      <vt:variant>
        <vt:i4>141</vt:i4>
      </vt:variant>
      <vt:variant>
        <vt:i4>0</vt:i4>
      </vt:variant>
      <vt:variant>
        <vt:i4>5</vt:i4>
      </vt:variant>
      <vt:variant>
        <vt:lpwstr>http://www.unodc.org/documents/evaluation/Guidelines/Evaluability_Assessment_Template.pdf</vt:lpwstr>
      </vt:variant>
      <vt:variant>
        <vt:lpwstr/>
      </vt:variant>
      <vt:variant>
        <vt:i4>6029347</vt:i4>
      </vt:variant>
      <vt:variant>
        <vt:i4>138</vt:i4>
      </vt:variant>
      <vt:variant>
        <vt:i4>0</vt:i4>
      </vt:variant>
      <vt:variant>
        <vt:i4>5</vt:i4>
      </vt:variant>
      <vt:variant>
        <vt:lpwstr>https://www.gov.uk/government/uploads/system/uploads/attachment_data/file/248656/wp40-planning-eval-assessments.pdf</vt:lpwstr>
      </vt:variant>
      <vt:variant>
        <vt:lpwstr/>
      </vt:variant>
      <vt:variant>
        <vt:i4>2031710</vt:i4>
      </vt:variant>
      <vt:variant>
        <vt:i4>135</vt:i4>
      </vt:variant>
      <vt:variant>
        <vt:i4>0</vt:i4>
      </vt:variant>
      <vt:variant>
        <vt:i4>5</vt:i4>
      </vt:variant>
      <vt:variant>
        <vt:lpwstr>https://doi.org/10.1177/10497323231163735</vt:lpwstr>
      </vt:variant>
      <vt:variant>
        <vt:lpwstr/>
      </vt:variant>
      <vt:variant>
        <vt:i4>2752568</vt:i4>
      </vt:variant>
      <vt:variant>
        <vt:i4>132</vt:i4>
      </vt:variant>
      <vt:variant>
        <vt:i4>0</vt:i4>
      </vt:variant>
      <vt:variant>
        <vt:i4>5</vt:i4>
      </vt:variant>
      <vt:variant>
        <vt:lpwstr>https://doi.org/10.1186/s12888-023-04973-9</vt:lpwstr>
      </vt:variant>
      <vt:variant>
        <vt:lpwstr/>
      </vt:variant>
      <vt:variant>
        <vt:i4>1572892</vt:i4>
      </vt:variant>
      <vt:variant>
        <vt:i4>129</vt:i4>
      </vt:variant>
      <vt:variant>
        <vt:i4>0</vt:i4>
      </vt:variant>
      <vt:variant>
        <vt:i4>5</vt:i4>
      </vt:variant>
      <vt:variant>
        <vt:lpwstr>https://www.orygen.org.au/Training/Resources/Self-harm-and-suicide-prevention/Guidelines/Suicide-research</vt:lpwstr>
      </vt:variant>
      <vt:variant>
        <vt:lpwstr/>
      </vt:variant>
      <vt:variant>
        <vt:i4>3997803</vt:i4>
      </vt:variant>
      <vt:variant>
        <vt:i4>126</vt:i4>
      </vt:variant>
      <vt:variant>
        <vt:i4>0</vt:i4>
      </vt:variant>
      <vt:variant>
        <vt:i4>5</vt:i4>
      </vt:variant>
      <vt:variant>
        <vt:lpwstr>https://nmhccf.org.au/our-work/discussion-papers/the-lived-experience-governance-framework-centring-people-identity-and-human-rights-for-the-benefit-of-all</vt:lpwstr>
      </vt:variant>
      <vt:variant>
        <vt:lpwstr/>
      </vt:variant>
      <vt:variant>
        <vt:i4>3407985</vt:i4>
      </vt:variant>
      <vt:variant>
        <vt:i4>123</vt:i4>
      </vt:variant>
      <vt:variant>
        <vt:i4>0</vt:i4>
      </vt:variant>
      <vt:variant>
        <vt:i4>5</vt:i4>
      </vt:variant>
      <vt:variant>
        <vt:lpwstr>https://www.linkedin.com/pulse/evaluating-mental-health-lived-experience-joanna-farmer</vt:lpwstr>
      </vt:variant>
      <vt:variant>
        <vt:lpwstr/>
      </vt:variant>
      <vt:variant>
        <vt:i4>29</vt:i4>
      </vt:variant>
      <vt:variant>
        <vt:i4>120</vt:i4>
      </vt:variant>
      <vt:variant>
        <vt:i4>0</vt:i4>
      </vt:variant>
      <vt:variant>
        <vt:i4>5</vt:i4>
      </vt:variant>
      <vt:variant>
        <vt:lpwstr>https://doi.org/10.1007/s11292-015-9238-7</vt:lpwstr>
      </vt:variant>
      <vt:variant>
        <vt:lpwstr/>
      </vt:variant>
      <vt:variant>
        <vt:i4>7798893</vt:i4>
      </vt:variant>
      <vt:variant>
        <vt:i4>117</vt:i4>
      </vt:variant>
      <vt:variant>
        <vt:i4>0</vt:i4>
      </vt:variant>
      <vt:variant>
        <vt:i4>5</vt:i4>
      </vt:variant>
      <vt:variant>
        <vt:lpwstr>https://www.nhmrc.gov.au/about-us/resources/ethical-conduct-research-aboriginal-and-torres-strait-islander-peoples-and-communities</vt:lpwstr>
      </vt:variant>
      <vt:variant>
        <vt:lpwstr/>
      </vt:variant>
      <vt:variant>
        <vt:i4>1704020</vt:i4>
      </vt:variant>
      <vt:variant>
        <vt:i4>114</vt:i4>
      </vt:variant>
      <vt:variant>
        <vt:i4>0</vt:i4>
      </vt:variant>
      <vt:variant>
        <vt:i4>5</vt:i4>
      </vt:variant>
      <vt:variant>
        <vt:lpwstr>https://pmc.gov.au/sites/default/files/publications/ias-evaluation-framework.pdf</vt:lpwstr>
      </vt:variant>
      <vt:variant>
        <vt:lpwstr/>
      </vt:variant>
      <vt:variant>
        <vt:i4>655436</vt:i4>
      </vt:variant>
      <vt:variant>
        <vt:i4>111</vt:i4>
      </vt:variant>
      <vt:variant>
        <vt:i4>0</vt:i4>
      </vt:variant>
      <vt:variant>
        <vt:i4>5</vt:i4>
      </vt:variant>
      <vt:variant>
        <vt:lpwstr>https://aiatsis.gov.au/sites/default/files/2022-02/aiatsis-code-ethics-jan22.pdf</vt:lpwstr>
      </vt:variant>
      <vt:variant>
        <vt:lpwstr/>
      </vt:variant>
      <vt:variant>
        <vt:i4>5898259</vt:i4>
      </vt:variant>
      <vt:variant>
        <vt:i4>108</vt:i4>
      </vt:variant>
      <vt:variant>
        <vt:i4>0</vt:i4>
      </vt:variant>
      <vt:variant>
        <vt:i4>5</vt:i4>
      </vt:variant>
      <vt:variant>
        <vt:lpwstr>https://www.nhmrc.gov.au/about-us/publications/national-statement-ethical-conduct-human-research-2023</vt:lpwstr>
      </vt:variant>
      <vt:variant>
        <vt:lpwstr/>
      </vt:variant>
      <vt:variant>
        <vt:i4>1572868</vt:i4>
      </vt:variant>
      <vt:variant>
        <vt:i4>105</vt:i4>
      </vt:variant>
      <vt:variant>
        <vt:i4>0</vt:i4>
      </vt:variant>
      <vt:variant>
        <vt:i4>5</vt:i4>
      </vt:variant>
      <vt:variant>
        <vt:lpwstr>https://aiatsis.gov.au/research/ethical-research</vt:lpwstr>
      </vt:variant>
      <vt:variant>
        <vt:lpwstr/>
      </vt:variant>
      <vt:variant>
        <vt:i4>6291569</vt:i4>
      </vt:variant>
      <vt:variant>
        <vt:i4>102</vt:i4>
      </vt:variant>
      <vt:variant>
        <vt:i4>0</vt:i4>
      </vt:variant>
      <vt:variant>
        <vt:i4>5</vt:i4>
      </vt:variant>
      <vt:variant>
        <vt:lpwstr>https://www.ahmrc.org.au/wp-content/uploads/2021/02/AHMRC_Health-Ethics-guidelines-2023_01.pdf</vt:lpwstr>
      </vt:variant>
      <vt:variant>
        <vt:lpwstr/>
      </vt:variant>
      <vt:variant>
        <vt:i4>4915266</vt:i4>
      </vt:variant>
      <vt:variant>
        <vt:i4>99</vt:i4>
      </vt:variant>
      <vt:variant>
        <vt:i4>0</vt:i4>
      </vt:variant>
      <vt:variant>
        <vt:i4>5</vt:i4>
      </vt:variant>
      <vt:variant>
        <vt:lpwstr>https://www.nhmrc.gov.au/about-us/resources/ethical-considerations-quality-assurance-and-evaluation-activities</vt:lpwstr>
      </vt:variant>
      <vt:variant>
        <vt:lpwstr>block-views-block-file-attachments-content-block-1</vt:lpwstr>
      </vt:variant>
      <vt:variant>
        <vt:i4>5898259</vt:i4>
      </vt:variant>
      <vt:variant>
        <vt:i4>96</vt:i4>
      </vt:variant>
      <vt:variant>
        <vt:i4>0</vt:i4>
      </vt:variant>
      <vt:variant>
        <vt:i4>5</vt:i4>
      </vt:variant>
      <vt:variant>
        <vt:lpwstr>https://www.nhmrc.gov.au/about-us/publications/national-statement-ethical-conduct-human-research-2023</vt:lpwstr>
      </vt:variant>
      <vt:variant>
        <vt:lpwstr/>
      </vt:variant>
      <vt:variant>
        <vt:i4>5308417</vt:i4>
      </vt:variant>
      <vt:variant>
        <vt:i4>93</vt:i4>
      </vt:variant>
      <vt:variant>
        <vt:i4>0</vt:i4>
      </vt:variant>
      <vt:variant>
        <vt:i4>5</vt:i4>
      </vt:variant>
      <vt:variant>
        <vt:lpwstr>https://blueknot.org.au/product/talking-about-trauma-guide-to-everyday-conversations-for-the-general-public-digital-download/</vt:lpwstr>
      </vt:variant>
      <vt:variant>
        <vt:lpwstr/>
      </vt:variant>
      <vt:variant>
        <vt:i4>7209040</vt:i4>
      </vt:variant>
      <vt:variant>
        <vt:i4>90</vt:i4>
      </vt:variant>
      <vt:variant>
        <vt:i4>0</vt:i4>
      </vt:variant>
      <vt:variant>
        <vt:i4>5</vt:i4>
      </vt:variant>
      <vt:variant>
        <vt:lpwstr>https://www.saxinstitute.org.au/wp-content/uploads/2019_Suicide-Aftercare-Services-Report.pdf</vt:lpwstr>
      </vt:variant>
      <vt:variant>
        <vt:lpwstr/>
      </vt:variant>
      <vt:variant>
        <vt:i4>29</vt:i4>
      </vt:variant>
      <vt:variant>
        <vt:i4>87</vt:i4>
      </vt:variant>
      <vt:variant>
        <vt:i4>0</vt:i4>
      </vt:variant>
      <vt:variant>
        <vt:i4>5</vt:i4>
      </vt:variant>
      <vt:variant>
        <vt:lpwstr>https://doi.org/10.1007/s11292-015-9238-7</vt:lpwstr>
      </vt:variant>
      <vt:variant>
        <vt:lpwstr/>
      </vt:variant>
      <vt:variant>
        <vt:i4>5111885</vt:i4>
      </vt:variant>
      <vt:variant>
        <vt:i4>84</vt:i4>
      </vt:variant>
      <vt:variant>
        <vt:i4>0</vt:i4>
      </vt:variant>
      <vt:variant>
        <vt:i4>5</vt:i4>
      </vt:variant>
      <vt:variant>
        <vt:lpwstr>https://doi.org/10.1371/journal.pmed.1003606</vt:lpwstr>
      </vt:variant>
      <vt:variant>
        <vt:lpwstr/>
      </vt:variant>
      <vt:variant>
        <vt:i4>8257653</vt:i4>
      </vt:variant>
      <vt:variant>
        <vt:i4>81</vt:i4>
      </vt:variant>
      <vt:variant>
        <vt:i4>0</vt:i4>
      </vt:variant>
      <vt:variant>
        <vt:i4>5</vt:i4>
      </vt:variant>
      <vt:variant>
        <vt:lpwstr>https://apps.who.int/gb/ebwha/pdf_files/EB152/B152_22-en.pdf</vt:lpwstr>
      </vt:variant>
      <vt:variant>
        <vt:lpwstr/>
      </vt:variant>
      <vt:variant>
        <vt:i4>2424888</vt:i4>
      </vt:variant>
      <vt:variant>
        <vt:i4>78</vt:i4>
      </vt:variant>
      <vt:variant>
        <vt:i4>0</vt:i4>
      </vt:variant>
      <vt:variant>
        <vt:i4>5</vt:i4>
      </vt:variant>
      <vt:variant>
        <vt:lpwstr>https://yulang.com.au/ngaa-bi-nya-evaluation-framework/</vt:lpwstr>
      </vt:variant>
      <vt:variant>
        <vt:lpwstr/>
      </vt:variant>
      <vt:variant>
        <vt:i4>917584</vt:i4>
      </vt:variant>
      <vt:variant>
        <vt:i4>75</vt:i4>
      </vt:variant>
      <vt:variant>
        <vt:i4>0</vt:i4>
      </vt:variant>
      <vt:variant>
        <vt:i4>5</vt:i4>
      </vt:variant>
      <vt:variant>
        <vt:lpwstr>https://openresearch-repository.anu.edu.au/bitstream/1885/148406/8/Defining_the_Indefinable_WEB2_FINAL.pdf</vt:lpwstr>
      </vt:variant>
      <vt:variant>
        <vt:lpwstr/>
      </vt:variant>
      <vt:variant>
        <vt:i4>1114174</vt:i4>
      </vt:variant>
      <vt:variant>
        <vt:i4>72</vt:i4>
      </vt:variant>
      <vt:variant>
        <vt:i4>0</vt:i4>
      </vt:variant>
      <vt:variant>
        <vt:i4>5</vt:i4>
      </vt:variant>
      <vt:variant>
        <vt:lpwstr>https://www.researchgate.net/profile/Sarah-Bourke-2/publication/327225093_Evidence_Review_of_Indigenous_Culture_for_Health_and_Wellbeing/links/5d28b5e6a6fdcc2462da0f85/Evidence-Review-of-Indigenous-Culture-for-Health-and-Wellbeing.pdf</vt:lpwstr>
      </vt:variant>
      <vt:variant>
        <vt:lpwstr/>
      </vt:variant>
      <vt:variant>
        <vt:i4>4456495</vt:i4>
      </vt:variant>
      <vt:variant>
        <vt:i4>69</vt:i4>
      </vt:variant>
      <vt:variant>
        <vt:i4>0</vt:i4>
      </vt:variant>
      <vt:variant>
        <vt:i4>5</vt:i4>
      </vt:variant>
      <vt:variant>
        <vt:lpwstr>http://www.dss.gov.au/sites/default/files/documents/06_2012/research_in_action.pdf</vt:lpwstr>
      </vt:variant>
      <vt:variant>
        <vt:lpwstr/>
      </vt:variant>
      <vt:variant>
        <vt:i4>7667744</vt:i4>
      </vt:variant>
      <vt:variant>
        <vt:i4>66</vt:i4>
      </vt:variant>
      <vt:variant>
        <vt:i4>0</vt:i4>
      </vt:variant>
      <vt:variant>
        <vt:i4>5</vt:i4>
      </vt:variant>
      <vt:variant>
        <vt:lpwstr>https://aifs.gov.au/resources/practice-guides/participatory-action-research</vt:lpwstr>
      </vt:variant>
      <vt:variant>
        <vt:lpwstr/>
      </vt:variant>
      <vt:variant>
        <vt:i4>2949230</vt:i4>
      </vt:variant>
      <vt:variant>
        <vt:i4>63</vt:i4>
      </vt:variant>
      <vt:variant>
        <vt:i4>0</vt:i4>
      </vt:variant>
      <vt:variant>
        <vt:i4>5</vt:i4>
      </vt:variant>
      <vt:variant>
        <vt:lpwstr>https://www.pc.gov.au/inquiries/completed/indigenous-evaluation/strategy/indigenous-evaluation-strategy.pdf</vt:lpwstr>
      </vt:variant>
      <vt:variant>
        <vt:lpwstr/>
      </vt:variant>
      <vt:variant>
        <vt:i4>3276861</vt:i4>
      </vt:variant>
      <vt:variant>
        <vt:i4>60</vt:i4>
      </vt:variant>
      <vt:variant>
        <vt:i4>0</vt:i4>
      </vt:variant>
      <vt:variant>
        <vt:i4>5</vt:i4>
      </vt:variant>
      <vt:variant>
        <vt:lpwstr>https://www.unicef-irc.org/publications/754-comparative-case-studies-methodological-briefs-impact-evaluation-no-9.html</vt:lpwstr>
      </vt:variant>
      <vt:variant>
        <vt:lpwstr>:~:text=Comparative%20case%20studies%20involve%20the,work%20or%20fail%20to%20work</vt:lpwstr>
      </vt:variant>
      <vt:variant>
        <vt:i4>8061035</vt:i4>
      </vt:variant>
      <vt:variant>
        <vt:i4>57</vt:i4>
      </vt:variant>
      <vt:variant>
        <vt:i4>0</vt:i4>
      </vt:variant>
      <vt:variant>
        <vt:i4>5</vt:i4>
      </vt:variant>
      <vt:variant>
        <vt:lpwstr>https://www.betterevaluation.org/sites/default/files/choosing_appropriate_designs_and_methods_for_impact_evaluation_2015.pdf</vt:lpwstr>
      </vt:variant>
      <vt:variant>
        <vt:lpwstr/>
      </vt:variant>
      <vt:variant>
        <vt:i4>3932214</vt:i4>
      </vt:variant>
      <vt:variant>
        <vt:i4>54</vt:i4>
      </vt:variant>
      <vt:variant>
        <vt:i4>0</vt:i4>
      </vt:variant>
      <vt:variant>
        <vt:i4>5</vt:i4>
      </vt:variant>
      <vt:variant>
        <vt:lpwstr>https://evaluation.treasury.gov.au/toolkit/randomised-controlled-trials</vt:lpwstr>
      </vt:variant>
      <vt:variant>
        <vt:lpwstr/>
      </vt:variant>
      <vt:variant>
        <vt:i4>1769557</vt:i4>
      </vt:variant>
      <vt:variant>
        <vt:i4>51</vt:i4>
      </vt:variant>
      <vt:variant>
        <vt:i4>0</vt:i4>
      </vt:variant>
      <vt:variant>
        <vt:i4>5</vt:i4>
      </vt:variant>
      <vt:variant>
        <vt:lpwstr>http://dx.doi.org/10.1177/1035719X1501500403</vt:lpwstr>
      </vt:variant>
      <vt:variant>
        <vt:lpwstr/>
      </vt:variant>
      <vt:variant>
        <vt:i4>393298</vt:i4>
      </vt:variant>
      <vt:variant>
        <vt:i4>48</vt:i4>
      </vt:variant>
      <vt:variant>
        <vt:i4>0</vt:i4>
      </vt:variant>
      <vt:variant>
        <vt:i4>5</vt:i4>
      </vt:variant>
      <vt:variant>
        <vt:lpwstr>https://www.betterevaluation.org/tools-resources/creating-rubrics</vt:lpwstr>
      </vt:variant>
      <vt:variant>
        <vt:lpwstr/>
      </vt:variant>
      <vt:variant>
        <vt:i4>2555926</vt:i4>
      </vt:variant>
      <vt:variant>
        <vt:i4>45</vt:i4>
      </vt:variant>
      <vt:variant>
        <vt:i4>0</vt:i4>
      </vt:variant>
      <vt:variant>
        <vt:i4>5</vt:i4>
      </vt:variant>
      <vt:variant>
        <vt:lpwstr>http://www.communitymatters.com.au/RE_chapter.pdf</vt:lpwstr>
      </vt:variant>
      <vt:variant>
        <vt:lpwstr/>
      </vt:variant>
      <vt:variant>
        <vt:i4>1638418</vt:i4>
      </vt:variant>
      <vt:variant>
        <vt:i4>42</vt:i4>
      </vt:variant>
      <vt:variant>
        <vt:i4>0</vt:i4>
      </vt:variant>
      <vt:variant>
        <vt:i4>5</vt:i4>
      </vt:variant>
      <vt:variant>
        <vt:lpwstr>https://www.canada.ca/en/treasury-board-secretariat/services/audit-evaluation/evaluation-government-canada/theory-based-approaches-evaluation-concepts-practices.html</vt:lpwstr>
      </vt:variant>
      <vt:variant>
        <vt:lpwstr/>
      </vt:variant>
      <vt:variant>
        <vt:i4>5767232</vt:i4>
      </vt:variant>
      <vt:variant>
        <vt:i4>39</vt:i4>
      </vt:variant>
      <vt:variant>
        <vt:i4>0</vt:i4>
      </vt:variant>
      <vt:variant>
        <vt:i4>5</vt:i4>
      </vt:variant>
      <vt:variant>
        <vt:lpwstr>https://www.betterevaluation.org/en/blog/fools_gold_widely_touted_methodological_gold_standard</vt:lpwstr>
      </vt:variant>
      <vt:variant>
        <vt:lpwstr/>
      </vt:variant>
      <vt:variant>
        <vt:i4>2162805</vt:i4>
      </vt:variant>
      <vt:variant>
        <vt:i4>36</vt:i4>
      </vt:variant>
      <vt:variant>
        <vt:i4>0</vt:i4>
      </vt:variant>
      <vt:variant>
        <vt:i4>5</vt:i4>
      </vt:variant>
      <vt:variant>
        <vt:lpwstr>https://doi.org/10.1186/1748-5908-4-50</vt:lpwstr>
      </vt:variant>
      <vt:variant>
        <vt:lpwstr/>
      </vt:variant>
      <vt:variant>
        <vt:i4>5111924</vt:i4>
      </vt:variant>
      <vt:variant>
        <vt:i4>33</vt:i4>
      </vt:variant>
      <vt:variant>
        <vt:i4>0</vt:i4>
      </vt:variant>
      <vt:variant>
        <vt:i4>5</vt:i4>
      </vt:variant>
      <vt:variant>
        <vt:lpwstr>https://pubmed.ncbi.nlm.nih.gov/?term=Lowery+JC&amp;cauthor_id=19664226</vt:lpwstr>
      </vt:variant>
      <vt:variant>
        <vt:lpwstr/>
      </vt:variant>
      <vt:variant>
        <vt:i4>3604559</vt:i4>
      </vt:variant>
      <vt:variant>
        <vt:i4>30</vt:i4>
      </vt:variant>
      <vt:variant>
        <vt:i4>0</vt:i4>
      </vt:variant>
      <vt:variant>
        <vt:i4>5</vt:i4>
      </vt:variant>
      <vt:variant>
        <vt:lpwstr>https://pubmed.ncbi.nlm.nih.gov/?term=Alexander+JA&amp;cauthor_id=19664226</vt:lpwstr>
      </vt:variant>
      <vt:variant>
        <vt:lpwstr/>
      </vt:variant>
      <vt:variant>
        <vt:i4>2162772</vt:i4>
      </vt:variant>
      <vt:variant>
        <vt:i4>27</vt:i4>
      </vt:variant>
      <vt:variant>
        <vt:i4>0</vt:i4>
      </vt:variant>
      <vt:variant>
        <vt:i4>5</vt:i4>
      </vt:variant>
      <vt:variant>
        <vt:lpwstr>https://pubmed.ncbi.nlm.nih.gov/?term=Kirsh+SR&amp;cauthor_id=19664226</vt:lpwstr>
      </vt:variant>
      <vt:variant>
        <vt:lpwstr/>
      </vt:variant>
      <vt:variant>
        <vt:i4>3997774</vt:i4>
      </vt:variant>
      <vt:variant>
        <vt:i4>24</vt:i4>
      </vt:variant>
      <vt:variant>
        <vt:i4>0</vt:i4>
      </vt:variant>
      <vt:variant>
        <vt:i4>5</vt:i4>
      </vt:variant>
      <vt:variant>
        <vt:lpwstr>https://pubmed.ncbi.nlm.nih.gov/?term=Keith+RE&amp;cauthor_id=19664226</vt:lpwstr>
      </vt:variant>
      <vt:variant>
        <vt:lpwstr/>
      </vt:variant>
      <vt:variant>
        <vt:i4>5439540</vt:i4>
      </vt:variant>
      <vt:variant>
        <vt:i4>21</vt:i4>
      </vt:variant>
      <vt:variant>
        <vt:i4>0</vt:i4>
      </vt:variant>
      <vt:variant>
        <vt:i4>5</vt:i4>
      </vt:variant>
      <vt:variant>
        <vt:lpwstr>https://pubmed.ncbi.nlm.nih.gov/?term=Damschroder+LJ&amp;cauthor_id=19664226</vt:lpwstr>
      </vt:variant>
      <vt:variant>
        <vt:lpwstr/>
      </vt:variant>
      <vt:variant>
        <vt:i4>3145853</vt:i4>
      </vt:variant>
      <vt:variant>
        <vt:i4>18</vt:i4>
      </vt:variant>
      <vt:variant>
        <vt:i4>0</vt:i4>
      </vt:variant>
      <vt:variant>
        <vt:i4>5</vt:i4>
      </vt:variant>
      <vt:variant>
        <vt:lpwstr>https://aifs.gov.au/resources/practice-guides/needs-assessment</vt:lpwstr>
      </vt:variant>
      <vt:variant>
        <vt:lpwstr>part-one:-defining-needs-and-needs-assessment</vt:lpwstr>
      </vt:variant>
      <vt:variant>
        <vt:i4>2752568</vt:i4>
      </vt:variant>
      <vt:variant>
        <vt:i4>15</vt:i4>
      </vt:variant>
      <vt:variant>
        <vt:i4>0</vt:i4>
      </vt:variant>
      <vt:variant>
        <vt:i4>5</vt:i4>
      </vt:variant>
      <vt:variant>
        <vt:lpwstr>https://doi.org/10.1186/s12888-023-04973-9</vt:lpwstr>
      </vt:variant>
      <vt:variant>
        <vt:lpwstr/>
      </vt:variant>
      <vt:variant>
        <vt:i4>7536764</vt:i4>
      </vt:variant>
      <vt:variant>
        <vt:i4>12</vt:i4>
      </vt:variant>
      <vt:variant>
        <vt:i4>0</vt:i4>
      </vt:variant>
      <vt:variant>
        <vt:i4>5</vt:i4>
      </vt:variant>
      <vt:variant>
        <vt:lpwstr>https://www.treasury.nsw.gov.au/documents/tpg22-22-policy-and-guidelines-evaluation</vt:lpwstr>
      </vt:variant>
      <vt:variant>
        <vt:lpwstr/>
      </vt:variant>
      <vt:variant>
        <vt:i4>4915202</vt:i4>
      </vt:variant>
      <vt:variant>
        <vt:i4>9</vt:i4>
      </vt:variant>
      <vt:variant>
        <vt:i4>0</vt:i4>
      </vt:variant>
      <vt:variant>
        <vt:i4>5</vt:i4>
      </vt:variant>
      <vt:variant>
        <vt:lpwstr>https://www.oecd.org/development/peer-reviews/2754804.pdf</vt:lpwstr>
      </vt:variant>
      <vt:variant>
        <vt:lpwstr/>
      </vt:variant>
      <vt:variant>
        <vt:i4>5898259</vt:i4>
      </vt:variant>
      <vt:variant>
        <vt:i4>6</vt:i4>
      </vt:variant>
      <vt:variant>
        <vt:i4>0</vt:i4>
      </vt:variant>
      <vt:variant>
        <vt:i4>5</vt:i4>
      </vt:variant>
      <vt:variant>
        <vt:lpwstr>https://www.nhmrc.gov.au/about-us/publications/national-statement-ethical-conduct-human-research-2023</vt:lpwstr>
      </vt:variant>
      <vt:variant>
        <vt:lpwstr/>
      </vt:variant>
      <vt:variant>
        <vt:i4>3801202</vt:i4>
      </vt:variant>
      <vt:variant>
        <vt:i4>3</vt:i4>
      </vt:variant>
      <vt:variant>
        <vt:i4>0</vt:i4>
      </vt:variant>
      <vt:variant>
        <vt:i4>5</vt:i4>
      </vt:variant>
      <vt:variant>
        <vt:lpwstr>https://federalfinancialrelations.gov.au/agreements/mental-health-suicide-prevention-agreement</vt:lpwstr>
      </vt:variant>
      <vt:variant>
        <vt:lpwstr/>
      </vt:variant>
      <vt:variant>
        <vt:i4>3801202</vt:i4>
      </vt:variant>
      <vt:variant>
        <vt:i4>0</vt:i4>
      </vt:variant>
      <vt:variant>
        <vt:i4>0</vt:i4>
      </vt:variant>
      <vt:variant>
        <vt:i4>5</vt:i4>
      </vt:variant>
      <vt:variant>
        <vt:lpwstr>https://federalfinancialrelations.gov.au/agreements/mental-health-suicide-prevention-agreement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Mental Health and Suicide Prevention Evaluation framework</dc:title>
  <dc:subject>Mental health and suicide prevention</dc:subject>
  <dc:creator>Australian Government Department of Health and Aged Care</dc:creator>
  <cp:keywords>Mental health</cp:keywords>
  <cp:revision>99</cp:revision>
  <cp:lastPrinted>2019-11-05T12:57:00Z</cp:lastPrinted>
  <dcterms:created xsi:type="dcterms:W3CDTF">2024-05-08T00:01:00Z</dcterms:created>
  <dcterms:modified xsi:type="dcterms:W3CDTF">2025-02-07T01:48:00Z</dcterms:modified>
  <cp:category/>
</cp:coreProperties>
</file>