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5674" w14:textId="6B5DE95D" w:rsidR="007507C3" w:rsidRPr="00DD0CFB" w:rsidRDefault="00505574" w:rsidP="000754E9">
      <w:pPr>
        <w:pStyle w:val="Title"/>
        <w:ind w:left="0" w:firstLine="0"/>
        <w:jc w:val="left"/>
        <w:rPr>
          <w:sz w:val="40"/>
          <w:szCs w:val="40"/>
        </w:rPr>
      </w:pPr>
      <w:r w:rsidRPr="00DD0CFB">
        <w:rPr>
          <w:rStyle w:val="TitleChar"/>
        </w:rPr>
        <w:t>Invasive Meningococcal Disease</w:t>
      </w:r>
      <w:r w:rsidR="006D056B" w:rsidRPr="00DD0CFB">
        <w:t xml:space="preserve">| </w:t>
      </w:r>
      <w:r w:rsidRPr="00DD0CFB">
        <w:rPr>
          <w:b/>
          <w:i/>
          <w:kern w:val="28"/>
          <w:szCs w:val="52"/>
        </w:rPr>
        <w:t>Neisseria meningitidis</w:t>
      </w:r>
    </w:p>
    <w:p w14:paraId="40E92C25" w14:textId="2EEC603A" w:rsidR="006B7635" w:rsidRPr="00DD0CFB" w:rsidRDefault="006B7635" w:rsidP="00471FCD">
      <w:pPr>
        <w:pStyle w:val="Title"/>
      </w:pPr>
      <w:r w:rsidRPr="00DD0CFB">
        <w:t xml:space="preserve">Laboratory </w:t>
      </w:r>
      <w:r w:rsidR="00866892" w:rsidRPr="00DD0CFB">
        <w:t>c</w:t>
      </w:r>
      <w:r w:rsidRPr="00DD0CFB">
        <w:t xml:space="preserve">ase </w:t>
      </w:r>
      <w:r w:rsidR="00866892" w:rsidRPr="00DD0CFB">
        <w:t>d</w:t>
      </w:r>
      <w:r w:rsidRPr="00DD0CFB">
        <w:t>efinition</w:t>
      </w:r>
    </w:p>
    <w:p w14:paraId="4C4F5E22" w14:textId="4247E683" w:rsidR="006B7635" w:rsidRPr="00DD0CFB" w:rsidRDefault="006B7635" w:rsidP="0045470B">
      <w:pPr>
        <w:jc w:val="both"/>
      </w:pPr>
      <w:r w:rsidRPr="00DD0CFB">
        <w:t xml:space="preserve">The Public Health Laboratory Network </w:t>
      </w:r>
      <w:r w:rsidR="00866892" w:rsidRPr="00DD0CFB">
        <w:t xml:space="preserve">(PHLN) </w:t>
      </w:r>
      <w:r w:rsidR="00664005" w:rsidRPr="00DD0CFB">
        <w:t>has</w:t>
      </w:r>
      <w:r w:rsidRPr="00DD0CFB">
        <w:t xml:space="preserve"> developed </w:t>
      </w:r>
      <w:r w:rsidR="00866892" w:rsidRPr="00DD0CFB">
        <w:t>standard case definitions to inform</w:t>
      </w:r>
      <w:r w:rsidRPr="00DD0CFB">
        <w:t xml:space="preserve"> the diagnosis of </w:t>
      </w:r>
      <w:r w:rsidR="00866892" w:rsidRPr="00DD0CFB">
        <w:t xml:space="preserve">key </w:t>
      </w:r>
      <w:r w:rsidRPr="00DD0CFB">
        <w:t>disease</w:t>
      </w:r>
      <w:r w:rsidR="00866892" w:rsidRPr="00DD0CFB">
        <w:t>s</w:t>
      </w:r>
      <w:r w:rsidR="004F61C6" w:rsidRPr="00DD0CFB">
        <w:t xml:space="preserve"> in Australia</w:t>
      </w:r>
      <w:r w:rsidRPr="00DD0CFB">
        <w:t xml:space="preserve">. This </w:t>
      </w:r>
      <w:r w:rsidR="00866892" w:rsidRPr="00DD0CFB">
        <w:t>document</w:t>
      </w:r>
      <w:r w:rsidRPr="00DD0CFB">
        <w:t xml:space="preserve"> contains the </w:t>
      </w:r>
      <w:r w:rsidR="00866892" w:rsidRPr="00DD0CFB">
        <w:t>laboratory case definition</w:t>
      </w:r>
      <w:r w:rsidRPr="00DD0CFB">
        <w:t xml:space="preserve"> </w:t>
      </w:r>
      <w:r w:rsidR="006431D9" w:rsidRPr="00DD0CFB">
        <w:t xml:space="preserve">(LCD) </w:t>
      </w:r>
      <w:r w:rsidRPr="00DD0CFB">
        <w:t>for</w:t>
      </w:r>
      <w:r w:rsidR="00415085" w:rsidRPr="00DD0CFB">
        <w:t xml:space="preserve"> </w:t>
      </w:r>
      <w:r w:rsidR="006D4CDD" w:rsidRPr="00DD0CFB">
        <w:rPr>
          <w:i/>
          <w:iCs/>
        </w:rPr>
        <w:t>Neisseria meningitidis</w:t>
      </w:r>
      <w:r w:rsidR="006431D9" w:rsidRPr="00DD0CFB">
        <w:t>.</w:t>
      </w:r>
    </w:p>
    <w:tbl>
      <w:tblPr>
        <w:tblStyle w:val="ListTable3-Accent1"/>
        <w:tblW w:w="0" w:type="auto"/>
        <w:tblLook w:val="04A0" w:firstRow="1" w:lastRow="0" w:firstColumn="1" w:lastColumn="0" w:noHBand="0" w:noVBand="1"/>
      </w:tblPr>
      <w:tblGrid>
        <w:gridCol w:w="1023"/>
        <w:gridCol w:w="3740"/>
        <w:gridCol w:w="1945"/>
        <w:gridCol w:w="2309"/>
      </w:tblGrid>
      <w:tr w:rsidR="00495BE0" w:rsidRPr="00DD0CFB" w14:paraId="519B5F9B" w14:textId="77777777" w:rsidTr="298B97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 w:type="dxa"/>
          </w:tcPr>
          <w:p w14:paraId="13EA7212" w14:textId="758F9938" w:rsidR="00A53F74" w:rsidRPr="00DD0CFB" w:rsidRDefault="00A53F74" w:rsidP="0045470B">
            <w:pPr>
              <w:spacing w:before="120" w:after="120" w:line="240" w:lineRule="auto"/>
              <w:jc w:val="both"/>
            </w:pPr>
            <w:r w:rsidRPr="00DD0CFB">
              <w:t>Version</w:t>
            </w:r>
          </w:p>
        </w:tc>
        <w:tc>
          <w:tcPr>
            <w:tcW w:w="4229" w:type="dxa"/>
          </w:tcPr>
          <w:p w14:paraId="2426E91E" w14:textId="3DE828D3" w:rsidR="00A53F74" w:rsidRPr="00DD0CFB" w:rsidRDefault="00A53F74" w:rsidP="0045470B">
            <w:pPr>
              <w:spacing w:before="120" w:after="120" w:line="240" w:lineRule="auto"/>
              <w:jc w:val="both"/>
              <w:cnfStyle w:val="100000000000" w:firstRow="1" w:lastRow="0" w:firstColumn="0" w:lastColumn="0" w:oddVBand="0" w:evenVBand="0" w:oddHBand="0" w:evenHBand="0" w:firstRowFirstColumn="0" w:firstRowLastColumn="0" w:lastRowFirstColumn="0" w:lastRowLastColumn="0"/>
            </w:pPr>
            <w:r w:rsidRPr="00DD0CFB">
              <w:t>Status</w:t>
            </w:r>
          </w:p>
        </w:tc>
        <w:tc>
          <w:tcPr>
            <w:tcW w:w="2008" w:type="dxa"/>
          </w:tcPr>
          <w:p w14:paraId="03C9EFCE" w14:textId="529368B1" w:rsidR="00A53F74" w:rsidRPr="00DD0CFB" w:rsidRDefault="00A53F74" w:rsidP="0045470B">
            <w:pPr>
              <w:spacing w:before="120" w:after="120" w:line="240" w:lineRule="auto"/>
              <w:jc w:val="both"/>
              <w:cnfStyle w:val="100000000000" w:firstRow="1" w:lastRow="0" w:firstColumn="0" w:lastColumn="0" w:oddVBand="0" w:evenVBand="0" w:oddHBand="0" w:evenHBand="0" w:firstRowFirstColumn="0" w:firstRowLastColumn="0" w:lastRowFirstColumn="0" w:lastRowLastColumn="0"/>
            </w:pPr>
            <w:r w:rsidRPr="00DD0CFB">
              <w:t>Authorisation</w:t>
            </w:r>
          </w:p>
        </w:tc>
        <w:tc>
          <w:tcPr>
            <w:tcW w:w="2501" w:type="dxa"/>
          </w:tcPr>
          <w:p w14:paraId="75016562" w14:textId="3EAD2DE7" w:rsidR="00A53F74" w:rsidRPr="00DD0CFB" w:rsidRDefault="00A53F74" w:rsidP="0045470B">
            <w:pPr>
              <w:spacing w:before="120" w:after="120" w:line="240" w:lineRule="auto"/>
              <w:jc w:val="both"/>
              <w:cnfStyle w:val="100000000000" w:firstRow="1" w:lastRow="0" w:firstColumn="0" w:lastColumn="0" w:oddVBand="0" w:evenVBand="0" w:oddHBand="0" w:evenHBand="0" w:firstRowFirstColumn="0" w:firstRowLastColumn="0" w:lastRowFirstColumn="0" w:lastRowLastColumn="0"/>
            </w:pPr>
            <w:r w:rsidRPr="00DD0CFB">
              <w:t>Consensus Date</w:t>
            </w:r>
          </w:p>
        </w:tc>
      </w:tr>
      <w:tr w:rsidR="00A53F74" w:rsidRPr="00DD0CFB" w14:paraId="1F8F6488" w14:textId="77777777" w:rsidTr="298B9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tcPr>
          <w:p w14:paraId="50AF92A7" w14:textId="3E508A52" w:rsidR="00A53F74" w:rsidRPr="00DD0CFB" w:rsidRDefault="00A53F74" w:rsidP="0045470B">
            <w:pPr>
              <w:spacing w:before="120" w:after="120" w:line="240" w:lineRule="auto"/>
              <w:jc w:val="both"/>
            </w:pPr>
            <w:r w:rsidRPr="00DD0CFB">
              <w:t>1.1</w:t>
            </w:r>
          </w:p>
        </w:tc>
        <w:tc>
          <w:tcPr>
            <w:tcW w:w="4229" w:type="dxa"/>
          </w:tcPr>
          <w:p w14:paraId="7A99E63C" w14:textId="073D3EB0" w:rsidR="00A53F74" w:rsidRPr="00DD0CFB" w:rsidRDefault="006D056B" w:rsidP="0045470B">
            <w:pPr>
              <w:spacing w:before="120" w:after="120" w:line="240" w:lineRule="auto"/>
              <w:jc w:val="both"/>
              <w:cnfStyle w:val="000000100000" w:firstRow="0" w:lastRow="0" w:firstColumn="0" w:lastColumn="0" w:oddVBand="0" w:evenVBand="0" w:oddHBand="1" w:evenHBand="0" w:firstRowFirstColumn="0" w:firstRowLastColumn="0" w:lastRowFirstColumn="0" w:lastRowLastColumn="0"/>
            </w:pPr>
            <w:r w:rsidRPr="00DD0CFB">
              <w:t>Update to new template and content to ensure gold standards of practice ha</w:t>
            </w:r>
            <w:r w:rsidR="00B16BF7">
              <w:t>ve</w:t>
            </w:r>
            <w:r w:rsidRPr="00DD0CFB">
              <w:t xml:space="preserve"> been incorporated</w:t>
            </w:r>
          </w:p>
        </w:tc>
        <w:tc>
          <w:tcPr>
            <w:tcW w:w="2008" w:type="dxa"/>
          </w:tcPr>
          <w:p w14:paraId="7D227644" w14:textId="7FCAE210" w:rsidR="00A53F74" w:rsidRPr="00DD0CFB" w:rsidRDefault="00A53F74" w:rsidP="0045470B">
            <w:pPr>
              <w:spacing w:before="120" w:after="120" w:line="240" w:lineRule="auto"/>
              <w:jc w:val="both"/>
              <w:cnfStyle w:val="000000100000" w:firstRow="0" w:lastRow="0" w:firstColumn="0" w:lastColumn="0" w:oddVBand="0" w:evenVBand="0" w:oddHBand="1" w:evenHBand="0" w:firstRowFirstColumn="0" w:firstRowLastColumn="0" w:lastRowFirstColumn="0" w:lastRowLastColumn="0"/>
            </w:pPr>
            <w:r w:rsidRPr="00DD0CFB">
              <w:t>PHLN</w:t>
            </w:r>
          </w:p>
        </w:tc>
        <w:tc>
          <w:tcPr>
            <w:tcW w:w="2501" w:type="dxa"/>
          </w:tcPr>
          <w:p w14:paraId="2E201341" w14:textId="46E33F72" w:rsidR="00A53F74" w:rsidRPr="00DD0CFB" w:rsidRDefault="0D4AFB42" w:rsidP="0045470B">
            <w:pPr>
              <w:spacing w:before="120" w:after="120" w:line="240" w:lineRule="auto"/>
              <w:jc w:val="both"/>
              <w:cnfStyle w:val="000000100000" w:firstRow="0" w:lastRow="0" w:firstColumn="0" w:lastColumn="0" w:oddVBand="0" w:evenVBand="0" w:oddHBand="1" w:evenHBand="0" w:firstRowFirstColumn="0" w:firstRowLastColumn="0" w:lastRowFirstColumn="0" w:lastRowLastColumn="0"/>
            </w:pPr>
            <w:r w:rsidRPr="00DD0CFB">
              <w:t>13 September 2024</w:t>
            </w:r>
          </w:p>
        </w:tc>
      </w:tr>
      <w:tr w:rsidR="00A53F74" w:rsidRPr="00DD0CFB" w14:paraId="02B2C8C5" w14:textId="77777777" w:rsidTr="298B977C">
        <w:tc>
          <w:tcPr>
            <w:cnfStyle w:val="001000000000" w:firstRow="0" w:lastRow="0" w:firstColumn="1" w:lastColumn="0" w:oddVBand="0" w:evenVBand="0" w:oddHBand="0" w:evenHBand="0" w:firstRowFirstColumn="0" w:firstRowLastColumn="0" w:lastRowFirstColumn="0" w:lastRowLastColumn="0"/>
            <w:tcW w:w="279" w:type="dxa"/>
          </w:tcPr>
          <w:p w14:paraId="5B10668F" w14:textId="5346E218" w:rsidR="00A53F74" w:rsidRPr="00DD0CFB" w:rsidRDefault="00A53F74" w:rsidP="0045470B">
            <w:pPr>
              <w:spacing w:before="120" w:after="120" w:line="240" w:lineRule="auto"/>
              <w:jc w:val="both"/>
            </w:pPr>
            <w:r w:rsidRPr="00DD0CFB">
              <w:t>1.0</w:t>
            </w:r>
          </w:p>
        </w:tc>
        <w:tc>
          <w:tcPr>
            <w:tcW w:w="4229" w:type="dxa"/>
          </w:tcPr>
          <w:p w14:paraId="1F3B5BC9" w14:textId="7BBD2A33" w:rsidR="00A53F74" w:rsidRPr="00DD0CFB" w:rsidRDefault="00A53F74" w:rsidP="0045470B">
            <w:pPr>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rsidRPr="00DD0CFB">
              <w:t>Initial PHLN Laboratory Case Definition</w:t>
            </w:r>
          </w:p>
        </w:tc>
        <w:tc>
          <w:tcPr>
            <w:tcW w:w="2008" w:type="dxa"/>
          </w:tcPr>
          <w:p w14:paraId="433CEDB5" w14:textId="61438D1F" w:rsidR="00A53F74" w:rsidRPr="00DD0CFB" w:rsidRDefault="00A53F74" w:rsidP="0045470B">
            <w:pPr>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rsidRPr="00DD0CFB">
              <w:t>PHLN</w:t>
            </w:r>
          </w:p>
        </w:tc>
        <w:tc>
          <w:tcPr>
            <w:tcW w:w="2501" w:type="dxa"/>
          </w:tcPr>
          <w:p w14:paraId="137821BB" w14:textId="2C793369" w:rsidR="00A53F74" w:rsidRPr="00DD0CFB" w:rsidRDefault="006D056B" w:rsidP="0045470B">
            <w:pPr>
              <w:spacing w:before="120" w:after="120" w:line="240" w:lineRule="auto"/>
              <w:jc w:val="both"/>
              <w:cnfStyle w:val="000000000000" w:firstRow="0" w:lastRow="0" w:firstColumn="0" w:lastColumn="0" w:oddVBand="0" w:evenVBand="0" w:oddHBand="0" w:evenHBand="0" w:firstRowFirstColumn="0" w:firstRowLastColumn="0" w:lastRowFirstColumn="0" w:lastRowLastColumn="0"/>
            </w:pPr>
            <w:r w:rsidRPr="00DD0CFB">
              <w:t>28 August 2008</w:t>
            </w:r>
          </w:p>
        </w:tc>
      </w:tr>
    </w:tbl>
    <w:p w14:paraId="358CA5D4" w14:textId="77777777" w:rsidR="00495BE0" w:rsidRPr="00C30BE6" w:rsidRDefault="00495BE0" w:rsidP="00C30BE6">
      <w:r w:rsidRPr="00C30BE6">
        <w:br w:type="page"/>
      </w:r>
    </w:p>
    <w:p w14:paraId="53E35CFB" w14:textId="511F36F8" w:rsidR="006B7635" w:rsidRPr="00DD0CFB" w:rsidRDefault="006B7635" w:rsidP="00471FCD">
      <w:pPr>
        <w:pStyle w:val="Heading1"/>
      </w:pPr>
      <w:r w:rsidRPr="00DD0CFB">
        <w:lastRenderedPageBreak/>
        <w:t xml:space="preserve">PHLN </w:t>
      </w:r>
      <w:r w:rsidR="006431D9" w:rsidRPr="00DD0CFB">
        <w:t>s</w:t>
      </w:r>
      <w:r w:rsidRPr="00DD0CFB">
        <w:t>ummary laboratory definition</w:t>
      </w:r>
    </w:p>
    <w:p w14:paraId="5472EA97" w14:textId="748692FF" w:rsidR="006B7635" w:rsidRPr="00DD0CFB" w:rsidRDefault="006B7635" w:rsidP="00471FCD">
      <w:pPr>
        <w:pStyle w:val="Heading2"/>
      </w:pPr>
      <w:r w:rsidRPr="00DD0CFB">
        <w:t>Condition</w:t>
      </w:r>
    </w:p>
    <w:p w14:paraId="579E81CA" w14:textId="43015AE7" w:rsidR="006B7635" w:rsidRPr="00DD0CFB" w:rsidRDefault="00505574" w:rsidP="0045470B">
      <w:pPr>
        <w:jc w:val="both"/>
      </w:pPr>
      <w:r w:rsidRPr="00DD0CFB">
        <w:t>Invasive meningococcal disease</w:t>
      </w:r>
      <w:r w:rsidR="008B6E31" w:rsidRPr="00DD0CFB">
        <w:t xml:space="preserve"> </w:t>
      </w:r>
    </w:p>
    <w:p w14:paraId="76E6018A" w14:textId="02482FC1" w:rsidR="006B7635" w:rsidRPr="00DD0CFB" w:rsidRDefault="006B7635" w:rsidP="00471FCD">
      <w:pPr>
        <w:pStyle w:val="Heading3"/>
      </w:pPr>
      <w:r w:rsidRPr="00DD0CFB">
        <w:t xml:space="preserve">Definitive </w:t>
      </w:r>
      <w:r w:rsidR="006D70F9" w:rsidRPr="00DD0CFB">
        <w:t>c</w:t>
      </w:r>
      <w:r w:rsidRPr="00DD0CFB">
        <w:t>riteria</w:t>
      </w:r>
    </w:p>
    <w:bookmarkStart w:id="0" w:name="_Hlk120698183"/>
    <w:bookmarkStart w:id="1" w:name="_Hlk123904107"/>
    <w:p w14:paraId="22CFD79D" w14:textId="54C1EBDB" w:rsidR="0049615E" w:rsidRPr="00DD0CFB" w:rsidRDefault="00000000" w:rsidP="00C30BE6">
      <w:pPr>
        <w:pStyle w:val="NoSpacing"/>
      </w:pPr>
      <w:sdt>
        <w:sdtPr>
          <w:id w:val="-779954258"/>
          <w:placeholder>
            <w:docPart w:val="AA90EE60B5B1456EBD82805A4662F7E0"/>
          </w:placeholder>
          <w:text/>
        </w:sdtPr>
        <w:sdtContent>
          <w:r w:rsidR="00505574" w:rsidRPr="00DD0CFB">
            <w:t>Isolation</w:t>
          </w:r>
        </w:sdtContent>
      </w:sdt>
      <w:r w:rsidR="00380691" w:rsidRPr="00DD0CFB">
        <w:t xml:space="preserve"> </w:t>
      </w:r>
      <w:r w:rsidR="00866892" w:rsidRPr="00DD0CFB">
        <w:t xml:space="preserve">of </w:t>
      </w:r>
      <w:sdt>
        <w:sdtPr>
          <w:rPr>
            <w:i/>
            <w:iCs/>
          </w:rPr>
          <w:id w:val="1753165068"/>
          <w:placeholder>
            <w:docPart w:val="E197EC56741549E0B23ED4A691CD8BD9"/>
          </w:placeholder>
          <w:text/>
        </w:sdtPr>
        <w:sdtContent>
          <w:r w:rsidR="00E8130A" w:rsidRPr="00DD0CFB">
            <w:rPr>
              <w:i/>
              <w:iCs/>
            </w:rPr>
            <w:t xml:space="preserve">Neisseria meningitidis </w:t>
          </w:r>
        </w:sdtContent>
      </w:sdt>
      <w:r w:rsidR="44829AF1" w:rsidRPr="00DD0CFB">
        <w:t>from a</w:t>
      </w:r>
      <w:r w:rsidR="00ED586D" w:rsidRPr="00DD0CFB">
        <w:t xml:space="preserve"> </w:t>
      </w:r>
      <w:r w:rsidR="006D4CDD" w:rsidRPr="00DD0CFB">
        <w:rPr>
          <w:color w:val="222222"/>
        </w:rPr>
        <w:t>normally sterile site;</w:t>
      </w:r>
      <w:r w:rsidR="0049615E" w:rsidRPr="00DD0CFB">
        <w:t xml:space="preserve"> </w:t>
      </w:r>
      <w:sdt>
        <w:sdtPr>
          <w:rPr>
            <w:color w:val="222222"/>
          </w:rPr>
          <w:id w:val="-334774623"/>
          <w:placeholder>
            <w:docPart w:val="DEDEA9DEAD6C454FAFD16F9CDC170AB5"/>
          </w:placeholder>
          <w:text/>
        </w:sdtPr>
        <w:sdtContent>
          <w:r w:rsidR="006D4CDD" w:rsidRPr="00DD0CFB">
            <w:rPr>
              <w:color w:val="222222"/>
            </w:rPr>
            <w:t>OR</w:t>
          </w:r>
        </w:sdtContent>
      </w:sdt>
    </w:p>
    <w:bookmarkEnd w:id="0"/>
    <w:p w14:paraId="6FB3AAA3" w14:textId="3DFAF221" w:rsidR="00380691" w:rsidRPr="00DD0CFB" w:rsidRDefault="00000000" w:rsidP="00C30BE6">
      <w:pPr>
        <w:pStyle w:val="NoSpacing"/>
      </w:pPr>
      <w:sdt>
        <w:sdtPr>
          <w:id w:val="-1864888416"/>
          <w:placeholder>
            <w:docPart w:val="0C2221E770004440933232844AF9A58A"/>
          </w:placeholder>
          <w:text/>
        </w:sdtPr>
        <w:sdtContent>
          <w:r w:rsidR="006D4CDD" w:rsidRPr="00DD0CFB">
            <w:t>Detection</w:t>
          </w:r>
        </w:sdtContent>
      </w:sdt>
      <w:r w:rsidR="00380691" w:rsidRPr="00DD0CFB">
        <w:t xml:space="preserve"> of </w:t>
      </w:r>
      <w:sdt>
        <w:sdtPr>
          <w:id w:val="-1424186842"/>
          <w:placeholder>
            <w:docPart w:val="AB2B279A0BCD4C7C809D8550E8264AC9"/>
          </w:placeholder>
          <w:text/>
        </w:sdtPr>
        <w:sdtContent>
          <w:r w:rsidR="0045470B" w:rsidRPr="00DD0CFB">
            <w:t>specific meningococcal DNA targets in a specimen from a normally sterile site</w:t>
          </w:r>
        </w:sdtContent>
      </w:sdt>
      <w:r w:rsidR="00380691" w:rsidRPr="00DD0CFB">
        <w:t xml:space="preserve"> by </w:t>
      </w:r>
      <w:sdt>
        <w:sdtPr>
          <w:id w:val="-425201625"/>
          <w:placeholder>
            <w:docPart w:val="80F657076B724443A63E813CEAA65DE6"/>
          </w:placeholder>
          <w:text/>
        </w:sdtPr>
        <w:sdtContent>
          <w:r w:rsidR="006D4CDD" w:rsidRPr="00DD0CFB">
            <w:t>nucleic acid amplification testing</w:t>
          </w:r>
        </w:sdtContent>
      </w:sdt>
      <w:r w:rsidR="00380691" w:rsidRPr="00DD0CFB">
        <w:t>.</w:t>
      </w:r>
    </w:p>
    <w:bookmarkEnd w:id="1"/>
    <w:p w14:paraId="432D9A3A" w14:textId="1777814A" w:rsidR="006B7635" w:rsidRPr="00DD0CFB" w:rsidRDefault="006B7635" w:rsidP="00471FCD">
      <w:pPr>
        <w:pStyle w:val="Heading3"/>
      </w:pPr>
      <w:r w:rsidRPr="00DD0CFB">
        <w:t xml:space="preserve">Suggestive </w:t>
      </w:r>
      <w:r w:rsidR="006D70F9" w:rsidRPr="00DD0CFB">
        <w:t>c</w:t>
      </w:r>
      <w:r w:rsidRPr="00DD0CFB">
        <w:t>riteria</w:t>
      </w:r>
    </w:p>
    <w:p w14:paraId="64001853" w14:textId="39D98135" w:rsidR="009B32A2" w:rsidRPr="00DD0CFB" w:rsidRDefault="00000000" w:rsidP="00C30BE6">
      <w:pPr>
        <w:pStyle w:val="NoSpacing"/>
      </w:pPr>
      <w:sdt>
        <w:sdtPr>
          <w:id w:val="2143457438"/>
          <w:placeholder>
            <w:docPart w:val="DD100808A62E46A8A7B661430570ABDE"/>
          </w:placeholder>
          <w:text/>
        </w:sdtPr>
        <w:sdtContent>
          <w:r w:rsidR="006D4CDD" w:rsidRPr="00DD0CFB">
            <w:t>Detection</w:t>
          </w:r>
        </w:sdtContent>
      </w:sdt>
      <w:r w:rsidR="009B32A2" w:rsidRPr="00DD0CFB">
        <w:t xml:space="preserve"> of </w:t>
      </w:r>
      <w:sdt>
        <w:sdtPr>
          <w:id w:val="1597745239"/>
          <w:placeholder>
            <w:docPart w:val="F8DBFD4696634BDF802D52223F5B63A6"/>
          </w:placeholder>
          <w:text/>
        </w:sdtPr>
        <w:sdtContent>
          <w:r w:rsidR="006D4CDD" w:rsidRPr="00DD0CFB">
            <w:t>Gram-negative diplococci</w:t>
          </w:r>
        </w:sdtContent>
      </w:sdt>
      <w:r w:rsidR="009B32A2" w:rsidRPr="00DD0CFB">
        <w:t xml:space="preserve"> </w:t>
      </w:r>
      <w:r w:rsidR="006D4CDD" w:rsidRPr="00DD0CFB">
        <w:t>in</w:t>
      </w:r>
      <w:r w:rsidR="009B32A2" w:rsidRPr="00DD0CFB">
        <w:t xml:space="preserve"> </w:t>
      </w:r>
      <w:sdt>
        <w:sdtPr>
          <w:id w:val="1934855131"/>
          <w:placeholder>
            <w:docPart w:val="88BDBAD0B0294E8BAAA785B315E68769"/>
          </w:placeholder>
          <w:text/>
        </w:sdtPr>
        <w:sdtContent>
          <w:r w:rsidR="006D4CDD" w:rsidRPr="00DD0CFB">
            <w:t>Gram’s stain of specimen from a normally sterile site or from suspicious skin lesion</w:t>
          </w:r>
        </w:sdtContent>
      </w:sdt>
      <w:r w:rsidR="009B32A2" w:rsidRPr="00DD0CFB">
        <w:t xml:space="preserve"> </w:t>
      </w:r>
    </w:p>
    <w:p w14:paraId="5A0FF03A" w14:textId="77777777" w:rsidR="006B7635" w:rsidRPr="00DD0CFB" w:rsidRDefault="006B7635" w:rsidP="00471FCD">
      <w:pPr>
        <w:pStyle w:val="Heading1"/>
      </w:pPr>
      <w:r w:rsidRPr="00DD0CFB">
        <w:t>Introduction</w:t>
      </w:r>
    </w:p>
    <w:p w14:paraId="31247757" w14:textId="15CCF49C" w:rsidR="005A7A36" w:rsidRPr="00DD0CFB" w:rsidRDefault="005A7A36" w:rsidP="008A38BD">
      <w:pPr>
        <w:pStyle w:val="Heading2"/>
      </w:pPr>
      <w:r w:rsidRPr="00DD0CFB">
        <w:t>Epidemiology of meningococcal disease</w:t>
      </w:r>
    </w:p>
    <w:p w14:paraId="5E060D8F" w14:textId="5C3BD314" w:rsidR="00D11658" w:rsidRPr="00DD0CFB" w:rsidRDefault="005A7A36" w:rsidP="00C30BE6">
      <w:pPr>
        <w:rPr>
          <w:shd w:val="clear" w:color="auto" w:fill="FFFFFF"/>
        </w:rPr>
      </w:pPr>
      <w:r w:rsidRPr="00DD0CFB">
        <w:rPr>
          <w:shd w:val="clear" w:color="auto" w:fill="FFFFFF"/>
        </w:rPr>
        <w:t>Invasive meningococcal disease (IMD) is a rare but potentially life-threatening infection caused by the bacterium </w:t>
      </w:r>
      <w:r w:rsidRPr="00DD0CFB">
        <w:rPr>
          <w:rStyle w:val="Emphasis"/>
          <w:rFonts w:eastAsiaTheme="majorEastAsia"/>
          <w:color w:val="000000" w:themeColor="text1"/>
          <w:shd w:val="clear" w:color="auto" w:fill="FFFFFF"/>
        </w:rPr>
        <w:t>Neisseria meningitidis</w:t>
      </w:r>
      <w:r w:rsidRPr="00DD0CFB">
        <w:rPr>
          <w:shd w:val="clear" w:color="auto" w:fill="FFFFFF"/>
        </w:rPr>
        <w:t xml:space="preserve">, a Gram-negative diplococcus. Disease peaks occur in infants and young children (0-4 years), and adolescents and young adults (15-24 </w:t>
      </w:r>
      <w:proofErr w:type="gramStart"/>
      <w:r w:rsidRPr="00DD0CFB">
        <w:rPr>
          <w:shd w:val="clear" w:color="auto" w:fill="FFFFFF"/>
        </w:rPr>
        <w:t>years)</w:t>
      </w:r>
      <w:r w:rsidR="00446538" w:rsidRPr="00DD0CFB">
        <w:rPr>
          <w:shd w:val="clear" w:color="auto" w:fill="FFFFFF"/>
        </w:rPr>
        <w:t>(</w:t>
      </w:r>
      <w:proofErr w:type="gramEnd"/>
      <w:r w:rsidR="00446538" w:rsidRPr="00DD0CFB">
        <w:rPr>
          <w:shd w:val="clear" w:color="auto" w:fill="FFFFFF"/>
        </w:rPr>
        <w:t>1)</w:t>
      </w:r>
      <w:r w:rsidRPr="00DD0CFB">
        <w:rPr>
          <w:shd w:val="clear" w:color="auto" w:fill="FFFFFF"/>
        </w:rPr>
        <w:t>. The epidemiology of IMD fluctuates, and additionally</w:t>
      </w:r>
      <w:r w:rsidR="001A39D2" w:rsidRPr="00DD0CFB">
        <w:rPr>
          <w:shd w:val="clear" w:color="auto" w:fill="FFFFFF"/>
        </w:rPr>
        <w:t>,</w:t>
      </w:r>
      <w:r w:rsidRPr="00DD0CFB">
        <w:rPr>
          <w:shd w:val="clear" w:color="auto" w:fill="FFFFFF"/>
        </w:rPr>
        <w:t xml:space="preserve"> variable </w:t>
      </w:r>
      <w:r w:rsidRPr="00DD0CFB">
        <w:rPr>
          <w:i/>
          <w:iCs/>
          <w:shd w:val="clear" w:color="auto" w:fill="FFFFFF"/>
        </w:rPr>
        <w:t>N. meningitidis</w:t>
      </w:r>
      <w:r w:rsidRPr="00DD0CFB">
        <w:rPr>
          <w:shd w:val="clear" w:color="auto" w:fill="FFFFFF"/>
        </w:rPr>
        <w:t xml:space="preserve"> serogroup distribution is reported globally.</w:t>
      </w:r>
      <w:r w:rsidR="001A39D2" w:rsidRPr="00DD0CFB">
        <w:rPr>
          <w:shd w:val="clear" w:color="auto" w:fill="FFFFFF"/>
        </w:rPr>
        <w:t xml:space="preserve"> </w:t>
      </w:r>
      <w:r w:rsidRPr="00DD0CFB">
        <w:rPr>
          <w:shd w:val="clear" w:color="auto" w:fill="FFFFFF"/>
        </w:rPr>
        <w:t xml:space="preserve">Six </w:t>
      </w:r>
      <w:r w:rsidRPr="00DD0CFB">
        <w:rPr>
          <w:i/>
          <w:iCs/>
          <w:shd w:val="clear" w:color="auto" w:fill="FFFFFF"/>
        </w:rPr>
        <w:t>N. meningitidis</w:t>
      </w:r>
      <w:r w:rsidRPr="00DD0CFB">
        <w:rPr>
          <w:shd w:val="clear" w:color="auto" w:fill="FFFFFF"/>
        </w:rPr>
        <w:t xml:space="preserve"> serogroups (A, B, C, W, X and Y) are responsible for most IMD cases. (</w:t>
      </w:r>
      <w:r w:rsidR="005B2647" w:rsidRPr="00DD0CFB">
        <w:rPr>
          <w:shd w:val="clear" w:color="auto" w:fill="FFFFFF"/>
        </w:rPr>
        <w:t>2</w:t>
      </w:r>
      <w:r w:rsidRPr="00DD0CFB">
        <w:rPr>
          <w:shd w:val="clear" w:color="auto" w:fill="FFFFFF"/>
        </w:rPr>
        <w:t xml:space="preserve">) In Europe, the Americas and Australia </w:t>
      </w:r>
      <w:r w:rsidRPr="00DD0CFB">
        <w:rPr>
          <w:i/>
          <w:iCs/>
          <w:shd w:val="clear" w:color="auto" w:fill="FFFFFF"/>
        </w:rPr>
        <w:t>N. meningitidis</w:t>
      </w:r>
      <w:r w:rsidRPr="00DD0CFB">
        <w:rPr>
          <w:shd w:val="clear" w:color="auto" w:fill="FFFFFF"/>
        </w:rPr>
        <w:t xml:space="preserve"> B, W, Y, and C together account for a large majority of IMD. (</w:t>
      </w:r>
      <w:r w:rsidR="005B2647" w:rsidRPr="00DD0CFB">
        <w:rPr>
          <w:shd w:val="clear" w:color="auto" w:fill="FFFFFF"/>
        </w:rPr>
        <w:t>3</w:t>
      </w:r>
      <w:r w:rsidR="00D94676" w:rsidRPr="00DD0CFB">
        <w:rPr>
          <w:shd w:val="clear" w:color="auto" w:fill="FFFFFF"/>
        </w:rPr>
        <w:t>)</w:t>
      </w:r>
      <w:r w:rsidRPr="00DD0CFB">
        <w:rPr>
          <w:shd w:val="clear" w:color="auto" w:fill="FFFFFF"/>
        </w:rPr>
        <w:t xml:space="preserve"> </w:t>
      </w:r>
      <w:r w:rsidR="00D11658" w:rsidRPr="00DD0CFB">
        <w:rPr>
          <w:shd w:val="clear" w:color="auto" w:fill="FFFFFF"/>
        </w:rPr>
        <w:t>Currently, meningococcal serogroups B and W cause most meningococcal disease in Australia. Meningococcal serogroup B (</w:t>
      </w:r>
      <w:proofErr w:type="spellStart"/>
      <w:r w:rsidR="00D11658" w:rsidRPr="00DD0CFB">
        <w:rPr>
          <w:shd w:val="clear" w:color="auto" w:fill="FFFFFF"/>
        </w:rPr>
        <w:t>MenB</w:t>
      </w:r>
      <w:proofErr w:type="spellEnd"/>
      <w:r w:rsidR="00D11658" w:rsidRPr="00DD0CFB">
        <w:rPr>
          <w:shd w:val="clear" w:color="auto" w:fill="FFFFFF"/>
        </w:rPr>
        <w:t xml:space="preserve">) disease remains the most common cause of IMD in children, adolescents and young adults. Meningococcal disease caused by serogroups W and Y occurs over a more diverse age range </w:t>
      </w:r>
      <w:r w:rsidR="005B2647" w:rsidRPr="00DD0CFB">
        <w:rPr>
          <w:shd w:val="clear" w:color="auto" w:fill="FFFFFF"/>
        </w:rPr>
        <w:t xml:space="preserve">(4) </w:t>
      </w:r>
      <w:r w:rsidR="00D11658" w:rsidRPr="00DD0CFB">
        <w:rPr>
          <w:shd w:val="clear" w:color="auto" w:fill="FFFFFF"/>
        </w:rPr>
        <w:t>and may present with less typical clinical manifestations than disease due to other serogroups (</w:t>
      </w:r>
      <w:r w:rsidR="005B2647" w:rsidRPr="00DD0CFB">
        <w:rPr>
          <w:shd w:val="clear" w:color="auto" w:fill="FFFFFF"/>
        </w:rPr>
        <w:t>5,6</w:t>
      </w:r>
      <w:r w:rsidR="00D11658" w:rsidRPr="00DD0CFB">
        <w:rPr>
          <w:shd w:val="clear" w:color="auto" w:fill="FFFFFF"/>
        </w:rPr>
        <w:t>)</w:t>
      </w:r>
      <w:r w:rsidR="00C37E32" w:rsidRPr="00DD0CFB">
        <w:rPr>
          <w:shd w:val="clear" w:color="auto" w:fill="FFFFFF"/>
        </w:rPr>
        <w:t>.</w:t>
      </w:r>
    </w:p>
    <w:p w14:paraId="78A54297" w14:textId="743E0E8A" w:rsidR="005A7A36" w:rsidRPr="00DD0CFB" w:rsidRDefault="005A7A36" w:rsidP="00C30BE6">
      <w:pPr>
        <w:rPr>
          <w:shd w:val="clear" w:color="auto" w:fill="FFFFFF"/>
        </w:rPr>
      </w:pPr>
      <w:r w:rsidRPr="00DD0CFB">
        <w:rPr>
          <w:shd w:val="clear" w:color="auto" w:fill="FFFFFF"/>
        </w:rPr>
        <w:t xml:space="preserve">Several vaccines are available in Australia to reduce the risk of meningococcal disease. However, </w:t>
      </w:r>
      <w:r w:rsidR="001A39D2" w:rsidRPr="00DD0CFB">
        <w:rPr>
          <w:shd w:val="clear" w:color="auto" w:fill="FFFFFF"/>
        </w:rPr>
        <w:t xml:space="preserve">whilst </w:t>
      </w:r>
      <w:r w:rsidRPr="00DD0CFB">
        <w:rPr>
          <w:shd w:val="clear" w:color="auto" w:fill="FFFFFF"/>
        </w:rPr>
        <w:t>no single vaccine protects against all serogroups</w:t>
      </w:r>
      <w:r w:rsidR="001A39D2" w:rsidRPr="00DD0CFB">
        <w:rPr>
          <w:shd w:val="clear" w:color="auto" w:fill="FFFFFF"/>
        </w:rPr>
        <w:t>, t</w:t>
      </w:r>
      <w:r w:rsidRPr="00DD0CFB">
        <w:rPr>
          <w:shd w:val="clear" w:color="auto" w:fill="FFFFFF"/>
        </w:rPr>
        <w:t xml:space="preserve">here are monovalent </w:t>
      </w:r>
      <w:proofErr w:type="spellStart"/>
      <w:r w:rsidRPr="00DD0CFB">
        <w:rPr>
          <w:shd w:val="clear" w:color="auto" w:fill="FFFFFF"/>
        </w:rPr>
        <w:t>MenB</w:t>
      </w:r>
      <w:proofErr w:type="spellEnd"/>
      <w:r w:rsidRPr="00DD0CFB">
        <w:rPr>
          <w:shd w:val="clear" w:color="auto" w:fill="FFFFFF"/>
        </w:rPr>
        <w:t xml:space="preserve"> and </w:t>
      </w:r>
      <w:proofErr w:type="spellStart"/>
      <w:r w:rsidRPr="00DD0CFB">
        <w:rPr>
          <w:shd w:val="clear" w:color="auto" w:fill="FFFFFF"/>
        </w:rPr>
        <w:t>MenC</w:t>
      </w:r>
      <w:proofErr w:type="spellEnd"/>
      <w:r w:rsidRPr="00DD0CFB">
        <w:rPr>
          <w:shd w:val="clear" w:color="auto" w:fill="FFFFFF"/>
        </w:rPr>
        <w:t xml:space="preserve"> vaccines and a quadrivalent </w:t>
      </w:r>
      <w:proofErr w:type="spellStart"/>
      <w:r w:rsidRPr="00DD0CFB">
        <w:rPr>
          <w:shd w:val="clear" w:color="auto" w:fill="FFFFFF"/>
        </w:rPr>
        <w:t>MenACWY</w:t>
      </w:r>
      <w:proofErr w:type="spellEnd"/>
      <w:r w:rsidRPr="00DD0CFB">
        <w:rPr>
          <w:shd w:val="clear" w:color="auto" w:fill="FFFFFF"/>
        </w:rPr>
        <w:t xml:space="preserve"> conjugate vaccine.  Nationally vaccination recommendations include infants and adolescents, high risk groups and laboratory workers who frequently handle </w:t>
      </w:r>
      <w:r w:rsidRPr="00DD0CFB">
        <w:rPr>
          <w:i/>
          <w:iCs/>
          <w:shd w:val="clear" w:color="auto" w:fill="FFFFFF"/>
        </w:rPr>
        <w:t xml:space="preserve">N. meningitidis </w:t>
      </w:r>
      <w:r w:rsidRPr="00DD0CFB">
        <w:rPr>
          <w:shd w:val="clear" w:color="auto" w:fill="FFFFFF"/>
        </w:rPr>
        <w:t xml:space="preserve">and variably include </w:t>
      </w:r>
      <w:proofErr w:type="spellStart"/>
      <w:r w:rsidRPr="00DD0CFB">
        <w:rPr>
          <w:shd w:val="clear" w:color="auto" w:fill="FFFFFF"/>
        </w:rPr>
        <w:t>MenACWY</w:t>
      </w:r>
      <w:proofErr w:type="spellEnd"/>
      <w:r w:rsidRPr="00DD0CFB">
        <w:rPr>
          <w:shd w:val="clear" w:color="auto" w:fill="FFFFFF"/>
        </w:rPr>
        <w:t xml:space="preserve"> +/- </w:t>
      </w:r>
      <w:proofErr w:type="spellStart"/>
      <w:r w:rsidRPr="00DD0CFB">
        <w:rPr>
          <w:shd w:val="clear" w:color="auto" w:fill="FFFFFF"/>
        </w:rPr>
        <w:t>MenB</w:t>
      </w:r>
      <w:proofErr w:type="spellEnd"/>
      <w:r w:rsidRPr="00DD0CFB">
        <w:rPr>
          <w:shd w:val="clear" w:color="auto" w:fill="FFFFFF"/>
        </w:rPr>
        <w:t xml:space="preserve"> as detailed in the Australian Immunisation Handbook (</w:t>
      </w:r>
      <w:r w:rsidR="005B2647" w:rsidRPr="00DD0CFB">
        <w:rPr>
          <w:shd w:val="clear" w:color="auto" w:fill="FFFFFF"/>
        </w:rPr>
        <w:t>7</w:t>
      </w:r>
      <w:r w:rsidRPr="00DD0CFB">
        <w:rPr>
          <w:shd w:val="clear" w:color="auto" w:fill="FFFFFF"/>
        </w:rPr>
        <w:t xml:space="preserve">).  </w:t>
      </w:r>
    </w:p>
    <w:p w14:paraId="71B9C7C6" w14:textId="719A9590" w:rsidR="005A7A36" w:rsidRPr="00DD0CFB" w:rsidRDefault="005A7A36" w:rsidP="00471FCD">
      <w:pPr>
        <w:spacing w:after="120"/>
        <w:jc w:val="both"/>
        <w:rPr>
          <w:color w:val="000000" w:themeColor="text1"/>
        </w:rPr>
      </w:pPr>
      <w:r w:rsidRPr="00DD0CFB">
        <w:rPr>
          <w:color w:val="000000" w:themeColor="text1"/>
          <w:shd w:val="clear" w:color="auto" w:fill="FFFFFF"/>
        </w:rPr>
        <w:lastRenderedPageBreak/>
        <w:t xml:space="preserve">Globally, IMD occurs sporadically, and in clusters and epidemics. Endemic meningococcal disease is found worldwide, sometimes with high disease incidence (hyperendemic disease). Some countries, many of which are in the sub-Saharan ‘meningitis belt’, experience epidemic waves of disease. A seasonal peak in IMD incidence in temperate climates is usual with </w:t>
      </w:r>
      <w:r w:rsidR="001A39D2" w:rsidRPr="00DD0CFB">
        <w:rPr>
          <w:color w:val="000000" w:themeColor="text1"/>
          <w:shd w:val="clear" w:color="auto" w:fill="FFFFFF"/>
        </w:rPr>
        <w:t>most</w:t>
      </w:r>
      <w:r w:rsidRPr="00DD0CFB">
        <w:rPr>
          <w:color w:val="000000" w:themeColor="text1"/>
          <w:shd w:val="clear" w:color="auto" w:fill="FFFFFF"/>
        </w:rPr>
        <w:t xml:space="preserve"> cases occurring in late winter/early spring. The correlation between high rates IMD and crowded living and social conditions, smoking, and antecedent respiratory infections, particularly influenza is recognised</w:t>
      </w:r>
      <w:r w:rsidR="001A39D2" w:rsidRPr="00DD0CFB">
        <w:rPr>
          <w:color w:val="000000" w:themeColor="text1"/>
          <w:shd w:val="clear" w:color="auto" w:fill="FFFFFF"/>
        </w:rPr>
        <w:t>,</w:t>
      </w:r>
      <w:r w:rsidRPr="00DD0CFB">
        <w:rPr>
          <w:color w:val="000000" w:themeColor="text1"/>
          <w:shd w:val="clear" w:color="auto" w:fill="FFFFFF"/>
        </w:rPr>
        <w:t xml:space="preserve"> with clear correlation between influenza and IMD spikes reported in Australia and elsewhere.</w:t>
      </w:r>
      <w:r w:rsidR="001A39D2" w:rsidRPr="00DD0CFB">
        <w:rPr>
          <w:color w:val="000000" w:themeColor="text1"/>
          <w:shd w:val="clear" w:color="auto" w:fill="FFFFFF"/>
        </w:rPr>
        <w:t xml:space="preserve"> </w:t>
      </w:r>
      <w:r w:rsidRPr="00DD0CFB">
        <w:rPr>
          <w:color w:val="000000" w:themeColor="text1"/>
          <w:shd w:val="clear" w:color="auto" w:fill="FFFFFF"/>
        </w:rPr>
        <w:t>(</w:t>
      </w:r>
      <w:r w:rsidR="005B2647" w:rsidRPr="00DD0CFB">
        <w:rPr>
          <w:color w:val="000000" w:themeColor="text1"/>
          <w:shd w:val="clear" w:color="auto" w:fill="FFFFFF"/>
        </w:rPr>
        <w:t>8</w:t>
      </w:r>
      <w:r w:rsidR="000B03A2" w:rsidRPr="00DD0CFB">
        <w:rPr>
          <w:color w:val="000000" w:themeColor="text1"/>
          <w:shd w:val="clear" w:color="auto" w:fill="FFFFFF"/>
        </w:rPr>
        <w:t>) Household</w:t>
      </w:r>
      <w:r w:rsidRPr="00DD0CFB">
        <w:rPr>
          <w:color w:val="000000" w:themeColor="text1"/>
          <w:shd w:val="clear" w:color="auto" w:fill="FFFFFF"/>
        </w:rPr>
        <w:t xml:space="preserve"> contacts of meningococcal disease have a risk of acquiring infection approximately 600–1000 times the age-specific incidence in the general population. Important factors predisposing individuals to IMD </w:t>
      </w:r>
      <w:r w:rsidRPr="00DD0CFB">
        <w:rPr>
          <w:color w:val="000000" w:themeColor="text1"/>
        </w:rPr>
        <w:t>include persistent complement component deficiencies (including the use of a complement component inhibitor e.g. eculizumab)</w:t>
      </w:r>
      <w:r w:rsidR="003B227E" w:rsidRPr="00DD0CFB">
        <w:rPr>
          <w:color w:val="000000" w:themeColor="text1"/>
        </w:rPr>
        <w:t>,</w:t>
      </w:r>
      <w:r w:rsidRPr="00DD0CFB">
        <w:rPr>
          <w:color w:val="000000" w:themeColor="text1"/>
        </w:rPr>
        <w:t xml:space="preserve"> functional or anatomic asplenia, persons with HIV, travel to regions where IMD is hyperendemic or epidemic, risk level exposure during an outbreak or</w:t>
      </w:r>
      <w:r w:rsidR="00F80116" w:rsidRPr="00DD0CFB">
        <w:rPr>
          <w:color w:val="000000" w:themeColor="text1"/>
        </w:rPr>
        <w:t xml:space="preserve"> exposure</w:t>
      </w:r>
      <w:r w:rsidRPr="00DD0CFB">
        <w:rPr>
          <w:color w:val="000000" w:themeColor="text1"/>
        </w:rPr>
        <w:t xml:space="preserve"> in a clinical</w:t>
      </w:r>
      <w:r w:rsidR="00F80116" w:rsidRPr="00DD0CFB">
        <w:rPr>
          <w:color w:val="000000" w:themeColor="text1"/>
        </w:rPr>
        <w:t xml:space="preserve"> or laboratory</w:t>
      </w:r>
      <w:r w:rsidRPr="00DD0CFB">
        <w:rPr>
          <w:color w:val="000000" w:themeColor="text1"/>
        </w:rPr>
        <w:t xml:space="preserve"> setting. Microbiologists who routinely work with isolates of </w:t>
      </w:r>
      <w:r w:rsidRPr="00DD0CFB">
        <w:rPr>
          <w:rStyle w:val="Emphasis"/>
          <w:color w:val="000000" w:themeColor="text1"/>
        </w:rPr>
        <w:t>N. meningitidis </w:t>
      </w:r>
      <w:r w:rsidRPr="00DD0CFB">
        <w:rPr>
          <w:color w:val="000000" w:themeColor="text1"/>
        </w:rPr>
        <w:t>are also at risk.</w:t>
      </w:r>
    </w:p>
    <w:p w14:paraId="7F31EA04" w14:textId="77777777" w:rsidR="005A7A36" w:rsidRPr="00DD0CFB" w:rsidRDefault="005A7A36" w:rsidP="008A38BD">
      <w:pPr>
        <w:pStyle w:val="Heading2"/>
      </w:pPr>
      <w:r w:rsidRPr="00DD0CFB">
        <w:t>Clinical manifestations of invasive meningococcal disease</w:t>
      </w:r>
    </w:p>
    <w:p w14:paraId="38EB9BA8" w14:textId="4298729C" w:rsidR="005A7A36" w:rsidRPr="00DD0CFB" w:rsidRDefault="005A7A36" w:rsidP="00471FCD">
      <w:pPr>
        <w:spacing w:after="120"/>
        <w:jc w:val="both"/>
        <w:rPr>
          <w:color w:val="000000" w:themeColor="text1"/>
          <w:shd w:val="clear" w:color="auto" w:fill="FFFFFF"/>
        </w:rPr>
      </w:pPr>
      <w:r w:rsidRPr="00DD0CFB">
        <w:rPr>
          <w:i/>
          <w:iCs/>
          <w:color w:val="000000" w:themeColor="text1"/>
          <w:shd w:val="clear" w:color="auto" w:fill="FFFFFF"/>
        </w:rPr>
        <w:t xml:space="preserve">N. meningitidis </w:t>
      </w:r>
      <w:r w:rsidRPr="00DD0CFB">
        <w:rPr>
          <w:color w:val="000000" w:themeColor="text1"/>
          <w:shd w:val="clear" w:color="auto" w:fill="FFFFFF"/>
        </w:rPr>
        <w:t>is an obligate commensal of humans normally colonising the mucosa of the upper respiratory tract. Carriage rates range from 1-40% varying with age, setting and population (</w:t>
      </w:r>
      <w:r w:rsidR="005B2647" w:rsidRPr="00DD0CFB">
        <w:rPr>
          <w:color w:val="000000" w:themeColor="text1"/>
          <w:shd w:val="clear" w:color="auto" w:fill="FFFFFF"/>
        </w:rPr>
        <w:t>9</w:t>
      </w:r>
      <w:r w:rsidRPr="00DD0CFB">
        <w:rPr>
          <w:color w:val="000000" w:themeColor="text1"/>
          <w:shd w:val="clear" w:color="auto" w:fill="FFFFFF"/>
        </w:rPr>
        <w:t xml:space="preserve">).  Meningococci are transmitted via respiratory droplets or secretions from persons with asymptomatic colonisation or meningococcal disease. They attach to and multiply in the mucosal cells of the </w:t>
      </w:r>
      <w:proofErr w:type="spellStart"/>
      <w:r w:rsidRPr="00DD0CFB">
        <w:rPr>
          <w:color w:val="000000" w:themeColor="text1"/>
          <w:shd w:val="clear" w:color="auto" w:fill="FFFFFF"/>
        </w:rPr>
        <w:t>naso</w:t>
      </w:r>
      <w:proofErr w:type="spellEnd"/>
      <w:r w:rsidRPr="00DD0CFB">
        <w:rPr>
          <w:color w:val="000000" w:themeColor="text1"/>
          <w:shd w:val="clear" w:color="auto" w:fill="FFFFFF"/>
        </w:rPr>
        <w:t>- and oropharynx and can penetrate</w:t>
      </w:r>
      <w:r w:rsidRPr="00DD0CFB">
        <w:rPr>
          <w:color w:val="000000" w:themeColor="text1"/>
        </w:rPr>
        <w:t xml:space="preserve"> the mucosal epithelial cells and enter the blood stream, where they can survive and multiply intravascularly</w:t>
      </w:r>
      <w:r w:rsidR="00446538" w:rsidRPr="00DD0CFB">
        <w:rPr>
          <w:color w:val="000000" w:themeColor="text1"/>
        </w:rPr>
        <w:t xml:space="preserve"> (</w:t>
      </w:r>
      <w:r w:rsidR="005B2647" w:rsidRPr="00DD0CFB">
        <w:rPr>
          <w:color w:val="000000" w:themeColor="text1"/>
        </w:rPr>
        <w:t>10</w:t>
      </w:r>
      <w:r w:rsidR="00446538" w:rsidRPr="00DD0CFB">
        <w:rPr>
          <w:color w:val="000000" w:themeColor="text1"/>
        </w:rPr>
        <w:t>)</w:t>
      </w:r>
      <w:r w:rsidRPr="00DD0CFB">
        <w:rPr>
          <w:color w:val="000000" w:themeColor="text1"/>
        </w:rPr>
        <w:t>.</w:t>
      </w:r>
      <w:r w:rsidRPr="00DD0CFB">
        <w:rPr>
          <w:color w:val="000000" w:themeColor="text1"/>
          <w:shd w:val="clear" w:color="auto" w:fill="FFFFFF"/>
        </w:rPr>
        <w:t xml:space="preserve"> </w:t>
      </w:r>
    </w:p>
    <w:p w14:paraId="41BF4DC7" w14:textId="5DA4C126" w:rsidR="005A7A36" w:rsidRPr="00DD0CFB" w:rsidRDefault="005A7A36" w:rsidP="00C30BE6">
      <w:r w:rsidRPr="00DD0CFB">
        <w:rPr>
          <w:shd w:val="clear" w:color="auto" w:fill="FFFFFF"/>
        </w:rPr>
        <w:t xml:space="preserve">The incubation period is typically 3 to 4 days, with a range of 1 to 10 days. Meningitis is the most common presentation of IMD (~50%) with symptoms typically including sudden onset of fever, headache, and stiff neck, often accompanied by nausea, vomiting, photophobia and altered mental status. </w:t>
      </w:r>
      <w:r w:rsidRPr="00DD0CFB">
        <w:rPr>
          <w:i/>
          <w:iCs/>
          <w:shd w:val="clear" w:color="auto" w:fill="FFFFFF"/>
        </w:rPr>
        <w:t>N. meningitidis</w:t>
      </w:r>
      <w:r w:rsidRPr="00DD0CFB">
        <w:rPr>
          <w:shd w:val="clear" w:color="auto" w:fill="FFFFFF"/>
        </w:rPr>
        <w:t xml:space="preserve"> can be isolated from the blood in up to 75% of persons with meningitis </w:t>
      </w:r>
      <w:r w:rsidR="00446538" w:rsidRPr="00DD0CFB">
        <w:rPr>
          <w:shd w:val="clear" w:color="auto" w:fill="FFFFFF"/>
        </w:rPr>
        <w:t>(</w:t>
      </w:r>
      <w:r w:rsidR="005B2647" w:rsidRPr="00DD0CFB">
        <w:rPr>
          <w:shd w:val="clear" w:color="auto" w:fill="FFFFFF"/>
        </w:rPr>
        <w:t>11</w:t>
      </w:r>
      <w:r w:rsidR="00C37E32" w:rsidRPr="00DD0CFB">
        <w:rPr>
          <w:shd w:val="clear" w:color="auto" w:fill="FFFFFF"/>
        </w:rPr>
        <w:t>.</w:t>
      </w:r>
      <w:r w:rsidR="00446538" w:rsidRPr="00DD0CFB">
        <w:rPr>
          <w:shd w:val="clear" w:color="auto" w:fill="FFFFFF"/>
        </w:rPr>
        <w:t>)</w:t>
      </w:r>
      <w:r w:rsidRPr="00DD0CFB">
        <w:rPr>
          <w:shd w:val="clear" w:color="auto" w:fill="FFFFFF"/>
        </w:rPr>
        <w:t xml:space="preserve"> </w:t>
      </w:r>
      <w:r w:rsidRPr="00DD0CFB">
        <w:t>Sepsis without meningitis occurs in about 30% of IMD, character</w:t>
      </w:r>
      <w:r w:rsidR="00DD0CFB" w:rsidRPr="00DD0CFB">
        <w:t>is</w:t>
      </w:r>
      <w:r w:rsidRPr="00DD0CFB">
        <w:t xml:space="preserve">ed by abrupt onset of fever; chills; cold hands and feet; severe aches or pain in the muscles, joints, chest; gastrointestinal symptoms including abdominal pain, vomiting and diarrhoea; and a petechial or purpuric rash, often associated with hypotension, shock, acute adrenal haemorrhage, and multiorgan failure. Meningococcal pneumonia is the most common presentation of IMD in adults over 65 years of age in the USA </w:t>
      </w:r>
      <w:r w:rsidR="003837F5" w:rsidRPr="00DD0CFB">
        <w:t>(</w:t>
      </w:r>
      <w:r w:rsidR="005B2647" w:rsidRPr="00DD0CFB">
        <w:t>11</w:t>
      </w:r>
      <w:r w:rsidR="00446538" w:rsidRPr="00DD0CFB">
        <w:t>)</w:t>
      </w:r>
      <w:r w:rsidRPr="00DD0CFB">
        <w:t xml:space="preserve">. Other IMD syndromes involving isolation of meningococci from normally sterile body sites, such as septic arthritis, are also reported. Meningococci also occasionally cause non-invasive infections such as </w:t>
      </w:r>
      <w:r w:rsidRPr="00DD0CFB">
        <w:lastRenderedPageBreak/>
        <w:t xml:space="preserve">conjunctivitis or urethritis. Non-invasive illness due to meningococci is not nationally notifiable and the incidence is unclear, however the potential for progression to IMD is recognised.   </w:t>
      </w:r>
    </w:p>
    <w:p w14:paraId="1C07C914" w14:textId="43832544" w:rsidR="005A7A36" w:rsidRPr="00DD0CFB" w:rsidRDefault="005A7A36" w:rsidP="00C30BE6">
      <w:pPr>
        <w:rPr>
          <w:shd w:val="clear" w:color="auto" w:fill="FFFFFF"/>
        </w:rPr>
      </w:pPr>
      <w:r w:rsidRPr="00DD0CFB">
        <w:rPr>
          <w:shd w:val="clear" w:color="auto" w:fill="FFFFFF"/>
        </w:rPr>
        <w:t>The overall case-fatality ratio of IMD is 10% to 15%, even with appropriate antibiotic therapy and care, and can be higher in persons with meningococcal sepsis. As many as 20% of survivors have permanent sequelae, such as hearing loss, neurologic damage, or loss of a limb</w:t>
      </w:r>
      <w:r w:rsidR="003837F5" w:rsidRPr="00DD0CFB">
        <w:rPr>
          <w:shd w:val="clear" w:color="auto" w:fill="FFFFFF"/>
        </w:rPr>
        <w:t xml:space="preserve"> (</w:t>
      </w:r>
      <w:r w:rsidR="005B2647" w:rsidRPr="00DD0CFB">
        <w:rPr>
          <w:shd w:val="clear" w:color="auto" w:fill="FFFFFF"/>
        </w:rPr>
        <w:t>11</w:t>
      </w:r>
      <w:r w:rsidR="00446538" w:rsidRPr="00DD0CFB">
        <w:rPr>
          <w:shd w:val="clear" w:color="auto" w:fill="FFFFFF"/>
        </w:rPr>
        <w:t>)</w:t>
      </w:r>
      <w:r w:rsidRPr="00DD0CFB">
        <w:rPr>
          <w:shd w:val="clear" w:color="auto" w:fill="FFFFFF"/>
        </w:rPr>
        <w:t>.</w:t>
      </w:r>
    </w:p>
    <w:p w14:paraId="0FABE2BF" w14:textId="2654BDF3" w:rsidR="005A7A36" w:rsidRPr="00DD0CFB" w:rsidRDefault="005A7A36" w:rsidP="005A43C3">
      <w:pPr>
        <w:pStyle w:val="Heading2"/>
      </w:pPr>
      <w:r w:rsidRPr="00DD0CFB">
        <w:t>Relevant features of </w:t>
      </w:r>
      <w:r w:rsidRPr="00DD0CFB">
        <w:rPr>
          <w:rStyle w:val="Emphasis"/>
          <w:rFonts w:eastAsiaTheme="majorEastAsia"/>
          <w:b/>
          <w:bCs/>
          <w:color w:val="000000" w:themeColor="text1"/>
          <w:szCs w:val="24"/>
        </w:rPr>
        <w:t>Neisseria meningitidis</w:t>
      </w:r>
    </w:p>
    <w:p w14:paraId="6ED22A41" w14:textId="28AA8BFE" w:rsidR="005A7A36" w:rsidRPr="00DD0CFB" w:rsidRDefault="005A7A36" w:rsidP="00C30BE6">
      <w:r w:rsidRPr="00DD0CFB">
        <w:rPr>
          <w:rStyle w:val="Emphasis"/>
          <w:rFonts w:eastAsiaTheme="majorEastAsia"/>
          <w:color w:val="000000" w:themeColor="text1"/>
          <w:shd w:val="clear" w:color="auto" w:fill="FFFFFF"/>
        </w:rPr>
        <w:t>N. meningitidis</w:t>
      </w:r>
      <w:r w:rsidRPr="00DD0CFB">
        <w:rPr>
          <w:shd w:val="clear" w:color="auto" w:fill="FFFFFF"/>
        </w:rPr>
        <w:t xml:space="preserve"> is a human specific pathogen. Strains causing invasive disease almost always possess a polysaccharide capsule </w:t>
      </w:r>
      <w:r w:rsidR="00935D59" w:rsidRPr="00DD0CFB">
        <w:rPr>
          <w:shd w:val="clear" w:color="auto" w:fill="FFFFFF"/>
        </w:rPr>
        <w:t xml:space="preserve">that </w:t>
      </w:r>
      <w:r w:rsidRPr="00DD0CFB">
        <w:rPr>
          <w:shd w:val="clear" w:color="auto" w:fill="FFFFFF"/>
        </w:rPr>
        <w:t xml:space="preserve">defines the serogroup. Humoral immunity to the capsule is an essential factor in prevention of meningococcal disease. Meningococci have a typical Gram-negative cell wall and the lipopolysaccharide components (endotoxin) of the outer membrane are continually shed as blebs during multiplication in vivo provoking the host response and clinical features of the disease. The outer membrane protein component of the cell wall includes immunogenic porin proteins involved in adhesion and attachment of meningococci to epithelial surfaces. Most </w:t>
      </w:r>
      <w:r w:rsidRPr="00DD0CFB">
        <w:rPr>
          <w:i/>
          <w:shd w:val="clear" w:color="auto" w:fill="FFFFFF"/>
        </w:rPr>
        <w:t xml:space="preserve">Neisseria </w:t>
      </w:r>
      <w:r w:rsidRPr="00DD0CFB">
        <w:rPr>
          <w:shd w:val="clear" w:color="auto" w:fill="FFFFFF"/>
        </w:rPr>
        <w:t xml:space="preserve">species express one porin </w:t>
      </w:r>
      <w:r w:rsidR="001A39D2" w:rsidRPr="00DD0CFB">
        <w:rPr>
          <w:shd w:val="clear" w:color="auto" w:fill="FFFFFF"/>
        </w:rPr>
        <w:t>protein,</w:t>
      </w:r>
      <w:r w:rsidRPr="00DD0CFB">
        <w:rPr>
          <w:shd w:val="clear" w:color="auto" w:fill="FFFFFF"/>
        </w:rPr>
        <w:t xml:space="preserve"> but meningococci possess and express both </w:t>
      </w:r>
      <w:proofErr w:type="spellStart"/>
      <w:r w:rsidRPr="00DD0CFB">
        <w:rPr>
          <w:i/>
          <w:iCs/>
          <w:shd w:val="clear" w:color="auto" w:fill="FFFFFF"/>
        </w:rPr>
        <w:t>porA</w:t>
      </w:r>
      <w:proofErr w:type="spellEnd"/>
      <w:r w:rsidRPr="00DD0CFB">
        <w:rPr>
          <w:shd w:val="clear" w:color="auto" w:fill="FFFFFF"/>
        </w:rPr>
        <w:t xml:space="preserve"> and </w:t>
      </w:r>
      <w:proofErr w:type="spellStart"/>
      <w:r w:rsidRPr="00DD0CFB">
        <w:rPr>
          <w:i/>
          <w:iCs/>
          <w:shd w:val="clear" w:color="auto" w:fill="FFFFFF"/>
        </w:rPr>
        <w:t>porB</w:t>
      </w:r>
      <w:proofErr w:type="spellEnd"/>
      <w:r w:rsidRPr="00DD0CFB">
        <w:rPr>
          <w:shd w:val="clear" w:color="auto" w:fill="FFFFFF"/>
        </w:rPr>
        <w:t xml:space="preserve"> genes which are relevant to in vitro </w:t>
      </w:r>
      <w:proofErr w:type="spellStart"/>
      <w:r w:rsidRPr="00DD0CFB">
        <w:rPr>
          <w:shd w:val="clear" w:color="auto" w:fill="FFFFFF"/>
        </w:rPr>
        <w:t>pheno</w:t>
      </w:r>
      <w:proofErr w:type="spellEnd"/>
      <w:r w:rsidRPr="00DD0CFB">
        <w:rPr>
          <w:shd w:val="clear" w:color="auto" w:fill="FFFFFF"/>
        </w:rPr>
        <w:t xml:space="preserve">- or genotyping systems and contribute to virulence. Another relevant feature of meningococci is their genetic diversity, explained in part at least by horizontal inter and intraspecies recombination and acquisition of genetic material from closely related </w:t>
      </w:r>
      <w:r w:rsidRPr="00DD0CFB">
        <w:rPr>
          <w:i/>
          <w:shd w:val="clear" w:color="auto" w:fill="FFFFFF"/>
        </w:rPr>
        <w:t xml:space="preserve">Neisseria </w:t>
      </w:r>
      <w:r w:rsidRPr="00DD0CFB">
        <w:rPr>
          <w:shd w:val="clear" w:color="auto" w:fill="FFFFFF"/>
        </w:rPr>
        <w:t>species and other genera located in the respiratory tract. These features are relevant to both diagnostic and typing methods for meningococci.</w:t>
      </w:r>
    </w:p>
    <w:p w14:paraId="7A0043CB" w14:textId="513A3493" w:rsidR="00751598" w:rsidRPr="00DD0CFB" w:rsidRDefault="00A432D2" w:rsidP="00471FCD">
      <w:pPr>
        <w:pStyle w:val="Heading1"/>
      </w:pPr>
      <w:r w:rsidRPr="00DD0CFB">
        <w:t>Laboratory diagnosis</w:t>
      </w:r>
    </w:p>
    <w:p w14:paraId="633430B6" w14:textId="7C269977" w:rsidR="00F62BFF" w:rsidRPr="00DD0CFB" w:rsidRDefault="00CC44B0" w:rsidP="00C30BE6">
      <w:bookmarkStart w:id="2" w:name="_Hlk125031091"/>
      <w:r w:rsidRPr="00DD0CFB">
        <w:t xml:space="preserve">The laboratory diagnosis of IMD depends on the demonstration of </w:t>
      </w:r>
      <w:r w:rsidRPr="00DD0CFB">
        <w:rPr>
          <w:i/>
          <w:iCs/>
        </w:rPr>
        <w:t>N. meningitidis</w:t>
      </w:r>
      <w:r w:rsidRPr="00DD0CFB">
        <w:t>, or specific meningococcal DNA sequences in samples from normally sterile sites.</w:t>
      </w:r>
    </w:p>
    <w:bookmarkEnd w:id="2"/>
    <w:p w14:paraId="7734C37A" w14:textId="622922A5" w:rsidR="00E71D87" w:rsidRPr="00DD0CFB" w:rsidRDefault="00CC44B0" w:rsidP="00471FCD">
      <w:pPr>
        <w:pStyle w:val="Heading2"/>
      </w:pPr>
      <w:r w:rsidRPr="00DD0CFB">
        <w:t>Microscopy</w:t>
      </w:r>
    </w:p>
    <w:p w14:paraId="3E3C1F60" w14:textId="6C6B0346" w:rsidR="00E71D87" w:rsidRPr="00DD0CFB" w:rsidRDefault="00D70D25" w:rsidP="00C30BE6">
      <w:r w:rsidRPr="00DD0CFB">
        <w:t xml:space="preserve">Visualisation of </w:t>
      </w:r>
      <w:r w:rsidR="00CC44B0" w:rsidRPr="00DD0CFB">
        <w:t>Gram-negative diplococci (GNDC)</w:t>
      </w:r>
      <w:r w:rsidRPr="00DD0CFB">
        <w:t xml:space="preserve"> is sufficient for the presumptive diagnosis in sterile sites</w:t>
      </w:r>
      <w:r w:rsidR="00CC44B0" w:rsidRPr="00DD0CFB">
        <w:t>. The sensitivity</w:t>
      </w:r>
      <w:r w:rsidRPr="00DD0CFB">
        <w:t xml:space="preserve"> of microscopy is </w:t>
      </w:r>
      <w:r w:rsidR="00BF0F4D" w:rsidRPr="00DD0CFB">
        <w:t>dependent</w:t>
      </w:r>
      <w:r w:rsidRPr="00DD0CFB">
        <w:t xml:space="preserve"> on the anatomical site</w:t>
      </w:r>
      <w:r w:rsidR="00CC44B0" w:rsidRPr="00DD0CFB">
        <w:t>, stage of the disease, intercurrent use of antibiotics and experience of the microscopist.</w:t>
      </w:r>
    </w:p>
    <w:p w14:paraId="238C69B0" w14:textId="354298A7" w:rsidR="00E71D87" w:rsidRPr="00DD0CFB" w:rsidRDefault="00CC44B0" w:rsidP="00471FCD">
      <w:pPr>
        <w:pStyle w:val="Heading3"/>
      </w:pPr>
      <w:r w:rsidRPr="00DD0CFB">
        <w:t>C</w:t>
      </w:r>
      <w:r w:rsidR="0045470B" w:rsidRPr="00DD0CFB">
        <w:t xml:space="preserve">erebrospinal fluid </w:t>
      </w:r>
      <w:r w:rsidRPr="00DD0CFB">
        <w:t>specimens</w:t>
      </w:r>
    </w:p>
    <w:p w14:paraId="5CBF472C" w14:textId="16DCCF68" w:rsidR="00E71D87" w:rsidRPr="00DD0CFB" w:rsidRDefault="00CC44B0" w:rsidP="0045470B">
      <w:pPr>
        <w:jc w:val="both"/>
      </w:pPr>
      <w:r w:rsidRPr="00DD0CFB">
        <w:lastRenderedPageBreak/>
        <w:t xml:space="preserve">Cytocentrifugation of </w:t>
      </w:r>
      <w:r w:rsidR="0045470B" w:rsidRPr="00DD0CFB">
        <w:t>cerebrospinal fluid (</w:t>
      </w:r>
      <w:r w:rsidRPr="00DD0CFB">
        <w:t>CSF</w:t>
      </w:r>
      <w:r w:rsidR="0045470B" w:rsidRPr="00DD0CFB">
        <w:t>)</w:t>
      </w:r>
      <w:r w:rsidRPr="00DD0CFB">
        <w:t xml:space="preserve"> increases the sensitivity of microscopy. Classically CSF from meningococcal meningitis reveals a high </w:t>
      </w:r>
      <w:r w:rsidRPr="00C30BE6">
        <w:t>neutrophil co</w:t>
      </w:r>
      <w:r w:rsidRPr="00DD0CFB">
        <w:t xml:space="preserve">unt, low glucose and high protein content. On Gram-stained CSF meningococci can be observed both outside and within polymorphonuclear leukocytes. </w:t>
      </w:r>
      <w:r w:rsidR="00D70D25" w:rsidRPr="00DD0CFB">
        <w:rPr>
          <w:i/>
          <w:iCs/>
        </w:rPr>
        <w:t>N. meningitidis</w:t>
      </w:r>
      <w:r w:rsidR="00D70D25" w:rsidRPr="00DD0CFB">
        <w:t xml:space="preserve"> may resist decolourisation on Gram-staining.</w:t>
      </w:r>
    </w:p>
    <w:p w14:paraId="40F7CCC3" w14:textId="2DE724AE" w:rsidR="00914A17" w:rsidRPr="00DD0CFB" w:rsidRDefault="00914A17" w:rsidP="00471FCD">
      <w:pPr>
        <w:pStyle w:val="Heading3"/>
        <w:rPr>
          <w:b/>
          <w:bCs/>
        </w:rPr>
      </w:pPr>
      <w:r w:rsidRPr="00DD0CFB">
        <w:t xml:space="preserve">Test sensitivity </w:t>
      </w:r>
    </w:p>
    <w:p w14:paraId="7D7730D9" w14:textId="6FE9FE44" w:rsidR="00914A17" w:rsidRPr="00DD0CFB" w:rsidRDefault="00914A17" w:rsidP="0045470B">
      <w:pPr>
        <w:jc w:val="both"/>
        <w:rPr>
          <w:color w:val="000000" w:themeColor="text1"/>
        </w:rPr>
      </w:pPr>
      <w:r w:rsidRPr="00DD0CFB">
        <w:rPr>
          <w:color w:val="000000" w:themeColor="text1"/>
          <w:shd w:val="clear" w:color="auto" w:fill="FFFFFF"/>
        </w:rPr>
        <w:t>The sensitivity of the Gram’s stain in CSF is estimated to be of the o</w:t>
      </w:r>
      <w:r w:rsidRPr="00C30BE6">
        <w:t>rd</w:t>
      </w:r>
      <w:r w:rsidRPr="00DD0CFB">
        <w:rPr>
          <w:color w:val="000000" w:themeColor="text1"/>
          <w:shd w:val="clear" w:color="auto" w:fill="FFFFFF"/>
        </w:rPr>
        <w:t xml:space="preserve">er of 65%. </w:t>
      </w:r>
    </w:p>
    <w:p w14:paraId="6099F721" w14:textId="5EDE2236" w:rsidR="00914A17" w:rsidRPr="00DD0CFB" w:rsidRDefault="00914A17" w:rsidP="00471FCD">
      <w:pPr>
        <w:pStyle w:val="Heading3"/>
        <w:rPr>
          <w:b/>
          <w:bCs/>
        </w:rPr>
      </w:pPr>
      <w:r w:rsidRPr="00DD0CFB">
        <w:t>Predictive value</w:t>
      </w:r>
    </w:p>
    <w:p w14:paraId="0DAAA866" w14:textId="306DA992" w:rsidR="00914A17" w:rsidRPr="00DD0CFB" w:rsidRDefault="00914A17" w:rsidP="0045470B">
      <w:pPr>
        <w:jc w:val="both"/>
        <w:rPr>
          <w:color w:val="000000" w:themeColor="text1"/>
        </w:rPr>
      </w:pPr>
      <w:r w:rsidRPr="00DD0CFB">
        <w:rPr>
          <w:color w:val="000000" w:themeColor="text1"/>
          <w:shd w:val="clear" w:color="auto" w:fill="FFFFFF"/>
        </w:rPr>
        <w:t xml:space="preserve">A negative CSF examination does not exclude </w:t>
      </w:r>
      <w:r w:rsidR="00BF0F4D" w:rsidRPr="00DD0CFB">
        <w:rPr>
          <w:color w:val="000000" w:themeColor="text1"/>
          <w:shd w:val="clear" w:color="auto" w:fill="FFFFFF"/>
        </w:rPr>
        <w:t>IMD</w:t>
      </w:r>
      <w:r w:rsidR="37480C6C" w:rsidRPr="00DD0CFB">
        <w:rPr>
          <w:color w:val="000000" w:themeColor="text1"/>
          <w:shd w:val="clear" w:color="auto" w:fill="FFFFFF"/>
        </w:rPr>
        <w:t xml:space="preserve">, </w:t>
      </w:r>
      <w:r w:rsidR="37480C6C" w:rsidRPr="00C30BE6">
        <w:t>particularly if</w:t>
      </w:r>
      <w:r w:rsidR="37480C6C" w:rsidRPr="00DD0CFB">
        <w:rPr>
          <w:color w:val="000000" w:themeColor="text1"/>
          <w:shd w:val="clear" w:color="auto" w:fill="FFFFFF"/>
        </w:rPr>
        <w:t xml:space="preserve"> collected following administration of antibiotics</w:t>
      </w:r>
      <w:r w:rsidRPr="00DD0CFB">
        <w:rPr>
          <w:color w:val="000000" w:themeColor="text1"/>
          <w:shd w:val="clear" w:color="auto" w:fill="FFFFFF"/>
        </w:rPr>
        <w:t>.</w:t>
      </w:r>
      <w:r w:rsidRPr="00DD0CFB">
        <w:rPr>
          <w:color w:val="000000" w:themeColor="text1"/>
        </w:rPr>
        <w:t xml:space="preserve"> </w:t>
      </w:r>
    </w:p>
    <w:p w14:paraId="2FD5E47A" w14:textId="5005A540" w:rsidR="00AE5C18" w:rsidRPr="00DD0CFB" w:rsidRDefault="00914A17" w:rsidP="00471FCD">
      <w:pPr>
        <w:pStyle w:val="Heading3"/>
      </w:pPr>
      <w:r w:rsidRPr="00DD0CFB">
        <w:t>Aspirates of skin lesions and joint fluid specimens</w:t>
      </w:r>
    </w:p>
    <w:p w14:paraId="3BAAED99" w14:textId="53C58150" w:rsidR="00AE5C18" w:rsidRPr="00DD0CFB" w:rsidRDefault="00914A17" w:rsidP="0045470B">
      <w:pPr>
        <w:jc w:val="both"/>
      </w:pPr>
      <w:r w:rsidRPr="00DD0CFB">
        <w:t>Gram</w:t>
      </w:r>
      <w:r w:rsidR="00BF0F4D" w:rsidRPr="00DD0CFB">
        <w:t>-</w:t>
      </w:r>
      <w:r w:rsidRPr="00DD0CFB">
        <w:t>stains of aspirates from sterile sites provide supportive evidence of IMD in the presence of a clinically compatible illness</w:t>
      </w:r>
      <w:r w:rsidR="00BF0F4D" w:rsidRPr="00DD0CFB">
        <w:t>.</w:t>
      </w:r>
    </w:p>
    <w:p w14:paraId="61EF0E9B" w14:textId="070D4C50" w:rsidR="00914A17" w:rsidRPr="00DD0CFB" w:rsidRDefault="00914A17" w:rsidP="00471FCD">
      <w:pPr>
        <w:pStyle w:val="Heading3"/>
        <w:rPr>
          <w:b/>
          <w:bCs/>
        </w:rPr>
      </w:pPr>
      <w:r w:rsidRPr="00DD0CFB">
        <w:t>Test sensitivity</w:t>
      </w:r>
    </w:p>
    <w:p w14:paraId="2B102AC0" w14:textId="77E80684" w:rsidR="00914A17" w:rsidRPr="00DD0CFB" w:rsidRDefault="00914A17" w:rsidP="00471FCD">
      <w:pPr>
        <w:jc w:val="both"/>
        <w:rPr>
          <w:color w:val="000000" w:themeColor="text1"/>
        </w:rPr>
      </w:pPr>
      <w:r w:rsidRPr="00DD0CFB">
        <w:rPr>
          <w:color w:val="000000" w:themeColor="text1"/>
          <w:shd w:val="clear" w:color="auto" w:fill="FFFFFF"/>
        </w:rPr>
        <w:t xml:space="preserve">Gram’s stains of skin lesion aspirate or </w:t>
      </w:r>
      <w:r w:rsidR="00BF0F4D" w:rsidRPr="00DD0CFB">
        <w:rPr>
          <w:color w:val="000000" w:themeColor="text1"/>
          <w:shd w:val="clear" w:color="auto" w:fill="FFFFFF"/>
        </w:rPr>
        <w:t>joint fluid specimens</w:t>
      </w:r>
      <w:r w:rsidRPr="00DD0CFB">
        <w:rPr>
          <w:color w:val="000000" w:themeColor="text1"/>
          <w:shd w:val="clear" w:color="auto" w:fill="FFFFFF"/>
        </w:rPr>
        <w:t xml:space="preserve"> have a reported sensitivity of 30 to 70% at presentation but this varies with the form of meningococcal disease and type of skin lesion, being highest in haemorrhagic lesions of meningococcal septicaemia</w:t>
      </w:r>
      <w:r w:rsidR="00C37E32" w:rsidRPr="00DD0CFB" w:rsidDel="00C37E32">
        <w:rPr>
          <w:color w:val="000000" w:themeColor="text1"/>
          <w:shd w:val="clear" w:color="auto" w:fill="FFFFFF"/>
          <w:vertAlign w:val="superscript"/>
        </w:rPr>
        <w:t xml:space="preserve"> </w:t>
      </w:r>
      <w:r w:rsidR="003837F5" w:rsidRPr="00DD0CFB">
        <w:rPr>
          <w:color w:val="000000" w:themeColor="text1"/>
          <w:shd w:val="clear" w:color="auto" w:fill="FFFFFF"/>
        </w:rPr>
        <w:t>(</w:t>
      </w:r>
      <w:r w:rsidR="005B2647" w:rsidRPr="00DD0CFB">
        <w:rPr>
          <w:color w:val="000000" w:themeColor="text1"/>
          <w:shd w:val="clear" w:color="auto" w:fill="FFFFFF"/>
        </w:rPr>
        <w:t>12</w:t>
      </w:r>
      <w:r w:rsidR="00446538" w:rsidRPr="00DD0CFB">
        <w:rPr>
          <w:color w:val="000000" w:themeColor="text1"/>
          <w:shd w:val="clear" w:color="auto" w:fill="FFFFFF"/>
        </w:rPr>
        <w:t>).</w:t>
      </w:r>
      <w:r w:rsidRPr="00DD0CFB">
        <w:rPr>
          <w:color w:val="000000" w:themeColor="text1"/>
          <w:shd w:val="clear" w:color="auto" w:fill="FFFFFF"/>
        </w:rPr>
        <w:t xml:space="preserve"> Skin lesions occur in 50–75% of cases of IMD so that overall sensitivity in all cases of IMD is correspondingly lower. Gram</w:t>
      </w:r>
      <w:r w:rsidR="00BF0F4D" w:rsidRPr="00DD0CFB">
        <w:rPr>
          <w:color w:val="000000" w:themeColor="text1"/>
          <w:shd w:val="clear" w:color="auto" w:fill="FFFFFF"/>
        </w:rPr>
        <w:t>-</w:t>
      </w:r>
      <w:r w:rsidRPr="00DD0CFB">
        <w:rPr>
          <w:color w:val="000000" w:themeColor="text1"/>
          <w:shd w:val="clear" w:color="auto" w:fill="FFFFFF"/>
        </w:rPr>
        <w:t xml:space="preserve">stains of skin biopsy may remain positive for long periods (about 48 hours) after antibiotic administration (due to </w:t>
      </w:r>
      <w:r w:rsidR="00A803C6" w:rsidRPr="00DD0CFB">
        <w:rPr>
          <w:color w:val="000000" w:themeColor="text1"/>
          <w:shd w:val="clear" w:color="auto" w:fill="FFFFFF"/>
        </w:rPr>
        <w:t>reduced</w:t>
      </w:r>
      <w:r w:rsidRPr="00DD0CFB">
        <w:rPr>
          <w:color w:val="000000" w:themeColor="text1"/>
          <w:shd w:val="clear" w:color="auto" w:fill="FFFFFF"/>
        </w:rPr>
        <w:t xml:space="preserve"> penetra</w:t>
      </w:r>
      <w:r w:rsidR="00A803C6" w:rsidRPr="00DD0CFB">
        <w:rPr>
          <w:color w:val="000000" w:themeColor="text1"/>
          <w:shd w:val="clear" w:color="auto" w:fill="FFFFFF"/>
        </w:rPr>
        <w:t>tion</w:t>
      </w:r>
      <w:r w:rsidRPr="00DD0CFB">
        <w:rPr>
          <w:color w:val="000000" w:themeColor="text1"/>
          <w:shd w:val="clear" w:color="auto" w:fill="FFFFFF"/>
        </w:rPr>
        <w:t xml:space="preserve"> of antibiotics into poorly perfused </w:t>
      </w:r>
      <w:r w:rsidR="00A803C6" w:rsidRPr="00DD0CFB">
        <w:rPr>
          <w:color w:val="000000" w:themeColor="text1"/>
          <w:shd w:val="clear" w:color="auto" w:fill="FFFFFF"/>
        </w:rPr>
        <w:t>sites</w:t>
      </w:r>
      <w:r w:rsidRPr="00DD0CFB">
        <w:rPr>
          <w:color w:val="000000" w:themeColor="text1"/>
          <w:shd w:val="clear" w:color="auto" w:fill="FFFFFF"/>
        </w:rPr>
        <w:t>)</w:t>
      </w:r>
      <w:r w:rsidR="00A803C6" w:rsidRPr="00DD0CFB">
        <w:rPr>
          <w:color w:val="000000" w:themeColor="text1"/>
          <w:shd w:val="clear" w:color="auto" w:fill="FFFFFF"/>
        </w:rPr>
        <w:t xml:space="preserve">. </w:t>
      </w:r>
      <w:r w:rsidRPr="00DD0CFB">
        <w:rPr>
          <w:color w:val="000000" w:themeColor="text1"/>
          <w:shd w:val="clear" w:color="auto" w:fill="FFFFFF"/>
        </w:rPr>
        <w:t xml:space="preserve"> This test is </w:t>
      </w:r>
      <w:r w:rsidR="00A803C6" w:rsidRPr="00DD0CFB">
        <w:rPr>
          <w:color w:val="000000" w:themeColor="text1"/>
          <w:shd w:val="clear" w:color="auto" w:fill="FFFFFF"/>
        </w:rPr>
        <w:t xml:space="preserve">not </w:t>
      </w:r>
      <w:r w:rsidRPr="00DD0CFB">
        <w:rPr>
          <w:color w:val="000000" w:themeColor="text1"/>
          <w:shd w:val="clear" w:color="auto" w:fill="FFFFFF"/>
        </w:rPr>
        <w:t xml:space="preserve">commonly performed since the widespread availability of </w:t>
      </w:r>
      <w:r w:rsidR="00451486" w:rsidRPr="00DD0CFB">
        <w:rPr>
          <w:color w:val="000000" w:themeColor="text1"/>
          <w:shd w:val="clear" w:color="auto" w:fill="FFFFFF"/>
        </w:rPr>
        <w:t>nucleic acid a</w:t>
      </w:r>
      <w:r w:rsidR="00AB6794" w:rsidRPr="00DD0CFB">
        <w:rPr>
          <w:color w:val="000000" w:themeColor="text1"/>
          <w:shd w:val="clear" w:color="auto" w:fill="FFFFFF"/>
        </w:rPr>
        <w:t>m</w:t>
      </w:r>
      <w:r w:rsidR="00451486" w:rsidRPr="00DD0CFB">
        <w:rPr>
          <w:color w:val="000000" w:themeColor="text1"/>
          <w:shd w:val="clear" w:color="auto" w:fill="FFFFFF"/>
        </w:rPr>
        <w:t>plification tests such as polymerase chain reaction (</w:t>
      </w:r>
      <w:r w:rsidRPr="00DD0CFB">
        <w:rPr>
          <w:color w:val="000000" w:themeColor="text1"/>
          <w:shd w:val="clear" w:color="auto" w:fill="FFFFFF"/>
        </w:rPr>
        <w:t>PCR</w:t>
      </w:r>
      <w:r w:rsidR="00451486" w:rsidRPr="00DD0CFB">
        <w:rPr>
          <w:color w:val="000000" w:themeColor="text1"/>
          <w:shd w:val="clear" w:color="auto" w:fill="FFFFFF"/>
        </w:rPr>
        <w:t>) assays</w:t>
      </w:r>
      <w:r w:rsidRPr="00DD0CFB">
        <w:rPr>
          <w:color w:val="000000" w:themeColor="text1"/>
          <w:shd w:val="clear" w:color="auto" w:fill="FFFFFF"/>
        </w:rPr>
        <w:t xml:space="preserve">. </w:t>
      </w:r>
    </w:p>
    <w:p w14:paraId="2644C472" w14:textId="7A234CDC" w:rsidR="00914A17" w:rsidRPr="00DD0CFB" w:rsidRDefault="00914A17" w:rsidP="00471FCD">
      <w:pPr>
        <w:pStyle w:val="Heading3"/>
        <w:rPr>
          <w:b/>
          <w:bCs/>
        </w:rPr>
      </w:pPr>
      <w:r w:rsidRPr="00DD0CFB">
        <w:t>Predictive value</w:t>
      </w:r>
    </w:p>
    <w:p w14:paraId="373101D6" w14:textId="3B5BB739" w:rsidR="00914A17" w:rsidRPr="00DD0CFB" w:rsidRDefault="00914A17" w:rsidP="0045470B">
      <w:pPr>
        <w:jc w:val="both"/>
        <w:rPr>
          <w:color w:val="000000" w:themeColor="text1"/>
        </w:rPr>
      </w:pPr>
      <w:r w:rsidRPr="00DD0CFB">
        <w:rPr>
          <w:color w:val="000000" w:themeColor="text1"/>
          <w:shd w:val="clear" w:color="auto" w:fill="FFFFFF"/>
        </w:rPr>
        <w:t xml:space="preserve">Positive </w:t>
      </w:r>
      <w:r w:rsidR="00BF0F4D" w:rsidRPr="00DD0CFB">
        <w:rPr>
          <w:color w:val="000000" w:themeColor="text1"/>
          <w:shd w:val="clear" w:color="auto" w:fill="FFFFFF"/>
        </w:rPr>
        <w:t xml:space="preserve">and negative </w:t>
      </w:r>
      <w:r w:rsidRPr="00DD0CFB">
        <w:rPr>
          <w:color w:val="000000" w:themeColor="text1"/>
          <w:shd w:val="clear" w:color="auto" w:fill="FFFFFF"/>
        </w:rPr>
        <w:t>predictive value unknown</w:t>
      </w:r>
      <w:r w:rsidR="00BF0F4D" w:rsidRPr="00DD0CFB">
        <w:rPr>
          <w:color w:val="000000" w:themeColor="text1"/>
          <w:shd w:val="clear" w:color="auto" w:fill="FFFFFF"/>
        </w:rPr>
        <w:t xml:space="preserve">. </w:t>
      </w:r>
      <w:r w:rsidRPr="00DD0CFB">
        <w:rPr>
          <w:color w:val="000000" w:themeColor="text1"/>
          <w:shd w:val="clear" w:color="auto" w:fill="FFFFFF"/>
        </w:rPr>
        <w:t>A negative result does not exclude IMD.</w:t>
      </w:r>
    </w:p>
    <w:p w14:paraId="51EE2C82" w14:textId="38418B4C" w:rsidR="00495BE0" w:rsidRPr="00DD0CFB" w:rsidRDefault="00914A17" w:rsidP="00471FCD">
      <w:pPr>
        <w:pStyle w:val="Heading2"/>
      </w:pPr>
      <w:r w:rsidRPr="00DD0CFB">
        <w:t xml:space="preserve">Culture of </w:t>
      </w:r>
      <w:r w:rsidRPr="00DD0CFB">
        <w:rPr>
          <w:i/>
          <w:iCs/>
        </w:rPr>
        <w:t>Neisseria meningitidis</w:t>
      </w:r>
    </w:p>
    <w:p w14:paraId="41E5BF78" w14:textId="5271DB68" w:rsidR="00495BE0" w:rsidRPr="00DD0CFB" w:rsidRDefault="00914A17" w:rsidP="00471FCD">
      <w:pPr>
        <w:jc w:val="both"/>
      </w:pPr>
      <w:r w:rsidRPr="00DD0CFB">
        <w:t xml:space="preserve">Culture of </w:t>
      </w:r>
      <w:r w:rsidRPr="00DD0CFB">
        <w:rPr>
          <w:i/>
          <w:iCs/>
        </w:rPr>
        <w:t>N. meningitidis</w:t>
      </w:r>
      <w:r w:rsidRPr="00DD0CFB">
        <w:t xml:space="preserve"> from blood, CSF or other normally sterile site provides confirmation of IMD</w:t>
      </w:r>
      <w:r w:rsidR="00E8130A" w:rsidRPr="00DD0CFB">
        <w:t xml:space="preserve"> </w:t>
      </w:r>
      <w:r w:rsidR="003837F5" w:rsidRPr="00DD0CFB">
        <w:t>(</w:t>
      </w:r>
      <w:r w:rsidR="005B2647" w:rsidRPr="00DD0CFB">
        <w:t>13</w:t>
      </w:r>
      <w:r w:rsidR="00446538" w:rsidRPr="00DD0CFB">
        <w:t>).</w:t>
      </w:r>
      <w:r w:rsidRPr="00DD0CFB">
        <w:t xml:space="preserve"> Additionally, </w:t>
      </w:r>
      <w:r w:rsidR="00A803C6" w:rsidRPr="00DD0CFB">
        <w:t xml:space="preserve">positive </w:t>
      </w:r>
      <w:r w:rsidRPr="00DD0CFB">
        <w:t>culture</w:t>
      </w:r>
      <w:r w:rsidR="00A803C6" w:rsidRPr="00DD0CFB">
        <w:t>s</w:t>
      </w:r>
      <w:r w:rsidRPr="00DD0CFB">
        <w:t xml:space="preserve"> </w:t>
      </w:r>
      <w:r w:rsidR="00A803C6" w:rsidRPr="00DD0CFB">
        <w:t xml:space="preserve">allow for </w:t>
      </w:r>
      <w:r w:rsidRPr="00DD0CFB">
        <w:t xml:space="preserve">antimicrobial susceptibility testing (AST) </w:t>
      </w:r>
      <w:r w:rsidR="00A803C6" w:rsidRPr="00DD0CFB">
        <w:t xml:space="preserve">to be performed. </w:t>
      </w:r>
      <w:r w:rsidRPr="00DD0CFB">
        <w:t xml:space="preserve">All isolates of meningococci from suspected cases of IMD should be referred to the appropriate jurisdictional National Neisseria Network (NNN) laboratory for confirmation of identification and AST.  In cases where </w:t>
      </w:r>
      <w:r w:rsidR="00BF0F4D" w:rsidRPr="00DD0CFB">
        <w:t>IMD</w:t>
      </w:r>
      <w:r w:rsidRPr="00DD0CFB">
        <w:t xml:space="preserve"> is suspected clinically in an out of hospital </w:t>
      </w:r>
      <w:r w:rsidRPr="00DD0CFB">
        <w:lastRenderedPageBreak/>
        <w:t xml:space="preserve">setting, antibiotics </w:t>
      </w:r>
      <w:r w:rsidR="00F80116" w:rsidRPr="00DD0CFB">
        <w:t xml:space="preserve">may </w:t>
      </w:r>
      <w:r w:rsidRPr="00DD0CFB">
        <w:t>be given before transfer</w:t>
      </w:r>
      <w:r w:rsidR="00BF0F4D" w:rsidRPr="00DD0CFB">
        <w:t xml:space="preserve"> to hospital</w:t>
      </w:r>
      <w:r w:rsidR="00C1755C" w:rsidRPr="00DD0CFB">
        <w:t xml:space="preserve"> decreasing</w:t>
      </w:r>
      <w:r w:rsidRPr="00DD0CFB">
        <w:t xml:space="preserve"> the likelihood of a positive culture</w:t>
      </w:r>
      <w:r w:rsidR="00BF0F4D" w:rsidRPr="00DD0CFB">
        <w:t xml:space="preserve">, however </w:t>
      </w:r>
      <w:r w:rsidRPr="00DD0CFB">
        <w:t xml:space="preserve">diagnostic samples should still </w:t>
      </w:r>
      <w:r w:rsidR="00BF0F4D" w:rsidRPr="00DD0CFB">
        <w:t>be collected</w:t>
      </w:r>
      <w:r w:rsidRPr="00DD0CFB">
        <w:t xml:space="preserve"> </w:t>
      </w:r>
      <w:r w:rsidR="00BF0F4D" w:rsidRPr="00DD0CFB">
        <w:t>for culture and</w:t>
      </w:r>
      <w:r w:rsidRPr="00DD0CFB">
        <w:t xml:space="preserve"> PCR.</w:t>
      </w:r>
    </w:p>
    <w:p w14:paraId="25EF269A" w14:textId="2DF99DB8" w:rsidR="00495BE0" w:rsidRPr="00DD0CFB" w:rsidRDefault="00914A17" w:rsidP="00471FCD">
      <w:pPr>
        <w:pStyle w:val="Heading3"/>
      </w:pPr>
      <w:r w:rsidRPr="00DD0CFB">
        <w:t>Media</w:t>
      </w:r>
    </w:p>
    <w:p w14:paraId="62A8AAC6" w14:textId="1FF67E5C" w:rsidR="00495BE0" w:rsidRPr="00DD0CFB" w:rsidRDefault="00914A17" w:rsidP="00471FCD">
      <w:pPr>
        <w:jc w:val="both"/>
      </w:pPr>
      <w:r w:rsidRPr="00DD0CFB">
        <w:t>Meningococci grow well on blood and chocolate agar. These media are suitable for culture from sterile sites. For culture from mucosal surfaces (e.g. pharyngeal sites) selective media such as Modified New York City or Modified Thayer Martin medium is required. Culture plates should be incubated at 35-37C in 3-7% CO2 in a moist atmosphere, and examined at 24, 48 and 72 hours. If no growth after 72 hours a negative result can be reported.</w:t>
      </w:r>
    </w:p>
    <w:p w14:paraId="79596792" w14:textId="6669B776" w:rsidR="00AE5C18" w:rsidRPr="00DD0CFB" w:rsidRDefault="00914A17" w:rsidP="00471FCD">
      <w:pPr>
        <w:pStyle w:val="Heading3"/>
      </w:pPr>
      <w:r w:rsidRPr="00DD0CFB">
        <w:t xml:space="preserve">Suitable specimens </w:t>
      </w:r>
    </w:p>
    <w:p w14:paraId="580E5696" w14:textId="0D66D781" w:rsidR="002677EC" w:rsidRPr="00DD0CFB" w:rsidRDefault="005A7A36" w:rsidP="00C30BE6">
      <w:pPr>
        <w:pStyle w:val="ListParagraph"/>
        <w:numPr>
          <w:ilvl w:val="0"/>
          <w:numId w:val="43"/>
        </w:numPr>
        <w:rPr>
          <w:shd w:val="clear" w:color="auto" w:fill="FFFFFF"/>
        </w:rPr>
      </w:pPr>
      <w:bookmarkStart w:id="3" w:name="_Hlk172039411"/>
      <w:r w:rsidRPr="00DD0CFB">
        <w:rPr>
          <w:shd w:val="clear" w:color="auto" w:fill="FFFFFF"/>
        </w:rPr>
        <w:t>Blood</w:t>
      </w:r>
      <w:r w:rsidR="002677EC" w:rsidRPr="00DD0CFB">
        <w:rPr>
          <w:shd w:val="clear" w:color="auto" w:fill="FFFFFF"/>
        </w:rPr>
        <w:t xml:space="preserve"> cultures</w:t>
      </w:r>
      <w:r w:rsidRPr="00DD0CFB">
        <w:rPr>
          <w:shd w:val="clear" w:color="auto" w:fill="FFFFFF"/>
        </w:rPr>
        <w:t>, CSF</w:t>
      </w:r>
      <w:r w:rsidR="002677EC" w:rsidRPr="00DD0CFB">
        <w:rPr>
          <w:shd w:val="clear" w:color="auto" w:fill="FFFFFF"/>
        </w:rPr>
        <w:t xml:space="preserve"> </w:t>
      </w:r>
    </w:p>
    <w:p w14:paraId="78C1DF25" w14:textId="291742A2" w:rsidR="005A7A36" w:rsidRPr="00DD0CFB" w:rsidRDefault="002677EC" w:rsidP="00C30BE6">
      <w:pPr>
        <w:pStyle w:val="ListParagraph"/>
        <w:numPr>
          <w:ilvl w:val="0"/>
          <w:numId w:val="43"/>
        </w:numPr>
      </w:pPr>
      <w:r w:rsidRPr="00DD0CFB">
        <w:rPr>
          <w:shd w:val="clear" w:color="auto" w:fill="FFFFFF"/>
        </w:rPr>
        <w:t xml:space="preserve">+/- </w:t>
      </w:r>
      <w:r w:rsidR="005A7A36" w:rsidRPr="00DD0CFB">
        <w:rPr>
          <w:shd w:val="clear" w:color="auto" w:fill="FFFFFF"/>
        </w:rPr>
        <w:t>sterile site, rash aspirate, skin biopsy</w:t>
      </w:r>
      <w:r w:rsidRPr="00DD0CFB">
        <w:rPr>
          <w:shd w:val="clear" w:color="auto" w:fill="FFFFFF"/>
        </w:rPr>
        <w:t xml:space="preserve"> where appropriate</w:t>
      </w:r>
      <w:r w:rsidR="00CA4C69" w:rsidRPr="00DD0CFB">
        <w:rPr>
          <w:shd w:val="clear" w:color="auto" w:fill="FFFFFF"/>
        </w:rPr>
        <w:t xml:space="preserve"> </w:t>
      </w:r>
    </w:p>
    <w:bookmarkEnd w:id="3"/>
    <w:p w14:paraId="7BAC5D0C" w14:textId="77777777" w:rsidR="00495BE0" w:rsidRPr="00DD0CFB" w:rsidRDefault="00495BE0" w:rsidP="00471FCD">
      <w:pPr>
        <w:pStyle w:val="Heading3"/>
      </w:pPr>
      <w:r w:rsidRPr="00DD0CFB">
        <w:t>Test sensitivity</w:t>
      </w:r>
    </w:p>
    <w:p w14:paraId="7C3B5C95" w14:textId="2A1F0A8B" w:rsidR="002677EC" w:rsidRPr="00DD0CFB" w:rsidRDefault="00914A17" w:rsidP="0045470B">
      <w:pPr>
        <w:jc w:val="both"/>
        <w:rPr>
          <w:rFonts w:eastAsia="Times New Roman"/>
          <w:color w:val="000000" w:themeColor="text1"/>
          <w:shd w:val="clear" w:color="auto" w:fill="FFFFFF"/>
          <w:lang w:eastAsia="en-US"/>
        </w:rPr>
      </w:pPr>
      <w:r w:rsidRPr="00DD0CFB">
        <w:rPr>
          <w:rFonts w:eastAsia="Times New Roman"/>
          <w:color w:val="000000" w:themeColor="text1"/>
          <w:shd w:val="clear" w:color="auto" w:fill="FFFFFF"/>
          <w:lang w:eastAsia="en-US"/>
        </w:rPr>
        <w:t>Several variables affect the sensitivity of blood cultures in IMD: the number</w:t>
      </w:r>
      <w:r w:rsidR="00CA4C69" w:rsidRPr="00DD0CFB">
        <w:rPr>
          <w:rFonts w:eastAsia="Times New Roman"/>
          <w:color w:val="000000" w:themeColor="text1"/>
          <w:shd w:val="clear" w:color="auto" w:fill="FFFFFF"/>
          <w:lang w:eastAsia="en-US"/>
        </w:rPr>
        <w:t xml:space="preserve"> </w:t>
      </w:r>
      <w:r w:rsidRPr="00DD0CFB">
        <w:rPr>
          <w:rFonts w:eastAsia="Times New Roman"/>
          <w:color w:val="000000" w:themeColor="text1"/>
          <w:shd w:val="clear" w:color="auto" w:fill="FFFFFF"/>
          <w:lang w:eastAsia="en-US"/>
        </w:rPr>
        <w:t xml:space="preserve">of blood cultures collected, the volume of the sample, and </w:t>
      </w:r>
      <w:r w:rsidR="002677EC" w:rsidRPr="00DD0CFB">
        <w:rPr>
          <w:rFonts w:eastAsia="Times New Roman"/>
          <w:color w:val="000000" w:themeColor="text1"/>
          <w:shd w:val="clear" w:color="auto" w:fill="FFFFFF"/>
          <w:lang w:eastAsia="en-US"/>
        </w:rPr>
        <w:t>pre-treatment with</w:t>
      </w:r>
      <w:r w:rsidRPr="00DD0CFB">
        <w:rPr>
          <w:rFonts w:eastAsia="Times New Roman"/>
          <w:color w:val="000000" w:themeColor="text1"/>
          <w:shd w:val="clear" w:color="auto" w:fill="FFFFFF"/>
          <w:lang w:eastAsia="en-US"/>
        </w:rPr>
        <w:t xml:space="preserve"> antibiotics. The sensitivity of blood culture is reported to be only 50% in untreated cases of IMD falling to 5% or less if antibiotics have been </w:t>
      </w:r>
      <w:r w:rsidR="002677EC" w:rsidRPr="00DD0CFB">
        <w:rPr>
          <w:rFonts w:eastAsia="Times New Roman"/>
          <w:color w:val="000000" w:themeColor="text1"/>
          <w:shd w:val="clear" w:color="auto" w:fill="FFFFFF"/>
          <w:lang w:eastAsia="en-US"/>
        </w:rPr>
        <w:t xml:space="preserve">given prior to collection </w:t>
      </w:r>
      <w:r w:rsidR="003837F5" w:rsidRPr="00DD0CFB">
        <w:rPr>
          <w:rFonts w:eastAsia="Times New Roman"/>
          <w:color w:val="000000" w:themeColor="text1"/>
          <w:shd w:val="clear" w:color="auto" w:fill="FFFFFF"/>
          <w:lang w:eastAsia="en-US"/>
        </w:rPr>
        <w:t>(</w:t>
      </w:r>
      <w:r w:rsidR="005B2647" w:rsidRPr="00DD0CFB">
        <w:rPr>
          <w:rFonts w:eastAsia="Times New Roman"/>
          <w:color w:val="000000" w:themeColor="text1"/>
          <w:shd w:val="clear" w:color="auto" w:fill="FFFFFF"/>
          <w:lang w:eastAsia="en-US"/>
        </w:rPr>
        <w:t>14</w:t>
      </w:r>
      <w:r w:rsidR="00446538" w:rsidRPr="00DD0CFB">
        <w:rPr>
          <w:rFonts w:eastAsia="Times New Roman"/>
          <w:color w:val="000000" w:themeColor="text1"/>
          <w:shd w:val="clear" w:color="auto" w:fill="FFFFFF"/>
          <w:lang w:eastAsia="en-US"/>
        </w:rPr>
        <w:t>)</w:t>
      </w:r>
      <w:r w:rsidR="00C37E32" w:rsidRPr="00DD0CFB">
        <w:rPr>
          <w:rFonts w:eastAsia="Times New Roman"/>
          <w:color w:val="000000" w:themeColor="text1"/>
          <w:shd w:val="clear" w:color="auto" w:fill="FFFFFF"/>
          <w:lang w:eastAsia="en-US"/>
        </w:rPr>
        <w:t>.</w:t>
      </w:r>
    </w:p>
    <w:p w14:paraId="377288AD" w14:textId="3270C0D5" w:rsidR="002677EC" w:rsidRPr="00DD0CFB" w:rsidRDefault="00914A17" w:rsidP="0045470B">
      <w:pPr>
        <w:jc w:val="both"/>
        <w:rPr>
          <w:rFonts w:eastAsia="Times New Roman"/>
          <w:color w:val="000000" w:themeColor="text1"/>
          <w:shd w:val="clear" w:color="auto" w:fill="FFFFFF"/>
          <w:lang w:eastAsia="en-US"/>
        </w:rPr>
      </w:pPr>
      <w:r w:rsidRPr="00DD0CFB">
        <w:rPr>
          <w:rFonts w:eastAsia="Times New Roman"/>
          <w:color w:val="000000" w:themeColor="text1"/>
          <w:shd w:val="clear" w:color="auto" w:fill="FFFFFF"/>
          <w:lang w:eastAsia="en-US"/>
        </w:rPr>
        <w:t>The sensitivity of CSF culture is about 95% in cases of untreated meningococcal meningitis. This percentage falls rapidly after treatment as viable meningococci are quickly cleared from CSF</w:t>
      </w:r>
      <w:r w:rsidR="00E8130A" w:rsidRPr="00DD0CFB">
        <w:rPr>
          <w:rFonts w:eastAsia="Times New Roman"/>
          <w:color w:val="000000" w:themeColor="text1"/>
          <w:shd w:val="clear" w:color="auto" w:fill="FFFFFF"/>
          <w:lang w:eastAsia="en-US"/>
        </w:rPr>
        <w:t>.</w:t>
      </w:r>
    </w:p>
    <w:p w14:paraId="4A46387A" w14:textId="3F5A2308" w:rsidR="002677EC" w:rsidRPr="00DD0CFB" w:rsidRDefault="00914A17" w:rsidP="0045470B">
      <w:pPr>
        <w:jc w:val="both"/>
        <w:rPr>
          <w:rFonts w:eastAsia="Times New Roman"/>
          <w:color w:val="000000" w:themeColor="text1"/>
          <w:shd w:val="clear" w:color="auto" w:fill="FFFFFF"/>
          <w:lang w:eastAsia="en-US"/>
        </w:rPr>
      </w:pPr>
      <w:r w:rsidRPr="00DD0CFB">
        <w:rPr>
          <w:rFonts w:eastAsia="Times New Roman"/>
          <w:color w:val="000000" w:themeColor="text1"/>
          <w:shd w:val="clear" w:color="auto" w:fill="FFFFFF"/>
          <w:lang w:eastAsia="en-US"/>
        </w:rPr>
        <w:t>Culture of skin aspirates/biopsies is similar in sensitivity to Gram’s stain of the same lesion. Combined Gram’s stain/culture of skin lesions has a sensitivity of about 60–65</w:t>
      </w:r>
      <w:r w:rsidR="0049030F" w:rsidRPr="00DD0CFB">
        <w:rPr>
          <w:rFonts w:eastAsia="Times New Roman"/>
          <w:color w:val="000000" w:themeColor="text1"/>
          <w:shd w:val="clear" w:color="auto" w:fill="FFFFFF"/>
          <w:lang w:eastAsia="en-US"/>
        </w:rPr>
        <w:t>% but</w:t>
      </w:r>
      <w:r w:rsidRPr="00DD0CFB">
        <w:rPr>
          <w:rFonts w:eastAsia="Times New Roman"/>
          <w:color w:val="000000" w:themeColor="text1"/>
          <w:shd w:val="clear" w:color="auto" w:fill="FFFFFF"/>
          <w:lang w:eastAsia="en-US"/>
        </w:rPr>
        <w:t xml:space="preserve"> is higher for haemorrhagic lesions of meningococcal septicaemia</w:t>
      </w:r>
      <w:r w:rsidR="0049030F" w:rsidRPr="00DD0CFB">
        <w:rPr>
          <w:rFonts w:eastAsia="Times New Roman"/>
          <w:color w:val="000000" w:themeColor="text1"/>
          <w:shd w:val="clear" w:color="auto" w:fill="FFFFFF"/>
          <w:lang w:eastAsia="en-US"/>
        </w:rPr>
        <w:t xml:space="preserve"> (</w:t>
      </w:r>
      <w:r w:rsidRPr="00DD0CFB">
        <w:rPr>
          <w:rFonts w:eastAsia="Times New Roman"/>
          <w:color w:val="000000" w:themeColor="text1"/>
          <w:shd w:val="clear" w:color="auto" w:fill="FFFFFF"/>
          <w:lang w:eastAsia="en-US"/>
        </w:rPr>
        <w:t>1</w:t>
      </w:r>
      <w:r w:rsidR="0049030F" w:rsidRPr="00DD0CFB">
        <w:rPr>
          <w:rFonts w:eastAsia="Times New Roman"/>
          <w:color w:val="000000" w:themeColor="text1"/>
          <w:shd w:val="clear" w:color="auto" w:fill="FFFFFF"/>
          <w:lang w:eastAsia="en-US"/>
        </w:rPr>
        <w:t>2)</w:t>
      </w:r>
      <w:r w:rsidRPr="00DD0CFB">
        <w:rPr>
          <w:rFonts w:eastAsia="Times New Roman"/>
          <w:color w:val="000000" w:themeColor="text1"/>
          <w:shd w:val="clear" w:color="auto" w:fill="FFFFFF"/>
          <w:lang w:eastAsia="en-US"/>
        </w:rPr>
        <w:t xml:space="preserve">. </w:t>
      </w:r>
    </w:p>
    <w:p w14:paraId="5C2DD0A5" w14:textId="77777777" w:rsidR="00495BE0" w:rsidRPr="00DD0CFB" w:rsidRDefault="00495BE0" w:rsidP="00471FCD">
      <w:pPr>
        <w:pStyle w:val="Heading3"/>
      </w:pPr>
      <w:r w:rsidRPr="00DD0CFB">
        <w:t>Test specificity</w:t>
      </w:r>
    </w:p>
    <w:p w14:paraId="138F11F9" w14:textId="77777777" w:rsidR="002677EC" w:rsidRPr="00DD0CFB" w:rsidRDefault="00914A17" w:rsidP="0045470B">
      <w:pPr>
        <w:jc w:val="both"/>
      </w:pPr>
      <w:r w:rsidRPr="00DD0CFB">
        <w:t xml:space="preserve">Approaches 100% if isolation of confirmed </w:t>
      </w:r>
      <w:r w:rsidRPr="00DD0CFB">
        <w:rPr>
          <w:i/>
          <w:iCs/>
        </w:rPr>
        <w:t>N. meningitidis</w:t>
      </w:r>
      <w:r w:rsidRPr="00DD0CFB">
        <w:t xml:space="preserve"> from sterile site. </w:t>
      </w:r>
    </w:p>
    <w:p w14:paraId="72F6EA1A" w14:textId="648D15ED" w:rsidR="00495BE0" w:rsidRPr="00DD0CFB" w:rsidRDefault="00495BE0" w:rsidP="00471FCD">
      <w:pPr>
        <w:pStyle w:val="Heading3"/>
      </w:pPr>
      <w:r w:rsidRPr="00DD0CFB">
        <w:t>Predictive values</w:t>
      </w:r>
    </w:p>
    <w:p w14:paraId="057FEC39" w14:textId="0ADE2F1B" w:rsidR="00495BE0" w:rsidRPr="00DD0CFB" w:rsidRDefault="00914A17" w:rsidP="00471FCD">
      <w:pPr>
        <w:jc w:val="both"/>
      </w:pPr>
      <w:r w:rsidRPr="00DD0CFB">
        <w:t>Positive predictive value approaches 100% for sterile site specimens. A negative culture does not exclude IMD and depends on the adequacy of collection, specimen transport and storage conditions prior to culture, stage of disease and prior antibiotic treatment.</w:t>
      </w:r>
    </w:p>
    <w:p w14:paraId="1795F517" w14:textId="77777777" w:rsidR="00495BE0" w:rsidRPr="00DD0CFB" w:rsidRDefault="00495BE0" w:rsidP="00471FCD">
      <w:pPr>
        <w:pStyle w:val="Heading3"/>
      </w:pPr>
      <w:r w:rsidRPr="00DD0CFB">
        <w:t>Suitable test acceptance criteria</w:t>
      </w:r>
    </w:p>
    <w:p w14:paraId="6EE8378A" w14:textId="57BB7AF5" w:rsidR="00495BE0" w:rsidRPr="00DD0CFB" w:rsidRDefault="00914A17" w:rsidP="0045470B">
      <w:pPr>
        <w:jc w:val="both"/>
      </w:pPr>
      <w:r w:rsidRPr="00DD0CFB">
        <w:lastRenderedPageBreak/>
        <w:t xml:space="preserve">Isolation of a </w:t>
      </w:r>
      <w:r w:rsidRPr="00DD0CFB">
        <w:rPr>
          <w:i/>
          <w:iCs/>
        </w:rPr>
        <w:t>N. meningitidis</w:t>
      </w:r>
      <w:r w:rsidRPr="00DD0CFB">
        <w:t xml:space="preserve"> confirmed by biochemical and phenotypic testing.</w:t>
      </w:r>
    </w:p>
    <w:p w14:paraId="704BDEE4" w14:textId="77777777" w:rsidR="003F0EA0" w:rsidRPr="00DD0CFB" w:rsidRDefault="003F0EA0" w:rsidP="00471FCD">
      <w:pPr>
        <w:pStyle w:val="Heading3"/>
      </w:pPr>
      <w:r w:rsidRPr="00DD0CFB">
        <w:t>Suitable internal controls</w:t>
      </w:r>
    </w:p>
    <w:p w14:paraId="000788CF" w14:textId="589C38CC" w:rsidR="00495BE0" w:rsidRPr="00DD0CFB" w:rsidRDefault="003F0EA0" w:rsidP="0045470B">
      <w:pPr>
        <w:jc w:val="both"/>
      </w:pPr>
      <w:r w:rsidRPr="00DD0CFB">
        <w:t>A properly documented, relevant, quality control program for each type and batch of medium used.</w:t>
      </w:r>
    </w:p>
    <w:p w14:paraId="3C1822D9" w14:textId="1B62FF07" w:rsidR="00495BE0" w:rsidRPr="00DD0CFB" w:rsidRDefault="003F0EA0" w:rsidP="00471FCD">
      <w:pPr>
        <w:pStyle w:val="Heading3"/>
      </w:pPr>
      <w:r w:rsidRPr="00DD0CFB">
        <w:t xml:space="preserve">Suitable external QA programmes </w:t>
      </w:r>
    </w:p>
    <w:p w14:paraId="04FDBAC6" w14:textId="4E05BF9E" w:rsidR="00495BE0" w:rsidRPr="00DD0CFB" w:rsidRDefault="003F0EA0" w:rsidP="00471FCD">
      <w:pPr>
        <w:jc w:val="both"/>
      </w:pPr>
      <w:r w:rsidRPr="00DD0CFB">
        <w:t xml:space="preserve">For the Neisseria Reference Laboratories that form the NNN and provide data for the Australian Meningococcal Surveillance Programme (AMSP), a programme specific Quality Assurance </w:t>
      </w:r>
      <w:r w:rsidR="0049030F" w:rsidRPr="00DD0CFB">
        <w:t xml:space="preserve">(QA) </w:t>
      </w:r>
      <w:r w:rsidRPr="00DD0CFB">
        <w:t xml:space="preserve">panel is provided annually by the NNN Coordinating Laboratory in Sydney.  A QA panel for </w:t>
      </w:r>
      <w:r w:rsidRPr="00DD0CFB">
        <w:rPr>
          <w:i/>
          <w:iCs/>
        </w:rPr>
        <w:t>N. meningitidis</w:t>
      </w:r>
      <w:r w:rsidRPr="00DD0CFB">
        <w:t xml:space="preserve"> is not provided by the RCPA. Internationally the National External Quality Assessment Service of the United Kingdom has a </w:t>
      </w:r>
      <w:r w:rsidRPr="00DD0CFB">
        <w:rPr>
          <w:i/>
          <w:iCs/>
        </w:rPr>
        <w:t>N. meningitidis</w:t>
      </w:r>
      <w:r w:rsidRPr="00DD0CFB">
        <w:t xml:space="preserve"> programme.</w:t>
      </w:r>
    </w:p>
    <w:p w14:paraId="20C7150B" w14:textId="4E2DFF4B" w:rsidR="003F0EA0" w:rsidRPr="00DD0CFB" w:rsidRDefault="003F0EA0" w:rsidP="00471FCD">
      <w:pPr>
        <w:pStyle w:val="Heading2"/>
      </w:pPr>
      <w:r w:rsidRPr="00DD0CFB">
        <w:t>Identification of </w:t>
      </w:r>
      <w:r w:rsidRPr="00DD0CFB">
        <w:rPr>
          <w:rStyle w:val="Emphasis"/>
          <w:rFonts w:eastAsiaTheme="majorEastAsia"/>
          <w:szCs w:val="28"/>
        </w:rPr>
        <w:t>Neisseria meningitidis</w:t>
      </w:r>
    </w:p>
    <w:p w14:paraId="74C00A14" w14:textId="0385B620" w:rsidR="003F0EA0" w:rsidRPr="00DD0CFB" w:rsidRDefault="002677EC" w:rsidP="00471FCD">
      <w:pPr>
        <w:spacing w:before="0"/>
        <w:jc w:val="both"/>
        <w:rPr>
          <w:color w:val="222222"/>
          <w:shd w:val="clear" w:color="auto" w:fill="FFFFFF"/>
        </w:rPr>
      </w:pPr>
      <w:r w:rsidRPr="00DD0CFB">
        <w:rPr>
          <w:color w:val="222222"/>
          <w:shd w:val="clear" w:color="auto" w:fill="FFFFFF"/>
        </w:rPr>
        <w:t xml:space="preserve">After 48 hours colonies of </w:t>
      </w:r>
      <w:r w:rsidRPr="00DD0CFB">
        <w:rPr>
          <w:i/>
          <w:iCs/>
          <w:color w:val="222222"/>
          <w:shd w:val="clear" w:color="auto" w:fill="FFFFFF"/>
        </w:rPr>
        <w:t>N</w:t>
      </w:r>
      <w:r w:rsidR="007733D8" w:rsidRPr="00DD0CFB">
        <w:rPr>
          <w:i/>
          <w:iCs/>
          <w:color w:val="222222"/>
          <w:shd w:val="clear" w:color="auto" w:fill="FFFFFF"/>
        </w:rPr>
        <w:t>.</w:t>
      </w:r>
      <w:r w:rsidRPr="00DD0CFB">
        <w:rPr>
          <w:i/>
          <w:iCs/>
          <w:color w:val="222222"/>
          <w:shd w:val="clear" w:color="auto" w:fill="FFFFFF"/>
        </w:rPr>
        <w:t xml:space="preserve"> meningitidis</w:t>
      </w:r>
      <w:r w:rsidRPr="00DD0CFB">
        <w:rPr>
          <w:color w:val="222222"/>
          <w:shd w:val="clear" w:color="auto" w:fill="FFFFFF"/>
        </w:rPr>
        <w:t xml:space="preserve"> appear as smooth</w:t>
      </w:r>
      <w:r w:rsidR="007733D8" w:rsidRPr="00DD0CFB">
        <w:rPr>
          <w:color w:val="222222"/>
          <w:shd w:val="clear" w:color="auto" w:fill="FFFFFF"/>
        </w:rPr>
        <w:t xml:space="preserve">, </w:t>
      </w:r>
      <w:r w:rsidRPr="00DD0CFB">
        <w:rPr>
          <w:color w:val="222222"/>
          <w:shd w:val="clear" w:color="auto" w:fill="FFFFFF"/>
        </w:rPr>
        <w:t>entire edges,</w:t>
      </w:r>
      <w:r w:rsidR="007733D8" w:rsidRPr="00DD0CFB">
        <w:rPr>
          <w:color w:val="222222"/>
          <w:shd w:val="clear" w:color="auto" w:fill="FFFFFF"/>
        </w:rPr>
        <w:t xml:space="preserve"> are ~</w:t>
      </w:r>
      <w:r w:rsidRPr="00DD0CFB">
        <w:rPr>
          <w:color w:val="222222"/>
          <w:shd w:val="clear" w:color="auto" w:fill="FFFFFF"/>
        </w:rPr>
        <w:t>1</w:t>
      </w:r>
      <w:r w:rsidR="007733D8" w:rsidRPr="00DD0CFB">
        <w:rPr>
          <w:color w:val="222222"/>
          <w:shd w:val="clear" w:color="auto" w:fill="FFFFFF"/>
        </w:rPr>
        <w:t>mm in</w:t>
      </w:r>
      <w:r w:rsidRPr="00DD0CFB">
        <w:rPr>
          <w:color w:val="222222"/>
          <w:shd w:val="clear" w:color="auto" w:fill="FFFFFF"/>
        </w:rPr>
        <w:t xml:space="preserve"> diameter</w:t>
      </w:r>
      <w:r w:rsidR="007733D8" w:rsidRPr="00DD0CFB">
        <w:rPr>
          <w:color w:val="222222"/>
          <w:shd w:val="clear" w:color="auto" w:fill="FFFFFF"/>
        </w:rPr>
        <w:t>. They are</w:t>
      </w:r>
      <w:r w:rsidRPr="00DD0CFB">
        <w:rPr>
          <w:color w:val="222222"/>
          <w:shd w:val="clear" w:color="auto" w:fill="FFFFFF"/>
        </w:rPr>
        <w:t xml:space="preserve"> grey</w:t>
      </w:r>
      <w:r w:rsidR="007733D8" w:rsidRPr="00DD0CFB">
        <w:rPr>
          <w:color w:val="222222"/>
          <w:shd w:val="clear" w:color="auto" w:fill="FFFFFF"/>
        </w:rPr>
        <w:t xml:space="preserve">, </w:t>
      </w:r>
      <w:r w:rsidRPr="00DD0CFB">
        <w:rPr>
          <w:color w:val="222222"/>
          <w:shd w:val="clear" w:color="auto" w:fill="FFFFFF"/>
        </w:rPr>
        <w:t>convex, glistening and occasionally mucoid. Grey-green discolouration of the blood agar may be evi</w:t>
      </w:r>
      <w:r w:rsidR="007733D8" w:rsidRPr="00DD0CFB">
        <w:rPr>
          <w:color w:val="222222"/>
          <w:shd w:val="clear" w:color="auto" w:fill="FFFFFF"/>
        </w:rPr>
        <w:t xml:space="preserve">dent. </w:t>
      </w:r>
      <w:r w:rsidR="003F0EA0" w:rsidRPr="00DD0CFB">
        <w:rPr>
          <w:color w:val="222222"/>
          <w:shd w:val="clear" w:color="auto" w:fill="FFFFFF"/>
        </w:rPr>
        <w:t xml:space="preserve">Presumptive identification can be based on Gram’s stain and positive oxidase reaction. </w:t>
      </w:r>
      <w:r w:rsidR="003F0EA0" w:rsidRPr="00DD0CFB">
        <w:rPr>
          <w:color w:val="000000"/>
        </w:rPr>
        <w:t>Identification of </w:t>
      </w:r>
      <w:r w:rsidR="003F0EA0" w:rsidRPr="00DD0CFB">
        <w:rPr>
          <w:i/>
          <w:iCs/>
          <w:color w:val="000000"/>
          <w:bdr w:val="none" w:sz="0" w:space="0" w:color="auto" w:frame="1"/>
        </w:rPr>
        <w:t>Neisseria</w:t>
      </w:r>
      <w:r w:rsidR="003F0EA0" w:rsidRPr="00DD0CFB">
        <w:rPr>
          <w:i/>
          <w:iCs/>
          <w:color w:val="000000"/>
        </w:rPr>
        <w:t> meningitidis</w:t>
      </w:r>
      <w:r w:rsidR="003F0EA0" w:rsidRPr="00DD0CFB">
        <w:rPr>
          <w:color w:val="000000"/>
        </w:rPr>
        <w:t xml:space="preserve"> by matrix assisted laser desorption ion</w:t>
      </w:r>
      <w:r w:rsidR="00DD0CFB" w:rsidRPr="00DD0CFB">
        <w:rPr>
          <w:color w:val="000000"/>
        </w:rPr>
        <w:t>is</w:t>
      </w:r>
      <w:r w:rsidR="003F0EA0" w:rsidRPr="00DD0CFB">
        <w:rPr>
          <w:color w:val="000000"/>
        </w:rPr>
        <w:t>ation time of flight (MALDI TOF) mass spectrometry should be confirmed by an additional identification method</w:t>
      </w:r>
      <w:r w:rsidR="007733D8" w:rsidRPr="00DD0CFB">
        <w:rPr>
          <w:color w:val="000000"/>
        </w:rPr>
        <w:t xml:space="preserve">. </w:t>
      </w:r>
      <w:r w:rsidR="003F0EA0" w:rsidRPr="00DD0CFB">
        <w:rPr>
          <w:color w:val="000000"/>
        </w:rPr>
        <w:t>Commercial kits (e.g., API-NH) assess differential ability to oxid</w:t>
      </w:r>
      <w:r w:rsidR="00DD0CFB" w:rsidRPr="00DD0CFB">
        <w:rPr>
          <w:color w:val="000000"/>
        </w:rPr>
        <w:t>is</w:t>
      </w:r>
      <w:r w:rsidR="003F0EA0" w:rsidRPr="00DD0CFB">
        <w:rPr>
          <w:color w:val="000000"/>
        </w:rPr>
        <w:t>e glucose, maltose, sucrose, lactose (</w:t>
      </w:r>
      <w:r w:rsidR="003F0EA0" w:rsidRPr="00DD0CFB">
        <w:rPr>
          <w:i/>
          <w:iCs/>
          <w:color w:val="000000"/>
          <w:bdr w:val="none" w:sz="0" w:space="0" w:color="auto" w:frame="1"/>
        </w:rPr>
        <w:t>N. meningitidis</w:t>
      </w:r>
      <w:r w:rsidR="007733D8" w:rsidRPr="00DD0CFB">
        <w:rPr>
          <w:color w:val="000000"/>
        </w:rPr>
        <w:t xml:space="preserve"> catabolises </w:t>
      </w:r>
      <w:r w:rsidR="003F0EA0" w:rsidRPr="00DD0CFB">
        <w:rPr>
          <w:color w:val="000000"/>
        </w:rPr>
        <w:t xml:space="preserve">glucose and maltose). </w:t>
      </w:r>
    </w:p>
    <w:p w14:paraId="71A0B0CE" w14:textId="6217433E" w:rsidR="003F0EA0" w:rsidRPr="00DD0CFB" w:rsidRDefault="003F0EA0" w:rsidP="00471FCD">
      <w:pPr>
        <w:pStyle w:val="Heading3"/>
        <w:rPr>
          <w:b/>
          <w:bCs/>
        </w:rPr>
      </w:pPr>
      <w:r w:rsidRPr="00DD0CFB">
        <w:t>Presumptive identification</w:t>
      </w:r>
    </w:p>
    <w:p w14:paraId="3CABBD95" w14:textId="77EB0399" w:rsidR="003F0EA0" w:rsidRPr="00DD0CFB" w:rsidRDefault="003F0EA0" w:rsidP="0045470B">
      <w:pPr>
        <w:spacing w:before="0" w:after="120"/>
        <w:jc w:val="both"/>
        <w:rPr>
          <w:color w:val="222222"/>
        </w:rPr>
      </w:pPr>
      <w:r w:rsidRPr="00DD0CFB">
        <w:rPr>
          <w:color w:val="222222"/>
          <w:shd w:val="clear" w:color="auto" w:fill="FFFFFF"/>
        </w:rPr>
        <w:t>Growth of Gram-negative diplococci which are oxidase positive.</w:t>
      </w:r>
      <w:r w:rsidR="007733D8" w:rsidRPr="00DD0CFB">
        <w:rPr>
          <w:color w:val="222222"/>
          <w:shd w:val="clear" w:color="auto" w:fill="FFFFFF"/>
        </w:rPr>
        <w:t xml:space="preserve"> Identification as </w:t>
      </w:r>
      <w:r w:rsidR="007733D8" w:rsidRPr="00DD0CFB">
        <w:rPr>
          <w:i/>
          <w:iCs/>
          <w:color w:val="222222"/>
          <w:shd w:val="clear" w:color="auto" w:fill="FFFFFF"/>
        </w:rPr>
        <w:t>N. meningitidis</w:t>
      </w:r>
      <w:r w:rsidR="007733D8" w:rsidRPr="00DD0CFB">
        <w:rPr>
          <w:color w:val="222222"/>
          <w:shd w:val="clear" w:color="auto" w:fill="FFFFFF"/>
        </w:rPr>
        <w:t xml:space="preserve"> by MALDI-TOF.</w:t>
      </w:r>
    </w:p>
    <w:p w14:paraId="2394C297" w14:textId="4F4C17FC" w:rsidR="003F0EA0" w:rsidRPr="00DD0CFB" w:rsidRDefault="003F0EA0" w:rsidP="00471FCD">
      <w:pPr>
        <w:pStyle w:val="Heading3"/>
        <w:rPr>
          <w:b/>
          <w:bCs/>
        </w:rPr>
      </w:pPr>
      <w:r w:rsidRPr="00DD0CFB">
        <w:t>Definitive identification</w:t>
      </w:r>
    </w:p>
    <w:p w14:paraId="2FE68131" w14:textId="34B7FA85" w:rsidR="007733D8" w:rsidRPr="00DD0CFB" w:rsidRDefault="007733D8" w:rsidP="0045470B">
      <w:pPr>
        <w:jc w:val="both"/>
        <w:rPr>
          <w:sz w:val="24"/>
          <w:szCs w:val="24"/>
        </w:rPr>
      </w:pPr>
      <w:r w:rsidRPr="00DD0CFB">
        <w:t xml:space="preserve">Acid production by oxidation of glucose and maltose </w:t>
      </w:r>
      <w:r w:rsidR="00451486" w:rsidRPr="00DD0CFB">
        <w:t xml:space="preserve">(rapid carbohydrate utilisation test) </w:t>
      </w:r>
      <w:r w:rsidRPr="00DD0CFB">
        <w:rPr>
          <w:sz w:val="24"/>
          <w:szCs w:val="24"/>
        </w:rPr>
        <w:t xml:space="preserve"> </w:t>
      </w:r>
    </w:p>
    <w:p w14:paraId="389DEB55" w14:textId="40E3A866" w:rsidR="003F0EA0" w:rsidRPr="00DD0CFB" w:rsidRDefault="003F0EA0" w:rsidP="00471FCD">
      <w:pPr>
        <w:pStyle w:val="Heading3"/>
        <w:rPr>
          <w:b/>
          <w:bCs/>
        </w:rPr>
      </w:pPr>
      <w:r w:rsidRPr="00DD0CFB">
        <w:t>Predictive values</w:t>
      </w:r>
    </w:p>
    <w:p w14:paraId="1D59F74B" w14:textId="15F06177" w:rsidR="003F0EA0" w:rsidRPr="00DD0CFB" w:rsidRDefault="00B05E07" w:rsidP="0045470B">
      <w:pPr>
        <w:spacing w:after="120"/>
        <w:jc w:val="both"/>
        <w:rPr>
          <w:color w:val="222222"/>
          <w:sz w:val="24"/>
          <w:szCs w:val="24"/>
        </w:rPr>
      </w:pPr>
      <w:r>
        <w:rPr>
          <w:color w:val="222222"/>
          <w:sz w:val="24"/>
          <w:szCs w:val="24"/>
          <w:shd w:val="clear" w:color="auto" w:fill="FFFFFF"/>
        </w:rPr>
        <w:t>MALDI</w:t>
      </w:r>
      <w:r w:rsidR="003F0EA0" w:rsidRPr="00DD0CFB">
        <w:rPr>
          <w:color w:val="222222"/>
          <w:sz w:val="24"/>
          <w:szCs w:val="24"/>
          <w:shd w:val="clear" w:color="auto" w:fill="FFFFFF"/>
        </w:rPr>
        <w:t>-TOF</w:t>
      </w:r>
      <w:r w:rsidR="003F0EA0" w:rsidRPr="00DD0CFB">
        <w:rPr>
          <w:rStyle w:val="CommentReference"/>
          <w:sz w:val="24"/>
          <w:szCs w:val="24"/>
        </w:rPr>
        <w:t xml:space="preserve"> </w:t>
      </w:r>
      <w:r w:rsidR="003F0EA0" w:rsidRPr="00DD0CFB">
        <w:rPr>
          <w:rStyle w:val="CommentReference"/>
          <w:i/>
          <w:iCs/>
          <w:sz w:val="24"/>
          <w:szCs w:val="24"/>
        </w:rPr>
        <w:t>N</w:t>
      </w:r>
      <w:r w:rsidR="003F0EA0" w:rsidRPr="00DD0CFB">
        <w:rPr>
          <w:color w:val="505050"/>
          <w:sz w:val="24"/>
          <w:szCs w:val="24"/>
          <w:shd w:val="clear" w:color="auto" w:fill="FFFFFF"/>
        </w:rPr>
        <w:t>. </w:t>
      </w:r>
      <w:r w:rsidR="003F0EA0" w:rsidRPr="00DD0CFB">
        <w:rPr>
          <w:rStyle w:val="Emphasis"/>
          <w:color w:val="505050"/>
          <w:sz w:val="24"/>
          <w:szCs w:val="24"/>
          <w:shd w:val="clear" w:color="auto" w:fill="FFFFFF"/>
        </w:rPr>
        <w:t>meningitidis</w:t>
      </w:r>
      <w:r w:rsidR="003F0EA0" w:rsidRPr="00DD0CFB">
        <w:rPr>
          <w:color w:val="505050"/>
          <w:sz w:val="24"/>
          <w:szCs w:val="24"/>
          <w:shd w:val="clear" w:color="auto" w:fill="FFFFFF"/>
        </w:rPr>
        <w:t> 92% (95% CI, 75–98) specificity</w:t>
      </w:r>
    </w:p>
    <w:p w14:paraId="1F70C2CD" w14:textId="6C5D5328" w:rsidR="003F0EA0" w:rsidRPr="00DD0CFB" w:rsidRDefault="003F0EA0" w:rsidP="00471FCD">
      <w:pPr>
        <w:pStyle w:val="Heading3"/>
        <w:rPr>
          <w:b/>
          <w:bCs/>
        </w:rPr>
      </w:pPr>
      <w:r w:rsidRPr="00DD0CFB">
        <w:t>Suitable test criteria</w:t>
      </w:r>
    </w:p>
    <w:p w14:paraId="43EE020C" w14:textId="287EBA4D" w:rsidR="003F0EA0" w:rsidRPr="00DD0CFB" w:rsidRDefault="003F0EA0" w:rsidP="0045470B">
      <w:pPr>
        <w:spacing w:after="120"/>
        <w:jc w:val="both"/>
        <w:rPr>
          <w:color w:val="222222"/>
          <w:sz w:val="24"/>
          <w:szCs w:val="24"/>
        </w:rPr>
      </w:pPr>
      <w:r w:rsidRPr="00DD0CFB">
        <w:rPr>
          <w:color w:val="222222"/>
          <w:sz w:val="24"/>
          <w:szCs w:val="24"/>
          <w:shd w:val="clear" w:color="auto" w:fill="FFFFFF"/>
        </w:rPr>
        <w:t xml:space="preserve">Refer to </w:t>
      </w:r>
      <w:r w:rsidR="00451486" w:rsidRPr="00DD0CFB">
        <w:rPr>
          <w:color w:val="222222"/>
          <w:sz w:val="24"/>
          <w:szCs w:val="24"/>
          <w:shd w:val="clear" w:color="auto" w:fill="FFFFFF"/>
        </w:rPr>
        <w:t>Manufacturer’s</w:t>
      </w:r>
      <w:r w:rsidRPr="00DD0CFB">
        <w:rPr>
          <w:color w:val="222222"/>
          <w:sz w:val="24"/>
          <w:szCs w:val="24"/>
          <w:shd w:val="clear" w:color="auto" w:fill="FFFFFF"/>
        </w:rPr>
        <w:t xml:space="preserve"> instructions</w:t>
      </w:r>
    </w:p>
    <w:p w14:paraId="1CD15C74" w14:textId="64279C74" w:rsidR="003F0EA0" w:rsidRPr="00DD0CFB" w:rsidRDefault="003F0EA0" w:rsidP="00471FCD">
      <w:pPr>
        <w:pStyle w:val="Heading3"/>
        <w:rPr>
          <w:b/>
          <w:bCs/>
        </w:rPr>
      </w:pPr>
      <w:r w:rsidRPr="00DD0CFB">
        <w:t>Suitable internal controls</w:t>
      </w:r>
    </w:p>
    <w:p w14:paraId="26D49CAB" w14:textId="77777777" w:rsidR="003F0EA0" w:rsidRPr="00DD0CFB" w:rsidRDefault="003F0EA0" w:rsidP="0045470B">
      <w:pPr>
        <w:spacing w:after="120"/>
        <w:jc w:val="both"/>
        <w:rPr>
          <w:color w:val="222222"/>
          <w:sz w:val="24"/>
          <w:szCs w:val="24"/>
        </w:rPr>
      </w:pPr>
      <w:r w:rsidRPr="00DD0CFB">
        <w:rPr>
          <w:color w:val="222222"/>
          <w:sz w:val="24"/>
          <w:szCs w:val="24"/>
          <w:shd w:val="clear" w:color="auto" w:fill="FFFFFF"/>
        </w:rPr>
        <w:lastRenderedPageBreak/>
        <w:t>The NNN provides appropriate type culture </w:t>
      </w:r>
      <w:r w:rsidRPr="00DD0CFB">
        <w:rPr>
          <w:rStyle w:val="Emphasis"/>
          <w:rFonts w:eastAsiaTheme="majorEastAsia"/>
          <w:color w:val="222222"/>
          <w:sz w:val="24"/>
          <w:szCs w:val="24"/>
          <w:shd w:val="clear" w:color="auto" w:fill="FFFFFF"/>
        </w:rPr>
        <w:t>N. meningitidis</w:t>
      </w:r>
      <w:r w:rsidRPr="00DD0CFB">
        <w:rPr>
          <w:color w:val="222222"/>
          <w:sz w:val="24"/>
          <w:szCs w:val="24"/>
          <w:shd w:val="clear" w:color="auto" w:fill="FFFFFF"/>
        </w:rPr>
        <w:t> control strains.</w:t>
      </w:r>
    </w:p>
    <w:p w14:paraId="458B0D62" w14:textId="799F29CF" w:rsidR="003F0EA0" w:rsidRPr="00DD0CFB" w:rsidRDefault="003F0EA0" w:rsidP="00471FCD">
      <w:pPr>
        <w:pStyle w:val="Heading3"/>
        <w:rPr>
          <w:b/>
          <w:bCs/>
        </w:rPr>
      </w:pPr>
      <w:r w:rsidRPr="00DD0CFB">
        <w:t>Suitable validation criteria</w:t>
      </w:r>
    </w:p>
    <w:p w14:paraId="5C3621C7" w14:textId="682BBCA2" w:rsidR="00480106" w:rsidRPr="00DD0CFB" w:rsidRDefault="003F0EA0" w:rsidP="0045470B">
      <w:pPr>
        <w:spacing w:after="120"/>
        <w:jc w:val="both"/>
        <w:rPr>
          <w:color w:val="222222"/>
          <w:shd w:val="clear" w:color="auto" w:fill="FFFFFF"/>
          <w:vertAlign w:val="superscript"/>
        </w:rPr>
      </w:pPr>
      <w:r w:rsidRPr="00DD0CFB">
        <w:rPr>
          <w:color w:val="222222"/>
          <w:shd w:val="clear" w:color="auto" w:fill="FFFFFF"/>
        </w:rPr>
        <w:t>Defined by the manufacturer of commercial kits or published method for in house tests</w:t>
      </w:r>
      <w:r w:rsidR="00480106" w:rsidRPr="00DD0CFB">
        <w:rPr>
          <w:color w:val="222222"/>
          <w:shd w:val="clear" w:color="auto" w:fill="FFFFFF"/>
          <w:vertAlign w:val="superscript"/>
        </w:rPr>
        <w:t xml:space="preserve"> </w:t>
      </w:r>
      <w:r w:rsidR="003837F5" w:rsidRPr="00DD0CFB">
        <w:t>(1</w:t>
      </w:r>
      <w:r w:rsidR="005B2647" w:rsidRPr="00DD0CFB">
        <w:t>5</w:t>
      </w:r>
      <w:r w:rsidR="00480106" w:rsidRPr="00DD0CFB">
        <w:t>)</w:t>
      </w:r>
      <w:r w:rsidR="00C37E32" w:rsidRPr="00DD0CFB">
        <w:t>.</w:t>
      </w:r>
    </w:p>
    <w:p w14:paraId="016E4CE4" w14:textId="1894A23A" w:rsidR="003F0EA0" w:rsidRPr="00DD0CFB" w:rsidRDefault="003F0EA0" w:rsidP="00471FCD">
      <w:pPr>
        <w:pStyle w:val="Heading3"/>
        <w:rPr>
          <w:b/>
          <w:bCs/>
        </w:rPr>
      </w:pPr>
      <w:r w:rsidRPr="00DD0CFB">
        <w:t>External QC programmes</w:t>
      </w:r>
    </w:p>
    <w:p w14:paraId="7F8866E5" w14:textId="77777777" w:rsidR="003F0EA0" w:rsidRPr="00DD0CFB" w:rsidRDefault="003F0EA0" w:rsidP="0045470B">
      <w:pPr>
        <w:spacing w:after="120"/>
        <w:jc w:val="both"/>
        <w:rPr>
          <w:color w:val="222222"/>
        </w:rPr>
      </w:pPr>
      <w:r w:rsidRPr="00DD0CFB">
        <w:rPr>
          <w:color w:val="222222"/>
          <w:shd w:val="clear" w:color="auto" w:fill="FFFFFF"/>
        </w:rPr>
        <w:t>See above</w:t>
      </w:r>
    </w:p>
    <w:p w14:paraId="2EE06C80" w14:textId="443D7147" w:rsidR="003F0EA0" w:rsidRPr="00DD0CFB" w:rsidRDefault="003F0EA0" w:rsidP="00471FCD">
      <w:pPr>
        <w:pStyle w:val="Heading2"/>
      </w:pPr>
      <w:r w:rsidRPr="00DD0CFB">
        <w:t>Strain differentiation of </w:t>
      </w:r>
      <w:r w:rsidRPr="00DD0CFB">
        <w:rPr>
          <w:rStyle w:val="Emphasis"/>
          <w:rFonts w:eastAsiaTheme="majorEastAsia"/>
          <w:szCs w:val="24"/>
        </w:rPr>
        <w:t>Neisseria meningitidis</w:t>
      </w:r>
    </w:p>
    <w:p w14:paraId="72AF4755" w14:textId="70631F44" w:rsidR="003F0EA0" w:rsidRPr="00DD0CFB" w:rsidRDefault="003F0EA0" w:rsidP="00C30BE6">
      <w:pPr>
        <w:rPr>
          <w:color w:val="000000"/>
        </w:rPr>
      </w:pPr>
      <w:r w:rsidRPr="00DD0CFB">
        <w:t xml:space="preserve">Once the identity of </w:t>
      </w:r>
      <w:r w:rsidRPr="00DD0CFB">
        <w:rPr>
          <w:i/>
          <w:iCs/>
        </w:rPr>
        <w:t>N. meningitidis</w:t>
      </w:r>
      <w:r w:rsidRPr="00DD0CFB">
        <w:t xml:space="preserve"> is confirmed the serogroup</w:t>
      </w:r>
      <w:r w:rsidR="004E6CE4" w:rsidRPr="00DD0CFB">
        <w:t xml:space="preserve"> (based on </w:t>
      </w:r>
      <w:r w:rsidR="008B7880" w:rsidRPr="00DD0CFB">
        <w:t xml:space="preserve">capsular </w:t>
      </w:r>
      <w:r w:rsidR="004E6CE4" w:rsidRPr="00DD0CFB">
        <w:t>polysaccharide</w:t>
      </w:r>
      <w:r w:rsidR="008B7880" w:rsidRPr="00DD0CFB">
        <w:t>s</w:t>
      </w:r>
      <w:r w:rsidR="004E6CE4" w:rsidRPr="00DD0CFB">
        <w:t>)</w:t>
      </w:r>
      <w:r w:rsidRPr="00DD0CFB">
        <w:t xml:space="preserve"> is determined</w:t>
      </w:r>
      <w:r w:rsidR="004E6CE4" w:rsidRPr="00DD0CFB">
        <w:t xml:space="preserve">. This is done by PCR </w:t>
      </w:r>
      <w:proofErr w:type="gramStart"/>
      <w:r w:rsidR="004E6CE4" w:rsidRPr="00DD0CFB">
        <w:t>based-methods</w:t>
      </w:r>
      <w:proofErr w:type="gramEnd"/>
      <w:r w:rsidR="004E6CE4" w:rsidRPr="00DD0CFB">
        <w:t xml:space="preserve"> (also know</w:t>
      </w:r>
      <w:r w:rsidR="008B7880" w:rsidRPr="00DD0CFB">
        <w:t>n</w:t>
      </w:r>
      <w:r w:rsidR="004E6CE4" w:rsidRPr="00DD0CFB">
        <w:t xml:space="preserve"> as genogrouping). </w:t>
      </w:r>
      <w:r w:rsidR="3853AA70" w:rsidRPr="00DD0CFB">
        <w:t xml:space="preserve">Alternative </w:t>
      </w:r>
      <w:proofErr w:type="spellStart"/>
      <w:r w:rsidR="3853AA70" w:rsidRPr="00DD0CFB">
        <w:t>s</w:t>
      </w:r>
      <w:r w:rsidR="004E6CE4" w:rsidRPr="00DD0CFB">
        <w:t>erogrouping</w:t>
      </w:r>
      <w:proofErr w:type="spellEnd"/>
      <w:r w:rsidR="004E6CE4" w:rsidRPr="00DD0CFB">
        <w:t xml:space="preserve"> </w:t>
      </w:r>
      <w:r w:rsidR="019071AB" w:rsidRPr="00DD0CFB">
        <w:t xml:space="preserve">methods </w:t>
      </w:r>
      <w:r w:rsidR="00F80116" w:rsidRPr="00DD0CFB">
        <w:t>are less</w:t>
      </w:r>
      <w:r w:rsidR="004E6CE4" w:rsidRPr="00DD0CFB">
        <w:t xml:space="preserve"> reliable</w:t>
      </w:r>
      <w:r w:rsidR="0CA7C187" w:rsidRPr="00DD0CFB">
        <w:t>.</w:t>
      </w:r>
      <w:r w:rsidRPr="00DD0CFB">
        <w:t xml:space="preserve"> </w:t>
      </w:r>
      <w:r w:rsidR="004E6CE4" w:rsidRPr="00DD0CFB">
        <w:t xml:space="preserve"> </w:t>
      </w:r>
      <w:r w:rsidRPr="00DD0CFB">
        <w:t xml:space="preserve"> </w:t>
      </w:r>
    </w:p>
    <w:p w14:paraId="6CA4D126" w14:textId="3FB6849B" w:rsidR="003F0EA0" w:rsidRPr="00DD0CFB" w:rsidRDefault="003F0EA0" w:rsidP="00471FCD">
      <w:pPr>
        <w:pStyle w:val="Heading2"/>
      </w:pPr>
      <w:r w:rsidRPr="00DD0CFB">
        <w:t xml:space="preserve">Molecular Typing </w:t>
      </w:r>
    </w:p>
    <w:p w14:paraId="1B824D7E" w14:textId="4CE115BA" w:rsidR="00972B14" w:rsidRPr="00DD0CFB" w:rsidRDefault="00972B14" w:rsidP="00C30BE6">
      <w:r w:rsidRPr="00DD0CFB">
        <w:rPr>
          <w:color w:val="000000"/>
        </w:rPr>
        <w:t>Whole genome sequencing (WGS)</w:t>
      </w:r>
      <w:r w:rsidRPr="00DD0CFB">
        <w:rPr>
          <w:shd w:val="clear" w:color="auto" w:fill="FFFFFF"/>
        </w:rPr>
        <w:t xml:space="preserve"> of IMD isolates </w:t>
      </w:r>
      <w:r w:rsidR="7097836C" w:rsidRPr="00DD0CFB">
        <w:rPr>
          <w:shd w:val="clear" w:color="auto" w:fill="FFFFFF"/>
        </w:rPr>
        <w:t xml:space="preserve">may be </w:t>
      </w:r>
      <w:r w:rsidR="3B4E05C4" w:rsidRPr="00DD0CFB">
        <w:rPr>
          <w:shd w:val="clear" w:color="auto" w:fill="FFFFFF"/>
        </w:rPr>
        <w:t>undertaken for the following reasons</w:t>
      </w:r>
      <w:r w:rsidR="00C1755C" w:rsidRPr="00DD0CFB">
        <w:rPr>
          <w:shd w:val="clear" w:color="auto" w:fill="FFFFFF"/>
        </w:rPr>
        <w:t>:</w:t>
      </w:r>
      <w:r w:rsidR="000B4157" w:rsidRPr="00DD0CFB">
        <w:rPr>
          <w:shd w:val="clear" w:color="auto" w:fill="FFFFFF"/>
        </w:rPr>
        <w:t xml:space="preserve"> </w:t>
      </w:r>
      <w:r w:rsidR="00C1755C" w:rsidRPr="00DD0CFB">
        <w:rPr>
          <w:shd w:val="clear" w:color="auto" w:fill="FFFFFF"/>
        </w:rPr>
        <w:t>t</w:t>
      </w:r>
      <w:r w:rsidR="3B4E05C4" w:rsidRPr="00DD0CFB">
        <w:rPr>
          <w:shd w:val="clear" w:color="auto" w:fill="FFFFFF"/>
        </w:rPr>
        <w:t xml:space="preserve">o </w:t>
      </w:r>
      <w:r w:rsidRPr="00DD0CFB">
        <w:rPr>
          <w:shd w:val="clear" w:color="auto" w:fill="FFFFFF"/>
        </w:rPr>
        <w:t xml:space="preserve">confirm </w:t>
      </w:r>
      <w:r w:rsidR="00F80116" w:rsidRPr="00DD0CFB">
        <w:rPr>
          <w:shd w:val="clear" w:color="auto" w:fill="FFFFFF"/>
        </w:rPr>
        <w:t>or exclude</w:t>
      </w:r>
      <w:r w:rsidRPr="00DD0CFB">
        <w:rPr>
          <w:shd w:val="clear" w:color="auto" w:fill="FFFFFF"/>
        </w:rPr>
        <w:t xml:space="preserve"> a suspected outbreak </w:t>
      </w:r>
      <w:r w:rsidR="28C9E648" w:rsidRPr="00DD0CFB">
        <w:rPr>
          <w:shd w:val="clear" w:color="auto" w:fill="FFFFFF"/>
        </w:rPr>
        <w:t xml:space="preserve">based on epidemiological links </w:t>
      </w:r>
      <w:r w:rsidR="3923BCA5" w:rsidRPr="00DD0CFB">
        <w:rPr>
          <w:shd w:val="clear" w:color="auto" w:fill="FFFFFF"/>
        </w:rPr>
        <w:t xml:space="preserve">established </w:t>
      </w:r>
      <w:r w:rsidR="28C9E648" w:rsidRPr="00DD0CFB">
        <w:rPr>
          <w:shd w:val="clear" w:color="auto" w:fill="FFFFFF"/>
        </w:rPr>
        <w:t>through public health i</w:t>
      </w:r>
      <w:r w:rsidR="487F4F34" w:rsidRPr="00DD0CFB">
        <w:rPr>
          <w:shd w:val="clear" w:color="auto" w:fill="FFFFFF"/>
        </w:rPr>
        <w:t>nvestigations</w:t>
      </w:r>
      <w:r w:rsidR="00C1755C" w:rsidRPr="00DD0CFB">
        <w:rPr>
          <w:shd w:val="clear" w:color="auto" w:fill="FFFFFF"/>
        </w:rPr>
        <w:t xml:space="preserve"> or to</w:t>
      </w:r>
      <w:r w:rsidR="5B77474B" w:rsidRPr="00DD0CFB">
        <w:rPr>
          <w:shd w:val="clear" w:color="auto" w:fill="FFFFFF"/>
        </w:rPr>
        <w:t xml:space="preserve"> determine mechanisms of resistance and </w:t>
      </w:r>
      <w:r w:rsidR="495D47DE" w:rsidRPr="00DD0CFB">
        <w:rPr>
          <w:shd w:val="clear" w:color="auto" w:fill="FFFFFF"/>
        </w:rPr>
        <w:t xml:space="preserve">possible </w:t>
      </w:r>
      <w:r w:rsidR="5B77474B" w:rsidRPr="00DD0CFB">
        <w:rPr>
          <w:shd w:val="clear" w:color="auto" w:fill="FFFFFF"/>
        </w:rPr>
        <w:t>vaccine cover</w:t>
      </w:r>
      <w:r w:rsidR="41762FA7" w:rsidRPr="00DD0CFB">
        <w:rPr>
          <w:shd w:val="clear" w:color="auto" w:fill="FFFFFF"/>
        </w:rPr>
        <w:t>age</w:t>
      </w:r>
      <w:r w:rsidR="1A90FE5B" w:rsidRPr="00DD0CFB">
        <w:rPr>
          <w:shd w:val="clear" w:color="auto" w:fill="FFFFFF"/>
        </w:rPr>
        <w:t xml:space="preserve"> for meningococcal serogroup B isolates.</w:t>
      </w:r>
      <w:r w:rsidR="41762FA7" w:rsidRPr="00DD0CFB">
        <w:rPr>
          <w:shd w:val="clear" w:color="auto" w:fill="FFFFFF"/>
        </w:rPr>
        <w:t xml:space="preserve"> </w:t>
      </w:r>
    </w:p>
    <w:p w14:paraId="642CF987" w14:textId="73B97014" w:rsidR="003F0EA0" w:rsidRPr="00DD0CFB" w:rsidRDefault="3E063AC1" w:rsidP="00471FCD">
      <w:pPr>
        <w:pStyle w:val="Heading3"/>
      </w:pPr>
      <w:r w:rsidRPr="00DD0CFB">
        <w:rPr>
          <w:rStyle w:val="Emphasis"/>
          <w:rFonts w:eastAsiaTheme="majorEastAsia"/>
          <w:i w:val="0"/>
          <w:iCs w:val="0"/>
          <w:color w:val="222222"/>
        </w:rPr>
        <w:t xml:space="preserve">Directed </w:t>
      </w:r>
      <w:r w:rsidR="000B4157" w:rsidRPr="00DD0CFB">
        <w:rPr>
          <w:rStyle w:val="Emphasis"/>
          <w:rFonts w:eastAsiaTheme="majorEastAsia"/>
          <w:i w:val="0"/>
          <w:iCs w:val="0"/>
          <w:color w:val="222222"/>
        </w:rPr>
        <w:t>amplicon-based</w:t>
      </w:r>
      <w:r w:rsidR="003F0EA0" w:rsidRPr="00DD0CFB">
        <w:t xml:space="preserve"> </w:t>
      </w:r>
      <w:r w:rsidR="3A1ED1E1" w:rsidRPr="00DD0CFB">
        <w:t>sequencing</w:t>
      </w:r>
      <w:r w:rsidR="003F0EA0" w:rsidRPr="00DD0CFB">
        <w:t>.</w:t>
      </w:r>
    </w:p>
    <w:p w14:paraId="577223D7" w14:textId="44DBF3CD" w:rsidR="00260277" w:rsidRPr="00DD0CFB" w:rsidRDefault="00260277" w:rsidP="0045470B">
      <w:pPr>
        <w:spacing w:after="120"/>
        <w:jc w:val="both"/>
        <w:rPr>
          <w:color w:val="222222"/>
        </w:rPr>
      </w:pPr>
      <w:r w:rsidRPr="00DD0CFB">
        <w:rPr>
          <w:color w:val="222222"/>
          <w:shd w:val="clear" w:color="auto" w:fill="FFFFFF"/>
        </w:rPr>
        <w:t>These methods are mostly implemented in the setting when an isolate is unavailable for whole genome sequencing.</w:t>
      </w:r>
    </w:p>
    <w:p w14:paraId="6E978C35" w14:textId="664AC54F" w:rsidR="003F0EA0" w:rsidRPr="00DD0CFB" w:rsidRDefault="5A137EA6" w:rsidP="0045470B">
      <w:pPr>
        <w:spacing w:after="120"/>
        <w:jc w:val="both"/>
        <w:rPr>
          <w:color w:val="222222"/>
        </w:rPr>
      </w:pPr>
      <w:r w:rsidRPr="00DD0CFB">
        <w:rPr>
          <w:color w:val="222222"/>
          <w:shd w:val="clear" w:color="auto" w:fill="FFFFFF"/>
        </w:rPr>
        <w:t xml:space="preserve">Various </w:t>
      </w:r>
      <w:r w:rsidR="3E88D265" w:rsidRPr="00DD0CFB">
        <w:rPr>
          <w:color w:val="222222"/>
          <w:shd w:val="clear" w:color="auto" w:fill="FFFFFF"/>
        </w:rPr>
        <w:t xml:space="preserve">gene </w:t>
      </w:r>
      <w:r w:rsidRPr="00DD0CFB">
        <w:rPr>
          <w:color w:val="222222"/>
          <w:shd w:val="clear" w:color="auto" w:fill="FFFFFF"/>
        </w:rPr>
        <w:t xml:space="preserve">targets have been </w:t>
      </w:r>
      <w:r w:rsidR="303FCE03" w:rsidRPr="00DD0CFB">
        <w:rPr>
          <w:color w:val="222222"/>
          <w:shd w:val="clear" w:color="auto" w:fill="FFFFFF"/>
        </w:rPr>
        <w:t>identified</w:t>
      </w:r>
      <w:r w:rsidRPr="00DD0CFB">
        <w:rPr>
          <w:color w:val="222222"/>
          <w:shd w:val="clear" w:color="auto" w:fill="FFFFFF"/>
        </w:rPr>
        <w:t xml:space="preserve"> </w:t>
      </w:r>
      <w:r w:rsidR="00F80116" w:rsidRPr="00DD0CFB">
        <w:rPr>
          <w:color w:val="222222"/>
          <w:shd w:val="clear" w:color="auto" w:fill="FFFFFF"/>
        </w:rPr>
        <w:t xml:space="preserve">for </w:t>
      </w:r>
      <w:r w:rsidR="00F80116" w:rsidRPr="00DD0CFB">
        <w:rPr>
          <w:color w:val="222222"/>
        </w:rPr>
        <w:t>short</w:t>
      </w:r>
      <w:r w:rsidR="5DE5F61E" w:rsidRPr="00DD0CFB">
        <w:rPr>
          <w:color w:val="222222"/>
        </w:rPr>
        <w:t xml:space="preserve"> term examination of possible outbreaks </w:t>
      </w:r>
      <w:r w:rsidR="5DE5F61E" w:rsidRPr="00DD0CFB">
        <w:rPr>
          <w:color w:val="222222"/>
          <w:shd w:val="clear" w:color="auto" w:fill="FFFFFF"/>
        </w:rPr>
        <w:t>including the P</w:t>
      </w:r>
      <w:r w:rsidR="5DE5F61E" w:rsidRPr="00DD0CFB">
        <w:rPr>
          <w:rStyle w:val="Emphasis"/>
          <w:rFonts w:eastAsiaTheme="majorEastAsia"/>
          <w:color w:val="222222"/>
          <w:shd w:val="clear" w:color="auto" w:fill="FFFFFF"/>
        </w:rPr>
        <w:t>orA/</w:t>
      </w:r>
      <w:proofErr w:type="spellStart"/>
      <w:r w:rsidR="5DE5F61E" w:rsidRPr="00DD0CFB">
        <w:rPr>
          <w:rStyle w:val="Emphasis"/>
          <w:rFonts w:eastAsiaTheme="majorEastAsia"/>
          <w:color w:val="222222"/>
          <w:shd w:val="clear" w:color="auto" w:fill="FFFFFF"/>
        </w:rPr>
        <w:t>porB</w:t>
      </w:r>
      <w:proofErr w:type="spellEnd"/>
      <w:r w:rsidR="5DE5F61E" w:rsidRPr="00DD0CFB">
        <w:rPr>
          <w:color w:val="222222"/>
          <w:shd w:val="clear" w:color="auto" w:fill="FFFFFF"/>
        </w:rPr>
        <w:t> gene</w:t>
      </w:r>
      <w:r w:rsidR="2AAE19F3" w:rsidRPr="00DD0CFB">
        <w:rPr>
          <w:color w:val="222222"/>
          <w:shd w:val="clear" w:color="auto" w:fill="FFFFFF"/>
        </w:rPr>
        <w:t xml:space="preserve">. </w:t>
      </w:r>
      <w:r w:rsidR="4D7E85F8" w:rsidRPr="00DD0CFB">
        <w:rPr>
          <w:color w:val="222222"/>
          <w:shd w:val="clear" w:color="auto" w:fill="FFFFFF"/>
        </w:rPr>
        <w:t xml:space="preserve">Similarly, </w:t>
      </w:r>
      <w:proofErr w:type="spellStart"/>
      <w:r w:rsidR="4D7E85F8" w:rsidRPr="00DD0CFB">
        <w:rPr>
          <w:color w:val="222222"/>
          <w:shd w:val="clear" w:color="auto" w:fill="FFFFFF"/>
        </w:rPr>
        <w:t>m</w:t>
      </w:r>
      <w:r w:rsidR="51E8CAD2" w:rsidRPr="00DD0CFB">
        <w:rPr>
          <w:color w:val="222222"/>
          <w:shd w:val="clear" w:color="auto" w:fill="FFFFFF"/>
        </w:rPr>
        <w:t>ultilocus</w:t>
      </w:r>
      <w:proofErr w:type="spellEnd"/>
      <w:r w:rsidR="51E8CAD2" w:rsidRPr="00DD0CFB">
        <w:rPr>
          <w:color w:val="222222"/>
          <w:shd w:val="clear" w:color="auto" w:fill="FFFFFF"/>
        </w:rPr>
        <w:t xml:space="preserve"> sequence typ</w:t>
      </w:r>
      <w:r w:rsidR="0D0639D9" w:rsidRPr="00DD0CFB">
        <w:rPr>
          <w:color w:val="222222"/>
          <w:shd w:val="clear" w:color="auto" w:fill="FFFFFF"/>
        </w:rPr>
        <w:t>ing</w:t>
      </w:r>
      <w:r w:rsidR="51E8CAD2" w:rsidRPr="00DD0CFB">
        <w:rPr>
          <w:color w:val="222222"/>
          <w:shd w:val="clear" w:color="auto" w:fill="FFFFFF"/>
        </w:rPr>
        <w:t xml:space="preserve"> (</w:t>
      </w:r>
      <w:r w:rsidR="003F0EA0" w:rsidRPr="00DD0CFB">
        <w:rPr>
          <w:color w:val="222222"/>
          <w:shd w:val="clear" w:color="auto" w:fill="FFFFFF"/>
        </w:rPr>
        <w:t>MLST</w:t>
      </w:r>
      <w:r w:rsidR="2D87F09B" w:rsidRPr="00DD0CFB">
        <w:rPr>
          <w:color w:val="222222"/>
          <w:shd w:val="clear" w:color="auto" w:fill="FFFFFF"/>
        </w:rPr>
        <w:t>)</w:t>
      </w:r>
      <w:r w:rsidR="003F0EA0" w:rsidRPr="00DD0CFB">
        <w:rPr>
          <w:color w:val="222222"/>
          <w:shd w:val="clear" w:color="auto" w:fill="FFFFFF"/>
        </w:rPr>
        <w:t xml:space="preserve"> </w:t>
      </w:r>
      <w:r w:rsidR="464B1492" w:rsidRPr="00DD0CFB">
        <w:rPr>
          <w:color w:val="222222"/>
          <w:shd w:val="clear" w:color="auto" w:fill="FFFFFF"/>
        </w:rPr>
        <w:t xml:space="preserve">and corresponding clonal complex </w:t>
      </w:r>
      <w:r w:rsidR="59A045C3" w:rsidRPr="00DD0CFB">
        <w:rPr>
          <w:color w:val="222222"/>
          <w:shd w:val="clear" w:color="auto" w:fill="FFFFFF"/>
        </w:rPr>
        <w:t>can assist</w:t>
      </w:r>
      <w:r w:rsidR="32E01B58" w:rsidRPr="00DD0CFB">
        <w:rPr>
          <w:color w:val="222222"/>
          <w:shd w:val="clear" w:color="auto" w:fill="FFFFFF"/>
        </w:rPr>
        <w:t xml:space="preserve"> in</w:t>
      </w:r>
      <w:r w:rsidR="59A045C3" w:rsidRPr="00DD0CFB">
        <w:rPr>
          <w:color w:val="222222"/>
          <w:shd w:val="clear" w:color="auto" w:fill="FFFFFF"/>
        </w:rPr>
        <w:t xml:space="preserve"> </w:t>
      </w:r>
      <w:r w:rsidR="003F0EA0" w:rsidRPr="00DD0CFB">
        <w:rPr>
          <w:color w:val="222222"/>
          <w:shd w:val="clear" w:color="auto" w:fill="FFFFFF"/>
        </w:rPr>
        <w:t xml:space="preserve">long-term </w:t>
      </w:r>
      <w:r w:rsidR="7FD6962A" w:rsidRPr="00DD0CFB">
        <w:rPr>
          <w:color w:val="222222"/>
        </w:rPr>
        <w:t xml:space="preserve">invasive meningococci </w:t>
      </w:r>
      <w:r w:rsidR="003F0EA0" w:rsidRPr="00DD0CFB">
        <w:rPr>
          <w:color w:val="222222"/>
          <w:shd w:val="clear" w:color="auto" w:fill="FFFFFF"/>
        </w:rPr>
        <w:t>population studies</w:t>
      </w:r>
      <w:r w:rsidR="421C67E6" w:rsidRPr="00DD0CFB">
        <w:rPr>
          <w:color w:val="222222"/>
          <w:shd w:val="clear" w:color="auto" w:fill="FFFFFF"/>
        </w:rPr>
        <w:t xml:space="preserve">. </w:t>
      </w:r>
      <w:r w:rsidR="003F0EA0" w:rsidRPr="00DD0CFB">
        <w:rPr>
          <w:color w:val="222222"/>
          <w:shd w:val="clear" w:color="auto" w:fill="FFFFFF"/>
        </w:rPr>
        <w:t xml:space="preserve"> </w:t>
      </w:r>
    </w:p>
    <w:p w14:paraId="46EAC3D4" w14:textId="61754CE2" w:rsidR="003F0EA0" w:rsidRPr="00DD0CFB" w:rsidRDefault="003F0EA0" w:rsidP="0045470B">
      <w:pPr>
        <w:spacing w:before="0" w:after="120"/>
        <w:jc w:val="both"/>
        <w:rPr>
          <w:color w:val="222222"/>
        </w:rPr>
      </w:pPr>
      <w:r w:rsidRPr="00DD0CFB">
        <w:rPr>
          <w:color w:val="222222"/>
          <w:shd w:val="clear" w:color="auto" w:fill="FFFFFF"/>
        </w:rPr>
        <w:t xml:space="preserve">It should </w:t>
      </w:r>
      <w:r w:rsidR="00F80116" w:rsidRPr="00DD0CFB">
        <w:rPr>
          <w:color w:val="222222"/>
          <w:shd w:val="clear" w:color="auto" w:fill="FFFFFF"/>
        </w:rPr>
        <w:t>be noted that</w:t>
      </w:r>
      <w:r w:rsidRPr="00DD0CFB">
        <w:rPr>
          <w:color w:val="222222"/>
          <w:shd w:val="clear" w:color="auto" w:fill="FFFFFF"/>
        </w:rPr>
        <w:t xml:space="preserve"> that the presence of isolates with an indistinguishable phenotype (serogroup, serotype and </w:t>
      </w:r>
      <w:proofErr w:type="spellStart"/>
      <w:r w:rsidRPr="00DD0CFB">
        <w:rPr>
          <w:color w:val="222222"/>
          <w:shd w:val="clear" w:color="auto" w:fill="FFFFFF"/>
        </w:rPr>
        <w:t>serosubtype</w:t>
      </w:r>
      <w:proofErr w:type="spellEnd"/>
      <w:r w:rsidRPr="00DD0CFB">
        <w:rPr>
          <w:color w:val="222222"/>
          <w:shd w:val="clear" w:color="auto" w:fill="FFFFFF"/>
        </w:rPr>
        <w:t>) or genotype does not of itself establish a true epidemiological link which should </w:t>
      </w:r>
      <w:r w:rsidRPr="00DD0CFB">
        <w:rPr>
          <w:rStyle w:val="Emphasis"/>
          <w:rFonts w:eastAsiaTheme="majorEastAsia"/>
          <w:color w:val="222222"/>
          <w:shd w:val="clear" w:color="auto" w:fill="FFFFFF"/>
        </w:rPr>
        <w:t>first</w:t>
      </w:r>
      <w:r w:rsidRPr="00DD0CFB">
        <w:rPr>
          <w:color w:val="222222"/>
          <w:shd w:val="clear" w:color="auto" w:fill="FFFFFF"/>
        </w:rPr>
        <w:t> be properly established by clinical public health procedures.</w:t>
      </w:r>
    </w:p>
    <w:p w14:paraId="51067B9B" w14:textId="7EFCB21C" w:rsidR="003F0EA0" w:rsidRPr="00DD0CFB" w:rsidRDefault="003F0EA0" w:rsidP="00471FCD">
      <w:pPr>
        <w:pStyle w:val="Heading3"/>
      </w:pPr>
      <w:r w:rsidRPr="00DD0CFB">
        <w:t>External QC programmes</w:t>
      </w:r>
    </w:p>
    <w:p w14:paraId="00C0C3E7" w14:textId="13C45E05" w:rsidR="003F0EA0" w:rsidRPr="00DD0CFB" w:rsidRDefault="00260277" w:rsidP="0045470B">
      <w:pPr>
        <w:spacing w:after="120"/>
        <w:jc w:val="both"/>
      </w:pPr>
      <w:r w:rsidRPr="00DD0CFB">
        <w:rPr>
          <w:color w:val="222222"/>
          <w:shd w:val="clear" w:color="auto" w:fill="FFFFFF"/>
        </w:rPr>
        <w:t>Local and international QAP program</w:t>
      </w:r>
      <w:r w:rsidR="000B4157" w:rsidRPr="00DD0CFB">
        <w:rPr>
          <w:color w:val="222222"/>
          <w:shd w:val="clear" w:color="auto" w:fill="FFFFFF"/>
        </w:rPr>
        <w:t xml:space="preserve">s are available. </w:t>
      </w:r>
    </w:p>
    <w:p w14:paraId="6E65D914" w14:textId="15CF5D12" w:rsidR="003F0EA0" w:rsidRPr="00DD0CFB" w:rsidRDefault="003F0EA0" w:rsidP="00471FCD">
      <w:pPr>
        <w:pStyle w:val="Heading2"/>
      </w:pPr>
      <w:r w:rsidRPr="00DD0CFB">
        <w:t>Nucleic Acid Diagnosis</w:t>
      </w:r>
    </w:p>
    <w:p w14:paraId="3ADB5023" w14:textId="1DC499F4" w:rsidR="00451486" w:rsidRPr="00DD0CFB" w:rsidRDefault="00972B14" w:rsidP="00471FCD">
      <w:pPr>
        <w:jc w:val="both"/>
        <w:rPr>
          <w:color w:val="222222"/>
          <w:shd w:val="clear" w:color="auto" w:fill="FFFFFF"/>
        </w:rPr>
      </w:pPr>
      <w:r w:rsidRPr="00DD0CFB">
        <w:rPr>
          <w:color w:val="222222"/>
          <w:shd w:val="clear" w:color="auto" w:fill="FFFFFF"/>
        </w:rPr>
        <w:lastRenderedPageBreak/>
        <w:t>Nucleic acid amplification tests (NAAT)</w:t>
      </w:r>
      <w:r w:rsidR="003F0EA0" w:rsidRPr="00DD0CFB">
        <w:rPr>
          <w:color w:val="222222"/>
          <w:shd w:val="clear" w:color="auto" w:fill="FFFFFF"/>
        </w:rPr>
        <w:t xml:space="preserve">, particularly PCR are important in the laboratory diagnosis of IMD. </w:t>
      </w:r>
      <w:r w:rsidRPr="00DD0CFB">
        <w:rPr>
          <w:color w:val="222222"/>
          <w:shd w:val="clear" w:color="auto" w:fill="FFFFFF"/>
        </w:rPr>
        <w:t>NAAT</w:t>
      </w:r>
      <w:r w:rsidR="003F0EA0" w:rsidRPr="00DD0CFB">
        <w:rPr>
          <w:color w:val="222222"/>
          <w:shd w:val="clear" w:color="auto" w:fill="FFFFFF"/>
        </w:rPr>
        <w:t xml:space="preserve"> may increase the laboratory diagnosis of </w:t>
      </w:r>
      <w:r w:rsidRPr="00DD0CFB">
        <w:rPr>
          <w:color w:val="222222"/>
          <w:shd w:val="clear" w:color="auto" w:fill="FFFFFF"/>
        </w:rPr>
        <w:t xml:space="preserve">IMD </w:t>
      </w:r>
      <w:r w:rsidR="003F0EA0" w:rsidRPr="00DD0CFB">
        <w:rPr>
          <w:color w:val="222222"/>
          <w:shd w:val="clear" w:color="auto" w:fill="FFFFFF"/>
        </w:rPr>
        <w:t>by more than 30</w:t>
      </w:r>
      <w:r w:rsidR="0049030F" w:rsidRPr="00DD0CFB">
        <w:rPr>
          <w:color w:val="222222"/>
          <w:shd w:val="clear" w:color="auto" w:fill="FFFFFF"/>
        </w:rPr>
        <w:t>% and</w:t>
      </w:r>
      <w:r w:rsidR="003F0EA0" w:rsidRPr="00DD0CFB">
        <w:rPr>
          <w:color w:val="222222"/>
          <w:shd w:val="clear" w:color="auto" w:fill="FFFFFF"/>
        </w:rPr>
        <w:t xml:space="preserve"> meningococcal DNA in CSF samples</w:t>
      </w:r>
      <w:r w:rsidR="0049030F" w:rsidRPr="00DD0CFB" w:rsidDel="0049030F">
        <w:rPr>
          <w:color w:val="222222"/>
          <w:shd w:val="clear" w:color="auto" w:fill="FFFFFF"/>
          <w:vertAlign w:val="superscript"/>
        </w:rPr>
        <w:t xml:space="preserve"> </w:t>
      </w:r>
      <w:r w:rsidR="003837F5" w:rsidRPr="00DD0CFB">
        <w:rPr>
          <w:color w:val="222222"/>
          <w:shd w:val="clear" w:color="auto" w:fill="FFFFFF"/>
        </w:rPr>
        <w:t>(1</w:t>
      </w:r>
      <w:r w:rsidR="005B2647" w:rsidRPr="00DD0CFB">
        <w:rPr>
          <w:color w:val="222222"/>
          <w:shd w:val="clear" w:color="auto" w:fill="FFFFFF"/>
        </w:rPr>
        <w:t>6</w:t>
      </w:r>
      <w:r w:rsidR="00480106" w:rsidRPr="00DD0CFB">
        <w:rPr>
          <w:color w:val="222222"/>
          <w:shd w:val="clear" w:color="auto" w:fill="FFFFFF"/>
        </w:rPr>
        <w:t xml:space="preserve">) </w:t>
      </w:r>
      <w:r w:rsidR="003F0EA0" w:rsidRPr="00DD0CFB">
        <w:rPr>
          <w:color w:val="222222"/>
          <w:shd w:val="clear" w:color="auto" w:fill="FFFFFF"/>
        </w:rPr>
        <w:t>has been detected up to 72 hours after commencement of antimicrobial treatment</w:t>
      </w:r>
      <w:r w:rsidR="0049030F" w:rsidRPr="00DD0CFB" w:rsidDel="0049030F">
        <w:rPr>
          <w:color w:val="222222"/>
          <w:shd w:val="clear" w:color="auto" w:fill="FFFFFF"/>
          <w:vertAlign w:val="superscript"/>
        </w:rPr>
        <w:t xml:space="preserve"> </w:t>
      </w:r>
      <w:r w:rsidR="003837F5" w:rsidRPr="00DD0CFB">
        <w:rPr>
          <w:color w:val="222222"/>
          <w:shd w:val="clear" w:color="auto" w:fill="FFFFFF"/>
        </w:rPr>
        <w:t>(1</w:t>
      </w:r>
      <w:r w:rsidR="005B2647" w:rsidRPr="00DD0CFB">
        <w:rPr>
          <w:color w:val="222222"/>
          <w:shd w:val="clear" w:color="auto" w:fill="FFFFFF"/>
        </w:rPr>
        <w:t>7</w:t>
      </w:r>
      <w:r w:rsidR="00480106" w:rsidRPr="00DD0CFB">
        <w:rPr>
          <w:color w:val="222222"/>
          <w:shd w:val="clear" w:color="auto" w:fill="FFFFFF"/>
        </w:rPr>
        <w:t>).</w:t>
      </w:r>
      <w:r w:rsidR="003F0EA0" w:rsidRPr="00DD0CFB">
        <w:rPr>
          <w:color w:val="222222"/>
          <w:shd w:val="clear" w:color="auto" w:fill="FFFFFF"/>
        </w:rPr>
        <w:t xml:space="preserve"> The target sequence most used for PCR based assays is the </w:t>
      </w:r>
      <w:proofErr w:type="spellStart"/>
      <w:r w:rsidR="003F0EA0" w:rsidRPr="00DD0CFB">
        <w:rPr>
          <w:color w:val="222222"/>
          <w:shd w:val="clear" w:color="auto" w:fill="FFFFFF"/>
        </w:rPr>
        <w:t>ctrA</w:t>
      </w:r>
      <w:proofErr w:type="spellEnd"/>
      <w:r w:rsidR="003F0EA0" w:rsidRPr="00DD0CFB">
        <w:rPr>
          <w:color w:val="222222"/>
          <w:shd w:val="clear" w:color="auto" w:fill="FFFFFF"/>
        </w:rPr>
        <w:t xml:space="preserve"> gene. </w:t>
      </w:r>
      <w:r w:rsidR="00451486" w:rsidRPr="00DD0CFB">
        <w:rPr>
          <w:color w:val="000000"/>
        </w:rPr>
        <w:t>Rapid diagnostic assays that identify </w:t>
      </w:r>
      <w:r w:rsidR="00451486" w:rsidRPr="00DD0CFB">
        <w:rPr>
          <w:rStyle w:val="Emphasis"/>
          <w:color w:val="000000"/>
        </w:rPr>
        <w:t>N. meningitidis</w:t>
      </w:r>
      <w:r w:rsidR="00451486" w:rsidRPr="00DD0CFB">
        <w:rPr>
          <w:color w:val="000000"/>
        </w:rPr>
        <w:t xml:space="preserve"> may not determine serogroup. </w:t>
      </w:r>
      <w:r w:rsidRPr="00DD0CFB">
        <w:rPr>
          <w:color w:val="000000"/>
        </w:rPr>
        <w:t xml:space="preserve"> </w:t>
      </w:r>
    </w:p>
    <w:p w14:paraId="08F20015" w14:textId="728DB5B4" w:rsidR="003F0EA0" w:rsidRPr="00DD0CFB" w:rsidRDefault="003F0EA0" w:rsidP="00471FCD">
      <w:pPr>
        <w:jc w:val="both"/>
        <w:rPr>
          <w:color w:val="222222"/>
        </w:rPr>
      </w:pPr>
      <w:r w:rsidRPr="00DD0CFB">
        <w:rPr>
          <w:color w:val="222222"/>
          <w:shd w:val="clear" w:color="auto" w:fill="FFFFFF"/>
        </w:rPr>
        <w:t xml:space="preserve">PCR tests for serogroup determination should be performed both from a confirmatory and epidemiological point of view. Primers for various regions in the </w:t>
      </w:r>
      <w:proofErr w:type="spellStart"/>
      <w:r w:rsidRPr="00DD0CFB">
        <w:rPr>
          <w:i/>
          <w:iCs/>
          <w:color w:val="222222"/>
          <w:shd w:val="clear" w:color="auto" w:fill="FFFFFF"/>
        </w:rPr>
        <w:t>siaD</w:t>
      </w:r>
      <w:proofErr w:type="spellEnd"/>
      <w:r w:rsidRPr="00DD0CFB">
        <w:rPr>
          <w:color w:val="222222"/>
          <w:shd w:val="clear" w:color="auto" w:fill="FFFFFF"/>
        </w:rPr>
        <w:t xml:space="preserve"> gene specific for serogroups B, C, W and Y have been published</w:t>
      </w:r>
      <w:r w:rsidR="00972B14" w:rsidRPr="00DD0CFB">
        <w:rPr>
          <w:color w:val="222222"/>
          <w:shd w:val="clear" w:color="auto" w:fill="FFFFFF"/>
        </w:rPr>
        <w:t xml:space="preserve"> </w:t>
      </w:r>
      <w:r w:rsidR="003837F5" w:rsidRPr="00DD0CFB">
        <w:rPr>
          <w:color w:val="222222"/>
          <w:shd w:val="clear" w:color="auto" w:fill="FFFFFF"/>
        </w:rPr>
        <w:t>(1</w:t>
      </w:r>
      <w:r w:rsidR="005B2647" w:rsidRPr="00DD0CFB">
        <w:rPr>
          <w:color w:val="222222"/>
          <w:shd w:val="clear" w:color="auto" w:fill="FFFFFF"/>
        </w:rPr>
        <w:t>8</w:t>
      </w:r>
      <w:r w:rsidR="00480106" w:rsidRPr="00DD0CFB">
        <w:rPr>
          <w:color w:val="222222"/>
          <w:shd w:val="clear" w:color="auto" w:fill="FFFFFF"/>
        </w:rPr>
        <w:t>)</w:t>
      </w:r>
      <w:r w:rsidR="00471FCD" w:rsidRPr="00DD0CFB">
        <w:rPr>
          <w:color w:val="222222"/>
          <w:shd w:val="clear" w:color="auto" w:fill="FFFFFF"/>
        </w:rPr>
        <w:t xml:space="preserve"> </w:t>
      </w:r>
      <w:r w:rsidR="00972B14" w:rsidRPr="00DD0CFB">
        <w:rPr>
          <w:color w:val="222222"/>
          <w:shd w:val="clear" w:color="auto" w:fill="FFFFFF"/>
        </w:rPr>
        <w:t>and</w:t>
      </w:r>
      <w:r w:rsidRPr="00DD0CFB">
        <w:rPr>
          <w:color w:val="222222"/>
          <w:shd w:val="clear" w:color="auto" w:fill="FFFFFF"/>
        </w:rPr>
        <w:t xml:space="preserve"> </w:t>
      </w:r>
      <w:r w:rsidR="00972B14" w:rsidRPr="00DD0CFB">
        <w:rPr>
          <w:color w:val="222222"/>
          <w:shd w:val="clear" w:color="auto" w:fill="FFFFFF"/>
        </w:rPr>
        <w:t>these assays are</w:t>
      </w:r>
      <w:r w:rsidRPr="00DD0CFB">
        <w:rPr>
          <w:color w:val="222222"/>
          <w:shd w:val="clear" w:color="auto" w:fill="FFFFFF"/>
        </w:rPr>
        <w:t xml:space="preserve"> widely performed in Australia. </w:t>
      </w:r>
      <w:r w:rsidR="00F80116" w:rsidRPr="00DD0CFB">
        <w:rPr>
          <w:color w:val="222222"/>
        </w:rPr>
        <w:t xml:space="preserve"> </w:t>
      </w:r>
    </w:p>
    <w:p w14:paraId="7AE248C7" w14:textId="2E673136" w:rsidR="003F0EA0" w:rsidRPr="00DD0CFB" w:rsidRDefault="003F0EA0" w:rsidP="0045470B">
      <w:pPr>
        <w:jc w:val="both"/>
        <w:rPr>
          <w:color w:val="222222"/>
        </w:rPr>
      </w:pPr>
      <w:r w:rsidRPr="00DD0CFB">
        <w:rPr>
          <w:color w:val="222222"/>
          <w:shd w:val="clear" w:color="auto" w:fill="FFFFFF"/>
        </w:rPr>
        <w:t xml:space="preserve">PCR-based diagnosis provides confirmation of IMD from blood, CSF or other normally sterile sites with a validity comparable to that of culture-based diagnosis. </w:t>
      </w:r>
    </w:p>
    <w:p w14:paraId="560EF7DF" w14:textId="3A9D0A8F" w:rsidR="003F0EA0" w:rsidRPr="00DD0CFB" w:rsidRDefault="003F0EA0" w:rsidP="00471FCD">
      <w:pPr>
        <w:pStyle w:val="Heading3"/>
        <w:rPr>
          <w:b/>
          <w:bCs/>
        </w:rPr>
      </w:pPr>
      <w:r w:rsidRPr="00DD0CFB">
        <w:t>Suitable specimens</w:t>
      </w:r>
    </w:p>
    <w:p w14:paraId="6F673B80" w14:textId="77777777" w:rsidR="00972B14" w:rsidRPr="00DD0CFB" w:rsidRDefault="003F0EA0" w:rsidP="00C30BE6">
      <w:pPr>
        <w:pStyle w:val="ListParagraph"/>
        <w:numPr>
          <w:ilvl w:val="0"/>
          <w:numId w:val="44"/>
        </w:numPr>
      </w:pPr>
      <w:r w:rsidRPr="00DD0CFB">
        <w:rPr>
          <w:shd w:val="clear" w:color="auto" w:fill="FFFFFF"/>
        </w:rPr>
        <w:t xml:space="preserve">CSF </w:t>
      </w:r>
    </w:p>
    <w:p w14:paraId="17481056" w14:textId="6F8DFC9E" w:rsidR="003F0EA0" w:rsidRPr="00DD0CFB" w:rsidRDefault="00972B14" w:rsidP="00C30BE6">
      <w:pPr>
        <w:pStyle w:val="ListParagraph"/>
        <w:numPr>
          <w:ilvl w:val="0"/>
          <w:numId w:val="44"/>
        </w:numPr>
      </w:pPr>
      <w:r w:rsidRPr="00DD0CFB">
        <w:rPr>
          <w:shd w:val="clear" w:color="auto" w:fill="FFFFFF"/>
        </w:rPr>
        <w:t>B</w:t>
      </w:r>
      <w:r w:rsidR="003F0EA0" w:rsidRPr="00DD0CFB">
        <w:rPr>
          <w:shd w:val="clear" w:color="auto" w:fill="FFFFFF"/>
        </w:rPr>
        <w:t>lood, preferably in EDTA</w:t>
      </w:r>
    </w:p>
    <w:p w14:paraId="42A7836A" w14:textId="28C58306" w:rsidR="003F0EA0" w:rsidRPr="00DD0CFB" w:rsidRDefault="003F0EA0" w:rsidP="00471FCD">
      <w:pPr>
        <w:pStyle w:val="Heading3"/>
        <w:rPr>
          <w:b/>
          <w:bCs/>
        </w:rPr>
      </w:pPr>
      <w:r w:rsidRPr="00DD0CFB">
        <w:t>Test sensitivity</w:t>
      </w:r>
    </w:p>
    <w:p w14:paraId="2F6960FC" w14:textId="4497020B" w:rsidR="003F0EA0" w:rsidRPr="00DD0CFB" w:rsidRDefault="003F0EA0" w:rsidP="0045470B">
      <w:pPr>
        <w:spacing w:line="276" w:lineRule="auto"/>
        <w:jc w:val="both"/>
        <w:rPr>
          <w:color w:val="222222"/>
        </w:rPr>
      </w:pPr>
      <w:r w:rsidRPr="00DD0CFB">
        <w:rPr>
          <w:color w:val="222222"/>
          <w:shd w:val="clear" w:color="auto" w:fill="FFFFFF"/>
        </w:rPr>
        <w:t>&gt;95% for CSF using </w:t>
      </w:r>
      <w:proofErr w:type="spellStart"/>
      <w:r w:rsidRPr="00DD0CFB">
        <w:rPr>
          <w:rStyle w:val="Emphasis"/>
          <w:rFonts w:eastAsiaTheme="majorEastAsia"/>
          <w:color w:val="222222"/>
          <w:shd w:val="clear" w:color="auto" w:fill="FFFFFF"/>
        </w:rPr>
        <w:t>ctr</w:t>
      </w:r>
      <w:r w:rsidRPr="00DD0CFB">
        <w:rPr>
          <w:color w:val="222222"/>
          <w:shd w:val="clear" w:color="auto" w:fill="FFFFFF"/>
        </w:rPr>
        <w:t>A</w:t>
      </w:r>
      <w:proofErr w:type="spellEnd"/>
      <w:r w:rsidRPr="00DD0CFB">
        <w:rPr>
          <w:color w:val="222222"/>
          <w:shd w:val="clear" w:color="auto" w:fill="FFFFFF"/>
        </w:rPr>
        <w:t xml:space="preserve"> gene sequence amplification</w:t>
      </w:r>
      <w:r w:rsidR="00480106" w:rsidRPr="00DD0CFB">
        <w:rPr>
          <w:color w:val="222222"/>
          <w:shd w:val="clear" w:color="auto" w:fill="FFFFFF"/>
          <w:vertAlign w:val="superscript"/>
        </w:rPr>
        <w:t xml:space="preserve"> </w:t>
      </w:r>
      <w:r w:rsidR="003837F5" w:rsidRPr="00DD0CFB">
        <w:rPr>
          <w:color w:val="222222"/>
          <w:shd w:val="clear" w:color="auto" w:fill="FFFFFF"/>
        </w:rPr>
        <w:t>(1</w:t>
      </w:r>
      <w:r w:rsidR="005B2647" w:rsidRPr="00DD0CFB">
        <w:rPr>
          <w:color w:val="222222"/>
          <w:shd w:val="clear" w:color="auto" w:fill="FFFFFF"/>
        </w:rPr>
        <w:t>9</w:t>
      </w:r>
      <w:r w:rsidR="00480106" w:rsidRPr="00DD0CFB">
        <w:rPr>
          <w:color w:val="222222"/>
          <w:shd w:val="clear" w:color="auto" w:fill="FFFFFF"/>
        </w:rPr>
        <w:t>)</w:t>
      </w:r>
      <w:r w:rsidR="00D94676" w:rsidRPr="00DD0CFB">
        <w:rPr>
          <w:color w:val="222222"/>
          <w:shd w:val="clear" w:color="auto" w:fill="FFFFFF"/>
        </w:rPr>
        <w:t xml:space="preserve"> </w:t>
      </w:r>
      <w:r w:rsidR="00480106" w:rsidRPr="00DD0CFB">
        <w:rPr>
          <w:color w:val="222222"/>
          <w:shd w:val="clear" w:color="auto" w:fill="FFFFFF"/>
        </w:rPr>
        <w:t xml:space="preserve">and </w:t>
      </w:r>
      <w:r w:rsidRPr="00DD0CFB">
        <w:rPr>
          <w:color w:val="222222"/>
          <w:shd w:val="clear" w:color="auto" w:fill="FFFFFF"/>
        </w:rPr>
        <w:t xml:space="preserve">approx. 87% when testing blood </w:t>
      </w:r>
      <w:proofErr w:type="gramStart"/>
      <w:r w:rsidRPr="00DD0CFB">
        <w:rPr>
          <w:color w:val="222222"/>
          <w:shd w:val="clear" w:color="auto" w:fill="FFFFFF"/>
        </w:rPr>
        <w:t>samples </w:t>
      </w:r>
      <w:r w:rsidR="0049030F" w:rsidRPr="00DD0CFB" w:rsidDel="0049030F">
        <w:rPr>
          <w:color w:val="222222"/>
          <w:shd w:val="clear" w:color="auto" w:fill="FFFFFF"/>
          <w:vertAlign w:val="superscript"/>
        </w:rPr>
        <w:t xml:space="preserve"> </w:t>
      </w:r>
      <w:r w:rsidR="003837F5" w:rsidRPr="00DD0CFB">
        <w:rPr>
          <w:color w:val="222222"/>
          <w:shd w:val="clear" w:color="auto" w:fill="FFFFFF"/>
        </w:rPr>
        <w:t>(</w:t>
      </w:r>
      <w:proofErr w:type="gramEnd"/>
      <w:r w:rsidR="003837F5" w:rsidRPr="00DD0CFB">
        <w:rPr>
          <w:color w:val="222222"/>
          <w:shd w:val="clear" w:color="auto" w:fill="FFFFFF"/>
        </w:rPr>
        <w:t>1</w:t>
      </w:r>
      <w:r w:rsidR="00761234" w:rsidRPr="00DD0CFB">
        <w:rPr>
          <w:color w:val="222222"/>
          <w:shd w:val="clear" w:color="auto" w:fill="FFFFFF"/>
        </w:rPr>
        <w:t>7</w:t>
      </w:r>
      <w:r w:rsidR="003837F5" w:rsidRPr="00DD0CFB">
        <w:rPr>
          <w:color w:val="222222"/>
          <w:shd w:val="clear" w:color="auto" w:fill="FFFFFF"/>
        </w:rPr>
        <w:t>)(</w:t>
      </w:r>
      <w:r w:rsidR="00761234" w:rsidRPr="00DD0CFB">
        <w:rPr>
          <w:color w:val="222222"/>
          <w:shd w:val="clear" w:color="auto" w:fill="FFFFFF"/>
        </w:rPr>
        <w:t>20</w:t>
      </w:r>
      <w:r w:rsidR="00480106" w:rsidRPr="00DD0CFB">
        <w:rPr>
          <w:color w:val="222222"/>
          <w:shd w:val="clear" w:color="auto" w:fill="FFFFFF"/>
        </w:rPr>
        <w:t>)</w:t>
      </w:r>
      <w:r w:rsidRPr="00DD0CFB">
        <w:rPr>
          <w:color w:val="222222"/>
          <w:shd w:val="clear" w:color="auto" w:fill="FFFFFF"/>
        </w:rPr>
        <w:t xml:space="preserve">. </w:t>
      </w:r>
      <w:r w:rsidR="00972B14" w:rsidRPr="00DD0CFB">
        <w:rPr>
          <w:color w:val="222222"/>
          <w:shd w:val="clear" w:color="auto" w:fill="FFFFFF"/>
        </w:rPr>
        <w:t xml:space="preserve"> </w:t>
      </w:r>
    </w:p>
    <w:p w14:paraId="78BA7777" w14:textId="0649C2DD" w:rsidR="003F0EA0" w:rsidRPr="00DD0CFB" w:rsidRDefault="00CC2DCB" w:rsidP="00471FCD">
      <w:pPr>
        <w:pStyle w:val="Heading3"/>
        <w:rPr>
          <w:b/>
          <w:bCs/>
        </w:rPr>
      </w:pPr>
      <w:r w:rsidRPr="00DD0CFB">
        <w:t xml:space="preserve">Test </w:t>
      </w:r>
      <w:r w:rsidR="003F0EA0" w:rsidRPr="00DD0CFB">
        <w:t>Specificity</w:t>
      </w:r>
    </w:p>
    <w:p w14:paraId="2485FADB" w14:textId="68CA913B" w:rsidR="003F0EA0" w:rsidRPr="00DD0CFB" w:rsidRDefault="003F0EA0" w:rsidP="0045470B">
      <w:pPr>
        <w:spacing w:line="276" w:lineRule="auto"/>
        <w:jc w:val="both"/>
        <w:rPr>
          <w:color w:val="222222"/>
        </w:rPr>
      </w:pPr>
      <w:r w:rsidRPr="00DD0CFB">
        <w:rPr>
          <w:color w:val="222222"/>
          <w:shd w:val="clear" w:color="auto" w:fill="FFFFFF"/>
        </w:rPr>
        <w:t>&gt; 95% or more when using </w:t>
      </w:r>
      <w:proofErr w:type="spellStart"/>
      <w:r w:rsidRPr="00DD0CFB">
        <w:rPr>
          <w:rStyle w:val="Emphasis"/>
          <w:rFonts w:eastAsiaTheme="majorEastAsia"/>
          <w:color w:val="222222"/>
          <w:shd w:val="clear" w:color="auto" w:fill="FFFFFF"/>
        </w:rPr>
        <w:t>ctr</w:t>
      </w:r>
      <w:r w:rsidRPr="00DD0CFB">
        <w:rPr>
          <w:color w:val="222222"/>
          <w:shd w:val="clear" w:color="auto" w:fill="FFFFFF"/>
        </w:rPr>
        <w:t>A</w:t>
      </w:r>
      <w:proofErr w:type="spellEnd"/>
      <w:r w:rsidRPr="00DD0CFB">
        <w:rPr>
          <w:color w:val="222222"/>
          <w:shd w:val="clear" w:color="auto" w:fill="FFFFFF"/>
        </w:rPr>
        <w:t xml:space="preserve"> gene sequence </w:t>
      </w:r>
      <w:r w:rsidR="0049030F" w:rsidRPr="00DD0CFB">
        <w:rPr>
          <w:color w:val="222222"/>
          <w:shd w:val="clear" w:color="auto" w:fill="FFFFFF"/>
        </w:rPr>
        <w:t>amplification (</w:t>
      </w:r>
      <w:r w:rsidR="003837F5" w:rsidRPr="00DD0CFB">
        <w:rPr>
          <w:color w:val="222222"/>
          <w:shd w:val="clear" w:color="auto" w:fill="FFFFFF"/>
        </w:rPr>
        <w:t>1</w:t>
      </w:r>
      <w:r w:rsidR="00D94676" w:rsidRPr="00DD0CFB">
        <w:rPr>
          <w:color w:val="222222"/>
          <w:shd w:val="clear" w:color="auto" w:fill="FFFFFF"/>
        </w:rPr>
        <w:t>4</w:t>
      </w:r>
      <w:r w:rsidR="00480106" w:rsidRPr="00DD0CFB">
        <w:rPr>
          <w:color w:val="222222"/>
          <w:shd w:val="clear" w:color="auto" w:fill="FFFFFF"/>
        </w:rPr>
        <w:t>)</w:t>
      </w:r>
      <w:r w:rsidR="00C37E32" w:rsidRPr="00DD0CFB">
        <w:rPr>
          <w:color w:val="222222"/>
          <w:shd w:val="clear" w:color="auto" w:fill="FFFFFF"/>
        </w:rPr>
        <w:t>.</w:t>
      </w:r>
    </w:p>
    <w:p w14:paraId="42F56951" w14:textId="20A2115B" w:rsidR="003F0EA0" w:rsidRPr="00DD0CFB" w:rsidRDefault="003F0EA0" w:rsidP="00471FCD">
      <w:pPr>
        <w:pStyle w:val="Heading3"/>
        <w:rPr>
          <w:b/>
          <w:bCs/>
        </w:rPr>
      </w:pPr>
      <w:r w:rsidRPr="00DD0CFB">
        <w:t>Predictive values</w:t>
      </w:r>
    </w:p>
    <w:p w14:paraId="5BD62662" w14:textId="53AF0375" w:rsidR="003F0EA0" w:rsidRPr="00DD0CFB" w:rsidRDefault="003F0EA0" w:rsidP="0045470B">
      <w:pPr>
        <w:spacing w:line="276" w:lineRule="auto"/>
        <w:jc w:val="both"/>
        <w:rPr>
          <w:color w:val="222222"/>
        </w:rPr>
      </w:pPr>
      <w:r w:rsidRPr="00DD0CFB">
        <w:rPr>
          <w:color w:val="222222"/>
          <w:shd w:val="clear" w:color="auto" w:fill="FFFFFF"/>
        </w:rPr>
        <w:t xml:space="preserve">Positive </w:t>
      </w:r>
      <w:r w:rsidR="00972B14" w:rsidRPr="00DD0CFB">
        <w:rPr>
          <w:color w:val="222222"/>
          <w:shd w:val="clear" w:color="auto" w:fill="FFFFFF"/>
        </w:rPr>
        <w:t>p</w:t>
      </w:r>
      <w:r w:rsidRPr="00DD0CFB">
        <w:rPr>
          <w:color w:val="222222"/>
          <w:shd w:val="clear" w:color="auto" w:fill="FFFFFF"/>
        </w:rPr>
        <w:t>redictive value of 98% and negative predictive value of 86% when testing CSF samples to the serogroup level</w:t>
      </w:r>
      <w:r w:rsidR="00C37E32" w:rsidRPr="00DD0CFB">
        <w:rPr>
          <w:color w:val="222222"/>
          <w:shd w:val="clear" w:color="auto" w:fill="FFFFFF"/>
        </w:rPr>
        <w:t xml:space="preserve"> </w:t>
      </w:r>
      <w:r w:rsidR="003837F5" w:rsidRPr="00DD0CFB">
        <w:rPr>
          <w:color w:val="222222"/>
          <w:shd w:val="clear" w:color="auto" w:fill="FFFFFF"/>
        </w:rPr>
        <w:t>(1</w:t>
      </w:r>
      <w:r w:rsidR="00761234" w:rsidRPr="00DD0CFB">
        <w:rPr>
          <w:color w:val="222222"/>
          <w:shd w:val="clear" w:color="auto" w:fill="FFFFFF"/>
        </w:rPr>
        <w:t>8</w:t>
      </w:r>
      <w:r w:rsidR="00480106" w:rsidRPr="00DD0CFB">
        <w:rPr>
          <w:color w:val="222222"/>
          <w:shd w:val="clear" w:color="auto" w:fill="FFFFFF"/>
        </w:rPr>
        <w:t>)</w:t>
      </w:r>
      <w:r w:rsidR="00C37E32" w:rsidRPr="00DD0CFB">
        <w:rPr>
          <w:color w:val="222222"/>
          <w:shd w:val="clear" w:color="auto" w:fill="FFFFFF"/>
        </w:rPr>
        <w:t>.</w:t>
      </w:r>
      <w:r w:rsidRPr="00DD0CFB">
        <w:rPr>
          <w:color w:val="222222"/>
          <w:shd w:val="clear" w:color="auto" w:fill="FFFFFF"/>
        </w:rPr>
        <w:t xml:space="preserve"> A negative test does not totally exclude IMD in a patient with compatible symptoms and signs.</w:t>
      </w:r>
    </w:p>
    <w:p w14:paraId="418B7543" w14:textId="2065EA14" w:rsidR="003F0EA0" w:rsidRPr="00DD0CFB" w:rsidRDefault="003F0EA0" w:rsidP="00471FCD">
      <w:pPr>
        <w:pStyle w:val="Heading3"/>
        <w:rPr>
          <w:b/>
          <w:bCs/>
        </w:rPr>
      </w:pPr>
      <w:r w:rsidRPr="00DD0CFB">
        <w:t>Suitable test criteria</w:t>
      </w:r>
    </w:p>
    <w:p w14:paraId="1E1E6841" w14:textId="77777777" w:rsidR="003F0EA0" w:rsidRPr="00DD0CFB" w:rsidRDefault="003F0EA0" w:rsidP="0045470B">
      <w:pPr>
        <w:spacing w:line="276" w:lineRule="auto"/>
        <w:jc w:val="both"/>
        <w:rPr>
          <w:color w:val="222222"/>
        </w:rPr>
      </w:pPr>
      <w:r w:rsidRPr="00DD0CFB">
        <w:rPr>
          <w:rStyle w:val="Emphasis"/>
          <w:rFonts w:eastAsiaTheme="majorEastAsia"/>
          <w:color w:val="222222"/>
          <w:shd w:val="clear" w:color="auto" w:fill="FFFFFF"/>
        </w:rPr>
        <w:t>N. meningitidis</w:t>
      </w:r>
      <w:r w:rsidRPr="00DD0CFB">
        <w:rPr>
          <w:color w:val="222222"/>
          <w:shd w:val="clear" w:color="auto" w:fill="FFFFFF"/>
        </w:rPr>
        <w:t> NAA can be performed on blood or CSF samples when invasive meningococcal infection is suspected.</w:t>
      </w:r>
    </w:p>
    <w:p w14:paraId="0F924215" w14:textId="307C4CBE" w:rsidR="003F0EA0" w:rsidRPr="00DD0CFB" w:rsidRDefault="003F0EA0" w:rsidP="00471FCD">
      <w:pPr>
        <w:pStyle w:val="Heading3"/>
        <w:rPr>
          <w:b/>
          <w:bCs/>
        </w:rPr>
      </w:pPr>
      <w:r w:rsidRPr="00DD0CFB">
        <w:t>Suitable internal controls</w:t>
      </w:r>
    </w:p>
    <w:p w14:paraId="653FFDEB" w14:textId="7C247B70" w:rsidR="00480106" w:rsidRPr="00DD0CFB" w:rsidRDefault="4CF8A7ED" w:rsidP="00471FCD">
      <w:pPr>
        <w:spacing w:line="276" w:lineRule="auto"/>
        <w:jc w:val="both"/>
        <w:rPr>
          <w:color w:val="222222"/>
          <w:vertAlign w:val="superscript"/>
        </w:rPr>
      </w:pPr>
      <w:r w:rsidRPr="00DD0CFB">
        <w:t>Suitable controls are required for PCR based systems and may include positive, negative, internal and sample adequacy controls.</w:t>
      </w:r>
      <w:r w:rsidR="37D28686" w:rsidRPr="00DD0CFB">
        <w:rPr>
          <w:color w:val="222222"/>
        </w:rPr>
        <w:t xml:space="preserve"> Refer See the relevant NPAAC standards.</w:t>
      </w:r>
      <w:r w:rsidR="00480106" w:rsidRPr="00DD0CFB">
        <w:rPr>
          <w:color w:val="222222"/>
          <w:vertAlign w:val="superscript"/>
        </w:rPr>
        <w:t xml:space="preserve"> </w:t>
      </w:r>
      <w:r w:rsidR="003837F5" w:rsidRPr="00DD0CFB">
        <w:t>(</w:t>
      </w:r>
      <w:r w:rsidR="00761234" w:rsidRPr="00DD0CFB">
        <w:t>21</w:t>
      </w:r>
      <w:r w:rsidR="003837F5" w:rsidRPr="00DD0CFB">
        <w:t>)(</w:t>
      </w:r>
      <w:r w:rsidR="00761234" w:rsidRPr="00DD0CFB">
        <w:t>22</w:t>
      </w:r>
      <w:r w:rsidR="003837F5" w:rsidRPr="00DD0CFB">
        <w:t>)</w:t>
      </w:r>
    </w:p>
    <w:p w14:paraId="0E5CE976" w14:textId="12AC6C1E" w:rsidR="003F0EA0" w:rsidRPr="00DD0CFB" w:rsidRDefault="003F0EA0" w:rsidP="00471FCD">
      <w:pPr>
        <w:pStyle w:val="Heading3"/>
        <w:rPr>
          <w:b/>
          <w:bCs/>
        </w:rPr>
      </w:pPr>
      <w:r w:rsidRPr="00DD0CFB">
        <w:rPr>
          <w:color w:val="222222"/>
        </w:rPr>
        <w:t xml:space="preserve"> </w:t>
      </w:r>
      <w:r w:rsidRPr="00DD0CFB">
        <w:t>Suitable validation criteria</w:t>
      </w:r>
    </w:p>
    <w:p w14:paraId="1D74FFA1" w14:textId="2217C221" w:rsidR="003F0EA0" w:rsidRPr="00DD0CFB" w:rsidRDefault="003F0EA0" w:rsidP="0045470B">
      <w:pPr>
        <w:spacing w:line="276" w:lineRule="auto"/>
        <w:jc w:val="both"/>
        <w:rPr>
          <w:color w:val="222222"/>
        </w:rPr>
      </w:pPr>
      <w:r w:rsidRPr="00DD0CFB">
        <w:rPr>
          <w:color w:val="222222"/>
          <w:shd w:val="clear" w:color="auto" w:fill="FFFFFF"/>
        </w:rPr>
        <w:lastRenderedPageBreak/>
        <w:t xml:space="preserve">Assays should be validated in accordance with appropriate guidelines and NPAAC </w:t>
      </w:r>
      <w:r w:rsidR="07FB88C3" w:rsidRPr="00DD0CFB">
        <w:rPr>
          <w:color w:val="222222"/>
          <w:shd w:val="clear" w:color="auto" w:fill="FFFFFF"/>
        </w:rPr>
        <w:t>standards (</w:t>
      </w:r>
      <w:r w:rsidR="00761234" w:rsidRPr="00DD0CFB">
        <w:t>21)</w:t>
      </w:r>
      <w:r w:rsidR="003837F5" w:rsidRPr="00DD0CFB">
        <w:t>(</w:t>
      </w:r>
      <w:r w:rsidR="00761234" w:rsidRPr="00DD0CFB">
        <w:t>22</w:t>
      </w:r>
      <w:r w:rsidR="00480106" w:rsidRPr="00DD0CFB">
        <w:t>)</w:t>
      </w:r>
      <w:r w:rsidR="00C37E32" w:rsidRPr="00DD0CFB">
        <w:t>.</w:t>
      </w:r>
    </w:p>
    <w:p w14:paraId="2C7F79F6" w14:textId="2A35F4E1" w:rsidR="003F0EA0" w:rsidRPr="00DD0CFB" w:rsidRDefault="003F0EA0" w:rsidP="00471FCD">
      <w:pPr>
        <w:pStyle w:val="Heading3"/>
        <w:rPr>
          <w:b/>
          <w:bCs/>
        </w:rPr>
      </w:pPr>
      <w:r w:rsidRPr="00DD0CFB">
        <w:t>Suitable quality assurance programmes</w:t>
      </w:r>
    </w:p>
    <w:p w14:paraId="3176AE3B" w14:textId="0611833C" w:rsidR="003F0EA0" w:rsidRPr="00DD0CFB" w:rsidRDefault="003F0EA0" w:rsidP="0045470B">
      <w:pPr>
        <w:spacing w:line="276" w:lineRule="auto"/>
        <w:jc w:val="both"/>
      </w:pPr>
      <w:r w:rsidRPr="00DD0CFB">
        <w:rPr>
          <w:color w:val="222222"/>
          <w:shd w:val="clear" w:color="auto" w:fill="FFFFFF"/>
        </w:rPr>
        <w:t>There is currently no external quality assurance programme offered in Australia for NAA of</w:t>
      </w:r>
      <w:r w:rsidR="00C30BE6">
        <w:rPr>
          <w:color w:val="222222"/>
          <w:shd w:val="clear" w:color="auto" w:fill="FFFFFF"/>
        </w:rPr>
        <w:t xml:space="preserve"> </w:t>
      </w:r>
      <w:r w:rsidRPr="00DD0CFB">
        <w:rPr>
          <w:rStyle w:val="Emphasis"/>
          <w:rFonts w:eastAsiaTheme="majorEastAsia"/>
          <w:color w:val="222222"/>
          <w:shd w:val="clear" w:color="auto" w:fill="FFFFFF"/>
        </w:rPr>
        <w:t>N. meningitidis.</w:t>
      </w:r>
      <w:r w:rsidRPr="00DD0CFB">
        <w:t xml:space="preserve"> </w:t>
      </w:r>
    </w:p>
    <w:p w14:paraId="3DCBB846" w14:textId="77777777" w:rsidR="00183FAD" w:rsidRPr="00DD0CFB" w:rsidRDefault="00183FAD" w:rsidP="00471FCD">
      <w:pPr>
        <w:pStyle w:val="Heading2"/>
      </w:pPr>
      <w:r w:rsidRPr="00DD0CFB">
        <w:t>Antimicrobial Susceptibility testing</w:t>
      </w:r>
    </w:p>
    <w:p w14:paraId="4B691C89" w14:textId="429C2AA1" w:rsidR="00183FAD" w:rsidRPr="00DD0CFB" w:rsidRDefault="00183FAD" w:rsidP="00C30BE6">
      <w:r w:rsidRPr="00DD0CFB">
        <w:t xml:space="preserve">Antimicrobial </w:t>
      </w:r>
      <w:r w:rsidR="003175A6" w:rsidRPr="00DD0CFB">
        <w:t>susceptibility</w:t>
      </w:r>
      <w:r w:rsidRPr="00DD0CFB">
        <w:t xml:space="preserve"> testing is performed in NNN laboratories for antibiotics used for treatment and chemoprophylaxis. The AMSP has reported longitudinal AMR data for IMD isolates since 1984 and currently reports ceftriaxone, penicillin, rifampicin and ciprofloxacin AST on IMD isolates for surveillance. Historically, resistance to the antibiotics used for meningococcal treatment and prophylaxis is uncommon in Australia</w:t>
      </w:r>
      <w:r w:rsidRPr="00DD0CFB">
        <w:rPr>
          <w:shd w:val="clear" w:color="auto" w:fill="FFFFFF"/>
        </w:rPr>
        <w:t>. However, AMR surveillance is important as AMR is increasingly reported. The</w:t>
      </w:r>
      <w:r w:rsidRPr="00DD0CFB">
        <w:t xml:space="preserve"> USA has recently reported that the number of IMD cases caused by penicillin and ciprofloxacin resistant </w:t>
      </w:r>
      <w:r w:rsidRPr="00DD0CFB">
        <w:rPr>
          <w:rStyle w:val="Emphasis"/>
          <w:color w:val="000000" w:themeColor="text1"/>
        </w:rPr>
        <w:t>Neisseria meningitidis </w:t>
      </w:r>
      <w:r w:rsidRPr="00DD0CFB">
        <w:t xml:space="preserve">strains has increased and, in some States, these account for over half of all reported IMD </w:t>
      </w:r>
      <w:r w:rsidR="003837F5" w:rsidRPr="00DD0CFB">
        <w:t>(</w:t>
      </w:r>
      <w:r w:rsidR="00761234" w:rsidRPr="00DD0CFB">
        <w:t>23</w:t>
      </w:r>
      <w:r w:rsidR="00480106" w:rsidRPr="00DD0CFB">
        <w:t>)</w:t>
      </w:r>
      <w:r w:rsidR="00C37E32" w:rsidRPr="00DD0CFB">
        <w:t>.</w:t>
      </w:r>
    </w:p>
    <w:p w14:paraId="1A789C13" w14:textId="1291467F" w:rsidR="00183FAD" w:rsidRPr="00DD0CFB" w:rsidRDefault="00183FAD" w:rsidP="00C30BE6">
      <w:r w:rsidRPr="00DD0CFB">
        <w:t xml:space="preserve">Disk testing is not recommended for </w:t>
      </w:r>
      <w:r w:rsidRPr="00DD0CFB">
        <w:rPr>
          <w:i/>
          <w:iCs/>
        </w:rPr>
        <w:t>Neisseria species</w:t>
      </w:r>
      <w:r w:rsidRPr="00DD0CFB">
        <w:t xml:space="preserve"> and the NNN Laboratories determine the MIC values for meningococcal isolates using agar dilution or gradient strip diffusion tests (</w:t>
      </w:r>
      <w:proofErr w:type="spellStart"/>
      <w:r w:rsidR="00D11658" w:rsidRPr="00DD0CFB">
        <w:t>BioMerieux</w:t>
      </w:r>
      <w:proofErr w:type="spellEnd"/>
      <w:r w:rsidR="00D11658" w:rsidRPr="00DD0CFB">
        <w:t xml:space="preserve"> </w:t>
      </w:r>
      <w:proofErr w:type="spellStart"/>
      <w:r w:rsidRPr="00DD0CFB">
        <w:t>Etest</w:t>
      </w:r>
      <w:proofErr w:type="spellEnd"/>
      <w:r w:rsidRPr="00DD0CFB">
        <w:t>) and report either CLSI or EUCAST guidelines</w:t>
      </w:r>
      <w:r w:rsidR="003837F5" w:rsidRPr="00DD0CFB">
        <w:t xml:space="preserve"> (</w:t>
      </w:r>
      <w:r w:rsidR="00761234" w:rsidRPr="00DD0CFB">
        <w:t>24</w:t>
      </w:r>
      <w:r w:rsidR="00480106" w:rsidRPr="00DD0CFB">
        <w:t>)</w:t>
      </w:r>
      <w:r w:rsidRPr="00DD0CFB">
        <w:t xml:space="preserve">. </w:t>
      </w:r>
    </w:p>
    <w:p w14:paraId="58FC39D6" w14:textId="792DAE1A" w:rsidR="7BE273F7" w:rsidRPr="00DD0CFB" w:rsidRDefault="7BE273F7" w:rsidP="0045470B">
      <w:pPr>
        <w:pStyle w:val="Heading1"/>
      </w:pPr>
      <w:r w:rsidRPr="00DD0CFB">
        <w:rPr>
          <w:rFonts w:ascii="Open Sans" w:eastAsia="Open Sans" w:hAnsi="Open Sans" w:cs="Open Sans"/>
          <w:color w:val="000000" w:themeColor="text1"/>
        </w:rPr>
        <w:t>Laboratory nomenclature for national data dictionary</w:t>
      </w:r>
    </w:p>
    <w:tbl>
      <w:tblPr>
        <w:tblStyle w:val="ListTable3-Accent1"/>
        <w:tblW w:w="0" w:type="auto"/>
        <w:tblLook w:val="04A0" w:firstRow="1" w:lastRow="0" w:firstColumn="1" w:lastColumn="0" w:noHBand="0" w:noVBand="1"/>
      </w:tblPr>
      <w:tblGrid>
        <w:gridCol w:w="3005"/>
        <w:gridCol w:w="3006"/>
        <w:gridCol w:w="3006"/>
      </w:tblGrid>
      <w:tr w:rsidR="0AF9E4E0" w:rsidRPr="00DD0CFB" w14:paraId="02553D0C" w14:textId="77777777" w:rsidTr="298B97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005" w:type="dxa"/>
          </w:tcPr>
          <w:p w14:paraId="0437B8DD" w14:textId="02484A69" w:rsidR="50F344E8" w:rsidRPr="00DD0CFB" w:rsidRDefault="50F344E8" w:rsidP="0045470B">
            <w:pPr>
              <w:spacing w:before="120" w:after="120" w:line="240" w:lineRule="auto"/>
              <w:jc w:val="both"/>
            </w:pPr>
            <w:r w:rsidRPr="00DD0CFB">
              <w:t>SNOMED CT code</w:t>
            </w:r>
          </w:p>
        </w:tc>
        <w:tc>
          <w:tcPr>
            <w:tcW w:w="3006" w:type="dxa"/>
          </w:tcPr>
          <w:p w14:paraId="270576BF" w14:textId="2316A61F" w:rsidR="45F50DE6" w:rsidRPr="00DD0CFB" w:rsidRDefault="46B4C966" w:rsidP="0045470B">
            <w:pPr>
              <w:spacing w:before="120" w:after="120" w:line="240" w:lineRule="auto"/>
              <w:jc w:val="both"/>
              <w:cnfStyle w:val="100000000000" w:firstRow="1" w:lastRow="0" w:firstColumn="0" w:lastColumn="0" w:oddVBand="0" w:evenVBand="0" w:oddHBand="0" w:evenHBand="0" w:firstRowFirstColumn="0" w:firstRowLastColumn="0" w:lastRowFirstColumn="0" w:lastRowLastColumn="0"/>
            </w:pPr>
            <w:r w:rsidRPr="00DD0CFB">
              <w:t>Concept</w:t>
            </w:r>
            <w:r w:rsidR="45F50DE6" w:rsidRPr="00DD0CFB">
              <w:t xml:space="preserve"> n</w:t>
            </w:r>
            <w:r w:rsidR="50F344E8" w:rsidRPr="00DD0CFB">
              <w:t>ame</w:t>
            </w:r>
          </w:p>
        </w:tc>
        <w:tc>
          <w:tcPr>
            <w:tcW w:w="3006" w:type="dxa"/>
          </w:tcPr>
          <w:p w14:paraId="7725D54A" w14:textId="2BAAC21A" w:rsidR="50F344E8" w:rsidRPr="00DD0CFB" w:rsidRDefault="50F344E8" w:rsidP="0045470B">
            <w:pPr>
              <w:spacing w:before="120" w:after="120" w:line="240" w:lineRule="auto"/>
              <w:jc w:val="both"/>
              <w:cnfStyle w:val="100000000000" w:firstRow="1" w:lastRow="0" w:firstColumn="0" w:lastColumn="0" w:oddVBand="0" w:evenVBand="0" w:oddHBand="0" w:evenHBand="0" w:firstRowFirstColumn="0" w:firstRowLastColumn="0" w:lastRowFirstColumn="0" w:lastRowLastColumn="0"/>
            </w:pPr>
            <w:r w:rsidRPr="00DD0CFB">
              <w:t>Description</w:t>
            </w:r>
          </w:p>
        </w:tc>
      </w:tr>
      <w:tr w:rsidR="0AF9E4E0" w:rsidRPr="00DD0CFB" w14:paraId="2F628914" w14:textId="77777777" w:rsidTr="298B97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05" w:type="dxa"/>
          </w:tcPr>
          <w:p w14:paraId="5098CE6F" w14:textId="551256E2" w:rsidR="1A07964B" w:rsidRPr="00DD0CFB" w:rsidRDefault="33487838" w:rsidP="298B977C">
            <w:pPr>
              <w:spacing w:before="120" w:after="120" w:line="240" w:lineRule="auto"/>
              <w:jc w:val="both"/>
              <w:rPr>
                <w:b w:val="0"/>
                <w:bCs w:val="0"/>
                <w:color w:val="808080" w:themeColor="background1" w:themeShade="80"/>
              </w:rPr>
            </w:pPr>
            <w:r w:rsidRPr="00DD0CFB">
              <w:rPr>
                <w:b w:val="0"/>
                <w:bCs w:val="0"/>
              </w:rPr>
              <w:t>707225006</w:t>
            </w:r>
          </w:p>
        </w:tc>
        <w:tc>
          <w:tcPr>
            <w:tcW w:w="3006" w:type="dxa"/>
          </w:tcPr>
          <w:p w14:paraId="6BE3B8EF" w14:textId="2669785A" w:rsidR="1A07964B" w:rsidRPr="00DD0CFB" w:rsidRDefault="33487838" w:rsidP="298B977C">
            <w:pPr>
              <w:spacing w:before="120" w:after="120" w:line="24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D0CFB">
              <w:t>Invasive Meningococcal Disease</w:t>
            </w:r>
          </w:p>
        </w:tc>
        <w:tc>
          <w:tcPr>
            <w:tcW w:w="3006" w:type="dxa"/>
          </w:tcPr>
          <w:p w14:paraId="40EF2C37" w14:textId="352FC378" w:rsidR="362B8187" w:rsidRPr="00DD0CFB" w:rsidRDefault="33487838" w:rsidP="298B977C">
            <w:pPr>
              <w:spacing w:before="120" w:after="120" w:line="240" w:lineRule="auto"/>
              <w:cnfStyle w:val="000000100000" w:firstRow="0" w:lastRow="0" w:firstColumn="0" w:lastColumn="0" w:oddVBand="0" w:evenVBand="0" w:oddHBand="1" w:evenHBand="0" w:firstRowFirstColumn="0" w:firstRowLastColumn="0" w:lastRowFirstColumn="0" w:lastRowLastColumn="0"/>
              <w:rPr>
                <w:i/>
                <w:iCs/>
                <w:color w:val="808080" w:themeColor="background1" w:themeShade="80"/>
              </w:rPr>
            </w:pPr>
            <w:r w:rsidRPr="00DD0CFB">
              <w:rPr>
                <w:i/>
                <w:iCs/>
              </w:rPr>
              <w:t>Disorder</w:t>
            </w:r>
          </w:p>
        </w:tc>
      </w:tr>
    </w:tbl>
    <w:p w14:paraId="7F0EFA06" w14:textId="3877C292" w:rsidR="005A43C3" w:rsidRDefault="005A43C3" w:rsidP="00C30BE6">
      <w:r>
        <w:br w:type="page"/>
      </w:r>
    </w:p>
    <w:p w14:paraId="773F8791" w14:textId="77777777" w:rsidR="005A43C3" w:rsidRDefault="005A43C3" w:rsidP="005A43C3">
      <w:pPr>
        <w:pStyle w:val="Heading1"/>
      </w:pPr>
      <w:r w:rsidRPr="00DD0CFB">
        <w:lastRenderedPageBreak/>
        <w:t>References</w:t>
      </w:r>
    </w:p>
    <w:p w14:paraId="533F572B" w14:textId="234E9B41" w:rsidR="00654669" w:rsidRPr="00DD0CFB" w:rsidRDefault="00654669" w:rsidP="00471FCD">
      <w:pPr>
        <w:pStyle w:val="CommentText"/>
        <w:numPr>
          <w:ilvl w:val="0"/>
          <w:numId w:val="45"/>
        </w:numPr>
        <w:jc w:val="both"/>
        <w:rPr>
          <w:rFonts w:eastAsia="Times New Roman"/>
          <w:sz w:val="22"/>
          <w:szCs w:val="22"/>
        </w:rPr>
      </w:pPr>
      <w:r w:rsidRPr="00DD0CFB">
        <w:rPr>
          <w:rFonts w:eastAsia="Times New Roman"/>
          <w:sz w:val="22"/>
          <w:szCs w:val="22"/>
        </w:rPr>
        <w:t xml:space="preserve">Shen, J., Begum, N., Ruiz-Garcia, Y. et al. Range of invasive meningococcal disease sequelae and health economic application – a systematic and clinical review. BMC Public Health 22, 1078 (2022). </w:t>
      </w:r>
      <w:hyperlink r:id="rId11" w:history="1">
        <w:r w:rsidRPr="00DD0CFB">
          <w:rPr>
            <w:rFonts w:eastAsia="Times New Roman"/>
            <w:sz w:val="22"/>
            <w:szCs w:val="22"/>
          </w:rPr>
          <w:t>https://doi.org/10.1186/s12889-022-13342-2</w:t>
        </w:r>
      </w:hyperlink>
      <w:r w:rsidRPr="00DD0CFB">
        <w:rPr>
          <w:rFonts w:eastAsia="Times New Roman"/>
          <w:sz w:val="22"/>
          <w:szCs w:val="22"/>
        </w:rPr>
        <w:t xml:space="preserve"> </w:t>
      </w:r>
    </w:p>
    <w:p w14:paraId="19A6DD04" w14:textId="3485B242" w:rsidR="005B2647" w:rsidRPr="00DD0CFB" w:rsidRDefault="005B2647" w:rsidP="00471FCD">
      <w:pPr>
        <w:pStyle w:val="CommentText"/>
        <w:numPr>
          <w:ilvl w:val="0"/>
          <w:numId w:val="45"/>
        </w:numPr>
        <w:jc w:val="both"/>
        <w:rPr>
          <w:rFonts w:eastAsia="Times New Roman"/>
          <w:sz w:val="22"/>
          <w:szCs w:val="22"/>
        </w:rPr>
      </w:pPr>
      <w:r w:rsidRPr="00DD0CFB">
        <w:rPr>
          <w:rFonts w:eastAsia="Times New Roman"/>
          <w:sz w:val="22"/>
          <w:szCs w:val="22"/>
        </w:rPr>
        <w:t xml:space="preserve">Shen S, </w:t>
      </w:r>
      <w:proofErr w:type="spellStart"/>
      <w:r w:rsidRPr="00DD0CFB">
        <w:rPr>
          <w:rFonts w:eastAsia="Times New Roman"/>
          <w:sz w:val="22"/>
          <w:szCs w:val="22"/>
        </w:rPr>
        <w:t>Findlow</w:t>
      </w:r>
      <w:proofErr w:type="spellEnd"/>
      <w:r w:rsidRPr="00DD0CFB">
        <w:rPr>
          <w:rFonts w:eastAsia="Times New Roman"/>
          <w:sz w:val="22"/>
          <w:szCs w:val="22"/>
        </w:rPr>
        <w:t xml:space="preserve"> J, </w:t>
      </w:r>
      <w:proofErr w:type="spellStart"/>
      <w:r w:rsidRPr="00DD0CFB">
        <w:rPr>
          <w:rFonts w:eastAsia="Times New Roman"/>
          <w:sz w:val="22"/>
          <w:szCs w:val="22"/>
        </w:rPr>
        <w:t>Peyrani</w:t>
      </w:r>
      <w:proofErr w:type="spellEnd"/>
      <w:r w:rsidRPr="00DD0CFB">
        <w:rPr>
          <w:rFonts w:eastAsia="Times New Roman"/>
          <w:sz w:val="22"/>
          <w:szCs w:val="22"/>
        </w:rPr>
        <w:t xml:space="preserve"> P. Global Epidemiology of Meningococcal Disease-Causing Serogroups Before and After the COVID-19 Pandemic: A Narrative Review. Infect Dis Ther. 2024 Dec;13(12):2489-2507. </w:t>
      </w:r>
      <w:proofErr w:type="spellStart"/>
      <w:r w:rsidRPr="00DD0CFB">
        <w:rPr>
          <w:rFonts w:eastAsia="Times New Roman"/>
          <w:sz w:val="22"/>
          <w:szCs w:val="22"/>
        </w:rPr>
        <w:t>doi</w:t>
      </w:r>
      <w:proofErr w:type="spellEnd"/>
      <w:r w:rsidRPr="00DD0CFB">
        <w:rPr>
          <w:rFonts w:eastAsia="Times New Roman"/>
          <w:sz w:val="22"/>
          <w:szCs w:val="22"/>
        </w:rPr>
        <w:t xml:space="preserve">: 10.1007/s40121-024-01063-5. </w:t>
      </w:r>
      <w:proofErr w:type="spellStart"/>
      <w:r w:rsidRPr="00DD0CFB">
        <w:rPr>
          <w:rFonts w:eastAsia="Times New Roman"/>
          <w:sz w:val="22"/>
          <w:szCs w:val="22"/>
        </w:rPr>
        <w:t>Epub</w:t>
      </w:r>
      <w:proofErr w:type="spellEnd"/>
      <w:r w:rsidRPr="00DD0CFB">
        <w:rPr>
          <w:rFonts w:eastAsia="Times New Roman"/>
          <w:sz w:val="22"/>
          <w:szCs w:val="22"/>
        </w:rPr>
        <w:t xml:space="preserve"> 2024 Nov 7. PMID: 39509011; PMCID: PMC11582116.</w:t>
      </w:r>
    </w:p>
    <w:p w14:paraId="3FFFDFF1" w14:textId="52601B41" w:rsidR="00654669" w:rsidRPr="00DD0CFB" w:rsidRDefault="00654669" w:rsidP="00471FCD">
      <w:pPr>
        <w:pStyle w:val="CommentText"/>
        <w:numPr>
          <w:ilvl w:val="0"/>
          <w:numId w:val="45"/>
        </w:numPr>
        <w:jc w:val="both"/>
        <w:rPr>
          <w:rFonts w:eastAsia="Times New Roman"/>
          <w:sz w:val="22"/>
          <w:szCs w:val="22"/>
        </w:rPr>
      </w:pPr>
      <w:hyperlink r:id="rId12" w:history="1">
        <w:r w:rsidRPr="00DD0CFB">
          <w:rPr>
            <w:rFonts w:eastAsia="Times New Roman"/>
            <w:sz w:val="22"/>
            <w:szCs w:val="22"/>
          </w:rPr>
          <w:t>Meningococcal Disease in Other Countries | Meningococcal | CDC</w:t>
        </w:r>
      </w:hyperlink>
      <w:r w:rsidRPr="00DD0CFB">
        <w:rPr>
          <w:rFonts w:eastAsia="Times New Roman"/>
          <w:sz w:val="22"/>
          <w:szCs w:val="22"/>
        </w:rPr>
        <w:t xml:space="preserve"> accessed 12/6/24</w:t>
      </w:r>
    </w:p>
    <w:p w14:paraId="4C026F4B" w14:textId="679D128F" w:rsidR="005B2647" w:rsidRPr="00DD0CFB" w:rsidRDefault="005B2647" w:rsidP="00C30BE6">
      <w:pPr>
        <w:pStyle w:val="ListParagraph"/>
      </w:pPr>
      <w:proofErr w:type="spellStart"/>
      <w:r w:rsidRPr="00DD0CFB">
        <w:t>Lahra</w:t>
      </w:r>
      <w:proofErr w:type="spellEnd"/>
      <w:r w:rsidRPr="00DD0CFB">
        <w:t xml:space="preserve"> MM, George CRR, van Hal S, Hogan TR. Australian Meningococcal Surveillance Programme Annual Report, 2023. Commun Dis </w:t>
      </w:r>
      <w:proofErr w:type="spellStart"/>
      <w:r w:rsidRPr="00DD0CFB">
        <w:t>Intell</w:t>
      </w:r>
      <w:proofErr w:type="spellEnd"/>
      <w:r w:rsidRPr="00DD0CFB">
        <w:t xml:space="preserve"> (2018). 2024 Dec 18;48. </w:t>
      </w:r>
      <w:proofErr w:type="spellStart"/>
      <w:r w:rsidRPr="00DD0CFB">
        <w:t>doi</w:t>
      </w:r>
      <w:proofErr w:type="spellEnd"/>
      <w:r w:rsidRPr="00DD0CFB">
        <w:t>: 10.33321/cdi.2024.48.52. PMID: 39689906</w:t>
      </w:r>
    </w:p>
    <w:p w14:paraId="2175FD8D" w14:textId="77777777" w:rsidR="005B2647" w:rsidRPr="00DD0CFB" w:rsidRDefault="005B2647" w:rsidP="00C30BE6">
      <w:pPr>
        <w:pStyle w:val="ListParagraph"/>
        <w:rPr>
          <w:lang w:eastAsia="en-GB"/>
        </w:rPr>
      </w:pPr>
      <w:r w:rsidRPr="00DD0CFB">
        <w:rPr>
          <w:lang w:eastAsia="en-GB"/>
        </w:rPr>
        <w:t>Stinson C, Burman C, Presa J, Abalos M. Atypical presentation of invasive meningococcal disease caused by serogroup W meningococci. Epidemiol Infect. 2020 Jan 27;</w:t>
      </w:r>
      <w:proofErr w:type="gramStart"/>
      <w:r w:rsidRPr="00DD0CFB">
        <w:rPr>
          <w:lang w:eastAsia="en-GB"/>
        </w:rPr>
        <w:t>148:e</w:t>
      </w:r>
      <w:proofErr w:type="gramEnd"/>
      <w:r w:rsidRPr="00DD0CFB">
        <w:rPr>
          <w:lang w:eastAsia="en-GB"/>
        </w:rPr>
        <w:t xml:space="preserve">12. </w:t>
      </w:r>
      <w:proofErr w:type="spellStart"/>
      <w:r w:rsidRPr="00DD0CFB">
        <w:rPr>
          <w:lang w:eastAsia="en-GB"/>
        </w:rPr>
        <w:t>doi</w:t>
      </w:r>
      <w:proofErr w:type="spellEnd"/>
      <w:r w:rsidRPr="00DD0CFB">
        <w:rPr>
          <w:lang w:eastAsia="en-GB"/>
        </w:rPr>
        <w:t>: 10.1017/S0950268819002152. PMID: 31983356; PMCID: PMC7019474.</w:t>
      </w:r>
    </w:p>
    <w:p w14:paraId="08ADE997" w14:textId="72241B0A" w:rsidR="00C37E32" w:rsidRPr="00DD0CFB" w:rsidRDefault="005B2647" w:rsidP="00C30BE6">
      <w:pPr>
        <w:pStyle w:val="ListParagraph"/>
        <w:rPr>
          <w:lang w:eastAsia="en-GB"/>
        </w:rPr>
      </w:pPr>
      <w:r w:rsidRPr="00DD0CFB">
        <w:rPr>
          <w:lang w:eastAsia="en-GB"/>
        </w:rPr>
        <w:t xml:space="preserve">Taha S, </w:t>
      </w:r>
      <w:proofErr w:type="spellStart"/>
      <w:r w:rsidRPr="00DD0CFB">
        <w:rPr>
          <w:lang w:eastAsia="en-GB"/>
        </w:rPr>
        <w:t>Deghmane</w:t>
      </w:r>
      <w:proofErr w:type="spellEnd"/>
      <w:r w:rsidRPr="00DD0CFB">
        <w:rPr>
          <w:lang w:eastAsia="en-GB"/>
        </w:rPr>
        <w:t xml:space="preserve"> AE, Taha MK. Recent increase in atypical presentations of invasive meningococcal disease in France. BMC Infect Dis. 2024 Jun 26;24(1):640. </w:t>
      </w:r>
      <w:proofErr w:type="spellStart"/>
      <w:r w:rsidRPr="00DD0CFB">
        <w:rPr>
          <w:lang w:eastAsia="en-GB"/>
        </w:rPr>
        <w:t>doi</w:t>
      </w:r>
      <w:proofErr w:type="spellEnd"/>
      <w:r w:rsidRPr="00DD0CFB">
        <w:rPr>
          <w:lang w:eastAsia="en-GB"/>
        </w:rPr>
        <w:t>: 10.1186/s12879-024-09547-y. PMID: 38926823; PMCID: PMC11200843</w:t>
      </w:r>
    </w:p>
    <w:p w14:paraId="563EF9CA" w14:textId="21310F49" w:rsidR="00654669" w:rsidRPr="00DD0CFB" w:rsidRDefault="00654669" w:rsidP="00C30BE6">
      <w:pPr>
        <w:pStyle w:val="ListParagraph"/>
      </w:pPr>
      <w:hyperlink r:id="rId13" w:anchor="laboratory-workers" w:history="1">
        <w:r w:rsidRPr="00DD0CFB">
          <w:t>https://immunisationhandbook.health.gov.au/contents/vaccination-for-special-risk-groups/vaccination-for-people-at-occupational-risk#laboratory-workers</w:t>
        </w:r>
      </w:hyperlink>
    </w:p>
    <w:p w14:paraId="7EFC6D86" w14:textId="179DD43A" w:rsidR="00D94676" w:rsidRPr="00DD0CFB" w:rsidRDefault="00D94676" w:rsidP="00C30BE6">
      <w:pPr>
        <w:pStyle w:val="ListParagraph"/>
      </w:pPr>
      <w:r w:rsidRPr="00DD0CFB">
        <w:t xml:space="preserve">George CR, Booy R, Nissen MD, </w:t>
      </w:r>
      <w:proofErr w:type="spellStart"/>
      <w:r w:rsidRPr="00DD0CFB">
        <w:t>Lahra</w:t>
      </w:r>
      <w:proofErr w:type="spellEnd"/>
      <w:r w:rsidRPr="00DD0CFB">
        <w:t xml:space="preserve"> MM. The decline of invasive meningococcal disease and influenza in the time of COVID-19: the silver linings of the pandemic playbook. Med J Aust. 2022 Jun 6;216(10):504-507. </w:t>
      </w:r>
      <w:proofErr w:type="spellStart"/>
      <w:r w:rsidRPr="00DD0CFB">
        <w:t>doi</w:t>
      </w:r>
      <w:proofErr w:type="spellEnd"/>
      <w:r w:rsidRPr="00DD0CFB">
        <w:t>: 10.5694/mja2.51463. </w:t>
      </w:r>
      <w:proofErr w:type="spellStart"/>
      <w:r w:rsidRPr="00DD0CFB">
        <w:t>Epub</w:t>
      </w:r>
      <w:proofErr w:type="spellEnd"/>
      <w:r w:rsidRPr="00DD0CFB">
        <w:t> 2022 Mar 27. PMID: 35340025; PMCID: PMC9114995.</w:t>
      </w:r>
    </w:p>
    <w:p w14:paraId="4901A109" w14:textId="77777777" w:rsidR="00654669" w:rsidRPr="00DD0CFB" w:rsidRDefault="00654669" w:rsidP="00471FCD">
      <w:pPr>
        <w:pStyle w:val="CommentText"/>
        <w:numPr>
          <w:ilvl w:val="0"/>
          <w:numId w:val="45"/>
        </w:numPr>
        <w:jc w:val="both"/>
        <w:rPr>
          <w:rFonts w:eastAsia="Times New Roman"/>
          <w:sz w:val="22"/>
          <w:szCs w:val="22"/>
        </w:rPr>
      </w:pPr>
      <w:r w:rsidRPr="00DD0CFB">
        <w:rPr>
          <w:rFonts w:eastAsia="Times New Roman"/>
          <w:sz w:val="22"/>
          <w:szCs w:val="22"/>
        </w:rPr>
        <w:t>Christensen H, May M, Bowen, Hickman M, Trotter CL. Meningococcal carriage by age: a systematic review and meta-analysis. Lancet Infect Dis. 2010; 10: 853-861 https://doi.org/10.1016/S1473-3099(10)70251-6</w:t>
      </w:r>
    </w:p>
    <w:p w14:paraId="5E8BAA43" w14:textId="77777777" w:rsidR="00654669" w:rsidRPr="00DD0CFB" w:rsidRDefault="00654669" w:rsidP="00471FCD">
      <w:pPr>
        <w:pStyle w:val="CommentText"/>
        <w:numPr>
          <w:ilvl w:val="0"/>
          <w:numId w:val="45"/>
        </w:numPr>
        <w:jc w:val="both"/>
        <w:rPr>
          <w:rFonts w:eastAsia="Times New Roman"/>
          <w:sz w:val="22"/>
          <w:szCs w:val="22"/>
        </w:rPr>
      </w:pPr>
      <w:r w:rsidRPr="00DD0CFB">
        <w:rPr>
          <w:rFonts w:eastAsia="Times New Roman"/>
          <w:sz w:val="22"/>
          <w:szCs w:val="22"/>
        </w:rPr>
        <w:t xml:space="preserve">Dominique A. </w:t>
      </w:r>
      <w:proofErr w:type="spellStart"/>
      <w:r w:rsidRPr="00DD0CFB">
        <w:rPr>
          <w:rFonts w:eastAsia="Times New Roman"/>
          <w:sz w:val="22"/>
          <w:szCs w:val="22"/>
        </w:rPr>
        <w:t>Caugant</w:t>
      </w:r>
      <w:proofErr w:type="spellEnd"/>
      <w:r w:rsidRPr="00DD0CFB">
        <w:rPr>
          <w:rFonts w:eastAsia="Times New Roman"/>
          <w:sz w:val="22"/>
          <w:szCs w:val="22"/>
        </w:rPr>
        <w:t xml:space="preserve">, Martin C.J. Maiden, Meningococcal carriage and disease—Population biology and evolution, Vaccine, Volume 27, Supplement 2, 2009, Pages B64-B70, ISSN 0264-410X, </w:t>
      </w:r>
      <w:hyperlink r:id="rId14" w:history="1">
        <w:r w:rsidRPr="00DD0CFB">
          <w:rPr>
            <w:rFonts w:eastAsia="Times New Roman"/>
            <w:sz w:val="22"/>
            <w:szCs w:val="22"/>
          </w:rPr>
          <w:t>https://doi.org/10.1016/j.vaccine.2009.04.061</w:t>
        </w:r>
      </w:hyperlink>
      <w:r w:rsidRPr="00DD0CFB">
        <w:rPr>
          <w:rFonts w:eastAsia="Times New Roman"/>
          <w:sz w:val="22"/>
          <w:szCs w:val="22"/>
        </w:rPr>
        <w:t>.</w:t>
      </w:r>
    </w:p>
    <w:p w14:paraId="2F0FBDEF" w14:textId="7EA5295F" w:rsidR="00654669" w:rsidRPr="00DD0CFB" w:rsidRDefault="00654669" w:rsidP="00C30BE6">
      <w:pPr>
        <w:pStyle w:val="ListParagraph"/>
        <w:rPr>
          <w:color w:val="000000" w:themeColor="text1"/>
        </w:rPr>
      </w:pPr>
      <w:proofErr w:type="spellStart"/>
      <w:proofErr w:type="gramStart"/>
      <w:r w:rsidRPr="00DD0CFB">
        <w:t>Mbaeyi,S</w:t>
      </w:r>
      <w:proofErr w:type="spellEnd"/>
      <w:proofErr w:type="gramEnd"/>
      <w:r w:rsidRPr="00DD0CFB">
        <w:t xml:space="preserve">, Duffy, J, McNamara, L. </w:t>
      </w:r>
      <w:hyperlink r:id="rId15" w:history="1">
        <w:r w:rsidRPr="00DD0CFB">
          <w:t>Epidemiology and Prevention of Vaccine-Preventable Diseases</w:t>
        </w:r>
      </w:hyperlink>
      <w:r w:rsidRPr="00DD0CFB">
        <w:t xml:space="preserve">, Chapter 14 Chapter 14: Meningococcal Disease. 2021; </w:t>
      </w:r>
      <w:hyperlink r:id="rId16" w:history="1">
        <w:r w:rsidRPr="00DD0CFB">
          <w:t>https://www.cdc.gov/vaccines/pubs/pinkbook/mening.html</w:t>
        </w:r>
      </w:hyperlink>
    </w:p>
    <w:p w14:paraId="09F63B64" w14:textId="4E647339" w:rsidR="00654669" w:rsidRPr="00DD0CFB" w:rsidRDefault="00654669" w:rsidP="00C30BE6">
      <w:pPr>
        <w:pStyle w:val="ListParagraph"/>
      </w:pPr>
      <w:r w:rsidRPr="00DD0CFB">
        <w:t xml:space="preserve">van </w:t>
      </w:r>
      <w:proofErr w:type="spellStart"/>
      <w:r w:rsidRPr="00DD0CFB">
        <w:t>Deuren</w:t>
      </w:r>
      <w:proofErr w:type="spellEnd"/>
      <w:r w:rsidRPr="00DD0CFB">
        <w:t xml:space="preserve">, van </w:t>
      </w:r>
      <w:proofErr w:type="spellStart"/>
      <w:r w:rsidRPr="00DD0CFB">
        <w:t>Dijke</w:t>
      </w:r>
      <w:proofErr w:type="spellEnd"/>
      <w:r w:rsidRPr="00DD0CFB">
        <w:t xml:space="preserve">, BJ, Koopman RJJ, </w:t>
      </w:r>
      <w:proofErr w:type="spellStart"/>
      <w:r w:rsidRPr="00DD0CFB">
        <w:t>Horrevors</w:t>
      </w:r>
      <w:proofErr w:type="spellEnd"/>
      <w:r w:rsidRPr="00DD0CFB">
        <w:t xml:space="preserve"> AM, Meis JFGM, Santman FW, van der Meer JWM. Rapid diagnosis of acute meningococcal infections by needle aspiration or biopsy of skin lesions. Br Med J </w:t>
      </w:r>
      <w:proofErr w:type="gramStart"/>
      <w:r w:rsidRPr="00DD0CFB">
        <w:t>1993;306:1229</w:t>
      </w:r>
      <w:proofErr w:type="gramEnd"/>
      <w:r w:rsidRPr="00DD0CFB">
        <w:t>-1232.</w:t>
      </w:r>
    </w:p>
    <w:p w14:paraId="46511C55" w14:textId="547CAF78" w:rsidR="00654669" w:rsidRPr="00DD0CFB" w:rsidRDefault="00654669" w:rsidP="00C30BE6">
      <w:pPr>
        <w:pStyle w:val="ListParagraph"/>
      </w:pPr>
      <w:r w:rsidRPr="00DD0CFB">
        <w:t xml:space="preserve"> PHLS Meningococcal Infections Working Group and Public Health Medicine Environmental Group. Control of meningococcal disease: guidance for consultants in communicable disease control. Communicable Disease Report Review 1995;5: R189-R195.</w:t>
      </w:r>
    </w:p>
    <w:p w14:paraId="30B8BAC7" w14:textId="7313AA64" w:rsidR="00654669" w:rsidRPr="00DD0CFB" w:rsidRDefault="00654669" w:rsidP="00C30BE6">
      <w:pPr>
        <w:pStyle w:val="ListParagraph"/>
      </w:pPr>
      <w:r w:rsidRPr="00DD0CFB">
        <w:lastRenderedPageBreak/>
        <w:t xml:space="preserve">Cartwright KAV, Reilly S, White D, Stuart J. Early treatment with parenteral penicillin in meningococcal disease. Br Med J </w:t>
      </w:r>
      <w:proofErr w:type="gramStart"/>
      <w:r w:rsidRPr="00DD0CFB">
        <w:t>1992;305:143</w:t>
      </w:r>
      <w:proofErr w:type="gramEnd"/>
      <w:r w:rsidRPr="00DD0CFB">
        <w:t>-147</w:t>
      </w:r>
    </w:p>
    <w:p w14:paraId="39E22C3A" w14:textId="544B9804" w:rsidR="00654669" w:rsidRPr="00DD0CFB" w:rsidRDefault="00654669" w:rsidP="00C30BE6">
      <w:pPr>
        <w:pStyle w:val="ListParagraph"/>
      </w:pPr>
      <w:proofErr w:type="spellStart"/>
      <w:r w:rsidRPr="00DD0CFB">
        <w:t>Tapsall</w:t>
      </w:r>
      <w:proofErr w:type="spellEnd"/>
      <w:r w:rsidRPr="00DD0CFB">
        <w:t xml:space="preserve"> JW, Cheng JK. Rapid identification of pathogenic species of Neisseria by carbohydrate degradation tests. Importance of glucose in media used for preparation of </w:t>
      </w:r>
      <w:proofErr w:type="spellStart"/>
      <w:r w:rsidRPr="00DD0CFB">
        <w:t>inocula</w:t>
      </w:r>
      <w:proofErr w:type="spellEnd"/>
      <w:r w:rsidRPr="00DD0CFB">
        <w:t xml:space="preserve">. Br J Vener Dis </w:t>
      </w:r>
      <w:proofErr w:type="gramStart"/>
      <w:r w:rsidRPr="00DD0CFB">
        <w:t>1981;57:249</w:t>
      </w:r>
      <w:proofErr w:type="gramEnd"/>
      <w:r w:rsidRPr="00DD0CFB">
        <w:t>-252.</w:t>
      </w:r>
    </w:p>
    <w:p w14:paraId="34C76EEF" w14:textId="23D3208B" w:rsidR="00654669" w:rsidRPr="00DD0CFB" w:rsidRDefault="00654669" w:rsidP="00C30BE6">
      <w:pPr>
        <w:pStyle w:val="ListParagraph"/>
      </w:pPr>
      <w:r w:rsidRPr="00DD0CFB">
        <w:t xml:space="preserve">Ragunathan, L, Ramsay M, Borrow Respiratory, </w:t>
      </w:r>
      <w:proofErr w:type="spellStart"/>
      <w:r w:rsidRPr="00DD0CFB">
        <w:t>Guiver</w:t>
      </w:r>
      <w:proofErr w:type="spellEnd"/>
      <w:r w:rsidRPr="00DD0CFB">
        <w:t xml:space="preserve"> M, Gray S, Kaczmarski EB. Clinical features, laboratory findings and management of meningococcal meningitis in England and Wales: report of a 1997 survey. Meningococcal meningitis: 1997 survey report. J Infect </w:t>
      </w:r>
      <w:proofErr w:type="gramStart"/>
      <w:r w:rsidRPr="00DD0CFB">
        <w:t>2000;40:74</w:t>
      </w:r>
      <w:proofErr w:type="gramEnd"/>
      <w:r w:rsidRPr="00DD0CFB">
        <w:t>-79</w:t>
      </w:r>
    </w:p>
    <w:p w14:paraId="61F793B3" w14:textId="06271166" w:rsidR="00654669" w:rsidRPr="00DD0CFB" w:rsidRDefault="00654669" w:rsidP="00C30BE6">
      <w:pPr>
        <w:pStyle w:val="ListParagraph"/>
      </w:pPr>
      <w:r w:rsidRPr="00DD0CFB">
        <w:t xml:space="preserve"> Bryant PA, Hua YL, Zaia A, Griffith J, Hogg G, Curtis N, Carapetis J. Prospective study of a real-time PCR that is sensitive, specific, and clinically useful for diagnosis of meningococcal disease in children. J Clin </w:t>
      </w:r>
      <w:proofErr w:type="spellStart"/>
      <w:r w:rsidRPr="00DD0CFB">
        <w:t>Microbiol</w:t>
      </w:r>
      <w:proofErr w:type="spellEnd"/>
      <w:r w:rsidRPr="00DD0CFB">
        <w:t xml:space="preserve"> </w:t>
      </w:r>
      <w:proofErr w:type="gramStart"/>
      <w:r w:rsidRPr="00DD0CFB">
        <w:t>2004;42:2919</w:t>
      </w:r>
      <w:proofErr w:type="gramEnd"/>
      <w:r w:rsidRPr="00DD0CFB">
        <w:t>-2925.</w:t>
      </w:r>
    </w:p>
    <w:p w14:paraId="71EA21CD" w14:textId="7D0D66A0" w:rsidR="00654669" w:rsidRPr="00DD0CFB" w:rsidRDefault="00654669" w:rsidP="00C30BE6">
      <w:pPr>
        <w:pStyle w:val="ListParagraph"/>
      </w:pPr>
      <w:r w:rsidRPr="00DD0CFB">
        <w:t xml:space="preserve">Muhamed-Kheir Taha Simultaneous approach for nonculture PCR-based identification and serogroup prediction of Neisseria meningitidis. J Clin </w:t>
      </w:r>
      <w:proofErr w:type="spellStart"/>
      <w:r w:rsidRPr="00DD0CFB">
        <w:t>Microbiol</w:t>
      </w:r>
      <w:proofErr w:type="spellEnd"/>
      <w:r w:rsidRPr="00DD0CFB">
        <w:t xml:space="preserve"> </w:t>
      </w:r>
      <w:proofErr w:type="gramStart"/>
      <w:r w:rsidRPr="00DD0CFB">
        <w:t>2000;38:885</w:t>
      </w:r>
      <w:proofErr w:type="gramEnd"/>
      <w:r w:rsidRPr="00DD0CFB">
        <w:t>-857</w:t>
      </w:r>
    </w:p>
    <w:p w14:paraId="3E1FA544" w14:textId="2A6D1FAC" w:rsidR="00654669" w:rsidRPr="00DD0CFB" w:rsidRDefault="00654669" w:rsidP="00C30BE6">
      <w:pPr>
        <w:pStyle w:val="ListParagraph"/>
      </w:pPr>
      <w:r w:rsidRPr="00DD0CFB">
        <w:t xml:space="preserve">Porritt RJ, Mercer J, Munro R. Detection and serogroup determination of Neisseria meningitidis in CSF by polymerase chain reaction. Pathology </w:t>
      </w:r>
      <w:proofErr w:type="gramStart"/>
      <w:r w:rsidRPr="00DD0CFB">
        <w:t>2000;32:42</w:t>
      </w:r>
      <w:proofErr w:type="gramEnd"/>
      <w:r w:rsidRPr="00DD0CFB">
        <w:t>-5</w:t>
      </w:r>
    </w:p>
    <w:p w14:paraId="5F13FBD7" w14:textId="7ADA7951" w:rsidR="00654669" w:rsidRPr="00DD0CFB" w:rsidRDefault="00654669" w:rsidP="00C30BE6">
      <w:pPr>
        <w:pStyle w:val="ListParagraph"/>
      </w:pPr>
      <w:r w:rsidRPr="00DD0CFB">
        <w:t xml:space="preserve">Hackett S J, Carrol ED, </w:t>
      </w:r>
      <w:proofErr w:type="spellStart"/>
      <w:r w:rsidRPr="00DD0CFB">
        <w:t>Guiver</w:t>
      </w:r>
      <w:proofErr w:type="spellEnd"/>
      <w:r w:rsidRPr="00DD0CFB">
        <w:t xml:space="preserve"> M, Marsh J, Sills JA, Thomson APJ, Kaczmarski EB Improved case confirmation in meningococcal disease with whole blood </w:t>
      </w:r>
      <w:proofErr w:type="spellStart"/>
      <w:r w:rsidRPr="00DD0CFB">
        <w:t>Taqman</w:t>
      </w:r>
      <w:proofErr w:type="spellEnd"/>
      <w:r w:rsidRPr="00DD0CFB">
        <w:t xml:space="preserve"> PCR Arch. Dis. Child. 2002; 86;449-452.</w:t>
      </w:r>
    </w:p>
    <w:p w14:paraId="1CB154A7" w14:textId="75942798" w:rsidR="00654669" w:rsidRPr="00DD0CFB" w:rsidRDefault="00654669" w:rsidP="00C30BE6">
      <w:pPr>
        <w:pStyle w:val="ListParagraph"/>
      </w:pPr>
      <w:r w:rsidRPr="00DD0CFB">
        <w:t>National Pathology Accreditation Advisory Council. Laboratory Accreditation Standards and Guidelines for Nucleic Acid Detection and Analysis. Australian Government Department of Health and Ageing, Canberra, Australia, 2006.ISBN: 0 642 82974 8 Online ISBN: 0 642 82975 6</w:t>
      </w:r>
    </w:p>
    <w:p w14:paraId="5A095392" w14:textId="77777777" w:rsidR="00654669" w:rsidRPr="00DD0CFB" w:rsidRDefault="00654669" w:rsidP="00C30BE6">
      <w:pPr>
        <w:pStyle w:val="ListParagraph"/>
      </w:pPr>
      <w:r w:rsidRPr="00DD0CFB">
        <w:t>National Pathology Accreditation Advisory Council. Requirements for the Validation of in-house in vitro Diagnostic Devices (IVDs</w:t>
      </w:r>
      <w:proofErr w:type="gramStart"/>
      <w:r w:rsidRPr="00DD0CFB">
        <w:t>) .</w:t>
      </w:r>
      <w:proofErr w:type="gramEnd"/>
      <w:r w:rsidRPr="00DD0CFB">
        <w:t xml:space="preserve"> Australian Government Department of Health and Ageing, Canberra, Australia. 2004. ISBN: 0 642 82439 8</w:t>
      </w:r>
    </w:p>
    <w:p w14:paraId="32D7FE21" w14:textId="6EDEA3F2" w:rsidR="00654669" w:rsidRPr="00DD0CFB" w:rsidRDefault="00654669" w:rsidP="00471FCD">
      <w:pPr>
        <w:pStyle w:val="CommentText"/>
        <w:numPr>
          <w:ilvl w:val="0"/>
          <w:numId w:val="45"/>
        </w:numPr>
        <w:jc w:val="both"/>
        <w:rPr>
          <w:rFonts w:eastAsia="Times New Roman"/>
          <w:color w:val="000000" w:themeColor="text1"/>
          <w:sz w:val="22"/>
          <w:szCs w:val="22"/>
        </w:rPr>
      </w:pPr>
      <w:hyperlink r:id="rId17" w:history="1">
        <w:r w:rsidRPr="00DD0CFB">
          <w:rPr>
            <w:rFonts w:eastAsia="Times New Roman"/>
            <w:color w:val="000000" w:themeColor="text1"/>
            <w:sz w:val="22"/>
            <w:szCs w:val="22"/>
          </w:rPr>
          <w:t>https://www.cdc.gov/meningococcal/php/antibiotic-resistant/index.html</w:t>
        </w:r>
      </w:hyperlink>
      <w:r w:rsidRPr="00DD0CFB">
        <w:rPr>
          <w:rFonts w:eastAsia="Times New Roman"/>
          <w:color w:val="000000" w:themeColor="text1"/>
          <w:sz w:val="22"/>
          <w:szCs w:val="22"/>
        </w:rPr>
        <w:t xml:space="preserve">, accessed </w:t>
      </w:r>
      <w:r w:rsidR="00C37E32" w:rsidRPr="00DD0CFB">
        <w:rPr>
          <w:rFonts w:eastAsia="Times New Roman"/>
          <w:color w:val="000000" w:themeColor="text1"/>
          <w:sz w:val="22"/>
          <w:szCs w:val="22"/>
        </w:rPr>
        <w:t>2</w:t>
      </w:r>
      <w:r w:rsidR="00471FCD" w:rsidRPr="00DD0CFB">
        <w:rPr>
          <w:rFonts w:eastAsia="Times New Roman"/>
          <w:color w:val="000000" w:themeColor="text1"/>
          <w:sz w:val="22"/>
          <w:szCs w:val="22"/>
        </w:rPr>
        <w:t>3</w:t>
      </w:r>
      <w:r w:rsidR="00C37E32" w:rsidRPr="00DD0CFB">
        <w:rPr>
          <w:rFonts w:eastAsia="Times New Roman"/>
          <w:color w:val="000000" w:themeColor="text1"/>
          <w:sz w:val="22"/>
          <w:szCs w:val="22"/>
        </w:rPr>
        <w:t>/01/25</w:t>
      </w:r>
    </w:p>
    <w:p w14:paraId="233CF5A8" w14:textId="77777777" w:rsidR="00654669" w:rsidRPr="00DD0CFB" w:rsidRDefault="00654669" w:rsidP="00471FCD">
      <w:pPr>
        <w:pStyle w:val="CommentText"/>
        <w:numPr>
          <w:ilvl w:val="0"/>
          <w:numId w:val="45"/>
        </w:numPr>
        <w:jc w:val="both"/>
        <w:rPr>
          <w:rFonts w:eastAsia="Times New Roman"/>
          <w:color w:val="000000" w:themeColor="text1"/>
          <w:sz w:val="22"/>
          <w:szCs w:val="22"/>
        </w:rPr>
      </w:pPr>
      <w:r w:rsidRPr="00DD0CFB">
        <w:rPr>
          <w:rFonts w:eastAsia="Times New Roman"/>
          <w:color w:val="000000" w:themeColor="text1"/>
          <w:sz w:val="22"/>
          <w:szCs w:val="22"/>
        </w:rPr>
        <w:t xml:space="preserve"> The European Committee on Antimicrobial Susceptibility Testing. Breakpoint tables for interpretation of MICs and zone diameters. Version 14.0, 2024. http://www.eucast.org</w:t>
      </w:r>
    </w:p>
    <w:p w14:paraId="74A8F450" w14:textId="0A5B0737" w:rsidR="005A43C3" w:rsidRDefault="005A43C3" w:rsidP="0045470B">
      <w:pPr>
        <w:jc w:val="both"/>
        <w:rPr>
          <w:sz w:val="20"/>
          <w:szCs w:val="20"/>
        </w:rPr>
      </w:pPr>
      <w:r>
        <w:rPr>
          <w:sz w:val="20"/>
          <w:szCs w:val="20"/>
        </w:rPr>
        <w:br w:type="page"/>
      </w:r>
    </w:p>
    <w:p w14:paraId="1D09BE12" w14:textId="2FF42719" w:rsidR="00EC3B9A" w:rsidRPr="005E44DA" w:rsidRDefault="00CF2D40" w:rsidP="298B977C">
      <w:pPr>
        <w:pStyle w:val="Heading1"/>
        <w:spacing w:before="0" w:after="0"/>
        <w:rPr>
          <w:color w:val="222222"/>
        </w:rPr>
      </w:pPr>
      <w:bookmarkStart w:id="4" w:name="_Hlk172040588"/>
      <w:bookmarkEnd w:id="4"/>
      <w:r w:rsidRPr="00DD0CFB">
        <w:lastRenderedPageBreak/>
        <w:t>Glossary</w:t>
      </w:r>
    </w:p>
    <w:p w14:paraId="0587ABAC" w14:textId="77777777" w:rsidR="005E44DA" w:rsidRPr="005E44DA" w:rsidRDefault="005E44DA" w:rsidP="00B45DD0">
      <w:pPr>
        <w:spacing w:line="276" w:lineRule="auto"/>
      </w:pPr>
      <w:r w:rsidRPr="005E44DA">
        <w:t xml:space="preserve">AMR – Antimicrobial resistance </w:t>
      </w:r>
    </w:p>
    <w:p w14:paraId="40D199DC" w14:textId="77777777" w:rsidR="005E44DA" w:rsidRPr="005E44DA" w:rsidRDefault="005E44DA" w:rsidP="00B45DD0">
      <w:pPr>
        <w:spacing w:line="276" w:lineRule="auto"/>
      </w:pPr>
      <w:r w:rsidRPr="005E44DA">
        <w:t>CLSI – Clinical and Laboratory Standards Institute</w:t>
      </w:r>
    </w:p>
    <w:p w14:paraId="4408657D" w14:textId="77777777" w:rsidR="005E44DA" w:rsidRPr="005E44DA" w:rsidRDefault="005E44DA" w:rsidP="00B45DD0">
      <w:pPr>
        <w:spacing w:line="276" w:lineRule="auto"/>
      </w:pPr>
      <w:r w:rsidRPr="005E44DA">
        <w:t xml:space="preserve">CSF – Cerebrospinal fluid </w:t>
      </w:r>
    </w:p>
    <w:p w14:paraId="112A3AB7" w14:textId="77777777" w:rsidR="005E44DA" w:rsidRPr="005E44DA" w:rsidRDefault="005E44DA" w:rsidP="00B45DD0">
      <w:pPr>
        <w:spacing w:line="276" w:lineRule="auto"/>
      </w:pPr>
      <w:r w:rsidRPr="005E44DA">
        <w:t xml:space="preserve">DNA – Deoxyribonucleic acid </w:t>
      </w:r>
    </w:p>
    <w:p w14:paraId="1C1B2AD7" w14:textId="77777777" w:rsidR="005E44DA" w:rsidRPr="005E44DA" w:rsidRDefault="005E44DA" w:rsidP="00B45DD0">
      <w:pPr>
        <w:spacing w:line="276" w:lineRule="auto"/>
      </w:pPr>
      <w:r w:rsidRPr="005E44DA">
        <w:t>EDTA – Ethylenediaminetetraacetic acid</w:t>
      </w:r>
    </w:p>
    <w:p w14:paraId="594741F6" w14:textId="77777777" w:rsidR="005E44DA" w:rsidRPr="005E44DA" w:rsidRDefault="005E44DA" w:rsidP="00B45DD0">
      <w:pPr>
        <w:spacing w:line="276" w:lineRule="auto"/>
      </w:pPr>
      <w:r w:rsidRPr="005E44DA">
        <w:t xml:space="preserve">EUCAST – European Committee on Antimicrobial Susceptibility Testing </w:t>
      </w:r>
    </w:p>
    <w:p w14:paraId="1DBA5BA0" w14:textId="77777777" w:rsidR="005E44DA" w:rsidRPr="005E44DA" w:rsidRDefault="005E44DA" w:rsidP="00B45DD0">
      <w:pPr>
        <w:spacing w:line="276" w:lineRule="auto"/>
      </w:pPr>
      <w:r w:rsidRPr="005E44DA">
        <w:t>In vitro – performed in a test tube, culture dish, or elsewhere outside a living organism</w:t>
      </w:r>
    </w:p>
    <w:p w14:paraId="1159DA20" w14:textId="77777777" w:rsidR="005E44DA" w:rsidRPr="005E44DA" w:rsidRDefault="005E44DA" w:rsidP="00B45DD0">
      <w:pPr>
        <w:spacing w:line="276" w:lineRule="auto"/>
      </w:pPr>
      <w:r w:rsidRPr="005E44DA">
        <w:t>In vivo – performed or taking place in a living organism</w:t>
      </w:r>
    </w:p>
    <w:p w14:paraId="3F11BEAA" w14:textId="77777777" w:rsidR="005E44DA" w:rsidRPr="005E44DA" w:rsidRDefault="005E44DA" w:rsidP="00B45DD0">
      <w:pPr>
        <w:spacing w:line="276" w:lineRule="auto"/>
      </w:pPr>
      <w:r w:rsidRPr="005E44DA">
        <w:t xml:space="preserve">MALDI-TOF – Matrix-assisted laser desorption ionization-time of flight </w:t>
      </w:r>
    </w:p>
    <w:p w14:paraId="26CC4CB6" w14:textId="77777777" w:rsidR="005E44DA" w:rsidRPr="005E44DA" w:rsidRDefault="005E44DA" w:rsidP="00B45DD0">
      <w:pPr>
        <w:spacing w:line="276" w:lineRule="auto"/>
      </w:pPr>
      <w:r w:rsidRPr="005E44DA">
        <w:t xml:space="preserve">MLST – </w:t>
      </w:r>
      <w:proofErr w:type="spellStart"/>
      <w:r w:rsidRPr="005E44DA">
        <w:t>Multilocus</w:t>
      </w:r>
      <w:proofErr w:type="spellEnd"/>
      <w:r w:rsidRPr="005E44DA">
        <w:t xml:space="preserve"> sequence type/</w:t>
      </w:r>
      <w:proofErr w:type="spellStart"/>
      <w:r w:rsidRPr="005E44DA">
        <w:t>ing</w:t>
      </w:r>
      <w:proofErr w:type="spellEnd"/>
    </w:p>
    <w:p w14:paraId="0BFFA0B7" w14:textId="794AA813" w:rsidR="005E44DA" w:rsidRPr="005E44DA" w:rsidRDefault="005E44DA" w:rsidP="00B45DD0">
      <w:pPr>
        <w:spacing w:line="276" w:lineRule="auto"/>
      </w:pPr>
      <w:r w:rsidRPr="005E44DA">
        <w:t>NAAT – Nucleic acid amplification test/</w:t>
      </w:r>
      <w:proofErr w:type="spellStart"/>
      <w:r w:rsidRPr="005E44DA">
        <w:t>ing</w:t>
      </w:r>
      <w:proofErr w:type="spellEnd"/>
    </w:p>
    <w:p w14:paraId="68C55023" w14:textId="77777777" w:rsidR="005E44DA" w:rsidRPr="005E44DA" w:rsidRDefault="005E44DA" w:rsidP="00B45DD0">
      <w:pPr>
        <w:spacing w:line="276" w:lineRule="auto"/>
      </w:pPr>
      <w:r w:rsidRPr="005E44DA">
        <w:t>NPAAC – National Pathology Accreditation Advisory Council</w:t>
      </w:r>
    </w:p>
    <w:p w14:paraId="77518F41" w14:textId="59D8EF53" w:rsidR="005E44DA" w:rsidRPr="005E44DA" w:rsidRDefault="005E44DA" w:rsidP="00B45DD0">
      <w:pPr>
        <w:spacing w:line="276" w:lineRule="auto"/>
      </w:pPr>
      <w:r w:rsidRPr="005E44DA">
        <w:t>PCR – Polymerase chain reaction</w:t>
      </w:r>
    </w:p>
    <w:p w14:paraId="0EF1B04B" w14:textId="77777777" w:rsidR="005E44DA" w:rsidRPr="005E44DA" w:rsidRDefault="005E44DA" w:rsidP="00B45DD0">
      <w:pPr>
        <w:spacing w:line="276" w:lineRule="auto"/>
      </w:pPr>
      <w:r w:rsidRPr="005E44DA">
        <w:t>QAP – Quality assurance program</w:t>
      </w:r>
    </w:p>
    <w:p w14:paraId="7E24C8BC" w14:textId="173BC53A" w:rsidR="005E44DA" w:rsidRPr="005E44DA" w:rsidRDefault="005E44DA" w:rsidP="00B45DD0">
      <w:pPr>
        <w:spacing w:line="276" w:lineRule="auto"/>
      </w:pPr>
      <w:r w:rsidRPr="005E44DA">
        <w:t>QC – Quality control</w:t>
      </w:r>
    </w:p>
    <w:p w14:paraId="753B2E04" w14:textId="4F096858" w:rsidR="005E44DA" w:rsidRPr="005E44DA" w:rsidRDefault="005E44DA" w:rsidP="00B45DD0">
      <w:pPr>
        <w:spacing w:line="276" w:lineRule="auto"/>
      </w:pPr>
      <w:r w:rsidRPr="005E44DA">
        <w:t>RCPA – Royal College of Pathologists of Australasia</w:t>
      </w:r>
    </w:p>
    <w:p w14:paraId="7A614576" w14:textId="77777777" w:rsidR="005E44DA" w:rsidRPr="005E44DA" w:rsidRDefault="005E44DA" w:rsidP="00B45DD0">
      <w:pPr>
        <w:spacing w:line="276" w:lineRule="auto"/>
      </w:pPr>
      <w:r w:rsidRPr="005E44DA">
        <w:t>Serotype – Pathogens of the same species that are antigenically different</w:t>
      </w:r>
    </w:p>
    <w:p w14:paraId="00B2C35F" w14:textId="77777777" w:rsidR="005E44DA" w:rsidRPr="005E44DA" w:rsidRDefault="005E44DA" w:rsidP="00B45DD0">
      <w:pPr>
        <w:spacing w:line="276" w:lineRule="auto"/>
      </w:pPr>
      <w:r w:rsidRPr="005E44DA">
        <w:t>Strain – Variant that possesses unique and stable phenotypic characteristics</w:t>
      </w:r>
    </w:p>
    <w:p w14:paraId="64FDBE98" w14:textId="77777777" w:rsidR="005E44DA" w:rsidRPr="005E44DA" w:rsidRDefault="005E44DA" w:rsidP="00B45DD0">
      <w:pPr>
        <w:spacing w:line="276" w:lineRule="auto"/>
      </w:pPr>
      <w:r w:rsidRPr="005E44DA">
        <w:t>Test sensitivity – Ability of a test to correctly identify patients with a disease</w:t>
      </w:r>
    </w:p>
    <w:p w14:paraId="25F34A3B" w14:textId="05ED2830" w:rsidR="005E44DA" w:rsidRPr="005E44DA" w:rsidRDefault="005E44DA" w:rsidP="00B45DD0">
      <w:pPr>
        <w:spacing w:line="276" w:lineRule="auto"/>
      </w:pPr>
      <w:r w:rsidRPr="005E44DA">
        <w:t>Test specificity – Ability of a test to correctly identify people without the disease</w:t>
      </w:r>
    </w:p>
    <w:p w14:paraId="5FD07683" w14:textId="7AFF7FE1" w:rsidR="005E44DA" w:rsidRPr="005E44DA" w:rsidRDefault="005E44DA" w:rsidP="00B45DD0">
      <w:pPr>
        <w:spacing w:line="276" w:lineRule="auto"/>
      </w:pPr>
      <w:r w:rsidRPr="005E44DA">
        <w:t xml:space="preserve"> WGS – Whole genome sequencing</w:t>
      </w:r>
    </w:p>
    <w:p w14:paraId="5B5F58FA" w14:textId="77777777" w:rsidR="005E44DA" w:rsidRPr="005E44DA" w:rsidRDefault="005E44DA" w:rsidP="00B45DD0">
      <w:pPr>
        <w:spacing w:line="276" w:lineRule="auto"/>
      </w:pPr>
      <w:r w:rsidRPr="005E44DA">
        <w:t>WHO – World Health Organization</w:t>
      </w:r>
    </w:p>
    <w:p w14:paraId="6FED7E7C" w14:textId="5B7BA2E8" w:rsidR="005E44DA" w:rsidRPr="00DD0CFB" w:rsidRDefault="005E44DA" w:rsidP="00C30BE6">
      <w:pPr>
        <w:spacing w:line="276" w:lineRule="auto"/>
      </w:pPr>
      <w:r w:rsidRPr="005E44DA">
        <w:t>WHO CC – WHO Collaborating Centre</w:t>
      </w:r>
    </w:p>
    <w:sectPr w:rsidR="005E44DA" w:rsidRPr="00DD0CFB" w:rsidSect="00AE5C18">
      <w:headerReference w:type="default" r:id="rId18"/>
      <w:footerReference w:type="default" r:id="rId19"/>
      <w:headerReference w:type="first" r:id="rId20"/>
      <w:pgSz w:w="11907" w:h="16840" w:code="9"/>
      <w:pgMar w:top="1440" w:right="1440" w:bottom="1440" w:left="1440" w:header="680" w:footer="457"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04683" w14:textId="77777777" w:rsidR="00AB6FC5" w:rsidRDefault="00AB6FC5" w:rsidP="00A53F74">
      <w:r>
        <w:separator/>
      </w:r>
    </w:p>
    <w:p w14:paraId="736DC95B" w14:textId="77777777" w:rsidR="00AB6FC5" w:rsidRDefault="00AB6FC5" w:rsidP="00A53F74"/>
  </w:endnote>
  <w:endnote w:type="continuationSeparator" w:id="0">
    <w:p w14:paraId="0DD00131" w14:textId="77777777" w:rsidR="00AB6FC5" w:rsidRDefault="00AB6FC5" w:rsidP="00A53F74">
      <w:r>
        <w:continuationSeparator/>
      </w:r>
    </w:p>
    <w:p w14:paraId="7FCA63B4" w14:textId="77777777" w:rsidR="00AB6FC5" w:rsidRDefault="00AB6FC5" w:rsidP="00A53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599424"/>
      <w:docPartObj>
        <w:docPartGallery w:val="Page Numbers (Bottom of Page)"/>
        <w:docPartUnique/>
      </w:docPartObj>
    </w:sdtPr>
    <w:sdtEndPr>
      <w:rPr>
        <w:rFonts w:ascii="Arial" w:hAnsi="Arial" w:cs="Arial"/>
        <w:sz w:val="18"/>
        <w:szCs w:val="16"/>
      </w:rPr>
    </w:sdtEndPr>
    <w:sdtContent>
      <w:sdt>
        <w:sdtPr>
          <w:rPr>
            <w:rFonts w:ascii="Arial" w:hAnsi="Arial" w:cs="Arial"/>
            <w:sz w:val="18"/>
            <w:szCs w:val="16"/>
          </w:rPr>
          <w:id w:val="-1769616900"/>
          <w:docPartObj>
            <w:docPartGallery w:val="Page Numbers (Top of Page)"/>
            <w:docPartUnique/>
          </w:docPartObj>
        </w:sdtPr>
        <w:sdtEndPr>
          <w:rPr>
            <w:szCs w:val="18"/>
          </w:rPr>
        </w:sdtEndPr>
        <w:sdtContent>
          <w:p w14:paraId="638C4AB6" w14:textId="1D02720C" w:rsidR="004F61C6" w:rsidRPr="00AE5C18" w:rsidRDefault="004F61C6" w:rsidP="00A53F74">
            <w:pPr>
              <w:pStyle w:val="Footer"/>
              <w:rPr>
                <w:rFonts w:ascii="Arial" w:hAnsi="Arial" w:cs="Arial"/>
                <w:sz w:val="18"/>
                <w:szCs w:val="16"/>
              </w:rPr>
            </w:pPr>
            <w:r w:rsidRPr="00AE5C18">
              <w:rPr>
                <w:rFonts w:ascii="Arial" w:hAnsi="Arial" w:cs="Arial"/>
                <w:sz w:val="18"/>
                <w:szCs w:val="16"/>
              </w:rPr>
              <w:t xml:space="preserve">Page </w:t>
            </w:r>
            <w:r w:rsidRPr="00AE5C18">
              <w:rPr>
                <w:rFonts w:ascii="Arial" w:hAnsi="Arial" w:cs="Arial"/>
                <w:sz w:val="18"/>
                <w:szCs w:val="16"/>
              </w:rPr>
              <w:fldChar w:fldCharType="begin"/>
            </w:r>
            <w:r w:rsidRPr="00AE5C18">
              <w:rPr>
                <w:rFonts w:ascii="Arial" w:hAnsi="Arial" w:cs="Arial"/>
                <w:sz w:val="18"/>
                <w:szCs w:val="16"/>
              </w:rPr>
              <w:instrText xml:space="preserve"> PAGE </w:instrText>
            </w:r>
            <w:r w:rsidRPr="00AE5C18">
              <w:rPr>
                <w:rFonts w:ascii="Arial" w:hAnsi="Arial" w:cs="Arial"/>
                <w:sz w:val="18"/>
                <w:szCs w:val="16"/>
              </w:rPr>
              <w:fldChar w:fldCharType="separate"/>
            </w:r>
            <w:r w:rsidR="00961282">
              <w:rPr>
                <w:rFonts w:ascii="Arial" w:hAnsi="Arial" w:cs="Arial"/>
                <w:noProof/>
                <w:sz w:val="18"/>
                <w:szCs w:val="16"/>
              </w:rPr>
              <w:t>4</w:t>
            </w:r>
            <w:r w:rsidRPr="00AE5C18">
              <w:rPr>
                <w:rFonts w:ascii="Arial" w:hAnsi="Arial" w:cs="Arial"/>
                <w:sz w:val="18"/>
                <w:szCs w:val="16"/>
              </w:rPr>
              <w:fldChar w:fldCharType="end"/>
            </w:r>
            <w:r w:rsidRPr="00AE5C18">
              <w:rPr>
                <w:rFonts w:ascii="Arial" w:hAnsi="Arial" w:cs="Arial"/>
                <w:sz w:val="18"/>
                <w:szCs w:val="16"/>
              </w:rPr>
              <w:t xml:space="preserve"> of </w:t>
            </w:r>
            <w:r w:rsidRPr="00AE5C18">
              <w:rPr>
                <w:rFonts w:ascii="Arial" w:hAnsi="Arial" w:cs="Arial"/>
                <w:sz w:val="18"/>
                <w:szCs w:val="16"/>
              </w:rPr>
              <w:fldChar w:fldCharType="begin"/>
            </w:r>
            <w:r w:rsidRPr="00AE5C18">
              <w:rPr>
                <w:rFonts w:ascii="Arial" w:hAnsi="Arial" w:cs="Arial"/>
                <w:sz w:val="18"/>
                <w:szCs w:val="16"/>
              </w:rPr>
              <w:instrText xml:space="preserve"> NUMPAGES  </w:instrText>
            </w:r>
            <w:r w:rsidRPr="00AE5C18">
              <w:rPr>
                <w:rFonts w:ascii="Arial" w:hAnsi="Arial" w:cs="Arial"/>
                <w:sz w:val="18"/>
                <w:szCs w:val="16"/>
              </w:rPr>
              <w:fldChar w:fldCharType="separate"/>
            </w:r>
            <w:r w:rsidR="00961282">
              <w:rPr>
                <w:rFonts w:ascii="Arial" w:hAnsi="Arial" w:cs="Arial"/>
                <w:noProof/>
                <w:sz w:val="18"/>
                <w:szCs w:val="16"/>
              </w:rPr>
              <w:t>19</w:t>
            </w:r>
            <w:r w:rsidRPr="00AE5C18">
              <w:rPr>
                <w:rFonts w:ascii="Arial" w:hAnsi="Arial" w:cs="Arial"/>
                <w:sz w:val="18"/>
                <w:szCs w:val="16"/>
              </w:rPr>
              <w:fldChar w:fldCharType="end"/>
            </w:r>
          </w:p>
        </w:sdtContent>
      </w:sdt>
    </w:sdtContent>
  </w:sdt>
  <w:p w14:paraId="59C91BA3" w14:textId="518B7CFA" w:rsidR="00110BE3" w:rsidRPr="00AE5C18" w:rsidRDefault="298B977C" w:rsidP="00AE5C18">
    <w:pPr>
      <w:pStyle w:val="Footer"/>
      <w:rPr>
        <w:rFonts w:ascii="Arial" w:hAnsi="Arial" w:cs="Arial"/>
        <w:sz w:val="18"/>
        <w:szCs w:val="18"/>
      </w:rPr>
    </w:pPr>
    <w:r w:rsidRPr="298B977C">
      <w:rPr>
        <w:rFonts w:ascii="Arial" w:hAnsi="Arial" w:cs="Arial"/>
        <w:sz w:val="18"/>
        <w:szCs w:val="18"/>
      </w:rPr>
      <w:t>Invasive Meningococcal Disease – Laboratory case definition – Version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0A60" w14:textId="77777777" w:rsidR="00AB6FC5" w:rsidRDefault="00AB6FC5" w:rsidP="00A53F74">
      <w:r>
        <w:separator/>
      </w:r>
    </w:p>
    <w:p w14:paraId="6E77C6BC" w14:textId="77777777" w:rsidR="00AB6FC5" w:rsidRDefault="00AB6FC5" w:rsidP="00A53F74"/>
  </w:footnote>
  <w:footnote w:type="continuationSeparator" w:id="0">
    <w:p w14:paraId="76E428B1" w14:textId="77777777" w:rsidR="00AB6FC5" w:rsidRDefault="00AB6FC5" w:rsidP="00A53F74">
      <w:r>
        <w:continuationSeparator/>
      </w:r>
    </w:p>
    <w:p w14:paraId="29FA0C08" w14:textId="77777777" w:rsidR="00AB6FC5" w:rsidRDefault="00AB6FC5" w:rsidP="00A53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9AC6" w14:textId="266396B4" w:rsidR="00110BE3" w:rsidRDefault="00866892" w:rsidP="00AE5C1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1F466" w14:textId="6C821626" w:rsidR="00AE5C18" w:rsidRDefault="00AE5C18">
    <w:pPr>
      <w:pStyle w:val="Header"/>
    </w:pPr>
    <w:r>
      <w:rPr>
        <w:noProof/>
        <w:lang w:val="en-AU" w:eastAsia="en-AU"/>
      </w:rPr>
      <w:drawing>
        <wp:inline distT="0" distB="0" distL="0" distR="0" wp14:anchorId="55988EBD" wp14:editId="58A8C7E5">
          <wp:extent cx="3240000" cy="13207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LN logo.JPG"/>
                  <pic:cNvPicPr/>
                </pic:nvPicPr>
                <pic:blipFill>
                  <a:blip r:embed="rId1">
                    <a:extLst>
                      <a:ext uri="{28A0092B-C50C-407E-A947-70E740481C1C}">
                        <a14:useLocalDpi xmlns:a14="http://schemas.microsoft.com/office/drawing/2010/main" val="0"/>
                      </a:ext>
                    </a:extLst>
                  </a:blip>
                  <a:stretch>
                    <a:fillRect/>
                  </a:stretch>
                </pic:blipFill>
                <pic:spPr>
                  <a:xfrm>
                    <a:off x="0" y="0"/>
                    <a:ext cx="3240000" cy="1320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D609B"/>
    <w:multiLevelType w:val="multilevel"/>
    <w:tmpl w:val="3D601560"/>
    <w:lvl w:ilvl="0">
      <w:start w:val="1"/>
      <w:numFmt w:val="decimal"/>
      <w:pStyle w:val="Heading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80"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0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2" w15:restartNumberingAfterBreak="0">
    <w:nsid w:val="03615545"/>
    <w:multiLevelType w:val="hybridMultilevel"/>
    <w:tmpl w:val="F868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358CB"/>
    <w:multiLevelType w:val="hybridMultilevel"/>
    <w:tmpl w:val="9104BCD4"/>
    <w:lvl w:ilvl="0" w:tplc="C0AE7202">
      <w:start w:val="1"/>
      <w:numFmt w:val="decimal"/>
      <w:pStyle w:val="ListParagraph"/>
      <w:lvlText w:val="%1."/>
      <w:lvlJc w:val="left"/>
      <w:pPr>
        <w:ind w:left="785"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AF6E18"/>
    <w:multiLevelType w:val="hybridMultilevel"/>
    <w:tmpl w:val="D18A29F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697061D"/>
    <w:multiLevelType w:val="hybridMultilevel"/>
    <w:tmpl w:val="935841D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2E22DF"/>
    <w:multiLevelType w:val="hybridMultilevel"/>
    <w:tmpl w:val="E03E2B3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4E381E"/>
    <w:multiLevelType w:val="hybridMultilevel"/>
    <w:tmpl w:val="3D0436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584384"/>
    <w:multiLevelType w:val="multilevel"/>
    <w:tmpl w:val="E084D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D565BF"/>
    <w:multiLevelType w:val="hybridMultilevel"/>
    <w:tmpl w:val="44BAF7F8"/>
    <w:lvl w:ilvl="0" w:tplc="0C09000F">
      <w:start w:val="1"/>
      <w:numFmt w:val="decimal"/>
      <w:lvlText w:val="%1."/>
      <w:lvlJc w:val="left"/>
      <w:pPr>
        <w:ind w:left="2202" w:hanging="360"/>
      </w:p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10" w15:restartNumberingAfterBreak="0">
    <w:nsid w:val="0EDE166D"/>
    <w:multiLevelType w:val="hybridMultilevel"/>
    <w:tmpl w:val="6B9262DE"/>
    <w:lvl w:ilvl="0" w:tplc="15326F3A">
      <w:start w:val="1"/>
      <w:numFmt w:val="bullet"/>
      <w:lvlText w:val=""/>
      <w:lvlJc w:val="left"/>
      <w:pPr>
        <w:ind w:left="22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4D3511"/>
    <w:multiLevelType w:val="multilevel"/>
    <w:tmpl w:val="0CA8D3C0"/>
    <w:lvl w:ilvl="0">
      <w:start w:val="1"/>
      <w:numFmt w:val="bullet"/>
      <w:lvlText w:val=""/>
      <w:lvlJc w:val="left"/>
      <w:pPr>
        <w:ind w:left="689" w:hanging="405"/>
      </w:pPr>
      <w:rPr>
        <w:rFonts w:ascii="Symbol" w:hAnsi="Symbol" w:hint="default"/>
      </w:rPr>
    </w:lvl>
    <w:lvl w:ilvl="1">
      <w:start w:val="1"/>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16"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144" w:hanging="1440"/>
      </w:pPr>
      <w:rPr>
        <w:rFonts w:hint="default"/>
      </w:rPr>
    </w:lvl>
    <w:lvl w:ilvl="6">
      <w:start w:val="1"/>
      <w:numFmt w:val="decimal"/>
      <w:lvlText w:val="%1.%2.%3.%4.%5.%6.%7"/>
      <w:lvlJc w:val="left"/>
      <w:pPr>
        <w:ind w:left="3788" w:hanging="1800"/>
      </w:pPr>
      <w:rPr>
        <w:rFonts w:hint="default"/>
      </w:rPr>
    </w:lvl>
    <w:lvl w:ilvl="7">
      <w:start w:val="1"/>
      <w:numFmt w:val="decimal"/>
      <w:lvlText w:val="%1.%2.%3.%4.%5.%6.%7.%8"/>
      <w:lvlJc w:val="left"/>
      <w:pPr>
        <w:ind w:left="4072" w:hanging="1800"/>
      </w:pPr>
      <w:rPr>
        <w:rFonts w:hint="default"/>
      </w:rPr>
    </w:lvl>
    <w:lvl w:ilvl="8">
      <w:start w:val="1"/>
      <w:numFmt w:val="decimal"/>
      <w:lvlText w:val="%1.%2.%3.%4.%5.%6.%7.%8.%9"/>
      <w:lvlJc w:val="left"/>
      <w:pPr>
        <w:ind w:left="4716" w:hanging="2160"/>
      </w:pPr>
      <w:rPr>
        <w:rFonts w:hint="default"/>
      </w:rPr>
    </w:lvl>
  </w:abstractNum>
  <w:abstractNum w:abstractNumId="12" w15:restartNumberingAfterBreak="0">
    <w:nsid w:val="16AC07E2"/>
    <w:multiLevelType w:val="hybridMultilevel"/>
    <w:tmpl w:val="88F6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961154"/>
    <w:multiLevelType w:val="multilevel"/>
    <w:tmpl w:val="E37E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AF4385"/>
    <w:multiLevelType w:val="hybridMultilevel"/>
    <w:tmpl w:val="4A82D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EF85A30"/>
    <w:multiLevelType w:val="hybridMultilevel"/>
    <w:tmpl w:val="4ABC6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BC71D7"/>
    <w:multiLevelType w:val="hybridMultilevel"/>
    <w:tmpl w:val="1D7C8398"/>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31C273A"/>
    <w:multiLevelType w:val="multilevel"/>
    <w:tmpl w:val="252457A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263214E2"/>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15:restartNumberingAfterBreak="0">
    <w:nsid w:val="289D3C51"/>
    <w:multiLevelType w:val="hybridMultilevel"/>
    <w:tmpl w:val="3D3C78A2"/>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D76CF1"/>
    <w:multiLevelType w:val="hybridMultilevel"/>
    <w:tmpl w:val="F1201BAE"/>
    <w:lvl w:ilvl="0" w:tplc="67BE4D6E">
      <w:start w:val="1"/>
      <w:numFmt w:val="bullet"/>
      <w:lvlText w:val=""/>
      <w:lvlJc w:val="left"/>
      <w:pPr>
        <w:ind w:left="720"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D91B27"/>
    <w:multiLevelType w:val="hybridMultilevel"/>
    <w:tmpl w:val="E1E2238A"/>
    <w:lvl w:ilvl="0" w:tplc="829E7B7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2ECD3108"/>
    <w:multiLevelType w:val="hybridMultilevel"/>
    <w:tmpl w:val="9DF89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2604E1C"/>
    <w:multiLevelType w:val="hybridMultilevel"/>
    <w:tmpl w:val="994A1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375E5"/>
    <w:multiLevelType w:val="multilevel"/>
    <w:tmpl w:val="618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1D1A04"/>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454404B7"/>
    <w:multiLevelType w:val="hybridMultilevel"/>
    <w:tmpl w:val="0DCA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1F7F25"/>
    <w:multiLevelType w:val="hybridMultilevel"/>
    <w:tmpl w:val="6252389E"/>
    <w:lvl w:ilvl="0" w:tplc="1292AA2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8E60F2"/>
    <w:multiLevelType w:val="hybridMultilevel"/>
    <w:tmpl w:val="E2A68462"/>
    <w:lvl w:ilvl="0" w:tplc="3E466006">
      <w:start w:val="1"/>
      <w:numFmt w:val="bullet"/>
      <w:pStyle w:val="NoSpacing"/>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51A32831"/>
    <w:multiLevelType w:val="multilevel"/>
    <w:tmpl w:val="0FA8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15234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64433016"/>
    <w:multiLevelType w:val="multilevel"/>
    <w:tmpl w:val="BEBE38D2"/>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0">
    <w:nsid w:val="6DE45631"/>
    <w:multiLevelType w:val="multilevel"/>
    <w:tmpl w:val="8B40BA40"/>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B11EA7"/>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73E746F4"/>
    <w:multiLevelType w:val="hybridMultilevel"/>
    <w:tmpl w:val="0CB849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5214679"/>
    <w:multiLevelType w:val="multilevel"/>
    <w:tmpl w:val="BAD4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791B25"/>
    <w:multiLevelType w:val="hybridMultilevel"/>
    <w:tmpl w:val="31E22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8D70D6"/>
    <w:multiLevelType w:val="multilevel"/>
    <w:tmpl w:val="E808F7CC"/>
    <w:lvl w:ilvl="0">
      <w:start w:val="1"/>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437723718">
    <w:abstractNumId w:val="32"/>
  </w:num>
  <w:num w:numId="2" w16cid:durableId="1483616237">
    <w:abstractNumId w:val="1"/>
  </w:num>
  <w:num w:numId="3" w16cid:durableId="1642660705">
    <w:abstractNumId w:val="10"/>
  </w:num>
  <w:num w:numId="4" w16cid:durableId="767890920">
    <w:abstractNumId w:val="19"/>
  </w:num>
  <w:num w:numId="5" w16cid:durableId="807237351">
    <w:abstractNumId w:val="12"/>
  </w:num>
  <w:num w:numId="6" w16cid:durableId="1753696805">
    <w:abstractNumId w:val="17"/>
  </w:num>
  <w:num w:numId="7" w16cid:durableId="1434596363">
    <w:abstractNumId w:val="22"/>
  </w:num>
  <w:num w:numId="8" w16cid:durableId="322317146">
    <w:abstractNumId w:val="4"/>
  </w:num>
  <w:num w:numId="9" w16cid:durableId="486676053">
    <w:abstractNumId w:val="14"/>
  </w:num>
  <w:num w:numId="10" w16cid:durableId="1441148814">
    <w:abstractNumId w:val="16"/>
  </w:num>
  <w:num w:numId="11" w16cid:durableId="490024844">
    <w:abstractNumId w:val="20"/>
  </w:num>
  <w:num w:numId="12" w16cid:durableId="813331943">
    <w:abstractNumId w:val="34"/>
  </w:num>
  <w:num w:numId="13" w16cid:durableId="1975988059">
    <w:abstractNumId w:val="7"/>
  </w:num>
  <w:num w:numId="14" w16cid:durableId="276452035">
    <w:abstractNumId w:val="10"/>
  </w:num>
  <w:num w:numId="15" w16cid:durableId="1095398827">
    <w:abstractNumId w:val="10"/>
  </w:num>
  <w:num w:numId="16" w16cid:durableId="217982485">
    <w:abstractNumId w:val="20"/>
    <w:lvlOverride w:ilvl="0">
      <w:startOverride w:val="1"/>
    </w:lvlOverride>
  </w:num>
  <w:num w:numId="17" w16cid:durableId="2111775508">
    <w:abstractNumId w:val="29"/>
  </w:num>
  <w:num w:numId="18" w16cid:durableId="25525938">
    <w:abstractNumId w:val="35"/>
  </w:num>
  <w:num w:numId="19" w16cid:durableId="1033917074">
    <w:abstractNumId w:val="8"/>
  </w:num>
  <w:num w:numId="20" w16cid:durableId="1299724973">
    <w:abstractNumId w:val="24"/>
  </w:num>
  <w:num w:numId="21" w16cid:durableId="1384138022">
    <w:abstractNumId w:val="13"/>
  </w:num>
  <w:num w:numId="22" w16cid:durableId="1975327852">
    <w:abstractNumId w:val="1"/>
  </w:num>
  <w:num w:numId="23" w16cid:durableId="1441216906">
    <w:abstractNumId w:val="1"/>
  </w:num>
  <w:num w:numId="24" w16cid:durableId="1599755771">
    <w:abstractNumId w:val="1"/>
  </w:num>
  <w:num w:numId="25" w16cid:durableId="527180091">
    <w:abstractNumId w:val="5"/>
  </w:num>
  <w:num w:numId="26" w16cid:durableId="425421428">
    <w:abstractNumId w:val="28"/>
  </w:num>
  <w:num w:numId="27" w16cid:durableId="3258530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696019">
    <w:abstractNumId w:val="26"/>
  </w:num>
  <w:num w:numId="29" w16cid:durableId="490097050">
    <w:abstractNumId w:val="31"/>
  </w:num>
  <w:num w:numId="30" w16cid:durableId="1268349173">
    <w:abstractNumId w:val="21"/>
  </w:num>
  <w:num w:numId="31" w16cid:durableId="1533113593">
    <w:abstractNumId w:val="2"/>
  </w:num>
  <w:num w:numId="32" w16cid:durableId="1235165329">
    <w:abstractNumId w:val="23"/>
  </w:num>
  <w:num w:numId="33" w16cid:durableId="135339324">
    <w:abstractNumId w:val="11"/>
  </w:num>
  <w:num w:numId="34" w16cid:durableId="772281256">
    <w:abstractNumId w:val="33"/>
  </w:num>
  <w:num w:numId="35" w16cid:durableId="2108885458">
    <w:abstractNumId w:val="25"/>
  </w:num>
  <w:num w:numId="36" w16cid:durableId="8217605">
    <w:abstractNumId w:val="30"/>
  </w:num>
  <w:num w:numId="37" w16cid:durableId="1136484048">
    <w:abstractNumId w:val="37"/>
  </w:num>
  <w:num w:numId="38" w16cid:durableId="1782458468">
    <w:abstractNumId w:val="18"/>
  </w:num>
  <w:num w:numId="39" w16cid:durableId="1991783926">
    <w:abstractNumId w:val="9"/>
  </w:num>
  <w:num w:numId="40" w16cid:durableId="1500542771">
    <w:abstractNumId w:val="27"/>
  </w:num>
  <w:num w:numId="41" w16cid:durableId="1011032487">
    <w:abstractNumId w:val="0"/>
  </w:num>
  <w:num w:numId="42" w16cid:durableId="909534988">
    <w:abstractNumId w:val="6"/>
  </w:num>
  <w:num w:numId="43" w16cid:durableId="738330556">
    <w:abstractNumId w:val="15"/>
  </w:num>
  <w:num w:numId="44" w16cid:durableId="1679848088">
    <w:abstractNumId w:val="36"/>
  </w:num>
  <w:num w:numId="45" w16cid:durableId="170069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D"/>
    <w:rsid w:val="000109C1"/>
    <w:rsid w:val="0001619D"/>
    <w:rsid w:val="00017AF9"/>
    <w:rsid w:val="000538AB"/>
    <w:rsid w:val="00060A02"/>
    <w:rsid w:val="00065134"/>
    <w:rsid w:val="000754E9"/>
    <w:rsid w:val="000953F0"/>
    <w:rsid w:val="000B03A2"/>
    <w:rsid w:val="000B3C68"/>
    <w:rsid w:val="000B4157"/>
    <w:rsid w:val="000B7DE0"/>
    <w:rsid w:val="000D43D8"/>
    <w:rsid w:val="001000C8"/>
    <w:rsid w:val="00110BE3"/>
    <w:rsid w:val="00134CD9"/>
    <w:rsid w:val="00154072"/>
    <w:rsid w:val="00166373"/>
    <w:rsid w:val="00183FAD"/>
    <w:rsid w:val="00185242"/>
    <w:rsid w:val="001A114E"/>
    <w:rsid w:val="001A39D2"/>
    <w:rsid w:val="001A3DFD"/>
    <w:rsid w:val="001C5E02"/>
    <w:rsid w:val="002148B8"/>
    <w:rsid w:val="00214FB5"/>
    <w:rsid w:val="00260277"/>
    <w:rsid w:val="002677EC"/>
    <w:rsid w:val="0028697B"/>
    <w:rsid w:val="002E5329"/>
    <w:rsid w:val="002F29D8"/>
    <w:rsid w:val="0030236C"/>
    <w:rsid w:val="003065F9"/>
    <w:rsid w:val="003175A6"/>
    <w:rsid w:val="003708B6"/>
    <w:rsid w:val="003804CA"/>
    <w:rsid w:val="00380691"/>
    <w:rsid w:val="003837F5"/>
    <w:rsid w:val="003A13E3"/>
    <w:rsid w:val="003A583C"/>
    <w:rsid w:val="003B227E"/>
    <w:rsid w:val="003B32DF"/>
    <w:rsid w:val="003B6C3A"/>
    <w:rsid w:val="003C2239"/>
    <w:rsid w:val="003F0EA0"/>
    <w:rsid w:val="004140E2"/>
    <w:rsid w:val="00415085"/>
    <w:rsid w:val="00425A7A"/>
    <w:rsid w:val="004414FC"/>
    <w:rsid w:val="00446538"/>
    <w:rsid w:val="00451486"/>
    <w:rsid w:val="0045470B"/>
    <w:rsid w:val="00462DA4"/>
    <w:rsid w:val="00471FCD"/>
    <w:rsid w:val="004743E9"/>
    <w:rsid w:val="00480106"/>
    <w:rsid w:val="0049030F"/>
    <w:rsid w:val="004929B2"/>
    <w:rsid w:val="00495BE0"/>
    <w:rsid w:val="0049615E"/>
    <w:rsid w:val="004D590B"/>
    <w:rsid w:val="004E6CE4"/>
    <w:rsid w:val="004F0B66"/>
    <w:rsid w:val="004F61C6"/>
    <w:rsid w:val="00505574"/>
    <w:rsid w:val="00523B5C"/>
    <w:rsid w:val="00533E4C"/>
    <w:rsid w:val="00547282"/>
    <w:rsid w:val="00584A1E"/>
    <w:rsid w:val="005A43C3"/>
    <w:rsid w:val="005A7A36"/>
    <w:rsid w:val="005B2647"/>
    <w:rsid w:val="005B5F56"/>
    <w:rsid w:val="005C6171"/>
    <w:rsid w:val="005D6F39"/>
    <w:rsid w:val="005E44DA"/>
    <w:rsid w:val="005E5FBF"/>
    <w:rsid w:val="005F0072"/>
    <w:rsid w:val="00617E04"/>
    <w:rsid w:val="0062702B"/>
    <w:rsid w:val="006431D9"/>
    <w:rsid w:val="00643C3E"/>
    <w:rsid w:val="00654669"/>
    <w:rsid w:val="00664005"/>
    <w:rsid w:val="006A499C"/>
    <w:rsid w:val="006B4C83"/>
    <w:rsid w:val="006B5DC9"/>
    <w:rsid w:val="006B7635"/>
    <w:rsid w:val="006D056B"/>
    <w:rsid w:val="006D4CDD"/>
    <w:rsid w:val="006D70F9"/>
    <w:rsid w:val="006F24C1"/>
    <w:rsid w:val="006F3453"/>
    <w:rsid w:val="006F4457"/>
    <w:rsid w:val="006F6C8E"/>
    <w:rsid w:val="00714E7E"/>
    <w:rsid w:val="007507C3"/>
    <w:rsid w:val="00751598"/>
    <w:rsid w:val="00761234"/>
    <w:rsid w:val="00762AA6"/>
    <w:rsid w:val="007723D7"/>
    <w:rsid w:val="007733D8"/>
    <w:rsid w:val="007A3B7C"/>
    <w:rsid w:val="007C0904"/>
    <w:rsid w:val="007D0923"/>
    <w:rsid w:val="007E2E56"/>
    <w:rsid w:val="007F5849"/>
    <w:rsid w:val="0083509D"/>
    <w:rsid w:val="00847E9A"/>
    <w:rsid w:val="00851A2F"/>
    <w:rsid w:val="00866892"/>
    <w:rsid w:val="00871E00"/>
    <w:rsid w:val="008731AB"/>
    <w:rsid w:val="00873EA9"/>
    <w:rsid w:val="00891B5B"/>
    <w:rsid w:val="008A0130"/>
    <w:rsid w:val="008A2113"/>
    <w:rsid w:val="008A38BD"/>
    <w:rsid w:val="008B6E31"/>
    <w:rsid w:val="008B7880"/>
    <w:rsid w:val="008C6669"/>
    <w:rsid w:val="008F6FBE"/>
    <w:rsid w:val="00914A17"/>
    <w:rsid w:val="009220C0"/>
    <w:rsid w:val="00935D59"/>
    <w:rsid w:val="00942B94"/>
    <w:rsid w:val="00961282"/>
    <w:rsid w:val="00963E90"/>
    <w:rsid w:val="00972B14"/>
    <w:rsid w:val="009A20B5"/>
    <w:rsid w:val="009B1B23"/>
    <w:rsid w:val="009B32A2"/>
    <w:rsid w:val="009B45A4"/>
    <w:rsid w:val="009D05EC"/>
    <w:rsid w:val="009D0AFD"/>
    <w:rsid w:val="00A04D05"/>
    <w:rsid w:val="00A06368"/>
    <w:rsid w:val="00A2164F"/>
    <w:rsid w:val="00A26C3D"/>
    <w:rsid w:val="00A34F21"/>
    <w:rsid w:val="00A432D2"/>
    <w:rsid w:val="00A468A0"/>
    <w:rsid w:val="00A53F74"/>
    <w:rsid w:val="00A60C8A"/>
    <w:rsid w:val="00A803C6"/>
    <w:rsid w:val="00AA2F00"/>
    <w:rsid w:val="00AA2F43"/>
    <w:rsid w:val="00AA5018"/>
    <w:rsid w:val="00AB6794"/>
    <w:rsid w:val="00AB6FC5"/>
    <w:rsid w:val="00AB7598"/>
    <w:rsid w:val="00AE5C18"/>
    <w:rsid w:val="00AF3F96"/>
    <w:rsid w:val="00B05E07"/>
    <w:rsid w:val="00B13585"/>
    <w:rsid w:val="00B16BF7"/>
    <w:rsid w:val="00B27EC3"/>
    <w:rsid w:val="00B4018F"/>
    <w:rsid w:val="00B45DD0"/>
    <w:rsid w:val="00B47657"/>
    <w:rsid w:val="00B5184F"/>
    <w:rsid w:val="00B57968"/>
    <w:rsid w:val="00B917DA"/>
    <w:rsid w:val="00BA01D8"/>
    <w:rsid w:val="00BC764E"/>
    <w:rsid w:val="00BE0113"/>
    <w:rsid w:val="00BE47AC"/>
    <w:rsid w:val="00BF0F4D"/>
    <w:rsid w:val="00BF1B0C"/>
    <w:rsid w:val="00BF5A7B"/>
    <w:rsid w:val="00C000BA"/>
    <w:rsid w:val="00C04E5A"/>
    <w:rsid w:val="00C12AD2"/>
    <w:rsid w:val="00C1755C"/>
    <w:rsid w:val="00C22232"/>
    <w:rsid w:val="00C30BE6"/>
    <w:rsid w:val="00C3200E"/>
    <w:rsid w:val="00C36BE2"/>
    <w:rsid w:val="00C37E32"/>
    <w:rsid w:val="00C46834"/>
    <w:rsid w:val="00C71767"/>
    <w:rsid w:val="00C80F3B"/>
    <w:rsid w:val="00C83210"/>
    <w:rsid w:val="00CA1EA8"/>
    <w:rsid w:val="00CA4C69"/>
    <w:rsid w:val="00CB0F83"/>
    <w:rsid w:val="00CC0708"/>
    <w:rsid w:val="00CC2DCB"/>
    <w:rsid w:val="00CC44B0"/>
    <w:rsid w:val="00CD23B2"/>
    <w:rsid w:val="00CF2D40"/>
    <w:rsid w:val="00D01537"/>
    <w:rsid w:val="00D071EA"/>
    <w:rsid w:val="00D11658"/>
    <w:rsid w:val="00D14776"/>
    <w:rsid w:val="00D20A0B"/>
    <w:rsid w:val="00D219AB"/>
    <w:rsid w:val="00D3398A"/>
    <w:rsid w:val="00D70D25"/>
    <w:rsid w:val="00D8135D"/>
    <w:rsid w:val="00D94676"/>
    <w:rsid w:val="00D94A99"/>
    <w:rsid w:val="00DA072A"/>
    <w:rsid w:val="00DB6786"/>
    <w:rsid w:val="00DC4218"/>
    <w:rsid w:val="00DC60D4"/>
    <w:rsid w:val="00DD02C4"/>
    <w:rsid w:val="00DD0CFB"/>
    <w:rsid w:val="00DD2173"/>
    <w:rsid w:val="00DD790A"/>
    <w:rsid w:val="00DE404C"/>
    <w:rsid w:val="00DE6B39"/>
    <w:rsid w:val="00E03131"/>
    <w:rsid w:val="00E07152"/>
    <w:rsid w:val="00E1066E"/>
    <w:rsid w:val="00E1346E"/>
    <w:rsid w:val="00E14581"/>
    <w:rsid w:val="00E421D6"/>
    <w:rsid w:val="00E62858"/>
    <w:rsid w:val="00E71D87"/>
    <w:rsid w:val="00E71F8C"/>
    <w:rsid w:val="00E8130A"/>
    <w:rsid w:val="00E87D7A"/>
    <w:rsid w:val="00E902F5"/>
    <w:rsid w:val="00E9473C"/>
    <w:rsid w:val="00EA7439"/>
    <w:rsid w:val="00EB14E2"/>
    <w:rsid w:val="00EC32DF"/>
    <w:rsid w:val="00EC3B9A"/>
    <w:rsid w:val="00ED586D"/>
    <w:rsid w:val="00F16A46"/>
    <w:rsid w:val="00F47DB3"/>
    <w:rsid w:val="00F61DFB"/>
    <w:rsid w:val="00F62BFF"/>
    <w:rsid w:val="00F80116"/>
    <w:rsid w:val="00F848B1"/>
    <w:rsid w:val="00F84FCD"/>
    <w:rsid w:val="00F9755F"/>
    <w:rsid w:val="00FA126E"/>
    <w:rsid w:val="00FA76C6"/>
    <w:rsid w:val="00FB43E3"/>
    <w:rsid w:val="00FD0253"/>
    <w:rsid w:val="00FD1B4F"/>
    <w:rsid w:val="00FD74D0"/>
    <w:rsid w:val="019071AB"/>
    <w:rsid w:val="01F8BA94"/>
    <w:rsid w:val="04084CB6"/>
    <w:rsid w:val="07FB88C3"/>
    <w:rsid w:val="0AF9E4E0"/>
    <w:rsid w:val="0B3E5CFC"/>
    <w:rsid w:val="0CA7C187"/>
    <w:rsid w:val="0D0639D9"/>
    <w:rsid w:val="0D4AFB42"/>
    <w:rsid w:val="0ED2DD97"/>
    <w:rsid w:val="0F9DDD5C"/>
    <w:rsid w:val="1127FA40"/>
    <w:rsid w:val="123D1350"/>
    <w:rsid w:val="125E30FB"/>
    <w:rsid w:val="126E28D4"/>
    <w:rsid w:val="13DA19A2"/>
    <w:rsid w:val="18316D7C"/>
    <w:rsid w:val="18D28B3F"/>
    <w:rsid w:val="19213913"/>
    <w:rsid w:val="193B7A12"/>
    <w:rsid w:val="195D85B9"/>
    <w:rsid w:val="1970859E"/>
    <w:rsid w:val="1A07964B"/>
    <w:rsid w:val="1A90FE5B"/>
    <w:rsid w:val="1AAA944B"/>
    <w:rsid w:val="1ADB4EC9"/>
    <w:rsid w:val="1AF1FE8B"/>
    <w:rsid w:val="1B46AB0B"/>
    <w:rsid w:val="1B51831D"/>
    <w:rsid w:val="1C025316"/>
    <w:rsid w:val="21CFEB28"/>
    <w:rsid w:val="25532973"/>
    <w:rsid w:val="25947D77"/>
    <w:rsid w:val="269FDC48"/>
    <w:rsid w:val="28C9E648"/>
    <w:rsid w:val="298B977C"/>
    <w:rsid w:val="2AAE19F3"/>
    <w:rsid w:val="2B0B3B90"/>
    <w:rsid w:val="2BB47B08"/>
    <w:rsid w:val="2D3EE9B6"/>
    <w:rsid w:val="2D87F09B"/>
    <w:rsid w:val="2E342046"/>
    <w:rsid w:val="2F52BCB5"/>
    <w:rsid w:val="3035A1E7"/>
    <w:rsid w:val="303FCE03"/>
    <w:rsid w:val="305B558D"/>
    <w:rsid w:val="32E01B58"/>
    <w:rsid w:val="33487838"/>
    <w:rsid w:val="35E9EEDE"/>
    <w:rsid w:val="362B8187"/>
    <w:rsid w:val="37480C6C"/>
    <w:rsid w:val="37BFC086"/>
    <w:rsid w:val="37D28686"/>
    <w:rsid w:val="3853AA70"/>
    <w:rsid w:val="3923BCA5"/>
    <w:rsid w:val="3A15A614"/>
    <w:rsid w:val="3A1ED1E1"/>
    <w:rsid w:val="3B3F6A34"/>
    <w:rsid w:val="3B4E05C4"/>
    <w:rsid w:val="3CD28DFD"/>
    <w:rsid w:val="3D870622"/>
    <w:rsid w:val="3E063AC1"/>
    <w:rsid w:val="3E758D60"/>
    <w:rsid w:val="3E88D265"/>
    <w:rsid w:val="3EEC1004"/>
    <w:rsid w:val="3F20C2A4"/>
    <w:rsid w:val="3F64C22C"/>
    <w:rsid w:val="41762FA7"/>
    <w:rsid w:val="421C67E6"/>
    <w:rsid w:val="42D48059"/>
    <w:rsid w:val="44829AF1"/>
    <w:rsid w:val="45F50DE6"/>
    <w:rsid w:val="464B1492"/>
    <w:rsid w:val="46B4C966"/>
    <w:rsid w:val="487F4F34"/>
    <w:rsid w:val="495D47DE"/>
    <w:rsid w:val="49B3D315"/>
    <w:rsid w:val="49BD966C"/>
    <w:rsid w:val="4A33B764"/>
    <w:rsid w:val="4A7A33EC"/>
    <w:rsid w:val="4CF8A7ED"/>
    <w:rsid w:val="4D7E85F8"/>
    <w:rsid w:val="4EA43EDA"/>
    <w:rsid w:val="505195BB"/>
    <w:rsid w:val="5054A6B1"/>
    <w:rsid w:val="50D8925A"/>
    <w:rsid w:val="50F344E8"/>
    <w:rsid w:val="51E8CAD2"/>
    <w:rsid w:val="5337F902"/>
    <w:rsid w:val="554BA6F0"/>
    <w:rsid w:val="55AFF938"/>
    <w:rsid w:val="58D56B9C"/>
    <w:rsid w:val="59A045C3"/>
    <w:rsid w:val="5A137EA6"/>
    <w:rsid w:val="5B77474B"/>
    <w:rsid w:val="5DE5F61E"/>
    <w:rsid w:val="5E6E2299"/>
    <w:rsid w:val="5EFBFCAB"/>
    <w:rsid w:val="60A2F95A"/>
    <w:rsid w:val="60CE051A"/>
    <w:rsid w:val="619A332A"/>
    <w:rsid w:val="61C9477D"/>
    <w:rsid w:val="621E4C34"/>
    <w:rsid w:val="62781F6A"/>
    <w:rsid w:val="6372ACA0"/>
    <w:rsid w:val="66A6F440"/>
    <w:rsid w:val="69C59536"/>
    <w:rsid w:val="6B217131"/>
    <w:rsid w:val="6B64DB08"/>
    <w:rsid w:val="6BB80725"/>
    <w:rsid w:val="6BC384D8"/>
    <w:rsid w:val="6E531CCA"/>
    <w:rsid w:val="6F053CEF"/>
    <w:rsid w:val="704FD8F8"/>
    <w:rsid w:val="7097836C"/>
    <w:rsid w:val="73669B11"/>
    <w:rsid w:val="73DA0628"/>
    <w:rsid w:val="74F56050"/>
    <w:rsid w:val="7618E4E1"/>
    <w:rsid w:val="772440D8"/>
    <w:rsid w:val="780FBF37"/>
    <w:rsid w:val="7843BC38"/>
    <w:rsid w:val="784E70AF"/>
    <w:rsid w:val="7BE273F7"/>
    <w:rsid w:val="7DD41F6C"/>
    <w:rsid w:val="7FD6962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A88A3"/>
  <w15:chartTrackingRefBased/>
  <w15:docId w15:val="{C30B835C-7D77-4C6E-8072-936D6319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B9A"/>
    <w:pPr>
      <w:spacing w:before="240" w:after="240" w:line="360" w:lineRule="auto"/>
    </w:pPr>
    <w:rPr>
      <w:rFonts w:ascii="Arial" w:hAnsi="Arial" w:cs="Arial"/>
      <w:lang w:eastAsia="en-AU"/>
    </w:rPr>
  </w:style>
  <w:style w:type="paragraph" w:styleId="Heading1">
    <w:name w:val="heading 1"/>
    <w:basedOn w:val="Normal"/>
    <w:link w:val="Heading1Char"/>
    <w:uiPriority w:val="9"/>
    <w:qFormat/>
    <w:rsid w:val="00E1066E"/>
    <w:pPr>
      <w:numPr>
        <w:numId w:val="2"/>
      </w:numPr>
      <w:shd w:val="clear" w:color="auto" w:fill="FFFFFF"/>
      <w:spacing w:after="120" w:line="240" w:lineRule="auto"/>
      <w:jc w:val="both"/>
      <w:outlineLvl w:val="0"/>
    </w:pPr>
    <w:rPr>
      <w:rFonts w:eastAsia="Times New Roman"/>
      <w:color w:val="000000"/>
      <w:sz w:val="36"/>
      <w:szCs w:val="36"/>
    </w:rPr>
  </w:style>
  <w:style w:type="paragraph" w:styleId="Heading2">
    <w:name w:val="heading 2"/>
    <w:basedOn w:val="Heading1"/>
    <w:next w:val="Normal"/>
    <w:link w:val="Heading2Char"/>
    <w:uiPriority w:val="9"/>
    <w:unhideWhenUsed/>
    <w:qFormat/>
    <w:rsid w:val="00C000BA"/>
    <w:pPr>
      <w:numPr>
        <w:ilvl w:val="1"/>
      </w:numPr>
      <w:ind w:left="397"/>
      <w:outlineLvl w:val="1"/>
    </w:pPr>
    <w:rPr>
      <w:sz w:val="28"/>
      <w:szCs w:val="27"/>
      <w:shd w:val="clear" w:color="auto" w:fill="FFFFFF"/>
    </w:rPr>
  </w:style>
  <w:style w:type="paragraph" w:styleId="Heading3">
    <w:name w:val="heading 3"/>
    <w:basedOn w:val="Heading1"/>
    <w:next w:val="Normal"/>
    <w:link w:val="Heading3Char"/>
    <w:uiPriority w:val="9"/>
    <w:unhideWhenUsed/>
    <w:qFormat/>
    <w:rsid w:val="005C6171"/>
    <w:pPr>
      <w:numPr>
        <w:ilvl w:val="2"/>
      </w:numPr>
      <w:ind w:left="397"/>
      <w:outlineLvl w:val="2"/>
    </w:pPr>
    <w:rPr>
      <w:sz w:val="24"/>
      <w:shd w:val="clear" w:color="auto" w:fill="FFFFFF"/>
    </w:rPr>
  </w:style>
  <w:style w:type="paragraph" w:styleId="Heading4">
    <w:name w:val="heading 4"/>
    <w:basedOn w:val="Heading1"/>
    <w:next w:val="Normal"/>
    <w:link w:val="Heading4Char"/>
    <w:uiPriority w:val="9"/>
    <w:unhideWhenUsed/>
    <w:qFormat/>
    <w:rsid w:val="00F84FCD"/>
    <w:pPr>
      <w:numPr>
        <w:ilvl w:val="3"/>
      </w:numPr>
      <w:outlineLvl w:val="3"/>
    </w:pPr>
    <w:rPr>
      <w:sz w:val="22"/>
    </w:rPr>
  </w:style>
  <w:style w:type="paragraph" w:styleId="Heading5">
    <w:name w:val="heading 5"/>
    <w:basedOn w:val="Normal"/>
    <w:next w:val="Normal"/>
    <w:link w:val="Heading5Char"/>
    <w:uiPriority w:val="9"/>
    <w:semiHidden/>
    <w:unhideWhenUsed/>
    <w:qFormat/>
    <w:rsid w:val="00914A1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66E"/>
    <w:pPr>
      <w:ind w:left="360" w:hanging="360"/>
      <w:jc w:val="both"/>
    </w:pPr>
    <w:rPr>
      <w:sz w:val="48"/>
    </w:rPr>
  </w:style>
  <w:style w:type="character" w:customStyle="1" w:styleId="TitleChar">
    <w:name w:val="Title Char"/>
    <w:basedOn w:val="DefaultParagraphFont"/>
    <w:link w:val="Title"/>
    <w:uiPriority w:val="10"/>
    <w:rsid w:val="00E1066E"/>
    <w:rPr>
      <w:rFonts w:ascii="Arial" w:hAnsi="Arial" w:cs="Arial"/>
      <w:sz w:val="48"/>
      <w:lang w:eastAsia="en-AU"/>
    </w:rPr>
  </w:style>
  <w:style w:type="character" w:customStyle="1" w:styleId="Heading1Char">
    <w:name w:val="Heading 1 Char"/>
    <w:basedOn w:val="DefaultParagraphFont"/>
    <w:link w:val="Heading1"/>
    <w:uiPriority w:val="9"/>
    <w:rsid w:val="00E1066E"/>
    <w:rPr>
      <w:rFonts w:ascii="Arial" w:eastAsia="Times New Roman" w:hAnsi="Arial" w:cs="Arial"/>
      <w:color w:val="000000"/>
      <w:sz w:val="36"/>
      <w:szCs w:val="36"/>
      <w:shd w:val="clear" w:color="auto" w:fill="FFFFFF"/>
      <w:lang w:eastAsia="en-AU"/>
    </w:rPr>
  </w:style>
  <w:style w:type="character" w:customStyle="1" w:styleId="Heading2Char">
    <w:name w:val="Heading 2 Char"/>
    <w:basedOn w:val="DefaultParagraphFont"/>
    <w:link w:val="Heading2"/>
    <w:uiPriority w:val="9"/>
    <w:rsid w:val="00C000BA"/>
    <w:rPr>
      <w:rFonts w:ascii="Arial" w:eastAsia="Times New Roman" w:hAnsi="Arial" w:cs="Arial"/>
      <w:color w:val="000000"/>
      <w:sz w:val="28"/>
      <w:szCs w:val="27"/>
      <w:shd w:val="clear" w:color="auto" w:fill="FFFFFF"/>
      <w:lang w:eastAsia="en-AU"/>
    </w:rPr>
  </w:style>
  <w:style w:type="character" w:customStyle="1" w:styleId="Heading3Char">
    <w:name w:val="Heading 3 Char"/>
    <w:basedOn w:val="DefaultParagraphFont"/>
    <w:link w:val="Heading3"/>
    <w:uiPriority w:val="9"/>
    <w:rsid w:val="005C6171"/>
    <w:rPr>
      <w:rFonts w:ascii="Arial" w:eastAsia="Times New Roman" w:hAnsi="Arial" w:cs="Arial"/>
      <w:color w:val="000000"/>
      <w:sz w:val="24"/>
      <w:szCs w:val="36"/>
      <w:shd w:val="clear" w:color="auto" w:fill="FFFFFF"/>
      <w:lang w:eastAsia="en-AU"/>
    </w:rPr>
  </w:style>
  <w:style w:type="character" w:customStyle="1" w:styleId="Heading4Char">
    <w:name w:val="Heading 4 Char"/>
    <w:basedOn w:val="DefaultParagraphFont"/>
    <w:link w:val="Heading4"/>
    <w:uiPriority w:val="9"/>
    <w:rsid w:val="00F84FCD"/>
    <w:rPr>
      <w:rFonts w:ascii="Century Gothic" w:eastAsia="Times New Roman" w:hAnsi="Century Gothic" w:cs="Helvetica"/>
      <w:color w:val="000000"/>
      <w:szCs w:val="36"/>
      <w:shd w:val="clear" w:color="auto" w:fill="FFFFFF"/>
      <w:lang w:eastAsia="en-AU"/>
    </w:rPr>
  </w:style>
  <w:style w:type="paragraph" w:styleId="ListParagraph">
    <w:name w:val="List Paragraph"/>
    <w:basedOn w:val="CommentText"/>
    <w:uiPriority w:val="34"/>
    <w:qFormat/>
    <w:rsid w:val="00C30BE6"/>
    <w:pPr>
      <w:numPr>
        <w:numId w:val="45"/>
      </w:numPr>
      <w:jc w:val="both"/>
    </w:pPr>
    <w:rPr>
      <w:rFonts w:eastAsia="Times New Roman"/>
      <w:sz w:val="22"/>
      <w:szCs w:val="22"/>
    </w:rPr>
  </w:style>
  <w:style w:type="paragraph" w:styleId="Subtitle">
    <w:name w:val="Subtitle"/>
    <w:basedOn w:val="Normal"/>
    <w:next w:val="Normal"/>
    <w:link w:val="SubtitleChar"/>
    <w:uiPriority w:val="11"/>
    <w:qFormat/>
    <w:rsid w:val="00D14776"/>
    <w:pPr>
      <w:shd w:val="clear" w:color="auto" w:fill="FFFFFF"/>
      <w:spacing w:after="160" w:line="240" w:lineRule="auto"/>
      <w:jc w:val="both"/>
    </w:pPr>
    <w:rPr>
      <w:rFonts w:ascii="Helvetica" w:eastAsia="Times New Roman" w:hAnsi="Helvetica" w:cs="Helvetica"/>
      <w:color w:val="707070"/>
      <w:szCs w:val="20"/>
    </w:rPr>
  </w:style>
  <w:style w:type="character" w:customStyle="1" w:styleId="SubtitleChar">
    <w:name w:val="Subtitle Char"/>
    <w:basedOn w:val="DefaultParagraphFont"/>
    <w:link w:val="Subtitle"/>
    <w:uiPriority w:val="11"/>
    <w:rsid w:val="00D14776"/>
    <w:rPr>
      <w:rFonts w:ascii="Helvetica" w:eastAsia="Times New Roman" w:hAnsi="Helvetica" w:cs="Helvetica"/>
      <w:color w:val="707070"/>
      <w:sz w:val="20"/>
      <w:szCs w:val="20"/>
      <w:shd w:val="clear" w:color="auto" w:fill="FFFFFF"/>
      <w:lang w:eastAsia="en-AU"/>
    </w:rPr>
  </w:style>
  <w:style w:type="paragraph" w:styleId="Header">
    <w:name w:val="header"/>
    <w:basedOn w:val="Normal"/>
    <w:link w:val="HeaderChar"/>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HeaderChar">
    <w:name w:val="Header Char"/>
    <w:basedOn w:val="DefaultParagraphFont"/>
    <w:link w:val="Header"/>
    <w:rsid w:val="00D14776"/>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14776"/>
    <w:pPr>
      <w:tabs>
        <w:tab w:val="center" w:pos="4153"/>
        <w:tab w:val="right" w:pos="8306"/>
      </w:tabs>
      <w:spacing w:after="0" w:line="240" w:lineRule="auto"/>
    </w:pPr>
    <w:rPr>
      <w:rFonts w:ascii="Times New Roman" w:eastAsia="Times New Roman" w:hAnsi="Times New Roman" w:cs="Times New Roman"/>
      <w:szCs w:val="20"/>
      <w:lang w:val="en-US" w:eastAsia="en-US"/>
    </w:rPr>
  </w:style>
  <w:style w:type="character" w:customStyle="1" w:styleId="FooterChar">
    <w:name w:val="Footer Char"/>
    <w:basedOn w:val="DefaultParagraphFont"/>
    <w:link w:val="Footer"/>
    <w:uiPriority w:val="99"/>
    <w:rsid w:val="00D14776"/>
    <w:rPr>
      <w:rFonts w:ascii="Times New Roman" w:eastAsia="Times New Roman" w:hAnsi="Times New Roman" w:cs="Times New Roman"/>
      <w:sz w:val="20"/>
      <w:szCs w:val="20"/>
      <w:lang w:val="en-US"/>
    </w:rPr>
  </w:style>
  <w:style w:type="character" w:styleId="Hyperlink">
    <w:name w:val="Hyperlink"/>
    <w:rsid w:val="00D14776"/>
    <w:rPr>
      <w:color w:val="0000FF"/>
      <w:u w:val="single"/>
    </w:rPr>
  </w:style>
  <w:style w:type="paragraph" w:styleId="NoSpacing">
    <w:name w:val="No Spacing"/>
    <w:basedOn w:val="ListParagraph"/>
    <w:uiPriority w:val="1"/>
    <w:qFormat/>
    <w:rsid w:val="00A53F74"/>
    <w:pPr>
      <w:numPr>
        <w:numId w:val="26"/>
      </w:numPr>
      <w:ind w:left="723"/>
    </w:pPr>
    <w:rPr>
      <w:shd w:val="clear" w:color="auto" w:fill="FFFFFF"/>
    </w:rPr>
  </w:style>
  <w:style w:type="paragraph" w:styleId="BalloonText">
    <w:name w:val="Balloon Text"/>
    <w:basedOn w:val="Normal"/>
    <w:link w:val="BalloonTextChar"/>
    <w:uiPriority w:val="99"/>
    <w:semiHidden/>
    <w:unhideWhenUsed/>
    <w:rsid w:val="00FD1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4F"/>
    <w:rPr>
      <w:rFonts w:ascii="Segoe UI" w:hAnsi="Segoe UI" w:cs="Segoe UI"/>
      <w:sz w:val="18"/>
      <w:szCs w:val="18"/>
      <w:lang w:eastAsia="en-AU"/>
    </w:rPr>
  </w:style>
  <w:style w:type="character" w:styleId="CommentReference">
    <w:name w:val="annotation reference"/>
    <w:basedOn w:val="DefaultParagraphFont"/>
    <w:semiHidden/>
    <w:unhideWhenUsed/>
    <w:rsid w:val="0001619D"/>
    <w:rPr>
      <w:sz w:val="16"/>
      <w:szCs w:val="16"/>
    </w:rPr>
  </w:style>
  <w:style w:type="paragraph" w:styleId="CommentText">
    <w:name w:val="annotation text"/>
    <w:basedOn w:val="Normal"/>
    <w:link w:val="CommentTextChar"/>
    <w:unhideWhenUsed/>
    <w:rsid w:val="0001619D"/>
    <w:pPr>
      <w:spacing w:line="240" w:lineRule="auto"/>
    </w:pPr>
    <w:rPr>
      <w:sz w:val="20"/>
      <w:szCs w:val="20"/>
    </w:rPr>
  </w:style>
  <w:style w:type="character" w:customStyle="1" w:styleId="CommentTextChar">
    <w:name w:val="Comment Text Char"/>
    <w:basedOn w:val="DefaultParagraphFont"/>
    <w:link w:val="CommentText"/>
    <w:rsid w:val="0001619D"/>
    <w:rPr>
      <w:rFonts w:ascii="Garamond" w:hAnsi="Garamond"/>
      <w:sz w:val="20"/>
      <w:szCs w:val="20"/>
      <w:lang w:eastAsia="en-AU"/>
    </w:rPr>
  </w:style>
  <w:style w:type="paragraph" w:styleId="CommentSubject">
    <w:name w:val="annotation subject"/>
    <w:basedOn w:val="CommentText"/>
    <w:next w:val="CommentText"/>
    <w:link w:val="CommentSubjectChar"/>
    <w:uiPriority w:val="99"/>
    <w:semiHidden/>
    <w:unhideWhenUsed/>
    <w:rsid w:val="0001619D"/>
    <w:rPr>
      <w:b/>
      <w:bCs/>
    </w:rPr>
  </w:style>
  <w:style w:type="character" w:customStyle="1" w:styleId="CommentSubjectChar">
    <w:name w:val="Comment Subject Char"/>
    <w:basedOn w:val="CommentTextChar"/>
    <w:link w:val="CommentSubject"/>
    <w:uiPriority w:val="99"/>
    <w:semiHidden/>
    <w:rsid w:val="0001619D"/>
    <w:rPr>
      <w:rFonts w:ascii="Garamond" w:hAnsi="Garamond"/>
      <w:b/>
      <w:bCs/>
      <w:sz w:val="20"/>
      <w:szCs w:val="20"/>
      <w:lang w:eastAsia="en-AU"/>
    </w:rPr>
  </w:style>
  <w:style w:type="table" w:styleId="TableGrid">
    <w:name w:val="Table Grid"/>
    <w:basedOn w:val="TableNormal"/>
    <w:uiPriority w:val="59"/>
    <w:rsid w:val="00CD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7C3"/>
    <w:rPr>
      <w:color w:val="808080"/>
    </w:rPr>
  </w:style>
  <w:style w:type="table" w:styleId="ListTable3-Accent1">
    <w:name w:val="List Table 3 Accent 1"/>
    <w:basedOn w:val="TableNormal"/>
    <w:uiPriority w:val="48"/>
    <w:rsid w:val="00A53F7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ubtleEmphasis">
    <w:name w:val="Subtle Emphasis"/>
    <w:basedOn w:val="DefaultParagraphFont"/>
    <w:uiPriority w:val="19"/>
    <w:qFormat/>
    <w:rsid w:val="00C000BA"/>
    <w:rPr>
      <w:i/>
      <w:iCs/>
      <w:color w:val="404040" w:themeColor="text1" w:themeTint="BF"/>
    </w:rPr>
  </w:style>
  <w:style w:type="character" w:styleId="Emphasis">
    <w:name w:val="Emphasis"/>
    <w:basedOn w:val="DefaultParagraphFont"/>
    <w:uiPriority w:val="20"/>
    <w:qFormat/>
    <w:rsid w:val="00C000BA"/>
    <w:rPr>
      <w:i/>
      <w:iCs/>
    </w:rPr>
  </w:style>
  <w:style w:type="paragraph" w:styleId="Caption">
    <w:name w:val="caption"/>
    <w:basedOn w:val="Normal"/>
    <w:next w:val="Normal"/>
    <w:uiPriority w:val="35"/>
    <w:unhideWhenUsed/>
    <w:qFormat/>
    <w:rsid w:val="00C000BA"/>
    <w:pPr>
      <w:spacing w:before="0" w:after="200" w:line="240" w:lineRule="auto"/>
    </w:pPr>
    <w:rPr>
      <w:i/>
      <w:iCs/>
      <w:color w:val="1F497D" w:themeColor="text2"/>
      <w:sz w:val="18"/>
      <w:szCs w:val="18"/>
    </w:rPr>
  </w:style>
  <w:style w:type="character" w:styleId="Strong">
    <w:name w:val="Strong"/>
    <w:basedOn w:val="DefaultParagraphFont"/>
    <w:uiPriority w:val="22"/>
    <w:qFormat/>
    <w:rsid w:val="00BE0113"/>
    <w:rPr>
      <w:b/>
      <w:bCs/>
    </w:rPr>
  </w:style>
  <w:style w:type="character" w:customStyle="1" w:styleId="UnresolvedMention1">
    <w:name w:val="Unresolved Mention1"/>
    <w:basedOn w:val="DefaultParagraphFont"/>
    <w:uiPriority w:val="99"/>
    <w:semiHidden/>
    <w:unhideWhenUsed/>
    <w:rsid w:val="006D4CDD"/>
    <w:rPr>
      <w:color w:val="605E5C"/>
      <w:shd w:val="clear" w:color="auto" w:fill="E1DFDD"/>
    </w:rPr>
  </w:style>
  <w:style w:type="character" w:customStyle="1" w:styleId="Heading5Char">
    <w:name w:val="Heading 5 Char"/>
    <w:basedOn w:val="DefaultParagraphFont"/>
    <w:link w:val="Heading5"/>
    <w:uiPriority w:val="9"/>
    <w:semiHidden/>
    <w:rsid w:val="00914A17"/>
    <w:rPr>
      <w:rFonts w:asciiTheme="majorHAnsi" w:eastAsiaTheme="majorEastAsia" w:hAnsiTheme="majorHAnsi" w:cstheme="majorBidi"/>
      <w:color w:val="365F91" w:themeColor="accent1" w:themeShade="BF"/>
      <w:lang w:eastAsia="en-AU"/>
    </w:rPr>
  </w:style>
  <w:style w:type="paragraph" w:styleId="NormalWeb">
    <w:name w:val="Normal (Web)"/>
    <w:basedOn w:val="Normal"/>
    <w:uiPriority w:val="99"/>
    <w:unhideWhenUsed/>
    <w:rsid w:val="003F0EA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B227E"/>
    <w:pPr>
      <w:spacing w:after="0" w:line="240" w:lineRule="auto"/>
    </w:pPr>
    <w:rPr>
      <w:rFonts w:ascii="Arial"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7241">
      <w:bodyDiv w:val="1"/>
      <w:marLeft w:val="0"/>
      <w:marRight w:val="0"/>
      <w:marTop w:val="0"/>
      <w:marBottom w:val="0"/>
      <w:divBdr>
        <w:top w:val="none" w:sz="0" w:space="0" w:color="auto"/>
        <w:left w:val="none" w:sz="0" w:space="0" w:color="auto"/>
        <w:bottom w:val="none" w:sz="0" w:space="0" w:color="auto"/>
        <w:right w:val="none" w:sz="0" w:space="0" w:color="auto"/>
      </w:divBdr>
    </w:div>
    <w:div w:id="553123886">
      <w:bodyDiv w:val="1"/>
      <w:marLeft w:val="0"/>
      <w:marRight w:val="0"/>
      <w:marTop w:val="0"/>
      <w:marBottom w:val="0"/>
      <w:divBdr>
        <w:top w:val="none" w:sz="0" w:space="0" w:color="auto"/>
        <w:left w:val="none" w:sz="0" w:space="0" w:color="auto"/>
        <w:bottom w:val="none" w:sz="0" w:space="0" w:color="auto"/>
        <w:right w:val="none" w:sz="0" w:space="0" w:color="auto"/>
      </w:divBdr>
      <w:divsChild>
        <w:div w:id="961964057">
          <w:marLeft w:val="0"/>
          <w:marRight w:val="0"/>
          <w:marTop w:val="0"/>
          <w:marBottom w:val="0"/>
          <w:divBdr>
            <w:top w:val="none" w:sz="0" w:space="0" w:color="auto"/>
            <w:left w:val="none" w:sz="0" w:space="0" w:color="auto"/>
            <w:bottom w:val="none" w:sz="0" w:space="0" w:color="auto"/>
            <w:right w:val="none" w:sz="0" w:space="0" w:color="auto"/>
          </w:divBdr>
        </w:div>
        <w:div w:id="482429488">
          <w:marLeft w:val="0"/>
          <w:marRight w:val="0"/>
          <w:marTop w:val="0"/>
          <w:marBottom w:val="0"/>
          <w:divBdr>
            <w:top w:val="none" w:sz="0" w:space="0" w:color="auto"/>
            <w:left w:val="none" w:sz="0" w:space="0" w:color="auto"/>
            <w:bottom w:val="none" w:sz="0" w:space="0" w:color="auto"/>
            <w:right w:val="none" w:sz="0" w:space="0" w:color="auto"/>
          </w:divBdr>
        </w:div>
      </w:divsChild>
    </w:div>
    <w:div w:id="779884731">
      <w:bodyDiv w:val="1"/>
      <w:marLeft w:val="0"/>
      <w:marRight w:val="0"/>
      <w:marTop w:val="0"/>
      <w:marBottom w:val="0"/>
      <w:divBdr>
        <w:top w:val="none" w:sz="0" w:space="0" w:color="auto"/>
        <w:left w:val="none" w:sz="0" w:space="0" w:color="auto"/>
        <w:bottom w:val="none" w:sz="0" w:space="0" w:color="auto"/>
        <w:right w:val="none" w:sz="0" w:space="0" w:color="auto"/>
      </w:divBdr>
    </w:div>
    <w:div w:id="882059008">
      <w:bodyDiv w:val="1"/>
      <w:marLeft w:val="0"/>
      <w:marRight w:val="0"/>
      <w:marTop w:val="0"/>
      <w:marBottom w:val="0"/>
      <w:divBdr>
        <w:top w:val="none" w:sz="0" w:space="0" w:color="auto"/>
        <w:left w:val="none" w:sz="0" w:space="0" w:color="auto"/>
        <w:bottom w:val="none" w:sz="0" w:space="0" w:color="auto"/>
        <w:right w:val="none" w:sz="0" w:space="0" w:color="auto"/>
      </w:divBdr>
      <w:divsChild>
        <w:div w:id="984897920">
          <w:marLeft w:val="0"/>
          <w:marRight w:val="0"/>
          <w:marTop w:val="0"/>
          <w:marBottom w:val="0"/>
          <w:divBdr>
            <w:top w:val="none" w:sz="0" w:space="0" w:color="auto"/>
            <w:left w:val="none" w:sz="0" w:space="0" w:color="auto"/>
            <w:bottom w:val="none" w:sz="0" w:space="0" w:color="auto"/>
            <w:right w:val="none" w:sz="0" w:space="0" w:color="auto"/>
          </w:divBdr>
        </w:div>
        <w:div w:id="431436641">
          <w:marLeft w:val="0"/>
          <w:marRight w:val="0"/>
          <w:marTop w:val="0"/>
          <w:marBottom w:val="0"/>
          <w:divBdr>
            <w:top w:val="none" w:sz="0" w:space="0" w:color="auto"/>
            <w:left w:val="none" w:sz="0" w:space="0" w:color="auto"/>
            <w:bottom w:val="none" w:sz="0" w:space="0" w:color="auto"/>
            <w:right w:val="none" w:sz="0" w:space="0" w:color="auto"/>
          </w:divBdr>
        </w:div>
      </w:divsChild>
    </w:div>
    <w:div w:id="983849648">
      <w:bodyDiv w:val="1"/>
      <w:marLeft w:val="0"/>
      <w:marRight w:val="0"/>
      <w:marTop w:val="0"/>
      <w:marBottom w:val="0"/>
      <w:divBdr>
        <w:top w:val="none" w:sz="0" w:space="0" w:color="auto"/>
        <w:left w:val="none" w:sz="0" w:space="0" w:color="auto"/>
        <w:bottom w:val="none" w:sz="0" w:space="0" w:color="auto"/>
        <w:right w:val="none" w:sz="0" w:space="0" w:color="auto"/>
      </w:divBdr>
    </w:div>
    <w:div w:id="1223758133">
      <w:bodyDiv w:val="1"/>
      <w:marLeft w:val="0"/>
      <w:marRight w:val="0"/>
      <w:marTop w:val="0"/>
      <w:marBottom w:val="0"/>
      <w:divBdr>
        <w:top w:val="none" w:sz="0" w:space="0" w:color="auto"/>
        <w:left w:val="none" w:sz="0" w:space="0" w:color="auto"/>
        <w:bottom w:val="none" w:sz="0" w:space="0" w:color="auto"/>
        <w:right w:val="none" w:sz="0" w:space="0" w:color="auto"/>
      </w:divBdr>
    </w:div>
    <w:div w:id="1384796051">
      <w:bodyDiv w:val="1"/>
      <w:marLeft w:val="0"/>
      <w:marRight w:val="0"/>
      <w:marTop w:val="0"/>
      <w:marBottom w:val="0"/>
      <w:divBdr>
        <w:top w:val="none" w:sz="0" w:space="0" w:color="auto"/>
        <w:left w:val="none" w:sz="0" w:space="0" w:color="auto"/>
        <w:bottom w:val="none" w:sz="0" w:space="0" w:color="auto"/>
        <w:right w:val="none" w:sz="0" w:space="0" w:color="auto"/>
      </w:divBdr>
    </w:div>
    <w:div w:id="2044596411">
      <w:bodyDiv w:val="1"/>
      <w:marLeft w:val="0"/>
      <w:marRight w:val="0"/>
      <w:marTop w:val="0"/>
      <w:marBottom w:val="0"/>
      <w:divBdr>
        <w:top w:val="none" w:sz="0" w:space="0" w:color="auto"/>
        <w:left w:val="none" w:sz="0" w:space="0" w:color="auto"/>
        <w:bottom w:val="none" w:sz="0" w:space="0" w:color="auto"/>
        <w:right w:val="none" w:sz="0" w:space="0" w:color="auto"/>
      </w:divBdr>
    </w:div>
    <w:div w:id="20813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munisationhandbook.health.gov.au/contents/vaccination-for-special-risk-groups/vaccination-for-people-at-occupational-ri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meningococcal/php/global/index.html" TargetMode="External"/><Relationship Id="rId17" Type="http://schemas.openxmlformats.org/officeDocument/2006/relationships/hyperlink" Target="https://www.cdc.gov/meningococcal/php/antibiotic-resistant/index.html" TargetMode="External"/><Relationship Id="rId2" Type="http://schemas.openxmlformats.org/officeDocument/2006/relationships/customXml" Target="../customXml/item2.xml"/><Relationship Id="rId16" Type="http://schemas.openxmlformats.org/officeDocument/2006/relationships/hyperlink" Target="https://www.cdc.gov/vaccines/pubs/pinkbook/mening.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86/s12889-022-13342-2" TargetMode="External"/><Relationship Id="rId5" Type="http://schemas.openxmlformats.org/officeDocument/2006/relationships/numbering" Target="numbering.xml"/><Relationship Id="rId15" Type="http://schemas.openxmlformats.org/officeDocument/2006/relationships/hyperlink" Target="https://www.cdc.gov/pinkboo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vaccine.2009.04.061"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90EE60B5B1456EBD82805A4662F7E0"/>
        <w:category>
          <w:name w:val="General"/>
          <w:gallery w:val="placeholder"/>
        </w:category>
        <w:types>
          <w:type w:val="bbPlcHdr"/>
        </w:types>
        <w:behaviors>
          <w:behavior w:val="content"/>
        </w:behaviors>
        <w:guid w:val="{FC134BA9-ADD8-4015-8CEE-831C21BD8D7B}"/>
      </w:docPartPr>
      <w:docPartBody>
        <w:p w:rsidR="00942B94" w:rsidRDefault="00942B94" w:rsidP="00942B94">
          <w:pPr>
            <w:pStyle w:val="AA90EE60B5B1456EBD82805A4662F7E014"/>
          </w:pPr>
          <w:r>
            <w:rPr>
              <w:rStyle w:val="PlaceholderText"/>
            </w:rPr>
            <w:t>[Detection/isolation]</w:t>
          </w:r>
        </w:p>
      </w:docPartBody>
    </w:docPart>
    <w:docPart>
      <w:docPartPr>
        <w:name w:val="E197EC56741549E0B23ED4A691CD8BD9"/>
        <w:category>
          <w:name w:val="General"/>
          <w:gallery w:val="placeholder"/>
        </w:category>
        <w:types>
          <w:type w:val="bbPlcHdr"/>
        </w:types>
        <w:behaviors>
          <w:behavior w:val="content"/>
        </w:behaviors>
        <w:guid w:val="{CE89A46E-6CAE-4DE9-BD55-56A02DD8F768}"/>
      </w:docPartPr>
      <w:docPartBody>
        <w:p w:rsidR="00942B94" w:rsidRDefault="00942B94" w:rsidP="00942B94">
          <w:pPr>
            <w:pStyle w:val="E197EC56741549E0B23ED4A691CD8BD914"/>
          </w:pPr>
          <w:r>
            <w:rPr>
              <w:rStyle w:val="PlaceholderText"/>
            </w:rPr>
            <w:t>[infectious agent]</w:t>
          </w:r>
        </w:p>
      </w:docPartBody>
    </w:docPart>
    <w:docPart>
      <w:docPartPr>
        <w:name w:val="DEDEA9DEAD6C454FAFD16F9CDC170AB5"/>
        <w:category>
          <w:name w:val="General"/>
          <w:gallery w:val="placeholder"/>
        </w:category>
        <w:types>
          <w:type w:val="bbPlcHdr"/>
        </w:types>
        <w:behaviors>
          <w:behavior w:val="content"/>
        </w:behaviors>
        <w:guid w:val="{9FF1AA6D-4AFF-4449-AD32-F527DE7D7DA9}"/>
      </w:docPartPr>
      <w:docPartBody>
        <w:p w:rsidR="00942B94" w:rsidRDefault="00942B94" w:rsidP="00942B94">
          <w:pPr>
            <w:pStyle w:val="DEDEA9DEAD6C454FAFD16F9CDC170AB514"/>
          </w:pPr>
          <w:r>
            <w:rPr>
              <w:rStyle w:val="PlaceholderText"/>
            </w:rPr>
            <w:t>[and/or]</w:t>
          </w:r>
        </w:p>
      </w:docPartBody>
    </w:docPart>
    <w:docPart>
      <w:docPartPr>
        <w:name w:val="0C2221E770004440933232844AF9A58A"/>
        <w:category>
          <w:name w:val="General"/>
          <w:gallery w:val="placeholder"/>
        </w:category>
        <w:types>
          <w:type w:val="bbPlcHdr"/>
        </w:types>
        <w:behaviors>
          <w:behavior w:val="content"/>
        </w:behaviors>
        <w:guid w:val="{FFD0B42F-8773-458D-A650-7A40FA7D283C}"/>
      </w:docPartPr>
      <w:docPartBody>
        <w:p w:rsidR="00942B94" w:rsidRDefault="00942B94" w:rsidP="00942B94">
          <w:pPr>
            <w:pStyle w:val="0C2221E770004440933232844AF9A58A14"/>
          </w:pPr>
          <w:r>
            <w:rPr>
              <w:rStyle w:val="PlaceholderText"/>
            </w:rPr>
            <w:t>[Detection/isolation]</w:t>
          </w:r>
        </w:p>
      </w:docPartBody>
    </w:docPart>
    <w:docPart>
      <w:docPartPr>
        <w:name w:val="AB2B279A0BCD4C7C809D8550E8264AC9"/>
        <w:category>
          <w:name w:val="General"/>
          <w:gallery w:val="placeholder"/>
        </w:category>
        <w:types>
          <w:type w:val="bbPlcHdr"/>
        </w:types>
        <w:behaviors>
          <w:behavior w:val="content"/>
        </w:behaviors>
        <w:guid w:val="{F3E70903-7733-4CDD-A707-08900B6F6DA4}"/>
      </w:docPartPr>
      <w:docPartBody>
        <w:p w:rsidR="00942B94" w:rsidRDefault="00942B94" w:rsidP="00942B94">
          <w:pPr>
            <w:pStyle w:val="AB2B279A0BCD4C7C809D8550E8264AC914"/>
          </w:pPr>
          <w:r>
            <w:rPr>
              <w:rStyle w:val="PlaceholderText"/>
            </w:rPr>
            <w:t>[infectious agent]</w:t>
          </w:r>
        </w:p>
      </w:docPartBody>
    </w:docPart>
    <w:docPart>
      <w:docPartPr>
        <w:name w:val="80F657076B724443A63E813CEAA65DE6"/>
        <w:category>
          <w:name w:val="General"/>
          <w:gallery w:val="placeholder"/>
        </w:category>
        <w:types>
          <w:type w:val="bbPlcHdr"/>
        </w:types>
        <w:behaviors>
          <w:behavior w:val="content"/>
        </w:behaviors>
        <w:guid w:val="{18011D73-E31B-4980-8025-8075BA4D2C75}"/>
      </w:docPartPr>
      <w:docPartBody>
        <w:p w:rsidR="00942B94" w:rsidRDefault="00942B94" w:rsidP="00942B94">
          <w:pPr>
            <w:pStyle w:val="80F657076B724443A63E813CEAA65DE614"/>
          </w:pPr>
          <w:r>
            <w:rPr>
              <w:rStyle w:val="PlaceholderText"/>
            </w:rPr>
            <w:t>[method]</w:t>
          </w:r>
        </w:p>
      </w:docPartBody>
    </w:docPart>
    <w:docPart>
      <w:docPartPr>
        <w:name w:val="DD100808A62E46A8A7B661430570ABDE"/>
        <w:category>
          <w:name w:val="General"/>
          <w:gallery w:val="placeholder"/>
        </w:category>
        <w:types>
          <w:type w:val="bbPlcHdr"/>
        </w:types>
        <w:behaviors>
          <w:behavior w:val="content"/>
        </w:behaviors>
        <w:guid w:val="{CF72C17B-2266-4E4F-AF20-D1F91E3B1E4C}"/>
      </w:docPartPr>
      <w:docPartBody>
        <w:p w:rsidR="00B32B36" w:rsidRDefault="00942B94" w:rsidP="00942B94">
          <w:pPr>
            <w:pStyle w:val="DD100808A62E46A8A7B661430570ABDE14"/>
          </w:pPr>
          <w:r>
            <w:rPr>
              <w:rStyle w:val="PlaceholderText"/>
            </w:rPr>
            <w:t>[Detection/isolation]</w:t>
          </w:r>
        </w:p>
      </w:docPartBody>
    </w:docPart>
    <w:docPart>
      <w:docPartPr>
        <w:name w:val="F8DBFD4696634BDF802D52223F5B63A6"/>
        <w:category>
          <w:name w:val="General"/>
          <w:gallery w:val="placeholder"/>
        </w:category>
        <w:types>
          <w:type w:val="bbPlcHdr"/>
        </w:types>
        <w:behaviors>
          <w:behavior w:val="content"/>
        </w:behaviors>
        <w:guid w:val="{B711E6E3-D97C-4F8B-B689-33A65B2135E8}"/>
      </w:docPartPr>
      <w:docPartBody>
        <w:p w:rsidR="00B32B36" w:rsidRDefault="00942B94" w:rsidP="00942B94">
          <w:pPr>
            <w:pStyle w:val="F8DBFD4696634BDF802D52223F5B63A614"/>
          </w:pPr>
          <w:r>
            <w:rPr>
              <w:rStyle w:val="PlaceholderText"/>
            </w:rPr>
            <w:t>[infectious agent]</w:t>
          </w:r>
        </w:p>
      </w:docPartBody>
    </w:docPart>
    <w:docPart>
      <w:docPartPr>
        <w:name w:val="88BDBAD0B0294E8BAAA785B315E68769"/>
        <w:category>
          <w:name w:val="General"/>
          <w:gallery w:val="placeholder"/>
        </w:category>
        <w:types>
          <w:type w:val="bbPlcHdr"/>
        </w:types>
        <w:behaviors>
          <w:behavior w:val="content"/>
        </w:behaviors>
        <w:guid w:val="{BE772321-2D83-4077-9837-FD5ABE19837C}"/>
      </w:docPartPr>
      <w:docPartBody>
        <w:p w:rsidR="00B32B36" w:rsidRDefault="00942B94" w:rsidP="00942B94">
          <w:pPr>
            <w:pStyle w:val="88BDBAD0B0294E8BAAA785B315E6876914"/>
          </w:pPr>
          <w:r>
            <w:rPr>
              <w:rStyle w:val="PlaceholderText"/>
            </w:rPr>
            <w:t>[method]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2D4A"/>
    <w:multiLevelType w:val="multilevel"/>
    <w:tmpl w:val="668A3C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033CFF"/>
    <w:multiLevelType w:val="multilevel"/>
    <w:tmpl w:val="9FC25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5282908">
    <w:abstractNumId w:val="1"/>
  </w:num>
  <w:num w:numId="2" w16cid:durableId="2059165974">
    <w:abstractNumId w:val="0"/>
  </w:num>
  <w:num w:numId="3" w16cid:durableId="1668946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58"/>
    <w:rsid w:val="00032AB0"/>
    <w:rsid w:val="000538AB"/>
    <w:rsid w:val="001D42F4"/>
    <w:rsid w:val="002A2B34"/>
    <w:rsid w:val="003C29CC"/>
    <w:rsid w:val="00424158"/>
    <w:rsid w:val="004433D2"/>
    <w:rsid w:val="00456407"/>
    <w:rsid w:val="004D1525"/>
    <w:rsid w:val="005B52EA"/>
    <w:rsid w:val="005B5F56"/>
    <w:rsid w:val="005E5FBF"/>
    <w:rsid w:val="006904E8"/>
    <w:rsid w:val="006E317F"/>
    <w:rsid w:val="006F3453"/>
    <w:rsid w:val="00714E7E"/>
    <w:rsid w:val="00765CAB"/>
    <w:rsid w:val="007723D7"/>
    <w:rsid w:val="007F0F34"/>
    <w:rsid w:val="00847E9A"/>
    <w:rsid w:val="008578F5"/>
    <w:rsid w:val="00873EA9"/>
    <w:rsid w:val="008A0412"/>
    <w:rsid w:val="008C1C58"/>
    <w:rsid w:val="008C6669"/>
    <w:rsid w:val="00942B94"/>
    <w:rsid w:val="00AF3F96"/>
    <w:rsid w:val="00B13585"/>
    <w:rsid w:val="00B32B36"/>
    <w:rsid w:val="00C07858"/>
    <w:rsid w:val="00C12AD2"/>
    <w:rsid w:val="00C22232"/>
    <w:rsid w:val="00C71767"/>
    <w:rsid w:val="00CC0708"/>
    <w:rsid w:val="00D01537"/>
    <w:rsid w:val="00D8135D"/>
    <w:rsid w:val="00DB6786"/>
    <w:rsid w:val="00EA7439"/>
    <w:rsid w:val="00F462EE"/>
    <w:rsid w:val="00FD7D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525"/>
    <w:rPr>
      <w:color w:val="808080"/>
    </w:rPr>
  </w:style>
  <w:style w:type="paragraph" w:customStyle="1" w:styleId="AA90EE60B5B1456EBD82805A4662F7E014">
    <w:name w:val="AA90EE60B5B1456EBD82805A4662F7E0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E197EC56741549E0B23ED4A691CD8BD914">
    <w:name w:val="E197EC56741549E0B23ED4A691CD8BD9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DEDEA9DEAD6C454FAFD16F9CDC170AB514">
    <w:name w:val="DEDEA9DEAD6C454FAFD16F9CDC170AB5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0C2221E770004440933232844AF9A58A14">
    <w:name w:val="0C2221E770004440933232844AF9A58A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AB2B279A0BCD4C7C809D8550E8264AC914">
    <w:name w:val="AB2B279A0BCD4C7C809D8550E8264AC9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80F657076B724443A63E813CEAA65DE614">
    <w:name w:val="80F657076B724443A63E813CEAA65DE6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DD100808A62E46A8A7B661430570ABDE14">
    <w:name w:val="DD100808A62E46A8A7B661430570ABDE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F8DBFD4696634BDF802D52223F5B63A614">
    <w:name w:val="F8DBFD4696634BDF802D52223F5B63A614"/>
    <w:rsid w:val="00942B94"/>
    <w:pPr>
      <w:tabs>
        <w:tab w:val="num" w:pos="720"/>
      </w:tabs>
      <w:spacing w:before="240" w:after="240" w:line="360" w:lineRule="auto"/>
      <w:ind w:left="723" w:hanging="360"/>
    </w:pPr>
    <w:rPr>
      <w:rFonts w:ascii="Arial" w:eastAsiaTheme="minorHAnsi" w:hAnsi="Arial" w:cs="Arial"/>
      <w:shd w:val="clear" w:color="auto" w:fill="FFFFFF"/>
    </w:rPr>
  </w:style>
  <w:style w:type="paragraph" w:customStyle="1" w:styleId="88BDBAD0B0294E8BAAA785B315E6876914">
    <w:name w:val="88BDBAD0B0294E8BAAA785B315E6876914"/>
    <w:rsid w:val="00942B94"/>
    <w:pPr>
      <w:tabs>
        <w:tab w:val="num" w:pos="720"/>
      </w:tabs>
      <w:spacing w:before="240" w:after="240" w:line="360" w:lineRule="auto"/>
      <w:ind w:left="723" w:hanging="360"/>
    </w:pPr>
    <w:rPr>
      <w:rFonts w:ascii="Arial" w:eastAsiaTheme="minorHAnsi" w:hAnsi="Arial" w:cs="Arial"/>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12" ma:contentTypeDescription="Create a new document." ma:contentTypeScope="" ma:versionID="b2a8f9ac684db06df1095b331ba4c1ee">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c98b73592080df88aecb227b550570da"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60147-F05C-4F13-9872-256A425961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23AC3-D135-4E5E-9E3E-4EF522242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5AAF84-5D3F-44A8-A794-18A4649F13DA}">
  <ds:schemaRefs>
    <ds:schemaRef ds:uri="http://schemas.openxmlformats.org/officeDocument/2006/bibliography"/>
  </ds:schemaRefs>
</ds:datastoreItem>
</file>

<file path=customXml/itemProps4.xml><?xml version="1.0" encoding="utf-8"?>
<ds:datastoreItem xmlns:ds="http://schemas.openxmlformats.org/officeDocument/2006/customXml" ds:itemID="{F60F378D-1A33-4470-9E24-E29334E15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Meningococcal disease – Laboratory case definition</dc:title>
  <dc:subject>Communicable disease</dc:subject>
  <dc:creator>Australian Government, Department of Health and Aged Care</dc:creator>
  <cp:keywords>Public Health Laboratory Network (PHLN) </cp:keywords>
  <dc:description/>
  <cp:lastModifiedBy>MASCHKE, Elvia</cp:lastModifiedBy>
  <cp:revision>3</cp:revision>
  <cp:lastPrinted>2021-07-01T01:09:00Z</cp:lastPrinted>
  <dcterms:created xsi:type="dcterms:W3CDTF">2025-02-25T02:14:00Z</dcterms:created>
  <dcterms:modified xsi:type="dcterms:W3CDTF">2025-02-26T06:04:00Z</dcterms:modified>
</cp:coreProperties>
</file>