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BAC24" w14:textId="17CDB792" w:rsidR="006D5FD8" w:rsidRPr="002C078F" w:rsidRDefault="006D5FD8" w:rsidP="00815E69">
      <w:pPr>
        <w:pStyle w:val="Title"/>
      </w:pPr>
      <w:r w:rsidRPr="002C078F">
        <w:t>Health Technology Assessment (HTA)</w:t>
      </w:r>
      <w:r w:rsidR="000A7A74">
        <w:t xml:space="preserve"> </w:t>
      </w:r>
      <w:r w:rsidRPr="002C078F">
        <w:t>Consumer Consultative Committee</w:t>
      </w:r>
      <w:r>
        <w:t xml:space="preserve"> (CCC)</w:t>
      </w:r>
    </w:p>
    <w:p w14:paraId="1F38A7F8" w14:textId="2A649F7C" w:rsidR="006D5FD8" w:rsidRDefault="004F579A" w:rsidP="00815E69">
      <w:pPr>
        <w:pStyle w:val="Heading1"/>
        <w:spacing w:after="360"/>
      </w:pPr>
      <w:r w:rsidRPr="004F579A">
        <w:t>HTA CCC Communique –</w:t>
      </w:r>
      <w:r>
        <w:t xml:space="preserve"> </w:t>
      </w:r>
      <w:r w:rsidR="00390C6E">
        <w:t>23</w:t>
      </w:r>
      <w:r w:rsidR="00F516F8">
        <w:t xml:space="preserve"> to </w:t>
      </w:r>
      <w:r w:rsidR="00271D40">
        <w:t>2</w:t>
      </w:r>
      <w:r w:rsidR="00390C6E">
        <w:t>4</w:t>
      </w:r>
      <w:r w:rsidR="00F516F8">
        <w:t xml:space="preserve"> </w:t>
      </w:r>
      <w:r w:rsidR="00390C6E">
        <w:t>October</w:t>
      </w:r>
      <w:r w:rsidR="00F516F8">
        <w:t xml:space="preserve"> 2024</w:t>
      </w:r>
      <w:r w:rsidR="004C162C">
        <w:br/>
      </w:r>
      <w:r w:rsidR="00F516F8">
        <w:t>2</w:t>
      </w:r>
      <w:r w:rsidR="00390C6E">
        <w:t>7</w:t>
      </w:r>
      <w:r w:rsidR="00F516F8" w:rsidRPr="00F516F8">
        <w:rPr>
          <w:vertAlign w:val="superscript"/>
        </w:rPr>
        <w:t>th</w:t>
      </w:r>
      <w:r w:rsidR="00F516F8">
        <w:t xml:space="preserve"> M</w:t>
      </w:r>
      <w:r w:rsidR="006D5FD8">
        <w:t>eeting of the HTA CCC</w:t>
      </w:r>
    </w:p>
    <w:p w14:paraId="1AD697E4" w14:textId="358DC299" w:rsidR="00653D3A" w:rsidRPr="00653D3A" w:rsidRDefault="006D5FD8" w:rsidP="00653D3A">
      <w:pPr>
        <w:pStyle w:val="Heading2"/>
      </w:pPr>
      <w:r w:rsidRPr="0025504D">
        <w:t>Attendees</w:t>
      </w:r>
    </w:p>
    <w:p w14:paraId="1ED211B6" w14:textId="4781DBC2" w:rsidR="00F516F8" w:rsidRDefault="00F516F8" w:rsidP="00F516F8">
      <w:pPr>
        <w:spacing w:before="0" w:after="0"/>
      </w:pPr>
      <w:r w:rsidRPr="009D3F11">
        <w:t>Consumer representatives from the Pharmaceutical Benefits Advisory Committee (PBAC) and its subcommittee</w:t>
      </w:r>
      <w:r>
        <w:t>s</w:t>
      </w:r>
      <w:r w:rsidRPr="009D3F11">
        <w:t>, the Medical Services Advisory Committee (MSAC) and its subcommittees, the Life Saving Drugs Program (LSDP) Expert Panel</w:t>
      </w:r>
      <w:r w:rsidR="00FB6127">
        <w:t xml:space="preserve">, </w:t>
      </w:r>
      <w:r w:rsidRPr="009D3F11">
        <w:t>the Medicare Benefits Schedule Review Advisory Committee</w:t>
      </w:r>
      <w:r>
        <w:t xml:space="preserve"> (MRAC)</w:t>
      </w:r>
      <w:r w:rsidR="00FB6127">
        <w:t xml:space="preserve"> and the Medical Devices</w:t>
      </w:r>
      <w:r w:rsidR="00C64768">
        <w:t xml:space="preserve"> and Human Tissue Advisory Committee (MDHTAC).</w:t>
      </w:r>
    </w:p>
    <w:p w14:paraId="7BFE2BF7" w14:textId="77777777" w:rsidR="00F516F8" w:rsidRDefault="00F516F8" w:rsidP="00F516F8">
      <w:pPr>
        <w:spacing w:before="0" w:after="0"/>
      </w:pPr>
    </w:p>
    <w:p w14:paraId="60E9A5A1" w14:textId="43DE3B30" w:rsidR="00F516F8" w:rsidRDefault="00F516F8" w:rsidP="00F516F8">
      <w:pPr>
        <w:spacing w:before="0" w:after="0"/>
      </w:pPr>
      <w:r w:rsidRPr="009D3F11">
        <w:t>Departmental representatives from the Consumer Evidence and Engagement Unit (CEEU)</w:t>
      </w:r>
      <w:r w:rsidR="00F01A40">
        <w:t xml:space="preserve"> and the Office of Health Technology Assessment (OHTA)</w:t>
      </w:r>
      <w:r w:rsidR="000316F7">
        <w:t xml:space="preserve">. </w:t>
      </w:r>
    </w:p>
    <w:p w14:paraId="08080AC4" w14:textId="42784A19" w:rsidR="00624C2A" w:rsidRPr="000A7A74" w:rsidRDefault="00624C2A" w:rsidP="004C529A">
      <w:pPr>
        <w:pStyle w:val="Heading2"/>
        <w:spacing w:before="360"/>
      </w:pPr>
      <w:r w:rsidRPr="006E0F67">
        <w:t>Outcomes</w:t>
      </w:r>
    </w:p>
    <w:p w14:paraId="05B7A850" w14:textId="64F53640" w:rsidR="00735074" w:rsidRDefault="008003B6" w:rsidP="00FF26F4">
      <w:pPr>
        <w:jc w:val="both"/>
        <w:rPr>
          <w:rFonts w:cs="Arial"/>
          <w:bCs/>
          <w:szCs w:val="22"/>
        </w:rPr>
      </w:pPr>
      <w:r>
        <w:rPr>
          <w:rFonts w:cs="Arial"/>
          <w:bCs/>
          <w:szCs w:val="22"/>
        </w:rPr>
        <w:t xml:space="preserve">The HTA Consumer Consultative Committee (HTA-CCC) </w:t>
      </w:r>
      <w:r w:rsidR="00881902">
        <w:rPr>
          <w:rFonts w:cs="Arial"/>
          <w:bCs/>
          <w:szCs w:val="22"/>
        </w:rPr>
        <w:t xml:space="preserve">formally </w:t>
      </w:r>
      <w:r w:rsidR="00EA2F9A">
        <w:rPr>
          <w:rFonts w:cs="Arial"/>
          <w:bCs/>
          <w:szCs w:val="22"/>
        </w:rPr>
        <w:t xml:space="preserve">welcomed new members Jan Mumford and Kris </w:t>
      </w:r>
      <w:r w:rsidR="00952020">
        <w:rPr>
          <w:rFonts w:cs="Arial"/>
          <w:bCs/>
          <w:szCs w:val="22"/>
        </w:rPr>
        <w:t xml:space="preserve">Pierce </w:t>
      </w:r>
      <w:r w:rsidR="00EA2F9A">
        <w:rPr>
          <w:rFonts w:cs="Arial"/>
          <w:bCs/>
          <w:szCs w:val="22"/>
        </w:rPr>
        <w:t>to the</w:t>
      </w:r>
      <w:r w:rsidR="00881902">
        <w:rPr>
          <w:rFonts w:cs="Arial"/>
          <w:bCs/>
          <w:szCs w:val="22"/>
        </w:rPr>
        <w:t xml:space="preserve"> committee</w:t>
      </w:r>
      <w:r w:rsidR="00EA2F9A">
        <w:rPr>
          <w:rFonts w:cs="Arial"/>
          <w:bCs/>
          <w:szCs w:val="22"/>
        </w:rPr>
        <w:t>.</w:t>
      </w:r>
    </w:p>
    <w:p w14:paraId="0A37CF04" w14:textId="77777777" w:rsidR="00735074" w:rsidRPr="00735074" w:rsidRDefault="00735074" w:rsidP="00FF26F4">
      <w:pPr>
        <w:jc w:val="both"/>
        <w:rPr>
          <w:rFonts w:cs="Arial"/>
          <w:bCs/>
          <w:sz w:val="2"/>
          <w:szCs w:val="2"/>
        </w:rPr>
      </w:pPr>
    </w:p>
    <w:p w14:paraId="0F73045F" w14:textId="71C0BDA1" w:rsidR="00FF26F4" w:rsidRDefault="00B7158F" w:rsidP="00FF26F4">
      <w:pPr>
        <w:jc w:val="both"/>
        <w:rPr>
          <w:rFonts w:cs="Arial"/>
          <w:bCs/>
          <w:szCs w:val="22"/>
        </w:rPr>
      </w:pPr>
      <w:r>
        <w:rPr>
          <w:rFonts w:cs="Arial"/>
          <w:bCs/>
          <w:szCs w:val="22"/>
        </w:rPr>
        <w:t>A presentation on conflict</w:t>
      </w:r>
      <w:r w:rsidR="006E4659">
        <w:rPr>
          <w:rFonts w:cs="Arial"/>
          <w:bCs/>
          <w:szCs w:val="22"/>
        </w:rPr>
        <w:t>s</w:t>
      </w:r>
      <w:r>
        <w:rPr>
          <w:rFonts w:cs="Arial"/>
          <w:bCs/>
          <w:szCs w:val="22"/>
        </w:rPr>
        <w:t xml:space="preserve"> of interest requirements of </w:t>
      </w:r>
      <w:r w:rsidR="005857EF">
        <w:rPr>
          <w:rFonts w:cs="Arial"/>
          <w:bCs/>
          <w:szCs w:val="22"/>
        </w:rPr>
        <w:t xml:space="preserve">HTA committee and subcommittee members </w:t>
      </w:r>
      <w:r>
        <w:rPr>
          <w:rFonts w:cs="Arial"/>
          <w:bCs/>
          <w:szCs w:val="22"/>
        </w:rPr>
        <w:t xml:space="preserve">was provided, clarifying members’ </w:t>
      </w:r>
      <w:r w:rsidR="00946E04">
        <w:rPr>
          <w:rFonts w:cs="Arial"/>
          <w:bCs/>
          <w:szCs w:val="22"/>
        </w:rPr>
        <w:t xml:space="preserve">declaration </w:t>
      </w:r>
      <w:r>
        <w:rPr>
          <w:rFonts w:cs="Arial"/>
          <w:bCs/>
          <w:szCs w:val="22"/>
        </w:rPr>
        <w:t xml:space="preserve">obligations in their roles on </w:t>
      </w:r>
      <w:r w:rsidR="005857EF">
        <w:rPr>
          <w:rFonts w:cs="Arial"/>
          <w:bCs/>
          <w:szCs w:val="22"/>
        </w:rPr>
        <w:t>these committees.</w:t>
      </w:r>
      <w:r w:rsidR="006D2051">
        <w:rPr>
          <w:rFonts w:cs="Arial"/>
          <w:bCs/>
          <w:szCs w:val="22"/>
        </w:rPr>
        <w:t xml:space="preserve"> </w:t>
      </w:r>
    </w:p>
    <w:p w14:paraId="7BE864DF" w14:textId="77777777" w:rsidR="00FF26F4" w:rsidRPr="00E41B6A" w:rsidRDefault="00FF26F4" w:rsidP="00FF26F4">
      <w:pPr>
        <w:jc w:val="both"/>
        <w:rPr>
          <w:rFonts w:cs="Arial"/>
          <w:bCs/>
          <w:sz w:val="2"/>
          <w:szCs w:val="2"/>
        </w:rPr>
      </w:pPr>
    </w:p>
    <w:p w14:paraId="08F70EEE" w14:textId="3B8C53B3" w:rsidR="004B76BD" w:rsidRPr="00FF26F4" w:rsidRDefault="007F2F2E" w:rsidP="00FF26F4">
      <w:pPr>
        <w:jc w:val="both"/>
        <w:rPr>
          <w:rFonts w:cs="Arial"/>
          <w:bCs/>
          <w:szCs w:val="22"/>
        </w:rPr>
      </w:pPr>
      <w:r w:rsidRPr="00662A18">
        <w:t xml:space="preserve">The </w:t>
      </w:r>
      <w:r>
        <w:t xml:space="preserve">HTA-CCC </w:t>
      </w:r>
      <w:r w:rsidRPr="00662A18">
        <w:t>M</w:t>
      </w:r>
      <w:r>
        <w:t>edicare Benefits Schedule (MBS) Review Advisory Committee (</w:t>
      </w:r>
      <w:hyperlink r:id="rId8" w:history="1">
        <w:r w:rsidRPr="00A8270A">
          <w:rPr>
            <w:rStyle w:val="Hyperlink"/>
          </w:rPr>
          <w:t>M</w:t>
        </w:r>
        <w:r w:rsidRPr="00662A18">
          <w:rPr>
            <w:rStyle w:val="Hyperlink"/>
          </w:rPr>
          <w:t>RAC</w:t>
        </w:r>
      </w:hyperlink>
      <w:r>
        <w:t>)</w:t>
      </w:r>
      <w:r w:rsidRPr="00662A18">
        <w:t xml:space="preserve"> consumer members presented</w:t>
      </w:r>
      <w:r>
        <w:t xml:space="preserve"> an overview of th</w:t>
      </w:r>
      <w:r w:rsidR="00DB3890">
        <w:t>e role and scope of th</w:t>
      </w:r>
      <w:r w:rsidR="0022726A">
        <w:t>is</w:t>
      </w:r>
      <w:r>
        <w:t xml:space="preserve"> committee.</w:t>
      </w:r>
      <w:r w:rsidR="00EF15FC">
        <w:t xml:space="preserve"> </w:t>
      </w:r>
      <w:r w:rsidR="00EF15FC" w:rsidRPr="00662A18">
        <w:t>It was acknowledged the work that is undertaken by MRAC is relevant to HTA committee decision-making.</w:t>
      </w:r>
    </w:p>
    <w:p w14:paraId="7B96A6D6" w14:textId="77777777" w:rsidR="00967C5C" w:rsidRPr="00E41B6A" w:rsidRDefault="00967C5C" w:rsidP="00967C5C">
      <w:pPr>
        <w:spacing w:before="0" w:after="0"/>
        <w:rPr>
          <w:sz w:val="12"/>
          <w:szCs w:val="14"/>
        </w:rPr>
      </w:pPr>
    </w:p>
    <w:p w14:paraId="44564DB5" w14:textId="27613D69" w:rsidR="004B76BD" w:rsidRDefault="004B76BD" w:rsidP="00967C5C">
      <w:pPr>
        <w:spacing w:before="0" w:after="0"/>
        <w:rPr>
          <w:szCs w:val="22"/>
        </w:rPr>
      </w:pPr>
      <w:r>
        <w:t>The committee reflected on the</w:t>
      </w:r>
      <w:r w:rsidR="00967C5C">
        <w:t xml:space="preserve"> recently published</w:t>
      </w:r>
      <w:r>
        <w:t xml:space="preserve"> </w:t>
      </w:r>
      <w:hyperlink r:id="rId9" w:history="1">
        <w:r w:rsidR="00967C5C" w:rsidRPr="0093111C">
          <w:rPr>
            <w:rStyle w:val="Hyperlink"/>
            <w:i/>
            <w:iCs/>
          </w:rPr>
          <w:t xml:space="preserve">Enhance HTA </w:t>
        </w:r>
        <w:r w:rsidR="00967C5C" w:rsidRPr="0093111C">
          <w:rPr>
            <w:rStyle w:val="Hyperlink"/>
          </w:rPr>
          <w:t>report</w:t>
        </w:r>
      </w:hyperlink>
      <w:r w:rsidR="00967C5C">
        <w:t xml:space="preserve"> (September 2024), developed from the Co-Design of an </w:t>
      </w:r>
      <w:r>
        <w:t>Enhanced Consumer Engagement Process</w:t>
      </w:r>
      <w:r w:rsidR="00967C5C">
        <w:t>.</w:t>
      </w:r>
      <w:r w:rsidR="00406350">
        <w:t xml:space="preserve"> </w:t>
      </w:r>
      <w:r w:rsidR="007D050E">
        <w:t>The HTA-CCC</w:t>
      </w:r>
      <w:r w:rsidR="00406350">
        <w:t xml:space="preserve"> considered wh</w:t>
      </w:r>
      <w:r w:rsidR="000A6B6E">
        <w:t>ich of the</w:t>
      </w:r>
      <w:r w:rsidR="007D050E">
        <w:t xml:space="preserve"> report’s recommendations</w:t>
      </w:r>
      <w:r w:rsidR="000A6B6E">
        <w:t xml:space="preserve"> may be priorities to progress i</w:t>
      </w:r>
      <w:r w:rsidR="00E62CE6" w:rsidRPr="00E62CE6">
        <w:t>n the short term</w:t>
      </w:r>
      <w:r w:rsidR="00A71383">
        <w:t xml:space="preserve">, </w:t>
      </w:r>
      <w:r w:rsidR="00A71383" w:rsidRPr="001A4C0B">
        <w:rPr>
          <w:szCs w:val="22"/>
        </w:rPr>
        <w:t>from the perspective</w:t>
      </w:r>
      <w:r w:rsidR="007D050E">
        <w:rPr>
          <w:szCs w:val="22"/>
        </w:rPr>
        <w:t>s</w:t>
      </w:r>
      <w:r w:rsidR="00A71383" w:rsidRPr="001A4C0B">
        <w:rPr>
          <w:szCs w:val="22"/>
        </w:rPr>
        <w:t xml:space="preserve"> of a HTA consumer member and as a member of the consumer sector.</w:t>
      </w:r>
      <w:r w:rsidR="00AD48B1">
        <w:rPr>
          <w:szCs w:val="22"/>
        </w:rPr>
        <w:t xml:space="preserve"> It was noted that</w:t>
      </w:r>
      <w:r w:rsidR="005C23FC">
        <w:rPr>
          <w:szCs w:val="22"/>
        </w:rPr>
        <w:t xml:space="preserve"> consultations conducted during</w:t>
      </w:r>
      <w:r w:rsidR="00AD48B1">
        <w:rPr>
          <w:szCs w:val="22"/>
        </w:rPr>
        <w:t xml:space="preserve"> the </w:t>
      </w:r>
      <w:hyperlink r:id="rId10" w:history="1">
        <w:r w:rsidR="00AD48B1" w:rsidRPr="00966DCA">
          <w:rPr>
            <w:rStyle w:val="Hyperlink"/>
            <w:szCs w:val="22"/>
          </w:rPr>
          <w:t>HTA Policy and Methods Review</w:t>
        </w:r>
      </w:hyperlink>
      <w:r w:rsidR="00AD48B1">
        <w:rPr>
          <w:szCs w:val="22"/>
        </w:rPr>
        <w:t xml:space="preserve"> and the Co-Design of an Enhanced Consumer Engagement Process</w:t>
      </w:r>
      <w:r w:rsidR="005C23FC">
        <w:rPr>
          <w:szCs w:val="22"/>
        </w:rPr>
        <w:t xml:space="preserve"> had </w:t>
      </w:r>
      <w:r w:rsidR="008A3CF0">
        <w:rPr>
          <w:szCs w:val="22"/>
        </w:rPr>
        <w:t>yielded</w:t>
      </w:r>
      <w:r w:rsidR="005C23FC">
        <w:rPr>
          <w:szCs w:val="22"/>
        </w:rPr>
        <w:t xml:space="preserve"> a high </w:t>
      </w:r>
      <w:r w:rsidR="00B86F08">
        <w:rPr>
          <w:szCs w:val="22"/>
        </w:rPr>
        <w:t>volume</w:t>
      </w:r>
      <w:r w:rsidR="005C23FC">
        <w:rPr>
          <w:szCs w:val="22"/>
        </w:rPr>
        <w:t xml:space="preserve"> of consumer submissions</w:t>
      </w:r>
      <w:r w:rsidR="00E73A1B">
        <w:rPr>
          <w:szCs w:val="22"/>
        </w:rPr>
        <w:t xml:space="preserve">, indicative of the consumer sector’s </w:t>
      </w:r>
      <w:r w:rsidR="008A3CF0">
        <w:rPr>
          <w:szCs w:val="22"/>
        </w:rPr>
        <w:t xml:space="preserve">engagement and </w:t>
      </w:r>
      <w:r w:rsidR="00536416">
        <w:rPr>
          <w:szCs w:val="22"/>
        </w:rPr>
        <w:t xml:space="preserve">understanding of this </w:t>
      </w:r>
      <w:r w:rsidR="003817BD">
        <w:rPr>
          <w:szCs w:val="22"/>
        </w:rPr>
        <w:t>important aspect</w:t>
      </w:r>
      <w:r w:rsidR="00536416">
        <w:rPr>
          <w:szCs w:val="22"/>
        </w:rPr>
        <w:t xml:space="preserve"> of public health.</w:t>
      </w:r>
      <w:r w:rsidR="005C23FC">
        <w:rPr>
          <w:szCs w:val="22"/>
        </w:rPr>
        <w:t xml:space="preserve"> </w:t>
      </w:r>
    </w:p>
    <w:p w14:paraId="4E8EDC0E" w14:textId="77777777" w:rsidR="00242B2A" w:rsidRDefault="00242B2A" w:rsidP="00967C5C">
      <w:pPr>
        <w:spacing w:before="0" w:after="0"/>
        <w:rPr>
          <w:szCs w:val="22"/>
        </w:rPr>
      </w:pPr>
    </w:p>
    <w:p w14:paraId="72299B61" w14:textId="1126A189" w:rsidR="00242B2A" w:rsidRDefault="00242B2A" w:rsidP="00967C5C">
      <w:pPr>
        <w:spacing w:before="0" w:after="0"/>
        <w:rPr>
          <w:szCs w:val="22"/>
        </w:rPr>
      </w:pPr>
      <w:r>
        <w:rPr>
          <w:szCs w:val="22"/>
        </w:rPr>
        <w:t>The Assistant Secretary, Office of Health Technology Assessment Branch, provided the HTA-CCC with insights into the Branch’s current activities</w:t>
      </w:r>
      <w:r w:rsidR="00D516C7">
        <w:rPr>
          <w:szCs w:val="22"/>
        </w:rPr>
        <w:t xml:space="preserve">. The Assistant Secretary noted the continuous evolution of consumer </w:t>
      </w:r>
      <w:r w:rsidR="00ED0D3D">
        <w:rPr>
          <w:szCs w:val="22"/>
        </w:rPr>
        <w:t xml:space="preserve">engagement and encouraged the HTA-CCC </w:t>
      </w:r>
      <w:r w:rsidR="007D6442">
        <w:rPr>
          <w:szCs w:val="22"/>
        </w:rPr>
        <w:t xml:space="preserve">in </w:t>
      </w:r>
      <w:r w:rsidR="00ED0D3D">
        <w:rPr>
          <w:szCs w:val="22"/>
        </w:rPr>
        <w:t>their work of enhancing the representation of consumer needs and perspectives within their respective HTA committees and subcommittees.</w:t>
      </w:r>
    </w:p>
    <w:p w14:paraId="12F0CC35" w14:textId="77777777" w:rsidR="00ED0D3D" w:rsidRDefault="00ED0D3D" w:rsidP="00967C5C">
      <w:pPr>
        <w:spacing w:before="0" w:after="0"/>
        <w:rPr>
          <w:szCs w:val="22"/>
        </w:rPr>
      </w:pPr>
    </w:p>
    <w:p w14:paraId="24C4B611" w14:textId="4A0A122E" w:rsidR="0092473E" w:rsidRDefault="009813E8" w:rsidP="00F40784">
      <w:pPr>
        <w:spacing w:before="0" w:after="0"/>
        <w:rPr>
          <w:rFonts w:cs="Arial"/>
          <w:bCs/>
          <w:szCs w:val="22"/>
        </w:rPr>
      </w:pPr>
      <w:r>
        <w:rPr>
          <w:rFonts w:cs="Arial"/>
          <w:bCs/>
          <w:szCs w:val="22"/>
        </w:rPr>
        <w:lastRenderedPageBreak/>
        <w:t xml:space="preserve">An interactive session was held to discuss </w:t>
      </w:r>
      <w:r w:rsidR="00ED0D3D">
        <w:rPr>
          <w:rFonts w:cs="Arial"/>
          <w:bCs/>
          <w:szCs w:val="22"/>
        </w:rPr>
        <w:t xml:space="preserve">considerations for adopting appropriate and </w:t>
      </w:r>
      <w:r w:rsidR="00A61539">
        <w:rPr>
          <w:rFonts w:cs="Arial"/>
          <w:bCs/>
          <w:szCs w:val="22"/>
        </w:rPr>
        <w:t>meaningful language</w:t>
      </w:r>
      <w:r w:rsidR="00ED0D3D">
        <w:rPr>
          <w:rFonts w:cs="Arial"/>
          <w:bCs/>
          <w:szCs w:val="22"/>
        </w:rPr>
        <w:t xml:space="preserve"> to reflect consumer engagement.</w:t>
      </w:r>
      <w:r w:rsidR="00A61539">
        <w:rPr>
          <w:rFonts w:cs="Arial"/>
          <w:bCs/>
          <w:szCs w:val="22"/>
        </w:rPr>
        <w:t xml:space="preserve"> Consideration was given to the various terms applied to consumer engagement, such as consumer comments, consumer experience, consumer input and consumer evidence.</w:t>
      </w:r>
      <w:r w:rsidR="000B49CD">
        <w:rPr>
          <w:rFonts w:cs="Arial"/>
          <w:bCs/>
          <w:szCs w:val="22"/>
        </w:rPr>
        <w:t xml:space="preserve"> It was agreed there was need to provide clarity</w:t>
      </w:r>
      <w:r w:rsidR="0031610D">
        <w:rPr>
          <w:rFonts w:cs="Arial"/>
          <w:bCs/>
          <w:szCs w:val="22"/>
        </w:rPr>
        <w:t xml:space="preserve"> and consistency</w:t>
      </w:r>
      <w:r w:rsidR="000B49CD">
        <w:rPr>
          <w:rFonts w:cs="Arial"/>
          <w:bCs/>
          <w:szCs w:val="22"/>
        </w:rPr>
        <w:t xml:space="preserve"> on the use of such terminology</w:t>
      </w:r>
      <w:r w:rsidR="0031610D">
        <w:rPr>
          <w:rFonts w:cs="Arial"/>
          <w:bCs/>
          <w:szCs w:val="22"/>
        </w:rPr>
        <w:t xml:space="preserve"> and that further work would follow on this matter.</w:t>
      </w:r>
    </w:p>
    <w:p w14:paraId="67BC3ACB" w14:textId="77777777" w:rsidR="00FF47BF" w:rsidRDefault="00FF47BF" w:rsidP="00F40784">
      <w:pPr>
        <w:spacing w:before="0" w:after="0"/>
        <w:rPr>
          <w:rFonts w:cs="Arial"/>
          <w:bCs/>
          <w:szCs w:val="22"/>
        </w:rPr>
      </w:pPr>
    </w:p>
    <w:p w14:paraId="1A60B15E" w14:textId="64212692" w:rsidR="00FF47BF" w:rsidRDefault="00F72573" w:rsidP="00F40784">
      <w:pPr>
        <w:spacing w:before="0" w:after="0"/>
        <w:rPr>
          <w:rFonts w:cs="Arial"/>
          <w:bCs/>
          <w:szCs w:val="22"/>
        </w:rPr>
      </w:pPr>
      <w:r>
        <w:rPr>
          <w:rFonts w:cs="Arial"/>
          <w:bCs/>
          <w:szCs w:val="22"/>
        </w:rPr>
        <w:t>A workshop considered t</w:t>
      </w:r>
      <w:r w:rsidR="00FF47BF">
        <w:rPr>
          <w:rFonts w:cs="Arial"/>
          <w:bCs/>
          <w:szCs w:val="22"/>
        </w:rPr>
        <w:t xml:space="preserve">he development of measures and metrics related to consumer engagement </w:t>
      </w:r>
      <w:r w:rsidR="001A17F0">
        <w:rPr>
          <w:rFonts w:cs="Arial"/>
          <w:bCs/>
          <w:szCs w:val="22"/>
        </w:rPr>
        <w:t>in HTA processes</w:t>
      </w:r>
      <w:r w:rsidR="00FF47BF">
        <w:rPr>
          <w:rFonts w:cs="Arial"/>
          <w:bCs/>
          <w:szCs w:val="22"/>
        </w:rPr>
        <w:t>.</w:t>
      </w:r>
      <w:r w:rsidR="001A17F0">
        <w:rPr>
          <w:rFonts w:cs="Arial"/>
          <w:bCs/>
          <w:szCs w:val="22"/>
        </w:rPr>
        <w:t xml:space="preserve"> It was agreed </w:t>
      </w:r>
      <w:r w:rsidR="003E7E03">
        <w:rPr>
          <w:rFonts w:cs="Arial"/>
          <w:bCs/>
          <w:szCs w:val="22"/>
        </w:rPr>
        <w:t>that the C</w:t>
      </w:r>
      <w:r w:rsidR="00CB1AA2">
        <w:rPr>
          <w:rFonts w:cs="Arial"/>
          <w:bCs/>
          <w:szCs w:val="22"/>
        </w:rPr>
        <w:t>EEU</w:t>
      </w:r>
      <w:r w:rsidR="003E7E03">
        <w:rPr>
          <w:rFonts w:cs="Arial"/>
          <w:bCs/>
          <w:szCs w:val="22"/>
        </w:rPr>
        <w:t xml:space="preserve"> will lead further development of this work with the HTA-CCC</w:t>
      </w:r>
      <w:r w:rsidR="00610F8E">
        <w:rPr>
          <w:rFonts w:cs="Arial"/>
          <w:bCs/>
          <w:szCs w:val="22"/>
        </w:rPr>
        <w:t>,</w:t>
      </w:r>
      <w:r w:rsidR="006D3DB8">
        <w:rPr>
          <w:rFonts w:cs="Arial"/>
          <w:bCs/>
          <w:szCs w:val="22"/>
        </w:rPr>
        <w:t xml:space="preserve"> followed by broader consultation with HTA committees and the consumer sector.</w:t>
      </w:r>
    </w:p>
    <w:p w14:paraId="520A3407" w14:textId="77777777" w:rsidR="000A7B92" w:rsidRDefault="000A7B92" w:rsidP="00F40784">
      <w:pPr>
        <w:spacing w:before="0" w:after="0"/>
        <w:rPr>
          <w:rFonts w:cs="Arial"/>
          <w:bCs/>
          <w:szCs w:val="22"/>
        </w:rPr>
      </w:pPr>
    </w:p>
    <w:p w14:paraId="414AB9E4" w14:textId="4D9E5650" w:rsidR="000A7B92" w:rsidRDefault="000A7B92" w:rsidP="00F40784">
      <w:pPr>
        <w:spacing w:before="0" w:after="0"/>
        <w:rPr>
          <w:rFonts w:cs="Arial"/>
          <w:bCs/>
          <w:szCs w:val="22"/>
        </w:rPr>
      </w:pPr>
      <w:r>
        <w:rPr>
          <w:rFonts w:cs="Arial"/>
          <w:bCs/>
          <w:szCs w:val="22"/>
        </w:rPr>
        <w:t xml:space="preserve">The HTA-CCC reviewed planned </w:t>
      </w:r>
      <w:r w:rsidR="00610F8E">
        <w:rPr>
          <w:rFonts w:cs="Arial"/>
          <w:bCs/>
          <w:szCs w:val="22"/>
        </w:rPr>
        <w:t>enhancements</w:t>
      </w:r>
      <w:r>
        <w:rPr>
          <w:rFonts w:cs="Arial"/>
          <w:bCs/>
          <w:szCs w:val="22"/>
        </w:rPr>
        <w:t xml:space="preserve"> to the C</w:t>
      </w:r>
      <w:r w:rsidR="00CB1AA2">
        <w:rPr>
          <w:rFonts w:cs="Arial"/>
          <w:bCs/>
          <w:szCs w:val="22"/>
        </w:rPr>
        <w:t>EEU</w:t>
      </w:r>
      <w:r>
        <w:rPr>
          <w:rFonts w:cs="Arial"/>
          <w:bCs/>
          <w:szCs w:val="22"/>
        </w:rPr>
        <w:t xml:space="preserve">’s e-newsletter, </w:t>
      </w:r>
      <w:hyperlink r:id="rId11" w:history="1">
        <w:r w:rsidRPr="000D1A26">
          <w:rPr>
            <w:rStyle w:val="Hyperlink"/>
            <w:rFonts w:cs="Arial"/>
            <w:bCs/>
            <w:i/>
            <w:iCs/>
            <w:szCs w:val="22"/>
          </w:rPr>
          <w:t>HTA Engage</w:t>
        </w:r>
      </w:hyperlink>
      <w:r>
        <w:rPr>
          <w:rFonts w:cs="Arial"/>
          <w:bCs/>
          <w:i/>
          <w:iCs/>
          <w:szCs w:val="22"/>
        </w:rPr>
        <w:t>.</w:t>
      </w:r>
      <w:r>
        <w:rPr>
          <w:rFonts w:cs="Arial"/>
          <w:bCs/>
          <w:szCs w:val="22"/>
        </w:rPr>
        <w:t xml:space="preserve"> </w:t>
      </w:r>
      <w:r w:rsidR="008C21EC">
        <w:rPr>
          <w:rFonts w:cs="Arial"/>
          <w:bCs/>
          <w:szCs w:val="22"/>
        </w:rPr>
        <w:t xml:space="preserve">Additionally, consideration was given to </w:t>
      </w:r>
      <w:r>
        <w:rPr>
          <w:rFonts w:cs="Arial"/>
          <w:bCs/>
          <w:szCs w:val="22"/>
        </w:rPr>
        <w:t xml:space="preserve">a proposal </w:t>
      </w:r>
      <w:r w:rsidR="00146135">
        <w:rPr>
          <w:rFonts w:cs="Arial"/>
          <w:bCs/>
          <w:szCs w:val="22"/>
        </w:rPr>
        <w:t xml:space="preserve">of self-identification for individual consumers and consumer organisations, via </w:t>
      </w:r>
      <w:r w:rsidR="00146135">
        <w:rPr>
          <w:rFonts w:cs="Arial"/>
          <w:bCs/>
          <w:i/>
          <w:iCs/>
          <w:szCs w:val="22"/>
        </w:rPr>
        <w:t xml:space="preserve">HTA Engage </w:t>
      </w:r>
      <w:r w:rsidR="00146135">
        <w:rPr>
          <w:rFonts w:cs="Arial"/>
          <w:bCs/>
          <w:szCs w:val="22"/>
        </w:rPr>
        <w:t>subscriptions, to improve broad and targeted notifications</w:t>
      </w:r>
      <w:r w:rsidR="00CB1AA2">
        <w:rPr>
          <w:rFonts w:cs="Arial"/>
          <w:bCs/>
          <w:szCs w:val="22"/>
        </w:rPr>
        <w:t xml:space="preserve"> on HTA-related consultations and activities,</w:t>
      </w:r>
      <w:r w:rsidR="00146135">
        <w:rPr>
          <w:rFonts w:cs="Arial"/>
          <w:bCs/>
          <w:szCs w:val="22"/>
        </w:rPr>
        <w:t xml:space="preserve"> </w:t>
      </w:r>
      <w:r w:rsidR="00E32D21">
        <w:rPr>
          <w:rFonts w:cs="Arial"/>
          <w:bCs/>
          <w:szCs w:val="22"/>
        </w:rPr>
        <w:t>to</w:t>
      </w:r>
      <w:r w:rsidR="00146135">
        <w:rPr>
          <w:rFonts w:cs="Arial"/>
          <w:bCs/>
          <w:szCs w:val="22"/>
        </w:rPr>
        <w:t xml:space="preserve"> support meaningful HTA consumer </w:t>
      </w:r>
      <w:r w:rsidR="00E32D21">
        <w:rPr>
          <w:rFonts w:cs="Arial"/>
          <w:bCs/>
          <w:szCs w:val="22"/>
        </w:rPr>
        <w:t>engagement</w:t>
      </w:r>
      <w:r w:rsidR="00146135">
        <w:rPr>
          <w:rFonts w:cs="Arial"/>
          <w:bCs/>
          <w:szCs w:val="22"/>
        </w:rPr>
        <w:t>.</w:t>
      </w:r>
    </w:p>
    <w:p w14:paraId="2D756587" w14:textId="77777777" w:rsidR="005C1F2B" w:rsidRDefault="005C1F2B" w:rsidP="00F40784">
      <w:pPr>
        <w:spacing w:before="0" w:after="0"/>
        <w:rPr>
          <w:rFonts w:cs="Arial"/>
          <w:bCs/>
          <w:szCs w:val="22"/>
        </w:rPr>
      </w:pPr>
    </w:p>
    <w:p w14:paraId="52628B0C" w14:textId="6AEE4419" w:rsidR="009E6057" w:rsidRDefault="005C1F2B" w:rsidP="00F40784">
      <w:pPr>
        <w:spacing w:before="0" w:after="0"/>
        <w:rPr>
          <w:rFonts w:cs="Arial"/>
          <w:bCs/>
          <w:szCs w:val="22"/>
        </w:rPr>
      </w:pPr>
      <w:r>
        <w:rPr>
          <w:rFonts w:cs="Arial"/>
          <w:bCs/>
          <w:szCs w:val="22"/>
        </w:rPr>
        <w:t xml:space="preserve">The Co-Deputy Chair, MSAC, provided an overview of Technical Guidance 28 and Technical Guidance 29 within the </w:t>
      </w:r>
      <w:hyperlink r:id="rId12" w:history="1">
        <w:r w:rsidRPr="00584360">
          <w:rPr>
            <w:rStyle w:val="Hyperlink"/>
            <w:rFonts w:cs="Arial"/>
            <w:bCs/>
            <w:szCs w:val="22"/>
          </w:rPr>
          <w:t>MSAC Guidelines</w:t>
        </w:r>
      </w:hyperlink>
      <w:r w:rsidR="00AC3919">
        <w:rPr>
          <w:rFonts w:cs="Arial"/>
          <w:bCs/>
          <w:szCs w:val="22"/>
        </w:rPr>
        <w:t xml:space="preserve">. These </w:t>
      </w:r>
      <w:r w:rsidR="006E4AB5">
        <w:rPr>
          <w:rFonts w:cs="Arial"/>
          <w:bCs/>
          <w:szCs w:val="22"/>
        </w:rPr>
        <w:t>respectively</w:t>
      </w:r>
      <w:r w:rsidR="009A7641">
        <w:rPr>
          <w:rFonts w:cs="Arial"/>
          <w:bCs/>
          <w:szCs w:val="22"/>
        </w:rPr>
        <w:t xml:space="preserve"> </w:t>
      </w:r>
      <w:r w:rsidR="00AC3919">
        <w:rPr>
          <w:rFonts w:cs="Arial"/>
          <w:bCs/>
          <w:szCs w:val="22"/>
        </w:rPr>
        <w:t xml:space="preserve">provide guidance on </w:t>
      </w:r>
      <w:r w:rsidR="00B4211B">
        <w:rPr>
          <w:rFonts w:cs="Arial"/>
          <w:bCs/>
          <w:szCs w:val="22"/>
        </w:rPr>
        <w:t xml:space="preserve">consideration of </w:t>
      </w:r>
      <w:r w:rsidR="00AC3919">
        <w:rPr>
          <w:rFonts w:cs="Arial"/>
          <w:bCs/>
          <w:szCs w:val="22"/>
        </w:rPr>
        <w:t xml:space="preserve">evidence for the </w:t>
      </w:r>
      <w:r w:rsidR="009A7641">
        <w:rPr>
          <w:rFonts w:cs="Arial"/>
          <w:bCs/>
          <w:szCs w:val="22"/>
        </w:rPr>
        <w:t>‘</w:t>
      </w:r>
      <w:r w:rsidR="00AC3919">
        <w:rPr>
          <w:rFonts w:cs="Arial"/>
          <w:bCs/>
          <w:szCs w:val="22"/>
        </w:rPr>
        <w:t>value of knowing</w:t>
      </w:r>
      <w:r w:rsidR="009A7641">
        <w:rPr>
          <w:rFonts w:cs="Arial"/>
          <w:bCs/>
          <w:szCs w:val="22"/>
        </w:rPr>
        <w:t>’</w:t>
      </w:r>
      <w:r w:rsidR="00AC3919">
        <w:rPr>
          <w:rFonts w:cs="Arial"/>
          <w:bCs/>
          <w:szCs w:val="22"/>
        </w:rPr>
        <w:t xml:space="preserve"> test information and its impact on non-healthy outcomes, and evidence for social, ethical, legal and organisational impacts associated with implementation of the test.</w:t>
      </w:r>
      <w:r w:rsidR="00CB489F">
        <w:rPr>
          <w:rFonts w:cs="Arial"/>
          <w:bCs/>
          <w:szCs w:val="22"/>
        </w:rPr>
        <w:t xml:space="preserve"> The</w:t>
      </w:r>
      <w:r w:rsidR="009A7641">
        <w:rPr>
          <w:rFonts w:cs="Arial"/>
          <w:bCs/>
          <w:szCs w:val="22"/>
        </w:rPr>
        <w:t xml:space="preserve"> two Technical Guidance items</w:t>
      </w:r>
      <w:r w:rsidR="00CB489F">
        <w:rPr>
          <w:rFonts w:cs="Arial"/>
          <w:bCs/>
          <w:szCs w:val="22"/>
        </w:rPr>
        <w:t xml:space="preserve"> were discussed, </w:t>
      </w:r>
      <w:r w:rsidR="009E6057">
        <w:rPr>
          <w:rFonts w:cs="Arial"/>
          <w:bCs/>
          <w:szCs w:val="22"/>
        </w:rPr>
        <w:t>including</w:t>
      </w:r>
      <w:r w:rsidR="00CB489F">
        <w:rPr>
          <w:rFonts w:cs="Arial"/>
          <w:bCs/>
          <w:szCs w:val="22"/>
        </w:rPr>
        <w:t xml:space="preserve"> con</w:t>
      </w:r>
      <w:r w:rsidR="009E6057">
        <w:rPr>
          <w:rFonts w:cs="Arial"/>
          <w:bCs/>
          <w:szCs w:val="22"/>
        </w:rPr>
        <w:t>sideration</w:t>
      </w:r>
      <w:r w:rsidR="009A7641">
        <w:rPr>
          <w:rFonts w:cs="Arial"/>
          <w:bCs/>
          <w:szCs w:val="22"/>
        </w:rPr>
        <w:t xml:space="preserve"> </w:t>
      </w:r>
      <w:r w:rsidR="009E6057">
        <w:rPr>
          <w:rFonts w:cs="Arial"/>
          <w:bCs/>
          <w:szCs w:val="22"/>
        </w:rPr>
        <w:t>of the con</w:t>
      </w:r>
      <w:r w:rsidR="00CB489F">
        <w:rPr>
          <w:rFonts w:cs="Arial"/>
          <w:bCs/>
          <w:szCs w:val="22"/>
        </w:rPr>
        <w:t>text of genetic t</w:t>
      </w:r>
      <w:r w:rsidR="009E6057">
        <w:rPr>
          <w:rFonts w:cs="Arial"/>
          <w:bCs/>
          <w:szCs w:val="22"/>
        </w:rPr>
        <w:t>esting.</w:t>
      </w:r>
    </w:p>
    <w:p w14:paraId="42BDD38B" w14:textId="77777777" w:rsidR="009E6057" w:rsidRDefault="009E6057" w:rsidP="00F40784">
      <w:pPr>
        <w:spacing w:before="0" w:after="0"/>
        <w:rPr>
          <w:rFonts w:cs="Arial"/>
          <w:bCs/>
          <w:szCs w:val="22"/>
        </w:rPr>
      </w:pPr>
    </w:p>
    <w:p w14:paraId="5BD32960" w14:textId="4D0B19BE" w:rsidR="00E92D71" w:rsidRDefault="00E92D71" w:rsidP="00F40784">
      <w:pPr>
        <w:spacing w:before="0" w:after="0"/>
        <w:rPr>
          <w:rFonts w:cs="Arial"/>
          <w:bCs/>
          <w:szCs w:val="22"/>
        </w:rPr>
      </w:pPr>
      <w:r>
        <w:rPr>
          <w:rFonts w:cs="Arial"/>
          <w:bCs/>
          <w:szCs w:val="22"/>
        </w:rPr>
        <w:t xml:space="preserve">The CEEU provided an update on its activities, including a proposed consumer webinar to be held on 10 December 2024. The purpose of the webinar is to provide an opportunity to acknowledge some of the many highlights of the consumer sector activities during 2024 and look towards enhancing consumer engagement in HTA during 2025. The </w:t>
      </w:r>
      <w:r w:rsidR="00B4211B">
        <w:rPr>
          <w:rFonts w:cs="Arial"/>
          <w:bCs/>
          <w:szCs w:val="22"/>
        </w:rPr>
        <w:t xml:space="preserve">HTA-CCC considered </w:t>
      </w:r>
      <w:r w:rsidR="00351908">
        <w:rPr>
          <w:rFonts w:cs="Arial"/>
          <w:bCs/>
          <w:szCs w:val="22"/>
        </w:rPr>
        <w:t>proposed workshop and webinar</w:t>
      </w:r>
      <w:r w:rsidR="00B4211B">
        <w:rPr>
          <w:rFonts w:cs="Arial"/>
          <w:bCs/>
          <w:szCs w:val="22"/>
        </w:rPr>
        <w:t xml:space="preserve"> topic</w:t>
      </w:r>
      <w:r w:rsidR="00351908">
        <w:rPr>
          <w:rFonts w:cs="Arial"/>
          <w:bCs/>
          <w:szCs w:val="22"/>
        </w:rPr>
        <w:t>s</w:t>
      </w:r>
      <w:r w:rsidR="005E37A3">
        <w:rPr>
          <w:rFonts w:cs="Arial"/>
          <w:bCs/>
          <w:szCs w:val="22"/>
        </w:rPr>
        <w:t xml:space="preserve"> that may</w:t>
      </w:r>
      <w:r w:rsidR="00B4211B">
        <w:rPr>
          <w:rFonts w:cs="Arial"/>
          <w:bCs/>
          <w:szCs w:val="22"/>
        </w:rPr>
        <w:t xml:space="preserve"> be held in 2025 </w:t>
      </w:r>
      <w:r w:rsidR="00351908">
        <w:rPr>
          <w:rFonts w:cs="Arial"/>
          <w:bCs/>
          <w:szCs w:val="22"/>
        </w:rPr>
        <w:t xml:space="preserve">for the HTA-CCC and consumer sector. </w:t>
      </w:r>
    </w:p>
    <w:p w14:paraId="17277DEE" w14:textId="297D3097" w:rsidR="005C1F2B" w:rsidRPr="00146135" w:rsidRDefault="005C1F2B" w:rsidP="00F40784">
      <w:pPr>
        <w:spacing w:before="0" w:after="0"/>
        <w:rPr>
          <w:rFonts w:cs="Arial"/>
          <w:bCs/>
          <w:szCs w:val="22"/>
        </w:rPr>
      </w:pPr>
      <w:r>
        <w:rPr>
          <w:rFonts w:cs="Arial"/>
          <w:bCs/>
          <w:szCs w:val="22"/>
        </w:rPr>
        <w:t xml:space="preserve">  </w:t>
      </w:r>
    </w:p>
    <w:p w14:paraId="056D02A5" w14:textId="77777777" w:rsidR="00A61539" w:rsidRDefault="00A61539" w:rsidP="00F40784">
      <w:pPr>
        <w:spacing w:before="0" w:after="0"/>
        <w:rPr>
          <w:rFonts w:cs="Arial"/>
          <w:bCs/>
          <w:szCs w:val="22"/>
        </w:rPr>
      </w:pPr>
    </w:p>
    <w:p w14:paraId="40810AB7" w14:textId="51219819" w:rsidR="00A61539" w:rsidRDefault="008808DA" w:rsidP="00F40784">
      <w:pPr>
        <w:spacing w:before="0" w:after="0"/>
        <w:rPr>
          <w:rFonts w:cs="Arial"/>
          <w:bCs/>
          <w:szCs w:val="22"/>
        </w:rPr>
      </w:pPr>
      <w:r>
        <w:rPr>
          <w:rFonts w:cs="Arial"/>
          <w:bCs/>
          <w:szCs w:val="22"/>
        </w:rPr>
        <w:t>The next HTA-CCC meeting is scheduled to be held in February 2025.</w:t>
      </w:r>
    </w:p>
    <w:sectPr w:rsidR="00A61539" w:rsidSect="001D0BD6">
      <w:footerReference w:type="default" r:id="rId13"/>
      <w:headerReference w:type="first" r:id="rId14"/>
      <w:footerReference w:type="first" r:id="rId15"/>
      <w:type w:val="continuous"/>
      <w:pgSz w:w="11906" w:h="16838"/>
      <w:pgMar w:top="1418" w:right="99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FE603" w14:textId="77777777" w:rsidR="00D33229" w:rsidRDefault="00D33229" w:rsidP="006B56BB">
      <w:r>
        <w:separator/>
      </w:r>
    </w:p>
    <w:p w14:paraId="0AD7C8A6" w14:textId="77777777" w:rsidR="00D33229" w:rsidRDefault="00D33229"/>
  </w:endnote>
  <w:endnote w:type="continuationSeparator" w:id="0">
    <w:p w14:paraId="18663A6C" w14:textId="77777777" w:rsidR="00D33229" w:rsidRDefault="00D33229" w:rsidP="006B56BB">
      <w:r>
        <w:continuationSeparator/>
      </w:r>
    </w:p>
    <w:p w14:paraId="24DC00C7" w14:textId="77777777" w:rsidR="00D33229" w:rsidRDefault="00D33229"/>
  </w:endnote>
  <w:endnote w:type="continuationNotice" w:id="1">
    <w:p w14:paraId="2644A62C" w14:textId="77777777" w:rsidR="00D33229" w:rsidRDefault="00D33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2DC2D" w14:textId="4B8F5427" w:rsidR="00440411" w:rsidRPr="006D5FD8" w:rsidRDefault="00F450A9" w:rsidP="00F450A9">
    <w:pPr>
      <w:pStyle w:val="Footer"/>
      <w:jc w:val="center"/>
    </w:pPr>
    <w:r w:rsidRPr="00F450A9">
      <w:t xml:space="preserve">HTA CCC Communique – </w:t>
    </w:r>
    <w:r w:rsidR="00607054">
      <w:t>23</w:t>
    </w:r>
    <w:r w:rsidR="006D046B">
      <w:t xml:space="preserve"> to </w:t>
    </w:r>
    <w:r w:rsidR="00607054">
      <w:t>24 October</w:t>
    </w:r>
    <w:r w:rsidR="006D046B">
      <w:t xml:space="preserve"> 2024</w:t>
    </w:r>
    <w:r>
      <w:tab/>
    </w:r>
    <w:r>
      <w:tab/>
    </w:r>
    <w:sdt>
      <w:sdtPr>
        <w:id w:val="2084581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D4712">
          <w:rPr>
            <w:noProof/>
          </w:rPr>
          <w:t>3</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47658" w14:textId="2E555D44" w:rsidR="001D0BD6" w:rsidRDefault="001D0BD6" w:rsidP="00F516F8">
    <w:pPr>
      <w:pStyle w:val="Footer"/>
    </w:pPr>
    <w:r w:rsidRPr="00F450A9">
      <w:t xml:space="preserve">HTA CCC Communique – </w:t>
    </w:r>
    <w:r w:rsidR="00390C6E">
      <w:t>23</w:t>
    </w:r>
    <w:r w:rsidR="00F516F8">
      <w:t xml:space="preserve"> to </w:t>
    </w:r>
    <w:r w:rsidR="00390C6E">
      <w:t>24</w:t>
    </w:r>
    <w:r w:rsidR="00F516F8">
      <w:t xml:space="preserve"> </w:t>
    </w:r>
    <w:r w:rsidR="00390C6E">
      <w:t>October</w:t>
    </w:r>
    <w:r w:rsidR="00F516F8">
      <w:t xml:space="preserve"> 2024</w:t>
    </w:r>
    <w:r w:rsidR="00F516F8">
      <w:tab/>
    </w:r>
    <w:r w:rsidR="00F516F8">
      <w:tab/>
    </w:r>
    <w:r>
      <w:tab/>
    </w:r>
    <w:sdt>
      <w:sdtPr>
        <w:id w:val="21065391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35B85" w14:textId="77777777" w:rsidR="00D33229" w:rsidRDefault="00D33229" w:rsidP="006B56BB">
      <w:r>
        <w:separator/>
      </w:r>
    </w:p>
    <w:p w14:paraId="54DABC68" w14:textId="77777777" w:rsidR="00D33229" w:rsidRDefault="00D33229"/>
  </w:footnote>
  <w:footnote w:type="continuationSeparator" w:id="0">
    <w:p w14:paraId="0D265851" w14:textId="77777777" w:rsidR="00D33229" w:rsidRDefault="00D33229" w:rsidP="006B56BB">
      <w:r>
        <w:continuationSeparator/>
      </w:r>
    </w:p>
    <w:p w14:paraId="1316D6FF" w14:textId="77777777" w:rsidR="00D33229" w:rsidRDefault="00D33229"/>
  </w:footnote>
  <w:footnote w:type="continuationNotice" w:id="1">
    <w:p w14:paraId="108B3771" w14:textId="77777777" w:rsidR="00D33229" w:rsidRDefault="00D332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6C905" w14:textId="5BD43C05" w:rsidR="001D0BD6" w:rsidRDefault="001D0BD6">
    <w:pPr>
      <w:pStyle w:val="Header"/>
    </w:pPr>
    <w:r>
      <w:rPr>
        <w:noProof/>
      </w:rPr>
      <w:drawing>
        <wp:inline distT="0" distB="0" distL="0" distR="0" wp14:anchorId="780F6F9E" wp14:editId="0339FE82">
          <wp:extent cx="5759450" cy="941705"/>
          <wp:effectExtent l="0" t="0" r="0" b="0"/>
          <wp:docPr id="1" name="Picture 1" descr="Australian Government Department of Health and Aged Care banner"/>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EA29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18B06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1562A33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542B35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B201E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E0AF8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1122339"/>
    <w:multiLevelType w:val="hybridMultilevel"/>
    <w:tmpl w:val="D7542BCE"/>
    <w:lvl w:ilvl="0" w:tplc="04EE923E">
      <w:start w:val="1"/>
      <w:numFmt w:val="bullet"/>
      <w:lvlText w:val="•"/>
      <w:lvlJc w:val="left"/>
      <w:pPr>
        <w:tabs>
          <w:tab w:val="num" w:pos="720"/>
        </w:tabs>
        <w:ind w:left="720" w:hanging="360"/>
      </w:pPr>
      <w:rPr>
        <w:rFonts w:ascii="Arial" w:hAnsi="Arial" w:hint="default"/>
      </w:rPr>
    </w:lvl>
    <w:lvl w:ilvl="1" w:tplc="CA70B2D0" w:tentative="1">
      <w:start w:val="1"/>
      <w:numFmt w:val="bullet"/>
      <w:lvlText w:val="•"/>
      <w:lvlJc w:val="left"/>
      <w:pPr>
        <w:tabs>
          <w:tab w:val="num" w:pos="1440"/>
        </w:tabs>
        <w:ind w:left="1440" w:hanging="360"/>
      </w:pPr>
      <w:rPr>
        <w:rFonts w:ascii="Arial" w:hAnsi="Arial" w:hint="default"/>
      </w:rPr>
    </w:lvl>
    <w:lvl w:ilvl="2" w:tplc="8C5E9AC4" w:tentative="1">
      <w:start w:val="1"/>
      <w:numFmt w:val="bullet"/>
      <w:lvlText w:val="•"/>
      <w:lvlJc w:val="left"/>
      <w:pPr>
        <w:tabs>
          <w:tab w:val="num" w:pos="2160"/>
        </w:tabs>
        <w:ind w:left="2160" w:hanging="360"/>
      </w:pPr>
      <w:rPr>
        <w:rFonts w:ascii="Arial" w:hAnsi="Arial" w:hint="default"/>
      </w:rPr>
    </w:lvl>
    <w:lvl w:ilvl="3" w:tplc="B678CF3A" w:tentative="1">
      <w:start w:val="1"/>
      <w:numFmt w:val="bullet"/>
      <w:lvlText w:val="•"/>
      <w:lvlJc w:val="left"/>
      <w:pPr>
        <w:tabs>
          <w:tab w:val="num" w:pos="2880"/>
        </w:tabs>
        <w:ind w:left="2880" w:hanging="360"/>
      </w:pPr>
      <w:rPr>
        <w:rFonts w:ascii="Arial" w:hAnsi="Arial" w:hint="default"/>
      </w:rPr>
    </w:lvl>
    <w:lvl w:ilvl="4" w:tplc="7CC4DAA2" w:tentative="1">
      <w:start w:val="1"/>
      <w:numFmt w:val="bullet"/>
      <w:lvlText w:val="•"/>
      <w:lvlJc w:val="left"/>
      <w:pPr>
        <w:tabs>
          <w:tab w:val="num" w:pos="3600"/>
        </w:tabs>
        <w:ind w:left="3600" w:hanging="360"/>
      </w:pPr>
      <w:rPr>
        <w:rFonts w:ascii="Arial" w:hAnsi="Arial" w:hint="default"/>
      </w:rPr>
    </w:lvl>
    <w:lvl w:ilvl="5" w:tplc="19620388" w:tentative="1">
      <w:start w:val="1"/>
      <w:numFmt w:val="bullet"/>
      <w:lvlText w:val="•"/>
      <w:lvlJc w:val="left"/>
      <w:pPr>
        <w:tabs>
          <w:tab w:val="num" w:pos="4320"/>
        </w:tabs>
        <w:ind w:left="4320" w:hanging="360"/>
      </w:pPr>
      <w:rPr>
        <w:rFonts w:ascii="Arial" w:hAnsi="Arial" w:hint="default"/>
      </w:rPr>
    </w:lvl>
    <w:lvl w:ilvl="6" w:tplc="B2BA1760" w:tentative="1">
      <w:start w:val="1"/>
      <w:numFmt w:val="bullet"/>
      <w:lvlText w:val="•"/>
      <w:lvlJc w:val="left"/>
      <w:pPr>
        <w:tabs>
          <w:tab w:val="num" w:pos="5040"/>
        </w:tabs>
        <w:ind w:left="5040" w:hanging="360"/>
      </w:pPr>
      <w:rPr>
        <w:rFonts w:ascii="Arial" w:hAnsi="Arial" w:hint="default"/>
      </w:rPr>
    </w:lvl>
    <w:lvl w:ilvl="7" w:tplc="056E85E0" w:tentative="1">
      <w:start w:val="1"/>
      <w:numFmt w:val="bullet"/>
      <w:lvlText w:val="•"/>
      <w:lvlJc w:val="left"/>
      <w:pPr>
        <w:tabs>
          <w:tab w:val="num" w:pos="5760"/>
        </w:tabs>
        <w:ind w:left="5760" w:hanging="360"/>
      </w:pPr>
      <w:rPr>
        <w:rFonts w:ascii="Arial" w:hAnsi="Arial" w:hint="default"/>
      </w:rPr>
    </w:lvl>
    <w:lvl w:ilvl="8" w:tplc="4C56EC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F137BC"/>
    <w:multiLevelType w:val="hybridMultilevel"/>
    <w:tmpl w:val="D674A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0551B4"/>
    <w:multiLevelType w:val="multilevel"/>
    <w:tmpl w:val="7248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AB42EB"/>
    <w:multiLevelType w:val="hybridMultilevel"/>
    <w:tmpl w:val="E47C2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665B9A"/>
    <w:multiLevelType w:val="multilevel"/>
    <w:tmpl w:val="F220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4806EA"/>
    <w:multiLevelType w:val="hybridMultilevel"/>
    <w:tmpl w:val="D1CC1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36BF046C"/>
    <w:multiLevelType w:val="hybridMultilevel"/>
    <w:tmpl w:val="82380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C55D7F"/>
    <w:multiLevelType w:val="hybridMultilevel"/>
    <w:tmpl w:val="39BAF6C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08E0BC5"/>
    <w:multiLevelType w:val="hybridMultilevel"/>
    <w:tmpl w:val="24E48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6217846"/>
    <w:multiLevelType w:val="hybridMultilevel"/>
    <w:tmpl w:val="BD109C62"/>
    <w:lvl w:ilvl="0" w:tplc="C28AD2E2">
      <w:start w:val="1"/>
      <w:numFmt w:val="bullet"/>
      <w:lvlText w:val="•"/>
      <w:lvlJc w:val="left"/>
      <w:pPr>
        <w:tabs>
          <w:tab w:val="num" w:pos="720"/>
        </w:tabs>
        <w:ind w:left="720" w:hanging="360"/>
      </w:pPr>
      <w:rPr>
        <w:rFonts w:ascii="Arial" w:hAnsi="Arial" w:hint="default"/>
      </w:rPr>
    </w:lvl>
    <w:lvl w:ilvl="1" w:tplc="DE166D22" w:tentative="1">
      <w:start w:val="1"/>
      <w:numFmt w:val="bullet"/>
      <w:lvlText w:val="•"/>
      <w:lvlJc w:val="left"/>
      <w:pPr>
        <w:tabs>
          <w:tab w:val="num" w:pos="1440"/>
        </w:tabs>
        <w:ind w:left="1440" w:hanging="360"/>
      </w:pPr>
      <w:rPr>
        <w:rFonts w:ascii="Arial" w:hAnsi="Arial" w:hint="default"/>
      </w:rPr>
    </w:lvl>
    <w:lvl w:ilvl="2" w:tplc="2A008AEE" w:tentative="1">
      <w:start w:val="1"/>
      <w:numFmt w:val="bullet"/>
      <w:lvlText w:val="•"/>
      <w:lvlJc w:val="left"/>
      <w:pPr>
        <w:tabs>
          <w:tab w:val="num" w:pos="2160"/>
        </w:tabs>
        <w:ind w:left="2160" w:hanging="360"/>
      </w:pPr>
      <w:rPr>
        <w:rFonts w:ascii="Arial" w:hAnsi="Arial" w:hint="default"/>
      </w:rPr>
    </w:lvl>
    <w:lvl w:ilvl="3" w:tplc="6ED0C35E" w:tentative="1">
      <w:start w:val="1"/>
      <w:numFmt w:val="bullet"/>
      <w:lvlText w:val="•"/>
      <w:lvlJc w:val="left"/>
      <w:pPr>
        <w:tabs>
          <w:tab w:val="num" w:pos="2880"/>
        </w:tabs>
        <w:ind w:left="2880" w:hanging="360"/>
      </w:pPr>
      <w:rPr>
        <w:rFonts w:ascii="Arial" w:hAnsi="Arial" w:hint="default"/>
      </w:rPr>
    </w:lvl>
    <w:lvl w:ilvl="4" w:tplc="6088DA4C" w:tentative="1">
      <w:start w:val="1"/>
      <w:numFmt w:val="bullet"/>
      <w:lvlText w:val="•"/>
      <w:lvlJc w:val="left"/>
      <w:pPr>
        <w:tabs>
          <w:tab w:val="num" w:pos="3600"/>
        </w:tabs>
        <w:ind w:left="3600" w:hanging="360"/>
      </w:pPr>
      <w:rPr>
        <w:rFonts w:ascii="Arial" w:hAnsi="Arial" w:hint="default"/>
      </w:rPr>
    </w:lvl>
    <w:lvl w:ilvl="5" w:tplc="39AA7C26" w:tentative="1">
      <w:start w:val="1"/>
      <w:numFmt w:val="bullet"/>
      <w:lvlText w:val="•"/>
      <w:lvlJc w:val="left"/>
      <w:pPr>
        <w:tabs>
          <w:tab w:val="num" w:pos="4320"/>
        </w:tabs>
        <w:ind w:left="4320" w:hanging="360"/>
      </w:pPr>
      <w:rPr>
        <w:rFonts w:ascii="Arial" w:hAnsi="Arial" w:hint="default"/>
      </w:rPr>
    </w:lvl>
    <w:lvl w:ilvl="6" w:tplc="3B56C6C8" w:tentative="1">
      <w:start w:val="1"/>
      <w:numFmt w:val="bullet"/>
      <w:lvlText w:val="•"/>
      <w:lvlJc w:val="left"/>
      <w:pPr>
        <w:tabs>
          <w:tab w:val="num" w:pos="5040"/>
        </w:tabs>
        <w:ind w:left="5040" w:hanging="360"/>
      </w:pPr>
      <w:rPr>
        <w:rFonts w:ascii="Arial" w:hAnsi="Arial" w:hint="default"/>
      </w:rPr>
    </w:lvl>
    <w:lvl w:ilvl="7" w:tplc="6DEC96E2" w:tentative="1">
      <w:start w:val="1"/>
      <w:numFmt w:val="bullet"/>
      <w:lvlText w:val="•"/>
      <w:lvlJc w:val="left"/>
      <w:pPr>
        <w:tabs>
          <w:tab w:val="num" w:pos="5760"/>
        </w:tabs>
        <w:ind w:left="5760" w:hanging="360"/>
      </w:pPr>
      <w:rPr>
        <w:rFonts w:ascii="Arial" w:hAnsi="Arial" w:hint="default"/>
      </w:rPr>
    </w:lvl>
    <w:lvl w:ilvl="8" w:tplc="F116743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6B5338D"/>
    <w:multiLevelType w:val="hybridMultilevel"/>
    <w:tmpl w:val="10A4CCDE"/>
    <w:lvl w:ilvl="0" w:tplc="40FA0A14">
      <w:start w:val="1"/>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CB3E02"/>
    <w:multiLevelType w:val="hybridMultilevel"/>
    <w:tmpl w:val="1A569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422C3D"/>
    <w:multiLevelType w:val="hybridMultilevel"/>
    <w:tmpl w:val="D49013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4339B5"/>
    <w:multiLevelType w:val="hybridMultilevel"/>
    <w:tmpl w:val="054EBAB4"/>
    <w:lvl w:ilvl="0" w:tplc="3D265CDC">
      <w:start w:val="1"/>
      <w:numFmt w:val="bullet"/>
      <w:lvlText w:val="•"/>
      <w:lvlJc w:val="left"/>
      <w:pPr>
        <w:tabs>
          <w:tab w:val="num" w:pos="720"/>
        </w:tabs>
        <w:ind w:left="720" w:hanging="360"/>
      </w:pPr>
      <w:rPr>
        <w:rFonts w:ascii="Arial" w:hAnsi="Arial" w:hint="default"/>
      </w:rPr>
    </w:lvl>
    <w:lvl w:ilvl="1" w:tplc="CEF89990" w:tentative="1">
      <w:start w:val="1"/>
      <w:numFmt w:val="bullet"/>
      <w:lvlText w:val="•"/>
      <w:lvlJc w:val="left"/>
      <w:pPr>
        <w:tabs>
          <w:tab w:val="num" w:pos="1440"/>
        </w:tabs>
        <w:ind w:left="1440" w:hanging="360"/>
      </w:pPr>
      <w:rPr>
        <w:rFonts w:ascii="Arial" w:hAnsi="Arial" w:hint="default"/>
      </w:rPr>
    </w:lvl>
    <w:lvl w:ilvl="2" w:tplc="A6EE6D70" w:tentative="1">
      <w:start w:val="1"/>
      <w:numFmt w:val="bullet"/>
      <w:lvlText w:val="•"/>
      <w:lvlJc w:val="left"/>
      <w:pPr>
        <w:tabs>
          <w:tab w:val="num" w:pos="2160"/>
        </w:tabs>
        <w:ind w:left="2160" w:hanging="360"/>
      </w:pPr>
      <w:rPr>
        <w:rFonts w:ascii="Arial" w:hAnsi="Arial" w:hint="default"/>
      </w:rPr>
    </w:lvl>
    <w:lvl w:ilvl="3" w:tplc="D61A1EA6" w:tentative="1">
      <w:start w:val="1"/>
      <w:numFmt w:val="bullet"/>
      <w:lvlText w:val="•"/>
      <w:lvlJc w:val="left"/>
      <w:pPr>
        <w:tabs>
          <w:tab w:val="num" w:pos="2880"/>
        </w:tabs>
        <w:ind w:left="2880" w:hanging="360"/>
      </w:pPr>
      <w:rPr>
        <w:rFonts w:ascii="Arial" w:hAnsi="Arial" w:hint="default"/>
      </w:rPr>
    </w:lvl>
    <w:lvl w:ilvl="4" w:tplc="2DDEEC70" w:tentative="1">
      <w:start w:val="1"/>
      <w:numFmt w:val="bullet"/>
      <w:lvlText w:val="•"/>
      <w:lvlJc w:val="left"/>
      <w:pPr>
        <w:tabs>
          <w:tab w:val="num" w:pos="3600"/>
        </w:tabs>
        <w:ind w:left="3600" w:hanging="360"/>
      </w:pPr>
      <w:rPr>
        <w:rFonts w:ascii="Arial" w:hAnsi="Arial" w:hint="default"/>
      </w:rPr>
    </w:lvl>
    <w:lvl w:ilvl="5" w:tplc="30404CB8" w:tentative="1">
      <w:start w:val="1"/>
      <w:numFmt w:val="bullet"/>
      <w:lvlText w:val="•"/>
      <w:lvlJc w:val="left"/>
      <w:pPr>
        <w:tabs>
          <w:tab w:val="num" w:pos="4320"/>
        </w:tabs>
        <w:ind w:left="4320" w:hanging="360"/>
      </w:pPr>
      <w:rPr>
        <w:rFonts w:ascii="Arial" w:hAnsi="Arial" w:hint="default"/>
      </w:rPr>
    </w:lvl>
    <w:lvl w:ilvl="6" w:tplc="85C426E0" w:tentative="1">
      <w:start w:val="1"/>
      <w:numFmt w:val="bullet"/>
      <w:lvlText w:val="•"/>
      <w:lvlJc w:val="left"/>
      <w:pPr>
        <w:tabs>
          <w:tab w:val="num" w:pos="5040"/>
        </w:tabs>
        <w:ind w:left="5040" w:hanging="360"/>
      </w:pPr>
      <w:rPr>
        <w:rFonts w:ascii="Arial" w:hAnsi="Arial" w:hint="default"/>
      </w:rPr>
    </w:lvl>
    <w:lvl w:ilvl="7" w:tplc="D8E69854" w:tentative="1">
      <w:start w:val="1"/>
      <w:numFmt w:val="bullet"/>
      <w:lvlText w:val="•"/>
      <w:lvlJc w:val="left"/>
      <w:pPr>
        <w:tabs>
          <w:tab w:val="num" w:pos="5760"/>
        </w:tabs>
        <w:ind w:left="5760" w:hanging="360"/>
      </w:pPr>
      <w:rPr>
        <w:rFonts w:ascii="Arial" w:hAnsi="Arial" w:hint="default"/>
      </w:rPr>
    </w:lvl>
    <w:lvl w:ilvl="8" w:tplc="5698907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BC04E5C"/>
    <w:multiLevelType w:val="hybridMultilevel"/>
    <w:tmpl w:val="CBB0C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8" w15:restartNumberingAfterBreak="0">
    <w:nsid w:val="7F9301DD"/>
    <w:multiLevelType w:val="hybridMultilevel"/>
    <w:tmpl w:val="772AE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3697926">
    <w:abstractNumId w:val="7"/>
  </w:num>
  <w:num w:numId="2" w16cid:durableId="960572737">
    <w:abstractNumId w:val="32"/>
  </w:num>
  <w:num w:numId="3" w16cid:durableId="1840733769">
    <w:abstractNumId w:val="42"/>
  </w:num>
  <w:num w:numId="4" w16cid:durableId="371613906">
    <w:abstractNumId w:val="8"/>
  </w:num>
  <w:num w:numId="5" w16cid:durableId="969167780">
    <w:abstractNumId w:val="8"/>
    <w:lvlOverride w:ilvl="0">
      <w:startOverride w:val="1"/>
    </w:lvlOverride>
  </w:num>
  <w:num w:numId="6" w16cid:durableId="12072593">
    <w:abstractNumId w:val="11"/>
  </w:num>
  <w:num w:numId="7" w16cid:durableId="1159150356">
    <w:abstractNumId w:val="28"/>
  </w:num>
  <w:num w:numId="8" w16cid:durableId="1197811817">
    <w:abstractNumId w:val="41"/>
  </w:num>
  <w:num w:numId="9" w16cid:durableId="1977833446">
    <w:abstractNumId w:val="5"/>
  </w:num>
  <w:num w:numId="10" w16cid:durableId="1307466594">
    <w:abstractNumId w:val="4"/>
  </w:num>
  <w:num w:numId="11" w16cid:durableId="1189025744">
    <w:abstractNumId w:val="3"/>
  </w:num>
  <w:num w:numId="12" w16cid:durableId="1347749969">
    <w:abstractNumId w:val="2"/>
  </w:num>
  <w:num w:numId="13" w16cid:durableId="1806771207">
    <w:abstractNumId w:val="6"/>
  </w:num>
  <w:num w:numId="14" w16cid:durableId="188957252">
    <w:abstractNumId w:val="1"/>
  </w:num>
  <w:num w:numId="15" w16cid:durableId="319426291">
    <w:abstractNumId w:val="0"/>
  </w:num>
  <w:num w:numId="16" w16cid:durableId="1522816276">
    <w:abstractNumId w:val="47"/>
  </w:num>
  <w:num w:numId="17" w16cid:durableId="61409693">
    <w:abstractNumId w:val="14"/>
  </w:num>
  <w:num w:numId="18" w16cid:durableId="336732525">
    <w:abstractNumId w:val="15"/>
  </w:num>
  <w:num w:numId="19" w16cid:durableId="74977782">
    <w:abstractNumId w:val="22"/>
  </w:num>
  <w:num w:numId="20" w16cid:durableId="1322659443">
    <w:abstractNumId w:val="24"/>
  </w:num>
  <w:num w:numId="21" w16cid:durableId="108553095">
    <w:abstractNumId w:val="43"/>
  </w:num>
  <w:num w:numId="22" w16cid:durableId="1362975005">
    <w:abstractNumId w:val="10"/>
  </w:num>
  <w:num w:numId="23" w16cid:durableId="1473643494">
    <w:abstractNumId w:val="14"/>
  </w:num>
  <w:num w:numId="24" w16cid:durableId="643119667">
    <w:abstractNumId w:val="22"/>
  </w:num>
  <w:num w:numId="25" w16cid:durableId="1684821304">
    <w:abstractNumId w:val="42"/>
  </w:num>
  <w:num w:numId="26" w16cid:durableId="1010059828">
    <w:abstractNumId w:val="8"/>
  </w:num>
  <w:num w:numId="27" w16cid:durableId="1020011138">
    <w:abstractNumId w:val="25"/>
  </w:num>
  <w:num w:numId="28" w16cid:durableId="1389957300">
    <w:abstractNumId w:val="39"/>
  </w:num>
  <w:num w:numId="29" w16cid:durableId="184177238">
    <w:abstractNumId w:val="29"/>
  </w:num>
  <w:num w:numId="30" w16cid:durableId="42871262">
    <w:abstractNumId w:val="31"/>
  </w:num>
  <w:num w:numId="31" w16cid:durableId="1680544517">
    <w:abstractNumId w:val="12"/>
  </w:num>
  <w:num w:numId="32" w16cid:durableId="323556359">
    <w:abstractNumId w:val="9"/>
  </w:num>
  <w:num w:numId="33" w16cid:durableId="1469710514">
    <w:abstractNumId w:val="19"/>
  </w:num>
  <w:num w:numId="34" w16cid:durableId="389154231">
    <w:abstractNumId w:val="26"/>
  </w:num>
  <w:num w:numId="35" w16cid:durableId="718018082">
    <w:abstractNumId w:val="40"/>
  </w:num>
  <w:num w:numId="36" w16cid:durableId="1113791204">
    <w:abstractNumId w:val="36"/>
  </w:num>
  <w:num w:numId="37" w16cid:durableId="1778212065">
    <w:abstractNumId w:val="37"/>
  </w:num>
  <w:num w:numId="38" w16cid:durableId="675379514">
    <w:abstractNumId w:val="33"/>
  </w:num>
  <w:num w:numId="39" w16cid:durableId="744689467">
    <w:abstractNumId w:val="13"/>
  </w:num>
  <w:num w:numId="40" w16cid:durableId="2134907897">
    <w:abstractNumId w:val="34"/>
  </w:num>
  <w:num w:numId="41" w16cid:durableId="79563424">
    <w:abstractNumId w:val="45"/>
  </w:num>
  <w:num w:numId="42" w16cid:durableId="88702284">
    <w:abstractNumId w:val="23"/>
  </w:num>
  <w:num w:numId="43" w16cid:durableId="540244942">
    <w:abstractNumId w:val="20"/>
  </w:num>
  <w:num w:numId="44" w16cid:durableId="1649750102">
    <w:abstractNumId w:val="21"/>
  </w:num>
  <w:num w:numId="45" w16cid:durableId="1419057591">
    <w:abstractNumId w:val="30"/>
  </w:num>
  <w:num w:numId="46" w16cid:durableId="1449005932">
    <w:abstractNumId w:val="33"/>
  </w:num>
  <w:num w:numId="47" w16cid:durableId="1807509617">
    <w:abstractNumId w:val="33"/>
  </w:num>
  <w:num w:numId="48" w16cid:durableId="1163623521">
    <w:abstractNumId w:val="33"/>
  </w:num>
  <w:num w:numId="49" w16cid:durableId="221209512">
    <w:abstractNumId w:val="46"/>
  </w:num>
  <w:num w:numId="50" w16cid:durableId="784496576">
    <w:abstractNumId w:val="38"/>
  </w:num>
  <w:num w:numId="51" w16cid:durableId="137503939">
    <w:abstractNumId w:val="18"/>
  </w:num>
  <w:num w:numId="52" w16cid:durableId="2114546132">
    <w:abstractNumId w:val="27"/>
  </w:num>
  <w:num w:numId="53" w16cid:durableId="488257498">
    <w:abstractNumId w:val="48"/>
  </w:num>
  <w:num w:numId="54" w16cid:durableId="1887251851">
    <w:abstractNumId w:val="16"/>
  </w:num>
  <w:num w:numId="55" w16cid:durableId="66191667">
    <w:abstractNumId w:val="44"/>
  </w:num>
  <w:num w:numId="56" w16cid:durableId="259140092">
    <w:abstractNumId w:val="35"/>
  </w:num>
  <w:num w:numId="57" w16cid:durableId="1938901279">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FD8"/>
    <w:rsid w:val="00003195"/>
    <w:rsid w:val="000032C7"/>
    <w:rsid w:val="00003743"/>
    <w:rsid w:val="00003C13"/>
    <w:rsid w:val="000047B4"/>
    <w:rsid w:val="00005712"/>
    <w:rsid w:val="00007FD8"/>
    <w:rsid w:val="000117F8"/>
    <w:rsid w:val="00012D70"/>
    <w:rsid w:val="0001460F"/>
    <w:rsid w:val="00022629"/>
    <w:rsid w:val="00026139"/>
    <w:rsid w:val="00027601"/>
    <w:rsid w:val="00030B3C"/>
    <w:rsid w:val="000316F7"/>
    <w:rsid w:val="000325F3"/>
    <w:rsid w:val="00033321"/>
    <w:rsid w:val="000338E5"/>
    <w:rsid w:val="00033ECC"/>
    <w:rsid w:val="0003422F"/>
    <w:rsid w:val="0003590B"/>
    <w:rsid w:val="000363BA"/>
    <w:rsid w:val="00043693"/>
    <w:rsid w:val="00046FF0"/>
    <w:rsid w:val="00050176"/>
    <w:rsid w:val="00051BF7"/>
    <w:rsid w:val="000607B2"/>
    <w:rsid w:val="00067456"/>
    <w:rsid w:val="00071506"/>
    <w:rsid w:val="0007154F"/>
    <w:rsid w:val="000716CF"/>
    <w:rsid w:val="00073093"/>
    <w:rsid w:val="000749B8"/>
    <w:rsid w:val="000806CB"/>
    <w:rsid w:val="00081AB1"/>
    <w:rsid w:val="00086A2B"/>
    <w:rsid w:val="000871E3"/>
    <w:rsid w:val="00090316"/>
    <w:rsid w:val="00093981"/>
    <w:rsid w:val="0009506C"/>
    <w:rsid w:val="000A260F"/>
    <w:rsid w:val="000A6B6E"/>
    <w:rsid w:val="000A7A74"/>
    <w:rsid w:val="000A7B92"/>
    <w:rsid w:val="000A7BB1"/>
    <w:rsid w:val="000B067A"/>
    <w:rsid w:val="000B1540"/>
    <w:rsid w:val="000B1E53"/>
    <w:rsid w:val="000B33FD"/>
    <w:rsid w:val="000B3B2C"/>
    <w:rsid w:val="000B49CD"/>
    <w:rsid w:val="000B4ABA"/>
    <w:rsid w:val="000B57A2"/>
    <w:rsid w:val="000B7CB6"/>
    <w:rsid w:val="000C243A"/>
    <w:rsid w:val="000C4B16"/>
    <w:rsid w:val="000C50C3"/>
    <w:rsid w:val="000C5721"/>
    <w:rsid w:val="000C5E14"/>
    <w:rsid w:val="000C6859"/>
    <w:rsid w:val="000D0BCD"/>
    <w:rsid w:val="000D1A26"/>
    <w:rsid w:val="000D21F6"/>
    <w:rsid w:val="000D2B04"/>
    <w:rsid w:val="000D316B"/>
    <w:rsid w:val="000D4500"/>
    <w:rsid w:val="000D7AEA"/>
    <w:rsid w:val="000E0A39"/>
    <w:rsid w:val="000E2C66"/>
    <w:rsid w:val="000F0659"/>
    <w:rsid w:val="000F123C"/>
    <w:rsid w:val="000F2FED"/>
    <w:rsid w:val="00101D2D"/>
    <w:rsid w:val="0010616D"/>
    <w:rsid w:val="0010683D"/>
    <w:rsid w:val="00110478"/>
    <w:rsid w:val="001141B4"/>
    <w:rsid w:val="0011711B"/>
    <w:rsid w:val="00117F8A"/>
    <w:rsid w:val="00121B9B"/>
    <w:rsid w:val="00122ADC"/>
    <w:rsid w:val="001248F2"/>
    <w:rsid w:val="0013004A"/>
    <w:rsid w:val="00130F59"/>
    <w:rsid w:val="00131D20"/>
    <w:rsid w:val="00132744"/>
    <w:rsid w:val="00133EC0"/>
    <w:rsid w:val="00136520"/>
    <w:rsid w:val="00140691"/>
    <w:rsid w:val="00141CE5"/>
    <w:rsid w:val="00144908"/>
    <w:rsid w:val="00146135"/>
    <w:rsid w:val="001544B2"/>
    <w:rsid w:val="00155C7A"/>
    <w:rsid w:val="001571C7"/>
    <w:rsid w:val="00157B60"/>
    <w:rsid w:val="00161094"/>
    <w:rsid w:val="0017665C"/>
    <w:rsid w:val="00177AD2"/>
    <w:rsid w:val="001815A8"/>
    <w:rsid w:val="001829D9"/>
    <w:rsid w:val="0018338B"/>
    <w:rsid w:val="001840FA"/>
    <w:rsid w:val="00184E8B"/>
    <w:rsid w:val="00185968"/>
    <w:rsid w:val="00190079"/>
    <w:rsid w:val="00190D61"/>
    <w:rsid w:val="0019622E"/>
    <w:rsid w:val="001966A7"/>
    <w:rsid w:val="001A17F0"/>
    <w:rsid w:val="001A4627"/>
    <w:rsid w:val="001A4979"/>
    <w:rsid w:val="001A5442"/>
    <w:rsid w:val="001A54F8"/>
    <w:rsid w:val="001A5E64"/>
    <w:rsid w:val="001B15D3"/>
    <w:rsid w:val="001B3443"/>
    <w:rsid w:val="001B661D"/>
    <w:rsid w:val="001C0326"/>
    <w:rsid w:val="001C192F"/>
    <w:rsid w:val="001C3C42"/>
    <w:rsid w:val="001D0BD6"/>
    <w:rsid w:val="001D397C"/>
    <w:rsid w:val="001D7869"/>
    <w:rsid w:val="001E5D7E"/>
    <w:rsid w:val="002026CD"/>
    <w:rsid w:val="002033FC"/>
    <w:rsid w:val="002044BB"/>
    <w:rsid w:val="00206FEA"/>
    <w:rsid w:val="0021006B"/>
    <w:rsid w:val="00210B09"/>
    <w:rsid w:val="00210C9E"/>
    <w:rsid w:val="002114C7"/>
    <w:rsid w:val="00211840"/>
    <w:rsid w:val="00217583"/>
    <w:rsid w:val="00220E5F"/>
    <w:rsid w:val="002212B5"/>
    <w:rsid w:val="00226668"/>
    <w:rsid w:val="0022726A"/>
    <w:rsid w:val="002274D8"/>
    <w:rsid w:val="00227A2D"/>
    <w:rsid w:val="00233809"/>
    <w:rsid w:val="00235824"/>
    <w:rsid w:val="002374FE"/>
    <w:rsid w:val="00240046"/>
    <w:rsid w:val="00242B2A"/>
    <w:rsid w:val="00245916"/>
    <w:rsid w:val="0024797F"/>
    <w:rsid w:val="0025119E"/>
    <w:rsid w:val="00251269"/>
    <w:rsid w:val="00252D76"/>
    <w:rsid w:val="002535C0"/>
    <w:rsid w:val="002544BF"/>
    <w:rsid w:val="0025504D"/>
    <w:rsid w:val="00256596"/>
    <w:rsid w:val="002579FE"/>
    <w:rsid w:val="0026311C"/>
    <w:rsid w:val="00263C15"/>
    <w:rsid w:val="002650B4"/>
    <w:rsid w:val="0026660F"/>
    <w:rsid w:val="0026668C"/>
    <w:rsid w:val="00266AC1"/>
    <w:rsid w:val="0027178C"/>
    <w:rsid w:val="002719FA"/>
    <w:rsid w:val="00271D40"/>
    <w:rsid w:val="00272668"/>
    <w:rsid w:val="0027330B"/>
    <w:rsid w:val="002803AD"/>
    <w:rsid w:val="00282052"/>
    <w:rsid w:val="0028485E"/>
    <w:rsid w:val="0028519E"/>
    <w:rsid w:val="002856A5"/>
    <w:rsid w:val="002872ED"/>
    <w:rsid w:val="002905C2"/>
    <w:rsid w:val="002920FE"/>
    <w:rsid w:val="002938E8"/>
    <w:rsid w:val="00295481"/>
    <w:rsid w:val="00295AF2"/>
    <w:rsid w:val="00295C91"/>
    <w:rsid w:val="00297151"/>
    <w:rsid w:val="002A1DF5"/>
    <w:rsid w:val="002A2C3A"/>
    <w:rsid w:val="002A6943"/>
    <w:rsid w:val="002B016B"/>
    <w:rsid w:val="002B11B9"/>
    <w:rsid w:val="002B20E6"/>
    <w:rsid w:val="002B42A3"/>
    <w:rsid w:val="002C07C4"/>
    <w:rsid w:val="002C0CDD"/>
    <w:rsid w:val="002C31CA"/>
    <w:rsid w:val="002C38C4"/>
    <w:rsid w:val="002C69CB"/>
    <w:rsid w:val="002D2F71"/>
    <w:rsid w:val="002D5310"/>
    <w:rsid w:val="002E1A1D"/>
    <w:rsid w:val="002E4081"/>
    <w:rsid w:val="002E4497"/>
    <w:rsid w:val="002E5B78"/>
    <w:rsid w:val="002F39B7"/>
    <w:rsid w:val="002F3AE3"/>
    <w:rsid w:val="002F3CD6"/>
    <w:rsid w:val="003009D9"/>
    <w:rsid w:val="0030464B"/>
    <w:rsid w:val="003053B0"/>
    <w:rsid w:val="00305D17"/>
    <w:rsid w:val="0030786C"/>
    <w:rsid w:val="0031610D"/>
    <w:rsid w:val="0032172B"/>
    <w:rsid w:val="003233DE"/>
    <w:rsid w:val="0032466B"/>
    <w:rsid w:val="003255AB"/>
    <w:rsid w:val="00331E69"/>
    <w:rsid w:val="003330EB"/>
    <w:rsid w:val="003415FD"/>
    <w:rsid w:val="003429F0"/>
    <w:rsid w:val="00345A82"/>
    <w:rsid w:val="003469B3"/>
    <w:rsid w:val="003479B1"/>
    <w:rsid w:val="0035097A"/>
    <w:rsid w:val="00351908"/>
    <w:rsid w:val="003540A4"/>
    <w:rsid w:val="00357BCC"/>
    <w:rsid w:val="00360E4E"/>
    <w:rsid w:val="00362529"/>
    <w:rsid w:val="00370AAA"/>
    <w:rsid w:val="0037177F"/>
    <w:rsid w:val="0037383D"/>
    <w:rsid w:val="00373CEA"/>
    <w:rsid w:val="00375F77"/>
    <w:rsid w:val="00375FD4"/>
    <w:rsid w:val="00380789"/>
    <w:rsid w:val="003817BD"/>
    <w:rsid w:val="00381BBE"/>
    <w:rsid w:val="00382903"/>
    <w:rsid w:val="00383A20"/>
    <w:rsid w:val="003846FF"/>
    <w:rsid w:val="00384A02"/>
    <w:rsid w:val="00384E88"/>
    <w:rsid w:val="003857D4"/>
    <w:rsid w:val="00385AD4"/>
    <w:rsid w:val="00387924"/>
    <w:rsid w:val="00390C6E"/>
    <w:rsid w:val="00390EEC"/>
    <w:rsid w:val="00391D10"/>
    <w:rsid w:val="0039384D"/>
    <w:rsid w:val="00395C23"/>
    <w:rsid w:val="003A2E4F"/>
    <w:rsid w:val="003A4438"/>
    <w:rsid w:val="003A5013"/>
    <w:rsid w:val="003A5078"/>
    <w:rsid w:val="003A62DD"/>
    <w:rsid w:val="003A775A"/>
    <w:rsid w:val="003B213A"/>
    <w:rsid w:val="003B2506"/>
    <w:rsid w:val="003B43AD"/>
    <w:rsid w:val="003C02CB"/>
    <w:rsid w:val="003C0FEC"/>
    <w:rsid w:val="003C2AC8"/>
    <w:rsid w:val="003C738A"/>
    <w:rsid w:val="003D033A"/>
    <w:rsid w:val="003D17F9"/>
    <w:rsid w:val="003D2D88"/>
    <w:rsid w:val="003D34B6"/>
    <w:rsid w:val="003D41EA"/>
    <w:rsid w:val="003D4850"/>
    <w:rsid w:val="003D535A"/>
    <w:rsid w:val="003E0B43"/>
    <w:rsid w:val="003E3718"/>
    <w:rsid w:val="003E5265"/>
    <w:rsid w:val="003E5E0C"/>
    <w:rsid w:val="003E7880"/>
    <w:rsid w:val="003E7946"/>
    <w:rsid w:val="003E7E03"/>
    <w:rsid w:val="003F0955"/>
    <w:rsid w:val="003F5F4D"/>
    <w:rsid w:val="003F646F"/>
    <w:rsid w:val="00400F00"/>
    <w:rsid w:val="00404F8B"/>
    <w:rsid w:val="00405256"/>
    <w:rsid w:val="004057A7"/>
    <w:rsid w:val="00406350"/>
    <w:rsid w:val="00410031"/>
    <w:rsid w:val="00410CBD"/>
    <w:rsid w:val="0041149B"/>
    <w:rsid w:val="00415C81"/>
    <w:rsid w:val="00430DC7"/>
    <w:rsid w:val="00432378"/>
    <w:rsid w:val="00437FC5"/>
    <w:rsid w:val="00440411"/>
    <w:rsid w:val="00440D65"/>
    <w:rsid w:val="004435E6"/>
    <w:rsid w:val="00443608"/>
    <w:rsid w:val="00444420"/>
    <w:rsid w:val="00447E31"/>
    <w:rsid w:val="00453923"/>
    <w:rsid w:val="00454B9B"/>
    <w:rsid w:val="00457858"/>
    <w:rsid w:val="00460B0B"/>
    <w:rsid w:val="00461023"/>
    <w:rsid w:val="00462FAC"/>
    <w:rsid w:val="00463E6D"/>
    <w:rsid w:val="00464631"/>
    <w:rsid w:val="00464B79"/>
    <w:rsid w:val="00467B5E"/>
    <w:rsid w:val="00467BBF"/>
    <w:rsid w:val="00484C16"/>
    <w:rsid w:val="0048593C"/>
    <w:rsid w:val="004867E2"/>
    <w:rsid w:val="00486CE2"/>
    <w:rsid w:val="004929A9"/>
    <w:rsid w:val="004933F0"/>
    <w:rsid w:val="0049515A"/>
    <w:rsid w:val="00497CD8"/>
    <w:rsid w:val="004A7254"/>
    <w:rsid w:val="004A78D9"/>
    <w:rsid w:val="004B3EF3"/>
    <w:rsid w:val="004B5A85"/>
    <w:rsid w:val="004B76BD"/>
    <w:rsid w:val="004C162C"/>
    <w:rsid w:val="004C2706"/>
    <w:rsid w:val="004C529A"/>
    <w:rsid w:val="004C55A6"/>
    <w:rsid w:val="004C6BCF"/>
    <w:rsid w:val="004D21EB"/>
    <w:rsid w:val="004D4712"/>
    <w:rsid w:val="004D58BF"/>
    <w:rsid w:val="004E0EE9"/>
    <w:rsid w:val="004E23D6"/>
    <w:rsid w:val="004E377A"/>
    <w:rsid w:val="004E4335"/>
    <w:rsid w:val="004E621B"/>
    <w:rsid w:val="004F0B21"/>
    <w:rsid w:val="004F13EE"/>
    <w:rsid w:val="004F2022"/>
    <w:rsid w:val="004F5476"/>
    <w:rsid w:val="004F579A"/>
    <w:rsid w:val="004F7C05"/>
    <w:rsid w:val="00500C1D"/>
    <w:rsid w:val="0050185D"/>
    <w:rsid w:val="00501C94"/>
    <w:rsid w:val="00503B12"/>
    <w:rsid w:val="00506432"/>
    <w:rsid w:val="00511CD4"/>
    <w:rsid w:val="00512696"/>
    <w:rsid w:val="00514099"/>
    <w:rsid w:val="00514F80"/>
    <w:rsid w:val="005202A1"/>
    <w:rsid w:val="0052051D"/>
    <w:rsid w:val="005314E7"/>
    <w:rsid w:val="0053202F"/>
    <w:rsid w:val="00536416"/>
    <w:rsid w:val="00542046"/>
    <w:rsid w:val="005423A3"/>
    <w:rsid w:val="005443D9"/>
    <w:rsid w:val="00545EE6"/>
    <w:rsid w:val="0054768D"/>
    <w:rsid w:val="005518EC"/>
    <w:rsid w:val="00553300"/>
    <w:rsid w:val="0055474B"/>
    <w:rsid w:val="005550E7"/>
    <w:rsid w:val="005563AB"/>
    <w:rsid w:val="005564FB"/>
    <w:rsid w:val="005572C7"/>
    <w:rsid w:val="005622C2"/>
    <w:rsid w:val="005650ED"/>
    <w:rsid w:val="00567B83"/>
    <w:rsid w:val="005744EA"/>
    <w:rsid w:val="00575754"/>
    <w:rsid w:val="00581FBA"/>
    <w:rsid w:val="00584360"/>
    <w:rsid w:val="005857EF"/>
    <w:rsid w:val="00587C43"/>
    <w:rsid w:val="00590247"/>
    <w:rsid w:val="00591E20"/>
    <w:rsid w:val="00595408"/>
    <w:rsid w:val="0059564E"/>
    <w:rsid w:val="00595E84"/>
    <w:rsid w:val="00596FB1"/>
    <w:rsid w:val="00597A32"/>
    <w:rsid w:val="005A0C59"/>
    <w:rsid w:val="005A1BBC"/>
    <w:rsid w:val="005A43D4"/>
    <w:rsid w:val="005A48EB"/>
    <w:rsid w:val="005A6CFB"/>
    <w:rsid w:val="005B507E"/>
    <w:rsid w:val="005B54CC"/>
    <w:rsid w:val="005B6A57"/>
    <w:rsid w:val="005C18F9"/>
    <w:rsid w:val="005C1F2B"/>
    <w:rsid w:val="005C23FC"/>
    <w:rsid w:val="005C33A4"/>
    <w:rsid w:val="005C55A8"/>
    <w:rsid w:val="005C5AEB"/>
    <w:rsid w:val="005D0055"/>
    <w:rsid w:val="005D0E5C"/>
    <w:rsid w:val="005D253A"/>
    <w:rsid w:val="005D2CC0"/>
    <w:rsid w:val="005D3B7D"/>
    <w:rsid w:val="005D650E"/>
    <w:rsid w:val="005E0A3F"/>
    <w:rsid w:val="005E37A3"/>
    <w:rsid w:val="005E6883"/>
    <w:rsid w:val="005E772F"/>
    <w:rsid w:val="005F4ECA"/>
    <w:rsid w:val="005F7477"/>
    <w:rsid w:val="006036A3"/>
    <w:rsid w:val="006041BE"/>
    <w:rsid w:val="006043C7"/>
    <w:rsid w:val="00607054"/>
    <w:rsid w:val="00607F5F"/>
    <w:rsid w:val="00610F8E"/>
    <w:rsid w:val="00612C16"/>
    <w:rsid w:val="00617827"/>
    <w:rsid w:val="00624B52"/>
    <w:rsid w:val="00624C2A"/>
    <w:rsid w:val="00625BD8"/>
    <w:rsid w:val="00626CE8"/>
    <w:rsid w:val="00627E56"/>
    <w:rsid w:val="00630794"/>
    <w:rsid w:val="00631DF4"/>
    <w:rsid w:val="00634175"/>
    <w:rsid w:val="006408AC"/>
    <w:rsid w:val="00647539"/>
    <w:rsid w:val="00650D96"/>
    <w:rsid w:val="006511B6"/>
    <w:rsid w:val="00653D3A"/>
    <w:rsid w:val="006559AF"/>
    <w:rsid w:val="00657FF8"/>
    <w:rsid w:val="00661DE1"/>
    <w:rsid w:val="00662057"/>
    <w:rsid w:val="00664BFD"/>
    <w:rsid w:val="00670C28"/>
    <w:rsid w:val="00670D99"/>
    <w:rsid w:val="00670E2B"/>
    <w:rsid w:val="006724E9"/>
    <w:rsid w:val="006734BB"/>
    <w:rsid w:val="006736D9"/>
    <w:rsid w:val="00674FD9"/>
    <w:rsid w:val="0067697A"/>
    <w:rsid w:val="00676CD4"/>
    <w:rsid w:val="00677B29"/>
    <w:rsid w:val="00677F66"/>
    <w:rsid w:val="0068134A"/>
    <w:rsid w:val="006821EB"/>
    <w:rsid w:val="006821EC"/>
    <w:rsid w:val="006873C0"/>
    <w:rsid w:val="006916BE"/>
    <w:rsid w:val="00692F10"/>
    <w:rsid w:val="006A136D"/>
    <w:rsid w:val="006A2C64"/>
    <w:rsid w:val="006B1044"/>
    <w:rsid w:val="006B1E21"/>
    <w:rsid w:val="006B2286"/>
    <w:rsid w:val="006B3DA7"/>
    <w:rsid w:val="006B4821"/>
    <w:rsid w:val="006B56BB"/>
    <w:rsid w:val="006B7C1B"/>
    <w:rsid w:val="006C179C"/>
    <w:rsid w:val="006C4DF3"/>
    <w:rsid w:val="006C77A8"/>
    <w:rsid w:val="006D046B"/>
    <w:rsid w:val="006D05D3"/>
    <w:rsid w:val="006D2051"/>
    <w:rsid w:val="006D3DB8"/>
    <w:rsid w:val="006D4098"/>
    <w:rsid w:val="006D5FD8"/>
    <w:rsid w:val="006D7681"/>
    <w:rsid w:val="006D7B2E"/>
    <w:rsid w:val="006E02EA"/>
    <w:rsid w:val="006E0968"/>
    <w:rsid w:val="006E26ED"/>
    <w:rsid w:val="006E2AF6"/>
    <w:rsid w:val="006E4659"/>
    <w:rsid w:val="006E4AB5"/>
    <w:rsid w:val="006E5E8F"/>
    <w:rsid w:val="006E71CE"/>
    <w:rsid w:val="006E77D9"/>
    <w:rsid w:val="006F076A"/>
    <w:rsid w:val="006F32CE"/>
    <w:rsid w:val="006F7697"/>
    <w:rsid w:val="00701275"/>
    <w:rsid w:val="00704F8A"/>
    <w:rsid w:val="00707F56"/>
    <w:rsid w:val="00713558"/>
    <w:rsid w:val="00720D08"/>
    <w:rsid w:val="00722450"/>
    <w:rsid w:val="0072283E"/>
    <w:rsid w:val="007263B9"/>
    <w:rsid w:val="00730E51"/>
    <w:rsid w:val="00731DE4"/>
    <w:rsid w:val="007334F8"/>
    <w:rsid w:val="007339CD"/>
    <w:rsid w:val="00735074"/>
    <w:rsid w:val="007359D8"/>
    <w:rsid w:val="007362D4"/>
    <w:rsid w:val="007375FA"/>
    <w:rsid w:val="00741A57"/>
    <w:rsid w:val="007448E0"/>
    <w:rsid w:val="00744A7A"/>
    <w:rsid w:val="00746DEC"/>
    <w:rsid w:val="007536A6"/>
    <w:rsid w:val="00760783"/>
    <w:rsid w:val="0076084C"/>
    <w:rsid w:val="00762699"/>
    <w:rsid w:val="00762CFF"/>
    <w:rsid w:val="0076672A"/>
    <w:rsid w:val="0077404F"/>
    <w:rsid w:val="00775E45"/>
    <w:rsid w:val="007764FE"/>
    <w:rsid w:val="00776E74"/>
    <w:rsid w:val="00785169"/>
    <w:rsid w:val="0078551E"/>
    <w:rsid w:val="00790CB8"/>
    <w:rsid w:val="007954AB"/>
    <w:rsid w:val="00797883"/>
    <w:rsid w:val="007A14C5"/>
    <w:rsid w:val="007A2837"/>
    <w:rsid w:val="007A4A10"/>
    <w:rsid w:val="007A6205"/>
    <w:rsid w:val="007B1760"/>
    <w:rsid w:val="007B2A4E"/>
    <w:rsid w:val="007B43B5"/>
    <w:rsid w:val="007B48C5"/>
    <w:rsid w:val="007B4E37"/>
    <w:rsid w:val="007C1FDC"/>
    <w:rsid w:val="007C59DB"/>
    <w:rsid w:val="007C6D9C"/>
    <w:rsid w:val="007C7DDB"/>
    <w:rsid w:val="007D050E"/>
    <w:rsid w:val="007D2CC7"/>
    <w:rsid w:val="007D6442"/>
    <w:rsid w:val="007D673D"/>
    <w:rsid w:val="007E1E47"/>
    <w:rsid w:val="007E4D09"/>
    <w:rsid w:val="007E78E7"/>
    <w:rsid w:val="007F2220"/>
    <w:rsid w:val="007F2F2E"/>
    <w:rsid w:val="007F430B"/>
    <w:rsid w:val="007F4B3E"/>
    <w:rsid w:val="008003B6"/>
    <w:rsid w:val="008046A4"/>
    <w:rsid w:val="0080560B"/>
    <w:rsid w:val="008127AF"/>
    <w:rsid w:val="00812B46"/>
    <w:rsid w:val="00815700"/>
    <w:rsid w:val="00815E69"/>
    <w:rsid w:val="00817F48"/>
    <w:rsid w:val="00822E2D"/>
    <w:rsid w:val="008251AA"/>
    <w:rsid w:val="008264EB"/>
    <w:rsid w:val="00826B8F"/>
    <w:rsid w:val="00827445"/>
    <w:rsid w:val="0083107F"/>
    <w:rsid w:val="008316DD"/>
    <w:rsid w:val="00831E8A"/>
    <w:rsid w:val="00832F52"/>
    <w:rsid w:val="00835C76"/>
    <w:rsid w:val="008376E2"/>
    <w:rsid w:val="00842A9F"/>
    <w:rsid w:val="00843049"/>
    <w:rsid w:val="00847DFD"/>
    <w:rsid w:val="00850D7C"/>
    <w:rsid w:val="0085209B"/>
    <w:rsid w:val="00856ADD"/>
    <w:rsid w:val="00856B66"/>
    <w:rsid w:val="008601AC"/>
    <w:rsid w:val="00861A5F"/>
    <w:rsid w:val="008644AD"/>
    <w:rsid w:val="00864717"/>
    <w:rsid w:val="00865735"/>
    <w:rsid w:val="00865DDB"/>
    <w:rsid w:val="00867538"/>
    <w:rsid w:val="00873D90"/>
    <w:rsid w:val="00873FC8"/>
    <w:rsid w:val="00875734"/>
    <w:rsid w:val="008808DA"/>
    <w:rsid w:val="00881902"/>
    <w:rsid w:val="00884C63"/>
    <w:rsid w:val="00885908"/>
    <w:rsid w:val="0088631D"/>
    <w:rsid w:val="008864B7"/>
    <w:rsid w:val="0089677E"/>
    <w:rsid w:val="008A3CF0"/>
    <w:rsid w:val="008A468D"/>
    <w:rsid w:val="008A7438"/>
    <w:rsid w:val="008B1285"/>
    <w:rsid w:val="008B1334"/>
    <w:rsid w:val="008B1BFD"/>
    <w:rsid w:val="008B25C7"/>
    <w:rsid w:val="008C0278"/>
    <w:rsid w:val="008C0611"/>
    <w:rsid w:val="008C21EC"/>
    <w:rsid w:val="008C2338"/>
    <w:rsid w:val="008C24E9"/>
    <w:rsid w:val="008C4D57"/>
    <w:rsid w:val="008D0533"/>
    <w:rsid w:val="008D1456"/>
    <w:rsid w:val="008D3EFC"/>
    <w:rsid w:val="008D41D1"/>
    <w:rsid w:val="008D42CB"/>
    <w:rsid w:val="008D48C9"/>
    <w:rsid w:val="008D60C9"/>
    <w:rsid w:val="008D6381"/>
    <w:rsid w:val="008D7017"/>
    <w:rsid w:val="008E0C77"/>
    <w:rsid w:val="008E15B0"/>
    <w:rsid w:val="008E1AC1"/>
    <w:rsid w:val="008E3742"/>
    <w:rsid w:val="008E625F"/>
    <w:rsid w:val="008F264D"/>
    <w:rsid w:val="00903346"/>
    <w:rsid w:val="009040E9"/>
    <w:rsid w:val="00905800"/>
    <w:rsid w:val="00906E5A"/>
    <w:rsid w:val="009074E1"/>
    <w:rsid w:val="00907551"/>
    <w:rsid w:val="009112F7"/>
    <w:rsid w:val="009122AF"/>
    <w:rsid w:val="00912D54"/>
    <w:rsid w:val="0091389F"/>
    <w:rsid w:val="00915402"/>
    <w:rsid w:val="0092008C"/>
    <w:rsid w:val="009208F7"/>
    <w:rsid w:val="0092095E"/>
    <w:rsid w:val="00920D33"/>
    <w:rsid w:val="00921649"/>
    <w:rsid w:val="00922517"/>
    <w:rsid w:val="00922722"/>
    <w:rsid w:val="0092473E"/>
    <w:rsid w:val="009261E6"/>
    <w:rsid w:val="009268E1"/>
    <w:rsid w:val="0093111C"/>
    <w:rsid w:val="009344DE"/>
    <w:rsid w:val="009446ED"/>
    <w:rsid w:val="00945E7F"/>
    <w:rsid w:val="00946E04"/>
    <w:rsid w:val="00947AC5"/>
    <w:rsid w:val="00952020"/>
    <w:rsid w:val="009557C1"/>
    <w:rsid w:val="0095683C"/>
    <w:rsid w:val="00960D6E"/>
    <w:rsid w:val="00966DCA"/>
    <w:rsid w:val="009679A1"/>
    <w:rsid w:val="00967C5C"/>
    <w:rsid w:val="00971D39"/>
    <w:rsid w:val="009724AB"/>
    <w:rsid w:val="00974B59"/>
    <w:rsid w:val="0098122D"/>
    <w:rsid w:val="009813E8"/>
    <w:rsid w:val="0098340B"/>
    <w:rsid w:val="009840A0"/>
    <w:rsid w:val="00984947"/>
    <w:rsid w:val="00984C11"/>
    <w:rsid w:val="0098588C"/>
    <w:rsid w:val="009860CC"/>
    <w:rsid w:val="00986830"/>
    <w:rsid w:val="009924C3"/>
    <w:rsid w:val="00993102"/>
    <w:rsid w:val="00996463"/>
    <w:rsid w:val="009A0E19"/>
    <w:rsid w:val="009A7641"/>
    <w:rsid w:val="009B10B7"/>
    <w:rsid w:val="009B1570"/>
    <w:rsid w:val="009B4B4D"/>
    <w:rsid w:val="009C3DE7"/>
    <w:rsid w:val="009C6F10"/>
    <w:rsid w:val="009D0F14"/>
    <w:rsid w:val="009D148F"/>
    <w:rsid w:val="009D3D70"/>
    <w:rsid w:val="009E3784"/>
    <w:rsid w:val="009E45FF"/>
    <w:rsid w:val="009E6057"/>
    <w:rsid w:val="009E6F7E"/>
    <w:rsid w:val="009E7A57"/>
    <w:rsid w:val="009F4803"/>
    <w:rsid w:val="009F4F6A"/>
    <w:rsid w:val="009F71E2"/>
    <w:rsid w:val="00A00989"/>
    <w:rsid w:val="00A13EB5"/>
    <w:rsid w:val="00A1675E"/>
    <w:rsid w:val="00A16E36"/>
    <w:rsid w:val="00A2027E"/>
    <w:rsid w:val="00A2201B"/>
    <w:rsid w:val="00A22B92"/>
    <w:rsid w:val="00A24961"/>
    <w:rsid w:val="00A24B10"/>
    <w:rsid w:val="00A277EF"/>
    <w:rsid w:val="00A304BE"/>
    <w:rsid w:val="00A30E9B"/>
    <w:rsid w:val="00A331FB"/>
    <w:rsid w:val="00A343C7"/>
    <w:rsid w:val="00A42018"/>
    <w:rsid w:val="00A42E7B"/>
    <w:rsid w:val="00A43763"/>
    <w:rsid w:val="00A4512D"/>
    <w:rsid w:val="00A50244"/>
    <w:rsid w:val="00A551F4"/>
    <w:rsid w:val="00A61539"/>
    <w:rsid w:val="00A627D7"/>
    <w:rsid w:val="00A656C7"/>
    <w:rsid w:val="00A705AF"/>
    <w:rsid w:val="00A71383"/>
    <w:rsid w:val="00A72454"/>
    <w:rsid w:val="00A74C69"/>
    <w:rsid w:val="00A77696"/>
    <w:rsid w:val="00A80557"/>
    <w:rsid w:val="00A81D33"/>
    <w:rsid w:val="00A8341C"/>
    <w:rsid w:val="00A85E24"/>
    <w:rsid w:val="00A930AE"/>
    <w:rsid w:val="00A9524C"/>
    <w:rsid w:val="00AA1A95"/>
    <w:rsid w:val="00AA260F"/>
    <w:rsid w:val="00AA6503"/>
    <w:rsid w:val="00AA6A01"/>
    <w:rsid w:val="00AB1EE7"/>
    <w:rsid w:val="00AB4B37"/>
    <w:rsid w:val="00AB5762"/>
    <w:rsid w:val="00AC24B7"/>
    <w:rsid w:val="00AC2679"/>
    <w:rsid w:val="00AC3919"/>
    <w:rsid w:val="00AC4BE4"/>
    <w:rsid w:val="00AC6B69"/>
    <w:rsid w:val="00AC6DC6"/>
    <w:rsid w:val="00AD05E6"/>
    <w:rsid w:val="00AD0D3F"/>
    <w:rsid w:val="00AD2599"/>
    <w:rsid w:val="00AD48B1"/>
    <w:rsid w:val="00AE1D7D"/>
    <w:rsid w:val="00AE2A8B"/>
    <w:rsid w:val="00AE3F64"/>
    <w:rsid w:val="00AE6CB7"/>
    <w:rsid w:val="00AF0368"/>
    <w:rsid w:val="00AF4D2E"/>
    <w:rsid w:val="00AF7386"/>
    <w:rsid w:val="00AF7934"/>
    <w:rsid w:val="00B00B81"/>
    <w:rsid w:val="00B00EFE"/>
    <w:rsid w:val="00B02E11"/>
    <w:rsid w:val="00B04580"/>
    <w:rsid w:val="00B04B09"/>
    <w:rsid w:val="00B07E67"/>
    <w:rsid w:val="00B10A46"/>
    <w:rsid w:val="00B160C4"/>
    <w:rsid w:val="00B16A51"/>
    <w:rsid w:val="00B22D72"/>
    <w:rsid w:val="00B23395"/>
    <w:rsid w:val="00B25823"/>
    <w:rsid w:val="00B2602E"/>
    <w:rsid w:val="00B26D95"/>
    <w:rsid w:val="00B30386"/>
    <w:rsid w:val="00B32222"/>
    <w:rsid w:val="00B356DA"/>
    <w:rsid w:val="00B35A8D"/>
    <w:rsid w:val="00B3618D"/>
    <w:rsid w:val="00B36233"/>
    <w:rsid w:val="00B4211B"/>
    <w:rsid w:val="00B42548"/>
    <w:rsid w:val="00B42851"/>
    <w:rsid w:val="00B45AC7"/>
    <w:rsid w:val="00B5372F"/>
    <w:rsid w:val="00B54577"/>
    <w:rsid w:val="00B5647F"/>
    <w:rsid w:val="00B61129"/>
    <w:rsid w:val="00B628DA"/>
    <w:rsid w:val="00B67E7F"/>
    <w:rsid w:val="00B71079"/>
    <w:rsid w:val="00B7158F"/>
    <w:rsid w:val="00B74224"/>
    <w:rsid w:val="00B839B2"/>
    <w:rsid w:val="00B86F08"/>
    <w:rsid w:val="00B94252"/>
    <w:rsid w:val="00B95C9B"/>
    <w:rsid w:val="00B9715A"/>
    <w:rsid w:val="00BA14BE"/>
    <w:rsid w:val="00BA2732"/>
    <w:rsid w:val="00BA293D"/>
    <w:rsid w:val="00BA4216"/>
    <w:rsid w:val="00BA49BC"/>
    <w:rsid w:val="00BA56B7"/>
    <w:rsid w:val="00BA6161"/>
    <w:rsid w:val="00BA7A1E"/>
    <w:rsid w:val="00BB2F6C"/>
    <w:rsid w:val="00BB3875"/>
    <w:rsid w:val="00BB5860"/>
    <w:rsid w:val="00BB6AAD"/>
    <w:rsid w:val="00BB7579"/>
    <w:rsid w:val="00BC16A8"/>
    <w:rsid w:val="00BC26DB"/>
    <w:rsid w:val="00BC4A19"/>
    <w:rsid w:val="00BC4E6D"/>
    <w:rsid w:val="00BC5A62"/>
    <w:rsid w:val="00BC60A9"/>
    <w:rsid w:val="00BD0617"/>
    <w:rsid w:val="00BD2E9B"/>
    <w:rsid w:val="00BD7929"/>
    <w:rsid w:val="00BD7FB2"/>
    <w:rsid w:val="00BE0B98"/>
    <w:rsid w:val="00BE5A23"/>
    <w:rsid w:val="00BF2CE3"/>
    <w:rsid w:val="00C00930"/>
    <w:rsid w:val="00C02701"/>
    <w:rsid w:val="00C060AD"/>
    <w:rsid w:val="00C113BF"/>
    <w:rsid w:val="00C13224"/>
    <w:rsid w:val="00C15CFD"/>
    <w:rsid w:val="00C2176E"/>
    <w:rsid w:val="00C23430"/>
    <w:rsid w:val="00C246D0"/>
    <w:rsid w:val="00C27D67"/>
    <w:rsid w:val="00C363E0"/>
    <w:rsid w:val="00C41A50"/>
    <w:rsid w:val="00C4631F"/>
    <w:rsid w:val="00C47CDE"/>
    <w:rsid w:val="00C47D6A"/>
    <w:rsid w:val="00C47FD1"/>
    <w:rsid w:val="00C50E16"/>
    <w:rsid w:val="00C50E9A"/>
    <w:rsid w:val="00C55258"/>
    <w:rsid w:val="00C606DF"/>
    <w:rsid w:val="00C64768"/>
    <w:rsid w:val="00C77767"/>
    <w:rsid w:val="00C82EEB"/>
    <w:rsid w:val="00C93F4C"/>
    <w:rsid w:val="00C971DC"/>
    <w:rsid w:val="00C979CC"/>
    <w:rsid w:val="00CA16B7"/>
    <w:rsid w:val="00CA556A"/>
    <w:rsid w:val="00CA62AE"/>
    <w:rsid w:val="00CB1AA2"/>
    <w:rsid w:val="00CB489F"/>
    <w:rsid w:val="00CB5B1A"/>
    <w:rsid w:val="00CC1C36"/>
    <w:rsid w:val="00CC220B"/>
    <w:rsid w:val="00CC5C43"/>
    <w:rsid w:val="00CD02AE"/>
    <w:rsid w:val="00CD2A4F"/>
    <w:rsid w:val="00CD7233"/>
    <w:rsid w:val="00CE03CA"/>
    <w:rsid w:val="00CE22F1"/>
    <w:rsid w:val="00CE4478"/>
    <w:rsid w:val="00CE50F2"/>
    <w:rsid w:val="00CE6502"/>
    <w:rsid w:val="00CF0D8F"/>
    <w:rsid w:val="00CF12A5"/>
    <w:rsid w:val="00CF2331"/>
    <w:rsid w:val="00CF7D3C"/>
    <w:rsid w:val="00D01F09"/>
    <w:rsid w:val="00D056B0"/>
    <w:rsid w:val="00D072CC"/>
    <w:rsid w:val="00D128A2"/>
    <w:rsid w:val="00D14316"/>
    <w:rsid w:val="00D147EB"/>
    <w:rsid w:val="00D328A2"/>
    <w:rsid w:val="00D3317A"/>
    <w:rsid w:val="00D33229"/>
    <w:rsid w:val="00D34667"/>
    <w:rsid w:val="00D401E1"/>
    <w:rsid w:val="00D408B4"/>
    <w:rsid w:val="00D450F4"/>
    <w:rsid w:val="00D516C7"/>
    <w:rsid w:val="00D5193C"/>
    <w:rsid w:val="00D524C8"/>
    <w:rsid w:val="00D54AA1"/>
    <w:rsid w:val="00D5592D"/>
    <w:rsid w:val="00D6077C"/>
    <w:rsid w:val="00D70E24"/>
    <w:rsid w:val="00D72B61"/>
    <w:rsid w:val="00D72E48"/>
    <w:rsid w:val="00D73225"/>
    <w:rsid w:val="00D75D4C"/>
    <w:rsid w:val="00D7615D"/>
    <w:rsid w:val="00D82F41"/>
    <w:rsid w:val="00D83C23"/>
    <w:rsid w:val="00DA01C5"/>
    <w:rsid w:val="00DA3D1D"/>
    <w:rsid w:val="00DB1906"/>
    <w:rsid w:val="00DB3890"/>
    <w:rsid w:val="00DB6286"/>
    <w:rsid w:val="00DB645F"/>
    <w:rsid w:val="00DB70BE"/>
    <w:rsid w:val="00DB769E"/>
    <w:rsid w:val="00DB76E9"/>
    <w:rsid w:val="00DC01D1"/>
    <w:rsid w:val="00DC0A67"/>
    <w:rsid w:val="00DC1D5E"/>
    <w:rsid w:val="00DC1EB8"/>
    <w:rsid w:val="00DC5220"/>
    <w:rsid w:val="00DD2061"/>
    <w:rsid w:val="00DD7DAB"/>
    <w:rsid w:val="00DE324F"/>
    <w:rsid w:val="00DE3275"/>
    <w:rsid w:val="00DE3355"/>
    <w:rsid w:val="00DE6AD6"/>
    <w:rsid w:val="00DF0C60"/>
    <w:rsid w:val="00DF1A3F"/>
    <w:rsid w:val="00DF486F"/>
    <w:rsid w:val="00DF5003"/>
    <w:rsid w:val="00DF5B5B"/>
    <w:rsid w:val="00DF7619"/>
    <w:rsid w:val="00DF7813"/>
    <w:rsid w:val="00E00989"/>
    <w:rsid w:val="00E00E37"/>
    <w:rsid w:val="00E0405E"/>
    <w:rsid w:val="00E042D8"/>
    <w:rsid w:val="00E07EE7"/>
    <w:rsid w:val="00E106E3"/>
    <w:rsid w:val="00E1103B"/>
    <w:rsid w:val="00E13C4A"/>
    <w:rsid w:val="00E16E02"/>
    <w:rsid w:val="00E17B44"/>
    <w:rsid w:val="00E20F27"/>
    <w:rsid w:val="00E22443"/>
    <w:rsid w:val="00E25892"/>
    <w:rsid w:val="00E277BC"/>
    <w:rsid w:val="00E2785A"/>
    <w:rsid w:val="00E27FEA"/>
    <w:rsid w:val="00E315CF"/>
    <w:rsid w:val="00E32D21"/>
    <w:rsid w:val="00E4063B"/>
    <w:rsid w:val="00E4086F"/>
    <w:rsid w:val="00E41B6A"/>
    <w:rsid w:val="00E4237B"/>
    <w:rsid w:val="00E42F99"/>
    <w:rsid w:val="00E43B3C"/>
    <w:rsid w:val="00E45349"/>
    <w:rsid w:val="00E50188"/>
    <w:rsid w:val="00E50BB3"/>
    <w:rsid w:val="00E50FC1"/>
    <w:rsid w:val="00E515CB"/>
    <w:rsid w:val="00E52260"/>
    <w:rsid w:val="00E52D20"/>
    <w:rsid w:val="00E54FE8"/>
    <w:rsid w:val="00E6008F"/>
    <w:rsid w:val="00E60CF1"/>
    <w:rsid w:val="00E62CE6"/>
    <w:rsid w:val="00E639B6"/>
    <w:rsid w:val="00E6434B"/>
    <w:rsid w:val="00E643B4"/>
    <w:rsid w:val="00E6463D"/>
    <w:rsid w:val="00E6740A"/>
    <w:rsid w:val="00E67C4F"/>
    <w:rsid w:val="00E71EFB"/>
    <w:rsid w:val="00E72E9B"/>
    <w:rsid w:val="00E73A1B"/>
    <w:rsid w:val="00E774D3"/>
    <w:rsid w:val="00E84383"/>
    <w:rsid w:val="00E850C3"/>
    <w:rsid w:val="00E87BB5"/>
    <w:rsid w:val="00E87DF2"/>
    <w:rsid w:val="00E92D71"/>
    <w:rsid w:val="00E9462E"/>
    <w:rsid w:val="00E96198"/>
    <w:rsid w:val="00EA1071"/>
    <w:rsid w:val="00EA2F9A"/>
    <w:rsid w:val="00EA470E"/>
    <w:rsid w:val="00EA47A7"/>
    <w:rsid w:val="00EA57EB"/>
    <w:rsid w:val="00EB1E7C"/>
    <w:rsid w:val="00EB3226"/>
    <w:rsid w:val="00EC1382"/>
    <w:rsid w:val="00EC213A"/>
    <w:rsid w:val="00EC7744"/>
    <w:rsid w:val="00ED0D3D"/>
    <w:rsid w:val="00ED0DAD"/>
    <w:rsid w:val="00ED0F46"/>
    <w:rsid w:val="00ED174D"/>
    <w:rsid w:val="00ED2373"/>
    <w:rsid w:val="00ED5CBC"/>
    <w:rsid w:val="00ED66B2"/>
    <w:rsid w:val="00EE3E8A"/>
    <w:rsid w:val="00EE512F"/>
    <w:rsid w:val="00EF15FC"/>
    <w:rsid w:val="00EF2429"/>
    <w:rsid w:val="00EF58B8"/>
    <w:rsid w:val="00EF6DAB"/>
    <w:rsid w:val="00EF6ECA"/>
    <w:rsid w:val="00EF77C7"/>
    <w:rsid w:val="00EF7CF5"/>
    <w:rsid w:val="00F01A40"/>
    <w:rsid w:val="00F024E1"/>
    <w:rsid w:val="00F06C10"/>
    <w:rsid w:val="00F1096F"/>
    <w:rsid w:val="00F11F67"/>
    <w:rsid w:val="00F12589"/>
    <w:rsid w:val="00F12595"/>
    <w:rsid w:val="00F134D9"/>
    <w:rsid w:val="00F1403D"/>
    <w:rsid w:val="00F1463F"/>
    <w:rsid w:val="00F20303"/>
    <w:rsid w:val="00F210BD"/>
    <w:rsid w:val="00F21302"/>
    <w:rsid w:val="00F219F9"/>
    <w:rsid w:val="00F24A7A"/>
    <w:rsid w:val="00F24E6A"/>
    <w:rsid w:val="00F2544C"/>
    <w:rsid w:val="00F321DE"/>
    <w:rsid w:val="00F33327"/>
    <w:rsid w:val="00F33777"/>
    <w:rsid w:val="00F33F21"/>
    <w:rsid w:val="00F35D98"/>
    <w:rsid w:val="00F40648"/>
    <w:rsid w:val="00F40784"/>
    <w:rsid w:val="00F450A9"/>
    <w:rsid w:val="00F47DA2"/>
    <w:rsid w:val="00F516F8"/>
    <w:rsid w:val="00F519FC"/>
    <w:rsid w:val="00F6193F"/>
    <w:rsid w:val="00F6239D"/>
    <w:rsid w:val="00F624C3"/>
    <w:rsid w:val="00F64650"/>
    <w:rsid w:val="00F671E0"/>
    <w:rsid w:val="00F70FD3"/>
    <w:rsid w:val="00F715D2"/>
    <w:rsid w:val="00F71A8C"/>
    <w:rsid w:val="00F72573"/>
    <w:rsid w:val="00F7274F"/>
    <w:rsid w:val="00F74E84"/>
    <w:rsid w:val="00F7587C"/>
    <w:rsid w:val="00F76FA8"/>
    <w:rsid w:val="00F77BA0"/>
    <w:rsid w:val="00F87538"/>
    <w:rsid w:val="00F91068"/>
    <w:rsid w:val="00F9354A"/>
    <w:rsid w:val="00F93F08"/>
    <w:rsid w:val="00F948F3"/>
    <w:rsid w:val="00F94CED"/>
    <w:rsid w:val="00F97403"/>
    <w:rsid w:val="00FA02BB"/>
    <w:rsid w:val="00FA2CEE"/>
    <w:rsid w:val="00FA2F97"/>
    <w:rsid w:val="00FA318C"/>
    <w:rsid w:val="00FA529C"/>
    <w:rsid w:val="00FA7F95"/>
    <w:rsid w:val="00FB1F1A"/>
    <w:rsid w:val="00FB6127"/>
    <w:rsid w:val="00FB6BA0"/>
    <w:rsid w:val="00FB6F92"/>
    <w:rsid w:val="00FB7859"/>
    <w:rsid w:val="00FC026E"/>
    <w:rsid w:val="00FC5124"/>
    <w:rsid w:val="00FD3EE4"/>
    <w:rsid w:val="00FD4731"/>
    <w:rsid w:val="00FD6768"/>
    <w:rsid w:val="00FD6FC2"/>
    <w:rsid w:val="00FD7A36"/>
    <w:rsid w:val="00FF0AB0"/>
    <w:rsid w:val="00FF26F4"/>
    <w:rsid w:val="00FF28AC"/>
    <w:rsid w:val="00FF47BF"/>
    <w:rsid w:val="00FF5B83"/>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1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7A74"/>
    <w:pPr>
      <w:spacing w:before="120" w:after="120"/>
    </w:pPr>
    <w:rPr>
      <w:rFonts w:ascii="Arial" w:hAnsi="Arial"/>
      <w:sz w:val="22"/>
      <w:szCs w:val="24"/>
      <w:lang w:eastAsia="en-US"/>
    </w:rPr>
  </w:style>
  <w:style w:type="paragraph" w:styleId="Heading1">
    <w:name w:val="heading 1"/>
    <w:basedOn w:val="Normal"/>
    <w:next w:val="Normal"/>
    <w:qFormat/>
    <w:rsid w:val="000A7A74"/>
    <w:pPr>
      <w:keepNext/>
      <w:outlineLvl w:val="0"/>
    </w:pPr>
    <w:rPr>
      <w:rFonts w:cs="Arial"/>
      <w:bCs/>
      <w:color w:val="358189" w:themeColor="accent2"/>
      <w:kern w:val="28"/>
      <w:sz w:val="36"/>
      <w:szCs w:val="36"/>
    </w:rPr>
  </w:style>
  <w:style w:type="paragraph" w:styleId="Heading2">
    <w:name w:val="heading 2"/>
    <w:basedOn w:val="Heading1"/>
    <w:next w:val="Normal"/>
    <w:qFormat/>
    <w:rsid w:val="000A7A74"/>
    <w:pPr>
      <w:outlineLvl w:val="1"/>
    </w:pPr>
    <w:rPr>
      <w:bCs w:val="0"/>
      <w:iCs/>
      <w:color w:val="3F4A75" w:themeColor="text2"/>
      <w:sz w:val="28"/>
      <w:szCs w:val="28"/>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0A7A74"/>
    <w:pPr>
      <w:numPr>
        <w:numId w:val="23"/>
      </w:numPr>
      <w:spacing w:before="0" w:after="0"/>
      <w:ind w:left="357" w:hanging="357"/>
      <w:contextualSpacing/>
    </w:pPr>
    <w:rPr>
      <w:color w:val="000000" w:themeColor="text1"/>
    </w:rPr>
  </w:style>
  <w:style w:type="paragraph" w:styleId="ListParagraph">
    <w:name w:val="List Paragraph"/>
    <w:basedOn w:val="Normal"/>
    <w:uiPriority w:val="34"/>
    <w:qFormat/>
    <w:rsid w:val="0098122D"/>
    <w:pPr>
      <w:numPr>
        <w:numId w:val="38"/>
      </w:numPr>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styleId="Revision">
    <w:name w:val="Revision"/>
    <w:hidden/>
    <w:uiPriority w:val="99"/>
    <w:semiHidden/>
    <w:rsid w:val="00741A57"/>
    <w:rPr>
      <w:rFonts w:ascii="Arial" w:hAnsi="Arial"/>
      <w:sz w:val="22"/>
      <w:szCs w:val="24"/>
      <w:lang w:eastAsia="en-US"/>
    </w:rPr>
  </w:style>
  <w:style w:type="character" w:customStyle="1" w:styleId="UnresolvedMention1">
    <w:name w:val="Unresolved Mention1"/>
    <w:basedOn w:val="DefaultParagraphFont"/>
    <w:uiPriority w:val="99"/>
    <w:semiHidden/>
    <w:unhideWhenUsed/>
    <w:rsid w:val="002A2C3A"/>
    <w:rPr>
      <w:color w:val="605E5C"/>
      <w:shd w:val="clear" w:color="auto" w:fill="E1DFDD"/>
    </w:rPr>
  </w:style>
  <w:style w:type="character" w:customStyle="1" w:styleId="UnresolvedMention2">
    <w:name w:val="Unresolved Mention2"/>
    <w:basedOn w:val="DefaultParagraphFont"/>
    <w:uiPriority w:val="99"/>
    <w:semiHidden/>
    <w:unhideWhenUsed/>
    <w:rsid w:val="00A304BE"/>
    <w:rPr>
      <w:color w:val="605E5C"/>
      <w:shd w:val="clear" w:color="auto" w:fill="E1DFDD"/>
    </w:rPr>
  </w:style>
  <w:style w:type="character" w:styleId="FollowedHyperlink">
    <w:name w:val="FollowedHyperlink"/>
    <w:basedOn w:val="DefaultParagraphFont"/>
    <w:semiHidden/>
    <w:unhideWhenUsed/>
    <w:rsid w:val="00073093"/>
    <w:rPr>
      <w:color w:val="800080" w:themeColor="followedHyperlink"/>
      <w:u w:val="single"/>
    </w:rPr>
  </w:style>
  <w:style w:type="character" w:customStyle="1" w:styleId="UnresolvedMention3">
    <w:name w:val="Unresolved Mention3"/>
    <w:basedOn w:val="DefaultParagraphFont"/>
    <w:uiPriority w:val="99"/>
    <w:semiHidden/>
    <w:unhideWhenUsed/>
    <w:rsid w:val="00647539"/>
    <w:rPr>
      <w:color w:val="605E5C"/>
      <w:shd w:val="clear" w:color="auto" w:fill="E1DFDD"/>
    </w:rPr>
  </w:style>
  <w:style w:type="character" w:styleId="UnresolvedMention">
    <w:name w:val="Unresolved Mention"/>
    <w:basedOn w:val="DefaultParagraphFont"/>
    <w:uiPriority w:val="99"/>
    <w:semiHidden/>
    <w:unhideWhenUsed/>
    <w:rsid w:val="00850D7C"/>
    <w:rPr>
      <w:color w:val="605E5C"/>
      <w:shd w:val="clear" w:color="auto" w:fill="E1DFDD"/>
    </w:rPr>
  </w:style>
  <w:style w:type="paragraph" w:styleId="NormalWeb">
    <w:name w:val="Normal (Web)"/>
    <w:basedOn w:val="Normal"/>
    <w:uiPriority w:val="99"/>
    <w:unhideWhenUsed/>
    <w:rsid w:val="0092473E"/>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4644">
      <w:bodyDiv w:val="1"/>
      <w:marLeft w:val="0"/>
      <w:marRight w:val="0"/>
      <w:marTop w:val="0"/>
      <w:marBottom w:val="0"/>
      <w:divBdr>
        <w:top w:val="none" w:sz="0" w:space="0" w:color="auto"/>
        <w:left w:val="none" w:sz="0" w:space="0" w:color="auto"/>
        <w:bottom w:val="none" w:sz="0" w:space="0" w:color="auto"/>
        <w:right w:val="none" w:sz="0" w:space="0" w:color="auto"/>
      </w:divBdr>
      <w:divsChild>
        <w:div w:id="673921601">
          <w:marLeft w:val="360"/>
          <w:marRight w:val="0"/>
          <w:marTop w:val="200"/>
          <w:marBottom w:val="0"/>
          <w:divBdr>
            <w:top w:val="none" w:sz="0" w:space="0" w:color="auto"/>
            <w:left w:val="none" w:sz="0" w:space="0" w:color="auto"/>
            <w:bottom w:val="none" w:sz="0" w:space="0" w:color="auto"/>
            <w:right w:val="none" w:sz="0" w:space="0" w:color="auto"/>
          </w:divBdr>
        </w:div>
        <w:div w:id="586771083">
          <w:marLeft w:val="360"/>
          <w:marRight w:val="0"/>
          <w:marTop w:val="200"/>
          <w:marBottom w:val="0"/>
          <w:divBdr>
            <w:top w:val="none" w:sz="0" w:space="0" w:color="auto"/>
            <w:left w:val="none" w:sz="0" w:space="0" w:color="auto"/>
            <w:bottom w:val="none" w:sz="0" w:space="0" w:color="auto"/>
            <w:right w:val="none" w:sz="0" w:space="0" w:color="auto"/>
          </w:divBdr>
        </w:div>
        <w:div w:id="1434476264">
          <w:marLeft w:val="360"/>
          <w:marRight w:val="0"/>
          <w:marTop w:val="200"/>
          <w:marBottom w:val="0"/>
          <w:divBdr>
            <w:top w:val="none" w:sz="0" w:space="0" w:color="auto"/>
            <w:left w:val="none" w:sz="0" w:space="0" w:color="auto"/>
            <w:bottom w:val="none" w:sz="0" w:space="0" w:color="auto"/>
            <w:right w:val="none" w:sz="0" w:space="0" w:color="auto"/>
          </w:divBdr>
        </w:div>
        <w:div w:id="911234364">
          <w:marLeft w:val="360"/>
          <w:marRight w:val="0"/>
          <w:marTop w:val="200"/>
          <w:marBottom w:val="0"/>
          <w:divBdr>
            <w:top w:val="none" w:sz="0" w:space="0" w:color="auto"/>
            <w:left w:val="none" w:sz="0" w:space="0" w:color="auto"/>
            <w:bottom w:val="none" w:sz="0" w:space="0" w:color="auto"/>
            <w:right w:val="none" w:sz="0" w:space="0" w:color="auto"/>
          </w:divBdr>
        </w:div>
        <w:div w:id="1014723019">
          <w:marLeft w:val="360"/>
          <w:marRight w:val="0"/>
          <w:marTop w:val="200"/>
          <w:marBottom w:val="0"/>
          <w:divBdr>
            <w:top w:val="none" w:sz="0" w:space="0" w:color="auto"/>
            <w:left w:val="none" w:sz="0" w:space="0" w:color="auto"/>
            <w:bottom w:val="none" w:sz="0" w:space="0" w:color="auto"/>
            <w:right w:val="none" w:sz="0" w:space="0" w:color="auto"/>
          </w:divBdr>
        </w:div>
        <w:div w:id="1730418909">
          <w:marLeft w:val="360"/>
          <w:marRight w:val="0"/>
          <w:marTop w:val="200"/>
          <w:marBottom w:val="0"/>
          <w:divBdr>
            <w:top w:val="none" w:sz="0" w:space="0" w:color="auto"/>
            <w:left w:val="none" w:sz="0" w:space="0" w:color="auto"/>
            <w:bottom w:val="none" w:sz="0" w:space="0" w:color="auto"/>
            <w:right w:val="none" w:sz="0" w:space="0" w:color="auto"/>
          </w:divBdr>
        </w:div>
        <w:div w:id="1826975508">
          <w:marLeft w:val="360"/>
          <w:marRight w:val="0"/>
          <w:marTop w:val="200"/>
          <w:marBottom w:val="0"/>
          <w:divBdr>
            <w:top w:val="none" w:sz="0" w:space="0" w:color="auto"/>
            <w:left w:val="none" w:sz="0" w:space="0" w:color="auto"/>
            <w:bottom w:val="none" w:sz="0" w:space="0" w:color="auto"/>
            <w:right w:val="none" w:sz="0" w:space="0" w:color="auto"/>
          </w:divBdr>
        </w:div>
        <w:div w:id="1290552334">
          <w:marLeft w:val="360"/>
          <w:marRight w:val="0"/>
          <w:marTop w:val="200"/>
          <w:marBottom w:val="0"/>
          <w:divBdr>
            <w:top w:val="none" w:sz="0" w:space="0" w:color="auto"/>
            <w:left w:val="none" w:sz="0" w:space="0" w:color="auto"/>
            <w:bottom w:val="none" w:sz="0" w:space="0" w:color="auto"/>
            <w:right w:val="none" w:sz="0" w:space="0" w:color="auto"/>
          </w:divBdr>
        </w:div>
        <w:div w:id="1082336398">
          <w:marLeft w:val="360"/>
          <w:marRight w:val="0"/>
          <w:marTop w:val="200"/>
          <w:marBottom w:val="0"/>
          <w:divBdr>
            <w:top w:val="none" w:sz="0" w:space="0" w:color="auto"/>
            <w:left w:val="none" w:sz="0" w:space="0" w:color="auto"/>
            <w:bottom w:val="none" w:sz="0" w:space="0" w:color="auto"/>
            <w:right w:val="none" w:sz="0" w:space="0" w:color="auto"/>
          </w:divBdr>
        </w:div>
        <w:div w:id="1896964416">
          <w:marLeft w:val="360"/>
          <w:marRight w:val="0"/>
          <w:marTop w:val="200"/>
          <w:marBottom w:val="0"/>
          <w:divBdr>
            <w:top w:val="none" w:sz="0" w:space="0" w:color="auto"/>
            <w:left w:val="none" w:sz="0" w:space="0" w:color="auto"/>
            <w:bottom w:val="none" w:sz="0" w:space="0" w:color="auto"/>
            <w:right w:val="none" w:sz="0" w:space="0" w:color="auto"/>
          </w:divBdr>
        </w:div>
      </w:divsChild>
    </w:div>
    <w:div w:id="32756429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15822811">
      <w:bodyDiv w:val="1"/>
      <w:marLeft w:val="0"/>
      <w:marRight w:val="0"/>
      <w:marTop w:val="0"/>
      <w:marBottom w:val="0"/>
      <w:divBdr>
        <w:top w:val="none" w:sz="0" w:space="0" w:color="auto"/>
        <w:left w:val="none" w:sz="0" w:space="0" w:color="auto"/>
        <w:bottom w:val="none" w:sz="0" w:space="0" w:color="auto"/>
        <w:right w:val="none" w:sz="0" w:space="0" w:color="auto"/>
      </w:divBdr>
      <w:divsChild>
        <w:div w:id="317727224">
          <w:marLeft w:val="360"/>
          <w:marRight w:val="0"/>
          <w:marTop w:val="20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55158795">
      <w:bodyDiv w:val="1"/>
      <w:marLeft w:val="0"/>
      <w:marRight w:val="0"/>
      <w:marTop w:val="0"/>
      <w:marBottom w:val="0"/>
      <w:divBdr>
        <w:top w:val="none" w:sz="0" w:space="0" w:color="auto"/>
        <w:left w:val="none" w:sz="0" w:space="0" w:color="auto"/>
        <w:bottom w:val="none" w:sz="0" w:space="0" w:color="auto"/>
        <w:right w:val="none" w:sz="0" w:space="0" w:color="auto"/>
      </w:divBdr>
      <w:divsChild>
        <w:div w:id="103502199">
          <w:marLeft w:val="360"/>
          <w:marRight w:val="0"/>
          <w:marTop w:val="200"/>
          <w:marBottom w:val="0"/>
          <w:divBdr>
            <w:top w:val="none" w:sz="0" w:space="0" w:color="auto"/>
            <w:left w:val="none" w:sz="0" w:space="0" w:color="auto"/>
            <w:bottom w:val="none" w:sz="0" w:space="0" w:color="auto"/>
            <w:right w:val="none" w:sz="0" w:space="0" w:color="auto"/>
          </w:divBdr>
        </w:div>
      </w:divsChild>
    </w:div>
    <w:div w:id="1491364906">
      <w:bodyDiv w:val="1"/>
      <w:marLeft w:val="0"/>
      <w:marRight w:val="0"/>
      <w:marTop w:val="0"/>
      <w:marBottom w:val="0"/>
      <w:divBdr>
        <w:top w:val="none" w:sz="0" w:space="0" w:color="auto"/>
        <w:left w:val="none" w:sz="0" w:space="0" w:color="auto"/>
        <w:bottom w:val="none" w:sz="0" w:space="0" w:color="auto"/>
        <w:right w:val="none" w:sz="0" w:space="0" w:color="auto"/>
      </w:divBdr>
    </w:div>
    <w:div w:id="203195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committees-and-groups/medicare-benefits-schedule-mbs-review-advisory-committee-mra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sac.gov.au/sites/default/files/2024-10/guidelines-for-preparing-assessments-for-msac.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us11.list-manage.com/subscribe?u=5ae7ab382f072df91f449295f&amp;id=c2724e0e1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ealth.gov.au/our-work/hta-review" TargetMode="External"/><Relationship Id="rId4" Type="http://schemas.openxmlformats.org/officeDocument/2006/relationships/settings" Target="settings.xml"/><Relationship Id="rId9" Type="http://schemas.openxmlformats.org/officeDocument/2006/relationships/hyperlink" Target="https://www.health.gov.au/resources/publications/enhance-hta-an-enhanced-consumer-engagement-process-in-australian-health-technology-assessment-a-report-of-recommendations?language=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2E7DD-690F-48B1-AB24-A9E3284FB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725</Words>
  <Characters>4300</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Health Technology Assessment Consumer Consultative Committee</cp:keywords>
  <dc:description/>
  <cp:lastModifiedBy/>
  <cp:revision>1</cp:revision>
  <dcterms:created xsi:type="dcterms:W3CDTF">2025-02-28T00:20:00Z</dcterms:created>
  <dcterms:modified xsi:type="dcterms:W3CDTF">2025-02-28T00:21:00Z</dcterms:modified>
</cp:coreProperties>
</file>