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11BD" w14:textId="77777777" w:rsidR="00A75541" w:rsidRPr="00CB1DAB" w:rsidRDefault="00E02653" w:rsidP="00EE1D82">
      <w:pPr>
        <w:jc w:val="center"/>
      </w:pPr>
      <w:r w:rsidRPr="00CB1DAB">
        <w:rPr>
          <w:noProof/>
          <w:color w:val="2B579A"/>
          <w:shd w:val="clear" w:color="auto" w:fill="E6E6E6"/>
          <w:lang w:eastAsia="en-AU"/>
        </w:rPr>
        <w:drawing>
          <wp:inline distT="0" distB="0" distL="0" distR="0" wp14:anchorId="4F0255B4" wp14:editId="279EAC4A">
            <wp:extent cx="2465705" cy="1371600"/>
            <wp:effectExtent l="0" t="0" r="0" b="0"/>
            <wp:docPr id="5" name="Picture 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32AD46D5" w14:textId="3C83213C" w:rsidR="00493E76" w:rsidRPr="00CB1DAB" w:rsidRDefault="00493E76" w:rsidP="00EE1D82"/>
    <w:p w14:paraId="226CD616" w14:textId="2CF8F8BE" w:rsidR="00493E76" w:rsidRPr="00CB1DAB" w:rsidRDefault="00493E76" w:rsidP="00EE1D82">
      <w:pPr>
        <w:spacing w:before="600"/>
        <w:jc w:val="center"/>
        <w:rPr>
          <w:rFonts w:cstheme="minorHAnsi"/>
          <w:sz w:val="36"/>
          <w:szCs w:val="36"/>
        </w:rPr>
      </w:pPr>
      <w:r w:rsidRPr="00CB1DAB">
        <w:rPr>
          <w:rFonts w:cstheme="minorHAnsi"/>
          <w:sz w:val="36"/>
          <w:szCs w:val="36"/>
        </w:rPr>
        <w:t xml:space="preserve">Australian Government response to the </w:t>
      </w:r>
      <w:r w:rsidRPr="00CB1DAB">
        <w:rPr>
          <w:rFonts w:cstheme="minorHAnsi"/>
          <w:sz w:val="36"/>
          <w:szCs w:val="36"/>
        </w:rPr>
        <w:br/>
        <w:t xml:space="preserve">Senate Community Affairs References Committee </w:t>
      </w:r>
      <w:r w:rsidR="00E36983" w:rsidRPr="00CB1DAB">
        <w:rPr>
          <w:rFonts w:cstheme="minorHAnsi"/>
          <w:sz w:val="36"/>
          <w:szCs w:val="36"/>
        </w:rPr>
        <w:t>report</w:t>
      </w:r>
      <w:r w:rsidRPr="00CB1DAB">
        <w:rPr>
          <w:rFonts w:cstheme="minorHAnsi"/>
          <w:sz w:val="36"/>
          <w:szCs w:val="36"/>
        </w:rPr>
        <w:t>:</w:t>
      </w:r>
    </w:p>
    <w:p w14:paraId="0D9EDC0F" w14:textId="094C7537" w:rsidR="00493E76" w:rsidRPr="00CB1DAB" w:rsidRDefault="00E36983" w:rsidP="00EE1D82">
      <w:pPr>
        <w:jc w:val="center"/>
        <w:rPr>
          <w:rFonts w:cstheme="minorHAnsi"/>
          <w:i/>
          <w:sz w:val="36"/>
          <w:szCs w:val="36"/>
        </w:rPr>
      </w:pPr>
      <w:r w:rsidRPr="00CB1DAB">
        <w:rPr>
          <w:rFonts w:cstheme="minorHAnsi"/>
          <w:i/>
          <w:sz w:val="36"/>
          <w:szCs w:val="36"/>
        </w:rPr>
        <w:t>Ending the postcode lottery – Addressing barriers</w:t>
      </w:r>
      <w:r w:rsidR="00201039" w:rsidRPr="00CB1DAB">
        <w:rPr>
          <w:rFonts w:cstheme="minorHAnsi"/>
          <w:i/>
          <w:sz w:val="36"/>
          <w:szCs w:val="36"/>
        </w:rPr>
        <w:t xml:space="preserve"> to sexual, maternity and reproductive healthcare in Australia</w:t>
      </w:r>
    </w:p>
    <w:p w14:paraId="5539753A" w14:textId="18531F65" w:rsidR="000904B5" w:rsidRPr="00CB1DAB" w:rsidRDefault="000904B5" w:rsidP="00EE1D82"/>
    <w:p w14:paraId="47E819B1" w14:textId="2E2E7764" w:rsidR="000904B5" w:rsidRPr="00CB1DAB" w:rsidRDefault="000904B5" w:rsidP="00EE1D82"/>
    <w:p w14:paraId="47A6F3DF" w14:textId="6AE682DB" w:rsidR="000904B5" w:rsidRPr="00CB1DAB" w:rsidRDefault="000904B5" w:rsidP="00EE1D82"/>
    <w:p w14:paraId="28370B63" w14:textId="62BCAA4E" w:rsidR="000904B5" w:rsidRPr="00CB1DAB" w:rsidRDefault="000904B5" w:rsidP="00EE1D82"/>
    <w:p w14:paraId="7ADE6E44" w14:textId="4239112D" w:rsidR="000904B5" w:rsidRPr="00CB1DAB" w:rsidRDefault="000904B5" w:rsidP="00EE1D82"/>
    <w:p w14:paraId="2254C989" w14:textId="29C44C9C" w:rsidR="000904B5" w:rsidRPr="00CB1DAB" w:rsidRDefault="000904B5" w:rsidP="00EE1D82"/>
    <w:p w14:paraId="6ABBCD38" w14:textId="41BCC14C" w:rsidR="000904B5" w:rsidRPr="00CB1DAB" w:rsidRDefault="000904B5" w:rsidP="00EE1D82"/>
    <w:p w14:paraId="0150664B" w14:textId="0470EB05" w:rsidR="000904B5" w:rsidRPr="00CB1DAB" w:rsidRDefault="000904B5" w:rsidP="00EE1D82"/>
    <w:p w14:paraId="7AF4D2E4" w14:textId="1D4B6362" w:rsidR="000904B5" w:rsidRPr="00CB1DAB" w:rsidRDefault="000904B5" w:rsidP="00EE1D82"/>
    <w:p w14:paraId="70306610" w14:textId="0BC86E40" w:rsidR="000904B5" w:rsidRPr="00CB1DAB" w:rsidRDefault="000904B5" w:rsidP="00EE1D82"/>
    <w:p w14:paraId="233A393C" w14:textId="0BB27E2E" w:rsidR="000904B5" w:rsidRPr="00CB1DAB" w:rsidRDefault="000904B5" w:rsidP="00EE1D82"/>
    <w:p w14:paraId="599F53D8" w14:textId="50607AF5" w:rsidR="000904B5" w:rsidRPr="00CB1DAB" w:rsidRDefault="000904B5" w:rsidP="00EE1D82"/>
    <w:p w14:paraId="2059DBA7" w14:textId="324C568F" w:rsidR="000904B5" w:rsidRPr="00CB1DAB" w:rsidRDefault="000904B5" w:rsidP="00EE1D82"/>
    <w:p w14:paraId="35A16AF7" w14:textId="0C91565B" w:rsidR="000904B5" w:rsidRPr="00CB1DAB" w:rsidRDefault="000904B5" w:rsidP="00EE1D82"/>
    <w:p w14:paraId="3EAAA59E" w14:textId="33A07FF5" w:rsidR="000904B5" w:rsidRPr="00CB1DAB" w:rsidRDefault="000904B5" w:rsidP="00EE1D82"/>
    <w:p w14:paraId="2F59A083" w14:textId="1C6F9882" w:rsidR="000904B5" w:rsidRPr="00CB1DAB" w:rsidRDefault="000904B5" w:rsidP="00EE1D82"/>
    <w:p w14:paraId="003A81AE" w14:textId="5F8DAA81" w:rsidR="000904B5" w:rsidRPr="00CB1DAB" w:rsidRDefault="000904B5" w:rsidP="00EE1D82"/>
    <w:p w14:paraId="58D2FCD7" w14:textId="313AB480" w:rsidR="000904B5" w:rsidRPr="00CB1DAB" w:rsidRDefault="000904B5" w:rsidP="00EE1D82"/>
    <w:p w14:paraId="342B57A9" w14:textId="7DCEBAF8" w:rsidR="000904B5" w:rsidRPr="00CB1DAB" w:rsidRDefault="000904B5" w:rsidP="00EE1D82"/>
    <w:p w14:paraId="7EE7AE5B" w14:textId="1918D96A" w:rsidR="000904B5" w:rsidRPr="00CB1DAB" w:rsidRDefault="000904B5" w:rsidP="00EE1D82"/>
    <w:p w14:paraId="695970D3" w14:textId="274A4D22" w:rsidR="000904B5" w:rsidRPr="00CB1DAB" w:rsidRDefault="000904B5" w:rsidP="00EE1D82"/>
    <w:p w14:paraId="687DDC34" w14:textId="3F75A257" w:rsidR="000904B5" w:rsidRPr="00CB1DAB" w:rsidRDefault="000904B5" w:rsidP="00EE1D82"/>
    <w:p w14:paraId="1EE1A937" w14:textId="52257301" w:rsidR="000904B5" w:rsidRPr="00CB1DAB" w:rsidRDefault="000904B5" w:rsidP="00EE1D82"/>
    <w:p w14:paraId="01B9C6E8" w14:textId="4F106814" w:rsidR="000904B5" w:rsidRPr="00CB1DAB" w:rsidRDefault="000904B5" w:rsidP="00EE1D82"/>
    <w:p w14:paraId="4375B124" w14:textId="151995D0" w:rsidR="000904B5" w:rsidRPr="00CB1DAB" w:rsidRDefault="000904B5" w:rsidP="00EE1D82"/>
    <w:p w14:paraId="6C711CC3" w14:textId="77777777" w:rsidR="00684B4F" w:rsidRPr="00CB1DAB" w:rsidRDefault="00684B4F" w:rsidP="00EE1D82"/>
    <w:p w14:paraId="1194F6FA" w14:textId="1AD380F5" w:rsidR="000904B5" w:rsidRPr="00CB1DAB" w:rsidRDefault="000904B5" w:rsidP="00EE1D82"/>
    <w:p w14:paraId="3F06E9F5" w14:textId="074A2344" w:rsidR="000904B5" w:rsidRPr="00CB1DAB" w:rsidRDefault="000904B5" w:rsidP="00EE1D82"/>
    <w:p w14:paraId="42379137" w14:textId="68CAB695" w:rsidR="000904B5" w:rsidRPr="00CB1DAB" w:rsidRDefault="000904B5" w:rsidP="00EE1D82"/>
    <w:p w14:paraId="43CB5688" w14:textId="6AC38887" w:rsidR="000904B5" w:rsidRPr="00CB1DAB" w:rsidRDefault="000904B5" w:rsidP="00EE1D82"/>
    <w:p w14:paraId="6A599D2C" w14:textId="788B4301" w:rsidR="000904B5" w:rsidRPr="00CB1DAB" w:rsidRDefault="00754B4B" w:rsidP="00EE1D82">
      <w:pPr>
        <w:jc w:val="right"/>
        <w:rPr>
          <w:rFonts w:cstheme="minorHAnsi"/>
          <w:iCs/>
          <w:sz w:val="36"/>
          <w:szCs w:val="36"/>
        </w:rPr>
      </w:pPr>
      <w:r w:rsidRPr="00CB1DAB">
        <w:rPr>
          <w:rFonts w:cstheme="minorHAnsi"/>
          <w:iCs/>
          <w:sz w:val="36"/>
          <w:szCs w:val="36"/>
        </w:rPr>
        <w:t>2025</w:t>
      </w:r>
    </w:p>
    <w:p w14:paraId="2674BB32" w14:textId="1950C7BB" w:rsidR="000904B5" w:rsidRPr="00CB1DAB" w:rsidRDefault="000904B5" w:rsidP="00EE1D82">
      <w:pPr>
        <w:spacing w:after="120"/>
        <w:rPr>
          <w:b/>
          <w:bCs/>
        </w:rPr>
      </w:pPr>
      <w:r w:rsidRPr="00CB1DAB">
        <w:rPr>
          <w:b/>
          <w:bCs/>
        </w:rPr>
        <w:lastRenderedPageBreak/>
        <w:t>Overview</w:t>
      </w:r>
    </w:p>
    <w:p w14:paraId="465E7DF3" w14:textId="4D3C7ADC" w:rsidR="00D913F9" w:rsidRPr="00CB1DAB" w:rsidRDefault="000904B5" w:rsidP="00CF351D">
      <w:pPr>
        <w:spacing w:after="120"/>
        <w:rPr>
          <w:rFonts w:cstheme="minorHAnsi"/>
        </w:rPr>
      </w:pPr>
      <w:r w:rsidRPr="00CB1DAB">
        <w:rPr>
          <w:rFonts w:cstheme="minorHAnsi"/>
        </w:rPr>
        <w:t xml:space="preserve">On 28 September 2022, </w:t>
      </w:r>
      <w:r w:rsidR="00D913F9" w:rsidRPr="00CB1DAB">
        <w:rPr>
          <w:rFonts w:cstheme="minorHAnsi"/>
        </w:rPr>
        <w:t xml:space="preserve">the Senate referred </w:t>
      </w:r>
      <w:r w:rsidR="00CF645E" w:rsidRPr="00CB1DAB">
        <w:rPr>
          <w:rFonts w:cstheme="minorHAnsi"/>
        </w:rPr>
        <w:t>the issue of</w:t>
      </w:r>
      <w:r w:rsidR="00D913F9" w:rsidRPr="00CB1DAB">
        <w:rPr>
          <w:rFonts w:cstheme="minorHAnsi"/>
        </w:rPr>
        <w:t xml:space="preserve"> universal access to reproductive healthcare to the Senate Community Affairs References Committee for inquiry and report.</w:t>
      </w:r>
    </w:p>
    <w:p w14:paraId="0BC2B131" w14:textId="0A601F09" w:rsidR="002E4091" w:rsidRPr="00CB1DAB" w:rsidRDefault="000373D6" w:rsidP="00CF351D">
      <w:pPr>
        <w:spacing w:after="120"/>
        <w:rPr>
          <w:rFonts w:cstheme="minorHAnsi"/>
        </w:rPr>
      </w:pPr>
      <w:r w:rsidRPr="00CB1DAB">
        <w:rPr>
          <w:rFonts w:cstheme="minorHAnsi"/>
        </w:rPr>
        <w:t xml:space="preserve">Supporting, </w:t>
      </w:r>
      <w:r w:rsidR="0054157F" w:rsidRPr="00CB1DAB">
        <w:rPr>
          <w:rFonts w:cstheme="minorHAnsi"/>
        </w:rPr>
        <w:t>protecting,</w:t>
      </w:r>
      <w:r w:rsidRPr="00CB1DAB">
        <w:rPr>
          <w:rFonts w:cstheme="minorHAnsi"/>
        </w:rPr>
        <w:t xml:space="preserve"> and promoting the sexual and reproductive health and rights </w:t>
      </w:r>
      <w:r w:rsidR="00EF6151" w:rsidRPr="00CB1DAB">
        <w:rPr>
          <w:rFonts w:cstheme="minorHAnsi"/>
        </w:rPr>
        <w:t>of all Australians is</w:t>
      </w:r>
      <w:r w:rsidR="00A72BDE" w:rsidRPr="00CB1DAB">
        <w:rPr>
          <w:rFonts w:cstheme="minorHAnsi"/>
        </w:rPr>
        <w:t xml:space="preserve"> </w:t>
      </w:r>
      <w:r w:rsidR="0079602D" w:rsidRPr="00CB1DAB">
        <w:rPr>
          <w:rFonts w:cstheme="minorHAnsi"/>
        </w:rPr>
        <w:t>critical</w:t>
      </w:r>
      <w:r w:rsidR="00A72BDE" w:rsidRPr="00CB1DAB">
        <w:rPr>
          <w:rFonts w:cstheme="minorHAnsi"/>
        </w:rPr>
        <w:t xml:space="preserve"> to</w:t>
      </w:r>
      <w:r w:rsidR="00EF6151" w:rsidRPr="00CB1DAB">
        <w:rPr>
          <w:rFonts w:cstheme="minorHAnsi"/>
        </w:rPr>
        <w:t xml:space="preserve"> </w:t>
      </w:r>
      <w:r w:rsidR="00A72BDE" w:rsidRPr="00CB1DAB">
        <w:rPr>
          <w:rFonts w:cstheme="minorHAnsi"/>
        </w:rPr>
        <w:t>t</w:t>
      </w:r>
      <w:r w:rsidR="00EF6151" w:rsidRPr="00CB1DAB">
        <w:rPr>
          <w:rFonts w:cstheme="minorHAnsi"/>
        </w:rPr>
        <w:t xml:space="preserve">he Australian Government. </w:t>
      </w:r>
      <w:r w:rsidR="00672491" w:rsidRPr="00CB1DAB">
        <w:rPr>
          <w:rFonts w:cstheme="minorHAnsi"/>
        </w:rPr>
        <w:t xml:space="preserve">The Government recognises the importance of ensuring access to sexual and reproductive health information, treatment and services that empower </w:t>
      </w:r>
      <w:r w:rsidR="005739C9" w:rsidRPr="00CB1DAB">
        <w:rPr>
          <w:rFonts w:cstheme="minorHAnsi"/>
        </w:rPr>
        <w:t>individuals</w:t>
      </w:r>
      <w:r w:rsidR="00672491" w:rsidRPr="00CB1DAB">
        <w:rPr>
          <w:rFonts w:cstheme="minorHAnsi"/>
        </w:rPr>
        <w:t xml:space="preserve"> to have choice and control in decision-making about their bodies. </w:t>
      </w:r>
      <w:r w:rsidR="00E92AC5" w:rsidRPr="00CB1DAB">
        <w:rPr>
          <w:rFonts w:cstheme="minorHAnsi"/>
        </w:rPr>
        <w:t>E</w:t>
      </w:r>
      <w:r w:rsidR="00210AAE" w:rsidRPr="00CB1DAB">
        <w:rPr>
          <w:rFonts w:cstheme="minorHAnsi"/>
        </w:rPr>
        <w:t xml:space="preserve">nsuring appropriate access to </w:t>
      </w:r>
      <w:r w:rsidR="00C91A1A" w:rsidRPr="00CB1DAB">
        <w:rPr>
          <w:rFonts w:cstheme="minorHAnsi"/>
        </w:rPr>
        <w:t>s</w:t>
      </w:r>
      <w:r w:rsidR="00672491" w:rsidRPr="00CB1DAB">
        <w:rPr>
          <w:rFonts w:cstheme="minorHAnsi"/>
        </w:rPr>
        <w:t xml:space="preserve">exual and reproductive health services and information is </w:t>
      </w:r>
      <w:r w:rsidR="00553F87" w:rsidRPr="00CB1DAB">
        <w:rPr>
          <w:rFonts w:cstheme="minorHAnsi"/>
        </w:rPr>
        <w:t xml:space="preserve">a key priority </w:t>
      </w:r>
      <w:r w:rsidR="00672491" w:rsidRPr="00CB1DAB">
        <w:rPr>
          <w:rFonts w:cstheme="minorHAnsi"/>
        </w:rPr>
        <w:t>in the National Women’s Health Strategy 2020-2030</w:t>
      </w:r>
      <w:r w:rsidR="004711D6" w:rsidRPr="00CB1DAB">
        <w:rPr>
          <w:rFonts w:cstheme="minorHAnsi"/>
        </w:rPr>
        <w:t xml:space="preserve"> (Women’s</w:t>
      </w:r>
      <w:r w:rsidR="00FE3996" w:rsidRPr="00CB1DAB">
        <w:rPr>
          <w:rFonts w:cstheme="minorHAnsi"/>
        </w:rPr>
        <w:t> </w:t>
      </w:r>
      <w:r w:rsidR="004711D6" w:rsidRPr="00CB1DAB">
        <w:rPr>
          <w:rFonts w:cstheme="minorHAnsi"/>
        </w:rPr>
        <w:t>Health Strategy)</w:t>
      </w:r>
      <w:r w:rsidR="00210AAE" w:rsidRPr="00CB1DAB">
        <w:rPr>
          <w:rFonts w:cstheme="minorHAnsi"/>
        </w:rPr>
        <w:t xml:space="preserve"> and the National Men’s Health Strategy 2020-2030</w:t>
      </w:r>
      <w:r w:rsidR="00672491" w:rsidRPr="00CB1DAB">
        <w:rPr>
          <w:rFonts w:cstheme="minorHAnsi"/>
        </w:rPr>
        <w:t>.</w:t>
      </w:r>
    </w:p>
    <w:p w14:paraId="0BD6B7A9" w14:textId="70FA67B6" w:rsidR="00262A16" w:rsidRPr="00CB1DAB" w:rsidRDefault="00A04776" w:rsidP="00CF351D">
      <w:pPr>
        <w:pStyle w:val="CommentText"/>
        <w:spacing w:after="120"/>
        <w:rPr>
          <w:iCs/>
          <w:sz w:val="24"/>
          <w:szCs w:val="24"/>
        </w:rPr>
      </w:pPr>
      <w:r w:rsidRPr="00CB1DAB">
        <w:rPr>
          <w:rFonts w:cstheme="minorHAnsi"/>
          <w:sz w:val="24"/>
          <w:szCs w:val="24"/>
        </w:rPr>
        <w:t xml:space="preserve">The Government is committed to health equity and is supporting access to sexual and reproductive healthcare and services </w:t>
      </w:r>
      <w:r w:rsidR="00EB5801" w:rsidRPr="00CB1DAB">
        <w:rPr>
          <w:rFonts w:cstheme="minorHAnsi"/>
          <w:sz w:val="24"/>
          <w:szCs w:val="24"/>
        </w:rPr>
        <w:t>and maternity services</w:t>
      </w:r>
      <w:r w:rsidR="00855D11" w:rsidRPr="00CB1DAB">
        <w:rPr>
          <w:rFonts w:cstheme="minorHAnsi"/>
          <w:sz w:val="24"/>
          <w:szCs w:val="24"/>
        </w:rPr>
        <w:t>.</w:t>
      </w:r>
      <w:r w:rsidR="00EB5801" w:rsidRPr="00CB1DAB">
        <w:rPr>
          <w:rFonts w:cstheme="minorHAnsi"/>
          <w:sz w:val="24"/>
          <w:szCs w:val="24"/>
        </w:rPr>
        <w:t xml:space="preserve"> </w:t>
      </w:r>
      <w:r w:rsidR="009A5CB4" w:rsidRPr="00CB1DAB">
        <w:rPr>
          <w:rFonts w:cstheme="minorHAnsi"/>
          <w:sz w:val="24"/>
          <w:szCs w:val="24"/>
        </w:rPr>
        <w:t>Through the 2024-25 Budget</w:t>
      </w:r>
      <w:r w:rsidR="005677A0" w:rsidRPr="00CB1DAB">
        <w:rPr>
          <w:rFonts w:cstheme="minorHAnsi"/>
          <w:sz w:val="24"/>
          <w:szCs w:val="24"/>
        </w:rPr>
        <w:t>,</w:t>
      </w:r>
      <w:r w:rsidR="009A5CB4" w:rsidRPr="00CB1DAB">
        <w:rPr>
          <w:rFonts w:cstheme="minorHAnsi"/>
          <w:sz w:val="24"/>
          <w:szCs w:val="24"/>
        </w:rPr>
        <w:t xml:space="preserve"> the Government</w:t>
      </w:r>
      <w:r w:rsidR="00B3409D" w:rsidRPr="00CB1DAB">
        <w:rPr>
          <w:rFonts w:cstheme="minorHAnsi"/>
          <w:sz w:val="24"/>
          <w:szCs w:val="24"/>
        </w:rPr>
        <w:t xml:space="preserve"> is investing over $160 million in measures which support a number of recommendations from the </w:t>
      </w:r>
      <w:r w:rsidR="00EE1D82" w:rsidRPr="00CB1DAB">
        <w:rPr>
          <w:rFonts w:cstheme="minorHAnsi"/>
          <w:sz w:val="24"/>
          <w:szCs w:val="24"/>
        </w:rPr>
        <w:t>inquiry and</w:t>
      </w:r>
      <w:r w:rsidR="00B3409D" w:rsidRPr="00CB1DAB">
        <w:rPr>
          <w:rFonts w:cstheme="minorHAnsi"/>
          <w:sz w:val="24"/>
          <w:szCs w:val="24"/>
        </w:rPr>
        <w:t xml:space="preserve"> demonstrate</w:t>
      </w:r>
      <w:r w:rsidR="009D3414">
        <w:rPr>
          <w:rFonts w:cstheme="minorHAnsi"/>
          <w:sz w:val="24"/>
          <w:szCs w:val="24"/>
        </w:rPr>
        <w:t>s</w:t>
      </w:r>
      <w:r w:rsidR="00B3409D" w:rsidRPr="00CB1DAB">
        <w:rPr>
          <w:rFonts w:cstheme="minorHAnsi"/>
          <w:sz w:val="24"/>
          <w:szCs w:val="24"/>
        </w:rPr>
        <w:t xml:space="preserve"> the Government’s commitment to supporting the sexual and reproductive health needs of women.</w:t>
      </w:r>
      <w:r w:rsidR="009A5CB4" w:rsidRPr="00CB1DAB">
        <w:rPr>
          <w:rFonts w:cstheme="minorHAnsi"/>
          <w:sz w:val="24"/>
          <w:szCs w:val="24"/>
        </w:rPr>
        <w:t xml:space="preserve"> </w:t>
      </w:r>
      <w:r w:rsidR="009A5CB4" w:rsidRPr="00CB1DAB">
        <w:rPr>
          <w:iCs/>
          <w:sz w:val="24"/>
          <w:szCs w:val="24"/>
        </w:rPr>
        <w:t>In addition, a</w:t>
      </w:r>
      <w:r w:rsidR="00855D11" w:rsidRPr="00CB1DAB">
        <w:rPr>
          <w:iCs/>
          <w:sz w:val="24"/>
          <w:szCs w:val="24"/>
        </w:rPr>
        <w:t xml:space="preserve"> range of initiatives are being implemented </w:t>
      </w:r>
      <w:r w:rsidR="00BC5A0C" w:rsidRPr="00CB1DAB">
        <w:rPr>
          <w:iCs/>
          <w:sz w:val="24"/>
          <w:szCs w:val="24"/>
        </w:rPr>
        <w:t>to</w:t>
      </w:r>
      <w:r w:rsidR="00855D11" w:rsidRPr="00CB1DAB">
        <w:rPr>
          <w:iCs/>
          <w:sz w:val="24"/>
          <w:szCs w:val="24"/>
        </w:rPr>
        <w:t xml:space="preserve"> respond to the Strengthening Medicare Taskforce, which recommended significant changes to how primary care</w:t>
      </w:r>
      <w:r w:rsidR="009A5CB4" w:rsidRPr="00CB1DAB">
        <w:rPr>
          <w:iCs/>
          <w:sz w:val="24"/>
          <w:szCs w:val="24"/>
        </w:rPr>
        <w:t xml:space="preserve"> is funded and delivered. </w:t>
      </w:r>
      <w:r w:rsidR="00BC5A0C" w:rsidRPr="00CB1DAB">
        <w:rPr>
          <w:iCs/>
          <w:sz w:val="24"/>
          <w:szCs w:val="24"/>
        </w:rPr>
        <w:t>The</w:t>
      </w:r>
      <w:r w:rsidR="005677A0" w:rsidRPr="00CB1DAB">
        <w:rPr>
          <w:iCs/>
          <w:sz w:val="24"/>
          <w:szCs w:val="24"/>
        </w:rPr>
        <w:t> </w:t>
      </w:r>
      <w:r w:rsidR="00BC5A0C" w:rsidRPr="00CB1DAB">
        <w:rPr>
          <w:iCs/>
          <w:sz w:val="24"/>
          <w:szCs w:val="24"/>
        </w:rPr>
        <w:t>recommendations aim</w:t>
      </w:r>
      <w:r w:rsidR="00855D11" w:rsidRPr="00CB1DAB">
        <w:rPr>
          <w:iCs/>
          <w:sz w:val="24"/>
          <w:szCs w:val="24"/>
        </w:rPr>
        <w:t xml:space="preserve"> to enable quality, integrated and person-centred care for all Australians. The package of reforms includes a review of scope of practice to ensure all health professionals are utilising their skillset</w:t>
      </w:r>
      <w:r w:rsidR="00D25A89" w:rsidRPr="00CB1DAB">
        <w:rPr>
          <w:iCs/>
          <w:sz w:val="24"/>
          <w:szCs w:val="24"/>
        </w:rPr>
        <w:t>,</w:t>
      </w:r>
      <w:r w:rsidR="00855D11" w:rsidRPr="00CB1DAB">
        <w:rPr>
          <w:iCs/>
          <w:sz w:val="24"/>
          <w:szCs w:val="24"/>
        </w:rPr>
        <w:t xml:space="preserve"> </w:t>
      </w:r>
      <w:r w:rsidR="00D25A89" w:rsidRPr="00CB1DAB">
        <w:rPr>
          <w:iCs/>
          <w:sz w:val="24"/>
          <w:szCs w:val="24"/>
        </w:rPr>
        <w:t xml:space="preserve">including being </w:t>
      </w:r>
      <w:r w:rsidR="00855D11" w:rsidRPr="00CB1DAB">
        <w:rPr>
          <w:iCs/>
          <w:sz w:val="24"/>
          <w:szCs w:val="24"/>
        </w:rPr>
        <w:t xml:space="preserve">able to effectively support individuals, </w:t>
      </w:r>
      <w:r w:rsidR="00EE1D82" w:rsidRPr="00CB1DAB">
        <w:rPr>
          <w:iCs/>
          <w:sz w:val="24"/>
          <w:szCs w:val="24"/>
        </w:rPr>
        <w:t>families,</w:t>
      </w:r>
      <w:r w:rsidR="00855D11" w:rsidRPr="00CB1DAB">
        <w:rPr>
          <w:iCs/>
          <w:sz w:val="24"/>
          <w:szCs w:val="24"/>
        </w:rPr>
        <w:t xml:space="preserve"> and communities with their reproductive health needs.</w:t>
      </w:r>
    </w:p>
    <w:p w14:paraId="74DB0797" w14:textId="7BBFA7BC" w:rsidR="004B5EDA" w:rsidRPr="00CB1DAB" w:rsidRDefault="00E44178" w:rsidP="00B779E6">
      <w:pPr>
        <w:spacing w:after="120"/>
        <w:rPr>
          <w:b/>
        </w:rPr>
      </w:pPr>
      <w:r w:rsidRPr="00CB1DAB">
        <w:rPr>
          <w:iCs/>
        </w:rPr>
        <w:t>T</w:t>
      </w:r>
      <w:r w:rsidR="00825BAD" w:rsidRPr="00CB1DAB">
        <w:rPr>
          <w:iCs/>
        </w:rPr>
        <w:t>he Government will invest an additional $</w:t>
      </w:r>
      <w:r w:rsidR="00765F7A" w:rsidRPr="00CB1DAB">
        <w:rPr>
          <w:iCs/>
        </w:rPr>
        <w:t xml:space="preserve">124.6 </w:t>
      </w:r>
      <w:r w:rsidR="00825BAD" w:rsidRPr="00CB1DAB">
        <w:rPr>
          <w:iCs/>
        </w:rPr>
        <w:t xml:space="preserve">million over three years from 2025-26 </w:t>
      </w:r>
      <w:r w:rsidR="00765F7A" w:rsidRPr="00CB1DAB">
        <w:rPr>
          <w:iCs/>
        </w:rPr>
        <w:t xml:space="preserve">with ongoing funding of $44.7 million per annum from 2028-29 </w:t>
      </w:r>
      <w:r w:rsidR="00825BAD" w:rsidRPr="00CB1DAB">
        <w:rPr>
          <w:iCs/>
        </w:rPr>
        <w:t>to remove access and affordability barriers for long-acting reversible contraception (LARCs). This includes increasing the LARC item fees on the Medicare Benefits S</w:t>
      </w:r>
      <w:r w:rsidR="009A6465" w:rsidRPr="00CB1DAB">
        <w:rPr>
          <w:iCs/>
        </w:rPr>
        <w:t>chedule</w:t>
      </w:r>
      <w:r w:rsidR="00825BAD" w:rsidRPr="00CB1DAB">
        <w:rPr>
          <w:iCs/>
        </w:rPr>
        <w:t xml:space="preserve"> </w:t>
      </w:r>
      <w:r w:rsidR="005677A0" w:rsidRPr="00CB1DAB">
        <w:rPr>
          <w:iCs/>
        </w:rPr>
        <w:t xml:space="preserve">(MBS) </w:t>
      </w:r>
      <w:r w:rsidR="00825BAD" w:rsidRPr="00CB1DAB">
        <w:rPr>
          <w:iCs/>
        </w:rPr>
        <w:t xml:space="preserve">and creating new items for Nurse Practitioners in line with advice from the MBS Review Advisory Committee. </w:t>
      </w:r>
      <w:r w:rsidR="00393D4D" w:rsidRPr="00CB1DAB">
        <w:rPr>
          <w:iCs/>
        </w:rPr>
        <w:t xml:space="preserve">A MBS loading item will also be implemented which can be claimable where a provider provides a bulk-billed LARC MBS service. </w:t>
      </w:r>
      <w:r w:rsidR="00825BAD" w:rsidRPr="00CB1DAB">
        <w:rPr>
          <w:iCs/>
        </w:rPr>
        <w:t xml:space="preserve">The Government will also build </w:t>
      </w:r>
      <w:r w:rsidR="00F70A57" w:rsidRPr="00CB1DAB">
        <w:rPr>
          <w:iCs/>
        </w:rPr>
        <w:t>on its commitment to increase t</w:t>
      </w:r>
      <w:r w:rsidR="00825BAD" w:rsidRPr="00CB1DAB">
        <w:rPr>
          <w:iCs/>
        </w:rPr>
        <w:t>raining for health professional</w:t>
      </w:r>
      <w:r w:rsidRPr="00CB1DAB">
        <w:rPr>
          <w:iCs/>
        </w:rPr>
        <w:t>s</w:t>
      </w:r>
      <w:r w:rsidR="00825BAD" w:rsidRPr="00CB1DAB">
        <w:rPr>
          <w:iCs/>
        </w:rPr>
        <w:t xml:space="preserve"> in LARC </w:t>
      </w:r>
      <w:r w:rsidR="00825BAD" w:rsidRPr="00CB1DAB">
        <w:t>insertion</w:t>
      </w:r>
      <w:r w:rsidR="00825BAD" w:rsidRPr="00CB1DAB">
        <w:rPr>
          <w:iCs/>
        </w:rPr>
        <w:t xml:space="preserve"> and </w:t>
      </w:r>
      <w:r w:rsidR="00F70A57" w:rsidRPr="00CB1DAB">
        <w:rPr>
          <w:iCs/>
        </w:rPr>
        <w:t>removal</w:t>
      </w:r>
      <w:r w:rsidR="009A6465" w:rsidRPr="00CB1DAB">
        <w:rPr>
          <w:iCs/>
        </w:rPr>
        <w:t xml:space="preserve"> by establishing Centres of Training Excellence.</w:t>
      </w:r>
      <w:r w:rsidR="004B5EDA" w:rsidRPr="00CB1DAB">
        <w:rPr>
          <w:iCs/>
        </w:rPr>
        <w:t xml:space="preserve"> </w:t>
      </w:r>
    </w:p>
    <w:p w14:paraId="51E89A19" w14:textId="60BC12A4" w:rsidR="00F94ED4" w:rsidRPr="00CB1DAB" w:rsidRDefault="00A04776" w:rsidP="00CF351D">
      <w:pPr>
        <w:spacing w:after="120"/>
        <w:rPr>
          <w:rFonts w:cstheme="minorHAnsi"/>
        </w:rPr>
      </w:pPr>
      <w:r w:rsidRPr="00CB1DAB">
        <w:rPr>
          <w:rFonts w:cstheme="minorHAnsi"/>
        </w:rPr>
        <w:t>The Government</w:t>
      </w:r>
      <w:r w:rsidR="00473D71" w:rsidRPr="00CB1DAB">
        <w:rPr>
          <w:rFonts w:cstheme="minorHAnsi"/>
        </w:rPr>
        <w:t>, supported by expert advice from the T</w:t>
      </w:r>
      <w:r w:rsidR="009C0DE6" w:rsidRPr="00CB1DAB">
        <w:rPr>
          <w:rFonts w:cstheme="minorHAnsi"/>
        </w:rPr>
        <w:t>herapeutic Goods Administration (T</w:t>
      </w:r>
      <w:r w:rsidR="00473D71" w:rsidRPr="00CB1DAB">
        <w:rPr>
          <w:rFonts w:cstheme="minorHAnsi"/>
        </w:rPr>
        <w:t>GA</w:t>
      </w:r>
      <w:r w:rsidR="009C0DE6" w:rsidRPr="00CB1DAB">
        <w:rPr>
          <w:rFonts w:cstheme="minorHAnsi"/>
        </w:rPr>
        <w:t>)</w:t>
      </w:r>
      <w:r w:rsidR="00473D71" w:rsidRPr="00CB1DAB">
        <w:rPr>
          <w:rFonts w:cstheme="minorHAnsi"/>
        </w:rPr>
        <w:t xml:space="preserve"> and </w:t>
      </w:r>
      <w:r w:rsidR="009C0DE6" w:rsidRPr="00CB1DAB">
        <w:rPr>
          <w:rFonts w:cstheme="minorHAnsi"/>
        </w:rPr>
        <w:t>Pharmaceutical Benefits Advisory Co</w:t>
      </w:r>
      <w:r w:rsidR="00CF7834" w:rsidRPr="00CB1DAB">
        <w:rPr>
          <w:rFonts w:cstheme="minorHAnsi"/>
        </w:rPr>
        <w:t>mmittee</w:t>
      </w:r>
      <w:r w:rsidR="009C0DE6" w:rsidRPr="00CB1DAB">
        <w:rPr>
          <w:rFonts w:cstheme="minorHAnsi"/>
        </w:rPr>
        <w:t xml:space="preserve"> (</w:t>
      </w:r>
      <w:r w:rsidR="00473D71" w:rsidRPr="00CB1DAB">
        <w:rPr>
          <w:rFonts w:cstheme="minorHAnsi"/>
        </w:rPr>
        <w:t>PBAC</w:t>
      </w:r>
      <w:r w:rsidR="009C0DE6" w:rsidRPr="00CB1DAB">
        <w:rPr>
          <w:rFonts w:cstheme="minorHAnsi"/>
        </w:rPr>
        <w:t>)</w:t>
      </w:r>
      <w:r w:rsidR="00627BCA" w:rsidRPr="00CB1DAB">
        <w:rPr>
          <w:rFonts w:cstheme="minorHAnsi"/>
        </w:rPr>
        <w:t>,</w:t>
      </w:r>
      <w:r w:rsidRPr="00CB1DAB">
        <w:rPr>
          <w:rFonts w:cstheme="minorHAnsi"/>
        </w:rPr>
        <w:t xml:space="preserve"> has also introduced changes to the dispensing and prescribing of</w:t>
      </w:r>
      <w:r w:rsidR="004276CA" w:rsidRPr="00CB1DAB">
        <w:rPr>
          <w:rFonts w:cstheme="minorHAnsi"/>
        </w:rPr>
        <w:t xml:space="preserve"> </w:t>
      </w:r>
      <w:r w:rsidR="004276CA" w:rsidRPr="00CB1DAB">
        <w:rPr>
          <w:rStyle w:val="cf01"/>
          <w:rFonts w:asciiTheme="minorHAnsi" w:hAnsiTheme="minorHAnsi" w:cstheme="minorHAnsi"/>
          <w:sz w:val="24"/>
          <w:szCs w:val="24"/>
        </w:rPr>
        <w:t>mifepristone and misoprostol</w:t>
      </w:r>
      <w:r w:rsidRPr="00CB1DAB">
        <w:rPr>
          <w:rFonts w:cstheme="minorHAnsi"/>
        </w:rPr>
        <w:t xml:space="preserve"> </w:t>
      </w:r>
      <w:r w:rsidR="004276CA" w:rsidRPr="00CB1DAB">
        <w:rPr>
          <w:rFonts w:cstheme="minorHAnsi"/>
          <w:lang w:eastAsia="en-AU"/>
        </w:rPr>
        <w:t>(</w:t>
      </w:r>
      <w:r w:rsidRPr="00CB1DAB">
        <w:rPr>
          <w:rFonts w:cstheme="minorHAnsi"/>
          <w:lang w:eastAsia="en-AU"/>
        </w:rPr>
        <w:t>MS</w:t>
      </w:r>
      <w:r w:rsidR="00FE3996" w:rsidRPr="00CB1DAB">
        <w:rPr>
          <w:rFonts w:cstheme="minorHAnsi"/>
          <w:lang w:eastAsia="en-AU"/>
        </w:rPr>
        <w:noBreakHyphen/>
      </w:r>
      <w:r w:rsidRPr="00CB1DAB">
        <w:rPr>
          <w:rFonts w:cstheme="minorHAnsi"/>
          <w:lang w:eastAsia="en-AU"/>
        </w:rPr>
        <w:t>2 Step</w:t>
      </w:r>
      <w:r w:rsidRPr="00CB1DAB">
        <w:rPr>
          <w:rFonts w:cstheme="minorHAnsi"/>
          <w:vertAlign w:val="superscript"/>
          <w:lang w:eastAsia="en-AU"/>
        </w:rPr>
        <w:t>©</w:t>
      </w:r>
      <w:r w:rsidR="004276CA" w:rsidRPr="00CB1DAB">
        <w:rPr>
          <w:rFonts w:cstheme="minorHAnsi"/>
          <w:lang w:eastAsia="en-AU"/>
        </w:rPr>
        <w:t>)</w:t>
      </w:r>
      <w:r w:rsidR="00FE3996" w:rsidRPr="00CB1DAB">
        <w:rPr>
          <w:rFonts w:cstheme="minorHAnsi"/>
          <w:lang w:eastAsia="en-AU"/>
        </w:rPr>
        <w:t xml:space="preserve"> </w:t>
      </w:r>
      <w:r w:rsidRPr="00CB1DAB">
        <w:rPr>
          <w:rFonts w:cstheme="minorHAnsi"/>
          <w:lang w:eastAsia="en-AU"/>
        </w:rPr>
        <w:t xml:space="preserve">to make medical termination of pregnancy more accessible to those in need. </w:t>
      </w:r>
      <w:r w:rsidRPr="00CB1DAB">
        <w:rPr>
          <w:rFonts w:cstheme="minorHAnsi"/>
        </w:rPr>
        <w:t xml:space="preserve">The Committee’s report highlights the roles of all levels of </w:t>
      </w:r>
      <w:r w:rsidR="00F00DC9" w:rsidRPr="00CB1DAB">
        <w:rPr>
          <w:rFonts w:cstheme="minorHAnsi"/>
        </w:rPr>
        <w:t>g</w:t>
      </w:r>
      <w:r w:rsidRPr="00CB1DAB">
        <w:rPr>
          <w:rFonts w:cstheme="minorHAnsi"/>
        </w:rPr>
        <w:t xml:space="preserve">overnment in addressing the barriers to sexual and reproductive healthcare access in Australia. </w:t>
      </w:r>
    </w:p>
    <w:p w14:paraId="53A60931" w14:textId="07075A2D" w:rsidR="00A04776" w:rsidRPr="00CB1DAB" w:rsidRDefault="00A04776" w:rsidP="752E2EF3">
      <w:pPr>
        <w:spacing w:after="120"/>
      </w:pPr>
      <w:r w:rsidRPr="00CB1DAB">
        <w:t>Some of the recommendations</w:t>
      </w:r>
      <w:r w:rsidR="00A276D0" w:rsidRPr="00CB1DAB">
        <w:t xml:space="preserve"> (12</w:t>
      </w:r>
      <w:r w:rsidR="00844C4A" w:rsidRPr="00CB1DAB">
        <w:rPr>
          <w:rStyle w:val="FootnoteReference"/>
        </w:rPr>
        <w:footnoteReference w:id="2"/>
      </w:r>
      <w:r w:rsidR="00A276D0" w:rsidRPr="00CB1DAB">
        <w:t>)</w:t>
      </w:r>
      <w:r w:rsidRPr="00CB1DAB">
        <w:t xml:space="preserve"> fall within </w:t>
      </w:r>
      <w:r w:rsidR="00A276D0" w:rsidRPr="00CB1DAB">
        <w:t>areas</w:t>
      </w:r>
      <w:r w:rsidRPr="00CB1DAB">
        <w:t xml:space="preserve"> of </w:t>
      </w:r>
      <w:r w:rsidR="435F97CF" w:rsidRPr="00CB1DAB">
        <w:t xml:space="preserve">state and territory </w:t>
      </w:r>
      <w:r w:rsidR="00A276D0" w:rsidRPr="00CB1DAB">
        <w:t xml:space="preserve">responsibility or require collaboration between the </w:t>
      </w:r>
      <w:r w:rsidRPr="00CB1DAB">
        <w:t>Australian Government</w:t>
      </w:r>
      <w:r w:rsidR="00A276D0" w:rsidRPr="00CB1DAB">
        <w:t xml:space="preserve"> and jurisdictions</w:t>
      </w:r>
      <w:r w:rsidRPr="00CB1DAB">
        <w:t>. In</w:t>
      </w:r>
      <w:r w:rsidR="003A3D3A" w:rsidRPr="00CB1DAB">
        <w:noBreakHyphen/>
      </w:r>
      <w:r w:rsidRPr="00CB1DAB">
        <w:t>principle</w:t>
      </w:r>
      <w:r w:rsidR="005677A0" w:rsidRPr="00CB1DAB">
        <w:t xml:space="preserve"> </w:t>
      </w:r>
      <w:r w:rsidRPr="00CB1DAB">
        <w:t xml:space="preserve">support indicates agreement with </w:t>
      </w:r>
      <w:r w:rsidR="00CF4545" w:rsidRPr="00CB1DAB">
        <w:t xml:space="preserve">these recommendations </w:t>
      </w:r>
      <w:r w:rsidRPr="00CB1DAB">
        <w:t>but recognises state and territory governments are responsible for their funding and implementation.</w:t>
      </w:r>
      <w:r w:rsidR="00CF7DD3" w:rsidRPr="00CB1DAB">
        <w:t xml:space="preserve"> </w:t>
      </w:r>
      <w:r w:rsidR="00A276D0" w:rsidRPr="00CB1DAB">
        <w:t>These recommendations were discussed at the 10</w:t>
      </w:r>
      <w:r w:rsidR="0031268F" w:rsidRPr="00CB1DAB">
        <w:t> </w:t>
      </w:r>
      <w:r w:rsidR="00A276D0" w:rsidRPr="00CB1DAB">
        <w:t>November</w:t>
      </w:r>
      <w:r w:rsidR="0031268F" w:rsidRPr="00CB1DAB">
        <w:t> </w:t>
      </w:r>
      <w:r w:rsidR="00A276D0" w:rsidRPr="00CB1DAB">
        <w:t>2023 Health Ministers</w:t>
      </w:r>
      <w:r w:rsidR="00844C4A" w:rsidRPr="00CB1DAB">
        <w:t>’</w:t>
      </w:r>
      <w:r w:rsidR="00A276D0" w:rsidRPr="00CB1DAB">
        <w:t xml:space="preserve"> Meeting and</w:t>
      </w:r>
      <w:r w:rsidR="00F94ED4" w:rsidRPr="00CB1DAB">
        <w:t xml:space="preserve"> all Health Ministers agree</w:t>
      </w:r>
      <w:r w:rsidR="00844C4A" w:rsidRPr="00CB1DAB">
        <w:t>d</w:t>
      </w:r>
      <w:r w:rsidR="00F94ED4" w:rsidRPr="00CB1DAB">
        <w:t xml:space="preserve"> in</w:t>
      </w:r>
      <w:r w:rsidR="00FE3996" w:rsidRPr="00CB1DAB">
        <w:t>-</w:t>
      </w:r>
      <w:r w:rsidR="00F94ED4" w:rsidRPr="00CB1DAB">
        <w:t>principle to support the 12 recommendations related to jurisdiction</w:t>
      </w:r>
      <w:r w:rsidR="00FE3996" w:rsidRPr="00CB1DAB">
        <w:t>al</w:t>
      </w:r>
      <w:r w:rsidR="00F94ED4" w:rsidRPr="00CB1DAB">
        <w:t xml:space="preserve"> areas of responsibility.</w:t>
      </w:r>
    </w:p>
    <w:p w14:paraId="276BEF94" w14:textId="56648F9E" w:rsidR="00975C50" w:rsidRPr="00CB1DAB" w:rsidRDefault="000C4311" w:rsidP="00975C50">
      <w:pPr>
        <w:spacing w:after="120"/>
      </w:pPr>
      <w:r w:rsidRPr="00CB1DAB">
        <w:lastRenderedPageBreak/>
        <w:t>For a number of o</w:t>
      </w:r>
      <w:r w:rsidR="00975C50" w:rsidRPr="00CB1DAB">
        <w:t xml:space="preserve">ther recommendations </w:t>
      </w:r>
      <w:r w:rsidR="00393D4D" w:rsidRPr="00CB1DAB">
        <w:t xml:space="preserve">where </w:t>
      </w:r>
      <w:r w:rsidR="00975C50" w:rsidRPr="00CB1DAB">
        <w:t>in-principle support</w:t>
      </w:r>
      <w:r w:rsidR="00393D4D" w:rsidRPr="00CB1DAB">
        <w:t xml:space="preserve"> is given</w:t>
      </w:r>
      <w:r w:rsidRPr="00CB1DAB">
        <w:t>, they may</w:t>
      </w:r>
      <w:r w:rsidR="00975C50" w:rsidRPr="00CB1DAB">
        <w:t xml:space="preserve"> relate to matters </w:t>
      </w:r>
      <w:r w:rsidR="00FE2D92" w:rsidRPr="00CB1DAB">
        <w:t>where</w:t>
      </w:r>
      <w:r w:rsidRPr="00CB1DAB">
        <w:t xml:space="preserve"> further</w:t>
      </w:r>
      <w:r w:rsidR="00975C50" w:rsidRPr="00CB1DAB">
        <w:t xml:space="preserve"> collaboration with stakeholders</w:t>
      </w:r>
      <w:r w:rsidRPr="00CB1DAB">
        <w:t xml:space="preserve"> is </w:t>
      </w:r>
      <w:r w:rsidR="00975C50" w:rsidRPr="00CB1DAB">
        <w:t xml:space="preserve">required or </w:t>
      </w:r>
      <w:r w:rsidR="00FE2D92" w:rsidRPr="00CB1DAB">
        <w:t xml:space="preserve">where there are </w:t>
      </w:r>
      <w:r w:rsidRPr="00CB1DAB">
        <w:t xml:space="preserve">existing </w:t>
      </w:r>
      <w:r w:rsidR="00FE2D92" w:rsidRPr="00CB1DAB">
        <w:t>activities</w:t>
      </w:r>
      <w:r w:rsidR="00975C50" w:rsidRPr="00CB1DAB">
        <w:t xml:space="preserve"> underway which go to addressing the intent of the recommendation.  </w:t>
      </w:r>
    </w:p>
    <w:p w14:paraId="1350411A" w14:textId="6125A9E0" w:rsidR="00A6154C" w:rsidRPr="00CB1DAB" w:rsidRDefault="00A6154C" w:rsidP="00CF351D">
      <w:pPr>
        <w:spacing w:after="120"/>
        <w:rPr>
          <w:rFonts w:cstheme="minorHAnsi"/>
        </w:rPr>
      </w:pPr>
      <w:r w:rsidRPr="00CB1DAB">
        <w:rPr>
          <w:rFonts w:cstheme="minorHAnsi"/>
        </w:rPr>
        <w:t xml:space="preserve">The Government </w:t>
      </w:r>
      <w:r w:rsidR="00AF477F" w:rsidRPr="00CB1DAB">
        <w:rPr>
          <w:rFonts w:cstheme="minorHAnsi"/>
        </w:rPr>
        <w:t>r</w:t>
      </w:r>
      <w:r w:rsidRPr="00CB1DAB">
        <w:rPr>
          <w:rFonts w:cstheme="minorHAnsi"/>
        </w:rPr>
        <w:t>esponse supports (or supports</w:t>
      </w:r>
      <w:r w:rsidR="004448A7" w:rsidRPr="00CB1DAB">
        <w:rPr>
          <w:rFonts w:cstheme="minorHAnsi"/>
        </w:rPr>
        <w:t>-</w:t>
      </w:r>
      <w:r w:rsidRPr="00CB1DAB">
        <w:rPr>
          <w:rFonts w:cstheme="minorHAnsi"/>
        </w:rPr>
        <w:t xml:space="preserve">in principle) </w:t>
      </w:r>
      <w:r w:rsidR="00A04776" w:rsidRPr="00CB1DAB">
        <w:rPr>
          <w:rFonts w:cstheme="minorHAnsi"/>
        </w:rPr>
        <w:t>36</w:t>
      </w:r>
      <w:r w:rsidRPr="00CB1DAB">
        <w:rPr>
          <w:rFonts w:cstheme="minorHAnsi"/>
        </w:rPr>
        <w:t xml:space="preserve"> of the 40 recommendations</w:t>
      </w:r>
      <w:r w:rsidR="001F7E84" w:rsidRPr="00CB1DAB">
        <w:rPr>
          <w:rFonts w:cstheme="minorHAnsi"/>
        </w:rPr>
        <w:t>, while</w:t>
      </w:r>
      <w:r w:rsidRPr="00CB1DAB">
        <w:rPr>
          <w:rFonts w:cstheme="minorHAnsi"/>
        </w:rPr>
        <w:t xml:space="preserve"> </w:t>
      </w:r>
      <w:r w:rsidR="00A04776" w:rsidRPr="00CB1DAB">
        <w:rPr>
          <w:rFonts w:cstheme="minorHAnsi"/>
        </w:rPr>
        <w:t>4</w:t>
      </w:r>
      <w:r w:rsidRPr="00CB1DAB">
        <w:rPr>
          <w:rFonts w:cstheme="minorHAnsi"/>
        </w:rPr>
        <w:t xml:space="preserve"> responses are noted.</w:t>
      </w:r>
    </w:p>
    <w:p w14:paraId="0E22DF77" w14:textId="7009C729" w:rsidR="00B97921" w:rsidRPr="00CB1DAB" w:rsidRDefault="00E30784" w:rsidP="00EE1D82">
      <w:pPr>
        <w:spacing w:after="120"/>
        <w:rPr>
          <w:rFonts w:cstheme="minorHAnsi"/>
        </w:rPr>
      </w:pPr>
      <w:r w:rsidRPr="00CB1DAB">
        <w:rPr>
          <w:rFonts w:cstheme="minorHAnsi"/>
        </w:rPr>
        <w:t>The Government acknowledges other women related policies</w:t>
      </w:r>
      <w:r w:rsidR="00627BCA" w:rsidRPr="00CB1DAB">
        <w:rPr>
          <w:rFonts w:cstheme="minorHAnsi"/>
        </w:rPr>
        <w:t>,</w:t>
      </w:r>
      <w:r w:rsidRPr="00CB1DAB">
        <w:rPr>
          <w:rFonts w:cstheme="minorHAnsi"/>
        </w:rPr>
        <w:t xml:space="preserve"> such as </w:t>
      </w:r>
      <w:r w:rsidR="001C4F31" w:rsidRPr="00CB1DAB">
        <w:rPr>
          <w:rFonts w:cstheme="minorHAnsi"/>
        </w:rPr>
        <w:t>Working for Women: A Strategy for Gender Equality</w:t>
      </w:r>
      <w:r w:rsidRPr="00CB1DAB">
        <w:rPr>
          <w:rFonts w:cstheme="minorHAnsi"/>
        </w:rPr>
        <w:t xml:space="preserve"> and the Senate inquiry into issues related to menopause and perimenopause</w:t>
      </w:r>
      <w:r w:rsidR="009D3414">
        <w:rPr>
          <w:rFonts w:cstheme="minorHAnsi"/>
        </w:rPr>
        <w:t xml:space="preserve"> which</w:t>
      </w:r>
      <w:r w:rsidR="00C20654" w:rsidRPr="00CB1DAB">
        <w:rPr>
          <w:rFonts w:cstheme="minorHAnsi"/>
        </w:rPr>
        <w:t xml:space="preserve"> also</w:t>
      </w:r>
      <w:r w:rsidRPr="00CB1DAB">
        <w:rPr>
          <w:rFonts w:cstheme="minorHAnsi"/>
        </w:rPr>
        <w:t xml:space="preserve"> reflect the Government’s </w:t>
      </w:r>
      <w:r w:rsidR="00B60476" w:rsidRPr="00CB1DAB">
        <w:rPr>
          <w:rFonts w:cstheme="minorHAnsi"/>
        </w:rPr>
        <w:t>commitment</w:t>
      </w:r>
      <w:r w:rsidRPr="00CB1DAB">
        <w:rPr>
          <w:rFonts w:cstheme="minorHAnsi"/>
        </w:rPr>
        <w:t xml:space="preserve"> to improve outcomes for women.  </w:t>
      </w:r>
    </w:p>
    <w:p w14:paraId="759A0649" w14:textId="77777777" w:rsidR="00A27907" w:rsidRPr="00CB1DAB" w:rsidRDefault="00A27907">
      <w:pPr>
        <w:spacing w:after="200" w:line="276" w:lineRule="auto"/>
        <w:rPr>
          <w:b/>
          <w:bCs/>
        </w:rPr>
      </w:pPr>
      <w:r w:rsidRPr="00CB1DAB">
        <w:rPr>
          <w:b/>
          <w:bCs/>
        </w:rPr>
        <w:br w:type="page"/>
      </w:r>
    </w:p>
    <w:p w14:paraId="7F8377AA" w14:textId="63D1759D" w:rsidR="00EF1440" w:rsidRPr="00CB1DAB" w:rsidRDefault="00EF1440" w:rsidP="00EE1D82">
      <w:pPr>
        <w:pBdr>
          <w:bottom w:val="single" w:sz="6" w:space="1" w:color="auto"/>
        </w:pBdr>
        <w:spacing w:after="120"/>
        <w:rPr>
          <w:b/>
          <w:bCs/>
        </w:rPr>
      </w:pPr>
      <w:r w:rsidRPr="00CB1DAB">
        <w:rPr>
          <w:b/>
          <w:bCs/>
        </w:rPr>
        <w:lastRenderedPageBreak/>
        <w:t>Recommendation 1</w:t>
      </w:r>
    </w:p>
    <w:p w14:paraId="206898BB" w14:textId="798BF231" w:rsidR="001E07A5" w:rsidRPr="00CB1DAB" w:rsidRDefault="00EF1440" w:rsidP="006465E0">
      <w:pPr>
        <w:spacing w:before="240" w:after="240"/>
        <w:rPr>
          <w:i/>
          <w:iCs/>
        </w:rPr>
      </w:pPr>
      <w:r w:rsidRPr="00CB1DAB">
        <w:rPr>
          <w:i/>
          <w:iCs/>
        </w:rPr>
        <w:t xml:space="preserve">1: </w:t>
      </w:r>
      <w:r w:rsidR="005E1F6D" w:rsidRPr="00CB1DAB">
        <w:rPr>
          <w:i/>
          <w:iCs/>
        </w:rPr>
        <w:t>The Committee recommends that the Therapeutic Goods Administration reviews its approval processes to ensure that Australian consumers have timely access to the latest and safest contraceptive methods available internationally.</w:t>
      </w:r>
    </w:p>
    <w:p w14:paraId="6C177DB2" w14:textId="3EBB14D7" w:rsidR="005E1F6D" w:rsidRPr="00CB1DAB" w:rsidRDefault="00A24667" w:rsidP="007843FC">
      <w:pPr>
        <w:spacing w:after="120"/>
        <w:rPr>
          <w:rFonts w:cstheme="minorHAnsi"/>
          <w:lang w:eastAsia="en-AU"/>
        </w:rPr>
      </w:pPr>
      <w:r w:rsidRPr="00CB1DAB">
        <w:rPr>
          <w:rFonts w:cstheme="minorHAnsi"/>
          <w:lang w:eastAsia="en-AU"/>
        </w:rPr>
        <w:t xml:space="preserve">The Australian Government </w:t>
      </w:r>
      <w:r w:rsidRPr="00CB1DAB">
        <w:rPr>
          <w:rFonts w:cstheme="minorHAnsi"/>
          <w:b/>
          <w:bCs/>
          <w:lang w:eastAsia="en-AU"/>
        </w:rPr>
        <w:t>s</w:t>
      </w:r>
      <w:r w:rsidR="00B4239D" w:rsidRPr="00CB1DAB">
        <w:rPr>
          <w:rFonts w:cstheme="minorHAnsi"/>
          <w:b/>
          <w:bCs/>
          <w:lang w:eastAsia="en-AU"/>
        </w:rPr>
        <w:t>upport</w:t>
      </w:r>
      <w:r w:rsidR="0075107F" w:rsidRPr="00CB1DAB">
        <w:rPr>
          <w:rFonts w:cstheme="minorHAnsi"/>
          <w:b/>
          <w:bCs/>
          <w:lang w:eastAsia="en-AU"/>
        </w:rPr>
        <w:t>s</w:t>
      </w:r>
      <w:r w:rsidR="00B4239D" w:rsidRPr="00CB1DAB">
        <w:rPr>
          <w:rFonts w:cstheme="minorHAnsi"/>
          <w:b/>
          <w:bCs/>
          <w:lang w:eastAsia="en-AU"/>
        </w:rPr>
        <w:t xml:space="preserve"> in-principle</w:t>
      </w:r>
      <w:r w:rsidRPr="00CB1DAB">
        <w:rPr>
          <w:rFonts w:cstheme="minorHAnsi"/>
          <w:lang w:eastAsia="en-AU"/>
        </w:rPr>
        <w:t xml:space="preserve"> this recommendation.</w:t>
      </w:r>
    </w:p>
    <w:p w14:paraId="0C05B4F4" w14:textId="1D7EC2B6" w:rsidR="003F2C4F" w:rsidRPr="00CB1DAB" w:rsidRDefault="006E6694" w:rsidP="00EE1D82">
      <w:pPr>
        <w:spacing w:after="120"/>
        <w:rPr>
          <w:rFonts w:cstheme="minorHAnsi"/>
          <w:lang w:eastAsia="en-AU"/>
        </w:rPr>
      </w:pPr>
      <w:r w:rsidRPr="00CB1DAB">
        <w:rPr>
          <w:rFonts w:cstheme="minorHAnsi"/>
          <w:lang w:eastAsia="en-AU"/>
        </w:rPr>
        <w:t>For a therapeutic good</w:t>
      </w:r>
      <w:r w:rsidR="00615A34" w:rsidRPr="00CB1DAB">
        <w:rPr>
          <w:rFonts w:cstheme="minorHAnsi"/>
          <w:lang w:eastAsia="en-AU"/>
        </w:rPr>
        <w:t xml:space="preserve"> </w:t>
      </w:r>
      <w:r w:rsidRPr="00CB1DAB">
        <w:rPr>
          <w:rFonts w:cstheme="minorHAnsi"/>
          <w:lang w:eastAsia="en-AU"/>
        </w:rPr>
        <w:t xml:space="preserve">to be </w:t>
      </w:r>
      <w:r w:rsidR="00CD11EE" w:rsidRPr="00CB1DAB">
        <w:rPr>
          <w:rFonts w:cstheme="minorHAnsi"/>
          <w:lang w:eastAsia="en-AU"/>
        </w:rPr>
        <w:t xml:space="preserve">authorised </w:t>
      </w:r>
      <w:r w:rsidRPr="00CB1DAB">
        <w:rPr>
          <w:rFonts w:cstheme="minorHAnsi"/>
          <w:lang w:eastAsia="en-AU"/>
        </w:rPr>
        <w:t>for use and supply in Australia, the sponsor</w:t>
      </w:r>
      <w:r w:rsidR="00D61AC7" w:rsidRPr="00CB1DAB">
        <w:rPr>
          <w:rFonts w:cstheme="minorHAnsi"/>
          <w:lang w:eastAsia="en-AU"/>
        </w:rPr>
        <w:t xml:space="preserve"> of the product</w:t>
      </w:r>
      <w:r w:rsidRPr="00CB1DAB">
        <w:rPr>
          <w:rFonts w:cstheme="minorHAnsi"/>
          <w:lang w:eastAsia="en-AU"/>
        </w:rPr>
        <w:t xml:space="preserve"> need</w:t>
      </w:r>
      <w:r w:rsidR="00D84F48" w:rsidRPr="00CB1DAB">
        <w:rPr>
          <w:rFonts w:cstheme="minorHAnsi"/>
          <w:lang w:eastAsia="en-AU"/>
        </w:rPr>
        <w:t>s</w:t>
      </w:r>
      <w:r w:rsidRPr="00CB1DAB">
        <w:rPr>
          <w:rFonts w:cstheme="minorHAnsi"/>
          <w:lang w:eastAsia="en-AU"/>
        </w:rPr>
        <w:t xml:space="preserve"> to make an application to the </w:t>
      </w:r>
      <w:r w:rsidR="005677A0" w:rsidRPr="00CB1DAB">
        <w:rPr>
          <w:rFonts w:cstheme="minorHAnsi"/>
          <w:lang w:eastAsia="en-AU"/>
        </w:rPr>
        <w:t>Therapeutic Goods Administration (</w:t>
      </w:r>
      <w:r w:rsidR="0014545D" w:rsidRPr="00CB1DAB">
        <w:rPr>
          <w:rFonts w:cstheme="minorHAnsi"/>
          <w:lang w:eastAsia="en-AU"/>
        </w:rPr>
        <w:t>TGA</w:t>
      </w:r>
      <w:r w:rsidR="005677A0" w:rsidRPr="00CB1DAB">
        <w:rPr>
          <w:rFonts w:cstheme="minorHAnsi"/>
          <w:lang w:eastAsia="en-AU"/>
        </w:rPr>
        <w:t>)</w:t>
      </w:r>
      <w:r w:rsidRPr="00CB1DAB">
        <w:rPr>
          <w:rFonts w:cstheme="minorHAnsi"/>
          <w:lang w:eastAsia="en-AU"/>
        </w:rPr>
        <w:t xml:space="preserve"> to register the good on the Australian Register of Therapeutic Goods (ARTG). </w:t>
      </w:r>
      <w:r w:rsidR="0079640A" w:rsidRPr="00CB1DAB">
        <w:rPr>
          <w:rFonts w:cstheme="minorHAnsi"/>
          <w:lang w:eastAsia="en-AU"/>
        </w:rPr>
        <w:t>The</w:t>
      </w:r>
      <w:r w:rsidR="00FE3996" w:rsidRPr="00CB1DAB">
        <w:rPr>
          <w:rFonts w:cstheme="minorHAnsi"/>
          <w:lang w:eastAsia="en-AU"/>
        </w:rPr>
        <w:t> </w:t>
      </w:r>
      <w:r w:rsidRPr="00CB1DAB">
        <w:rPr>
          <w:rFonts w:cstheme="minorHAnsi"/>
          <w:lang w:eastAsia="en-AU"/>
        </w:rPr>
        <w:t>Government cannot compel a sponsor to make an application for registration of a new medicine</w:t>
      </w:r>
      <w:r w:rsidR="00CD11EE" w:rsidRPr="00CB1DAB">
        <w:rPr>
          <w:rFonts w:cstheme="minorHAnsi"/>
          <w:lang w:eastAsia="en-AU"/>
        </w:rPr>
        <w:t xml:space="preserve"> or medical device</w:t>
      </w:r>
      <w:r w:rsidRPr="00CB1DAB">
        <w:rPr>
          <w:rFonts w:cstheme="minorHAnsi"/>
          <w:lang w:eastAsia="en-AU"/>
        </w:rPr>
        <w:t xml:space="preserve">. </w:t>
      </w:r>
    </w:p>
    <w:p w14:paraId="339D665C" w14:textId="6EF71D6C" w:rsidR="00C105D7" w:rsidRPr="00CB1DAB" w:rsidRDefault="00C105D7" w:rsidP="00EE1D82">
      <w:pPr>
        <w:pStyle w:val="NormalWeb"/>
        <w:shd w:val="clear" w:color="auto" w:fill="FFFFFF"/>
        <w:spacing w:before="0" w:beforeAutospacing="0" w:after="120" w:afterAutospacing="0"/>
        <w:rPr>
          <w:rFonts w:asciiTheme="minorHAnsi" w:hAnsiTheme="minorHAnsi" w:cstheme="minorHAnsi"/>
        </w:rPr>
      </w:pPr>
      <w:r w:rsidRPr="00CB1DAB">
        <w:rPr>
          <w:rFonts w:asciiTheme="minorHAnsi" w:hAnsiTheme="minorHAnsi" w:cstheme="minorHAnsi"/>
        </w:rPr>
        <w:t>The TGA works collaboratively with other international partners and has strong working relationships with many international agencies and overseas regulators</w:t>
      </w:r>
      <w:r w:rsidR="008E0065" w:rsidRPr="00CB1DAB">
        <w:rPr>
          <w:rFonts w:asciiTheme="minorHAnsi" w:hAnsiTheme="minorHAnsi" w:cstheme="minorHAnsi"/>
        </w:rPr>
        <w:t xml:space="preserve">. </w:t>
      </w:r>
      <w:r w:rsidRPr="00CB1DAB">
        <w:rPr>
          <w:rFonts w:asciiTheme="minorHAnsi" w:hAnsiTheme="minorHAnsi" w:cstheme="minorHAnsi"/>
        </w:rPr>
        <w:t xml:space="preserve">For new therapeutic goods, including contraceptives, the TGA </w:t>
      </w:r>
      <w:r w:rsidR="00CD11EE" w:rsidRPr="00CB1DAB">
        <w:rPr>
          <w:rFonts w:asciiTheme="minorHAnsi" w:hAnsiTheme="minorHAnsi" w:cstheme="minorHAnsi"/>
        </w:rPr>
        <w:t>is able to</w:t>
      </w:r>
      <w:r w:rsidRPr="00CB1DAB">
        <w:rPr>
          <w:rFonts w:asciiTheme="minorHAnsi" w:hAnsiTheme="minorHAnsi" w:cstheme="minorHAnsi"/>
        </w:rPr>
        <w:t xml:space="preserve"> use assessments from comparable overseas regulators and international assessment bodies, in the regulation of medicines</w:t>
      </w:r>
      <w:r w:rsidR="00CD11EE" w:rsidRPr="00CB1DAB">
        <w:rPr>
          <w:rFonts w:asciiTheme="minorHAnsi" w:hAnsiTheme="minorHAnsi" w:cstheme="minorHAnsi"/>
        </w:rPr>
        <w:t xml:space="preserve"> and medical devices</w:t>
      </w:r>
      <w:r w:rsidRPr="00CB1DAB">
        <w:rPr>
          <w:rFonts w:asciiTheme="minorHAnsi" w:hAnsiTheme="minorHAnsi" w:cstheme="minorHAnsi"/>
        </w:rPr>
        <w:t xml:space="preserve">. This can </w:t>
      </w:r>
      <w:r w:rsidR="00CD11EE" w:rsidRPr="00CB1DAB">
        <w:rPr>
          <w:rFonts w:asciiTheme="minorHAnsi" w:hAnsiTheme="minorHAnsi" w:cstheme="minorHAnsi"/>
        </w:rPr>
        <w:t xml:space="preserve">streamline the approval process and </w:t>
      </w:r>
      <w:r w:rsidRPr="00CB1DAB">
        <w:rPr>
          <w:rFonts w:asciiTheme="minorHAnsi" w:hAnsiTheme="minorHAnsi" w:cstheme="minorHAnsi"/>
        </w:rPr>
        <w:t>reduce the duplication of effort where an assessment has been completed internationally. Depending on the scope of the assessment provided to</w:t>
      </w:r>
      <w:r w:rsidR="0095605D" w:rsidRPr="00CB1DAB">
        <w:rPr>
          <w:rFonts w:asciiTheme="minorHAnsi" w:hAnsiTheme="minorHAnsi" w:cstheme="minorHAnsi"/>
        </w:rPr>
        <w:t xml:space="preserve"> the</w:t>
      </w:r>
      <w:r w:rsidRPr="00CB1DAB">
        <w:rPr>
          <w:rFonts w:asciiTheme="minorHAnsi" w:hAnsiTheme="minorHAnsi" w:cstheme="minorHAnsi"/>
        </w:rPr>
        <w:t xml:space="preserve"> TGA, the need for a</w:t>
      </w:r>
      <w:r w:rsidR="00123858" w:rsidRPr="00CB1DAB">
        <w:rPr>
          <w:rFonts w:asciiTheme="minorHAnsi" w:hAnsiTheme="minorHAnsi" w:cstheme="minorHAnsi"/>
        </w:rPr>
        <w:t xml:space="preserve"> new</w:t>
      </w:r>
      <w:r w:rsidRPr="00CB1DAB">
        <w:rPr>
          <w:rFonts w:asciiTheme="minorHAnsi" w:hAnsiTheme="minorHAnsi" w:cstheme="minorHAnsi"/>
        </w:rPr>
        <w:t xml:space="preserve"> evaluation may be reduced or removed.</w:t>
      </w:r>
    </w:p>
    <w:p w14:paraId="50CDD84F" w14:textId="19D3596C" w:rsidR="00C84DCA" w:rsidRPr="00CB1DAB" w:rsidRDefault="0095605D" w:rsidP="00EE1D82">
      <w:pPr>
        <w:spacing w:after="120"/>
      </w:pPr>
      <w:r w:rsidRPr="00CB1DAB">
        <w:rPr>
          <w:rFonts w:cstheme="minorHAnsi"/>
          <w:lang w:eastAsia="en-AU"/>
        </w:rPr>
        <w:t>T</w:t>
      </w:r>
      <w:r w:rsidR="00C105D7" w:rsidRPr="00CB1DAB">
        <w:rPr>
          <w:rFonts w:cstheme="minorHAnsi"/>
          <w:lang w:eastAsia="en-AU"/>
        </w:rPr>
        <w:t>he TGA is a member of the Access Consortium along with Health Canada, Health Sciences Authority of Singapore, Swissmedic and the U</w:t>
      </w:r>
      <w:r w:rsidR="00AA27CD" w:rsidRPr="00CB1DAB">
        <w:rPr>
          <w:rFonts w:cstheme="minorHAnsi"/>
          <w:lang w:eastAsia="en-AU"/>
        </w:rPr>
        <w:t xml:space="preserve">nited </w:t>
      </w:r>
      <w:r w:rsidR="00C105D7" w:rsidRPr="00CB1DAB">
        <w:rPr>
          <w:rFonts w:cstheme="minorHAnsi"/>
          <w:lang w:eastAsia="en-AU"/>
        </w:rPr>
        <w:t>K</w:t>
      </w:r>
      <w:r w:rsidR="00AA27CD" w:rsidRPr="00CB1DAB">
        <w:rPr>
          <w:rFonts w:cstheme="minorHAnsi"/>
          <w:lang w:eastAsia="en-AU"/>
        </w:rPr>
        <w:t>ingdom</w:t>
      </w:r>
      <w:r w:rsidR="00C105D7" w:rsidRPr="00CB1DAB">
        <w:rPr>
          <w:rFonts w:cstheme="minorHAnsi"/>
          <w:lang w:eastAsia="en-AU"/>
        </w:rPr>
        <w:t>'s Medicines and Healthcare products Regulatory Agency.</w:t>
      </w:r>
      <w:r w:rsidR="00CD11EE" w:rsidRPr="00CB1DAB">
        <w:rPr>
          <w:rFonts w:cstheme="minorHAnsi"/>
          <w:lang w:eastAsia="en-AU"/>
        </w:rPr>
        <w:t xml:space="preserve"> </w:t>
      </w:r>
      <w:r w:rsidR="00D47EC3" w:rsidRPr="00CB1DAB">
        <w:rPr>
          <w:rFonts w:cstheme="minorHAnsi"/>
          <w:lang w:eastAsia="en-AU"/>
        </w:rPr>
        <w:t xml:space="preserve">A </w:t>
      </w:r>
      <w:r w:rsidR="00CD11EE" w:rsidRPr="00CB1DAB">
        <w:rPr>
          <w:rFonts w:cstheme="minorHAnsi"/>
          <w:lang w:eastAsia="en-AU"/>
        </w:rPr>
        <w:t>key focus</w:t>
      </w:r>
      <w:r w:rsidR="00C105D7" w:rsidRPr="00CB1DAB">
        <w:rPr>
          <w:rFonts w:cstheme="minorHAnsi"/>
          <w:lang w:eastAsia="en-AU"/>
        </w:rPr>
        <w:t xml:space="preserve"> of the Access </w:t>
      </w:r>
      <w:r w:rsidR="00100A3E" w:rsidRPr="00CB1DAB">
        <w:rPr>
          <w:rFonts w:cstheme="minorHAnsi"/>
          <w:lang w:eastAsia="en-AU"/>
        </w:rPr>
        <w:t>C</w:t>
      </w:r>
      <w:r w:rsidR="00C105D7" w:rsidRPr="00CB1DAB">
        <w:rPr>
          <w:rFonts w:cstheme="minorHAnsi"/>
          <w:lang w:eastAsia="en-AU"/>
        </w:rPr>
        <w:t>onsortium is to work collaboratively during the evaluation of a new registration application to minimise regulatory burden</w:t>
      </w:r>
      <w:r w:rsidR="001737B4" w:rsidRPr="00CB1DAB">
        <w:rPr>
          <w:rFonts w:cstheme="minorHAnsi"/>
          <w:lang w:eastAsia="en-AU"/>
        </w:rPr>
        <w:t>,</w:t>
      </w:r>
      <w:r w:rsidR="00C105D7" w:rsidRPr="00CB1DAB">
        <w:rPr>
          <w:rFonts w:cstheme="minorHAnsi"/>
          <w:lang w:eastAsia="en-AU"/>
        </w:rPr>
        <w:t xml:space="preserve"> </w:t>
      </w:r>
      <w:r w:rsidR="001737B4" w:rsidRPr="00CB1DAB">
        <w:rPr>
          <w:rFonts w:cstheme="minorHAnsi"/>
          <w:lang w:eastAsia="en-AU"/>
        </w:rPr>
        <w:t>b</w:t>
      </w:r>
      <w:r w:rsidR="00C105D7" w:rsidRPr="00CB1DAB">
        <w:rPr>
          <w:rFonts w:cstheme="minorHAnsi"/>
          <w:lang w:eastAsia="en-AU"/>
        </w:rPr>
        <w:t>y completing a global evaluation used by each partner participating in this work-sharing arrangement.</w:t>
      </w:r>
    </w:p>
    <w:p w14:paraId="6EC55BBA" w14:textId="77777777" w:rsidR="009D3414" w:rsidRDefault="004239E2" w:rsidP="00EE1D82">
      <w:pPr>
        <w:spacing w:after="120"/>
        <w:rPr>
          <w:rFonts w:ascii="Calibri" w:hAnsi="Calibri" w:cs="Calibri"/>
          <w:lang w:eastAsia="en-AU"/>
        </w:rPr>
      </w:pPr>
      <w:r w:rsidRPr="00CB1DAB">
        <w:rPr>
          <w:rFonts w:ascii="Calibri" w:hAnsi="Calibri" w:cs="Calibri"/>
          <w:lang w:eastAsia="en-AU"/>
        </w:rPr>
        <w:t>Generally, t</w:t>
      </w:r>
      <w:r w:rsidR="006E6694" w:rsidRPr="00CB1DAB">
        <w:rPr>
          <w:rFonts w:ascii="Calibri" w:hAnsi="Calibri" w:cs="Calibri"/>
          <w:lang w:eastAsia="en-AU"/>
        </w:rPr>
        <w:t xml:space="preserve">herapeutic goods must be included in the ARTG before they can be imported into, supplied in </w:t>
      </w:r>
      <w:r w:rsidR="00F73859" w:rsidRPr="00CB1DAB">
        <w:rPr>
          <w:rFonts w:ascii="Calibri" w:hAnsi="Calibri" w:cs="Calibri"/>
          <w:lang w:eastAsia="en-AU"/>
        </w:rPr>
        <w:t xml:space="preserve">or </w:t>
      </w:r>
      <w:r w:rsidR="006E6694" w:rsidRPr="00CB1DAB">
        <w:rPr>
          <w:rFonts w:ascii="Calibri" w:hAnsi="Calibri" w:cs="Calibri"/>
          <w:lang w:eastAsia="en-AU"/>
        </w:rPr>
        <w:t xml:space="preserve">exported from Australia. </w:t>
      </w:r>
      <w:r w:rsidR="00CF1440" w:rsidRPr="00CB1DAB">
        <w:rPr>
          <w:rFonts w:ascii="Calibri" w:hAnsi="Calibri" w:cs="Calibri"/>
          <w:lang w:eastAsia="en-AU"/>
        </w:rPr>
        <w:t>T</w:t>
      </w:r>
      <w:r w:rsidR="006E6694" w:rsidRPr="00CB1DAB">
        <w:rPr>
          <w:rFonts w:ascii="Calibri" w:hAnsi="Calibri" w:cs="Calibri"/>
          <w:lang w:eastAsia="en-AU"/>
        </w:rPr>
        <w:t xml:space="preserve">herapeutic goods not included in the ARTG (described as ‘unapproved’) have not been evaluated by the TGA for quality, safety, efficacy or performance. The TGA encourages the use of medicines </w:t>
      </w:r>
      <w:r w:rsidR="004F46D0" w:rsidRPr="00CB1DAB">
        <w:rPr>
          <w:rFonts w:ascii="Calibri" w:hAnsi="Calibri" w:cs="Calibri"/>
          <w:lang w:eastAsia="en-AU"/>
        </w:rPr>
        <w:t>which</w:t>
      </w:r>
      <w:r w:rsidR="006E6694" w:rsidRPr="00CB1DAB">
        <w:rPr>
          <w:rFonts w:ascii="Calibri" w:hAnsi="Calibri" w:cs="Calibri"/>
          <w:lang w:eastAsia="en-AU"/>
        </w:rPr>
        <w:t xml:space="preserve"> have been approved in Australia and included in the ARTG. </w:t>
      </w:r>
    </w:p>
    <w:p w14:paraId="312C7E6A" w14:textId="422A6083" w:rsidR="006E6694" w:rsidRPr="00CB1DAB" w:rsidRDefault="004F46D0" w:rsidP="00EE1D82">
      <w:pPr>
        <w:spacing w:after="120"/>
        <w:rPr>
          <w:rFonts w:cstheme="minorHAnsi"/>
          <w:lang w:eastAsia="en-AU"/>
        </w:rPr>
      </w:pPr>
      <w:r w:rsidRPr="00CB1DAB">
        <w:rPr>
          <w:rFonts w:ascii="Calibri" w:hAnsi="Calibri" w:cs="Calibri"/>
          <w:lang w:eastAsia="en-AU"/>
        </w:rPr>
        <w:t>I</w:t>
      </w:r>
      <w:r w:rsidR="006E6694" w:rsidRPr="00CB1DAB">
        <w:rPr>
          <w:rFonts w:ascii="Calibri" w:hAnsi="Calibri" w:cs="Calibri"/>
          <w:lang w:eastAsia="en-AU"/>
        </w:rPr>
        <w:t xml:space="preserve">t is recognised there are times when approved and available products may not meet the needs of all patients and clinical situations. </w:t>
      </w:r>
      <w:r w:rsidR="00F22248" w:rsidRPr="00CB1DAB">
        <w:rPr>
          <w:rFonts w:ascii="Calibri" w:hAnsi="Calibri" w:cs="Calibri"/>
          <w:lang w:eastAsia="en-AU"/>
        </w:rPr>
        <w:t>T</w:t>
      </w:r>
      <w:r w:rsidR="006E6694" w:rsidRPr="00CB1DAB">
        <w:rPr>
          <w:rFonts w:ascii="Calibri" w:hAnsi="Calibri" w:cs="Calibri"/>
          <w:lang w:eastAsia="en-AU"/>
        </w:rPr>
        <w:t xml:space="preserve">here are provisions </w:t>
      </w:r>
      <w:r w:rsidR="00F22248" w:rsidRPr="00CB1DAB">
        <w:rPr>
          <w:rFonts w:ascii="Calibri" w:hAnsi="Calibri" w:cs="Calibri"/>
          <w:lang w:eastAsia="en-AU"/>
        </w:rPr>
        <w:t>which</w:t>
      </w:r>
      <w:r w:rsidR="006E6694" w:rsidRPr="00CB1DAB">
        <w:rPr>
          <w:rFonts w:ascii="Calibri" w:hAnsi="Calibri" w:cs="Calibri"/>
          <w:lang w:eastAsia="en-AU"/>
        </w:rPr>
        <w:t xml:space="preserve"> allow health practitioners and patients to access therapeutic goods not included in the ARTG. These provisions include the Special Access Scheme, Authorised</w:t>
      </w:r>
      <w:r w:rsidR="00FE3996" w:rsidRPr="00CB1DAB">
        <w:rPr>
          <w:rFonts w:ascii="Calibri" w:hAnsi="Calibri" w:cs="Calibri"/>
          <w:lang w:eastAsia="en-AU"/>
        </w:rPr>
        <w:t> </w:t>
      </w:r>
      <w:r w:rsidR="006E6694" w:rsidRPr="00CB1DAB">
        <w:rPr>
          <w:rFonts w:ascii="Calibri" w:hAnsi="Calibri" w:cs="Calibri"/>
          <w:lang w:eastAsia="en-AU"/>
        </w:rPr>
        <w:t>Prescriber</w:t>
      </w:r>
      <w:r w:rsidR="004239E2" w:rsidRPr="00CB1DAB">
        <w:rPr>
          <w:rFonts w:ascii="Calibri" w:hAnsi="Calibri" w:cs="Calibri"/>
          <w:lang w:eastAsia="en-AU"/>
        </w:rPr>
        <w:t xml:space="preserve"> or</w:t>
      </w:r>
      <w:r w:rsidR="006E6694" w:rsidRPr="00CB1DAB">
        <w:rPr>
          <w:rFonts w:ascii="Calibri" w:hAnsi="Calibri" w:cs="Calibri"/>
          <w:lang w:eastAsia="en-AU"/>
        </w:rPr>
        <w:t xml:space="preserve"> Personal Importation</w:t>
      </w:r>
      <w:r w:rsidR="004239E2" w:rsidRPr="00CB1DAB">
        <w:rPr>
          <w:rFonts w:ascii="Calibri" w:hAnsi="Calibri" w:cs="Calibri"/>
          <w:lang w:eastAsia="en-AU"/>
        </w:rPr>
        <w:t xml:space="preserve"> Schemes</w:t>
      </w:r>
      <w:r w:rsidR="006E6694" w:rsidRPr="00CB1DAB">
        <w:rPr>
          <w:rFonts w:ascii="Calibri" w:hAnsi="Calibri" w:cs="Calibri"/>
          <w:lang w:eastAsia="en-AU"/>
        </w:rPr>
        <w:t xml:space="preserve">, and Clinical Trials. It is the responsibility of the prescribing health practitioner to determine the most suitable pathway for supply. </w:t>
      </w:r>
    </w:p>
    <w:p w14:paraId="4AAC366F" w14:textId="77777777" w:rsidR="00154CD0" w:rsidRPr="00CB1DAB" w:rsidRDefault="00154CD0" w:rsidP="00EE1D82">
      <w:pPr>
        <w:spacing w:after="120"/>
        <w:rPr>
          <w:rFonts w:cstheme="minorHAnsi"/>
          <w:lang w:eastAsia="en-AU"/>
        </w:rPr>
      </w:pPr>
    </w:p>
    <w:p w14:paraId="481C2FFF" w14:textId="7C6A18C2" w:rsidR="00B25FA0" w:rsidRPr="00CB1DAB" w:rsidRDefault="00B25FA0" w:rsidP="00EE1D82">
      <w:pPr>
        <w:spacing w:after="120"/>
      </w:pPr>
      <w:r w:rsidRPr="00CB1DAB">
        <w:br w:type="page"/>
      </w:r>
    </w:p>
    <w:p w14:paraId="220C5360" w14:textId="713C6750" w:rsidR="00B25FA0" w:rsidRPr="00CB1DAB" w:rsidRDefault="00B25FA0" w:rsidP="00EE1D82">
      <w:pPr>
        <w:pBdr>
          <w:bottom w:val="single" w:sz="6" w:space="1" w:color="auto"/>
        </w:pBdr>
        <w:spacing w:after="120"/>
        <w:rPr>
          <w:b/>
          <w:bCs/>
        </w:rPr>
      </w:pPr>
      <w:r w:rsidRPr="00CB1DAB">
        <w:rPr>
          <w:b/>
          <w:bCs/>
        </w:rPr>
        <w:lastRenderedPageBreak/>
        <w:t>Recommendation 2</w:t>
      </w:r>
    </w:p>
    <w:p w14:paraId="4DE74FDC" w14:textId="36E68A50" w:rsidR="00B25FA0" w:rsidRPr="00CB1DAB" w:rsidRDefault="00B25FA0" w:rsidP="006465E0">
      <w:pPr>
        <w:spacing w:before="240" w:after="240"/>
        <w:rPr>
          <w:i/>
          <w:iCs/>
        </w:rPr>
      </w:pPr>
      <w:r w:rsidRPr="00CB1DAB">
        <w:rPr>
          <w:i/>
          <w:iCs/>
        </w:rPr>
        <w:t>2: The Committee recommends that the National Scope of Practice Review considers, as a priority, opportunities and incentives for all health professionals working in the field of sexual and reproductive healthcare to work to their full scope of practice in a clinically safe way.</w:t>
      </w:r>
    </w:p>
    <w:p w14:paraId="3609128E" w14:textId="41816657" w:rsidR="00B37865" w:rsidRPr="00CB1DAB" w:rsidRDefault="00A24667" w:rsidP="00B37865">
      <w:pPr>
        <w:spacing w:before="240" w:after="240"/>
      </w:pPr>
      <w:r w:rsidRPr="00CB1DAB">
        <w:rPr>
          <w:rFonts w:cstheme="minorHAnsi"/>
          <w:lang w:eastAsia="en-AU"/>
        </w:rPr>
        <w:t>The Australian Government</w:t>
      </w:r>
      <w:r w:rsidRPr="00CB1DAB">
        <w:rPr>
          <w:b/>
          <w:bCs/>
        </w:rPr>
        <w:t xml:space="preserve"> support</w:t>
      </w:r>
      <w:r w:rsidR="0075107F" w:rsidRPr="00CB1DAB">
        <w:rPr>
          <w:b/>
          <w:bCs/>
        </w:rPr>
        <w:t>s</w:t>
      </w:r>
      <w:r w:rsidRPr="00CB1DAB">
        <w:rPr>
          <w:b/>
          <w:bCs/>
        </w:rPr>
        <w:t xml:space="preserve"> </w:t>
      </w:r>
      <w:r w:rsidRPr="00CB1DAB">
        <w:t>this recommendation.</w:t>
      </w:r>
    </w:p>
    <w:p w14:paraId="1519A210" w14:textId="630D66C2" w:rsidR="00B37865" w:rsidRPr="00CB1DAB" w:rsidRDefault="00B37865" w:rsidP="00B37865">
      <w:pPr>
        <w:spacing w:after="120"/>
        <w:rPr>
          <w:lang w:val="en"/>
        </w:rPr>
      </w:pPr>
      <w:r w:rsidRPr="00CB1DAB">
        <w:rPr>
          <w:lang w:val="en"/>
        </w:rPr>
        <w:t xml:space="preserve">The independent </w:t>
      </w:r>
      <w:r w:rsidRPr="00CB1DAB">
        <w:rPr>
          <w:i/>
          <w:iCs/>
          <w:lang w:val="en"/>
        </w:rPr>
        <w:t xml:space="preserve">Unleashing the Potential of our Health Workforce (Scope of Practice) Review </w:t>
      </w:r>
      <w:r w:rsidRPr="00CB1DAB">
        <w:rPr>
          <w:lang w:val="en"/>
        </w:rPr>
        <w:t xml:space="preserve">was released on 5 November 2024. This review made recommendations to all Health Ministers regarding enabling health professionals, including </w:t>
      </w:r>
      <w:r w:rsidR="009D3414">
        <w:rPr>
          <w:lang w:val="en"/>
        </w:rPr>
        <w:t>N</w:t>
      </w:r>
      <w:r w:rsidRPr="00CB1DAB">
        <w:rPr>
          <w:lang w:val="en"/>
        </w:rPr>
        <w:t xml:space="preserve">urse </w:t>
      </w:r>
      <w:r w:rsidR="009D3414">
        <w:rPr>
          <w:lang w:val="en"/>
        </w:rPr>
        <w:t>P</w:t>
      </w:r>
      <w:r w:rsidRPr="00CB1DAB">
        <w:rPr>
          <w:lang w:val="en"/>
        </w:rPr>
        <w:t xml:space="preserve">ractitioners, to work to their full scope of practice. </w:t>
      </w:r>
    </w:p>
    <w:p w14:paraId="136AF670" w14:textId="77777777" w:rsidR="00B37865" w:rsidRPr="00CB1DAB" w:rsidRDefault="00B37865" w:rsidP="00B37865">
      <w:pPr>
        <w:spacing w:after="120"/>
      </w:pPr>
      <w:r w:rsidRPr="00CB1DAB">
        <w:t>This includes recommendations relevant to health professionals working in the field of sexual and reproductive health such as:</w:t>
      </w:r>
    </w:p>
    <w:p w14:paraId="097CEA20" w14:textId="77777777" w:rsidR="00B37865" w:rsidRPr="00CB1DAB" w:rsidRDefault="00B37865" w:rsidP="00B37865">
      <w:pPr>
        <w:pStyle w:val="ListParagraph"/>
        <w:numPr>
          <w:ilvl w:val="0"/>
          <w:numId w:val="50"/>
        </w:numPr>
        <w:spacing w:after="120"/>
        <w:ind w:left="714" w:hanging="357"/>
        <w:contextualSpacing w:val="0"/>
        <w:rPr>
          <w:sz w:val="24"/>
          <w:szCs w:val="24"/>
        </w:rPr>
      </w:pPr>
      <w:r w:rsidRPr="00CB1DAB">
        <w:rPr>
          <w:sz w:val="24"/>
          <w:szCs w:val="24"/>
        </w:rPr>
        <w:t>A bundled payment for maternity care to remove barriers for midwives to provide care across health settings (Recommendation 11).</w:t>
      </w:r>
    </w:p>
    <w:p w14:paraId="182E9363" w14:textId="2207F768" w:rsidR="00B37865" w:rsidRPr="00CB1DAB" w:rsidRDefault="00B37865" w:rsidP="00B37865">
      <w:pPr>
        <w:pStyle w:val="ListParagraph"/>
        <w:numPr>
          <w:ilvl w:val="0"/>
          <w:numId w:val="50"/>
        </w:numPr>
        <w:spacing w:after="120"/>
        <w:ind w:left="714" w:hanging="357"/>
        <w:contextualSpacing w:val="0"/>
        <w:rPr>
          <w:sz w:val="24"/>
          <w:szCs w:val="24"/>
        </w:rPr>
      </w:pPr>
      <w:r w:rsidRPr="00CB1DAB">
        <w:rPr>
          <w:sz w:val="24"/>
          <w:szCs w:val="24"/>
        </w:rPr>
        <w:t xml:space="preserve">New direct referral pathways to non-GP specialist Medicare Benefits Schedule </w:t>
      </w:r>
      <w:r w:rsidR="009D3414">
        <w:rPr>
          <w:sz w:val="24"/>
          <w:szCs w:val="24"/>
        </w:rPr>
        <w:t xml:space="preserve">(MBS) </w:t>
      </w:r>
      <w:r w:rsidRPr="00CB1DAB">
        <w:rPr>
          <w:sz w:val="24"/>
          <w:szCs w:val="24"/>
        </w:rPr>
        <w:t>items such as midwife referrals to non-GP medical specialists within their scope of practice (Recommendation 12).</w:t>
      </w:r>
    </w:p>
    <w:p w14:paraId="4DD8F490" w14:textId="0D0544AA" w:rsidR="00B37865" w:rsidRPr="00CB1DAB" w:rsidRDefault="00B37865" w:rsidP="00B37865">
      <w:pPr>
        <w:spacing w:after="120"/>
      </w:pPr>
      <w:r w:rsidRPr="00CB1DAB">
        <w:rPr>
          <w:lang w:val="en"/>
        </w:rPr>
        <w:t xml:space="preserve">The Government will carefully consider the findings and recommendations of this review alongside other </w:t>
      </w:r>
      <w:r w:rsidR="009D3414" w:rsidRPr="00CB1DAB">
        <w:rPr>
          <w:lang w:val="en"/>
        </w:rPr>
        <w:t>recently released</w:t>
      </w:r>
      <w:r w:rsidRPr="00CB1DAB">
        <w:rPr>
          <w:lang w:val="en"/>
        </w:rPr>
        <w:t xml:space="preserve"> primary care and workforce reviews.</w:t>
      </w:r>
    </w:p>
    <w:p w14:paraId="172B099D" w14:textId="77777777" w:rsidR="00B37865" w:rsidRPr="00CB1DAB" w:rsidRDefault="00B37865" w:rsidP="00B37865">
      <w:pPr>
        <w:spacing w:after="120"/>
      </w:pPr>
    </w:p>
    <w:p w14:paraId="1D4F1D8F" w14:textId="77777777" w:rsidR="00B37865" w:rsidRPr="00CB1DAB" w:rsidRDefault="00B37865" w:rsidP="006465E0">
      <w:pPr>
        <w:spacing w:before="240" w:after="240"/>
      </w:pPr>
    </w:p>
    <w:p w14:paraId="07364C9D" w14:textId="77777777" w:rsidR="00A27907" w:rsidRPr="00CB1DAB" w:rsidRDefault="00A27907">
      <w:pPr>
        <w:spacing w:after="200" w:line="276" w:lineRule="auto"/>
        <w:rPr>
          <w:b/>
          <w:bCs/>
        </w:rPr>
      </w:pPr>
      <w:r w:rsidRPr="00CB1DAB">
        <w:rPr>
          <w:b/>
          <w:bCs/>
        </w:rPr>
        <w:br w:type="page"/>
      </w:r>
    </w:p>
    <w:p w14:paraId="5563F1A6" w14:textId="30F02132" w:rsidR="00290B30" w:rsidRPr="00CB1DAB" w:rsidRDefault="00290B30" w:rsidP="00EE1D82">
      <w:pPr>
        <w:pBdr>
          <w:bottom w:val="single" w:sz="6" w:space="1" w:color="auto"/>
        </w:pBdr>
        <w:spacing w:after="120"/>
        <w:rPr>
          <w:b/>
          <w:bCs/>
        </w:rPr>
      </w:pPr>
      <w:r w:rsidRPr="00CB1DAB">
        <w:rPr>
          <w:b/>
          <w:bCs/>
        </w:rPr>
        <w:lastRenderedPageBreak/>
        <w:t>Recommendation 3</w:t>
      </w:r>
    </w:p>
    <w:p w14:paraId="763A5920" w14:textId="46C849F6" w:rsidR="00290B30" w:rsidRPr="00CB1DAB" w:rsidRDefault="00290B30" w:rsidP="006465E0">
      <w:pPr>
        <w:spacing w:before="240" w:after="240"/>
        <w:rPr>
          <w:i/>
          <w:iCs/>
        </w:rPr>
      </w:pPr>
      <w:r w:rsidRPr="00CB1DAB">
        <w:rPr>
          <w:i/>
          <w:iCs/>
        </w:rPr>
        <w:t>3: The Committee recommends that state and territory governments work towards aligning supply quantities of Pharmaceutical Benefits Scheme (PBS) and non-PBS oral contraceptive pills allowed under state and territory emergency supply legislation.</w:t>
      </w:r>
    </w:p>
    <w:p w14:paraId="7AC3DD1A" w14:textId="58F35C9F"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6639AC98" w14:textId="4A6033FA" w:rsidR="00A24667" w:rsidRPr="00CB1DAB" w:rsidRDefault="005B778A" w:rsidP="00EE1D82">
      <w:pPr>
        <w:spacing w:after="120"/>
      </w:pPr>
      <w:r w:rsidRPr="00CB1DAB">
        <w:t xml:space="preserve">The Government </w:t>
      </w:r>
      <w:r w:rsidR="00FE10AA" w:rsidRPr="00CB1DAB">
        <w:t>will explore opportunities to</w:t>
      </w:r>
      <w:r w:rsidRPr="00CB1DAB">
        <w:t xml:space="preserve"> work with states and territories to align jurisdiction emergency supply legislation to ensure equitable access for all Australians. </w:t>
      </w:r>
      <w:r w:rsidR="00A24667" w:rsidRPr="00CB1DAB">
        <w:t>The supply quantities of PBS and non-PBS oral contraceptive pill</w:t>
      </w:r>
      <w:r w:rsidR="00C038F5" w:rsidRPr="00CB1DAB">
        <w:t>s</w:t>
      </w:r>
      <w:r w:rsidR="00A24667" w:rsidRPr="00CB1DAB">
        <w:t xml:space="preserve"> allowed under e</w:t>
      </w:r>
      <w:r w:rsidR="00DB1821" w:rsidRPr="00CB1DAB">
        <w:t xml:space="preserve">mergency supply legislation is a </w:t>
      </w:r>
      <w:r w:rsidR="00A24667" w:rsidRPr="00CB1DAB">
        <w:t>decision for</w:t>
      </w:r>
      <w:r w:rsidR="00DB1821" w:rsidRPr="00CB1DAB">
        <w:t xml:space="preserve"> </w:t>
      </w:r>
      <w:r w:rsidR="00F57727" w:rsidRPr="00CB1DAB">
        <w:t>s</w:t>
      </w:r>
      <w:r w:rsidR="00DB1821" w:rsidRPr="00CB1DAB">
        <w:t xml:space="preserve">tate and </w:t>
      </w:r>
      <w:r w:rsidR="00F57727" w:rsidRPr="00CB1DAB">
        <w:t>t</w:t>
      </w:r>
      <w:r w:rsidR="00DB1821" w:rsidRPr="00CB1DAB">
        <w:t>erritory governments</w:t>
      </w:r>
      <w:bookmarkStart w:id="0" w:name="_Hlk146551808"/>
      <w:r w:rsidR="00FE1E9F" w:rsidRPr="00CB1DAB">
        <w:t>.</w:t>
      </w:r>
      <w:r w:rsidR="00A24667" w:rsidRPr="00CB1DAB">
        <w:t xml:space="preserve"> </w:t>
      </w:r>
      <w:r w:rsidR="00E101E5" w:rsidRPr="00CB1DAB">
        <w:rPr>
          <w:rStyle w:val="cf01"/>
          <w:rFonts w:asciiTheme="minorHAnsi" w:hAnsiTheme="minorHAnsi" w:cstheme="minorBidi"/>
          <w:sz w:val="24"/>
          <w:szCs w:val="24"/>
        </w:rPr>
        <w:t>Health Ministers considered this recommendation through the Health Ministers' Meeting in November 2023, and all Health Ministers agreed in</w:t>
      </w:r>
      <w:r w:rsidR="00B7481E" w:rsidRPr="00CB1DAB">
        <w:rPr>
          <w:rStyle w:val="cf01"/>
          <w:rFonts w:asciiTheme="minorHAnsi" w:hAnsiTheme="minorHAnsi" w:cstheme="minorHAnsi"/>
          <w:sz w:val="24"/>
          <w:szCs w:val="24"/>
        </w:rPr>
        <w:noBreakHyphen/>
      </w:r>
      <w:r w:rsidR="00E101E5" w:rsidRPr="00CB1DAB">
        <w:rPr>
          <w:rStyle w:val="cf01"/>
          <w:rFonts w:asciiTheme="minorHAnsi" w:hAnsiTheme="minorHAnsi" w:cstheme="minorBidi"/>
          <w:sz w:val="24"/>
          <w:szCs w:val="24"/>
        </w:rPr>
        <w:t>principle support for the recommendation.</w:t>
      </w:r>
    </w:p>
    <w:bookmarkEnd w:id="0"/>
    <w:p w14:paraId="362ED7AD" w14:textId="2E2F6249" w:rsidR="00EE0959" w:rsidRPr="00CB1DAB" w:rsidRDefault="00465858" w:rsidP="00EE1D82">
      <w:pPr>
        <w:spacing w:after="120"/>
      </w:pPr>
      <w:r w:rsidRPr="00CB1DAB">
        <w:t>Th</w:t>
      </w:r>
      <w:r w:rsidR="00A24667" w:rsidRPr="00CB1DAB">
        <w:t xml:space="preserve">e </w:t>
      </w:r>
      <w:r w:rsidR="00041E76" w:rsidRPr="00CB1DAB">
        <w:t>e</w:t>
      </w:r>
      <w:r w:rsidR="00A24667" w:rsidRPr="00CB1DAB">
        <w:t xml:space="preserve">mergency supply </w:t>
      </w:r>
      <w:r w:rsidRPr="00CB1DAB">
        <w:t>legislation ensures th</w:t>
      </w:r>
      <w:r w:rsidR="00583FEF" w:rsidRPr="00CB1DAB">
        <w:t>e supply of medicine</w:t>
      </w:r>
      <w:r w:rsidRPr="00CB1DAB">
        <w:t xml:space="preserve"> when there is an immediate need and a patient cannot obtain a script. For PBS medicines, this is covered by national Continued Dispensing arrangements</w:t>
      </w:r>
      <w:r w:rsidR="0031391B" w:rsidRPr="00CB1DAB">
        <w:t xml:space="preserve"> where the person has previously been supplied the medicine under the PBS in the last three months, their condition is </w:t>
      </w:r>
      <w:r w:rsidR="0057217D" w:rsidRPr="00CB1DAB">
        <w:t>stable,</w:t>
      </w:r>
      <w:r w:rsidR="0031391B" w:rsidRPr="00CB1DAB">
        <w:t xml:space="preserve"> and the PBS prescriber is unable to be contacted or is unable to provide an electronic or owing PBS prescription</w:t>
      </w:r>
      <w:r w:rsidRPr="00CB1DAB">
        <w:t xml:space="preserve">. </w:t>
      </w:r>
    </w:p>
    <w:p w14:paraId="7E5BF431" w14:textId="08764F1B" w:rsidR="00097729" w:rsidRPr="00CB1DAB" w:rsidRDefault="00CF4545" w:rsidP="00EE1D82">
      <w:pPr>
        <w:spacing w:after="120"/>
      </w:pPr>
      <w:r w:rsidRPr="00CB1DAB">
        <w:t>O</w:t>
      </w:r>
      <w:r w:rsidR="00A24667" w:rsidRPr="00CB1DAB">
        <w:t>ral contraceptives subsidised under the PBS have been able to be supplied</w:t>
      </w:r>
      <w:r w:rsidRPr="00CB1DAB">
        <w:t xml:space="preserve"> since the commencement of Continued Dispensing in 2013</w:t>
      </w:r>
      <w:r w:rsidR="00A24667" w:rsidRPr="00CB1DAB">
        <w:t>.</w:t>
      </w:r>
    </w:p>
    <w:p w14:paraId="17AAA334" w14:textId="324F7D44" w:rsidR="00123FC2" w:rsidRPr="00CB1DAB" w:rsidRDefault="00465858" w:rsidP="00EE1D82">
      <w:pPr>
        <w:spacing w:after="120"/>
      </w:pPr>
      <w:r w:rsidRPr="00CB1DAB">
        <w:t xml:space="preserve">Supply of non-PBS medicines relies on jurisdictional emergency supply legislation. Depending on the jurisdiction, </w:t>
      </w:r>
      <w:r w:rsidR="00154DC7" w:rsidRPr="00CB1DAB">
        <w:t>this</w:t>
      </w:r>
      <w:r w:rsidRPr="00CB1DAB">
        <w:t xml:space="preserve"> range</w:t>
      </w:r>
      <w:r w:rsidR="00154DC7" w:rsidRPr="00CB1DAB">
        <w:t>s</w:t>
      </w:r>
      <w:r w:rsidRPr="00CB1DAB">
        <w:t xml:space="preserve"> </w:t>
      </w:r>
      <w:r w:rsidR="00154DC7" w:rsidRPr="00CB1DAB">
        <w:t>from</w:t>
      </w:r>
      <w:r w:rsidRPr="00CB1DAB">
        <w:t xml:space="preserve"> </w:t>
      </w:r>
      <w:r w:rsidR="005677A0" w:rsidRPr="00CB1DAB">
        <w:t>three</w:t>
      </w:r>
      <w:r w:rsidRPr="00CB1DAB">
        <w:t xml:space="preserve"> </w:t>
      </w:r>
      <w:r w:rsidR="00154DC7" w:rsidRPr="00CB1DAB">
        <w:t xml:space="preserve">to </w:t>
      </w:r>
      <w:r w:rsidR="005677A0" w:rsidRPr="00CB1DAB">
        <w:t>seven</w:t>
      </w:r>
      <w:r w:rsidR="00154DC7" w:rsidRPr="00CB1DAB">
        <w:t xml:space="preserve"> </w:t>
      </w:r>
      <w:r w:rsidR="001C13A9" w:rsidRPr="00CB1DAB">
        <w:t>days’ worth</w:t>
      </w:r>
      <w:r w:rsidRPr="00CB1DAB">
        <w:t xml:space="preserve"> of supply</w:t>
      </w:r>
      <w:r w:rsidR="00154DC7" w:rsidRPr="00CB1DAB">
        <w:t>, or the minimum standard pack</w:t>
      </w:r>
      <w:r w:rsidRPr="00CB1DAB">
        <w:t>.</w:t>
      </w:r>
      <w:r w:rsidR="00307EDB" w:rsidRPr="00CB1DAB">
        <w:t xml:space="preserve"> </w:t>
      </w:r>
      <w:r w:rsidR="004D31F4" w:rsidRPr="00CB1DAB">
        <w:t>New South Wales (NSW)</w:t>
      </w:r>
      <w:r w:rsidR="00CE0E9C" w:rsidRPr="00CB1DAB">
        <w:t xml:space="preserve">, </w:t>
      </w:r>
      <w:r w:rsidR="00D67332" w:rsidRPr="00CB1DAB">
        <w:t xml:space="preserve">South Australia (SA) and Tasmania have permanently expanded pharmacist scope of practice to allow for the resupply of the oral contraceptive pill without a prescription. The </w:t>
      </w:r>
      <w:r w:rsidR="00123FC2" w:rsidRPr="00CB1DAB">
        <w:t xml:space="preserve">Australian Capital Territory (ACT), </w:t>
      </w:r>
      <w:r w:rsidR="00CE0E9C" w:rsidRPr="00CB1DAB">
        <w:t>Queensland,</w:t>
      </w:r>
      <w:r w:rsidR="004D31F4" w:rsidRPr="00CB1DAB">
        <w:t xml:space="preserve"> Victoria</w:t>
      </w:r>
      <w:r w:rsidR="009A7F94" w:rsidRPr="00CB1DAB">
        <w:t xml:space="preserve"> and Western Australia (WA)</w:t>
      </w:r>
      <w:r w:rsidR="004D31F4" w:rsidRPr="00CB1DAB">
        <w:t xml:space="preserve"> have established pilots to trial the </w:t>
      </w:r>
      <w:r w:rsidR="00054615" w:rsidRPr="00CB1DAB">
        <w:t>prescribing of the oral contraceptive pill without a prescription.</w:t>
      </w:r>
      <w:r w:rsidR="00123FC2" w:rsidRPr="00CB1DAB">
        <w:t xml:space="preserve"> </w:t>
      </w:r>
    </w:p>
    <w:p w14:paraId="161B4BEF" w14:textId="0B37F4E2" w:rsidR="004D31F4" w:rsidRPr="00CB1DAB" w:rsidRDefault="00054615" w:rsidP="00EE1D82">
      <w:pPr>
        <w:spacing w:after="120"/>
      </w:pPr>
      <w:r w:rsidRPr="00CB1DAB">
        <w:t>In late 2023, NSW expand</w:t>
      </w:r>
      <w:r w:rsidR="00F6640A" w:rsidRPr="00CB1DAB">
        <w:t>ed</w:t>
      </w:r>
      <w:r w:rsidRPr="00CB1DAB">
        <w:t xml:space="preserve"> their Pharmacy Trial</w:t>
      </w:r>
      <w:r w:rsidR="00BC1B50" w:rsidRPr="00CB1DAB">
        <w:t xml:space="preserve"> </w:t>
      </w:r>
      <w:r w:rsidR="003373A0" w:rsidRPr="00CB1DAB">
        <w:t>to</w:t>
      </w:r>
      <w:r w:rsidRPr="00CB1DAB">
        <w:t xml:space="preserve"> allow eligible women to visit a participating pharmacy to get a resupply of their oral contraceptive pill. </w:t>
      </w:r>
      <w:r w:rsidR="00123FC2" w:rsidRPr="00CB1DAB">
        <w:t>In November 2023, the ACT also commenced a 12-month pilot program which is being implemented through an agreement with the NSW Government to participate in their trial.</w:t>
      </w:r>
      <w:r w:rsidR="009F4D81" w:rsidRPr="00CB1DAB">
        <w:t xml:space="preserve"> NSW announced in September 2024 that the trial would transition to usual practice.</w:t>
      </w:r>
    </w:p>
    <w:p w14:paraId="033CA9E2" w14:textId="576B6D8A" w:rsidR="00CE0E9C" w:rsidRPr="00CB1DAB" w:rsidRDefault="00CE0E9C" w:rsidP="00EE1D82">
      <w:pPr>
        <w:spacing w:after="120"/>
      </w:pPr>
      <w:r w:rsidRPr="00CB1DAB">
        <w:t xml:space="preserve">In September 2023, Queensland announced an expansion of their pharmacy prescribing trial to cover the whole state, initially slated for Northern Queensland </w:t>
      </w:r>
      <w:r w:rsidR="00F6640A" w:rsidRPr="00CB1DAB">
        <w:t>only, and</w:t>
      </w:r>
      <w:r w:rsidRPr="00CB1DAB">
        <w:t xml:space="preserve"> to also include the oral contraceptive pill. Pharmacists who take </w:t>
      </w:r>
      <w:r w:rsidR="00F6640A" w:rsidRPr="00CB1DAB">
        <w:t>part</w:t>
      </w:r>
      <w:r w:rsidRPr="00CB1DAB">
        <w:t xml:space="preserve"> in the trial are required to undergo extra </w:t>
      </w:r>
      <w:r w:rsidR="00F6640A" w:rsidRPr="00CB1DAB">
        <w:t>training</w:t>
      </w:r>
      <w:r w:rsidRPr="00CB1DAB">
        <w:t xml:space="preserve"> </w:t>
      </w:r>
      <w:r w:rsidR="00F6640A" w:rsidRPr="00CB1DAB">
        <w:t>and</w:t>
      </w:r>
      <w:r w:rsidRPr="00CB1DAB">
        <w:t xml:space="preserve"> have suitabl</w:t>
      </w:r>
      <w:r w:rsidR="0057217D">
        <w:t>e</w:t>
      </w:r>
      <w:r w:rsidRPr="00CB1DAB">
        <w:t xml:space="preserve"> private consulting spaces. </w:t>
      </w:r>
      <w:r w:rsidR="00F6640A" w:rsidRPr="00CB1DAB">
        <w:t xml:space="preserve">The trial will roll out over 2024 and 2025. </w:t>
      </w:r>
    </w:p>
    <w:p w14:paraId="3F2152C7" w14:textId="2892DB7D" w:rsidR="00C75DA9" w:rsidRPr="00CB1DAB" w:rsidRDefault="00C75DA9" w:rsidP="00EE1D82">
      <w:pPr>
        <w:spacing w:after="120"/>
      </w:pPr>
      <w:r w:rsidRPr="00CB1DAB">
        <w:t>From October 2023</w:t>
      </w:r>
      <w:r w:rsidR="00BC1B50" w:rsidRPr="00CB1DAB">
        <w:t>,</w:t>
      </w:r>
      <w:r w:rsidRPr="00CB1DAB">
        <w:t xml:space="preserve"> Victoria </w:t>
      </w:r>
      <w:r w:rsidR="00F6640A" w:rsidRPr="00CB1DAB">
        <w:t>commenced</w:t>
      </w:r>
      <w:r w:rsidRPr="00CB1DAB">
        <w:t xml:space="preserve"> a 12-month </w:t>
      </w:r>
      <w:r w:rsidR="00FB04D9" w:rsidRPr="00CB1DAB">
        <w:t>state-wide</w:t>
      </w:r>
      <w:r w:rsidRPr="00CB1DAB">
        <w:t xml:space="preserve"> pilot for participating and appropriately trained community pharmacists to provide continued supply of select oral contraceptive pills without a prescription for women under a structured prescribing model.</w:t>
      </w:r>
      <w:r w:rsidR="00A91EC1" w:rsidRPr="00CB1DAB">
        <w:t xml:space="preserve"> The trial has subsequently been extended to June 2025.</w:t>
      </w:r>
    </w:p>
    <w:p w14:paraId="72687F22" w14:textId="77777777" w:rsidR="00880C8D" w:rsidRPr="00CB1DAB" w:rsidRDefault="00880C8D" w:rsidP="00880C8D">
      <w:pPr>
        <w:spacing w:after="120"/>
      </w:pPr>
      <w:r w:rsidRPr="00CB1DAB">
        <w:lastRenderedPageBreak/>
        <w:t xml:space="preserve">In May 2024, SA and WA announced that pharmacists who have completed appropriate training will be able to provide resupply of oral contraceptives as part of usual practice. Tasmania announced similar arrangements in July 2024. </w:t>
      </w:r>
    </w:p>
    <w:p w14:paraId="3EC01FFF" w14:textId="77777777" w:rsidR="00880C8D" w:rsidRPr="00CB1DAB" w:rsidRDefault="00880C8D" w:rsidP="00EE1D82">
      <w:pPr>
        <w:spacing w:after="120"/>
      </w:pPr>
    </w:p>
    <w:p w14:paraId="0B7AB439" w14:textId="72B9DD05" w:rsidR="00070489" w:rsidRPr="00CB1DAB" w:rsidRDefault="00290B30" w:rsidP="00EE1D82">
      <w:pPr>
        <w:pageBreakBefore/>
        <w:pBdr>
          <w:bottom w:val="single" w:sz="6" w:space="1" w:color="auto"/>
        </w:pBdr>
        <w:spacing w:after="120"/>
        <w:rPr>
          <w:b/>
          <w:bCs/>
        </w:rPr>
      </w:pPr>
      <w:r w:rsidRPr="00CB1DAB">
        <w:rPr>
          <w:b/>
          <w:bCs/>
        </w:rPr>
        <w:lastRenderedPageBreak/>
        <w:t>Recommendation 4</w:t>
      </w:r>
      <w:r w:rsidR="007C5FF5" w:rsidRPr="00CB1DAB">
        <w:rPr>
          <w:b/>
          <w:bCs/>
        </w:rPr>
        <w:t xml:space="preserve"> </w:t>
      </w:r>
    </w:p>
    <w:p w14:paraId="2D83FAF9" w14:textId="57B66503" w:rsidR="00290B30" w:rsidRPr="00CB1DAB" w:rsidRDefault="00290B30" w:rsidP="006465E0">
      <w:pPr>
        <w:spacing w:before="240" w:after="240"/>
        <w:rPr>
          <w:i/>
          <w:iCs/>
        </w:rPr>
      </w:pPr>
      <w:r w:rsidRPr="00CB1DAB">
        <w:rPr>
          <w:i/>
          <w:iCs/>
        </w:rPr>
        <w:t>4: The Committee recommends that the Australian Government reviews, considers and implements options to make contraception more affordable for all people.</w:t>
      </w:r>
    </w:p>
    <w:p w14:paraId="1F5662DC" w14:textId="77777777"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65523365" w14:textId="292A3176" w:rsidR="00A24667" w:rsidRPr="00CB1DAB" w:rsidRDefault="00A24667" w:rsidP="00EE1D82">
      <w:pPr>
        <w:spacing w:after="120"/>
      </w:pPr>
      <w:r w:rsidRPr="00CB1DAB">
        <w:t>The Government supports increasing access to</w:t>
      </w:r>
      <w:r w:rsidR="00DE3DEC" w:rsidRPr="00CB1DAB">
        <w:t xml:space="preserve"> affo</w:t>
      </w:r>
      <w:r w:rsidR="007603C1" w:rsidRPr="00CB1DAB">
        <w:t>r</w:t>
      </w:r>
      <w:r w:rsidR="00DE3DEC" w:rsidRPr="00CB1DAB">
        <w:t>dable</w:t>
      </w:r>
      <w:r w:rsidRPr="00CB1DAB">
        <w:t xml:space="preserve"> contraception. The Government provides relevant subsidised healthcare services through the </w:t>
      </w:r>
      <w:r w:rsidR="0057217D">
        <w:t>MBS</w:t>
      </w:r>
      <w:r w:rsidRPr="00CB1DAB">
        <w:t xml:space="preserve"> and some subsidised contraception options through the </w:t>
      </w:r>
      <w:r w:rsidRPr="00CB1DAB">
        <w:rPr>
          <w:rFonts w:cstheme="minorHAnsi"/>
        </w:rPr>
        <w:t>PBS</w:t>
      </w:r>
      <w:r w:rsidRPr="00CB1DAB">
        <w:t xml:space="preserve">. The MBS provides patient rebates for professional services delivered in private healthcare settings. There are a number of MBS items which provide patient rebates relevant to contraception services, including general </w:t>
      </w:r>
      <w:r w:rsidR="002459E0" w:rsidRPr="00CB1DAB">
        <w:t xml:space="preserve">attendance </w:t>
      </w:r>
      <w:r w:rsidRPr="00CB1DAB">
        <w:t>consult</w:t>
      </w:r>
      <w:r w:rsidR="002459E0" w:rsidRPr="00CB1DAB">
        <w:t>ation</w:t>
      </w:r>
      <w:r w:rsidRPr="00CB1DAB">
        <w:t xml:space="preserve">s during which contraception counselling could occur, as well as specific items that provide a rebate for the insertion and removal of </w:t>
      </w:r>
      <w:r w:rsidR="0050645D" w:rsidRPr="00CB1DAB">
        <w:t>long</w:t>
      </w:r>
      <w:r w:rsidR="00EA00A5" w:rsidRPr="00CB1DAB">
        <w:noBreakHyphen/>
      </w:r>
      <w:r w:rsidR="0050645D" w:rsidRPr="00CB1DAB">
        <w:t>acting</w:t>
      </w:r>
      <w:r w:rsidR="007F5B5A" w:rsidRPr="00CB1DAB">
        <w:t xml:space="preserve"> reversible contraception (</w:t>
      </w:r>
      <w:r w:rsidRPr="00CB1DAB">
        <w:t>LARCs</w:t>
      </w:r>
      <w:r w:rsidR="007F5B5A" w:rsidRPr="00CB1DAB">
        <w:t>)</w:t>
      </w:r>
      <w:r w:rsidRPr="00CB1DAB">
        <w:t xml:space="preserve">. </w:t>
      </w:r>
    </w:p>
    <w:p w14:paraId="55110B30" w14:textId="726E340C" w:rsidR="00C76C29" w:rsidRPr="00CB1DAB" w:rsidRDefault="00C76C29" w:rsidP="00C76C29">
      <w:pPr>
        <w:spacing w:after="120"/>
      </w:pPr>
      <w:r w:rsidRPr="00CB1DAB">
        <w:t xml:space="preserve">In the 2024-25 Budget, the Government committed $5.2 million over </w:t>
      </w:r>
      <w:r w:rsidR="005677A0" w:rsidRPr="00CB1DAB">
        <w:t>three</w:t>
      </w:r>
      <w:r w:rsidRPr="00CB1DAB">
        <w:t xml:space="preserve"> years to support health professionals, including regional and remote practitioners, to undertake free LARC training. Funding will ensure cost is not a barrier to health professionals – including GPs, N</w:t>
      </w:r>
      <w:r w:rsidR="002F52A8">
        <w:t xml:space="preserve">urse </w:t>
      </w:r>
      <w:r w:rsidR="002F52A8" w:rsidRPr="00CB1DAB">
        <w:t>P</w:t>
      </w:r>
      <w:r w:rsidR="002F52A8">
        <w:t>ractition</w:t>
      </w:r>
      <w:r w:rsidR="002F52A8" w:rsidRPr="00CB1DAB">
        <w:t>ers</w:t>
      </w:r>
      <w:r w:rsidR="001C7109" w:rsidRPr="00CB1DAB">
        <w:t>, R</w:t>
      </w:r>
      <w:r w:rsidR="002F52A8">
        <w:t xml:space="preserve">egistered </w:t>
      </w:r>
      <w:r w:rsidR="001C7109" w:rsidRPr="00CB1DAB">
        <w:t>N</w:t>
      </w:r>
      <w:r w:rsidR="002F52A8">
        <w:t>urse</w:t>
      </w:r>
      <w:r w:rsidR="001C7109" w:rsidRPr="00CB1DAB">
        <w:t>s,</w:t>
      </w:r>
      <w:r w:rsidRPr="00CB1DAB">
        <w:t xml:space="preserve"> midwives</w:t>
      </w:r>
      <w:r w:rsidR="001C7109" w:rsidRPr="00CB1DAB">
        <w:t xml:space="preserve"> and Aboriginal </w:t>
      </w:r>
      <w:r w:rsidR="00A50182">
        <w:t xml:space="preserve">and Torres Strait Islander </w:t>
      </w:r>
      <w:r w:rsidR="001C7109" w:rsidRPr="00CB1DAB">
        <w:t>health practitioners</w:t>
      </w:r>
      <w:r w:rsidRPr="00CB1DAB">
        <w:t xml:space="preserve"> – in undertaking LARC training, including if they need to travel to participate. This will ensure a larger number of providers can provide LARC services across Australia and support increased uptake of LARCs, particularly for women living in regional and remote locations.</w:t>
      </w:r>
    </w:p>
    <w:p w14:paraId="1B19A1D9" w14:textId="0FF7EF7F" w:rsidR="003E4F2E" w:rsidRPr="00CB1DAB" w:rsidRDefault="00C76C29" w:rsidP="00693459">
      <w:pPr>
        <w:spacing w:before="120" w:after="120"/>
      </w:pPr>
      <w:r w:rsidRPr="00CB1DAB">
        <w:t>Also i</w:t>
      </w:r>
      <w:r w:rsidR="00C34A8B" w:rsidRPr="00CB1DAB">
        <w:t>n the 2024-25 Budget</w:t>
      </w:r>
      <w:r w:rsidR="002F52A8">
        <w:t>,</w:t>
      </w:r>
      <w:r w:rsidR="00C34A8B" w:rsidRPr="00CB1DAB">
        <w:t xml:space="preserve"> the Government committed to a review or ‘gender audit’ of the MBS items available for </w:t>
      </w:r>
      <w:r w:rsidR="00D66DE3" w:rsidRPr="00CB1DAB">
        <w:t xml:space="preserve">LARC insertion and removal as well as </w:t>
      </w:r>
      <w:r w:rsidR="007A1B42" w:rsidRPr="00CB1DAB">
        <w:t xml:space="preserve">diagnostic imaging. </w:t>
      </w:r>
      <w:r w:rsidRPr="00CB1DAB">
        <w:t>Women should not face higher out-of-pocket costs for health services simply due to their gender, and this audit is examining these specific items and any gender bias in the rates of Medicare rebates and payments.</w:t>
      </w:r>
    </w:p>
    <w:p w14:paraId="56299692" w14:textId="567A9715" w:rsidR="00693459" w:rsidRPr="00CB1DAB" w:rsidRDefault="00693459" w:rsidP="00693459">
      <w:pPr>
        <w:spacing w:before="120" w:after="120"/>
      </w:pPr>
      <w:r w:rsidRPr="00CB1DAB">
        <w:t xml:space="preserve">From 2025-26, the government will build on </w:t>
      </w:r>
      <w:r w:rsidR="002F52A8">
        <w:t>the 2024-25 Budget workforce</w:t>
      </w:r>
      <w:r w:rsidRPr="00CB1DAB">
        <w:t xml:space="preserve"> measure by providing an additional $</w:t>
      </w:r>
      <w:r w:rsidR="00765F7A" w:rsidRPr="00CB1DAB">
        <w:t>17.5 </w:t>
      </w:r>
      <w:r w:rsidRPr="00CB1DAB">
        <w:t xml:space="preserve">million over three years with ongoing funding </w:t>
      </w:r>
      <w:r w:rsidR="00765F7A" w:rsidRPr="00CB1DAB">
        <w:t xml:space="preserve">of $6.6 million per annum from 2028-29 </w:t>
      </w:r>
      <w:r w:rsidRPr="00CB1DAB">
        <w:t>to create LARC Centres of Training Excellence. The LARC Centres of Training Excellence will leverage existing infrastructure to provide training for health professionals in LARC insertion and removal. This training will further enhance health professionals’ ability to deliver appropriate care to a patient for LARC insertion and removal, including effective pain management options.</w:t>
      </w:r>
    </w:p>
    <w:p w14:paraId="14824578" w14:textId="77777777" w:rsidR="00693459" w:rsidRPr="00CB1DAB" w:rsidRDefault="00693459" w:rsidP="00CB1DAB">
      <w:pPr>
        <w:shd w:val="clear" w:color="auto" w:fill="FFFFFF" w:themeFill="background1"/>
        <w:spacing w:before="120" w:after="120"/>
      </w:pPr>
      <w:r w:rsidRPr="00CB1DAB">
        <w:t xml:space="preserve">The Centres of Training Excellence will also provide LARC services to the community for patients wanting a LARC inserted and removed and will be a referral point for providers not trained or confident in delivering these services. An outreach component will be included as part of this model to alleviate the barriers for both health professionals in accessing training and patients accessing LARC services in rural and remote areas. </w:t>
      </w:r>
    </w:p>
    <w:p w14:paraId="4849CAAF" w14:textId="70F4C04C" w:rsidR="008423E5" w:rsidRPr="00CB1DAB" w:rsidRDefault="00CD0374" w:rsidP="00CB1DAB">
      <w:pPr>
        <w:shd w:val="clear" w:color="auto" w:fill="FFFFFF" w:themeFill="background1"/>
        <w:spacing w:before="120" w:after="120"/>
      </w:pPr>
      <w:r w:rsidRPr="00CB1DAB">
        <w:rPr>
          <w:iCs/>
        </w:rPr>
        <w:t>In addition to this, Government will invest an additional $124.6 million over three years from 2025-26 with ongoing funding of $44.7 million per annum from 2028-29 to remove access and affordability barriers for LARCs. This includes increasing the LARC item fees on the MBS and creating new items for Nurse Practitioners in line with advice from the MBS Review Advisory Committee</w:t>
      </w:r>
      <w:r w:rsidR="009925F8">
        <w:rPr>
          <w:iCs/>
        </w:rPr>
        <w:t xml:space="preserve"> (MRAC)</w:t>
      </w:r>
      <w:r w:rsidRPr="00CB1DAB">
        <w:rPr>
          <w:iCs/>
        </w:rPr>
        <w:t xml:space="preserve">. A MBS loading item will also be implemented which can be claimed where a provider provides a bulk-billed LARC MBS service. </w:t>
      </w:r>
    </w:p>
    <w:p w14:paraId="028B44C0" w14:textId="53FB9977" w:rsidR="002443B6" w:rsidRPr="00CB1DAB" w:rsidRDefault="002443B6" w:rsidP="00EE1D82">
      <w:pPr>
        <w:spacing w:after="120"/>
      </w:pPr>
      <w:r w:rsidRPr="00CB1DAB">
        <w:lastRenderedPageBreak/>
        <w:t xml:space="preserve">Contraception can be accessed through </w:t>
      </w:r>
      <w:r w:rsidR="00B61E6E" w:rsidRPr="00CB1DAB">
        <w:t>primary care providers</w:t>
      </w:r>
      <w:r w:rsidRPr="00CB1DAB">
        <w:t xml:space="preserve">, gynaecology medical specialist practices, family planning </w:t>
      </w:r>
      <w:r w:rsidR="007132FA" w:rsidRPr="00CB1DAB">
        <w:t xml:space="preserve">services, </w:t>
      </w:r>
      <w:r w:rsidRPr="00CB1DAB">
        <w:t xml:space="preserve">and some sexual health services and hospital run contraceptive clinics. </w:t>
      </w:r>
    </w:p>
    <w:p w14:paraId="702B6A30" w14:textId="32AD72E5" w:rsidR="00515E6A" w:rsidRPr="00CB1DAB" w:rsidRDefault="006D2F44" w:rsidP="00515E6A">
      <w:pPr>
        <w:spacing w:after="120"/>
        <w:rPr>
          <w:rFonts w:ascii="Calibri" w:eastAsia="Calibri" w:hAnsi="Calibri" w:cs="Calibri"/>
        </w:rPr>
      </w:pPr>
      <w:r w:rsidRPr="00CB1DAB">
        <w:rPr>
          <w:rFonts w:ascii="Calibri" w:eastAsia="Calibri" w:hAnsi="Calibri" w:cs="Calibri"/>
        </w:rPr>
        <w:t>There are currently a range of contraceptive medicines listed on the PBS, including combined oral contraceptive pills, progestogen-only pills, intrauterine devices</w:t>
      </w:r>
      <w:r w:rsidR="007A2ACD">
        <w:rPr>
          <w:rFonts w:ascii="Calibri" w:eastAsia="Calibri" w:hAnsi="Calibri" w:cs="Calibri"/>
        </w:rPr>
        <w:t xml:space="preserve"> (IUD)</w:t>
      </w:r>
      <w:r w:rsidRPr="00CB1DAB">
        <w:rPr>
          <w:rFonts w:ascii="Calibri" w:eastAsia="Calibri" w:hAnsi="Calibri" w:cs="Calibri"/>
        </w:rPr>
        <w:t xml:space="preserve">, hormonal implants and injections. </w:t>
      </w:r>
    </w:p>
    <w:p w14:paraId="556ADBB3" w14:textId="79F2BC36" w:rsidR="006D2F44" w:rsidRPr="00CB1DAB" w:rsidRDefault="006D2F44" w:rsidP="000170F7">
      <w:pPr>
        <w:spacing w:after="120"/>
      </w:pPr>
      <w:r w:rsidRPr="00CB1DAB">
        <w:rPr>
          <w:rFonts w:ascii="Calibri" w:eastAsia="Calibri" w:hAnsi="Calibri" w:cs="Calibri"/>
        </w:rPr>
        <w:t>Medicines dispensed through the PBS are subject to a patient contribution, known as a co</w:t>
      </w:r>
      <w:r w:rsidRPr="00CB1DAB">
        <w:rPr>
          <w:rFonts w:ascii="Cambria Math" w:eastAsia="Calibri" w:hAnsi="Cambria Math" w:cs="Cambria Math"/>
        </w:rPr>
        <w:t>‑</w:t>
      </w:r>
      <w:r w:rsidRPr="00CB1DAB">
        <w:rPr>
          <w:rFonts w:ascii="Calibri" w:eastAsia="Calibri" w:hAnsi="Calibri" w:cs="Calibri"/>
        </w:rPr>
        <w:t xml:space="preserve">payment. The co-payment is the amount the patient pays towards the cost of their PBS medicine. The Government pays the remaining cost. </w:t>
      </w:r>
      <w:r w:rsidRPr="00CB1DAB">
        <w:rPr>
          <w:rFonts w:ascii="Calibri" w:eastAsia="Calibri" w:hAnsi="Calibri" w:cs="Calibri"/>
          <w:lang w:val="en-US"/>
        </w:rPr>
        <w:t xml:space="preserve">Contraceptives that are not PBS-listed are dispensed as private </w:t>
      </w:r>
      <w:r w:rsidRPr="00CB1DAB">
        <w:t xml:space="preserve">prescriptions, and patient charges for private prescriptions are a matter for each pharmacy to determine. Prices can vary between pharmacies.  </w:t>
      </w:r>
    </w:p>
    <w:p w14:paraId="35DFBA62" w14:textId="77351251" w:rsidR="006D2F44" w:rsidRPr="00CB1DAB" w:rsidRDefault="006D2F44" w:rsidP="000170F7">
      <w:pPr>
        <w:spacing w:after="120"/>
      </w:pPr>
      <w:r w:rsidRPr="00CB1DAB">
        <w:t xml:space="preserve">Under legislation, a medicine cannot be listed on the PBS unless the PBAC makes a recommendation in favour of listing. The PBAC is an independent and expert body, comprising doctors, health professionals, health economists and consumer representatives. </w:t>
      </w:r>
    </w:p>
    <w:p w14:paraId="4A3E8669" w14:textId="77777777" w:rsidR="006D2F44" w:rsidRPr="00CB1DAB" w:rsidRDefault="006D2F44" w:rsidP="000170F7">
      <w:pPr>
        <w:spacing w:after="120"/>
        <w:rPr>
          <w:rFonts w:ascii="Calibri" w:eastAsia="Calibri" w:hAnsi="Calibri" w:cs="Calibri"/>
        </w:rPr>
      </w:pPr>
      <w:r w:rsidRPr="00CB1DAB">
        <w:t>When considering a medicine proposed for PBS listing, the PBAC is legally required to consider the comparative</w:t>
      </w:r>
      <w:r w:rsidRPr="00CB1DAB">
        <w:rPr>
          <w:rFonts w:ascii="Calibri" w:eastAsia="Calibri" w:hAnsi="Calibri" w:cs="Calibri"/>
        </w:rPr>
        <w:t xml:space="preserve"> effectiveness and cost-effectiveness of the medicine compared to other available therapies. The PBAC’s consideration is generally initiated when the pharmaceutical company responsible for a medicine applies for PBS listing for specific conditions. Pharmaceutical companies usually hold scientific data and other information necessary to inform the PBAC’s consideration.</w:t>
      </w:r>
    </w:p>
    <w:p w14:paraId="5EC3BC64" w14:textId="4A0C943A" w:rsidR="00B61A2B" w:rsidRPr="00CB1DAB" w:rsidRDefault="006D2F44" w:rsidP="005367D9">
      <w:pPr>
        <w:spacing w:after="120"/>
        <w:rPr>
          <w:rFonts w:ascii="Calibri" w:eastAsia="Calibri" w:hAnsi="Calibri" w:cs="Calibri"/>
        </w:rPr>
      </w:pPr>
      <w:r w:rsidRPr="00CB1DAB">
        <w:rPr>
          <w:rFonts w:ascii="Calibri" w:eastAsia="Calibri" w:hAnsi="Calibri" w:cs="Calibri"/>
        </w:rPr>
        <w:t>Pharmaceutical companies are private entities, and each company makes its own decisions about availability of its medicines, pricing of its medicines in the private market (outside the PBS), and whether it will apply for PBS listing. In March 2024, the Department of Health and Aged Care wrote to pharmaceutical companies with contraceptive medicines that are TGA registered and available on the private market in Australia, requesting they consider applying to the PBAC to list these products on the PBS. The Department of Health and Aged Care has since met with various companies to discuss potential applications to list their contraceptive products on the PBS. However, the Government cannot compel companies to apply for PBS listing.</w:t>
      </w:r>
    </w:p>
    <w:p w14:paraId="74B5C5AE" w14:textId="3802E436" w:rsidR="003E3CF4" w:rsidRPr="00CB1DAB" w:rsidRDefault="00E4491D" w:rsidP="00EE1D82">
      <w:pPr>
        <w:spacing w:after="120"/>
        <w:rPr>
          <w:rFonts w:ascii="Calibri" w:eastAsia="Calibri" w:hAnsi="Calibri" w:cs="Calibri"/>
        </w:rPr>
      </w:pPr>
      <w:r w:rsidRPr="00CB1DAB">
        <w:rPr>
          <w:rFonts w:eastAsia="Calibri"/>
        </w:rPr>
        <w:t>T</w:t>
      </w:r>
      <w:r w:rsidR="003E3CF4" w:rsidRPr="00CB1DAB">
        <w:rPr>
          <w:rFonts w:eastAsia="Calibri"/>
        </w:rPr>
        <w:t xml:space="preserve">he Government recognises the need for more contraceptive </w:t>
      </w:r>
      <w:r w:rsidRPr="00CB1DAB">
        <w:rPr>
          <w:rFonts w:eastAsia="Calibri"/>
        </w:rPr>
        <w:t>options</w:t>
      </w:r>
      <w:r w:rsidR="003E3CF4" w:rsidRPr="00CB1DAB">
        <w:rPr>
          <w:rFonts w:eastAsia="Calibri"/>
        </w:rPr>
        <w:t xml:space="preserve"> to be listed for PBS subsidy. </w:t>
      </w:r>
      <w:r w:rsidR="00920694" w:rsidRPr="00CB1DAB">
        <w:rPr>
          <w:rFonts w:eastAsia="Calibri"/>
        </w:rPr>
        <w:t>T</w:t>
      </w:r>
      <w:r w:rsidR="003E3CF4" w:rsidRPr="00CB1DAB">
        <w:rPr>
          <w:rFonts w:eastAsia="Calibri"/>
        </w:rPr>
        <w:t xml:space="preserve">he Government is considering </w:t>
      </w:r>
      <w:r w:rsidR="0078693E" w:rsidRPr="00CB1DAB">
        <w:rPr>
          <w:rFonts w:eastAsia="Calibri"/>
        </w:rPr>
        <w:t xml:space="preserve">options for reform (including those made by the Health Technology Assessment (HTA) </w:t>
      </w:r>
      <w:r w:rsidR="00BD6364" w:rsidRPr="00CB1DAB">
        <w:rPr>
          <w:rFonts w:eastAsia="Calibri"/>
        </w:rPr>
        <w:t xml:space="preserve">Policy and Methods </w:t>
      </w:r>
      <w:r w:rsidR="0078693E" w:rsidRPr="00CB1DAB">
        <w:rPr>
          <w:rFonts w:eastAsia="Calibri"/>
        </w:rPr>
        <w:t>Review)</w:t>
      </w:r>
      <w:r w:rsidR="002A17FA" w:rsidRPr="00CB1DAB">
        <w:rPr>
          <w:rFonts w:eastAsia="Calibri"/>
        </w:rPr>
        <w:t xml:space="preserve"> </w:t>
      </w:r>
      <w:r w:rsidR="003E3CF4" w:rsidRPr="00CB1DAB">
        <w:rPr>
          <w:rFonts w:eastAsia="Calibri"/>
        </w:rPr>
        <w:t xml:space="preserve">to encourage pharmaceutical companies to apply for </w:t>
      </w:r>
      <w:r w:rsidR="002A17FA" w:rsidRPr="00CB1DAB">
        <w:rPr>
          <w:rFonts w:eastAsia="Calibri"/>
        </w:rPr>
        <w:t>PBS listing</w:t>
      </w:r>
      <w:r w:rsidR="00DD22E9" w:rsidRPr="00CB1DAB">
        <w:rPr>
          <w:rFonts w:eastAsia="Calibri"/>
        </w:rPr>
        <w:t xml:space="preserve"> of</w:t>
      </w:r>
      <w:r w:rsidR="003E3CF4" w:rsidRPr="00CB1DAB">
        <w:rPr>
          <w:rFonts w:eastAsia="Calibri"/>
        </w:rPr>
        <w:t xml:space="preserve"> </w:t>
      </w:r>
      <w:r w:rsidR="00DD22E9" w:rsidRPr="00CB1DAB">
        <w:rPr>
          <w:rFonts w:eastAsia="Calibri"/>
        </w:rPr>
        <w:t>medicines</w:t>
      </w:r>
      <w:r w:rsidR="00BD6364" w:rsidRPr="00CB1DAB">
        <w:rPr>
          <w:rFonts w:eastAsia="Calibri"/>
        </w:rPr>
        <w:t xml:space="preserve"> which address an unmet clinical need (which would include different contraceptive medicines</w:t>
      </w:r>
      <w:r w:rsidR="002F52A8">
        <w:rPr>
          <w:rFonts w:eastAsia="Calibri"/>
        </w:rPr>
        <w:t>)</w:t>
      </w:r>
      <w:r w:rsidR="00500987" w:rsidRPr="00CB1DAB">
        <w:rPr>
          <w:rFonts w:eastAsia="Calibri"/>
        </w:rPr>
        <w:t xml:space="preserve">. </w:t>
      </w:r>
    </w:p>
    <w:p w14:paraId="39671837" w14:textId="38AC930C" w:rsidR="00BF657F" w:rsidRPr="00CB1DAB" w:rsidRDefault="00F5649D" w:rsidP="00EE1D82">
      <w:pPr>
        <w:spacing w:after="120"/>
      </w:pPr>
      <w:r w:rsidRPr="00CB1DAB">
        <w:t>T</w:t>
      </w:r>
      <w:r w:rsidR="00BF657F" w:rsidRPr="00CB1DAB">
        <w:t xml:space="preserve">he Government also provides funding contributions through the National Health Reform Agreement (NHRA) to assist states and territories with the cost of delivering public health and hospital services, including for </w:t>
      </w:r>
      <w:r w:rsidR="008173BA" w:rsidRPr="00CB1DAB">
        <w:t xml:space="preserve">contraception </w:t>
      </w:r>
      <w:r w:rsidR="00BF657F" w:rsidRPr="00CB1DAB">
        <w:t>services delivered through emergency departments, admitted and non-admitted care, subacute care and some community health settings.</w:t>
      </w:r>
    </w:p>
    <w:p w14:paraId="04AD6F3B" w14:textId="3A6E0E04" w:rsidR="00290B30" w:rsidRPr="00CB1DAB" w:rsidRDefault="00290B30" w:rsidP="00A27907">
      <w:pPr>
        <w:spacing w:after="120"/>
      </w:pPr>
      <w:r w:rsidRPr="00CB1DAB">
        <w:br w:type="page"/>
      </w:r>
    </w:p>
    <w:p w14:paraId="6F5433ED" w14:textId="0EA0DA44" w:rsidR="00290B30" w:rsidRPr="00CB1DAB" w:rsidRDefault="00290B30" w:rsidP="00EE1D82">
      <w:pPr>
        <w:pBdr>
          <w:bottom w:val="single" w:sz="6" w:space="1" w:color="auto"/>
        </w:pBdr>
        <w:spacing w:after="120"/>
        <w:rPr>
          <w:b/>
          <w:bCs/>
        </w:rPr>
      </w:pPr>
      <w:r w:rsidRPr="00CB1DAB">
        <w:rPr>
          <w:b/>
          <w:bCs/>
        </w:rPr>
        <w:lastRenderedPageBreak/>
        <w:t>Recommendation 5</w:t>
      </w:r>
    </w:p>
    <w:p w14:paraId="0C58EC22" w14:textId="4242B750" w:rsidR="00290B30" w:rsidRPr="00CB1DAB" w:rsidRDefault="00290B30" w:rsidP="006465E0">
      <w:pPr>
        <w:spacing w:before="240" w:after="240"/>
        <w:rPr>
          <w:i/>
          <w:iCs/>
        </w:rPr>
      </w:pPr>
      <w:r w:rsidRPr="00CB1DAB">
        <w:rPr>
          <w:i/>
          <w:iCs/>
        </w:rPr>
        <w:t>5: The Committee recommends that the Australian Government ensures that there is adequate remuneration, through Medicare, for general practitioners, nurses, and midwives to provide contraceptive administration services, including the insertion and removal of long</w:t>
      </w:r>
      <w:r w:rsidR="00D00405" w:rsidRPr="00CB1DAB">
        <w:rPr>
          <w:i/>
          <w:iCs/>
        </w:rPr>
        <w:noBreakHyphen/>
      </w:r>
      <w:r w:rsidRPr="00CB1DAB">
        <w:rPr>
          <w:i/>
          <w:iCs/>
        </w:rPr>
        <w:t>acting reversible contraceptives.</w:t>
      </w:r>
    </w:p>
    <w:p w14:paraId="66A64D41" w14:textId="3541F42B" w:rsidR="00A24667" w:rsidRPr="00CB1DAB" w:rsidRDefault="00A24667" w:rsidP="006465E0">
      <w:pPr>
        <w:spacing w:before="240" w:after="240"/>
      </w:pPr>
      <w:r w:rsidRPr="00CB1DAB">
        <w:t xml:space="preserve">The Australian Government </w:t>
      </w:r>
      <w:r w:rsidRPr="00CB1DAB">
        <w:rPr>
          <w:b/>
          <w:bCs/>
        </w:rPr>
        <w:t xml:space="preserve">supports </w:t>
      </w:r>
      <w:r w:rsidRPr="00CB1DAB">
        <w:t>this recommendation.</w:t>
      </w:r>
    </w:p>
    <w:p w14:paraId="5F839C04" w14:textId="23FDFE88" w:rsidR="005B1A1C" w:rsidRPr="00CB1DAB" w:rsidRDefault="0089594E" w:rsidP="0089594E">
      <w:pPr>
        <w:spacing w:after="120"/>
      </w:pPr>
      <w:bookmarkStart w:id="1" w:name="_Hlk146544784"/>
      <w:r w:rsidRPr="00CB1DAB">
        <w:t>In the 2024-25 Budget</w:t>
      </w:r>
      <w:r w:rsidR="002F52A8">
        <w:t>,</w:t>
      </w:r>
      <w:r w:rsidRPr="00CB1DAB">
        <w:t xml:space="preserve"> the Government committed to a review</w:t>
      </w:r>
      <w:r w:rsidR="00E013AB" w:rsidRPr="00CB1DAB">
        <w:t xml:space="preserve"> or ‘gender audit’</w:t>
      </w:r>
      <w:r w:rsidRPr="00CB1DAB">
        <w:t xml:space="preserve"> of the MBS items available for LARC insertion and removal as well as a review of any gendered differences in MBS items for diagnostic imaging services</w:t>
      </w:r>
      <w:r w:rsidR="00DD0086" w:rsidRPr="00CB1DAB">
        <w:t xml:space="preserve">. </w:t>
      </w:r>
      <w:r w:rsidRPr="00CB1DAB">
        <w:t xml:space="preserve">As part of the review, consideration </w:t>
      </w:r>
      <w:r w:rsidR="00F8178F" w:rsidRPr="00CB1DAB">
        <w:t>is</w:t>
      </w:r>
      <w:r w:rsidR="00C20654" w:rsidRPr="00CB1DAB">
        <w:t xml:space="preserve"> </w:t>
      </w:r>
      <w:r w:rsidRPr="00CB1DAB">
        <w:t>be</w:t>
      </w:r>
      <w:r w:rsidR="00F8178F" w:rsidRPr="00CB1DAB">
        <w:t>ing</w:t>
      </w:r>
      <w:r w:rsidRPr="00CB1DAB">
        <w:t xml:space="preserve"> given to the appropriateness of the items to support equitable and affordable access for women to high quality, safe services provided by appropriately trained health practitioners, including doctors, N</w:t>
      </w:r>
      <w:r w:rsidR="002F52A8">
        <w:t xml:space="preserve">urse </w:t>
      </w:r>
      <w:r w:rsidRPr="00CB1DAB">
        <w:t>P</w:t>
      </w:r>
      <w:r w:rsidR="002F52A8">
        <w:t>ractitioner</w:t>
      </w:r>
      <w:r w:rsidRPr="00CB1DAB">
        <w:t>s</w:t>
      </w:r>
      <w:r w:rsidR="00725CDF" w:rsidRPr="00CB1DAB">
        <w:t>, midwives</w:t>
      </w:r>
      <w:r w:rsidRPr="00CB1DAB">
        <w:t xml:space="preserve"> and nurses.</w:t>
      </w:r>
      <w:r w:rsidR="00F8178F" w:rsidRPr="00CB1DAB">
        <w:t xml:space="preserve"> </w:t>
      </w:r>
    </w:p>
    <w:p w14:paraId="17869A6D" w14:textId="67080968" w:rsidR="00B036C2" w:rsidRPr="00CB1DAB" w:rsidRDefault="00B036C2" w:rsidP="00B036C2">
      <w:pPr>
        <w:spacing w:after="120"/>
      </w:pPr>
      <w:r w:rsidRPr="00CB1DAB">
        <w:t>The MRAC commenced this work and provided preliminary recommendations to the Government in August 2024.</w:t>
      </w:r>
      <w:r w:rsidR="006B4B54">
        <w:t xml:space="preserve"> </w:t>
      </w:r>
      <w:r w:rsidR="00E323A7">
        <w:t>I</w:t>
      </w:r>
      <w:r w:rsidRPr="00CB1DAB">
        <w:t xml:space="preserve">n line with the MRAC’s advice, </w:t>
      </w:r>
      <w:r w:rsidR="00E907CB" w:rsidRPr="00CB1DAB">
        <w:rPr>
          <w:iCs/>
        </w:rPr>
        <w:t>Government committed to investing an additional $124.6 million over three years from 2025-26 with ongoing funding of $44.7 million per annum from 2028-29 to remove access and affordability barriers for LARCs. This includes increasing the LARC item fees on the MBS and creating new items for Nurse Practitioners in line with advice from the MBS Review Advisory Committee. A MBS loading item will also be implemented which can be claimed where a provider provides a bulk-billed LARC MBS service.</w:t>
      </w:r>
      <w:r w:rsidR="00E907CB" w:rsidRPr="00CB1DAB" w:rsidDel="00E4770A">
        <w:t xml:space="preserve"> </w:t>
      </w:r>
      <w:r w:rsidR="00393D4D" w:rsidRPr="00CB1DAB">
        <w:t>This better recognise</w:t>
      </w:r>
      <w:r w:rsidR="008169E2" w:rsidRPr="00CB1DAB">
        <w:t>s</w:t>
      </w:r>
      <w:r w:rsidR="00393D4D" w:rsidRPr="00CB1DAB">
        <w:t xml:space="preserve"> the costs incurred by the range of providers involved in delivering these services. </w:t>
      </w:r>
    </w:p>
    <w:p w14:paraId="057757A8" w14:textId="3656F026" w:rsidR="00DB7E80" w:rsidRPr="00CB1DAB" w:rsidRDefault="00B036C2" w:rsidP="00DB7E80">
      <w:pPr>
        <w:spacing w:before="120" w:after="120"/>
      </w:pPr>
      <w:r w:rsidRPr="00CB1DAB">
        <w:t xml:space="preserve">The MRAC’s review work is ongoing to consider how a broader range of health professionals may be well placed to support access for patients for LARC insertion and removal, as well as to consider more broadly how the MBS may unintentionally create disincentives for health professionals to address </w:t>
      </w:r>
      <w:r w:rsidR="007A2ACD">
        <w:t>w</w:t>
      </w:r>
      <w:r w:rsidRPr="00CB1DAB">
        <w:t xml:space="preserve">omen’s </w:t>
      </w:r>
      <w:r w:rsidR="007A2ACD">
        <w:t>h</w:t>
      </w:r>
      <w:r w:rsidRPr="00CB1DAB">
        <w:t>ealth.</w:t>
      </w:r>
      <w:r w:rsidR="00DB7E80" w:rsidRPr="00CB1DAB">
        <w:t xml:space="preserve"> </w:t>
      </w:r>
    </w:p>
    <w:p w14:paraId="518D0426" w14:textId="45341A42" w:rsidR="003D37D0" w:rsidRPr="00CB1DAB" w:rsidRDefault="00935099" w:rsidP="00EE1D82">
      <w:pPr>
        <w:spacing w:after="120"/>
      </w:pPr>
      <w:r w:rsidRPr="00CB1DAB">
        <w:t xml:space="preserve">Medicare rebates are </w:t>
      </w:r>
      <w:r w:rsidR="003D37D0" w:rsidRPr="00CB1DAB">
        <w:t>benefits</w:t>
      </w:r>
      <w:r w:rsidRPr="00CB1DAB">
        <w:t xml:space="preserve"> </w:t>
      </w:r>
      <w:r w:rsidR="00D223F0" w:rsidRPr="00CB1DAB">
        <w:t xml:space="preserve">paid </w:t>
      </w:r>
      <w:r w:rsidRPr="00CB1DAB">
        <w:t xml:space="preserve">to patients </w:t>
      </w:r>
      <w:r w:rsidR="00B30C93" w:rsidRPr="00CB1DAB">
        <w:t xml:space="preserve">to provide financial assistance towards the costs of their </w:t>
      </w:r>
      <w:r w:rsidR="0098546A" w:rsidRPr="00CB1DAB">
        <w:t>health</w:t>
      </w:r>
      <w:r w:rsidR="00B30C93" w:rsidRPr="00CB1DAB">
        <w:t xml:space="preserve"> services. </w:t>
      </w:r>
      <w:r w:rsidR="00A52DA2" w:rsidRPr="00CB1DAB">
        <w:t xml:space="preserve">On 1 November 2023, new general attendance items for consultations of 60 minutes or more (known as level E) became available to support improved access and service affordability for patients with complex needs. These new general attendance items were accompanied by a tripling of </w:t>
      </w:r>
      <w:r w:rsidR="003D37D0" w:rsidRPr="00CB1DAB">
        <w:t xml:space="preserve">the bulk billing incentives for patients with a Commonwealth </w:t>
      </w:r>
      <w:r w:rsidR="00F862C6">
        <w:t>C</w:t>
      </w:r>
      <w:r w:rsidR="003D37D0" w:rsidRPr="00CB1DAB">
        <w:t xml:space="preserve">oncession </w:t>
      </w:r>
      <w:r w:rsidR="00F862C6">
        <w:t>C</w:t>
      </w:r>
      <w:r w:rsidR="003D37D0" w:rsidRPr="00CB1DAB">
        <w:t xml:space="preserve">ard and children under 16 years of age for the most common GP consultation </w:t>
      </w:r>
      <w:r w:rsidR="00BF1652" w:rsidRPr="00CB1DAB">
        <w:t>items that</w:t>
      </w:r>
      <w:r w:rsidR="003D37D0" w:rsidRPr="00CB1DAB">
        <w:t xml:space="preserve"> is:</w:t>
      </w:r>
    </w:p>
    <w:p w14:paraId="50B409CC" w14:textId="10D958D3" w:rsidR="003D37D0" w:rsidRPr="00CB1DAB" w:rsidRDefault="003D37D0" w:rsidP="00326B55">
      <w:pPr>
        <w:pStyle w:val="ListParagraph"/>
        <w:numPr>
          <w:ilvl w:val="0"/>
          <w:numId w:val="50"/>
        </w:numPr>
        <w:spacing w:after="120"/>
        <w:ind w:left="714" w:hanging="357"/>
        <w:contextualSpacing w:val="0"/>
        <w:rPr>
          <w:sz w:val="24"/>
          <w:szCs w:val="24"/>
        </w:rPr>
      </w:pPr>
      <w:r w:rsidRPr="00CB1DAB">
        <w:rPr>
          <w:sz w:val="24"/>
          <w:szCs w:val="24"/>
        </w:rPr>
        <w:t xml:space="preserve">All face-to-face general attendance consultations more than </w:t>
      </w:r>
      <w:r w:rsidR="00515E6A" w:rsidRPr="00CB1DAB">
        <w:rPr>
          <w:sz w:val="24"/>
          <w:szCs w:val="24"/>
        </w:rPr>
        <w:t>six</w:t>
      </w:r>
      <w:r w:rsidRPr="00CB1DAB">
        <w:rPr>
          <w:sz w:val="24"/>
          <w:szCs w:val="24"/>
        </w:rPr>
        <w:t xml:space="preserve"> minutes in length</w:t>
      </w:r>
      <w:r w:rsidR="00C757F8" w:rsidRPr="00CB1DAB">
        <w:rPr>
          <w:sz w:val="24"/>
          <w:szCs w:val="24"/>
        </w:rPr>
        <w:t>.</w:t>
      </w:r>
    </w:p>
    <w:p w14:paraId="0A0F8A43" w14:textId="4D8CDC06" w:rsidR="003D37D0" w:rsidRPr="00CB1DAB" w:rsidRDefault="003D37D0" w:rsidP="00326B55">
      <w:pPr>
        <w:pStyle w:val="ListParagraph"/>
        <w:numPr>
          <w:ilvl w:val="0"/>
          <w:numId w:val="50"/>
        </w:numPr>
        <w:spacing w:after="120"/>
        <w:ind w:left="714" w:hanging="357"/>
        <w:contextualSpacing w:val="0"/>
        <w:rPr>
          <w:sz w:val="24"/>
          <w:szCs w:val="24"/>
        </w:rPr>
      </w:pPr>
      <w:r w:rsidRPr="00CB1DAB">
        <w:rPr>
          <w:sz w:val="24"/>
          <w:szCs w:val="24"/>
        </w:rPr>
        <w:t xml:space="preserve">All telehealth general attendance consultations which are between </w:t>
      </w:r>
      <w:r w:rsidR="00515E6A" w:rsidRPr="00CB1DAB">
        <w:rPr>
          <w:sz w:val="24"/>
          <w:szCs w:val="24"/>
        </w:rPr>
        <w:t>six</w:t>
      </w:r>
      <w:r w:rsidRPr="00CB1DAB">
        <w:rPr>
          <w:sz w:val="24"/>
          <w:szCs w:val="24"/>
        </w:rPr>
        <w:t xml:space="preserve"> and 20</w:t>
      </w:r>
      <w:r w:rsidR="00515E6A" w:rsidRPr="00CB1DAB">
        <w:rPr>
          <w:sz w:val="24"/>
          <w:szCs w:val="24"/>
        </w:rPr>
        <w:t> </w:t>
      </w:r>
      <w:r w:rsidRPr="00CB1DAB">
        <w:rPr>
          <w:sz w:val="24"/>
          <w:szCs w:val="24"/>
        </w:rPr>
        <w:t>minutes in length (known as Level B consultations)</w:t>
      </w:r>
      <w:r w:rsidR="00C757F8" w:rsidRPr="00CB1DAB">
        <w:rPr>
          <w:sz w:val="24"/>
          <w:szCs w:val="24"/>
        </w:rPr>
        <w:t>.</w:t>
      </w:r>
    </w:p>
    <w:p w14:paraId="1E0C1A9F" w14:textId="5F729668" w:rsidR="003D37D0" w:rsidRPr="00CB1DAB" w:rsidRDefault="003D37D0" w:rsidP="00326B55">
      <w:pPr>
        <w:pStyle w:val="ListParagraph"/>
        <w:numPr>
          <w:ilvl w:val="0"/>
          <w:numId w:val="50"/>
        </w:numPr>
        <w:spacing w:after="120"/>
        <w:ind w:left="714" w:hanging="357"/>
        <w:contextualSpacing w:val="0"/>
        <w:rPr>
          <w:sz w:val="24"/>
          <w:szCs w:val="24"/>
        </w:rPr>
      </w:pPr>
      <w:r w:rsidRPr="00CB1DAB">
        <w:rPr>
          <w:sz w:val="24"/>
          <w:szCs w:val="24"/>
        </w:rPr>
        <w:t>Longer telehealth phone and video general attendance consultations where a patient is registered through MyMedicare</w:t>
      </w:r>
      <w:r w:rsidR="00D1143B" w:rsidRPr="00CB1DAB">
        <w:rPr>
          <w:sz w:val="24"/>
          <w:szCs w:val="24"/>
        </w:rPr>
        <w:t xml:space="preserve"> and the service is provided at the practice where they are registered</w:t>
      </w:r>
      <w:r w:rsidRPr="00CB1DAB">
        <w:rPr>
          <w:sz w:val="24"/>
          <w:szCs w:val="24"/>
        </w:rPr>
        <w:t>.</w:t>
      </w:r>
    </w:p>
    <w:p w14:paraId="214DB905" w14:textId="088E4D36" w:rsidR="006A694F" w:rsidRPr="00CB1DAB" w:rsidRDefault="00D1143B" w:rsidP="00EE1D82">
      <w:pPr>
        <w:spacing w:after="120"/>
      </w:pPr>
      <w:r w:rsidRPr="00CB1DAB">
        <w:t xml:space="preserve">The tripled bulk billing incentive reflects the incentive scaling based on the rurality of the practice. This means the incentive increases for patients attending practices in regional, rural and remote communities. </w:t>
      </w:r>
      <w:r w:rsidR="003D37D0" w:rsidRPr="00CB1DAB">
        <w:t xml:space="preserve">This </w:t>
      </w:r>
      <w:r w:rsidRPr="00CB1DAB">
        <w:t>investment</w:t>
      </w:r>
      <w:r w:rsidR="00464A8E" w:rsidRPr="00CB1DAB">
        <w:t xml:space="preserve"> increas</w:t>
      </w:r>
      <w:r w:rsidR="003D37D0" w:rsidRPr="00CB1DAB">
        <w:t>e</w:t>
      </w:r>
      <w:r w:rsidRPr="00CB1DAB">
        <w:t xml:space="preserve">s benefits for healthcare provision for eligible patients for consultations which may include counselling and the prescribing of </w:t>
      </w:r>
      <w:r w:rsidRPr="00CB1DAB">
        <w:lastRenderedPageBreak/>
        <w:t xml:space="preserve">contraception, such as the oral contraceptive pill. For procedural items, such as the introduction of an </w:t>
      </w:r>
      <w:r w:rsidR="007A2ACD">
        <w:t xml:space="preserve">IUD, </w:t>
      </w:r>
      <w:r w:rsidRPr="00CB1DAB">
        <w:t>standard bulk billing incentives continue to apply.</w:t>
      </w:r>
      <w:r w:rsidR="00464A8E" w:rsidRPr="00CB1DAB">
        <w:t xml:space="preserve"> </w:t>
      </w:r>
    </w:p>
    <w:p w14:paraId="54816BDA" w14:textId="7861C0F1" w:rsidR="001B26EE" w:rsidRPr="00CB1DAB" w:rsidRDefault="001B26EE" w:rsidP="005367D9">
      <w:pPr>
        <w:spacing w:after="120"/>
      </w:pPr>
      <w:r w:rsidRPr="00CB1DAB">
        <w:t xml:space="preserve">From 1 November 2024, </w:t>
      </w:r>
      <w:r w:rsidR="00D1354F" w:rsidRPr="00CB1DAB">
        <w:t>N</w:t>
      </w:r>
      <w:r w:rsidR="007A2ACD">
        <w:t xml:space="preserve">urse </w:t>
      </w:r>
      <w:r w:rsidR="00D1354F" w:rsidRPr="00CB1DAB">
        <w:t>P</w:t>
      </w:r>
      <w:r w:rsidR="007A2ACD">
        <w:t>ractitioner</w:t>
      </w:r>
      <w:r w:rsidR="00D1354F" w:rsidRPr="00CB1DAB">
        <w:t>s</w:t>
      </w:r>
      <w:r w:rsidRPr="00CB1DAB">
        <w:t xml:space="preserve"> will</w:t>
      </w:r>
      <w:r w:rsidR="00EB3427" w:rsidRPr="00CB1DAB">
        <w:t xml:space="preserve"> have expanded requesting rights that will allow them</w:t>
      </w:r>
      <w:r w:rsidRPr="00CB1DAB">
        <w:t xml:space="preserve"> to request further ultrasound services under Medicare to assist with </w:t>
      </w:r>
      <w:r w:rsidR="00EB3427" w:rsidRPr="00CB1DAB">
        <w:t xml:space="preserve">patient care, including </w:t>
      </w:r>
      <w:r w:rsidRPr="00CB1DAB">
        <w:t>the before and after care requirements of the MS-2 Step medical abortion program.</w:t>
      </w:r>
    </w:p>
    <w:p w14:paraId="3D7FD35A" w14:textId="6924A4D3" w:rsidR="00CC138D" w:rsidRPr="00CB1DAB" w:rsidRDefault="007A2ACD" w:rsidP="00500987">
      <w:pPr>
        <w:spacing w:after="120"/>
      </w:pPr>
      <w:bookmarkStart w:id="2" w:name="_Hlk153801469"/>
      <w:bookmarkEnd w:id="1"/>
      <w:r w:rsidRPr="00CB1DAB">
        <w:t>N</w:t>
      </w:r>
      <w:r>
        <w:t xml:space="preserve">urse </w:t>
      </w:r>
      <w:r w:rsidRPr="00CB1DAB">
        <w:t>P</w:t>
      </w:r>
      <w:r>
        <w:t>ractitioner</w:t>
      </w:r>
      <w:r w:rsidRPr="00CB1DAB">
        <w:t>s</w:t>
      </w:r>
      <w:r w:rsidR="0098546A" w:rsidRPr="00CB1DAB">
        <w:t xml:space="preserve"> </w:t>
      </w:r>
      <w:r w:rsidR="006A14C6" w:rsidRPr="00CB1DAB">
        <w:t xml:space="preserve">and </w:t>
      </w:r>
      <w:r w:rsidR="0098546A" w:rsidRPr="00CB1DAB">
        <w:t xml:space="preserve">Endorsed </w:t>
      </w:r>
      <w:r w:rsidR="00F43EEA" w:rsidRPr="00CB1DAB">
        <w:t>Midwives</w:t>
      </w:r>
      <w:r w:rsidR="0098546A" w:rsidRPr="00CB1DAB">
        <w:t xml:space="preserve"> (E</w:t>
      </w:r>
      <w:r w:rsidR="004A55FC" w:rsidRPr="00CB1DAB">
        <w:t>M</w:t>
      </w:r>
      <w:r w:rsidR="0098546A" w:rsidRPr="00CB1DAB">
        <w:t>s)</w:t>
      </w:r>
      <w:r w:rsidR="006A14C6" w:rsidRPr="00CB1DAB">
        <w:t xml:space="preserve"> have access to the MBS. </w:t>
      </w:r>
      <w:r w:rsidRPr="00CB1DAB">
        <w:t>N</w:t>
      </w:r>
      <w:r>
        <w:t xml:space="preserve">urse </w:t>
      </w:r>
      <w:r w:rsidRPr="00CB1DAB">
        <w:t>P</w:t>
      </w:r>
      <w:r>
        <w:t>ractitioner</w:t>
      </w:r>
      <w:r w:rsidRPr="00CB1DAB">
        <w:t>s</w:t>
      </w:r>
      <w:r w:rsidR="006A14C6" w:rsidRPr="00CB1DAB">
        <w:t xml:space="preserve"> have time tiered items and </w:t>
      </w:r>
      <w:r w:rsidR="0098546A" w:rsidRPr="00CB1DAB">
        <w:t xml:space="preserve">EMs </w:t>
      </w:r>
      <w:r w:rsidR="006A14C6" w:rsidRPr="00CB1DAB">
        <w:t xml:space="preserve">have </w:t>
      </w:r>
      <w:r w:rsidR="003D37D0" w:rsidRPr="00CB1DAB">
        <w:t>several</w:t>
      </w:r>
      <w:r w:rsidR="006A14C6" w:rsidRPr="00CB1DAB">
        <w:t xml:space="preserve"> </w:t>
      </w:r>
      <w:r w:rsidR="00493AF3" w:rsidRPr="00CB1DAB">
        <w:t xml:space="preserve">MBS </w:t>
      </w:r>
      <w:r w:rsidR="006A14C6" w:rsidRPr="00CB1DAB">
        <w:t xml:space="preserve">items </w:t>
      </w:r>
      <w:r w:rsidR="003D37D0" w:rsidRPr="00CB1DAB">
        <w:t>that</w:t>
      </w:r>
      <w:r w:rsidR="006A14C6" w:rsidRPr="00CB1DAB">
        <w:t xml:space="preserve"> may be applied to address contraception administrative services and counselling. </w:t>
      </w:r>
      <w:r w:rsidR="003A2D92" w:rsidRPr="00CB1DAB">
        <w:t>F</w:t>
      </w:r>
      <w:r w:rsidR="00537B02" w:rsidRPr="00CB1DAB">
        <w:t>rom 1</w:t>
      </w:r>
      <w:r w:rsidR="003A2D92" w:rsidRPr="00CB1DAB">
        <w:t> </w:t>
      </w:r>
      <w:r w:rsidR="00CC138D" w:rsidRPr="00CB1DAB">
        <w:t xml:space="preserve">July </w:t>
      </w:r>
      <w:r w:rsidR="00537B02" w:rsidRPr="00CB1DAB">
        <w:t>202</w:t>
      </w:r>
      <w:r w:rsidR="00CC138D" w:rsidRPr="00CB1DAB">
        <w:t>4</w:t>
      </w:r>
      <w:r>
        <w:t>,</w:t>
      </w:r>
      <w:r w:rsidR="003D37D0" w:rsidRPr="00CB1DAB">
        <w:t xml:space="preserve"> MBS rebates for </w:t>
      </w:r>
      <w:r w:rsidRPr="00CB1DAB">
        <w:t>N</w:t>
      </w:r>
      <w:r>
        <w:t xml:space="preserve">urse </w:t>
      </w:r>
      <w:r w:rsidRPr="00CB1DAB">
        <w:t>P</w:t>
      </w:r>
      <w:r>
        <w:t>ractitioner</w:t>
      </w:r>
      <w:r w:rsidRPr="00CB1DAB">
        <w:t>s</w:t>
      </w:r>
      <w:r w:rsidR="003D37D0" w:rsidRPr="00CB1DAB">
        <w:t xml:space="preserve"> general attendance items increased by 30</w:t>
      </w:r>
      <w:r w:rsidR="00811899">
        <w:t xml:space="preserve"> per cent</w:t>
      </w:r>
      <w:r w:rsidR="003D37D0" w:rsidRPr="00CB1DAB">
        <w:t xml:space="preserve"> as part of the Strengthening </w:t>
      </w:r>
      <w:r w:rsidR="009F433B" w:rsidRPr="00CB1DAB">
        <w:t>Medicare</w:t>
      </w:r>
      <w:r w:rsidR="003D37D0" w:rsidRPr="00CB1DAB">
        <w:t xml:space="preserve"> Taskforce reforms. </w:t>
      </w:r>
      <w:r w:rsidR="00CC138D" w:rsidRPr="00CB1DAB">
        <w:t>From 1</w:t>
      </w:r>
      <w:r w:rsidR="00515E6A" w:rsidRPr="00CB1DAB">
        <w:t> </w:t>
      </w:r>
      <w:r w:rsidR="00CC138D" w:rsidRPr="00CB1DAB">
        <w:t>March</w:t>
      </w:r>
      <w:r w:rsidR="00515E6A" w:rsidRPr="00CB1DAB">
        <w:t> </w:t>
      </w:r>
      <w:r w:rsidR="00CC138D" w:rsidRPr="00CB1DAB">
        <w:t>2025</w:t>
      </w:r>
      <w:r>
        <w:t>,</w:t>
      </w:r>
      <w:r w:rsidR="00CC138D" w:rsidRPr="00CB1DAB">
        <w:t xml:space="preserve"> new general attendance items for </w:t>
      </w:r>
      <w:r w:rsidRPr="00CB1DAB">
        <w:t>N</w:t>
      </w:r>
      <w:r>
        <w:t xml:space="preserve">urse </w:t>
      </w:r>
      <w:r w:rsidRPr="00CB1DAB">
        <w:t>P</w:t>
      </w:r>
      <w:r>
        <w:t>ractitioner</w:t>
      </w:r>
      <w:r w:rsidRPr="00CB1DAB">
        <w:t xml:space="preserve">s </w:t>
      </w:r>
      <w:r w:rsidR="00CC138D" w:rsidRPr="00CB1DAB">
        <w:t xml:space="preserve">consultations of 60 minutes or more (to be known as level E) will be available to support improved access and service affordability for LARCs. </w:t>
      </w:r>
    </w:p>
    <w:p w14:paraId="40ECD40E" w14:textId="6003C62F" w:rsidR="006A14C6" w:rsidRPr="00CB1DAB" w:rsidRDefault="006A14C6" w:rsidP="00500987">
      <w:pPr>
        <w:spacing w:after="120"/>
      </w:pPr>
      <w:r w:rsidRPr="00CB1DAB">
        <w:t xml:space="preserve">The ability of </w:t>
      </w:r>
      <w:r w:rsidR="007A2ACD">
        <w:t>R</w:t>
      </w:r>
      <w:r w:rsidR="0098546A" w:rsidRPr="00CB1DAB">
        <w:t xml:space="preserve">egistered </w:t>
      </w:r>
      <w:r w:rsidR="007A2ACD">
        <w:t>N</w:t>
      </w:r>
      <w:r w:rsidRPr="00CB1DAB">
        <w:t>urses and midwives to distribute, prescribe and administer medicines listed within the Schedules to the Poisons Standard, including some contraceptives, is regulated by state and territory l</w:t>
      </w:r>
      <w:r w:rsidR="005B4B8B" w:rsidRPr="00CB1DAB">
        <w:t>egislation</w:t>
      </w:r>
      <w:r w:rsidRPr="00CB1DAB">
        <w:t xml:space="preserve">. </w:t>
      </w:r>
    </w:p>
    <w:bookmarkEnd w:id="2"/>
    <w:p w14:paraId="2C572C3D" w14:textId="434DC8EB" w:rsidR="0060660A" w:rsidRPr="00CB1DAB" w:rsidRDefault="00BF2775" w:rsidP="00EE1D82">
      <w:pPr>
        <w:spacing w:after="120"/>
      </w:pPr>
      <w:r w:rsidRPr="00CB1DAB">
        <w:t>In addition to renumeration, there</w:t>
      </w:r>
      <w:r w:rsidR="00D43BDE" w:rsidRPr="00CB1DAB">
        <w:t xml:space="preserve"> are a range of </w:t>
      </w:r>
      <w:r w:rsidR="00D84BC1" w:rsidRPr="00CB1DAB">
        <w:t xml:space="preserve">Government supported </w:t>
      </w:r>
      <w:r w:rsidR="00D43BDE" w:rsidRPr="00CB1DAB">
        <w:t>programs and incentives</w:t>
      </w:r>
      <w:r w:rsidR="006F6E4F" w:rsidRPr="00CB1DAB">
        <w:t xml:space="preserve"> </w:t>
      </w:r>
      <w:r w:rsidR="004A20B6" w:rsidRPr="00CB1DAB">
        <w:t xml:space="preserve">to improve the </w:t>
      </w:r>
      <w:r w:rsidR="00EC1B7F" w:rsidRPr="00CB1DAB">
        <w:t xml:space="preserve">availability of </w:t>
      </w:r>
      <w:r w:rsidR="009F2F5A" w:rsidRPr="00CB1DAB">
        <w:t>GPs</w:t>
      </w:r>
      <w:r w:rsidR="00B457F8" w:rsidRPr="00CB1DAB">
        <w:t xml:space="preserve"> </w:t>
      </w:r>
      <w:r w:rsidR="00385ACE" w:rsidRPr="00CB1DAB">
        <w:t>with advanced skills and broader scopes of practice as part of a rural healthcare team</w:t>
      </w:r>
      <w:r w:rsidR="00751BF4" w:rsidRPr="00CB1DAB">
        <w:t xml:space="preserve">, through the National </w:t>
      </w:r>
      <w:r w:rsidR="00697C40" w:rsidRPr="00CB1DAB">
        <w:t>Rural Generalist Pathway</w:t>
      </w:r>
      <w:r w:rsidR="00385ACE" w:rsidRPr="00CB1DAB">
        <w:t xml:space="preserve">. </w:t>
      </w:r>
    </w:p>
    <w:p w14:paraId="13D5188B" w14:textId="25E12289" w:rsidR="00982BFD" w:rsidRPr="00CB1DAB" w:rsidRDefault="00BC1B50" w:rsidP="00EE1D82">
      <w:pPr>
        <w:spacing w:after="120"/>
      </w:pPr>
      <w:r w:rsidRPr="00CB1DAB">
        <w:t>T</w:t>
      </w:r>
      <w:r w:rsidR="006A694F" w:rsidRPr="00CB1DAB">
        <w:t>he Workforce Incentive Program – Practice Stream (WIP-PS) aims to improve access to multidisciplinary care at a community level by providing financial incentives to help general practices with the cost of engaging nurses,</w:t>
      </w:r>
      <w:r w:rsidR="0098546A" w:rsidRPr="00CB1DAB">
        <w:t xml:space="preserve"> midwives,</w:t>
      </w:r>
      <w:r w:rsidR="006A694F" w:rsidRPr="00CB1DAB">
        <w:t xml:space="preserve"> allied health professionals, and Aboriginal and Torres Strait Islander health practitioners and health workers. In the 2023</w:t>
      </w:r>
      <w:r w:rsidR="00F93FF7" w:rsidRPr="00CB1DAB">
        <w:t xml:space="preserve"> </w:t>
      </w:r>
      <w:r w:rsidR="00001730" w:rsidRPr="00CB1DAB">
        <w:noBreakHyphen/>
      </w:r>
      <w:r w:rsidRPr="00CB1DAB">
        <w:t>24</w:t>
      </w:r>
      <w:r w:rsidR="00001730" w:rsidRPr="00CB1DAB">
        <w:t> </w:t>
      </w:r>
      <w:r w:rsidR="006A694F" w:rsidRPr="00CB1DAB">
        <w:t>Budget, an additional $445.1 million over 5 years was allocated under the WIP-PS to help improve the financial sustainability of multidisciplinary general practice and support more accountability and transitions to new models of care that are responsive to community needs. This is on top of the financial incentives of more than $400 million per year already available through the WIP-PS.</w:t>
      </w:r>
    </w:p>
    <w:p w14:paraId="22FC15E3" w14:textId="117B30CC" w:rsidR="006A694F" w:rsidRPr="00CB1DAB" w:rsidRDefault="006A694F" w:rsidP="00EE1D82">
      <w:pPr>
        <w:spacing w:after="120"/>
      </w:pPr>
      <w:r w:rsidRPr="00CB1DAB">
        <w:t xml:space="preserve">Nurses are the largest health professional type engaged under the WIP-PS and are an integral and central part of many multidisciplinary teams around the country. As at the end of </w:t>
      </w:r>
      <w:r w:rsidR="006A63BD" w:rsidRPr="00CB1DAB">
        <w:t xml:space="preserve">August </w:t>
      </w:r>
      <w:r w:rsidRPr="00CB1DAB">
        <w:t>202</w:t>
      </w:r>
      <w:r w:rsidR="006A63BD" w:rsidRPr="00CB1DAB">
        <w:t>4</w:t>
      </w:r>
      <w:r w:rsidRPr="00CB1DAB">
        <w:t>, there were 13,</w:t>
      </w:r>
      <w:r w:rsidR="001C4591" w:rsidRPr="00CB1DAB">
        <w:t>804</w:t>
      </w:r>
      <w:r w:rsidRPr="00CB1DAB">
        <w:t xml:space="preserve"> Registered Nurses and 2</w:t>
      </w:r>
      <w:r w:rsidR="001C4591" w:rsidRPr="00CB1DAB">
        <w:t>66</w:t>
      </w:r>
      <w:r w:rsidRPr="00CB1DAB">
        <w:t xml:space="preserve"> </w:t>
      </w:r>
      <w:r w:rsidR="007A2ACD" w:rsidRPr="00CB1DAB">
        <w:t>N</w:t>
      </w:r>
      <w:r w:rsidR="007A2ACD">
        <w:t xml:space="preserve">urse </w:t>
      </w:r>
      <w:r w:rsidR="007A2ACD" w:rsidRPr="00CB1DAB">
        <w:t>P</w:t>
      </w:r>
      <w:r w:rsidR="007A2ACD">
        <w:t>ractitioner</w:t>
      </w:r>
      <w:r w:rsidR="007A2ACD" w:rsidRPr="00CB1DAB">
        <w:t>s</w:t>
      </w:r>
      <w:r w:rsidRPr="00CB1DAB">
        <w:t xml:space="preserve"> engaged under the WIP-PS program.</w:t>
      </w:r>
    </w:p>
    <w:p w14:paraId="5EB8731C" w14:textId="77777777" w:rsidR="00A27907" w:rsidRPr="00CB1DAB" w:rsidRDefault="00A27907">
      <w:pPr>
        <w:spacing w:after="200" w:line="276" w:lineRule="auto"/>
      </w:pPr>
      <w:r w:rsidRPr="00CB1DAB">
        <w:br w:type="page"/>
      </w:r>
    </w:p>
    <w:p w14:paraId="1C88692B" w14:textId="5EE3A832" w:rsidR="00290B30" w:rsidRPr="00CB1DAB" w:rsidRDefault="00290B30" w:rsidP="00EE1D82">
      <w:pPr>
        <w:pBdr>
          <w:bottom w:val="single" w:sz="6" w:space="1" w:color="auto"/>
        </w:pBdr>
        <w:spacing w:after="120"/>
        <w:rPr>
          <w:b/>
          <w:bCs/>
        </w:rPr>
      </w:pPr>
      <w:r w:rsidRPr="00CB1DAB">
        <w:rPr>
          <w:b/>
          <w:bCs/>
        </w:rPr>
        <w:lastRenderedPageBreak/>
        <w:t>Recommendation 6</w:t>
      </w:r>
    </w:p>
    <w:p w14:paraId="3837612D" w14:textId="59C79767" w:rsidR="00290B30" w:rsidRPr="00CB1DAB" w:rsidRDefault="00290B30" w:rsidP="006465E0">
      <w:pPr>
        <w:spacing w:before="240" w:after="240"/>
        <w:rPr>
          <w:i/>
          <w:iCs/>
        </w:rPr>
      </w:pPr>
      <w:r w:rsidRPr="00CB1DAB">
        <w:rPr>
          <w:i/>
          <w:iCs/>
        </w:rPr>
        <w:t xml:space="preserve">6: The Committee recommends that the Department of Health and Aged Care and the Pharmaceutical Benefits Advisory </w:t>
      </w:r>
      <w:r w:rsidR="00CF4545" w:rsidRPr="00CB1DAB">
        <w:rPr>
          <w:i/>
          <w:iCs/>
        </w:rPr>
        <w:t xml:space="preserve">Committee </w:t>
      </w:r>
      <w:r w:rsidRPr="00CB1DAB">
        <w:rPr>
          <w:i/>
          <w:iCs/>
        </w:rPr>
        <w:t>work with the pharmaceutical industry to consider options to improve access to a broader range of hormonal contraceptives that are not currently Pharmaceutical Benefits Scheme subsidised, including newer forms of the oral contraceptive pill, the emergency oral contraceptive pills and the vaginal ring.</w:t>
      </w:r>
    </w:p>
    <w:p w14:paraId="0096B3CA" w14:textId="77777777"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77DC1FAD" w14:textId="0C338847" w:rsidR="0091143A" w:rsidRPr="00CB1DAB" w:rsidRDefault="008127B9" w:rsidP="00EE1D82">
      <w:pPr>
        <w:shd w:val="clear" w:color="auto" w:fill="FFFFFF"/>
        <w:spacing w:after="120"/>
      </w:pPr>
      <w:r w:rsidRPr="00CB1DAB">
        <w:t>The listing of medicines on the PBS generally occurs at the request of the</w:t>
      </w:r>
      <w:r w:rsidR="00CF7834" w:rsidRPr="00CB1DAB">
        <w:t xml:space="preserve"> pharmaceutical</w:t>
      </w:r>
      <w:r w:rsidRPr="00CB1DAB">
        <w:t xml:space="preserve"> company responsible for the supply of the medicine in Australia (the sponsor)</w:t>
      </w:r>
      <w:r w:rsidR="00CF7834" w:rsidRPr="00CB1DAB">
        <w:t xml:space="preserve"> via an application to</w:t>
      </w:r>
      <w:r w:rsidR="00CF4545" w:rsidRPr="00CB1DAB">
        <w:t xml:space="preserve"> the</w:t>
      </w:r>
      <w:r w:rsidR="00CF7834" w:rsidRPr="00CB1DAB">
        <w:t xml:space="preserve"> PBAC</w:t>
      </w:r>
      <w:r w:rsidRPr="00CB1DAB">
        <w:t xml:space="preserve">. </w:t>
      </w:r>
    </w:p>
    <w:p w14:paraId="03E2AB62" w14:textId="1759140B" w:rsidR="009C0DE6" w:rsidRPr="00CB1DAB" w:rsidRDefault="00D17FC4" w:rsidP="00EE1D82">
      <w:pPr>
        <w:shd w:val="clear" w:color="auto" w:fill="FFFFFF"/>
        <w:spacing w:after="120"/>
      </w:pPr>
      <w:r w:rsidRPr="00CB1DAB">
        <w:t xml:space="preserve">Under legislation, a medicine cannot be listed by the Government on the PBS unless the PBAC makes a recommendation </w:t>
      </w:r>
      <w:r w:rsidR="0091143A" w:rsidRPr="00CB1DAB">
        <w:t xml:space="preserve">to the Minister </w:t>
      </w:r>
      <w:r w:rsidRPr="00CB1DAB">
        <w:t xml:space="preserve">in favour of listing. </w:t>
      </w:r>
      <w:r w:rsidR="0091143A" w:rsidRPr="00CB1DAB">
        <w:t xml:space="preserve">To make a recommendation, the PBAC is required by the legislation to consider the comparative clinical effectiveness and costs of the proposed medicine with that of alternative therapies. </w:t>
      </w:r>
      <w:r w:rsidRPr="00CB1DAB">
        <w:t xml:space="preserve">The PBAC and the PBS listing process relies in part on the scientific assessment of evidence regarding safety and clinical effectiveness undertaken by the TGA when it </w:t>
      </w:r>
      <w:r w:rsidR="0091143A" w:rsidRPr="00CB1DAB">
        <w:t>evaluates</w:t>
      </w:r>
      <w:r w:rsidRPr="00CB1DAB">
        <w:t xml:space="preserve"> medicines for </w:t>
      </w:r>
      <w:r w:rsidR="0091143A" w:rsidRPr="00CB1DAB">
        <w:t>approval and inclusion in</w:t>
      </w:r>
      <w:r w:rsidRPr="00CB1DAB">
        <w:t xml:space="preserve"> the ARTG.</w:t>
      </w:r>
      <w:r w:rsidR="0091143A" w:rsidRPr="00CB1DAB">
        <w:t xml:space="preserve"> M</w:t>
      </w:r>
      <w:r w:rsidRPr="00CB1DAB">
        <w:t xml:space="preserve">edicines are only </w:t>
      </w:r>
      <w:r w:rsidR="0091143A" w:rsidRPr="00CB1DAB">
        <w:t>listed</w:t>
      </w:r>
      <w:r w:rsidRPr="00CB1DAB">
        <w:t xml:space="preserve"> on the PBS for </w:t>
      </w:r>
      <w:r w:rsidR="0091143A" w:rsidRPr="00CB1DAB">
        <w:t xml:space="preserve">the </w:t>
      </w:r>
      <w:r w:rsidRPr="00CB1DAB">
        <w:t xml:space="preserve">treatment of conditions for which they are registered by the TGA. The TGA does not make recommendations for listing medicines on the PBS. </w:t>
      </w:r>
      <w:r w:rsidR="005B778A" w:rsidRPr="00CB1DAB">
        <w:t xml:space="preserve"> </w:t>
      </w:r>
    </w:p>
    <w:p w14:paraId="4E723611" w14:textId="30F3F2D5" w:rsidR="009C0DE6" w:rsidRPr="00CB1DAB" w:rsidRDefault="00724079" w:rsidP="00EE1D82">
      <w:pPr>
        <w:shd w:val="clear" w:color="auto" w:fill="FFFFFF"/>
        <w:spacing w:after="120"/>
      </w:pPr>
      <w:r w:rsidRPr="00CB1DAB">
        <w:t>Government can encourage sponsors to come forward</w:t>
      </w:r>
      <w:r w:rsidR="009840D8" w:rsidRPr="00CB1DAB">
        <w:t xml:space="preserve">, and </w:t>
      </w:r>
      <w:r w:rsidR="00F649C6" w:rsidRPr="00CB1DAB">
        <w:t xml:space="preserve">in March 2024 </w:t>
      </w:r>
      <w:r w:rsidR="009840D8" w:rsidRPr="00CB1DAB">
        <w:t>the Department</w:t>
      </w:r>
      <w:r w:rsidR="001D2C7F" w:rsidRPr="00CB1DAB">
        <w:t xml:space="preserve"> of Health and Aged Care wrote to sponsors of oral contraceptive pills</w:t>
      </w:r>
      <w:r w:rsidR="009E001D" w:rsidRPr="00CB1DAB">
        <w:t xml:space="preserve"> and the vaginal ring</w:t>
      </w:r>
      <w:r w:rsidR="00F649C6" w:rsidRPr="00CB1DAB">
        <w:t xml:space="preserve"> which are</w:t>
      </w:r>
      <w:r w:rsidR="001D2C7F" w:rsidRPr="00CB1DAB">
        <w:t xml:space="preserve"> not </w:t>
      </w:r>
      <w:r w:rsidR="00F649C6" w:rsidRPr="00CB1DAB">
        <w:t xml:space="preserve">currently </w:t>
      </w:r>
      <w:r w:rsidR="000D44BB" w:rsidRPr="00CB1DAB">
        <w:t>subsidised through</w:t>
      </w:r>
      <w:r w:rsidR="001D2C7F" w:rsidRPr="00CB1DAB">
        <w:t xml:space="preserve"> the PBS </w:t>
      </w:r>
      <w:r w:rsidR="000D44BB" w:rsidRPr="00CB1DAB">
        <w:t xml:space="preserve">to </w:t>
      </w:r>
      <w:r w:rsidR="00575173" w:rsidRPr="00CB1DAB">
        <w:t>invite applications to the</w:t>
      </w:r>
      <w:r w:rsidR="000D44BB" w:rsidRPr="00CB1DAB">
        <w:t xml:space="preserve"> </w:t>
      </w:r>
      <w:r w:rsidR="00575173" w:rsidRPr="00CB1DAB">
        <w:t>PBAC</w:t>
      </w:r>
      <w:r w:rsidR="000D44BB" w:rsidRPr="00CB1DAB">
        <w:t>.</w:t>
      </w:r>
      <w:r w:rsidRPr="00CB1DAB">
        <w:t xml:space="preserve"> </w:t>
      </w:r>
      <w:r w:rsidR="009840D8" w:rsidRPr="00CB1DAB">
        <w:t xml:space="preserve">However, </w:t>
      </w:r>
      <w:r w:rsidRPr="00CB1DAB">
        <w:t>a</w:t>
      </w:r>
      <w:r w:rsidR="00561488" w:rsidRPr="00CB1DAB">
        <w:t>s noted in response to recommendation</w:t>
      </w:r>
      <w:r w:rsidR="00FE10AA" w:rsidRPr="00CB1DAB">
        <w:t>s 1 and</w:t>
      </w:r>
      <w:r w:rsidR="00561488" w:rsidRPr="00CB1DAB">
        <w:t xml:space="preserve"> 4, </w:t>
      </w:r>
      <w:r w:rsidR="008127B9" w:rsidRPr="00CB1DAB">
        <w:t>pharmaceutical companies are private entities and cannot be compelled by the Government to</w:t>
      </w:r>
      <w:r w:rsidR="00CF7834" w:rsidRPr="00CB1DAB">
        <w:t xml:space="preserve"> apply for PBAC consideration or</w:t>
      </w:r>
      <w:r w:rsidR="008127B9" w:rsidRPr="00CB1DAB">
        <w:t xml:space="preserve"> list their medicines on the PBS. </w:t>
      </w:r>
      <w:r w:rsidR="002F5EB0" w:rsidRPr="00CB1DAB">
        <w:t>It is important to note that t</w:t>
      </w:r>
      <w:r w:rsidR="008127B9" w:rsidRPr="00CB1DAB">
        <w:t>he Government does not interfere with the PBAC’s considerations or processes to develop recommendations to Government.</w:t>
      </w:r>
    </w:p>
    <w:p w14:paraId="2F486BA7" w14:textId="57B2DF4A" w:rsidR="00D82394" w:rsidRPr="007A2ACD" w:rsidRDefault="00BD6364" w:rsidP="007A2ACD">
      <w:pPr>
        <w:spacing w:after="120"/>
        <w:rPr>
          <w:szCs w:val="22"/>
        </w:rPr>
      </w:pPr>
      <w:r w:rsidRPr="00CB1DAB">
        <w:rPr>
          <w:szCs w:val="22"/>
        </w:rPr>
        <w:t xml:space="preserve">In October 2024, at the request of the Minister for Health and Aged Care, the PBAC convened a stakeholder meeting to discuss evidence available that may demonstrate additional benefits of newer contraceptives compared to older generation oral contraceptives. Invited participants included those representing professional organisations, pharmaceutical companies responsible for newer contraceptives, individuals representing PBAC and Department representatives. The outcomes </w:t>
      </w:r>
      <w:r w:rsidR="00210277" w:rsidRPr="00CB1DAB">
        <w:rPr>
          <w:szCs w:val="22"/>
        </w:rPr>
        <w:t>from the stakeholder meeting are available on the PBS website.</w:t>
      </w:r>
    </w:p>
    <w:p w14:paraId="4E311E11" w14:textId="042CF8BF" w:rsidR="00D82394" w:rsidRPr="00CB1DAB" w:rsidRDefault="00D82394" w:rsidP="00D82394">
      <w:pPr>
        <w:shd w:val="clear" w:color="auto" w:fill="FFFFFF"/>
        <w:spacing w:after="120"/>
      </w:pPr>
      <w:r w:rsidRPr="00CB1DAB">
        <w:t>At its November 2024 meeting</w:t>
      </w:r>
      <w:r w:rsidR="007A2ACD">
        <w:t>,</w:t>
      </w:r>
      <w:r w:rsidRPr="00CB1DAB">
        <w:t xml:space="preserve"> the PBAC recommended listing drospirenone 4 mg tablets (Slinda) on the PBS. The PBAC also provided further advice to its July 2024 recommendation to list the combined oral contraceptives 3 mg drospirenone with 20 micrograms ethinylestradiol (Yaz) and 3 mg drospirenone with 30 micrograms ethinylestradiol (Yasmin) on the PBS. When the PBAC recommends PBS listing and the sponsor agree to the terms of listing, the Government would support the sponsor to finalise arrangements and proceed to a PBS listing as quickly as possible.</w:t>
      </w:r>
    </w:p>
    <w:p w14:paraId="757DA8EE" w14:textId="3C9B8EA5" w:rsidR="00CA658E" w:rsidRPr="00CB1DAB" w:rsidRDefault="00CA658E" w:rsidP="00EE1D82">
      <w:pPr>
        <w:pageBreakBefore/>
        <w:pBdr>
          <w:bottom w:val="single" w:sz="6" w:space="1" w:color="auto"/>
        </w:pBdr>
        <w:spacing w:after="120"/>
        <w:rPr>
          <w:b/>
          <w:bCs/>
        </w:rPr>
      </w:pPr>
      <w:r w:rsidRPr="00CB1DAB">
        <w:rPr>
          <w:b/>
          <w:bCs/>
        </w:rPr>
        <w:lastRenderedPageBreak/>
        <w:t>Recommendation 7</w:t>
      </w:r>
    </w:p>
    <w:p w14:paraId="70C69F67" w14:textId="711CCCAA" w:rsidR="00CA658E" w:rsidRPr="00CB1DAB" w:rsidRDefault="00CA658E" w:rsidP="006465E0">
      <w:pPr>
        <w:spacing w:before="240" w:after="240"/>
        <w:rPr>
          <w:i/>
          <w:iCs/>
        </w:rPr>
      </w:pPr>
      <w:r w:rsidRPr="00CB1DAB">
        <w:rPr>
          <w:i/>
          <w:iCs/>
        </w:rPr>
        <w:t>7: The Committee recommends that the Department of Health and Aged Care considers and implements an option to subsidise the non-hormonal copper intrauterine device to improve contraceptive options for people with hormone-driven cancers and people for whom hormonal contraception options may not be suitable.</w:t>
      </w:r>
    </w:p>
    <w:p w14:paraId="602CDDDD" w14:textId="77777777"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12D2069C" w14:textId="48FFF582" w:rsidR="00253E49" w:rsidRPr="00CB1DAB" w:rsidRDefault="00253E49" w:rsidP="00253E49">
      <w:pPr>
        <w:spacing w:before="240" w:after="240"/>
        <w:rPr>
          <w:rFonts w:ascii="Calibri" w:hAnsi="Calibri" w:cs="Calibri"/>
          <w:color w:val="000000"/>
          <w:shd w:val="clear" w:color="auto" w:fill="FFFFFF"/>
        </w:rPr>
      </w:pPr>
      <w:r w:rsidRPr="00CB1DAB">
        <w:rPr>
          <w:rFonts w:ascii="Calibri" w:hAnsi="Calibri" w:cs="Calibri"/>
          <w:color w:val="000000"/>
          <w:shd w:val="clear" w:color="auto" w:fill="FFFFFF"/>
        </w:rPr>
        <w:t>Copper IUDs are regulated by the TGA as medical devices and, unlike hormonal IUDs, do not contain medicines. As such, they are not appropriate for subsidy through the PBS, which subsidises medicines or medicinal preparations.</w:t>
      </w:r>
    </w:p>
    <w:p w14:paraId="15B0A756" w14:textId="2E2E5C0E" w:rsidR="000A13FD" w:rsidRPr="00CB1DAB" w:rsidRDefault="00A24667" w:rsidP="00EE1D82">
      <w:pPr>
        <w:shd w:val="clear" w:color="auto" w:fill="FFFFFF"/>
        <w:spacing w:after="120"/>
        <w:rPr>
          <w:rFonts w:ascii="Calibri" w:hAnsi="Calibri" w:cs="Calibri"/>
          <w:color w:val="000000"/>
          <w:lang w:eastAsia="en-AU"/>
        </w:rPr>
      </w:pPr>
      <w:r w:rsidRPr="00CB1DAB">
        <w:rPr>
          <w:rFonts w:ascii="Calibri" w:hAnsi="Calibri" w:cs="Calibri"/>
          <w:color w:val="000000"/>
          <w:lang w:eastAsia="en-AU"/>
        </w:rPr>
        <w:t>The Government will consider this recommendation in the context of the</w:t>
      </w:r>
      <w:r w:rsidR="000F274A" w:rsidRPr="00CB1DAB">
        <w:rPr>
          <w:rFonts w:ascii="Calibri" w:hAnsi="Calibri" w:cs="Calibri"/>
          <w:color w:val="000000"/>
          <w:lang w:eastAsia="en-AU"/>
        </w:rPr>
        <w:t xml:space="preserve"> </w:t>
      </w:r>
      <w:r w:rsidR="00850025" w:rsidRPr="00CB1DAB">
        <w:rPr>
          <w:rFonts w:ascii="Calibri" w:hAnsi="Calibri" w:cs="Calibri"/>
          <w:color w:val="000000"/>
          <w:lang w:eastAsia="en-AU"/>
        </w:rPr>
        <w:t xml:space="preserve">implementation of the </w:t>
      </w:r>
      <w:r w:rsidR="000F274A" w:rsidRPr="00CB1DAB">
        <w:rPr>
          <w:rFonts w:ascii="Calibri" w:hAnsi="Calibri" w:cs="Calibri"/>
          <w:color w:val="000000"/>
          <w:lang w:eastAsia="en-AU"/>
        </w:rPr>
        <w:t xml:space="preserve">Australian Cancer Plan. </w:t>
      </w:r>
      <w:r w:rsidR="001E4E8F" w:rsidRPr="00CB1DAB">
        <w:rPr>
          <w:rFonts w:ascii="Calibri" w:hAnsi="Calibri" w:cs="Calibri"/>
          <w:color w:val="000000"/>
          <w:lang w:eastAsia="en-AU"/>
        </w:rPr>
        <w:t>Th</w:t>
      </w:r>
      <w:r w:rsidR="00A50C82" w:rsidRPr="00CB1DAB">
        <w:rPr>
          <w:rFonts w:ascii="Calibri" w:hAnsi="Calibri" w:cs="Calibri"/>
          <w:color w:val="000000"/>
          <w:lang w:eastAsia="en-AU"/>
        </w:rPr>
        <w:t>e</w:t>
      </w:r>
      <w:r w:rsidR="001E4E8F" w:rsidRPr="00CB1DAB">
        <w:rPr>
          <w:rFonts w:ascii="Calibri" w:hAnsi="Calibri" w:cs="Calibri"/>
          <w:color w:val="000000"/>
          <w:lang w:eastAsia="en-AU"/>
        </w:rPr>
        <w:t xml:space="preserve"> </w:t>
      </w:r>
      <w:r w:rsidR="00A50C82" w:rsidRPr="00CB1DAB">
        <w:rPr>
          <w:rFonts w:ascii="Calibri" w:hAnsi="Calibri" w:cs="Calibri"/>
          <w:color w:val="000000"/>
          <w:lang w:eastAsia="en-AU"/>
        </w:rPr>
        <w:t>plan aims to</w:t>
      </w:r>
      <w:r w:rsidR="001E4E8F" w:rsidRPr="00CB1DAB">
        <w:rPr>
          <w:rFonts w:ascii="Calibri" w:hAnsi="Calibri" w:cs="Calibri"/>
          <w:color w:val="000000"/>
          <w:lang w:eastAsia="en-AU"/>
        </w:rPr>
        <w:t xml:space="preserve"> improve the lives of all Australians affected by cancer.</w:t>
      </w:r>
      <w:r w:rsidR="00FD5BD8" w:rsidRPr="00CB1DAB">
        <w:rPr>
          <w:rFonts w:ascii="Calibri" w:hAnsi="Calibri" w:cs="Calibri"/>
          <w:color w:val="000000"/>
          <w:lang w:eastAsia="en-AU"/>
        </w:rPr>
        <w:t xml:space="preserve"> </w:t>
      </w:r>
      <w:r w:rsidR="00A50C82" w:rsidRPr="00CB1DAB">
        <w:rPr>
          <w:rFonts w:ascii="Calibri" w:hAnsi="Calibri" w:cs="Calibri"/>
          <w:color w:val="000000"/>
          <w:lang w:eastAsia="en-AU"/>
        </w:rPr>
        <w:t xml:space="preserve">The plan includes a focus on improving survivorship care, to better manage the longer-term impacts of cancer treatment. </w:t>
      </w:r>
    </w:p>
    <w:p w14:paraId="4C1D5A81" w14:textId="4D426099" w:rsidR="008A2BC7" w:rsidRPr="00CB1DAB" w:rsidRDefault="008A2BC7" w:rsidP="00EE1D82">
      <w:pPr>
        <w:spacing w:after="120"/>
        <w:rPr>
          <w:rFonts w:ascii="Calibri" w:hAnsi="Calibri" w:cs="Calibri"/>
          <w:color w:val="000000"/>
          <w:shd w:val="clear" w:color="auto" w:fill="FFFFFF"/>
        </w:rPr>
      </w:pPr>
      <w:r w:rsidRPr="00CB1DAB">
        <w:rPr>
          <w:rFonts w:ascii="Calibri" w:hAnsi="Calibri" w:cs="Calibri"/>
          <w:color w:val="000000"/>
          <w:shd w:val="clear" w:color="auto" w:fill="FFFFFF"/>
        </w:rPr>
        <w:t>There</w:t>
      </w:r>
      <w:r w:rsidR="00001730" w:rsidRPr="00CB1DAB">
        <w:rPr>
          <w:rFonts w:ascii="Calibri" w:hAnsi="Calibri" w:cs="Calibri"/>
          <w:color w:val="000000"/>
          <w:shd w:val="clear" w:color="auto" w:fill="FFFFFF"/>
        </w:rPr>
        <w:t> </w:t>
      </w:r>
      <w:r w:rsidRPr="00CB1DAB">
        <w:rPr>
          <w:rFonts w:ascii="Calibri" w:hAnsi="Calibri" w:cs="Calibri"/>
          <w:color w:val="000000"/>
          <w:shd w:val="clear" w:color="auto" w:fill="FFFFFF"/>
        </w:rPr>
        <w:t xml:space="preserve">are a number of MBS items </w:t>
      </w:r>
      <w:r w:rsidR="00633DD7" w:rsidRPr="00CB1DAB">
        <w:rPr>
          <w:rFonts w:ascii="Calibri" w:hAnsi="Calibri" w:cs="Calibri"/>
          <w:color w:val="000000"/>
          <w:shd w:val="clear" w:color="auto" w:fill="FFFFFF"/>
        </w:rPr>
        <w:t>which</w:t>
      </w:r>
      <w:r w:rsidRPr="00CB1DAB">
        <w:rPr>
          <w:rFonts w:ascii="Calibri" w:hAnsi="Calibri" w:cs="Calibri"/>
          <w:color w:val="000000"/>
          <w:shd w:val="clear" w:color="auto" w:fill="FFFFFF"/>
        </w:rPr>
        <w:t xml:space="preserve"> provide patient rebates specifically for access to IUD services. These include MBS item 35503 which provides a patient rebate for the insertion of any type of IUD, including a copper IUD, used for contraceptive purposes, and item 35506 which provides a patient rebate </w:t>
      </w:r>
      <w:r w:rsidR="007A2ACD">
        <w:rPr>
          <w:rFonts w:ascii="Calibri" w:hAnsi="Calibri" w:cs="Calibri"/>
          <w:color w:val="000000"/>
          <w:shd w:val="clear" w:color="auto" w:fill="FFFFFF"/>
        </w:rPr>
        <w:t>for the</w:t>
      </w:r>
      <w:r w:rsidRPr="00CB1DAB">
        <w:rPr>
          <w:rFonts w:ascii="Calibri" w:hAnsi="Calibri" w:cs="Calibri"/>
          <w:color w:val="000000"/>
          <w:shd w:val="clear" w:color="auto" w:fill="FFFFFF"/>
        </w:rPr>
        <w:t xml:space="preserve"> removal of any type of IUD when an anaesthetic is required. </w:t>
      </w:r>
      <w:r w:rsidR="009F2F5A" w:rsidRPr="00CB1DAB">
        <w:rPr>
          <w:rFonts w:ascii="Calibri" w:hAnsi="Calibri" w:cs="Calibri"/>
          <w:color w:val="000000"/>
          <w:shd w:val="clear" w:color="auto" w:fill="FFFFFF"/>
        </w:rPr>
        <w:t>GP</w:t>
      </w:r>
      <w:r w:rsidR="00CA3A2A" w:rsidRPr="00CB1DAB">
        <w:rPr>
          <w:rFonts w:ascii="Calibri" w:hAnsi="Calibri" w:cs="Calibri"/>
          <w:color w:val="000000"/>
          <w:shd w:val="clear" w:color="auto" w:fill="FFFFFF"/>
        </w:rPr>
        <w:t>s</w:t>
      </w:r>
      <w:r w:rsidRPr="00CB1DAB">
        <w:rPr>
          <w:rFonts w:ascii="Calibri" w:hAnsi="Calibri" w:cs="Calibri"/>
          <w:color w:val="000000"/>
          <w:shd w:val="clear" w:color="auto" w:fill="FFFFFF"/>
        </w:rPr>
        <w:t xml:space="preserve">, </w:t>
      </w:r>
      <w:r w:rsidR="007A2ACD" w:rsidRPr="00CB1DAB">
        <w:t>N</w:t>
      </w:r>
      <w:r w:rsidR="007A2ACD">
        <w:t xml:space="preserve">urse </w:t>
      </w:r>
      <w:r w:rsidR="007A2ACD" w:rsidRPr="00CB1DAB">
        <w:t>P</w:t>
      </w:r>
      <w:r w:rsidR="007A2ACD">
        <w:t>ractitioner</w:t>
      </w:r>
      <w:r w:rsidR="007A2ACD" w:rsidRPr="00CB1DAB">
        <w:t>s</w:t>
      </w:r>
      <w:r w:rsidR="00CA3A2A" w:rsidRPr="00CB1DAB">
        <w:rPr>
          <w:rFonts w:ascii="Calibri" w:hAnsi="Calibri" w:cs="Calibri"/>
          <w:color w:val="000000"/>
          <w:shd w:val="clear" w:color="auto" w:fill="FFFFFF"/>
        </w:rPr>
        <w:t xml:space="preserve"> and EMs</w:t>
      </w:r>
      <w:r w:rsidRPr="00CB1DAB">
        <w:rPr>
          <w:rFonts w:ascii="Calibri" w:hAnsi="Calibri" w:cs="Calibri"/>
          <w:color w:val="000000"/>
          <w:shd w:val="clear" w:color="auto" w:fill="FFFFFF"/>
        </w:rPr>
        <w:t xml:space="preserve"> </w:t>
      </w:r>
      <w:r w:rsidR="00530080" w:rsidRPr="00CB1DAB">
        <w:rPr>
          <w:rFonts w:ascii="Calibri" w:hAnsi="Calibri" w:cs="Calibri"/>
          <w:color w:val="000000"/>
          <w:shd w:val="clear" w:color="auto" w:fill="FFFFFF"/>
        </w:rPr>
        <w:t>attendance items, as well as</w:t>
      </w:r>
      <w:r w:rsidRPr="00CB1DAB">
        <w:rPr>
          <w:rFonts w:ascii="Calibri" w:hAnsi="Calibri" w:cs="Calibri"/>
          <w:color w:val="000000"/>
          <w:shd w:val="clear" w:color="auto" w:fill="FFFFFF"/>
        </w:rPr>
        <w:t xml:space="preserve"> specialist consultation items</w:t>
      </w:r>
      <w:r w:rsidR="00583BC5" w:rsidRPr="00CB1DAB">
        <w:rPr>
          <w:rFonts w:ascii="Calibri" w:hAnsi="Calibri" w:cs="Calibri"/>
          <w:color w:val="000000"/>
          <w:shd w:val="clear" w:color="auto" w:fill="FFFFFF"/>
        </w:rPr>
        <w:t>,</w:t>
      </w:r>
      <w:r w:rsidRPr="00CB1DAB">
        <w:rPr>
          <w:rFonts w:ascii="Calibri" w:hAnsi="Calibri" w:cs="Calibri"/>
          <w:color w:val="000000"/>
          <w:shd w:val="clear" w:color="auto" w:fill="FFFFFF"/>
        </w:rPr>
        <w:t xml:space="preserve"> may also provide a patient rebate for consultations associated with insertion and removal of IUDs.</w:t>
      </w:r>
      <w:r w:rsidR="00186AE7" w:rsidRPr="00CB1DAB">
        <w:rPr>
          <w:rFonts w:ascii="Calibri" w:hAnsi="Calibri" w:cs="Calibri"/>
          <w:color w:val="000000" w:themeColor="text1"/>
        </w:rPr>
        <w:t xml:space="preserve"> These items </w:t>
      </w:r>
      <w:r w:rsidR="00B036C2" w:rsidRPr="00CB1DAB">
        <w:rPr>
          <w:rFonts w:ascii="Calibri" w:hAnsi="Calibri" w:cs="Calibri"/>
          <w:color w:val="000000" w:themeColor="text1"/>
        </w:rPr>
        <w:t xml:space="preserve">are </w:t>
      </w:r>
      <w:r w:rsidR="00186AE7" w:rsidRPr="00CB1DAB">
        <w:rPr>
          <w:rFonts w:ascii="Calibri" w:hAnsi="Calibri" w:cs="Calibri"/>
          <w:color w:val="000000" w:themeColor="text1"/>
        </w:rPr>
        <w:t>be</w:t>
      </w:r>
      <w:r w:rsidR="00B036C2" w:rsidRPr="00CB1DAB">
        <w:rPr>
          <w:rFonts w:ascii="Calibri" w:hAnsi="Calibri" w:cs="Calibri"/>
          <w:color w:val="000000" w:themeColor="text1"/>
        </w:rPr>
        <w:t>ing</w:t>
      </w:r>
      <w:r w:rsidR="00186AE7" w:rsidRPr="00CB1DAB">
        <w:rPr>
          <w:rFonts w:ascii="Calibri" w:hAnsi="Calibri" w:cs="Calibri"/>
          <w:color w:val="000000" w:themeColor="text1"/>
        </w:rPr>
        <w:t xml:space="preserve"> reviewed as a part of the ‘gender audit’ of LARC insertion and removal MBS items</w:t>
      </w:r>
      <w:r w:rsidR="00EE0C9E" w:rsidRPr="00CB1DAB">
        <w:rPr>
          <w:rFonts w:ascii="Calibri" w:hAnsi="Calibri" w:cs="Calibri"/>
          <w:color w:val="000000" w:themeColor="text1"/>
        </w:rPr>
        <w:t xml:space="preserve">. </w:t>
      </w:r>
    </w:p>
    <w:p w14:paraId="3CFF4AF8" w14:textId="13D00836" w:rsidR="00B267E3" w:rsidRPr="00CB1DAB" w:rsidRDefault="00B267E3" w:rsidP="00EE1D82">
      <w:pPr>
        <w:pageBreakBefore/>
        <w:pBdr>
          <w:bottom w:val="single" w:sz="6" w:space="1" w:color="auto"/>
        </w:pBdr>
        <w:spacing w:after="120"/>
        <w:rPr>
          <w:b/>
          <w:bCs/>
        </w:rPr>
      </w:pPr>
      <w:r w:rsidRPr="00CB1DAB">
        <w:rPr>
          <w:b/>
          <w:bCs/>
        </w:rPr>
        <w:lastRenderedPageBreak/>
        <w:t>Recommendation 8</w:t>
      </w:r>
    </w:p>
    <w:p w14:paraId="28EBE184" w14:textId="18D8336C" w:rsidR="00B267E3" w:rsidRPr="00CB1DAB" w:rsidRDefault="00B267E3" w:rsidP="006465E0">
      <w:pPr>
        <w:spacing w:before="240" w:after="240"/>
        <w:rPr>
          <w:i/>
          <w:iCs/>
        </w:rPr>
      </w:pPr>
      <w:r w:rsidRPr="00CB1DAB">
        <w:rPr>
          <w:i/>
          <w:iCs/>
        </w:rPr>
        <w:t>8: The Committee recommends the Australian Government works with the Royal Australian College of General Practitioners and the Royal Australian and New Zealand College of Obstetricians and Gynaecologists to improve access to workforce training for the insertion and removal of long-acting reversible contraceptives to support their increased utilisation in Australia.</w:t>
      </w:r>
    </w:p>
    <w:p w14:paraId="32F603E0" w14:textId="527B7B74" w:rsidR="00A24667" w:rsidRPr="00CB1DAB" w:rsidRDefault="00A24667" w:rsidP="006465E0">
      <w:pPr>
        <w:spacing w:before="240" w:after="240"/>
      </w:pPr>
      <w:r w:rsidRPr="00CB1DAB">
        <w:rPr>
          <w:rFonts w:cstheme="minorHAnsi"/>
          <w:lang w:eastAsia="en-AU"/>
        </w:rPr>
        <w:t>The Australian Government</w:t>
      </w:r>
      <w:r w:rsidRPr="00CB1DAB">
        <w:rPr>
          <w:b/>
          <w:bCs/>
        </w:rPr>
        <w:t xml:space="preserve"> supports in-principle </w:t>
      </w:r>
      <w:r w:rsidRPr="00CB1DAB">
        <w:t>th</w:t>
      </w:r>
      <w:r w:rsidR="00001730" w:rsidRPr="00CB1DAB">
        <w:t>is</w:t>
      </w:r>
      <w:r w:rsidRPr="00CB1DAB">
        <w:t xml:space="preserve"> recommendation.</w:t>
      </w:r>
    </w:p>
    <w:p w14:paraId="086A9FA3" w14:textId="60F08356" w:rsidR="00A81748" w:rsidRPr="00CB1DAB" w:rsidRDefault="00A81748" w:rsidP="009B151A">
      <w:pPr>
        <w:spacing w:after="120"/>
      </w:pPr>
      <w:r w:rsidRPr="00CB1DAB">
        <w:t xml:space="preserve">In the 2024-25 Budget, the Government committed $5.2 million over </w:t>
      </w:r>
      <w:r w:rsidR="00515E6A" w:rsidRPr="00CB1DAB">
        <w:t>three</w:t>
      </w:r>
      <w:r w:rsidRPr="00CB1DAB">
        <w:t xml:space="preserve"> years to support health professionals, including regional and remote practitioners, to undertake free LARC training. Funding will ensure cost is not a barrier to health professionals – including GPs, </w:t>
      </w:r>
      <w:r w:rsidR="007A2ACD" w:rsidRPr="00CB1DAB">
        <w:t>N</w:t>
      </w:r>
      <w:r w:rsidR="007A2ACD">
        <w:t xml:space="preserve">urse </w:t>
      </w:r>
      <w:r w:rsidR="007A2ACD" w:rsidRPr="00CB1DAB">
        <w:t>P</w:t>
      </w:r>
      <w:r w:rsidR="007A2ACD">
        <w:t>ractitioner</w:t>
      </w:r>
      <w:r w:rsidR="007A2ACD" w:rsidRPr="00CB1DAB">
        <w:t>s</w:t>
      </w:r>
      <w:r w:rsidRPr="00CB1DAB">
        <w:t>, R</w:t>
      </w:r>
      <w:r w:rsidR="007A2ACD">
        <w:t xml:space="preserve">egistered </w:t>
      </w:r>
      <w:r w:rsidRPr="00CB1DAB">
        <w:t>N</w:t>
      </w:r>
      <w:r w:rsidR="007A2ACD">
        <w:t>urse</w:t>
      </w:r>
      <w:r w:rsidRPr="00CB1DAB">
        <w:t xml:space="preserve">s, midwives and Aboriginal </w:t>
      </w:r>
      <w:r w:rsidR="00A50182">
        <w:t xml:space="preserve">and Torres Strait Islander </w:t>
      </w:r>
      <w:r w:rsidRPr="00CB1DAB">
        <w:t>health practitioners – in undertaking LARC training, including if they need to travel to participate. This will support a larger number of healthcare providers to provide LARC services across Australia and support increased uptake of LARCs, particularly for women living in regional and remote locations.</w:t>
      </w:r>
    </w:p>
    <w:p w14:paraId="0EF0DFEC" w14:textId="686F2515" w:rsidR="009B151A" w:rsidRPr="00CB1DAB" w:rsidRDefault="009B151A" w:rsidP="009B151A">
      <w:pPr>
        <w:spacing w:before="120" w:after="120"/>
      </w:pPr>
      <w:r w:rsidRPr="00CB1DAB">
        <w:t xml:space="preserve">The </w:t>
      </w:r>
      <w:r w:rsidR="00407E64" w:rsidRPr="00CB1DAB">
        <w:t>G</w:t>
      </w:r>
      <w:r w:rsidRPr="00CB1DAB">
        <w:t>overnment will provide</w:t>
      </w:r>
      <w:r w:rsidR="007A2ACD">
        <w:t xml:space="preserve"> a further</w:t>
      </w:r>
      <w:r w:rsidRPr="00CB1DAB">
        <w:t xml:space="preserve"> $1</w:t>
      </w:r>
      <w:r w:rsidR="00765F7A" w:rsidRPr="00CB1DAB">
        <w:t>7.5</w:t>
      </w:r>
      <w:r w:rsidRPr="00CB1DAB">
        <w:t xml:space="preserve"> million over three years from 2025</w:t>
      </w:r>
      <w:r w:rsidR="00765F7A" w:rsidRPr="00CB1DAB">
        <w:t>-26</w:t>
      </w:r>
      <w:r w:rsidRPr="00CB1DAB">
        <w:t xml:space="preserve"> and ongoing funding</w:t>
      </w:r>
      <w:r w:rsidR="00765F7A" w:rsidRPr="00CB1DAB">
        <w:t xml:space="preserve"> of $6.6 million per annum from 2028-29</w:t>
      </w:r>
      <w:r w:rsidRPr="00CB1DAB">
        <w:t xml:space="preserve"> to create LARC Centres of Training Excellence. The LARC Centres of Training Excellence will leverage existing infrastructure to provide training for health professionals in LARC insertion and removal. This training will enhance health professionals’ ability to deliver appropriate care to a patient for LARC insertion and removal, including effective pain management options.</w:t>
      </w:r>
    </w:p>
    <w:p w14:paraId="2CECDC85" w14:textId="75E38138" w:rsidR="00BF2775" w:rsidRPr="00CB1DAB" w:rsidRDefault="009B151A" w:rsidP="00DB7E80">
      <w:pPr>
        <w:spacing w:before="120" w:after="120"/>
        <w:rPr>
          <w:b/>
        </w:rPr>
      </w:pPr>
      <w:r w:rsidRPr="00CB1DAB">
        <w:t>The Centres of Training Excellence will also provide LARC services to the community for patients wanting a LARC inserted and removed and will be a referral point for providers not trained or confident in delivering these services. An outreach component will be included as part of this model to alleviate the barriers for both health professionals in accessing training and patients accessing LARC services in rural and remote areas.</w:t>
      </w:r>
      <w:r w:rsidR="00DB7E80" w:rsidRPr="00CB1DAB">
        <w:t xml:space="preserve"> </w:t>
      </w:r>
    </w:p>
    <w:p w14:paraId="3D683853" w14:textId="26C9F5F1" w:rsidR="008B2C04" w:rsidRPr="00CB1DAB" w:rsidRDefault="008B2C04" w:rsidP="00DB7E80">
      <w:pPr>
        <w:spacing w:before="120" w:after="120"/>
      </w:pPr>
      <w:r w:rsidRPr="00CB1DAB">
        <w:t xml:space="preserve">The Government has also provided </w:t>
      </w:r>
      <w:r w:rsidR="00ED4570" w:rsidRPr="00CB1DAB">
        <w:t xml:space="preserve">$107.1 million between 2019-20 and 2025-26 </w:t>
      </w:r>
      <w:r w:rsidRPr="00CB1DAB">
        <w:t xml:space="preserve">for the Rural Procedural Grant Program (RPGP) to cover related costs of </w:t>
      </w:r>
      <w:r w:rsidR="002B595B" w:rsidRPr="00CB1DAB">
        <w:t>continuing professional development (</w:t>
      </w:r>
      <w:r w:rsidRPr="00CB1DAB">
        <w:t>CPD</w:t>
      </w:r>
      <w:r w:rsidR="002B595B" w:rsidRPr="00CB1DAB">
        <w:t>)</w:t>
      </w:r>
      <w:r w:rsidRPr="00CB1DAB">
        <w:t xml:space="preserve"> for procedural GPs working in rural and regional (defined as </w:t>
      </w:r>
      <w:r w:rsidR="002B595B" w:rsidRPr="00CB1DAB">
        <w:t xml:space="preserve">Modified </w:t>
      </w:r>
      <w:r w:rsidRPr="00CB1DAB">
        <w:t>Monash Model 3-7) locations to ensure these communities have access to highly qualified health professionals. Under the RPGP, GPs with procedural skills in anaesthetics, obstetrics and surgery can access a grant of up to $2,000 per day for up to 10 days each year for CPD activities in their procedural discipline.</w:t>
      </w:r>
    </w:p>
    <w:p w14:paraId="316D4D4F" w14:textId="2C72D6DE" w:rsidR="00851ED2" w:rsidRPr="00CB1DAB" w:rsidRDefault="00DE0F8B" w:rsidP="00EE1D82">
      <w:pPr>
        <w:spacing w:after="120"/>
      </w:pPr>
      <w:r w:rsidRPr="00CB1DAB">
        <w:t>Health professionals in Australia are trained according to the accreditation standards for their specific profession which is approved by the profession’s National Board. The</w:t>
      </w:r>
      <w:r w:rsidR="00001730" w:rsidRPr="00CB1DAB">
        <w:t> </w:t>
      </w:r>
      <w:r w:rsidRPr="00CB1DAB">
        <w:t xml:space="preserve">Australian Medical Council is responsible for the development of training standards and the assessment of training programs for medical professionals including </w:t>
      </w:r>
      <w:r w:rsidR="000C6F45" w:rsidRPr="00CB1DAB">
        <w:t>GPs</w:t>
      </w:r>
      <w:r w:rsidRPr="00CB1DAB">
        <w:t xml:space="preserve">. </w:t>
      </w:r>
      <w:r w:rsidR="00074477" w:rsidRPr="00CB1DAB">
        <w:rPr>
          <w:color w:val="000000" w:themeColor="text1"/>
        </w:rPr>
        <w:t>Medical</w:t>
      </w:r>
      <w:r w:rsidR="00001730" w:rsidRPr="00CB1DAB">
        <w:rPr>
          <w:color w:val="000000" w:themeColor="text1"/>
        </w:rPr>
        <w:t> </w:t>
      </w:r>
      <w:r w:rsidR="00074477" w:rsidRPr="00CB1DAB">
        <w:rPr>
          <w:color w:val="000000" w:themeColor="text1"/>
        </w:rPr>
        <w:t>colleges are responsible for maintaining standards for quality clinical practice, education and training, and research in Australia.</w:t>
      </w:r>
      <w:r w:rsidR="00074477" w:rsidRPr="00CB1DAB">
        <w:t xml:space="preserve"> </w:t>
      </w:r>
    </w:p>
    <w:p w14:paraId="6456858C" w14:textId="3F0CF247" w:rsidR="00EB531C" w:rsidRPr="00CB1DAB" w:rsidRDefault="00EB531C" w:rsidP="00EE1D82">
      <w:pPr>
        <w:spacing w:after="120"/>
      </w:pPr>
      <w:r w:rsidRPr="00CB1DAB" w:rsidDel="00995035">
        <w:lastRenderedPageBreak/>
        <w:t>The Royal Australian and New Zealand College of Obstetricians and Gynaecologists (RANZCOG) sets standards for specialist training in obstetrics and gynaecology, including LARC training principles and standards for health practitioners.</w:t>
      </w:r>
      <w:r w:rsidR="006A1B3C" w:rsidRPr="00CB1DAB">
        <w:rPr>
          <w:rStyle w:val="FootnoteReference"/>
        </w:rPr>
        <w:footnoteReference w:id="3"/>
      </w:r>
      <w:r w:rsidR="006A1B3C" w:rsidRPr="00CB1DAB">
        <w:rPr>
          <w:vertAlign w:val="superscript"/>
        </w:rPr>
        <w:t>,</w:t>
      </w:r>
      <w:r w:rsidR="006A1B3C" w:rsidRPr="00CB1DAB">
        <w:rPr>
          <w:rStyle w:val="FootnoteReference"/>
        </w:rPr>
        <w:footnoteReference w:id="4"/>
      </w:r>
      <w:r w:rsidRPr="00CB1DAB" w:rsidDel="00995035">
        <w:t xml:space="preserve"> </w:t>
      </w:r>
    </w:p>
    <w:p w14:paraId="4A6420AC" w14:textId="4F7B9699" w:rsidR="0056145D" w:rsidRPr="00CB1DAB" w:rsidRDefault="007E1483" w:rsidP="00EE1D82">
      <w:pPr>
        <w:spacing w:after="120"/>
      </w:pPr>
      <w:r w:rsidRPr="00CB1DAB">
        <w:t>The Australian College of Rural and Remote Medicine</w:t>
      </w:r>
      <w:r w:rsidR="0056145D" w:rsidRPr="00CB1DAB">
        <w:t xml:space="preserve"> (ACRRM)</w:t>
      </w:r>
      <w:r w:rsidRPr="00CB1DAB">
        <w:t xml:space="preserve"> and the Royal Australian College of </w:t>
      </w:r>
      <w:r w:rsidR="00935099" w:rsidRPr="00CB1DAB">
        <w:t>G</w:t>
      </w:r>
      <w:r w:rsidR="00291277" w:rsidRPr="00CB1DAB">
        <w:t>eneral Practitioners</w:t>
      </w:r>
      <w:r w:rsidR="00895B0D" w:rsidRPr="00CB1DAB">
        <w:t xml:space="preserve"> (RACGP</w:t>
      </w:r>
      <w:r w:rsidR="001F32FF" w:rsidRPr="00CB1DAB">
        <w:t>)</w:t>
      </w:r>
      <w:r w:rsidRPr="00CB1DAB">
        <w:t xml:space="preserve"> set </w:t>
      </w:r>
      <w:r w:rsidR="0056145D" w:rsidRPr="00CB1DAB">
        <w:t xml:space="preserve">the </w:t>
      </w:r>
      <w:r w:rsidRPr="00CB1DAB">
        <w:t xml:space="preserve">training </w:t>
      </w:r>
      <w:r w:rsidR="0056145D" w:rsidRPr="00CB1DAB">
        <w:t>curriculum</w:t>
      </w:r>
      <w:r w:rsidRPr="00CB1DAB">
        <w:t xml:space="preserve"> for GP registrars and practice </w:t>
      </w:r>
      <w:r w:rsidR="0056145D" w:rsidRPr="00CB1DAB">
        <w:t>requirements,</w:t>
      </w:r>
      <w:r w:rsidRPr="00CB1DAB">
        <w:t xml:space="preserve"> including</w:t>
      </w:r>
      <w:r w:rsidR="0056145D" w:rsidRPr="00CB1DAB">
        <w:t xml:space="preserve"> for</w:t>
      </w:r>
      <w:r w:rsidRPr="00CB1DAB">
        <w:t xml:space="preserve"> </w:t>
      </w:r>
      <w:r w:rsidR="001E600A" w:rsidRPr="00CB1DAB">
        <w:t>CPD</w:t>
      </w:r>
      <w:r w:rsidRPr="00CB1DAB">
        <w:t>.</w:t>
      </w:r>
      <w:r w:rsidR="00851ED2" w:rsidRPr="00CB1DAB">
        <w:t xml:space="preserve"> </w:t>
      </w:r>
      <w:r w:rsidR="0056145D" w:rsidRPr="00CB1DAB">
        <w:t>Both colleges require trainees to achieve competency in contraception advice, with the ACRRM curriculum requiring that trainees should be competent in the insertion of subcutaneous and intra-uterine contraceptive devices (IUCD)</w:t>
      </w:r>
      <w:r w:rsidR="0056145D" w:rsidRPr="00CB1DAB">
        <w:rPr>
          <w:rStyle w:val="FootnoteReference"/>
        </w:rPr>
        <w:footnoteReference w:id="5"/>
      </w:r>
      <w:r w:rsidR="0056145D" w:rsidRPr="00CB1DAB">
        <w:t xml:space="preserve">. RACGP trainees who do advanced training in obstetrics and gynaecology gain competency in LARC insertion. </w:t>
      </w:r>
      <w:r w:rsidR="00995035" w:rsidRPr="00CB1DAB">
        <w:t xml:space="preserve"> </w:t>
      </w:r>
    </w:p>
    <w:p w14:paraId="0722D7C5" w14:textId="6B17EEA4" w:rsidR="00001730" w:rsidRPr="00CB1DAB" w:rsidRDefault="00001730" w:rsidP="00EE1D82">
      <w:pPr>
        <w:pageBreakBefore/>
        <w:pBdr>
          <w:bottom w:val="single" w:sz="6" w:space="1" w:color="auto"/>
        </w:pBdr>
        <w:spacing w:after="120"/>
        <w:rPr>
          <w:b/>
          <w:bCs/>
        </w:rPr>
      </w:pPr>
      <w:r w:rsidRPr="00CB1DAB">
        <w:rPr>
          <w:b/>
          <w:bCs/>
        </w:rPr>
        <w:lastRenderedPageBreak/>
        <w:t>Recommendation 9</w:t>
      </w:r>
    </w:p>
    <w:p w14:paraId="79CB9D59" w14:textId="77777777" w:rsidR="00001730" w:rsidRPr="00CB1DAB" w:rsidRDefault="00001730" w:rsidP="006465E0">
      <w:pPr>
        <w:spacing w:before="240" w:after="240"/>
        <w:rPr>
          <w:i/>
          <w:iCs/>
        </w:rPr>
      </w:pPr>
      <w:r w:rsidRPr="00CB1DAB">
        <w:rPr>
          <w:i/>
          <w:iCs/>
        </w:rPr>
        <w:t>9: The Committee recommends that the Australian Government considers the continuation of fundin</w:t>
      </w:r>
      <w:r w:rsidRPr="00CB1DAB">
        <w:rPr>
          <w:i/>
        </w:rPr>
        <w:t>g for the Australian Contraception and Abortion Primary Care Practitioner Support Network (AusCAPPS) to provide ongoing support and professional development for practitioners.</w:t>
      </w:r>
    </w:p>
    <w:p w14:paraId="136047EF" w14:textId="1F9FB25C" w:rsidR="00001730" w:rsidRPr="00CB1DAB" w:rsidRDefault="00001730" w:rsidP="006465E0">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0615843" w14:textId="2A06CAE1" w:rsidR="00B267E3" w:rsidRPr="00CB1DAB" w:rsidRDefault="00586326" w:rsidP="00EE1D82">
      <w:pPr>
        <w:spacing w:after="120"/>
      </w:pPr>
      <w:r w:rsidRPr="00CB1DAB">
        <w:t xml:space="preserve">In the 2023-24 </w:t>
      </w:r>
      <w:r w:rsidR="00F862C6">
        <w:t>MYEFO,</w:t>
      </w:r>
      <w:r w:rsidRPr="00CB1DAB">
        <w:t xml:space="preserve"> </w:t>
      </w:r>
      <w:r w:rsidR="00B2108B" w:rsidRPr="00CB1DAB">
        <w:t>$1.1</w:t>
      </w:r>
      <w:r w:rsidR="00253FF7" w:rsidRPr="00CB1DAB">
        <w:t xml:space="preserve"> </w:t>
      </w:r>
      <w:r w:rsidR="00B2108B" w:rsidRPr="00CB1DAB">
        <w:t>m</w:t>
      </w:r>
      <w:r w:rsidR="00253FF7" w:rsidRPr="00CB1DAB">
        <w:t>illion</w:t>
      </w:r>
      <w:r w:rsidR="00B2108B" w:rsidRPr="00CB1DAB">
        <w:t xml:space="preserve"> was provided to support the continued operation of </w:t>
      </w:r>
      <w:r w:rsidRPr="00CB1DAB">
        <w:t>t</w:t>
      </w:r>
      <w:r w:rsidR="00001730" w:rsidRPr="00CB1DAB">
        <w:t>he AusCAPPS Network</w:t>
      </w:r>
      <w:r w:rsidR="0017628C" w:rsidRPr="00CB1DAB">
        <w:t xml:space="preserve"> </w:t>
      </w:r>
      <w:bookmarkStart w:id="3" w:name="_Hlk173169785"/>
      <w:r w:rsidR="00020160" w:rsidRPr="00CB1DAB">
        <w:t>to December 2026</w:t>
      </w:r>
      <w:bookmarkEnd w:id="3"/>
      <w:r w:rsidR="00001730" w:rsidRPr="00CB1DAB">
        <w:t>.</w:t>
      </w:r>
      <w:r w:rsidR="00717AA1" w:rsidRPr="00CB1DAB">
        <w:t xml:space="preserve"> This funding will ensure the AusCAPPS Network are able to continue </w:t>
      </w:r>
      <w:r w:rsidR="006E021E" w:rsidRPr="00CB1DAB">
        <w:t xml:space="preserve">providing </w:t>
      </w:r>
      <w:r w:rsidR="006F1A2B" w:rsidRPr="00CB1DAB">
        <w:t xml:space="preserve">essential </w:t>
      </w:r>
      <w:r w:rsidR="006E021E" w:rsidRPr="00CB1DAB">
        <w:t>support and</w:t>
      </w:r>
      <w:r w:rsidR="00717AA1" w:rsidRPr="00CB1DAB">
        <w:t xml:space="preserve"> professional development to </w:t>
      </w:r>
      <w:r w:rsidR="006F1A2B" w:rsidRPr="00CB1DAB">
        <w:t>providers of LARC and medical abortion services.</w:t>
      </w:r>
      <w:r w:rsidR="00717AA1" w:rsidRPr="00CB1DAB">
        <w:t xml:space="preserve"> </w:t>
      </w:r>
      <w:r w:rsidRPr="00CB1DAB">
        <w:br w:type="page"/>
      </w:r>
    </w:p>
    <w:p w14:paraId="7BD9D1E5" w14:textId="00410A34" w:rsidR="00B267E3" w:rsidRPr="00CB1DAB" w:rsidRDefault="00B267E3" w:rsidP="00EE1D82">
      <w:pPr>
        <w:pBdr>
          <w:bottom w:val="single" w:sz="6" w:space="1" w:color="auto"/>
        </w:pBdr>
        <w:spacing w:after="120"/>
        <w:rPr>
          <w:b/>
          <w:bCs/>
        </w:rPr>
      </w:pPr>
      <w:bookmarkStart w:id="4" w:name="_Hlk155191403"/>
      <w:r w:rsidRPr="00CB1DAB">
        <w:rPr>
          <w:b/>
          <w:bCs/>
        </w:rPr>
        <w:lastRenderedPageBreak/>
        <w:t>Recommendation 10</w:t>
      </w:r>
    </w:p>
    <w:p w14:paraId="6E5644E9" w14:textId="4A4C232E" w:rsidR="00B267E3" w:rsidRPr="00CB1DAB" w:rsidRDefault="00B267E3" w:rsidP="006465E0">
      <w:pPr>
        <w:spacing w:before="240" w:after="240"/>
        <w:rPr>
          <w:i/>
          <w:iCs/>
        </w:rPr>
      </w:pPr>
      <w:r w:rsidRPr="00CB1DAB">
        <w:rPr>
          <w:i/>
          <w:iCs/>
        </w:rPr>
        <w:t>10: The Committee recommends that the Australian Government considers and implements a separate Medicare Benefits Schedule item number for contraceptive counselling and advice for all prescribers, including midwives.</w:t>
      </w:r>
    </w:p>
    <w:p w14:paraId="376C731B" w14:textId="77777777" w:rsidR="00003D3B" w:rsidRPr="00CB1DAB" w:rsidRDefault="00003D3B"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17B41FAF" w14:textId="0C56E016" w:rsidR="00A17BD8" w:rsidRPr="00CB1DAB" w:rsidRDefault="005B778A" w:rsidP="00EE1D82">
      <w:pPr>
        <w:spacing w:after="120"/>
      </w:pPr>
      <w:r w:rsidRPr="00CB1DAB">
        <w:t xml:space="preserve">The Government is committed to ensuring Australians have access to contraceptive counselling and advice. </w:t>
      </w:r>
      <w:r w:rsidR="00DC29F0" w:rsidRPr="00CB1DAB">
        <w:t xml:space="preserve">Relevant prescribers have existing MBS items </w:t>
      </w:r>
      <w:r w:rsidR="00003D3B" w:rsidRPr="00CB1DAB">
        <w:t>which</w:t>
      </w:r>
      <w:r w:rsidR="00DC29F0" w:rsidRPr="00CB1DAB">
        <w:t xml:space="preserve"> can be used for contraceptive counselling and advice. To support doctors to provide general practice services to patients, there are a number of service items and payments available under the MBS. These include time-tiered general attendance items, which are designed to allow doctors to use their clinical judgement and to support flexibility and responsiveness in providing patient centred care. </w:t>
      </w:r>
    </w:p>
    <w:p w14:paraId="59D6E0A4" w14:textId="28852D94" w:rsidR="00DC29F0" w:rsidRPr="00CB1DAB" w:rsidRDefault="00020A48" w:rsidP="00EE1D82">
      <w:pPr>
        <w:spacing w:after="120"/>
      </w:pPr>
      <w:r w:rsidRPr="00CB1DAB">
        <w:t>As per recommendation 5, f</w:t>
      </w:r>
      <w:r w:rsidR="00DC29F0" w:rsidRPr="00CB1DAB">
        <w:t>rom 1</w:t>
      </w:r>
      <w:r w:rsidR="00A17BD8" w:rsidRPr="00CB1DAB">
        <w:t> </w:t>
      </w:r>
      <w:r w:rsidR="00DC29F0" w:rsidRPr="00CB1DAB">
        <w:t xml:space="preserve">November 2023 new general attendance items for consultations of 60 minutes or more (known as level E) </w:t>
      </w:r>
      <w:r w:rsidR="003A2D92" w:rsidRPr="00CB1DAB">
        <w:t>became</w:t>
      </w:r>
      <w:r w:rsidR="00DC29F0" w:rsidRPr="00CB1DAB">
        <w:t xml:space="preserve"> available to support improved access and service affordability for patients with complex needs</w:t>
      </w:r>
      <w:r w:rsidR="005B778A" w:rsidRPr="00CB1DAB">
        <w:t>. M</w:t>
      </w:r>
      <w:r w:rsidR="00DC29F0" w:rsidRPr="00CB1DAB">
        <w:t xml:space="preserve">edical practitioners </w:t>
      </w:r>
      <w:r w:rsidR="00B036C2" w:rsidRPr="00CB1DAB">
        <w:t xml:space="preserve">can </w:t>
      </w:r>
      <w:r w:rsidR="005B778A" w:rsidRPr="00CB1DAB">
        <w:t xml:space="preserve">also </w:t>
      </w:r>
      <w:r w:rsidR="00DC29F0" w:rsidRPr="00CB1DAB">
        <w:t xml:space="preserve">access higher bulk billing incentives for general attendance items when they bulk bill patients under 16 </w:t>
      </w:r>
      <w:r w:rsidR="00560048" w:rsidRPr="00CB1DAB">
        <w:t xml:space="preserve">years of age </w:t>
      </w:r>
      <w:r w:rsidR="00DC29F0" w:rsidRPr="00CB1DAB">
        <w:t xml:space="preserve">and Commonwealth </w:t>
      </w:r>
      <w:r w:rsidR="00F862C6">
        <w:t>C</w:t>
      </w:r>
      <w:r w:rsidR="00DC29F0" w:rsidRPr="00CB1DAB">
        <w:t xml:space="preserve">oncession </w:t>
      </w:r>
      <w:r w:rsidR="00F862C6">
        <w:t>C</w:t>
      </w:r>
      <w:r w:rsidR="00DC29F0" w:rsidRPr="00CB1DAB">
        <w:t>ard holders.</w:t>
      </w:r>
    </w:p>
    <w:p w14:paraId="5374EDFB" w14:textId="77E3281C" w:rsidR="00DC29F0" w:rsidRPr="00CB1DAB" w:rsidRDefault="006170B2" w:rsidP="008922F3">
      <w:pPr>
        <w:spacing w:after="120"/>
      </w:pPr>
      <w:r w:rsidRPr="00CB1DAB">
        <w:t xml:space="preserve">Telehealth services by </w:t>
      </w:r>
      <w:r w:rsidR="009F2F5A" w:rsidRPr="00CB1DAB">
        <w:t>GPs</w:t>
      </w:r>
      <w:r w:rsidRPr="00CB1DAB">
        <w:t xml:space="preserve"> and prescribed medical practitioners specifically for </w:t>
      </w:r>
      <w:r w:rsidR="00855F2C" w:rsidRPr="00CB1DAB">
        <w:t xml:space="preserve">blood borne viruses and </w:t>
      </w:r>
      <w:r w:rsidRPr="00CB1DAB">
        <w:t>sexual and reproductive health</w:t>
      </w:r>
      <w:r w:rsidR="008922F3" w:rsidRPr="00CB1DAB">
        <w:t xml:space="preserve"> </w:t>
      </w:r>
      <w:r w:rsidRPr="00CB1DAB">
        <w:t>transition</w:t>
      </w:r>
      <w:r w:rsidR="0013206E" w:rsidRPr="00CB1DAB">
        <w:t>ed</w:t>
      </w:r>
      <w:r w:rsidRPr="00CB1DAB">
        <w:t xml:space="preserve"> to permanent MBS items </w:t>
      </w:r>
      <w:r w:rsidR="00512162" w:rsidRPr="00CB1DAB">
        <w:t xml:space="preserve">on </w:t>
      </w:r>
      <w:r w:rsidRPr="00CB1DAB">
        <w:t>1</w:t>
      </w:r>
      <w:r w:rsidR="00253FF7" w:rsidRPr="00CB1DAB">
        <w:t> </w:t>
      </w:r>
      <w:r w:rsidRPr="00CB1DAB">
        <w:t>July</w:t>
      </w:r>
      <w:r w:rsidR="00253FF7" w:rsidRPr="00CB1DAB">
        <w:t> </w:t>
      </w:r>
      <w:r w:rsidRPr="00CB1DAB">
        <w:t xml:space="preserve">2024. These items </w:t>
      </w:r>
      <w:r w:rsidR="00DC29F0" w:rsidRPr="00CB1DAB">
        <w:t xml:space="preserve">are exempt from the existing relationship rule to allow patients to access health services relevant to their needs despite location or </w:t>
      </w:r>
      <w:r w:rsidR="008922F3" w:rsidRPr="00CB1DAB">
        <w:t xml:space="preserve">medical practitioner </w:t>
      </w:r>
      <w:r w:rsidR="00DC29F0" w:rsidRPr="00CB1DAB">
        <w:t>availability</w:t>
      </w:r>
      <w:r w:rsidRPr="00CB1DAB">
        <w:t>.</w:t>
      </w:r>
      <w:r w:rsidR="00DC29F0" w:rsidRPr="00CB1DAB">
        <w:t xml:space="preserve"> </w:t>
      </w:r>
    </w:p>
    <w:p w14:paraId="28F34F69" w14:textId="6D74D040" w:rsidR="00DC29F0" w:rsidRPr="00CB1DAB" w:rsidRDefault="00F862C6" w:rsidP="00EE1D82">
      <w:pPr>
        <w:spacing w:after="120"/>
      </w:pPr>
      <w:r w:rsidRPr="00CB1DAB">
        <w:t>N</w:t>
      </w:r>
      <w:r>
        <w:t xml:space="preserve">urse </w:t>
      </w:r>
      <w:r w:rsidRPr="00CB1DAB">
        <w:t>P</w:t>
      </w:r>
      <w:r>
        <w:t>ractitioner</w:t>
      </w:r>
      <w:r w:rsidRPr="00CB1DAB">
        <w:t>s</w:t>
      </w:r>
      <w:r w:rsidR="00DC29F0" w:rsidRPr="00CB1DAB">
        <w:t xml:space="preserve"> can use time tiered general attendance items to discuss the contraceptive needs of their patients. The schedule fee for these items increased by 30</w:t>
      </w:r>
      <w:r w:rsidR="00811899">
        <w:t xml:space="preserve"> per cent</w:t>
      </w:r>
      <w:r w:rsidR="00DC29F0" w:rsidRPr="00CB1DAB">
        <w:t xml:space="preserve"> </w:t>
      </w:r>
      <w:r w:rsidR="00082046" w:rsidRPr="00CB1DAB">
        <w:t xml:space="preserve">on </w:t>
      </w:r>
      <w:r w:rsidR="00DC29F0" w:rsidRPr="00CB1DAB">
        <w:t xml:space="preserve">1 July 2024. </w:t>
      </w:r>
      <w:r w:rsidR="003622CB" w:rsidRPr="00CB1DAB">
        <w:t>From 1</w:t>
      </w:r>
      <w:r w:rsidR="00253FF7" w:rsidRPr="00CB1DAB">
        <w:t> </w:t>
      </w:r>
      <w:r w:rsidR="003622CB" w:rsidRPr="00CB1DAB">
        <w:t xml:space="preserve">March 2025, the Government will introduce two new general attendance MBS items for </w:t>
      </w:r>
      <w:r w:rsidRPr="00CB1DAB">
        <w:t>N</w:t>
      </w:r>
      <w:r>
        <w:t xml:space="preserve">urse </w:t>
      </w:r>
      <w:r w:rsidRPr="00CB1DAB">
        <w:t>P</w:t>
      </w:r>
      <w:r>
        <w:t>ractitioner</w:t>
      </w:r>
      <w:r w:rsidRPr="00CB1DAB">
        <w:t>s</w:t>
      </w:r>
      <w:r w:rsidR="003622CB" w:rsidRPr="00CB1DAB">
        <w:t xml:space="preserve"> (face-to-face and telehealth) of at least 60 minutes duration. These items will further support service provision for LARCs. </w:t>
      </w:r>
      <w:r w:rsidR="00754033" w:rsidRPr="00CB1DAB">
        <w:t>EMs</w:t>
      </w:r>
      <w:r w:rsidR="00DC29F0" w:rsidRPr="00CB1DAB">
        <w:t xml:space="preserve"> can use the existing postnatal MBS items to discuss the contraceptive needs of their patients. </w:t>
      </w:r>
    </w:p>
    <w:bookmarkEnd w:id="4"/>
    <w:p w14:paraId="6499D052" w14:textId="6FFAD57A" w:rsidR="00B267E3" w:rsidRPr="00CB1DAB" w:rsidRDefault="00B267E3" w:rsidP="00EE1D82">
      <w:pPr>
        <w:spacing w:after="120"/>
      </w:pPr>
      <w:r w:rsidRPr="00CB1DAB">
        <w:br w:type="page"/>
      </w:r>
    </w:p>
    <w:p w14:paraId="21D3E771" w14:textId="0364F390" w:rsidR="00B267E3" w:rsidRPr="00CB1DAB" w:rsidRDefault="00B267E3" w:rsidP="00EE1D82">
      <w:pPr>
        <w:pBdr>
          <w:bottom w:val="single" w:sz="6" w:space="1" w:color="auto"/>
        </w:pBdr>
        <w:spacing w:after="120"/>
        <w:rPr>
          <w:b/>
          <w:bCs/>
        </w:rPr>
      </w:pPr>
      <w:r w:rsidRPr="00CB1DAB">
        <w:rPr>
          <w:b/>
          <w:bCs/>
        </w:rPr>
        <w:lastRenderedPageBreak/>
        <w:t>Recommendation 11</w:t>
      </w:r>
    </w:p>
    <w:p w14:paraId="5962AAE6" w14:textId="65CCCB1F" w:rsidR="00B267E3" w:rsidRPr="00CB1DAB" w:rsidRDefault="00B267E3" w:rsidP="006465E0">
      <w:pPr>
        <w:spacing w:before="240" w:after="240"/>
        <w:rPr>
          <w:i/>
          <w:iCs/>
        </w:rPr>
      </w:pPr>
      <w:r w:rsidRPr="00CB1DAB">
        <w:rPr>
          <w:i/>
          <w:iCs/>
        </w:rPr>
        <w:t>11: The Committee recommends that the Australian Government and/or relevant organisations support research into the availability and development of contraceptive options for males.</w:t>
      </w:r>
    </w:p>
    <w:p w14:paraId="6F8F50E5" w14:textId="77777777" w:rsidR="00AA6278" w:rsidRPr="00CB1DAB" w:rsidRDefault="00AA6278"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755A8B2B" w14:textId="77777777" w:rsidR="00127736" w:rsidRPr="00CB1DAB" w:rsidRDefault="00017F3F" w:rsidP="00C757F8">
      <w:pPr>
        <w:spacing w:after="160"/>
      </w:pPr>
      <w:r w:rsidRPr="00CB1DAB">
        <w:t xml:space="preserve">The Government is committed to health and medical research and </w:t>
      </w:r>
      <w:r w:rsidR="00CF4545" w:rsidRPr="00CB1DAB">
        <w:t>is</w:t>
      </w:r>
      <w:r w:rsidRPr="00CB1DAB">
        <w:t xml:space="preserve"> invest</w:t>
      </w:r>
      <w:r w:rsidR="00CF4545" w:rsidRPr="00CB1DAB">
        <w:t>ing</w:t>
      </w:r>
      <w:r w:rsidRPr="00CB1DAB">
        <w:t xml:space="preserve"> in Australian research and its translation into practice to ensure Australia’s entire health system is prepared for current and future challenges. The Government provides direct support for health and medical research through the </w:t>
      </w:r>
      <w:r w:rsidR="00127736" w:rsidRPr="00CB1DAB">
        <w:t>complementary Medical Research Future Fund (MRFF) and the National Health and Medical Research Council (NHMRC):</w:t>
      </w:r>
    </w:p>
    <w:p w14:paraId="2D99ECDB" w14:textId="0F1E365E" w:rsidR="00127736" w:rsidRPr="00CB1DAB" w:rsidRDefault="002C59AD" w:rsidP="00326B55">
      <w:pPr>
        <w:pStyle w:val="ListParagraph"/>
        <w:numPr>
          <w:ilvl w:val="0"/>
          <w:numId w:val="50"/>
        </w:numPr>
        <w:spacing w:after="120"/>
        <w:ind w:left="714" w:hanging="357"/>
        <w:contextualSpacing w:val="0"/>
        <w:rPr>
          <w:sz w:val="24"/>
          <w:szCs w:val="24"/>
        </w:rPr>
      </w:pPr>
      <w:bookmarkStart w:id="5" w:name="_Hlk141256944"/>
      <w:r w:rsidRPr="00CB1DAB">
        <w:rPr>
          <w:sz w:val="24"/>
          <w:szCs w:val="24"/>
        </w:rPr>
        <w:t>T</w:t>
      </w:r>
      <w:r w:rsidR="00127736" w:rsidRPr="00CB1DAB">
        <w:rPr>
          <w:sz w:val="24"/>
          <w:szCs w:val="24"/>
        </w:rPr>
        <w:t>he MRFF funds priority driven research with a focus on research translatio</w:t>
      </w:r>
      <w:bookmarkEnd w:id="5"/>
      <w:r w:rsidR="00127736" w:rsidRPr="00CB1DAB">
        <w:rPr>
          <w:sz w:val="24"/>
          <w:szCs w:val="24"/>
        </w:rPr>
        <w:t>n and commercialisation</w:t>
      </w:r>
      <w:r w:rsidRPr="00CB1DAB">
        <w:rPr>
          <w:sz w:val="24"/>
          <w:szCs w:val="24"/>
        </w:rPr>
        <w:t>.</w:t>
      </w:r>
    </w:p>
    <w:p w14:paraId="05204755" w14:textId="15187018" w:rsidR="00127736" w:rsidRPr="00CB1DAB" w:rsidRDefault="002C59AD" w:rsidP="00326B55">
      <w:pPr>
        <w:pStyle w:val="ListParagraph"/>
        <w:numPr>
          <w:ilvl w:val="0"/>
          <w:numId w:val="50"/>
        </w:numPr>
        <w:spacing w:after="120"/>
        <w:ind w:left="714" w:hanging="357"/>
        <w:contextualSpacing w:val="0"/>
        <w:rPr>
          <w:sz w:val="24"/>
          <w:szCs w:val="24"/>
        </w:rPr>
      </w:pPr>
      <w:r w:rsidRPr="00CB1DAB">
        <w:rPr>
          <w:sz w:val="24"/>
          <w:szCs w:val="24"/>
        </w:rPr>
        <w:t>T</w:t>
      </w:r>
      <w:r w:rsidR="00127736" w:rsidRPr="00CB1DAB">
        <w:rPr>
          <w:sz w:val="24"/>
          <w:szCs w:val="24"/>
        </w:rPr>
        <w:t>he NHMRC focuses on investigator-led research.</w:t>
      </w:r>
    </w:p>
    <w:p w14:paraId="7E19F4DD" w14:textId="12B63828" w:rsidR="00017F3F" w:rsidRPr="00CB1DAB" w:rsidRDefault="00127736" w:rsidP="00127736">
      <w:pPr>
        <w:spacing w:before="120" w:after="120"/>
      </w:pPr>
      <w:r w:rsidRPr="00CB1DAB">
        <w:t>Decisions regarding the expenditure of disbursements from the MRFF are guided by the Australian Medical Research and Innovation Strategy 2021</w:t>
      </w:r>
      <w:r w:rsidRPr="00CB1DAB">
        <w:noBreakHyphen/>
        <w:t xml:space="preserve">2026 and related set of Australian Medical Research and Innovation Priorities (2024-2026) (Priorities) developed by the independent and expert Australian Medical Research Advisory Board following national consultation in accordance with the </w:t>
      </w:r>
      <w:r w:rsidR="00253FF7" w:rsidRPr="00CB1DAB">
        <w:rPr>
          <w:i/>
          <w:iCs/>
        </w:rPr>
        <w:t>Medical Research Future Fund</w:t>
      </w:r>
      <w:r w:rsidRPr="00CB1DAB">
        <w:rPr>
          <w:i/>
          <w:iCs/>
        </w:rPr>
        <w:t xml:space="preserve"> Act</w:t>
      </w:r>
      <w:r w:rsidR="00253FF7" w:rsidRPr="00CB1DAB">
        <w:rPr>
          <w:i/>
          <w:iCs/>
        </w:rPr>
        <w:t xml:space="preserve"> 2015</w:t>
      </w:r>
      <w:r w:rsidRPr="00CB1DAB">
        <w:t>. The Government is required to consider the Priorities</w:t>
      </w:r>
      <w:r w:rsidRPr="00CB1DAB">
        <w:rPr>
          <w:i/>
          <w:iCs/>
        </w:rPr>
        <w:t xml:space="preserve"> </w:t>
      </w:r>
      <w:r w:rsidRPr="00CB1DAB">
        <w:t>that are in force when making decisions on MRFF disbursements.</w:t>
      </w:r>
    </w:p>
    <w:p w14:paraId="2E44298A" w14:textId="6FF955E7" w:rsidR="00805CB8" w:rsidRPr="00CB1DAB" w:rsidRDefault="00FC3B32" w:rsidP="00EE1D82">
      <w:pPr>
        <w:spacing w:after="120"/>
      </w:pPr>
      <w:r w:rsidRPr="00CB1DAB">
        <w:t>Between 2000 and 202</w:t>
      </w:r>
      <w:r w:rsidR="00B60476" w:rsidRPr="00CB1DAB">
        <w:t>3</w:t>
      </w:r>
      <w:r w:rsidRPr="00CB1DAB">
        <w:t xml:space="preserve"> the</w:t>
      </w:r>
      <w:r w:rsidR="000F37AC" w:rsidRPr="00CB1DAB">
        <w:t xml:space="preserve"> NHMRC</w:t>
      </w:r>
      <w:r w:rsidRPr="00CB1DAB">
        <w:t xml:space="preserve"> expended $24.</w:t>
      </w:r>
      <w:r w:rsidR="00B60476" w:rsidRPr="00CB1DAB">
        <w:t>9</w:t>
      </w:r>
      <w:r w:rsidRPr="00CB1DAB">
        <w:t xml:space="preserve"> million towards research relevant to male contracepti</w:t>
      </w:r>
      <w:r w:rsidR="00600907" w:rsidRPr="00CB1DAB">
        <w:t>on</w:t>
      </w:r>
      <w:r w:rsidR="00334EE5" w:rsidRPr="00CB1DAB">
        <w:t>, including investigating male hormonal and biochemical contraceptive targets, sexual health education and reproductive health policy frameworks</w:t>
      </w:r>
      <w:r w:rsidR="002E05B0" w:rsidRPr="00CB1DAB">
        <w:t xml:space="preserve">. </w:t>
      </w:r>
    </w:p>
    <w:p w14:paraId="4B618155" w14:textId="20580DA4" w:rsidR="00127736" w:rsidRPr="00CB1DAB" w:rsidRDefault="00127736" w:rsidP="00EE1D82">
      <w:pPr>
        <w:spacing w:after="120"/>
      </w:pPr>
      <w:r w:rsidRPr="00CB1DAB">
        <w:t>Since its inception, the MRFF expended $1.5 million towards research relevant to male contraception, including a clinical trial of a next generation condom that has the potential to reduce condom avoidance.</w:t>
      </w:r>
    </w:p>
    <w:p w14:paraId="6C76BA3F" w14:textId="77911FC6" w:rsidR="00B267E3" w:rsidRPr="00CB1DAB" w:rsidRDefault="00B267E3" w:rsidP="00EE1D82">
      <w:pPr>
        <w:spacing w:after="120"/>
      </w:pPr>
      <w:r w:rsidRPr="00CB1DAB">
        <w:br w:type="page"/>
      </w:r>
    </w:p>
    <w:p w14:paraId="3870E7AE" w14:textId="3A5D7AA5" w:rsidR="00B267E3" w:rsidRPr="00CB1DAB" w:rsidRDefault="00B267E3" w:rsidP="00EE1D82">
      <w:pPr>
        <w:pBdr>
          <w:bottom w:val="single" w:sz="6" w:space="1" w:color="auto"/>
        </w:pBdr>
        <w:spacing w:after="120"/>
        <w:rPr>
          <w:b/>
          <w:bCs/>
        </w:rPr>
      </w:pPr>
      <w:r w:rsidRPr="00CB1DAB">
        <w:rPr>
          <w:b/>
          <w:bCs/>
        </w:rPr>
        <w:lastRenderedPageBreak/>
        <w:t>Recommendation 12</w:t>
      </w:r>
    </w:p>
    <w:p w14:paraId="5E74DA25" w14:textId="1B475567" w:rsidR="00B267E3" w:rsidRPr="00CB1DAB" w:rsidRDefault="00B267E3" w:rsidP="006465E0">
      <w:pPr>
        <w:spacing w:before="240" w:after="240"/>
        <w:rPr>
          <w:i/>
          <w:iCs/>
        </w:rPr>
      </w:pPr>
      <w:r w:rsidRPr="00CB1DAB">
        <w:rPr>
          <w:i/>
          <w:iCs/>
        </w:rPr>
        <w:t>12: The Committee recommends that the Australian, state, and territory governments ensure that maternity care services, including birthing services, in non-metropolitan public hospitals are available and accessible for all pregnant women at the time they require them. This is particularly important for women in rural and regional areas.</w:t>
      </w:r>
    </w:p>
    <w:p w14:paraId="25E0BE1A" w14:textId="77777777" w:rsidR="00307506" w:rsidRPr="00CB1DAB" w:rsidRDefault="00307506" w:rsidP="006465E0">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363BE8A3" w14:textId="493AB20F" w:rsidR="00035967" w:rsidRPr="00CB1DAB" w:rsidRDefault="007268CB" w:rsidP="00EE1D82">
      <w:pPr>
        <w:spacing w:after="120"/>
      </w:pPr>
      <w:r w:rsidRPr="00CB1DAB">
        <w:t xml:space="preserve">The planning and delivery of Australian maternity services is undertaken by states and territories with the Government providing </w:t>
      </w:r>
      <w:r w:rsidR="005B778A" w:rsidRPr="00CB1DAB">
        <w:t>significant funding through the</w:t>
      </w:r>
      <w:r w:rsidRPr="00CB1DAB">
        <w:t xml:space="preserve"> </w:t>
      </w:r>
      <w:r w:rsidR="00E41ECE" w:rsidRPr="00CB1DAB">
        <w:t>NHRA</w:t>
      </w:r>
      <w:r w:rsidRPr="00CB1DAB">
        <w:t xml:space="preserve"> to assist states and territories with the costs of public hospital and community health services, including maternity services.</w:t>
      </w:r>
    </w:p>
    <w:p w14:paraId="4E3C4C7F" w14:textId="736CAD67" w:rsidR="003F40F5" w:rsidRPr="00CB1DAB" w:rsidRDefault="00035967" w:rsidP="00EE1D82">
      <w:pPr>
        <w:spacing w:after="120"/>
      </w:pPr>
      <w:bookmarkStart w:id="6" w:name="_Hlk153800529"/>
      <w:r w:rsidRPr="00CB1DAB">
        <w:t xml:space="preserve">The Government </w:t>
      </w:r>
      <w:r w:rsidR="004273B1" w:rsidRPr="00CB1DAB">
        <w:t xml:space="preserve">supports this recommendation through its contribution to states and territories towards the costs of delivering safe and quality public health services under </w:t>
      </w:r>
      <w:r w:rsidRPr="00CB1DAB">
        <w:t>the N</w:t>
      </w:r>
      <w:r w:rsidR="00E41ECE" w:rsidRPr="00CB1DAB">
        <w:t>HRA</w:t>
      </w:r>
      <w:r w:rsidR="004273B1" w:rsidRPr="00CB1DAB">
        <w:t>. In return</w:t>
      </w:r>
      <w:r w:rsidR="00F862C6">
        <w:t>,</w:t>
      </w:r>
      <w:r w:rsidR="004273B1" w:rsidRPr="00CB1DAB">
        <w:t xml:space="preserve"> the states and territories have agreed to the Medicare Principles, under which they have committed </w:t>
      </w:r>
      <w:r w:rsidRPr="00CB1DAB">
        <w:t>to provide all Medicare</w:t>
      </w:r>
      <w:r w:rsidR="003A2D92" w:rsidRPr="00CB1DAB">
        <w:noBreakHyphen/>
      </w:r>
      <w:r w:rsidRPr="00CB1DAB">
        <w:t xml:space="preserve">eligible persons with the choice to receive public hospital services free-of-charge, on the basis of clinical need and within a clinically appropriate period. The NHRA also requires </w:t>
      </w:r>
      <w:r w:rsidR="004273B1" w:rsidRPr="00CB1DAB">
        <w:t xml:space="preserve">states and territories </w:t>
      </w:r>
      <w:r w:rsidRPr="00CB1DAB">
        <w:t xml:space="preserve">to ensure arrangements are in place to </w:t>
      </w:r>
      <w:r w:rsidR="003A2D92" w:rsidRPr="00CB1DAB">
        <w:t>allow for</w:t>
      </w:r>
      <w:r w:rsidRPr="00CB1DAB">
        <w:t xml:space="preserve"> equitable access to </w:t>
      </w:r>
      <w:r w:rsidR="00F43225" w:rsidRPr="00CB1DAB">
        <w:t>necessary reproductive health</w:t>
      </w:r>
      <w:r w:rsidR="007D3E9B" w:rsidRPr="00CB1DAB">
        <w:t xml:space="preserve"> </w:t>
      </w:r>
      <w:r w:rsidRPr="00CB1DAB">
        <w:t xml:space="preserve">services, regardless of geographical location. </w:t>
      </w:r>
    </w:p>
    <w:bookmarkEnd w:id="6"/>
    <w:p w14:paraId="433F6E06" w14:textId="2C9FA8F3" w:rsidR="0016010B" w:rsidRPr="00CB1DAB" w:rsidRDefault="006D6EF6" w:rsidP="00EE1D82">
      <w:pPr>
        <w:spacing w:after="120"/>
      </w:pPr>
      <w:r w:rsidRPr="00CB1DAB">
        <w:t>The</w:t>
      </w:r>
      <w:r w:rsidR="00870DB8" w:rsidRPr="00CB1DAB">
        <w:t xml:space="preserve"> </w:t>
      </w:r>
      <w:r w:rsidR="007268CB" w:rsidRPr="00CB1DAB">
        <w:t xml:space="preserve">Woman-centred Care: Strategic directions for Australian maternity services </w:t>
      </w:r>
      <w:r w:rsidR="00560048" w:rsidRPr="00CB1DAB">
        <w:t>(2019)</w:t>
      </w:r>
      <w:r w:rsidR="003A2D92" w:rsidRPr="00CB1DAB">
        <w:t xml:space="preserve"> </w:t>
      </w:r>
      <w:r w:rsidR="007268CB" w:rsidRPr="00CB1DAB">
        <w:t>(Wom</w:t>
      </w:r>
      <w:r w:rsidR="00CB4FC6" w:rsidRPr="00CB1DAB">
        <w:t>a</w:t>
      </w:r>
      <w:r w:rsidR="007268CB" w:rsidRPr="00CB1DAB">
        <w:t>n</w:t>
      </w:r>
      <w:r w:rsidR="00EA7257" w:rsidRPr="00CB1DAB">
        <w:noBreakHyphen/>
      </w:r>
      <w:r w:rsidR="00A74F6E" w:rsidRPr="00CB1DAB">
        <w:t>centred</w:t>
      </w:r>
      <w:r w:rsidR="007268CB" w:rsidRPr="00CB1DAB">
        <w:t xml:space="preserve"> Care Strategy) recognises the diversity of funding and delivery arrangements underpinning maternity services in Australia. Of primary importance is that Australian families have access to safe, high quality, respectful maternity care.</w:t>
      </w:r>
      <w:r w:rsidR="00253FF7" w:rsidRPr="00CB1DAB">
        <w:t xml:space="preserve"> </w:t>
      </w:r>
      <w:r w:rsidR="00560048" w:rsidRPr="00CB1DAB">
        <w:t>The Woman</w:t>
      </w:r>
      <w:r w:rsidR="00253FF7" w:rsidRPr="00CB1DAB">
        <w:noBreakHyphen/>
      </w:r>
      <w:r w:rsidR="00560048" w:rsidRPr="00CB1DAB">
        <w:t>centred Care Strategy is wide-reaching. On 21 April 2023</w:t>
      </w:r>
      <w:r w:rsidR="00253FF7" w:rsidRPr="00CB1DAB">
        <w:t>,</w:t>
      </w:r>
      <w:r w:rsidR="00560048" w:rsidRPr="00CB1DAB">
        <w:t xml:space="preserve"> a</w:t>
      </w:r>
      <w:r w:rsidR="00637BFF" w:rsidRPr="00CB1DAB">
        <w:t xml:space="preserve">ll Australian </w:t>
      </w:r>
      <w:r w:rsidR="000B771E" w:rsidRPr="00CB1DAB">
        <w:t xml:space="preserve">Health Ministers agreed </w:t>
      </w:r>
      <w:r w:rsidR="00637BFF" w:rsidRPr="00CB1DAB">
        <w:t xml:space="preserve">the </w:t>
      </w:r>
      <w:r w:rsidR="00253FF7" w:rsidRPr="00CB1DAB">
        <w:t>six</w:t>
      </w:r>
      <w:r w:rsidR="00637BFF" w:rsidRPr="00CB1DAB">
        <w:t xml:space="preserve"> priority areas for </w:t>
      </w:r>
      <w:r w:rsidR="000B771E" w:rsidRPr="00CB1DAB">
        <w:t>implementation of the Woman-</w:t>
      </w:r>
      <w:r w:rsidR="00882D65" w:rsidRPr="00CB1DAB">
        <w:t>centred</w:t>
      </w:r>
      <w:r w:rsidR="000B771E" w:rsidRPr="00CB1DAB">
        <w:t xml:space="preserve"> Care Strategy</w:t>
      </w:r>
      <w:r w:rsidR="00637BFF" w:rsidRPr="00CB1DAB">
        <w:t>.</w:t>
      </w:r>
      <w:r w:rsidR="00EB4710" w:rsidRPr="00CB1DAB">
        <w:t xml:space="preserve"> One of these priority areas is</w:t>
      </w:r>
      <w:r w:rsidR="000B771E" w:rsidRPr="00CB1DAB">
        <w:t xml:space="preserve"> </w:t>
      </w:r>
      <w:r w:rsidR="00F90ABE" w:rsidRPr="00CB1DAB">
        <w:t>i</w:t>
      </w:r>
      <w:r w:rsidR="000B771E" w:rsidRPr="00CB1DAB">
        <w:t>mproving access to, and understanding the awareness of, maternity models of care to support greater choice for women in maternity care</w:t>
      </w:r>
      <w:r w:rsidR="00F634D7" w:rsidRPr="00CB1DAB">
        <w:t>. This a</w:t>
      </w:r>
      <w:r w:rsidRPr="00CB1DAB">
        <w:t>lso includes</w:t>
      </w:r>
      <w:r w:rsidR="000B771E" w:rsidRPr="00CB1DAB">
        <w:t xml:space="preserve"> midwifery continuity of care and maternity continuity of carer models.</w:t>
      </w:r>
    </w:p>
    <w:p w14:paraId="748E3B44" w14:textId="3A21CF65" w:rsidR="00BC0BC9" w:rsidRPr="00CB1DAB" w:rsidRDefault="007A7B53" w:rsidP="00EE1D82">
      <w:pPr>
        <w:spacing w:after="120"/>
      </w:pPr>
      <w:r w:rsidRPr="00CB1DAB">
        <w:t xml:space="preserve">To support implementation of the Woman-centred Care Strategy, Health Ministers tasked the </w:t>
      </w:r>
      <w:r w:rsidR="00F51139" w:rsidRPr="00CB1DAB">
        <w:t>H</w:t>
      </w:r>
      <w:r w:rsidR="0016010B" w:rsidRPr="00CB1DAB">
        <w:t xml:space="preserve">ealth </w:t>
      </w:r>
      <w:r w:rsidR="00F51139" w:rsidRPr="00CB1DAB">
        <w:t>W</w:t>
      </w:r>
      <w:r w:rsidR="0016010B" w:rsidRPr="00CB1DAB">
        <w:t xml:space="preserve">orkforce </w:t>
      </w:r>
      <w:r w:rsidR="00F51139" w:rsidRPr="00CB1DAB">
        <w:t>T</w:t>
      </w:r>
      <w:r w:rsidR="0016010B" w:rsidRPr="00CB1DAB">
        <w:t>askfo</w:t>
      </w:r>
      <w:r w:rsidR="0F0C240C" w:rsidRPr="00CB1DAB">
        <w:t>r</w:t>
      </w:r>
      <w:r w:rsidR="0016010B" w:rsidRPr="00CB1DAB">
        <w:t>ce</w:t>
      </w:r>
      <w:r w:rsidRPr="00CB1DAB">
        <w:t xml:space="preserve"> to develop a </w:t>
      </w:r>
      <w:r w:rsidR="0016010B" w:rsidRPr="00CB1DAB">
        <w:t>N</w:t>
      </w:r>
      <w:r w:rsidRPr="00CB1DAB">
        <w:t xml:space="preserve">ational </w:t>
      </w:r>
      <w:r w:rsidR="0016010B" w:rsidRPr="00CB1DAB">
        <w:t>M</w:t>
      </w:r>
      <w:r w:rsidRPr="00CB1DAB">
        <w:t xml:space="preserve">aternity </w:t>
      </w:r>
      <w:r w:rsidR="0016010B" w:rsidRPr="00CB1DAB">
        <w:t>W</w:t>
      </w:r>
      <w:r w:rsidRPr="00CB1DAB">
        <w:t xml:space="preserve">orkforce </w:t>
      </w:r>
      <w:r w:rsidR="0016010B" w:rsidRPr="00CB1DAB">
        <w:t>S</w:t>
      </w:r>
      <w:r w:rsidRPr="00CB1DAB">
        <w:t>trategy.</w:t>
      </w:r>
      <w:r w:rsidR="000B771E" w:rsidRPr="00CB1DAB">
        <w:t xml:space="preserve"> </w:t>
      </w:r>
      <w:r w:rsidR="00F1472A" w:rsidRPr="00CB1DAB">
        <w:t>A</w:t>
      </w:r>
      <w:r w:rsidR="00253FF7" w:rsidRPr="00CB1DAB">
        <w:t> </w:t>
      </w:r>
      <w:r w:rsidR="00754033" w:rsidRPr="00CB1DAB">
        <w:t>N</w:t>
      </w:r>
      <w:r w:rsidR="00F1472A" w:rsidRPr="00CB1DAB">
        <w:t xml:space="preserve">ational </w:t>
      </w:r>
      <w:r w:rsidR="00754033" w:rsidRPr="00CB1DAB">
        <w:t>M</w:t>
      </w:r>
      <w:r w:rsidR="00F1472A" w:rsidRPr="00CB1DAB">
        <w:t xml:space="preserve">aternity </w:t>
      </w:r>
      <w:r w:rsidR="00754033" w:rsidRPr="00CB1DAB">
        <w:t>W</w:t>
      </w:r>
      <w:r w:rsidR="00F1472A" w:rsidRPr="00CB1DAB">
        <w:t xml:space="preserve">orkforce </w:t>
      </w:r>
      <w:r w:rsidR="00754033" w:rsidRPr="00CB1DAB">
        <w:t>S</w:t>
      </w:r>
      <w:r w:rsidR="00F1472A" w:rsidRPr="00CB1DAB">
        <w:t>trategy is being developed and co</w:t>
      </w:r>
      <w:r w:rsidR="00F1472A" w:rsidRPr="00CB1DAB">
        <w:noBreakHyphen/>
        <w:t>led by Queensland</w:t>
      </w:r>
      <w:r w:rsidR="008C1AAB" w:rsidRPr="00CB1DAB">
        <w:t xml:space="preserve"> and </w:t>
      </w:r>
      <w:r w:rsidR="00F862C6">
        <w:t xml:space="preserve">NSW. </w:t>
      </w:r>
    </w:p>
    <w:p w14:paraId="6AC8E7C9" w14:textId="362F65C4" w:rsidR="00B267E3" w:rsidRPr="00CB1DAB" w:rsidRDefault="00B267E3" w:rsidP="00A27907">
      <w:pPr>
        <w:spacing w:after="120"/>
      </w:pPr>
      <w:r w:rsidRPr="00CB1DAB">
        <w:br w:type="page"/>
      </w:r>
    </w:p>
    <w:p w14:paraId="34A058F7" w14:textId="08F75078" w:rsidR="00B267E3" w:rsidRPr="00CB1DAB" w:rsidRDefault="00B267E3" w:rsidP="00EE1D82">
      <w:pPr>
        <w:pBdr>
          <w:bottom w:val="single" w:sz="6" w:space="1" w:color="auto"/>
        </w:pBdr>
        <w:spacing w:after="120"/>
        <w:rPr>
          <w:b/>
          <w:bCs/>
        </w:rPr>
      </w:pPr>
      <w:r w:rsidRPr="00CB1DAB">
        <w:rPr>
          <w:b/>
          <w:bCs/>
        </w:rPr>
        <w:lastRenderedPageBreak/>
        <w:t>Recommendation 13</w:t>
      </w:r>
    </w:p>
    <w:p w14:paraId="0681D4AD" w14:textId="46E097A5" w:rsidR="00B267E3" w:rsidRPr="00CB1DAB" w:rsidRDefault="00B267E3" w:rsidP="009C6998">
      <w:pPr>
        <w:spacing w:before="240" w:after="240"/>
        <w:rPr>
          <w:i/>
          <w:iCs/>
        </w:rPr>
      </w:pPr>
      <w:r w:rsidRPr="00CB1DAB">
        <w:rPr>
          <w:i/>
          <w:iCs/>
        </w:rPr>
        <w:t>13: The Committee recommends that the Australian Government implements outstanding recommendations made by the Participating Midwife Reference Group to the Medicare Benefits Schedule (MBS) Review Taskforce regarding midwifery services and continuity of care.</w:t>
      </w:r>
    </w:p>
    <w:p w14:paraId="47B34763" w14:textId="438EAACC" w:rsidR="00F1472A" w:rsidRPr="00CB1DAB" w:rsidRDefault="00F1472A"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52F7012C" w14:textId="0CD7F531" w:rsidR="00AF366F" w:rsidRPr="00CB1DAB" w:rsidRDefault="008A74F7" w:rsidP="00AF366F">
      <w:pPr>
        <w:spacing w:after="120"/>
      </w:pPr>
      <w:r w:rsidRPr="00CB1DAB">
        <w:t xml:space="preserve">The MBS Review Taskforce endorsed eight recommendations made by the Participating Midwives Reference Group. Three recommendations have been implemented and </w:t>
      </w:r>
      <w:r w:rsidR="008648F9" w:rsidRPr="00CB1DAB">
        <w:t>t</w:t>
      </w:r>
      <w:r w:rsidR="00AF366F" w:rsidRPr="00CB1DAB">
        <w:t xml:space="preserve">he remaining </w:t>
      </w:r>
      <w:r w:rsidR="00253FF7" w:rsidRPr="00CB1DAB">
        <w:t>five</w:t>
      </w:r>
      <w:r w:rsidR="00F862C6">
        <w:t xml:space="preserve"> </w:t>
      </w:r>
      <w:r w:rsidR="00AF366F" w:rsidRPr="00CB1DAB">
        <w:t xml:space="preserve">were funded in the 2024-25 </w:t>
      </w:r>
      <w:r w:rsidR="734982D6" w:rsidRPr="00CB1DAB">
        <w:t>B</w:t>
      </w:r>
      <w:r w:rsidR="00AF366F" w:rsidRPr="00CB1DAB">
        <w:t>udget and will be implemented on 1</w:t>
      </w:r>
      <w:r w:rsidR="00253FF7" w:rsidRPr="00CB1DAB">
        <w:t> </w:t>
      </w:r>
      <w:r w:rsidR="00AF366F" w:rsidRPr="00CB1DAB">
        <w:t xml:space="preserve">March 2025. These include: </w:t>
      </w:r>
    </w:p>
    <w:p w14:paraId="68F4C8E7" w14:textId="3CBBC9CB"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1: minimum duration for initial antenatal attendances</w:t>
      </w:r>
      <w:r w:rsidR="00C757F8" w:rsidRPr="00CB1DAB">
        <w:rPr>
          <w:sz w:val="24"/>
          <w:szCs w:val="24"/>
        </w:rPr>
        <w:t>.</w:t>
      </w:r>
    </w:p>
    <w:p w14:paraId="11CC308B" w14:textId="686AAA67"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2: antenatal attendances of at least 90 minutes</w:t>
      </w:r>
      <w:r w:rsidR="00C757F8" w:rsidRPr="00CB1DAB">
        <w:rPr>
          <w:sz w:val="24"/>
          <w:szCs w:val="24"/>
        </w:rPr>
        <w:t>.</w:t>
      </w:r>
      <w:r w:rsidRPr="00CB1DAB">
        <w:rPr>
          <w:sz w:val="24"/>
          <w:szCs w:val="24"/>
        </w:rPr>
        <w:t xml:space="preserve">  </w:t>
      </w:r>
    </w:p>
    <w:p w14:paraId="616F0A2D" w14:textId="66F3EE2C"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3: a new item for a complex antenatal attendance leading to a hospital admission</w:t>
      </w:r>
      <w:r w:rsidR="00C757F8" w:rsidRPr="00CB1DAB">
        <w:rPr>
          <w:sz w:val="24"/>
          <w:szCs w:val="24"/>
        </w:rPr>
        <w:t>.</w:t>
      </w:r>
    </w:p>
    <w:p w14:paraId="7BE65DB3" w14:textId="7549036A"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9: postnatal attendances of at least 90 minutes</w:t>
      </w:r>
      <w:r w:rsidR="00C757F8" w:rsidRPr="00CB1DAB">
        <w:rPr>
          <w:sz w:val="24"/>
          <w:szCs w:val="24"/>
        </w:rPr>
        <w:t>.</w:t>
      </w:r>
      <w:r w:rsidRPr="00CB1DAB">
        <w:rPr>
          <w:sz w:val="24"/>
          <w:szCs w:val="24"/>
        </w:rPr>
        <w:t xml:space="preserve"> </w:t>
      </w:r>
    </w:p>
    <w:p w14:paraId="4FA597CF" w14:textId="77777777" w:rsidR="00AF366F" w:rsidRPr="00CB1DAB" w:rsidRDefault="00AF366F" w:rsidP="00326B55">
      <w:pPr>
        <w:pStyle w:val="ListParagraph"/>
        <w:numPr>
          <w:ilvl w:val="0"/>
          <w:numId w:val="50"/>
        </w:numPr>
        <w:spacing w:after="120"/>
        <w:ind w:left="714" w:hanging="357"/>
        <w:contextualSpacing w:val="0"/>
        <w:rPr>
          <w:sz w:val="24"/>
          <w:szCs w:val="24"/>
        </w:rPr>
      </w:pPr>
      <w:r w:rsidRPr="00CB1DAB">
        <w:rPr>
          <w:sz w:val="24"/>
          <w:szCs w:val="24"/>
        </w:rPr>
        <w:t>Recommendation 10: mandatory clinical activities and increase the minimum time for a 6 week postnatal attendance. </w:t>
      </w:r>
    </w:p>
    <w:p w14:paraId="7ED9FBDE" w14:textId="19E6ACB7" w:rsidR="00636AFB" w:rsidRPr="00CB1DAB" w:rsidRDefault="00636AFB" w:rsidP="00636AFB">
      <w:pPr>
        <w:spacing w:after="120"/>
        <w:rPr>
          <w:rFonts w:ascii="Calibri" w:eastAsia="Calibri" w:hAnsi="Calibri" w:cs="Calibri"/>
        </w:rPr>
      </w:pPr>
      <w:r w:rsidRPr="00CB1DAB">
        <w:rPr>
          <w:rFonts w:ascii="Calibri" w:eastAsia="Calibri" w:hAnsi="Calibri" w:cs="Calibri"/>
        </w:rPr>
        <w:t xml:space="preserve">The Participating Midwife Reference Group also recommended that the need for mandated Collaborative Arrangements be removed. Following a review of the evidence, as recommended by the MBS Review Taskforce, and extensive stakeholder consultation, the Australian Government introduced the </w:t>
      </w:r>
      <w:r w:rsidRPr="00CB1DAB">
        <w:rPr>
          <w:rFonts w:ascii="Calibri" w:eastAsia="Calibri" w:hAnsi="Calibri" w:cs="Calibri"/>
          <w:i/>
          <w:iCs/>
        </w:rPr>
        <w:t>Health Legislation Amendment (Removal of Requirement for a Collaborative Arrangement) Bill 2024</w:t>
      </w:r>
      <w:r w:rsidRPr="00CB1DAB">
        <w:rPr>
          <w:rFonts w:ascii="Calibri" w:eastAsia="Calibri" w:hAnsi="Calibri" w:cs="Calibri"/>
        </w:rPr>
        <w:t xml:space="preserve"> to the House of Representatives on 20 March 2024. The Bill removes the legislated requirement for eligible midwives and eligible </w:t>
      </w:r>
      <w:r w:rsidR="00F862C6" w:rsidRPr="00CB1DAB">
        <w:t>N</w:t>
      </w:r>
      <w:r w:rsidR="00F862C6">
        <w:t xml:space="preserve">urse </w:t>
      </w:r>
      <w:r w:rsidR="00F862C6" w:rsidRPr="00CB1DAB">
        <w:t>P</w:t>
      </w:r>
      <w:r w:rsidR="00F862C6">
        <w:t>ractitioner</w:t>
      </w:r>
      <w:r w:rsidR="00F862C6" w:rsidRPr="00CB1DAB">
        <w:t xml:space="preserve">s </w:t>
      </w:r>
      <w:r w:rsidRPr="00CB1DAB">
        <w:rPr>
          <w:rFonts w:ascii="Calibri" w:eastAsia="Calibri" w:hAnsi="Calibri" w:cs="Calibri"/>
        </w:rPr>
        <w:t xml:space="preserve">to be in a specified collaborative arrangement with a medical practitioner, for that eligible midwife or eligible </w:t>
      </w:r>
      <w:r w:rsidR="00F862C6" w:rsidRPr="00CB1DAB">
        <w:t>N</w:t>
      </w:r>
      <w:r w:rsidR="00F862C6">
        <w:t xml:space="preserve">urse </w:t>
      </w:r>
      <w:r w:rsidR="00F862C6" w:rsidRPr="00CB1DAB">
        <w:t>P</w:t>
      </w:r>
      <w:r w:rsidR="00F862C6">
        <w:t xml:space="preserve">ractitioners </w:t>
      </w:r>
      <w:r w:rsidRPr="00CB1DAB">
        <w:rPr>
          <w:rFonts w:ascii="Calibri" w:eastAsia="Calibri" w:hAnsi="Calibri" w:cs="Calibri"/>
        </w:rPr>
        <w:t>to prescribe certain PBS medications or provide services under Medicare. This change came into effect from 1 November 2024.</w:t>
      </w:r>
    </w:p>
    <w:p w14:paraId="56CA8182" w14:textId="2D0A8235" w:rsidR="00D4370B" w:rsidRPr="00CB1DAB" w:rsidRDefault="00D4370B" w:rsidP="002C59AD">
      <w:pPr>
        <w:spacing w:after="120"/>
        <w:rPr>
          <w:rFonts w:ascii="Calibri" w:eastAsia="Calibri" w:hAnsi="Calibri" w:cs="Calibri"/>
        </w:rPr>
      </w:pPr>
      <w:r w:rsidRPr="00CB1DAB">
        <w:rPr>
          <w:rFonts w:ascii="Calibri" w:eastAsia="Calibri" w:hAnsi="Calibri" w:cs="Calibri"/>
        </w:rPr>
        <w:t xml:space="preserve">Midwives in Australia are educated </w:t>
      </w:r>
      <w:r w:rsidR="003622CB" w:rsidRPr="00CB1DAB">
        <w:rPr>
          <w:rFonts w:ascii="Calibri" w:eastAsia="Calibri" w:hAnsi="Calibri" w:cs="Calibri"/>
        </w:rPr>
        <w:t>and</w:t>
      </w:r>
      <w:r w:rsidRPr="00CB1DAB">
        <w:rPr>
          <w:rFonts w:ascii="Calibri" w:eastAsia="Calibri" w:hAnsi="Calibri" w:cs="Calibri"/>
        </w:rPr>
        <w:t xml:space="preserve"> highly skilled</w:t>
      </w:r>
      <w:r w:rsidR="003622CB" w:rsidRPr="00CB1DAB">
        <w:rPr>
          <w:rFonts w:ascii="Calibri" w:eastAsia="Calibri" w:hAnsi="Calibri" w:cs="Calibri"/>
        </w:rPr>
        <w:t xml:space="preserve"> to deliver</w:t>
      </w:r>
      <w:r w:rsidRPr="00CB1DAB">
        <w:rPr>
          <w:rFonts w:ascii="Calibri" w:eastAsia="Calibri" w:hAnsi="Calibri" w:cs="Calibri"/>
        </w:rPr>
        <w:t xml:space="preserve"> specialised sexual, reproductive, maternal, and newborn healthcare including care of women and newborns with complex needs, working collaboratively within a multidisciplinary team. Midwifery continuity of care, with the same known midwife across the childbearing continuum to 6</w:t>
      </w:r>
      <w:r w:rsidR="00253FF7" w:rsidRPr="00CB1DAB">
        <w:rPr>
          <w:rFonts w:ascii="Calibri" w:eastAsia="Calibri" w:hAnsi="Calibri" w:cs="Calibri"/>
        </w:rPr>
        <w:noBreakHyphen/>
      </w:r>
      <w:r w:rsidRPr="00CB1DAB">
        <w:rPr>
          <w:rFonts w:ascii="Calibri" w:eastAsia="Calibri" w:hAnsi="Calibri" w:cs="Calibri"/>
        </w:rPr>
        <w:t>weeks postnatal, is the gold standard of maternity care and is demonstrated to have the best outcomes for women and their babies. Midwifery continuity of care is known to be of additional benefit for women at higher risk of stillbirth, First Nations women, and women from disadvantaged groups. Midwifery continuity of care improves clinical outcomes for both the woman and her baby, promotes maternal and midwifery workforce satisfaction and is cost effective, especially in rural settings.</w:t>
      </w:r>
    </w:p>
    <w:p w14:paraId="1E5BBB10" w14:textId="23216395" w:rsidR="007C6FD3" w:rsidRPr="00CB1DAB" w:rsidRDefault="00826DCD" w:rsidP="00EE1D82">
      <w:pPr>
        <w:spacing w:after="120"/>
        <w:rPr>
          <w:rFonts w:ascii="Calibri" w:eastAsia="Calibri" w:hAnsi="Calibri" w:cs="Calibri"/>
        </w:rPr>
      </w:pPr>
      <w:r w:rsidRPr="00CB1DAB">
        <w:rPr>
          <w:rFonts w:ascii="Calibri" w:eastAsia="Calibri" w:hAnsi="Calibri" w:cs="Calibri"/>
        </w:rPr>
        <w:t>Australian Health Ministers</w:t>
      </w:r>
      <w:r w:rsidR="00D4370B" w:rsidRPr="00CB1DAB">
        <w:rPr>
          <w:rFonts w:ascii="Calibri" w:eastAsia="Calibri" w:hAnsi="Calibri" w:cs="Calibri"/>
          <w:lang w:val="en-GB"/>
        </w:rPr>
        <w:t xml:space="preserve"> developed </w:t>
      </w:r>
      <w:r w:rsidR="00793C78" w:rsidRPr="00CB1DAB">
        <w:rPr>
          <w:rFonts w:ascii="Calibri" w:eastAsia="Calibri" w:hAnsi="Calibri" w:cs="Calibri"/>
          <w:lang w:val="en-GB"/>
        </w:rPr>
        <w:t xml:space="preserve">the </w:t>
      </w:r>
      <w:r w:rsidR="00D4370B" w:rsidRPr="00CB1DAB">
        <w:rPr>
          <w:rFonts w:ascii="Calibri" w:eastAsia="Calibri" w:hAnsi="Calibri" w:cs="Calibri"/>
          <w:lang w:val="en-GB"/>
        </w:rPr>
        <w:t xml:space="preserve">Woman-centred Care Strategy to provide national strategic directions to support Australia’s high-quality maternity care system and enable improvements in line with contemporary practice, evidence and international developments. The </w:t>
      </w:r>
      <w:r w:rsidR="004A148D" w:rsidRPr="00CB1DAB">
        <w:rPr>
          <w:rFonts w:ascii="Calibri" w:eastAsia="Calibri" w:hAnsi="Calibri" w:cs="Calibri"/>
          <w:lang w:val="en-GB"/>
        </w:rPr>
        <w:t xml:space="preserve">Woman-centred Care </w:t>
      </w:r>
      <w:r w:rsidR="00D4370B" w:rsidRPr="00CB1DAB">
        <w:rPr>
          <w:rFonts w:ascii="Calibri" w:eastAsia="Calibri" w:hAnsi="Calibri" w:cs="Calibri"/>
          <w:lang w:val="en-GB"/>
        </w:rPr>
        <w:t xml:space="preserve">Strategy prioritises </w:t>
      </w:r>
      <w:r w:rsidR="00D4370B" w:rsidRPr="00CB1DAB">
        <w:rPr>
          <w:rFonts w:ascii="Calibri" w:eastAsia="Calibri" w:hAnsi="Calibri" w:cs="Calibri"/>
        </w:rPr>
        <w:t xml:space="preserve">improving access to, and understanding and awareness of, maternity models of care available to women in their </w:t>
      </w:r>
      <w:r w:rsidR="00D4370B" w:rsidRPr="00CB1DAB">
        <w:rPr>
          <w:rFonts w:ascii="Calibri" w:eastAsia="Calibri" w:hAnsi="Calibri" w:cs="Calibri"/>
        </w:rPr>
        <w:lastRenderedPageBreak/>
        <w:t>region, to support greater choice in maternity care, including midwifery continuity of care and other maternity continuity of carer models.</w:t>
      </w:r>
    </w:p>
    <w:p w14:paraId="3CEB942D" w14:textId="3338A308" w:rsidR="00D31ADD" w:rsidRPr="00CB1DAB" w:rsidRDefault="00D31ADD" w:rsidP="00EE1D82">
      <w:pPr>
        <w:spacing w:after="120"/>
      </w:pPr>
      <w:r w:rsidRPr="00CB1DAB">
        <w:br w:type="page"/>
      </w:r>
    </w:p>
    <w:p w14:paraId="6EFF92BC" w14:textId="1AD5F01D" w:rsidR="00D31ADD" w:rsidRPr="00CB1DAB" w:rsidRDefault="00D31ADD" w:rsidP="00EE1D82">
      <w:pPr>
        <w:pBdr>
          <w:bottom w:val="single" w:sz="6" w:space="1" w:color="auto"/>
        </w:pBdr>
        <w:spacing w:after="120"/>
        <w:rPr>
          <w:b/>
          <w:bCs/>
        </w:rPr>
      </w:pPr>
      <w:r w:rsidRPr="00CB1DAB">
        <w:rPr>
          <w:b/>
          <w:bCs/>
        </w:rPr>
        <w:lastRenderedPageBreak/>
        <w:t>Recommendation 14</w:t>
      </w:r>
    </w:p>
    <w:p w14:paraId="5DAD18C0" w14:textId="40F38AE8" w:rsidR="00D31ADD" w:rsidRPr="00CB1DAB" w:rsidRDefault="00D31ADD" w:rsidP="009C6998">
      <w:pPr>
        <w:spacing w:before="240" w:after="240"/>
        <w:rPr>
          <w:i/>
          <w:iCs/>
        </w:rPr>
      </w:pPr>
      <w:r w:rsidRPr="00CB1DAB">
        <w:rPr>
          <w:i/>
          <w:iCs/>
        </w:rPr>
        <w:t>14: The Committee recommends that the Australian Government works with the sector to increase birthing on country initiatives and other culturally appropriate continuity of care models.</w:t>
      </w:r>
    </w:p>
    <w:p w14:paraId="77A8756D" w14:textId="77784DFE" w:rsidR="00F326FC" w:rsidRPr="00CB1DAB" w:rsidRDefault="00F326FC"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448991D" w14:textId="5F38A810" w:rsidR="00174C45" w:rsidRPr="00CB1DAB" w:rsidRDefault="00174C45" w:rsidP="00174C45">
      <w:pPr>
        <w:spacing w:after="120"/>
      </w:pPr>
      <w:r w:rsidRPr="00CB1DAB">
        <w:t>Research has demonstrated that where trialled, Birthing on Country models of care contribute to better health outcomes for First Nations mothers and babies including a 50</w:t>
      </w:r>
      <w:r w:rsidR="00DE551B" w:rsidRPr="00CB1DAB">
        <w:t> per cent</w:t>
      </w:r>
      <w:r w:rsidRPr="00CB1DAB">
        <w:t xml:space="preserve"> reduction in preterm birth rates and a reduction in child removals at birth. These outcomes directly contribute towards achieving Closing the Gap Outcome and Target 2, that babies are born healthy and strong within a healthy birthweight range.</w:t>
      </w:r>
    </w:p>
    <w:p w14:paraId="776BD234" w14:textId="10F2EE40" w:rsidR="000318B0" w:rsidRPr="00CB1DAB" w:rsidRDefault="00CE7F4B" w:rsidP="00EE1D82">
      <w:pPr>
        <w:spacing w:after="120"/>
      </w:pPr>
      <w:r w:rsidRPr="00CB1DAB">
        <w:t xml:space="preserve">In guiding the nation’s maternity services, the </w:t>
      </w:r>
      <w:r w:rsidR="000318B0" w:rsidRPr="00CB1DAB">
        <w:t>Woman-</w:t>
      </w:r>
      <w:r w:rsidR="005024F6" w:rsidRPr="00CB1DAB">
        <w:t>centred</w:t>
      </w:r>
      <w:r w:rsidR="000318B0" w:rsidRPr="00CB1DAB">
        <w:t xml:space="preserve"> Care Strategy recognises the importance </w:t>
      </w:r>
      <w:r w:rsidR="00694851" w:rsidRPr="00CB1DAB">
        <w:t>of</w:t>
      </w:r>
      <w:r w:rsidR="000318B0" w:rsidRPr="00CB1DAB">
        <w:t xml:space="preserve"> develop</w:t>
      </w:r>
      <w:r w:rsidR="00694851" w:rsidRPr="00CB1DAB">
        <w:t>ing</w:t>
      </w:r>
      <w:r w:rsidR="000318B0" w:rsidRPr="00CB1DAB">
        <w:t xml:space="preserve"> and implement</w:t>
      </w:r>
      <w:r w:rsidR="00694851" w:rsidRPr="00CB1DAB">
        <w:t>ing</w:t>
      </w:r>
      <w:r w:rsidR="000318B0" w:rsidRPr="00CB1DAB">
        <w:t xml:space="preserve"> culturally safe, evidence-based maternity models of care in partnership with Aboriginal and Torres Strait Islander and </w:t>
      </w:r>
      <w:r w:rsidR="00694851" w:rsidRPr="00CB1DAB">
        <w:t xml:space="preserve">culturally and linguistically diverse </w:t>
      </w:r>
      <w:r w:rsidR="004A148D" w:rsidRPr="00CB1DAB">
        <w:t xml:space="preserve">(CALD) </w:t>
      </w:r>
      <w:r w:rsidR="000318B0" w:rsidRPr="00CB1DAB">
        <w:t xml:space="preserve">women and communities, including </w:t>
      </w:r>
      <w:r w:rsidR="00B26F55" w:rsidRPr="00CB1DAB">
        <w:t xml:space="preserve">but not limited to </w:t>
      </w:r>
      <w:r w:rsidR="000318B0" w:rsidRPr="00CB1DAB">
        <w:t>Birthing on Country models of care. Health</w:t>
      </w:r>
      <w:r w:rsidR="004A148D" w:rsidRPr="00CB1DAB">
        <w:t> </w:t>
      </w:r>
      <w:r w:rsidR="000318B0" w:rsidRPr="00CB1DAB">
        <w:t>Ministers have agreed a priority area of focus for implementation of the Woman</w:t>
      </w:r>
      <w:r w:rsidR="00536D72" w:rsidRPr="00CB1DAB">
        <w:noBreakHyphen/>
      </w:r>
      <w:r w:rsidR="005024F6" w:rsidRPr="00CB1DAB">
        <w:t>centred</w:t>
      </w:r>
      <w:r w:rsidR="000318B0" w:rsidRPr="00CB1DAB">
        <w:t xml:space="preserve"> Care Strategy is the review and expansion of information available online to ensure information is culturally appropriate. </w:t>
      </w:r>
    </w:p>
    <w:p w14:paraId="6A65DDA9" w14:textId="61E994F0" w:rsidR="00A42F49" w:rsidRPr="00CB1DAB" w:rsidRDefault="0033361D" w:rsidP="00EE1D82">
      <w:pPr>
        <w:spacing w:after="120"/>
      </w:pPr>
      <w:r w:rsidRPr="00CB1DAB">
        <w:t>T</w:t>
      </w:r>
      <w:r w:rsidR="00A42F49" w:rsidRPr="00CB1DAB">
        <w:t xml:space="preserve">he Government has invested $169.2 million over </w:t>
      </w:r>
      <w:r w:rsidR="00DE551B" w:rsidRPr="00CB1DAB">
        <w:t>four</w:t>
      </w:r>
      <w:r w:rsidR="004A148D" w:rsidRPr="00CB1DAB">
        <w:t xml:space="preserve"> </w:t>
      </w:r>
      <w:r w:rsidR="00A42F49" w:rsidRPr="00CB1DAB">
        <w:t>years (2021</w:t>
      </w:r>
      <w:r w:rsidRPr="00CB1DAB">
        <w:noBreakHyphen/>
      </w:r>
      <w:r w:rsidR="00A42F49" w:rsidRPr="00CB1DAB">
        <w:t>22 to 2024-25) under the Commonwealth’s Closing the Gap</w:t>
      </w:r>
      <w:r w:rsidR="00BD61BC" w:rsidRPr="00CB1DAB">
        <w:t xml:space="preserve"> </w:t>
      </w:r>
      <w:r w:rsidR="00A42F49" w:rsidRPr="00CB1DAB">
        <w:t xml:space="preserve">Implementation Plan to support </w:t>
      </w:r>
      <w:r w:rsidR="00F26F7C" w:rsidRPr="00CB1DAB">
        <w:t>Outcome 2</w:t>
      </w:r>
      <w:r w:rsidR="00E616FB" w:rsidRPr="00CB1DAB">
        <w:t>:</w:t>
      </w:r>
      <w:r w:rsidR="00F26F7C" w:rsidRPr="00CB1DAB">
        <w:t xml:space="preserve"> babies are born healthy and strong </w:t>
      </w:r>
      <w:r w:rsidR="00E616FB" w:rsidRPr="00CB1DAB">
        <w:t xml:space="preserve">and </w:t>
      </w:r>
      <w:r w:rsidR="00A42F49" w:rsidRPr="00CB1DAB">
        <w:t xml:space="preserve">Target 2: by 2031, the proportion of Aboriginal and Torres Strait Islander babies with a healthy birthweight increases to 91 per cent. This investment includes: </w:t>
      </w:r>
    </w:p>
    <w:p w14:paraId="60F58D50" w14:textId="0D14E6C2" w:rsidR="00A42F49" w:rsidRPr="00CB1DAB" w:rsidRDefault="00A42F49" w:rsidP="00326B55">
      <w:pPr>
        <w:pStyle w:val="ListParagraph"/>
        <w:numPr>
          <w:ilvl w:val="0"/>
          <w:numId w:val="50"/>
        </w:numPr>
        <w:spacing w:after="120"/>
        <w:ind w:left="714" w:hanging="357"/>
        <w:contextualSpacing w:val="0"/>
        <w:rPr>
          <w:sz w:val="24"/>
          <w:szCs w:val="24"/>
        </w:rPr>
      </w:pPr>
      <w:r w:rsidRPr="00CB1DAB">
        <w:rPr>
          <w:sz w:val="24"/>
          <w:szCs w:val="24"/>
        </w:rPr>
        <w:t xml:space="preserve">$32.2 million over </w:t>
      </w:r>
      <w:r w:rsidR="00DE551B" w:rsidRPr="00CB1DAB">
        <w:rPr>
          <w:sz w:val="24"/>
          <w:szCs w:val="24"/>
        </w:rPr>
        <w:t>four</w:t>
      </w:r>
      <w:r w:rsidRPr="00CB1DAB">
        <w:rPr>
          <w:sz w:val="24"/>
          <w:szCs w:val="24"/>
        </w:rPr>
        <w:t xml:space="preserve"> years (2021-22 to 2024-25)</w:t>
      </w:r>
      <w:r w:rsidR="00B26F55" w:rsidRPr="00CB1DAB">
        <w:rPr>
          <w:sz w:val="24"/>
          <w:szCs w:val="24"/>
        </w:rPr>
        <w:t>, under the Health</w:t>
      </w:r>
      <w:r w:rsidR="00F1028C" w:rsidRPr="00CB1DAB">
        <w:rPr>
          <w:sz w:val="24"/>
          <w:szCs w:val="24"/>
        </w:rPr>
        <w:t>y</w:t>
      </w:r>
      <w:r w:rsidR="00B26F55" w:rsidRPr="00CB1DAB">
        <w:rPr>
          <w:sz w:val="24"/>
          <w:szCs w:val="24"/>
        </w:rPr>
        <w:t xml:space="preserve"> Mums Healthy Bubs budget measure,</w:t>
      </w:r>
      <w:r w:rsidRPr="00CB1DAB">
        <w:rPr>
          <w:sz w:val="24"/>
          <w:szCs w:val="24"/>
        </w:rPr>
        <w:t xml:space="preserve"> to grow the maternity health workforce, redesign maternity services and support Birthing on Country and culturally safe continuous midwifery care activities for women pregnant with a First Nations baby</w:t>
      </w:r>
      <w:r w:rsidR="004648FE" w:rsidRPr="00CB1DAB">
        <w:rPr>
          <w:sz w:val="24"/>
          <w:szCs w:val="24"/>
        </w:rPr>
        <w:t xml:space="preserve"> (this funding was allocated to 9 organisations)</w:t>
      </w:r>
      <w:r w:rsidR="00C757F8" w:rsidRPr="00CB1DAB">
        <w:rPr>
          <w:sz w:val="24"/>
          <w:szCs w:val="24"/>
        </w:rPr>
        <w:t>.</w:t>
      </w:r>
    </w:p>
    <w:p w14:paraId="473B111A" w14:textId="2D37D6EF" w:rsidR="00A42F49" w:rsidRPr="00CB1DAB" w:rsidRDefault="00A42F49" w:rsidP="00326B55">
      <w:pPr>
        <w:pStyle w:val="ListParagraph"/>
        <w:numPr>
          <w:ilvl w:val="0"/>
          <w:numId w:val="50"/>
        </w:numPr>
        <w:spacing w:after="120"/>
        <w:ind w:left="714" w:hanging="357"/>
        <w:contextualSpacing w:val="0"/>
        <w:rPr>
          <w:sz w:val="24"/>
          <w:szCs w:val="24"/>
        </w:rPr>
      </w:pPr>
      <w:bookmarkStart w:id="7" w:name="_Hlk153799539"/>
      <w:r w:rsidRPr="00CB1DAB">
        <w:rPr>
          <w:sz w:val="24"/>
          <w:szCs w:val="24"/>
        </w:rPr>
        <w:t xml:space="preserve">$12.8 million over </w:t>
      </w:r>
      <w:r w:rsidR="00DE551B" w:rsidRPr="00CB1DAB">
        <w:rPr>
          <w:sz w:val="24"/>
          <w:szCs w:val="24"/>
        </w:rPr>
        <w:t>four</w:t>
      </w:r>
      <w:r w:rsidR="004450B9" w:rsidRPr="00CB1DAB">
        <w:rPr>
          <w:sz w:val="24"/>
          <w:szCs w:val="24"/>
        </w:rPr>
        <w:t xml:space="preserve"> </w:t>
      </w:r>
      <w:r w:rsidRPr="00CB1DAB">
        <w:rPr>
          <w:sz w:val="24"/>
          <w:szCs w:val="24"/>
        </w:rPr>
        <w:t>years (2021-22 to 2024-25) to expand the Australian Nurse</w:t>
      </w:r>
      <w:r w:rsidR="004450B9" w:rsidRPr="00CB1DAB">
        <w:rPr>
          <w:sz w:val="24"/>
          <w:szCs w:val="24"/>
        </w:rPr>
        <w:noBreakHyphen/>
      </w:r>
      <w:r w:rsidRPr="00CB1DAB">
        <w:rPr>
          <w:sz w:val="24"/>
          <w:szCs w:val="24"/>
        </w:rPr>
        <w:t xml:space="preserve">Family Partnership Program (ANFPP) from 13 to 15 sites. The </w:t>
      </w:r>
      <w:r w:rsidR="00DE551B" w:rsidRPr="00CB1DAB">
        <w:rPr>
          <w:sz w:val="24"/>
          <w:szCs w:val="24"/>
        </w:rPr>
        <w:t>two</w:t>
      </w:r>
      <w:r w:rsidRPr="00CB1DAB">
        <w:rPr>
          <w:sz w:val="24"/>
          <w:szCs w:val="24"/>
        </w:rPr>
        <w:t xml:space="preserve"> new sites will support First Nations families in the Kimberley and Pilbara regions of Western</w:t>
      </w:r>
      <w:r w:rsidR="00DE551B" w:rsidRPr="00CB1DAB">
        <w:rPr>
          <w:sz w:val="24"/>
          <w:szCs w:val="24"/>
        </w:rPr>
        <w:t> </w:t>
      </w:r>
      <w:r w:rsidRPr="00CB1DAB">
        <w:rPr>
          <w:sz w:val="24"/>
          <w:szCs w:val="24"/>
        </w:rPr>
        <w:t>Australia</w:t>
      </w:r>
      <w:r w:rsidR="00C757F8" w:rsidRPr="00CB1DAB">
        <w:rPr>
          <w:sz w:val="24"/>
          <w:szCs w:val="24"/>
        </w:rPr>
        <w:t>.</w:t>
      </w:r>
      <w:r w:rsidRPr="00CB1DAB">
        <w:rPr>
          <w:sz w:val="24"/>
          <w:szCs w:val="24"/>
        </w:rPr>
        <w:t xml:space="preserve"> </w:t>
      </w:r>
    </w:p>
    <w:p w14:paraId="400BE085" w14:textId="349CA265" w:rsidR="00A42F49" w:rsidRPr="00CB1DAB" w:rsidRDefault="00A42F49" w:rsidP="00326B55">
      <w:pPr>
        <w:pStyle w:val="ListParagraph"/>
        <w:numPr>
          <w:ilvl w:val="0"/>
          <w:numId w:val="50"/>
        </w:numPr>
        <w:spacing w:after="120"/>
        <w:ind w:left="714" w:hanging="357"/>
        <w:contextualSpacing w:val="0"/>
        <w:rPr>
          <w:sz w:val="24"/>
          <w:szCs w:val="24"/>
        </w:rPr>
      </w:pPr>
      <w:r w:rsidRPr="00CB1DAB">
        <w:rPr>
          <w:sz w:val="24"/>
          <w:szCs w:val="24"/>
        </w:rPr>
        <w:t xml:space="preserve">$101.7 million over </w:t>
      </w:r>
      <w:r w:rsidR="00DE551B" w:rsidRPr="00CB1DAB">
        <w:rPr>
          <w:sz w:val="24"/>
          <w:szCs w:val="24"/>
        </w:rPr>
        <w:t>four</w:t>
      </w:r>
      <w:r w:rsidR="004450B9" w:rsidRPr="00CB1DAB">
        <w:rPr>
          <w:sz w:val="24"/>
          <w:szCs w:val="24"/>
        </w:rPr>
        <w:t xml:space="preserve"> </w:t>
      </w:r>
      <w:r w:rsidRPr="00CB1DAB">
        <w:rPr>
          <w:sz w:val="24"/>
          <w:szCs w:val="24"/>
        </w:rPr>
        <w:t>years (2021-22 to 2024-25) for the continuation of the ANFPP in the 13 existing sites until June 2025</w:t>
      </w:r>
      <w:r w:rsidR="00C757F8" w:rsidRPr="00CB1DAB">
        <w:rPr>
          <w:sz w:val="24"/>
          <w:szCs w:val="24"/>
        </w:rPr>
        <w:t>.</w:t>
      </w:r>
    </w:p>
    <w:bookmarkEnd w:id="7"/>
    <w:p w14:paraId="7089A6DC" w14:textId="4C49C46F" w:rsidR="00B30856" w:rsidRPr="00CB1DAB" w:rsidRDefault="00A42F49" w:rsidP="00326B55">
      <w:pPr>
        <w:pStyle w:val="ListParagraph"/>
        <w:numPr>
          <w:ilvl w:val="0"/>
          <w:numId w:val="50"/>
        </w:numPr>
        <w:spacing w:after="120"/>
        <w:ind w:left="714" w:hanging="357"/>
        <w:contextualSpacing w:val="0"/>
        <w:rPr>
          <w:sz w:val="24"/>
          <w:szCs w:val="24"/>
        </w:rPr>
      </w:pPr>
      <w:r w:rsidRPr="00CB1DAB">
        <w:rPr>
          <w:sz w:val="24"/>
          <w:szCs w:val="24"/>
        </w:rPr>
        <w:t xml:space="preserve">$22.5 million over </w:t>
      </w:r>
      <w:r w:rsidR="00DE551B" w:rsidRPr="00CB1DAB">
        <w:rPr>
          <w:sz w:val="24"/>
          <w:szCs w:val="24"/>
        </w:rPr>
        <w:t>three</w:t>
      </w:r>
      <w:r w:rsidR="004450B9" w:rsidRPr="00CB1DAB">
        <w:rPr>
          <w:sz w:val="24"/>
          <w:szCs w:val="24"/>
        </w:rPr>
        <w:t xml:space="preserve"> </w:t>
      </w:r>
      <w:r w:rsidRPr="00CB1DAB">
        <w:rPr>
          <w:sz w:val="24"/>
          <w:szCs w:val="24"/>
        </w:rPr>
        <w:t xml:space="preserve">years (2022-23 to 2024-25) for a dedicated Birthing on Country Centre of Excellence (the Birth Centre) at Waminda in Nowra, </w:t>
      </w:r>
      <w:r w:rsidR="00F862C6">
        <w:rPr>
          <w:sz w:val="24"/>
          <w:szCs w:val="24"/>
        </w:rPr>
        <w:t>NSW</w:t>
      </w:r>
      <w:r w:rsidRPr="00CB1DAB">
        <w:rPr>
          <w:sz w:val="24"/>
          <w:szCs w:val="24"/>
        </w:rPr>
        <w:t xml:space="preserve">. </w:t>
      </w:r>
    </w:p>
    <w:p w14:paraId="02EB065C" w14:textId="2CE6B117" w:rsidR="00A42F49" w:rsidRPr="00CB1DAB" w:rsidRDefault="00A42F49" w:rsidP="00EE1D82">
      <w:pPr>
        <w:pStyle w:val="ListParagraph"/>
        <w:numPr>
          <w:ilvl w:val="1"/>
          <w:numId w:val="5"/>
        </w:numPr>
        <w:spacing w:after="120"/>
        <w:contextualSpacing w:val="0"/>
        <w:rPr>
          <w:sz w:val="24"/>
          <w:szCs w:val="24"/>
        </w:rPr>
      </w:pPr>
      <w:r w:rsidRPr="00CB1DAB">
        <w:rPr>
          <w:sz w:val="24"/>
          <w:szCs w:val="24"/>
        </w:rPr>
        <w:t xml:space="preserve">The </w:t>
      </w:r>
      <w:r w:rsidR="004648FE" w:rsidRPr="00CB1DAB">
        <w:rPr>
          <w:sz w:val="24"/>
          <w:szCs w:val="24"/>
        </w:rPr>
        <w:t xml:space="preserve">construction of the </w:t>
      </w:r>
      <w:r w:rsidRPr="00CB1DAB">
        <w:rPr>
          <w:sz w:val="24"/>
          <w:szCs w:val="24"/>
        </w:rPr>
        <w:t xml:space="preserve">Birth Centre </w:t>
      </w:r>
      <w:r w:rsidR="004648FE" w:rsidRPr="00CB1DAB">
        <w:rPr>
          <w:sz w:val="24"/>
          <w:szCs w:val="24"/>
        </w:rPr>
        <w:t xml:space="preserve">is expected to be completed in September 2026. Once operational, it will service up to 211 mothers in its first year, with this figure expected to grow to 246 by 2032; </w:t>
      </w:r>
      <w:r w:rsidRPr="00CB1DAB">
        <w:rPr>
          <w:sz w:val="24"/>
          <w:szCs w:val="24"/>
        </w:rPr>
        <w:t>and grow the First Nations workforce by 70 positions, inclusive of midwives and nurses.</w:t>
      </w:r>
    </w:p>
    <w:p w14:paraId="40178995" w14:textId="77777777" w:rsidR="006263C8" w:rsidRPr="00CB1DAB" w:rsidRDefault="00A42F49" w:rsidP="00EE1D82">
      <w:pPr>
        <w:pStyle w:val="ListParagraph"/>
        <w:numPr>
          <w:ilvl w:val="1"/>
          <w:numId w:val="5"/>
        </w:numPr>
        <w:spacing w:after="120"/>
        <w:contextualSpacing w:val="0"/>
      </w:pPr>
      <w:r w:rsidRPr="00CB1DAB">
        <w:rPr>
          <w:sz w:val="24"/>
          <w:szCs w:val="24"/>
        </w:rPr>
        <w:t xml:space="preserve">The Birth Centre will provide culturally safe care and wrap around services for First Nations families across the perinatal period, inclusive of case </w:t>
      </w:r>
      <w:r w:rsidRPr="00CB1DAB">
        <w:rPr>
          <w:sz w:val="24"/>
          <w:szCs w:val="24"/>
        </w:rPr>
        <w:lastRenderedPageBreak/>
        <w:t>management services, drug and alcohol rehabilitation and accommodation when leaving custody or domestic violence situations.</w:t>
      </w:r>
    </w:p>
    <w:p w14:paraId="4081BE8D" w14:textId="09F28A7F" w:rsidR="00054496" w:rsidRPr="00CB1DAB" w:rsidRDefault="00054496" w:rsidP="00EE1D82">
      <w:pPr>
        <w:spacing w:after="120"/>
      </w:pPr>
      <w:r w:rsidRPr="00CB1DAB">
        <w:t xml:space="preserve">The Government </w:t>
      </w:r>
      <w:r w:rsidR="00F63AE7" w:rsidRPr="00CB1DAB">
        <w:t>announced in the 2024-25 Budget measures to address longstanding gaps in insurance coverage for privately practising midwives providing intrapartum care, including homebirths. This will include coverage of these services provided under Birthing on Country models of</w:t>
      </w:r>
      <w:r w:rsidR="00A21A2D" w:rsidRPr="00CB1DAB">
        <w:t xml:space="preserve"> care. </w:t>
      </w:r>
    </w:p>
    <w:p w14:paraId="0DE857C6" w14:textId="73DEA8AC" w:rsidR="00B26F55" w:rsidRPr="00CB1DAB" w:rsidRDefault="00B26F55" w:rsidP="00EE1D82">
      <w:pPr>
        <w:spacing w:after="120"/>
      </w:pPr>
      <w:r w:rsidRPr="00CB1DAB">
        <w:t>In addition, t</w:t>
      </w:r>
      <w:r w:rsidR="006526AB" w:rsidRPr="00CB1DAB">
        <w:t>he</w:t>
      </w:r>
      <w:r w:rsidR="0060001E" w:rsidRPr="00CB1DAB">
        <w:t xml:space="preserve"> Government is funding the</w:t>
      </w:r>
      <w:r w:rsidR="006526AB" w:rsidRPr="00CB1DAB">
        <w:t xml:space="preserve"> National Aboriginal Community Controlled Health Organisation (NACCHO) to undertake</w:t>
      </w:r>
      <w:r w:rsidR="004648FE" w:rsidRPr="00CB1DAB">
        <w:t xml:space="preserve"> the development of an Aboriginal and Torres Strait Islander Antenatal to School Ready Health Plan 2024-2034 (due October 2024).</w:t>
      </w:r>
      <w:r w:rsidR="006526AB" w:rsidRPr="00CB1DAB">
        <w:t xml:space="preserve"> Th</w:t>
      </w:r>
      <w:r w:rsidRPr="00CB1DAB">
        <w:t>is work will</w:t>
      </w:r>
      <w:r w:rsidR="006526AB" w:rsidRPr="00CB1DAB">
        <w:t xml:space="preserve"> guide future</w:t>
      </w:r>
      <w:r w:rsidRPr="00CB1DAB">
        <w:t xml:space="preserve"> </w:t>
      </w:r>
      <w:r w:rsidR="004648FE" w:rsidRPr="00CB1DAB">
        <w:t>investment in culturally safe models of care across the perinatal and early-childhood period.</w:t>
      </w:r>
      <w:r w:rsidRPr="00CB1DAB">
        <w:t xml:space="preserve"> </w:t>
      </w:r>
    </w:p>
    <w:p w14:paraId="6A0897EF" w14:textId="513A52B6" w:rsidR="00ED4570" w:rsidRPr="00CB1DAB" w:rsidRDefault="00ED4570" w:rsidP="00ED4570">
      <w:pPr>
        <w:spacing w:after="120"/>
      </w:pPr>
      <w:r w:rsidRPr="00CB1DAB">
        <w:t xml:space="preserve">The National Aboriginal and Torres Strait Islander Health Workforce Strategic Framework and Implementation Plan 2021-31 (Workforce Plan) was co-designed in genuine partnership with the sector and has been endorsed by the Commonwealth, territory and state </w:t>
      </w:r>
      <w:r w:rsidR="00811899">
        <w:t>H</w:t>
      </w:r>
      <w:r w:rsidRPr="00CB1DAB">
        <w:t xml:space="preserve">ealth Ministers. The Workforce Plan sets the target that Aboriginal and Torres Strait Islander peoples are fully represented in the health workforce by 2031 and aims to strengthen the cultural safety of the health system more broadly. </w:t>
      </w:r>
    </w:p>
    <w:p w14:paraId="66B9A6B4" w14:textId="77777777" w:rsidR="00ED4570" w:rsidRPr="00CB1DAB" w:rsidRDefault="00ED4570" w:rsidP="00ED4570">
      <w:pPr>
        <w:spacing w:after="120"/>
      </w:pPr>
      <w:r w:rsidRPr="00CB1DAB">
        <w:t>Underpinned by the National Agreement on Closing the Gap, the Workforce Plan outlines a number of recommendations and contains comprehensive information on retention barriers and enablers (across all health disciplines) specific to Aboriginal and Torres Strait Islander people in rural and remote areas. The Workforce Plan will directly impact multiple Closing the Gap targets, including Target 2: by 2031, the proportion of Aboriginal and Torres Strait Islander babies with a healthy birthweight increases to 91 per cent.</w:t>
      </w:r>
      <w:r w:rsidRPr="00CB1DAB" w:rsidDel="001D2238">
        <w:t xml:space="preserve"> </w:t>
      </w:r>
    </w:p>
    <w:p w14:paraId="3FF9B31D" w14:textId="77777777" w:rsidR="00ED4570" w:rsidRPr="00CB1DAB" w:rsidRDefault="00ED4570" w:rsidP="00EE1D82">
      <w:pPr>
        <w:spacing w:after="120"/>
      </w:pPr>
    </w:p>
    <w:p w14:paraId="636B8D9F" w14:textId="62B01051" w:rsidR="00B26F55" w:rsidRPr="00CB1DAB" w:rsidRDefault="00E44641" w:rsidP="00A27907">
      <w:pPr>
        <w:spacing w:after="120"/>
      </w:pPr>
      <w:r w:rsidRPr="00CB1DAB">
        <w:br w:type="page"/>
      </w:r>
    </w:p>
    <w:p w14:paraId="3A2FB4F5" w14:textId="48FB8A57" w:rsidR="00D31ADD" w:rsidRPr="00CB1DAB" w:rsidRDefault="00D31ADD" w:rsidP="00EE1D82">
      <w:pPr>
        <w:pageBreakBefore/>
        <w:pBdr>
          <w:bottom w:val="single" w:sz="6" w:space="1" w:color="auto"/>
        </w:pBdr>
        <w:spacing w:after="120"/>
        <w:rPr>
          <w:b/>
          <w:bCs/>
        </w:rPr>
      </w:pPr>
      <w:r w:rsidRPr="00CB1DAB">
        <w:rPr>
          <w:b/>
          <w:bCs/>
        </w:rPr>
        <w:lastRenderedPageBreak/>
        <w:t>Recommendation 15</w:t>
      </w:r>
    </w:p>
    <w:p w14:paraId="533DFB70" w14:textId="3686F3AA" w:rsidR="00D31ADD" w:rsidRPr="00CB1DAB" w:rsidRDefault="00D31ADD" w:rsidP="009C6998">
      <w:pPr>
        <w:spacing w:before="240" w:after="240"/>
        <w:rPr>
          <w:i/>
          <w:iCs/>
        </w:rPr>
      </w:pPr>
      <w:r w:rsidRPr="00CB1DAB">
        <w:rPr>
          <w:i/>
          <w:iCs/>
        </w:rPr>
        <w:t>15: The Committee recommends that all public hospitals within Australia be equipped to provide surgical pregnancy terminations, or timely and affordable pathways to other local providers. This will improve equality of access, particularly in rural and regional areas and provide workforce development opportunities.</w:t>
      </w:r>
    </w:p>
    <w:p w14:paraId="12BE666B" w14:textId="77777777" w:rsidR="009730DA" w:rsidRPr="00CB1DAB" w:rsidRDefault="009730DA"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403D1B6A" w14:textId="33A99817" w:rsidR="002D6574" w:rsidRPr="00CB1DAB" w:rsidRDefault="00E46F61" w:rsidP="00EE1D82">
      <w:pPr>
        <w:spacing w:after="120"/>
      </w:pPr>
      <w:r w:rsidRPr="00CB1DAB">
        <w:t xml:space="preserve">State and territory governments are the system managers of their public hospitals systems, responsible for the day-to-day administration and performance of their public hospitals. This management role includes determining the availability, types, and range of their public hospital services, including reproductive health services and the locations where they can be delivered safely in their jurisdiction. </w:t>
      </w:r>
    </w:p>
    <w:p w14:paraId="4C0CC265" w14:textId="42791493" w:rsidR="00E378B2" w:rsidRPr="00CB1DAB" w:rsidRDefault="00DF3632" w:rsidP="00EE1D82">
      <w:pPr>
        <w:spacing w:after="120"/>
      </w:pPr>
      <w:r w:rsidRPr="00CB1DAB">
        <w:t>The Government does not have the power to direct states and territories to provide public hospital services at specific locations. The Government, however, remains committed to contributing to the cost of reproductive health services provided by states and territories in public hospitals</w:t>
      </w:r>
      <w:r w:rsidR="00E378B2" w:rsidRPr="00CB1DAB">
        <w:t xml:space="preserve"> </w:t>
      </w:r>
    </w:p>
    <w:p w14:paraId="42BDADA1" w14:textId="042CF702" w:rsidR="00DF3632" w:rsidRPr="00CB1DAB" w:rsidRDefault="002D6574" w:rsidP="00EE1D82">
      <w:pPr>
        <w:spacing w:after="120"/>
      </w:pPr>
      <w:r w:rsidRPr="00CB1DAB">
        <w:t>States and territories are also required to have arrangements in place to ensure equitable access to such services, regardless of geographic location.</w:t>
      </w:r>
    </w:p>
    <w:p w14:paraId="691923A3" w14:textId="48215B70" w:rsidR="0019665C" w:rsidRPr="00CB1DAB" w:rsidRDefault="000776A6" w:rsidP="00EE1D82">
      <w:pPr>
        <w:spacing w:after="120"/>
      </w:pPr>
      <w:r w:rsidRPr="00CB1DAB">
        <w:t xml:space="preserve">The Government </w:t>
      </w:r>
      <w:r w:rsidR="0019665C" w:rsidRPr="00CB1DAB">
        <w:t xml:space="preserve">is committed to improving access to health and hospital services so that all Australians receive appropriate health care when and where they need it, particularly in regional, </w:t>
      </w:r>
      <w:r w:rsidR="00CF16A3" w:rsidRPr="00CB1DAB">
        <w:t>rural,</w:t>
      </w:r>
      <w:r w:rsidR="0019665C" w:rsidRPr="00CB1DAB">
        <w:t xml:space="preserve"> and remote areas. The Government also </w:t>
      </w:r>
      <w:r w:rsidRPr="00CB1DAB">
        <w:t>supports efforts to increase pathways to timely and affordable surgical pregnancy terminations</w:t>
      </w:r>
      <w:r w:rsidR="009B5B78" w:rsidRPr="00CB1DAB">
        <w:t xml:space="preserve">. </w:t>
      </w:r>
    </w:p>
    <w:p w14:paraId="2DDA5F88" w14:textId="4CA9E36E" w:rsidR="0019665C" w:rsidRPr="00CB1DAB" w:rsidRDefault="0019665C" w:rsidP="00EE1D82">
      <w:pPr>
        <w:spacing w:after="120"/>
      </w:pPr>
      <w:r w:rsidRPr="00CB1DAB">
        <w:t xml:space="preserve">Most reproductive health services are considered public hospital services, and the Government </w:t>
      </w:r>
      <w:r w:rsidR="002E126F" w:rsidRPr="00CB1DAB">
        <w:t>makes</w:t>
      </w:r>
      <w:r w:rsidRPr="00CB1DAB">
        <w:t xml:space="preserve"> a contribution towards the costs of services delivered by states and territories</w:t>
      </w:r>
      <w:r w:rsidR="00840797" w:rsidRPr="00CB1DAB">
        <w:t>.</w:t>
      </w:r>
    </w:p>
    <w:p w14:paraId="4FF7670B" w14:textId="72653A25" w:rsidR="00BF314E" w:rsidRPr="00CB1DAB" w:rsidRDefault="00BF314E" w:rsidP="00EE1D82">
      <w:pPr>
        <w:spacing w:after="120"/>
      </w:pPr>
      <w:r w:rsidRPr="00CB1DAB">
        <w:t xml:space="preserve">The Government is in ongoing discussion with states and territories regarding public </w:t>
      </w:r>
      <w:r w:rsidR="00EE6D85" w:rsidRPr="00CB1DAB">
        <w:t>hospital</w:t>
      </w:r>
      <w:r w:rsidRPr="00CB1DAB">
        <w:t xml:space="preserve"> activity, demand, and performance. </w:t>
      </w:r>
      <w:r w:rsidR="001E68B7" w:rsidRPr="00CB1DAB">
        <w:t xml:space="preserve">The scope for states and territories to increase the provision of </w:t>
      </w:r>
      <w:r w:rsidR="00E479AA" w:rsidRPr="00CB1DAB">
        <w:t>surgical pregnancy terminations in public hospitals</w:t>
      </w:r>
      <w:r w:rsidR="001E68B7" w:rsidRPr="00CB1DAB">
        <w:t xml:space="preserve">, and to better identify pathways to other local providers and support patients to access them where appropriate, </w:t>
      </w:r>
      <w:r w:rsidR="001A5EBE" w:rsidRPr="00CB1DAB">
        <w:t>was</w:t>
      </w:r>
      <w:r w:rsidR="00E479AA" w:rsidRPr="00CB1DAB">
        <w:t xml:space="preserve"> discussed at </w:t>
      </w:r>
      <w:r w:rsidR="001E68B7" w:rsidRPr="00CB1DAB">
        <w:t xml:space="preserve">the </w:t>
      </w:r>
      <w:r w:rsidR="00E479AA" w:rsidRPr="00CB1DAB">
        <w:t>Health Ministers’ Meeting</w:t>
      </w:r>
      <w:r w:rsidR="001E68B7" w:rsidRPr="00CB1DAB">
        <w:t xml:space="preserve"> in November 2023.</w:t>
      </w:r>
      <w:r w:rsidR="009702FC" w:rsidRPr="00CB1DAB">
        <w:t xml:space="preserve"> All </w:t>
      </w:r>
      <w:r w:rsidR="00076AC0" w:rsidRPr="00CB1DAB">
        <w:t>s</w:t>
      </w:r>
      <w:r w:rsidR="009702FC" w:rsidRPr="00CB1DAB">
        <w:t>tate and territor</w:t>
      </w:r>
      <w:r w:rsidR="00076AC0" w:rsidRPr="00CB1DAB">
        <w:t>y Health Ministers</w:t>
      </w:r>
      <w:r w:rsidR="009702FC" w:rsidRPr="00CB1DAB">
        <w:t xml:space="preserve"> </w:t>
      </w:r>
      <w:r w:rsidR="69F5E671" w:rsidRPr="00CB1DAB">
        <w:t>g</w:t>
      </w:r>
      <w:r w:rsidR="00076AC0" w:rsidRPr="00CB1DAB">
        <w:t>a</w:t>
      </w:r>
      <w:r w:rsidR="69F5E671" w:rsidRPr="00CB1DAB">
        <w:t xml:space="preserve">ve </w:t>
      </w:r>
      <w:r w:rsidR="00076AC0" w:rsidRPr="00CB1DAB">
        <w:t>in</w:t>
      </w:r>
      <w:r w:rsidR="00811899">
        <w:t>-</w:t>
      </w:r>
      <w:r w:rsidR="00076AC0" w:rsidRPr="00CB1DAB">
        <w:t xml:space="preserve">principle </w:t>
      </w:r>
      <w:r w:rsidR="00787752" w:rsidRPr="00CB1DAB">
        <w:t>support</w:t>
      </w:r>
      <w:r w:rsidR="4D555249" w:rsidRPr="00CB1DAB">
        <w:t xml:space="preserve"> and committed to working together on</w:t>
      </w:r>
      <w:r w:rsidR="00076AC0" w:rsidRPr="00CB1DAB">
        <w:t xml:space="preserve"> the 12</w:t>
      </w:r>
      <w:r w:rsidR="00DE551B" w:rsidRPr="00CB1DAB">
        <w:t> </w:t>
      </w:r>
      <w:r w:rsidR="00076AC0" w:rsidRPr="00CB1DAB">
        <w:t>recommendations that cross into their respective jurisdiction</w:t>
      </w:r>
      <w:r w:rsidR="00C82564" w:rsidRPr="00CB1DAB">
        <w:t>al responsibilities</w:t>
      </w:r>
      <w:r w:rsidR="00076AC0" w:rsidRPr="00CB1DAB">
        <w:t xml:space="preserve">. </w:t>
      </w:r>
    </w:p>
    <w:p w14:paraId="13B3CB7B" w14:textId="772BA1C2" w:rsidR="00C81783" w:rsidRPr="00CB1DAB" w:rsidRDefault="00C81783" w:rsidP="00A27907">
      <w:pPr>
        <w:spacing w:after="120"/>
      </w:pPr>
      <w:r w:rsidRPr="00CB1DAB">
        <w:br w:type="page"/>
      </w:r>
    </w:p>
    <w:p w14:paraId="7391E581" w14:textId="56CCAC89" w:rsidR="00C81783" w:rsidRPr="00CB1DAB" w:rsidRDefault="00C81783" w:rsidP="00EE1D82">
      <w:pPr>
        <w:pBdr>
          <w:bottom w:val="single" w:sz="6" w:space="1" w:color="auto"/>
        </w:pBdr>
        <w:spacing w:after="120"/>
        <w:rPr>
          <w:b/>
          <w:bCs/>
        </w:rPr>
      </w:pPr>
      <w:r w:rsidRPr="00CB1DAB">
        <w:rPr>
          <w:b/>
          <w:bCs/>
        </w:rPr>
        <w:lastRenderedPageBreak/>
        <w:t>Recommendation 16</w:t>
      </w:r>
    </w:p>
    <w:p w14:paraId="3F1E6C11" w14:textId="130A25D1" w:rsidR="00C81783" w:rsidRPr="00CB1DAB" w:rsidRDefault="00C81783" w:rsidP="009C6998">
      <w:pPr>
        <w:spacing w:before="240" w:after="240"/>
        <w:rPr>
          <w:i/>
          <w:iCs/>
        </w:rPr>
      </w:pPr>
      <w:r w:rsidRPr="00CB1DAB">
        <w:rPr>
          <w:i/>
          <w:iCs/>
        </w:rPr>
        <w:t>16: The Committee recommends that the Australian Government develops an implementation plan for the National Women’s Health Strategy 2020–2030 with annual reporting against key measures of success. This could include establishing a taskforce as part of the implementation plan.</w:t>
      </w:r>
    </w:p>
    <w:p w14:paraId="4E74F63B" w14:textId="4AE6EC2C" w:rsidR="00EB2EB2" w:rsidRPr="00CB1DAB" w:rsidRDefault="00EB2EB2" w:rsidP="009C6998">
      <w:pPr>
        <w:spacing w:before="240" w:after="240"/>
      </w:pPr>
      <w:r w:rsidRPr="00CB1DAB">
        <w:t xml:space="preserve">The Australian Government </w:t>
      </w:r>
      <w:r w:rsidRPr="00CB1DAB">
        <w:rPr>
          <w:b/>
          <w:bCs/>
        </w:rPr>
        <w:t>supports</w:t>
      </w:r>
      <w:r w:rsidR="00633BE9" w:rsidRPr="00CB1DAB">
        <w:rPr>
          <w:b/>
          <w:bCs/>
        </w:rPr>
        <w:t xml:space="preserve"> </w:t>
      </w:r>
      <w:r w:rsidRPr="00CB1DAB">
        <w:t>this recommendation</w:t>
      </w:r>
      <w:r w:rsidR="00827C54" w:rsidRPr="00CB1DAB">
        <w:t>.</w:t>
      </w:r>
    </w:p>
    <w:p w14:paraId="6F850613" w14:textId="7DBEAB43" w:rsidR="00C351B3" w:rsidRPr="00CB1DAB" w:rsidRDefault="00C351B3" w:rsidP="00EE1D82">
      <w:pPr>
        <w:spacing w:after="120"/>
      </w:pPr>
      <w:r w:rsidRPr="00CB1DAB">
        <w:t>The Government has established the National Women’s Health Advisory Council to provide strategic advice and recommendations directly to Government to improve health outcomes for Australian women and girls</w:t>
      </w:r>
      <w:r w:rsidR="00075408" w:rsidRPr="00CB1DAB">
        <w:t>.</w:t>
      </w:r>
      <w:r w:rsidR="002D2A3C" w:rsidRPr="00CB1DAB">
        <w:t xml:space="preserve"> </w:t>
      </w:r>
      <w:r w:rsidR="00075408" w:rsidRPr="00CB1DAB">
        <w:t>The Council will also perform the role of a taskforce in</w:t>
      </w:r>
      <w:r w:rsidRPr="00CB1DAB">
        <w:t xml:space="preserve"> provid</w:t>
      </w:r>
      <w:r w:rsidR="00075408" w:rsidRPr="00CB1DAB">
        <w:t>ing</w:t>
      </w:r>
      <w:r w:rsidRPr="00CB1DAB">
        <w:t xml:space="preserve"> advice on the implementation of the </w:t>
      </w:r>
      <w:r w:rsidR="004711D6" w:rsidRPr="00CB1DAB">
        <w:t xml:space="preserve">Women’s Health </w:t>
      </w:r>
      <w:r w:rsidRPr="00CB1DAB">
        <w:t>Strategy</w:t>
      </w:r>
      <w:r w:rsidR="00E14693" w:rsidRPr="00CB1DAB">
        <w:t>.</w:t>
      </w:r>
    </w:p>
    <w:p w14:paraId="5288C5DD" w14:textId="037A8402" w:rsidR="00C351B3" w:rsidRPr="00CB1DAB" w:rsidRDefault="009B5B78" w:rsidP="00EE1D82">
      <w:pPr>
        <w:spacing w:after="120"/>
      </w:pPr>
      <w:r w:rsidRPr="00CB1DAB">
        <w:t>A</w:t>
      </w:r>
      <w:r w:rsidR="00C351B3" w:rsidRPr="00CB1DAB">
        <w:t xml:space="preserve"> Monitoring and Reporting Framework </w:t>
      </w:r>
      <w:r w:rsidR="00075408" w:rsidRPr="00CB1DAB">
        <w:t>for the</w:t>
      </w:r>
      <w:r w:rsidR="00E14693" w:rsidRPr="00CB1DAB">
        <w:t xml:space="preserve"> Women’s Health</w:t>
      </w:r>
      <w:r w:rsidR="00075408" w:rsidRPr="00CB1DAB">
        <w:t xml:space="preserve"> Strategy</w:t>
      </w:r>
      <w:r w:rsidR="00633BE9" w:rsidRPr="00CB1DAB">
        <w:t xml:space="preserve"> has been developed</w:t>
      </w:r>
      <w:r w:rsidR="00E378B2" w:rsidRPr="00CB1DAB">
        <w:t xml:space="preserve"> and will support implementation of the </w:t>
      </w:r>
      <w:r w:rsidR="00811899">
        <w:t>S</w:t>
      </w:r>
      <w:r w:rsidR="00E378B2" w:rsidRPr="00CB1DAB">
        <w:t>trategy</w:t>
      </w:r>
      <w:r w:rsidR="00C351B3" w:rsidRPr="00CB1DAB">
        <w:t>.</w:t>
      </w:r>
      <w:r w:rsidR="00075408" w:rsidRPr="00CB1DAB">
        <w:t xml:space="preserve"> It include</w:t>
      </w:r>
      <w:r w:rsidR="00633BE9" w:rsidRPr="00CB1DAB">
        <w:t>s</w:t>
      </w:r>
      <w:r w:rsidR="00075408" w:rsidRPr="00CB1DAB">
        <w:t xml:space="preserve"> performance indicators to assess and report against key measures of success and implementation of </w:t>
      </w:r>
      <w:r w:rsidR="00E14693" w:rsidRPr="00CB1DAB">
        <w:t xml:space="preserve">Women’s Health </w:t>
      </w:r>
      <w:r w:rsidR="00075408" w:rsidRPr="00CB1DAB">
        <w:t xml:space="preserve">Strategy actions. </w:t>
      </w:r>
      <w:r w:rsidR="000C5107" w:rsidRPr="00CB1DAB">
        <w:t>An initial assessment using the Monitoring and Reporting Framework has</w:t>
      </w:r>
      <w:r w:rsidR="00075408" w:rsidRPr="00CB1DAB">
        <w:t xml:space="preserve"> also </w:t>
      </w:r>
      <w:r w:rsidR="000C5107" w:rsidRPr="00CB1DAB">
        <w:t xml:space="preserve">been developed to </w:t>
      </w:r>
      <w:r w:rsidR="00075408" w:rsidRPr="00CB1DAB">
        <w:t>serve</w:t>
      </w:r>
      <w:r w:rsidR="00E14693" w:rsidRPr="00CB1DAB">
        <w:t xml:space="preserve"> </w:t>
      </w:r>
      <w:r w:rsidR="00075408" w:rsidRPr="00CB1DAB">
        <w:t xml:space="preserve">as a baseline scorecard to determine the </w:t>
      </w:r>
      <w:r w:rsidR="00E14693" w:rsidRPr="00CB1DAB">
        <w:t xml:space="preserve">Women’s Health </w:t>
      </w:r>
      <w:r w:rsidR="00075408" w:rsidRPr="00CB1DAB">
        <w:t xml:space="preserve">Strategy’s progress to date. The Monitoring and Reporting Framework and baseline reporting </w:t>
      </w:r>
      <w:r w:rsidR="00633BE9" w:rsidRPr="00CB1DAB">
        <w:t xml:space="preserve">were </w:t>
      </w:r>
      <w:r w:rsidR="00075408" w:rsidRPr="00CB1DAB">
        <w:t xml:space="preserve">completed </w:t>
      </w:r>
      <w:r w:rsidR="00633BE9" w:rsidRPr="00CB1DAB">
        <w:t>in</w:t>
      </w:r>
      <w:r w:rsidR="00075408" w:rsidRPr="00CB1DAB">
        <w:t xml:space="preserve"> </w:t>
      </w:r>
      <w:r w:rsidR="000C5107" w:rsidRPr="00CB1DAB">
        <w:t>late</w:t>
      </w:r>
      <w:r w:rsidR="00075408" w:rsidRPr="00CB1DAB">
        <w:t>-2024</w:t>
      </w:r>
      <w:r w:rsidR="00337ECD" w:rsidRPr="00CB1DAB">
        <w:t xml:space="preserve"> and will inform the Council’s advice on implementation of the Strategy</w:t>
      </w:r>
      <w:r w:rsidR="00075408" w:rsidRPr="00CB1DAB">
        <w:t>.</w:t>
      </w:r>
      <w:r w:rsidR="00C351B3" w:rsidRPr="00CB1DAB">
        <w:t xml:space="preserve"> </w:t>
      </w:r>
    </w:p>
    <w:p w14:paraId="668B6687" w14:textId="77777777" w:rsidR="00730144" w:rsidRPr="00CB1DAB" w:rsidRDefault="00730144" w:rsidP="00EE1D82">
      <w:pPr>
        <w:spacing w:after="120"/>
      </w:pPr>
    </w:p>
    <w:p w14:paraId="32E86614" w14:textId="77777777" w:rsidR="00730144" w:rsidRPr="00CB1DAB" w:rsidRDefault="00730144" w:rsidP="00EE1D82">
      <w:pPr>
        <w:spacing w:after="120"/>
      </w:pPr>
    </w:p>
    <w:p w14:paraId="30618B9E" w14:textId="77777777" w:rsidR="00730144" w:rsidRPr="00CB1DAB" w:rsidRDefault="00730144" w:rsidP="00EE1D82">
      <w:pPr>
        <w:spacing w:after="120"/>
      </w:pPr>
    </w:p>
    <w:p w14:paraId="4003DA8D" w14:textId="77777777" w:rsidR="00730144" w:rsidRPr="00CB1DAB" w:rsidRDefault="00730144" w:rsidP="00EE1D82">
      <w:pPr>
        <w:spacing w:after="120"/>
      </w:pPr>
    </w:p>
    <w:p w14:paraId="649B65F3" w14:textId="77777777" w:rsidR="00730144" w:rsidRPr="00CB1DAB" w:rsidRDefault="00730144" w:rsidP="00EE1D82">
      <w:pPr>
        <w:spacing w:after="120"/>
      </w:pPr>
    </w:p>
    <w:p w14:paraId="6605EB7B" w14:textId="77777777" w:rsidR="00730144" w:rsidRPr="00CB1DAB" w:rsidRDefault="00730144" w:rsidP="00EE1D82">
      <w:pPr>
        <w:spacing w:after="120"/>
      </w:pPr>
    </w:p>
    <w:p w14:paraId="080B04E3" w14:textId="77777777" w:rsidR="00730144" w:rsidRPr="00CB1DAB" w:rsidRDefault="00730144" w:rsidP="00EE1D82">
      <w:pPr>
        <w:spacing w:after="120"/>
      </w:pPr>
    </w:p>
    <w:p w14:paraId="18862F62" w14:textId="77777777" w:rsidR="00730144" w:rsidRPr="00CB1DAB" w:rsidRDefault="00730144" w:rsidP="00EE1D82">
      <w:pPr>
        <w:spacing w:after="120"/>
      </w:pPr>
    </w:p>
    <w:p w14:paraId="3EE1B67A" w14:textId="77777777" w:rsidR="00730144" w:rsidRPr="00CB1DAB" w:rsidRDefault="00730144" w:rsidP="00EE1D82">
      <w:pPr>
        <w:spacing w:after="120"/>
      </w:pPr>
    </w:p>
    <w:p w14:paraId="1657E7AF" w14:textId="77777777" w:rsidR="00730144" w:rsidRPr="00CB1DAB" w:rsidRDefault="00730144" w:rsidP="00EE1D82">
      <w:pPr>
        <w:spacing w:after="120"/>
      </w:pPr>
    </w:p>
    <w:p w14:paraId="6804A673" w14:textId="77777777" w:rsidR="00730144" w:rsidRPr="00CB1DAB" w:rsidRDefault="00730144" w:rsidP="00EE1D82">
      <w:pPr>
        <w:spacing w:after="120"/>
      </w:pPr>
    </w:p>
    <w:p w14:paraId="44234D73" w14:textId="1CDCB0D8" w:rsidR="00891374" w:rsidRPr="00CB1DAB" w:rsidRDefault="00891374" w:rsidP="00A27907">
      <w:pPr>
        <w:spacing w:after="120"/>
      </w:pPr>
      <w:r w:rsidRPr="00CB1DAB">
        <w:br w:type="page"/>
      </w:r>
    </w:p>
    <w:p w14:paraId="4EE33E17" w14:textId="5D5AD710" w:rsidR="00C81783" w:rsidRPr="00CB1DAB" w:rsidRDefault="00C81783" w:rsidP="00EE1D82">
      <w:pPr>
        <w:pBdr>
          <w:bottom w:val="single" w:sz="6" w:space="1" w:color="auto"/>
        </w:pBdr>
        <w:spacing w:after="120"/>
        <w:rPr>
          <w:b/>
          <w:bCs/>
        </w:rPr>
      </w:pPr>
      <w:r w:rsidRPr="00CB1DAB">
        <w:rPr>
          <w:b/>
          <w:bCs/>
        </w:rPr>
        <w:lastRenderedPageBreak/>
        <w:t>Recommendation 17</w:t>
      </w:r>
    </w:p>
    <w:p w14:paraId="6A77E948" w14:textId="06ECD6D7" w:rsidR="00C81783" w:rsidRPr="00CB1DAB" w:rsidRDefault="00C81783" w:rsidP="009C6998">
      <w:pPr>
        <w:spacing w:before="240" w:after="240"/>
        <w:rPr>
          <w:i/>
          <w:iCs/>
        </w:rPr>
      </w:pPr>
      <w:r w:rsidRPr="00CB1DAB">
        <w:rPr>
          <w:i/>
          <w:iCs/>
        </w:rPr>
        <w:t xml:space="preserve">17: The Committee recommends that the Australian Government, in consultation with state and territory governments, implements a national support, information, and referral model for sexual and reproductive healthcare services. </w:t>
      </w:r>
    </w:p>
    <w:p w14:paraId="7ED1CEE5" w14:textId="217A4363" w:rsidR="00C81783" w:rsidRPr="00CB1DAB" w:rsidRDefault="00C81783" w:rsidP="009C6998">
      <w:pPr>
        <w:spacing w:before="240" w:after="240"/>
        <w:rPr>
          <w:i/>
          <w:iCs/>
        </w:rPr>
      </w:pPr>
      <w:r w:rsidRPr="00CB1DAB">
        <w:rPr>
          <w:i/>
          <w:iCs/>
        </w:rPr>
        <w:t>The committee envisages that such a national telephone service would leverage the experiences of existing initiatives, such as 1800 My Options and healthdirect, to ensure that it is fit for purpose, delivers accurate local information, and builds on the experiences of services operating in those jurisdictions.</w:t>
      </w:r>
    </w:p>
    <w:p w14:paraId="4280EE9D" w14:textId="77777777" w:rsidR="00A20600" w:rsidRPr="00CB1DAB" w:rsidRDefault="00A20600"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03999CF9" w14:textId="77777777" w:rsidR="00F63AE7" w:rsidRPr="00CB1DAB" w:rsidRDefault="00F63AE7" w:rsidP="00F63AE7">
      <w:pPr>
        <w:spacing w:after="120"/>
      </w:pPr>
      <w:r w:rsidRPr="00CB1DAB">
        <w:t>There are well-established and known services (such as 1800 My Options or Children by Choice), and there is a risk that a new national model could duplicate these services and create confusion for health consumers.</w:t>
      </w:r>
    </w:p>
    <w:p w14:paraId="37279E8D" w14:textId="77777777" w:rsidR="00F63AE7" w:rsidRPr="00CB1DAB" w:rsidRDefault="00F63AE7" w:rsidP="00F63AE7">
      <w:pPr>
        <w:spacing w:after="120"/>
      </w:pPr>
      <w:r w:rsidRPr="00CB1DAB">
        <w:t>The Australian Government will work with Healthdirect to improve advice (through web and phone services), and work with the sector to improve service information available through Healthdirect’s Service Finder.</w:t>
      </w:r>
    </w:p>
    <w:p w14:paraId="05FA5381" w14:textId="14BB49BC" w:rsidR="00F63AE7" w:rsidRPr="00CB1DAB" w:rsidRDefault="00F63AE7" w:rsidP="00F63AE7">
      <w:pPr>
        <w:spacing w:after="120"/>
      </w:pPr>
      <w:r w:rsidRPr="00CB1DAB">
        <w:t>The Australian Government will progress a feasibility study with jurisdictions on the concept of a national model, to be considered by Health Ministers in 2025.</w:t>
      </w:r>
    </w:p>
    <w:p w14:paraId="072ADE60" w14:textId="4B6C088F" w:rsidR="00C81783" w:rsidRPr="00CB1DAB" w:rsidRDefault="00C81783" w:rsidP="00EE1D82">
      <w:pPr>
        <w:spacing w:after="120"/>
      </w:pPr>
      <w:r w:rsidRPr="00CB1DAB">
        <w:br w:type="page"/>
      </w:r>
    </w:p>
    <w:p w14:paraId="12A1C9C4" w14:textId="08EBE8B0" w:rsidR="00C81783" w:rsidRPr="00CB1DAB" w:rsidRDefault="00C81783" w:rsidP="00EE1D82">
      <w:pPr>
        <w:pBdr>
          <w:bottom w:val="single" w:sz="6" w:space="1" w:color="auto"/>
        </w:pBdr>
        <w:spacing w:after="120"/>
        <w:rPr>
          <w:b/>
          <w:bCs/>
        </w:rPr>
      </w:pPr>
      <w:r w:rsidRPr="00CB1DAB">
        <w:rPr>
          <w:b/>
          <w:bCs/>
        </w:rPr>
        <w:lastRenderedPageBreak/>
        <w:t>Recommendation 18</w:t>
      </w:r>
    </w:p>
    <w:p w14:paraId="7B5B8E87" w14:textId="46EE6EE0" w:rsidR="00C81783" w:rsidRPr="00CB1DAB" w:rsidRDefault="00C81783" w:rsidP="009C6998">
      <w:pPr>
        <w:spacing w:before="240" w:after="240"/>
        <w:rPr>
          <w:i/>
          <w:iCs/>
        </w:rPr>
      </w:pPr>
      <w:r w:rsidRPr="00CB1DAB">
        <w:rPr>
          <w:i/>
          <w:iCs/>
        </w:rPr>
        <w:t xml:space="preserve">18: The Committee recommends that the Australian Government reviews the existing Medicare arrangements which support medical termination consultations with the aim of ensuring adequate remuneration for practitioners to deliver these services while also ensuring patient privacy. </w:t>
      </w:r>
    </w:p>
    <w:p w14:paraId="610E3DE0" w14:textId="77777777" w:rsidR="00020A48" w:rsidRPr="00CB1DAB" w:rsidRDefault="00020A48"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16AC8959" w14:textId="05524880" w:rsidR="00020A48" w:rsidRPr="00CB1DAB" w:rsidRDefault="00E83997" w:rsidP="00EE1D82">
      <w:pPr>
        <w:spacing w:after="120"/>
      </w:pPr>
      <w:r w:rsidRPr="00CB1DAB">
        <w:t>F</w:t>
      </w:r>
      <w:r w:rsidR="00020A48" w:rsidRPr="00CB1DAB">
        <w:t>rom 1 November 2023</w:t>
      </w:r>
      <w:r w:rsidR="00811899">
        <w:t>,</w:t>
      </w:r>
      <w:r w:rsidR="00020A48" w:rsidRPr="00CB1DAB">
        <w:t xml:space="preserve"> new general attendance items for </w:t>
      </w:r>
      <w:r w:rsidRPr="00CB1DAB">
        <w:t xml:space="preserve">general practice </w:t>
      </w:r>
      <w:r w:rsidR="00020A48" w:rsidRPr="00CB1DAB">
        <w:t xml:space="preserve">consultations of 60 minutes or more (to be known as level E) </w:t>
      </w:r>
      <w:r w:rsidR="00E44641" w:rsidRPr="00CB1DAB">
        <w:t>are</w:t>
      </w:r>
      <w:r w:rsidR="00020A48" w:rsidRPr="00CB1DAB">
        <w:t xml:space="preserve"> available to support improved access and service affordability for patients with complex needs.</w:t>
      </w:r>
    </w:p>
    <w:p w14:paraId="4732A7F7" w14:textId="6036A51F" w:rsidR="002C1492" w:rsidRPr="00CB1DAB" w:rsidRDefault="002C1492" w:rsidP="00EE1D82">
      <w:pPr>
        <w:spacing w:after="120"/>
      </w:pPr>
      <w:r w:rsidRPr="00CB1DAB">
        <w:t xml:space="preserve">GP general attendance items can be used </w:t>
      </w:r>
      <w:r w:rsidR="00C749F4" w:rsidRPr="00CB1DAB">
        <w:t>to support medica</w:t>
      </w:r>
      <w:r w:rsidR="00D733E7" w:rsidRPr="00CB1DAB">
        <w:t>l</w:t>
      </w:r>
      <w:r w:rsidR="00C749F4" w:rsidRPr="00CB1DAB">
        <w:t xml:space="preserve"> termination consultations.</w:t>
      </w:r>
      <w:r w:rsidR="00D733E7" w:rsidRPr="00CB1DAB">
        <w:t xml:space="preserve"> </w:t>
      </w:r>
      <w:r w:rsidRPr="00CB1DAB">
        <w:t xml:space="preserve">Government policy in relation to GP general attendance items (Level A to D consultations and, from 1 November 2023, Level E consultations) </w:t>
      </w:r>
      <w:r w:rsidR="00E83997" w:rsidRPr="00CB1DAB">
        <w:t xml:space="preserve">support </w:t>
      </w:r>
      <w:r w:rsidRPr="00CB1DAB">
        <w:t>complex consultative care across the full range of patient presentations, including patients who require support in associ</w:t>
      </w:r>
      <w:r w:rsidR="004A117D" w:rsidRPr="00CB1DAB">
        <w:t>a</w:t>
      </w:r>
      <w:r w:rsidRPr="00CB1DAB">
        <w:t>tion with a termination procedure.</w:t>
      </w:r>
    </w:p>
    <w:p w14:paraId="6D29A5C3" w14:textId="55F66FCA" w:rsidR="00C81783" w:rsidRPr="00CB1DAB" w:rsidRDefault="006E5F58" w:rsidP="00EE1D82">
      <w:pPr>
        <w:spacing w:after="120"/>
      </w:pPr>
      <w:r w:rsidRPr="00CB1DAB">
        <w:t xml:space="preserve">As </w:t>
      </w:r>
      <w:r w:rsidR="008E65EB" w:rsidRPr="00CB1DAB">
        <w:t>contained in the</w:t>
      </w:r>
      <w:r w:rsidRPr="00CB1DAB">
        <w:t xml:space="preserve"> response to recommendation 5, the Government is supporting GPs to bulk bill their patients by providing </w:t>
      </w:r>
      <w:r w:rsidR="00E83997" w:rsidRPr="00CB1DAB">
        <w:t>a bulk billing incentive for services for patients with a Commonwealth Concession Card and child</w:t>
      </w:r>
      <w:r w:rsidRPr="00CB1DAB">
        <w:t>ren</w:t>
      </w:r>
      <w:r w:rsidR="00E83997" w:rsidRPr="00CB1DAB">
        <w:t xml:space="preserve"> under 16 years of age</w:t>
      </w:r>
      <w:r w:rsidR="00516CA7" w:rsidRPr="00CB1DAB">
        <w:t>, and f</w:t>
      </w:r>
      <w:r w:rsidRPr="00CB1DAB">
        <w:t>rom</w:t>
      </w:r>
      <w:r w:rsidR="00516CA7" w:rsidRPr="00CB1DAB">
        <w:t xml:space="preserve"> </w:t>
      </w:r>
      <w:r w:rsidR="00E83997" w:rsidRPr="00CB1DAB">
        <w:t>1</w:t>
      </w:r>
      <w:r w:rsidR="00516CA7" w:rsidRPr="00CB1DAB">
        <w:t> </w:t>
      </w:r>
      <w:r w:rsidR="00E83997" w:rsidRPr="00CB1DAB">
        <w:t>November</w:t>
      </w:r>
      <w:r w:rsidR="00516CA7" w:rsidRPr="00CB1DAB">
        <w:t> </w:t>
      </w:r>
      <w:r w:rsidR="00E83997" w:rsidRPr="00CB1DAB">
        <w:t xml:space="preserve">2023 the bulk billing incentive </w:t>
      </w:r>
      <w:r w:rsidR="00E44641" w:rsidRPr="00CB1DAB">
        <w:t>was</w:t>
      </w:r>
      <w:r w:rsidR="00E83997" w:rsidRPr="00CB1DAB">
        <w:t xml:space="preserve"> tripled for the most common GP consultation items, that is:</w:t>
      </w:r>
    </w:p>
    <w:p w14:paraId="63E75CA9" w14:textId="780EDA33" w:rsidR="00E83997" w:rsidRPr="00CB1DAB" w:rsidRDefault="00E83997" w:rsidP="00326B55">
      <w:pPr>
        <w:pStyle w:val="ListParagraph"/>
        <w:numPr>
          <w:ilvl w:val="0"/>
          <w:numId w:val="50"/>
        </w:numPr>
        <w:spacing w:after="120"/>
        <w:ind w:left="714" w:hanging="357"/>
        <w:contextualSpacing w:val="0"/>
        <w:rPr>
          <w:sz w:val="24"/>
          <w:szCs w:val="24"/>
        </w:rPr>
      </w:pPr>
      <w:r w:rsidRPr="00CB1DAB">
        <w:rPr>
          <w:sz w:val="24"/>
          <w:szCs w:val="24"/>
        </w:rPr>
        <w:t xml:space="preserve">All face-to-face general attendance consultations more than </w:t>
      </w:r>
      <w:r w:rsidR="00DE551B" w:rsidRPr="00CB1DAB">
        <w:rPr>
          <w:sz w:val="24"/>
          <w:szCs w:val="24"/>
        </w:rPr>
        <w:t>six</w:t>
      </w:r>
      <w:r w:rsidR="006B00FF" w:rsidRPr="00CB1DAB">
        <w:rPr>
          <w:sz w:val="24"/>
          <w:szCs w:val="24"/>
        </w:rPr>
        <w:t xml:space="preserve"> </w:t>
      </w:r>
      <w:r w:rsidRPr="00CB1DAB">
        <w:rPr>
          <w:sz w:val="24"/>
          <w:szCs w:val="24"/>
        </w:rPr>
        <w:t>minutes in length</w:t>
      </w:r>
      <w:r w:rsidR="00C757F8" w:rsidRPr="00CB1DAB">
        <w:rPr>
          <w:sz w:val="24"/>
          <w:szCs w:val="24"/>
        </w:rPr>
        <w:t>.</w:t>
      </w:r>
    </w:p>
    <w:p w14:paraId="537A8366" w14:textId="0D157BE3" w:rsidR="00E83997" w:rsidRPr="00CB1DAB" w:rsidRDefault="00E83997" w:rsidP="00326B55">
      <w:pPr>
        <w:pStyle w:val="ListParagraph"/>
        <w:numPr>
          <w:ilvl w:val="0"/>
          <w:numId w:val="50"/>
        </w:numPr>
        <w:spacing w:after="120"/>
        <w:ind w:left="714" w:hanging="357"/>
        <w:contextualSpacing w:val="0"/>
        <w:rPr>
          <w:sz w:val="24"/>
          <w:szCs w:val="24"/>
        </w:rPr>
      </w:pPr>
      <w:r w:rsidRPr="00CB1DAB">
        <w:rPr>
          <w:sz w:val="24"/>
          <w:szCs w:val="24"/>
        </w:rPr>
        <w:t xml:space="preserve">All telehealth general attendance consultations which are between </w:t>
      </w:r>
      <w:r w:rsidR="00DE551B" w:rsidRPr="00CB1DAB">
        <w:rPr>
          <w:sz w:val="24"/>
          <w:szCs w:val="24"/>
        </w:rPr>
        <w:t>six</w:t>
      </w:r>
      <w:r w:rsidR="006B00FF" w:rsidRPr="00CB1DAB">
        <w:rPr>
          <w:sz w:val="24"/>
          <w:szCs w:val="24"/>
        </w:rPr>
        <w:t xml:space="preserve"> </w:t>
      </w:r>
      <w:r w:rsidRPr="00CB1DAB">
        <w:rPr>
          <w:sz w:val="24"/>
          <w:szCs w:val="24"/>
        </w:rPr>
        <w:t>and 20</w:t>
      </w:r>
      <w:r w:rsidR="00DE551B" w:rsidRPr="00CB1DAB">
        <w:rPr>
          <w:sz w:val="24"/>
          <w:szCs w:val="24"/>
        </w:rPr>
        <w:t> </w:t>
      </w:r>
      <w:r w:rsidRPr="00CB1DAB">
        <w:rPr>
          <w:sz w:val="24"/>
          <w:szCs w:val="24"/>
        </w:rPr>
        <w:t>minutes in length (known as Level B consultations)</w:t>
      </w:r>
      <w:r w:rsidR="00C757F8" w:rsidRPr="00CB1DAB">
        <w:rPr>
          <w:sz w:val="24"/>
          <w:szCs w:val="24"/>
        </w:rPr>
        <w:t>.</w:t>
      </w:r>
    </w:p>
    <w:p w14:paraId="24D2B1A9" w14:textId="1977A779" w:rsidR="00E83997" w:rsidRPr="00CB1DAB" w:rsidRDefault="00E83997" w:rsidP="00326B55">
      <w:pPr>
        <w:pStyle w:val="ListParagraph"/>
        <w:numPr>
          <w:ilvl w:val="0"/>
          <w:numId w:val="50"/>
        </w:numPr>
        <w:spacing w:after="120"/>
        <w:ind w:left="714" w:hanging="357"/>
        <w:contextualSpacing w:val="0"/>
        <w:rPr>
          <w:sz w:val="24"/>
          <w:szCs w:val="24"/>
        </w:rPr>
      </w:pPr>
      <w:r w:rsidRPr="00CB1DAB">
        <w:rPr>
          <w:sz w:val="24"/>
          <w:szCs w:val="24"/>
        </w:rPr>
        <w:t>Longer telehealth general attendance consultations</w:t>
      </w:r>
      <w:r w:rsidR="0098482E" w:rsidRPr="00CB1DAB">
        <w:rPr>
          <w:sz w:val="24"/>
          <w:szCs w:val="24"/>
        </w:rPr>
        <w:t xml:space="preserve"> (known as level C and D consultations)</w:t>
      </w:r>
      <w:r w:rsidRPr="00CB1DAB">
        <w:rPr>
          <w:sz w:val="24"/>
          <w:szCs w:val="24"/>
        </w:rPr>
        <w:t xml:space="preserve"> where a patient is registered through MyMedicare</w:t>
      </w:r>
      <w:r w:rsidR="0098482E" w:rsidRPr="00CB1DAB">
        <w:rPr>
          <w:sz w:val="24"/>
          <w:szCs w:val="24"/>
        </w:rPr>
        <w:t xml:space="preserve"> and the service is provided at the practice where they are registered</w:t>
      </w:r>
      <w:r w:rsidRPr="00CB1DAB">
        <w:rPr>
          <w:sz w:val="24"/>
          <w:szCs w:val="24"/>
        </w:rPr>
        <w:t>.</w:t>
      </w:r>
    </w:p>
    <w:p w14:paraId="54401D48" w14:textId="733C8B1F" w:rsidR="00AC29C6" w:rsidRPr="00CB1DAB" w:rsidRDefault="00AC29C6" w:rsidP="00EE1D82">
      <w:pPr>
        <w:spacing w:after="120"/>
      </w:pPr>
      <w:r w:rsidRPr="00CB1DAB">
        <w:t xml:space="preserve">Following investment in the 2024-25 Budget, the Medicare GP telehealth item for blood borne viruses and sexual </w:t>
      </w:r>
      <w:r w:rsidR="00F63AE7" w:rsidRPr="00CB1DAB">
        <w:t xml:space="preserve">or </w:t>
      </w:r>
      <w:r w:rsidRPr="00CB1DAB">
        <w:t xml:space="preserve">reproductive health became permanent from 1 July 2024. This helps to ensure adequate remuneration for practitioners, while also providing a vital service – often for rural and regional women who seek privacy if they require a medical termination. </w:t>
      </w:r>
    </w:p>
    <w:p w14:paraId="7BC66803" w14:textId="42934F41" w:rsidR="00214DB0" w:rsidRPr="00CB1DAB" w:rsidRDefault="00AC29C6" w:rsidP="00EE1D82">
      <w:pPr>
        <w:spacing w:after="120"/>
      </w:pPr>
      <w:r w:rsidRPr="00CB1DAB">
        <w:t>Also f</w:t>
      </w:r>
      <w:r w:rsidR="00214DB0" w:rsidRPr="00CB1DAB">
        <w:t>rom 1 July 2024</w:t>
      </w:r>
      <w:r w:rsidR="00DE551B" w:rsidRPr="00CB1DAB">
        <w:t>,</w:t>
      </w:r>
      <w:r w:rsidR="00214DB0" w:rsidRPr="00CB1DAB">
        <w:t xml:space="preserve"> MBS rebates for </w:t>
      </w:r>
      <w:r w:rsidR="00811899" w:rsidRPr="00CB1DAB">
        <w:t>N</w:t>
      </w:r>
      <w:r w:rsidR="00811899">
        <w:t xml:space="preserve">urse </w:t>
      </w:r>
      <w:r w:rsidR="00811899" w:rsidRPr="00CB1DAB">
        <w:t>P</w:t>
      </w:r>
      <w:r w:rsidR="00811899">
        <w:t>ractitioner</w:t>
      </w:r>
      <w:r w:rsidR="00811899" w:rsidRPr="00CB1DAB">
        <w:t>s</w:t>
      </w:r>
      <w:r w:rsidR="00214DB0" w:rsidRPr="00CB1DAB">
        <w:t xml:space="preserve"> general attendance items increase</w:t>
      </w:r>
      <w:r w:rsidR="00C15A8A" w:rsidRPr="00CB1DAB">
        <w:t>d</w:t>
      </w:r>
      <w:r w:rsidR="00214DB0" w:rsidRPr="00CB1DAB">
        <w:t xml:space="preserve"> by 30</w:t>
      </w:r>
      <w:r w:rsidR="00DE551B" w:rsidRPr="00CB1DAB">
        <w:t> per cent</w:t>
      </w:r>
      <w:r w:rsidR="00214DB0" w:rsidRPr="00CB1DAB">
        <w:t xml:space="preserve"> as part of the Strengthening Medicare Taskforce reforms.</w:t>
      </w:r>
    </w:p>
    <w:p w14:paraId="1FEE5C1E" w14:textId="2AF03FB8" w:rsidR="00EF4E26" w:rsidRPr="00CB1DAB" w:rsidRDefault="00EF4E26" w:rsidP="00EE1D82">
      <w:pPr>
        <w:spacing w:after="120"/>
      </w:pPr>
      <w:r w:rsidRPr="00CB1DAB">
        <w:t xml:space="preserve">From 1 November 2024, requesting rights for </w:t>
      </w:r>
      <w:r w:rsidR="00811899" w:rsidRPr="00CB1DAB">
        <w:t>N</w:t>
      </w:r>
      <w:r w:rsidR="00811899">
        <w:t xml:space="preserve">urse </w:t>
      </w:r>
      <w:r w:rsidR="00811899" w:rsidRPr="00CB1DAB">
        <w:t>P</w:t>
      </w:r>
      <w:r w:rsidR="00811899">
        <w:t>ractitioner</w:t>
      </w:r>
      <w:r w:rsidR="00811899" w:rsidRPr="00CB1DAB">
        <w:t>s</w:t>
      </w:r>
      <w:r w:rsidRPr="00CB1DAB">
        <w:t xml:space="preserve"> will be expanded to enable them to request additional ultrasound items to support patients in the before and after care requirements of </w:t>
      </w:r>
      <w:r w:rsidRPr="00CB1DAB">
        <w:rPr>
          <w:rFonts w:cstheme="minorHAnsi"/>
          <w:lang w:eastAsia="en-AU"/>
        </w:rPr>
        <w:t>MS</w:t>
      </w:r>
      <w:r w:rsidRPr="00CB1DAB">
        <w:rPr>
          <w:rFonts w:cstheme="minorHAnsi"/>
          <w:lang w:eastAsia="en-AU"/>
        </w:rPr>
        <w:noBreakHyphen/>
        <w:t>2 Step</w:t>
      </w:r>
      <w:r w:rsidRPr="00CB1DAB">
        <w:rPr>
          <w:rFonts w:cstheme="minorHAnsi"/>
          <w:vertAlign w:val="superscript"/>
          <w:lang w:eastAsia="en-AU"/>
        </w:rPr>
        <w:t>©</w:t>
      </w:r>
      <w:r w:rsidRPr="00CB1DAB">
        <w:t>.</w:t>
      </w:r>
    </w:p>
    <w:p w14:paraId="05912E7C" w14:textId="2CB44CD2" w:rsidR="00214DB0" w:rsidRPr="00CB1DAB" w:rsidRDefault="00214DB0" w:rsidP="00EE1D82">
      <w:pPr>
        <w:spacing w:after="120"/>
      </w:pPr>
      <w:r w:rsidRPr="00CB1DAB">
        <w:t>From 1 March 2025</w:t>
      </w:r>
      <w:r w:rsidR="00811899">
        <w:t>,</w:t>
      </w:r>
      <w:r w:rsidRPr="00CB1DAB">
        <w:t xml:space="preserve"> new general attendance items for </w:t>
      </w:r>
      <w:r w:rsidR="00811899" w:rsidRPr="00CB1DAB">
        <w:t>N</w:t>
      </w:r>
      <w:r w:rsidR="00811899">
        <w:t xml:space="preserve">urse </w:t>
      </w:r>
      <w:r w:rsidR="00811899" w:rsidRPr="00CB1DAB">
        <w:t>P</w:t>
      </w:r>
      <w:r w:rsidR="00811899">
        <w:t>ractitioner</w:t>
      </w:r>
      <w:r w:rsidR="00811899" w:rsidRPr="00CB1DAB">
        <w:t>s</w:t>
      </w:r>
      <w:r w:rsidRPr="00CB1DAB">
        <w:t xml:space="preserve"> consultations of 60 minutes or more (to be known as level E) will be available to support improved access and service affordability for patients with complex needs. </w:t>
      </w:r>
    </w:p>
    <w:p w14:paraId="7BD24DD8" w14:textId="748DE17D" w:rsidR="001C28CE" w:rsidRPr="00CB1DAB" w:rsidRDefault="001C28CE" w:rsidP="00EE1D82">
      <w:pPr>
        <w:spacing w:after="120"/>
      </w:pPr>
      <w:r w:rsidRPr="00CB1DAB">
        <w:rPr>
          <w:rFonts w:cstheme="minorHAnsi"/>
          <w:lang w:eastAsia="en-AU"/>
        </w:rPr>
        <w:t xml:space="preserve">Authorised </w:t>
      </w:r>
      <w:r w:rsidR="00811899" w:rsidRPr="00CB1DAB">
        <w:t>N</w:t>
      </w:r>
      <w:r w:rsidR="00811899">
        <w:t xml:space="preserve">urse </w:t>
      </w:r>
      <w:r w:rsidR="00811899" w:rsidRPr="00CB1DAB">
        <w:t>P</w:t>
      </w:r>
      <w:r w:rsidR="00811899">
        <w:t>ractitioner</w:t>
      </w:r>
      <w:r w:rsidR="00811899" w:rsidRPr="00CB1DAB">
        <w:t>s</w:t>
      </w:r>
      <w:r w:rsidRPr="00CB1DAB">
        <w:rPr>
          <w:rFonts w:cstheme="minorHAnsi"/>
          <w:lang w:eastAsia="en-AU"/>
        </w:rPr>
        <w:t xml:space="preserve"> and Authorised Eligible Midwives with the appropriate qualifications and training are able to prescribe MS</w:t>
      </w:r>
      <w:r w:rsidRPr="00CB1DAB">
        <w:rPr>
          <w:rFonts w:cstheme="minorHAnsi"/>
          <w:lang w:eastAsia="en-AU"/>
        </w:rPr>
        <w:noBreakHyphen/>
        <w:t>2 Step</w:t>
      </w:r>
      <w:r w:rsidRPr="00CB1DAB">
        <w:rPr>
          <w:rFonts w:cstheme="minorHAnsi"/>
          <w:vertAlign w:val="superscript"/>
          <w:lang w:eastAsia="en-AU"/>
        </w:rPr>
        <w:t>©</w:t>
      </w:r>
      <w:r w:rsidRPr="00CB1DAB">
        <w:rPr>
          <w:rFonts w:cstheme="minorHAnsi"/>
          <w:lang w:eastAsia="en-AU"/>
        </w:rPr>
        <w:t xml:space="preserve"> through the PBS, subject to state and territory prescribing rights.</w:t>
      </w:r>
    </w:p>
    <w:p w14:paraId="71C90EC4" w14:textId="667DBA8E" w:rsidR="00C81783" w:rsidRPr="00CB1DAB" w:rsidRDefault="00C81783" w:rsidP="00EE1D82">
      <w:pPr>
        <w:pageBreakBefore/>
        <w:pBdr>
          <w:bottom w:val="single" w:sz="6" w:space="1" w:color="auto"/>
        </w:pBdr>
        <w:spacing w:after="120"/>
        <w:rPr>
          <w:b/>
          <w:bCs/>
        </w:rPr>
      </w:pPr>
      <w:bookmarkStart w:id="8" w:name="_Hlk167280934"/>
      <w:r w:rsidRPr="00CB1DAB">
        <w:rPr>
          <w:b/>
          <w:bCs/>
        </w:rPr>
        <w:lastRenderedPageBreak/>
        <w:t>Recommendation 19</w:t>
      </w:r>
    </w:p>
    <w:p w14:paraId="494868D1" w14:textId="6C48ACDC" w:rsidR="00C81783" w:rsidRPr="00CB1DAB" w:rsidRDefault="00C81783" w:rsidP="009C6998">
      <w:pPr>
        <w:spacing w:before="240" w:after="240"/>
        <w:rPr>
          <w:i/>
          <w:iCs/>
        </w:rPr>
      </w:pPr>
      <w:r w:rsidRPr="00CB1DAB">
        <w:rPr>
          <w:i/>
          <w:iCs/>
        </w:rPr>
        <w:t>19: The Committee recommends that the Australian Government continues current Medicare Benefits Schedule telehealth items for sexual and reproductive healthcare, including pregnancy support counselling and termination care.</w:t>
      </w:r>
    </w:p>
    <w:p w14:paraId="6FE01654" w14:textId="77777777" w:rsidR="00020A48" w:rsidRPr="00CB1DAB" w:rsidRDefault="00020A48"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54D6CC8A" w14:textId="0B756D90" w:rsidR="008078E8" w:rsidRPr="00CB1DAB" w:rsidRDefault="0046393E" w:rsidP="00EE1D82">
      <w:pPr>
        <w:spacing w:after="120"/>
      </w:pPr>
      <w:r w:rsidRPr="00CB1DAB">
        <w:t>The</w:t>
      </w:r>
      <w:r w:rsidR="00972901" w:rsidRPr="00CB1DAB">
        <w:t xml:space="preserve"> </w:t>
      </w:r>
      <w:r w:rsidR="008078E8" w:rsidRPr="00CB1DAB">
        <w:t xml:space="preserve">Medicare GP telehealth </w:t>
      </w:r>
      <w:r w:rsidRPr="00CB1DAB">
        <w:t xml:space="preserve">item for blood borne viruses and sexual </w:t>
      </w:r>
      <w:r w:rsidR="00F63AE7" w:rsidRPr="00CB1DAB">
        <w:t xml:space="preserve">or </w:t>
      </w:r>
      <w:r w:rsidRPr="00CB1DAB">
        <w:t>reproductive health</w:t>
      </w:r>
      <w:r w:rsidR="00241EDE" w:rsidRPr="00CB1DAB">
        <w:t xml:space="preserve"> (BBVSRH)</w:t>
      </w:r>
      <w:r w:rsidRPr="00CB1DAB">
        <w:t xml:space="preserve"> </w:t>
      </w:r>
      <w:r w:rsidR="008078E8" w:rsidRPr="00CB1DAB">
        <w:t>bec</w:t>
      </w:r>
      <w:r w:rsidR="00F044EB" w:rsidRPr="00CB1DAB">
        <w:t>a</w:t>
      </w:r>
      <w:r w:rsidR="008078E8" w:rsidRPr="00CB1DAB">
        <w:t>me permanent from 1 July 2024. Th</w:t>
      </w:r>
      <w:r w:rsidR="00B44510" w:rsidRPr="00CB1DAB">
        <w:t>is</w:t>
      </w:r>
      <w:r w:rsidR="008078E8" w:rsidRPr="00CB1DAB">
        <w:t xml:space="preserve"> continuation will enable accessibility to time-critical treatments including medical termination and specialised medicines including pre-exposure prophylaxis</w:t>
      </w:r>
      <w:r w:rsidR="00F044EB" w:rsidRPr="00CB1DAB">
        <w:t xml:space="preserve"> (P</w:t>
      </w:r>
      <w:r w:rsidR="0017628C" w:rsidRPr="00CB1DAB">
        <w:t>rE</w:t>
      </w:r>
      <w:r w:rsidR="00F044EB" w:rsidRPr="00CB1DAB">
        <w:t>P)</w:t>
      </w:r>
      <w:r w:rsidR="008078E8" w:rsidRPr="00CB1DAB">
        <w:t xml:space="preserve"> for human immunodeficiency virus</w:t>
      </w:r>
      <w:r w:rsidR="006D2526" w:rsidRPr="00CB1DAB">
        <w:t xml:space="preserve"> (HIV)</w:t>
      </w:r>
      <w:r w:rsidR="008078E8" w:rsidRPr="00CB1DAB">
        <w:t xml:space="preserve">. The availability of these telehealth services will ensure patients’ access to approved </w:t>
      </w:r>
      <w:r w:rsidR="009C6998" w:rsidRPr="00CB1DAB">
        <w:t>prescribers and</w:t>
      </w:r>
      <w:r w:rsidR="008078E8" w:rsidRPr="00CB1DAB">
        <w:t xml:space="preserve"> help patients who have privacy concerns about discussing sexual-health matters with their regular GP. Patients can continue to receive telehealth consultations for BBVSR</w:t>
      </w:r>
      <w:r w:rsidR="00F63AE7" w:rsidRPr="00CB1DAB">
        <w:t>H</w:t>
      </w:r>
      <w:r w:rsidR="008078E8" w:rsidRPr="00CB1DAB">
        <w:t xml:space="preserve"> from any GP or prescribed medical practitioner, if safe and clinically appropriate.</w:t>
      </w:r>
    </w:p>
    <w:p w14:paraId="4F71A03A" w14:textId="531864FB" w:rsidR="008078E8" w:rsidRPr="00CB1DAB" w:rsidRDefault="008078E8" w:rsidP="00EE1D82">
      <w:pPr>
        <w:spacing w:after="120"/>
      </w:pPr>
      <w:r w:rsidRPr="00CB1DAB">
        <w:t>The BBVSR</w:t>
      </w:r>
      <w:r w:rsidR="00241EDE" w:rsidRPr="00CB1DAB">
        <w:t>H</w:t>
      </w:r>
      <w:r w:rsidRPr="00CB1DAB">
        <w:t xml:space="preserve"> services complement a range of other GP telehealth services which may also provide information and access to medical termination if appropriate, including non-directive pregnancy support counselling and non-specific general attendances. From 1</w:t>
      </w:r>
      <w:r w:rsidR="00DE551B" w:rsidRPr="00CB1DAB">
        <w:t> </w:t>
      </w:r>
      <w:r w:rsidRPr="00CB1DAB">
        <w:t>July</w:t>
      </w:r>
      <w:r w:rsidR="00DE551B" w:rsidRPr="00CB1DAB">
        <w:t> </w:t>
      </w:r>
      <w:r w:rsidRPr="00CB1DAB">
        <w:t xml:space="preserve">2024, GP non-directive pregnancy support counselling telehealth services have </w:t>
      </w:r>
      <w:r w:rsidR="00F63AE7" w:rsidRPr="00CB1DAB">
        <w:t xml:space="preserve">the </w:t>
      </w:r>
      <w:r w:rsidRPr="00CB1DAB">
        <w:t xml:space="preserve">requirement for an established clinical relationship that applies to most common telehealth services. This means eligible patients have received at least one face-to-face service from their telehealth practitioner in the 12 months preceding the telehealth attendance, or from another medical practitioner who is located at the same medical practice. </w:t>
      </w:r>
      <w:r w:rsidR="00D455A2" w:rsidRPr="00CB1DAB">
        <w:t>Where clinically relevant, BBVSR</w:t>
      </w:r>
      <w:r w:rsidR="00D20157" w:rsidRPr="00CB1DAB">
        <w:t>H</w:t>
      </w:r>
      <w:r w:rsidR="00D455A2" w:rsidRPr="00CB1DAB">
        <w:t xml:space="preserve"> items</w:t>
      </w:r>
      <w:r w:rsidR="00F63AE7" w:rsidRPr="00CB1DAB">
        <w:t>, which are not subject to the established clinical relationship requirement,</w:t>
      </w:r>
      <w:r w:rsidR="00D455A2" w:rsidRPr="00CB1DAB">
        <w:t xml:space="preserve"> can be used instead of non-directive pregnancy counselling items. For services relating to antenatal care which cannot be performed under BBVSRH items, GPs may consider specific antenatal items available to them. For perinatal mental health care, the Better Access items may also be a consideration.</w:t>
      </w:r>
    </w:p>
    <w:p w14:paraId="1EC9B0D8" w14:textId="0901367A" w:rsidR="00D455A2" w:rsidRPr="00CB1DAB" w:rsidRDefault="00D455A2" w:rsidP="00D455A2">
      <w:r w:rsidRPr="00CB1DAB">
        <w:t>These changes implement recommendations from the independent clinician-led MRAC Post Implementation Review of MBS Telehealth. The review considered the range of telehealth services, their efficacy, safety and potential access issues. The MRAC provided interim advice to the Government in late 2023, and a final report in May 2024.</w:t>
      </w:r>
    </w:p>
    <w:bookmarkEnd w:id="8"/>
    <w:p w14:paraId="10C2A32F" w14:textId="30106A8B" w:rsidR="00781EBD" w:rsidRPr="00CB1DAB" w:rsidRDefault="00781EBD" w:rsidP="00EE1D82">
      <w:pPr>
        <w:spacing w:after="120"/>
      </w:pPr>
      <w:r w:rsidRPr="00CB1DAB">
        <w:br w:type="page"/>
      </w:r>
    </w:p>
    <w:p w14:paraId="71ECDAB3" w14:textId="4548B0F0" w:rsidR="00781EBD" w:rsidRPr="00CB1DAB" w:rsidRDefault="00781EBD" w:rsidP="00EE1D82">
      <w:pPr>
        <w:pBdr>
          <w:bottom w:val="single" w:sz="6" w:space="1" w:color="auto"/>
        </w:pBdr>
        <w:spacing w:after="120"/>
        <w:rPr>
          <w:b/>
          <w:bCs/>
        </w:rPr>
      </w:pPr>
      <w:r w:rsidRPr="00CB1DAB">
        <w:rPr>
          <w:b/>
          <w:bCs/>
        </w:rPr>
        <w:lastRenderedPageBreak/>
        <w:t>Recommendation 20</w:t>
      </w:r>
    </w:p>
    <w:p w14:paraId="733305E9" w14:textId="39BE5234" w:rsidR="00781EBD" w:rsidRPr="00CB1DAB" w:rsidRDefault="00781EBD" w:rsidP="009C6998">
      <w:pPr>
        <w:spacing w:before="240" w:after="240"/>
        <w:rPr>
          <w:i/>
          <w:iCs/>
        </w:rPr>
      </w:pPr>
      <w:r w:rsidRPr="00CB1DAB">
        <w:rPr>
          <w:i/>
          <w:iCs/>
        </w:rPr>
        <w:t>20: The Committee recommends that the Therapeutic Goods Administration and MS Health review barriers and emerging evidence to improve access to MS-2 Step, including by:</w:t>
      </w:r>
    </w:p>
    <w:p w14:paraId="2679394F" w14:textId="77777777" w:rsidR="00781EBD" w:rsidRPr="00CB1DAB" w:rsidRDefault="00781EBD" w:rsidP="009C6998">
      <w:pPr>
        <w:pStyle w:val="ListParagraph"/>
        <w:numPr>
          <w:ilvl w:val="0"/>
          <w:numId w:val="1"/>
        </w:numPr>
        <w:spacing w:before="240" w:after="240"/>
        <w:contextualSpacing w:val="0"/>
        <w:rPr>
          <w:i/>
          <w:iCs/>
          <w:sz w:val="24"/>
          <w:szCs w:val="24"/>
        </w:rPr>
      </w:pPr>
      <w:r w:rsidRPr="00CB1DAB">
        <w:rPr>
          <w:i/>
          <w:iCs/>
          <w:sz w:val="24"/>
          <w:szCs w:val="24"/>
        </w:rPr>
        <w:t>allowing registered midwives, nurse practitioners, and Aboriginal Health Workers to prescribe this medication—including pain relief where indicated; and</w:t>
      </w:r>
    </w:p>
    <w:p w14:paraId="268EFEF0" w14:textId="7DC916B6" w:rsidR="00781EBD" w:rsidRPr="00CB1DAB" w:rsidRDefault="00781EBD" w:rsidP="009C6998">
      <w:pPr>
        <w:pStyle w:val="ListParagraph"/>
        <w:numPr>
          <w:ilvl w:val="0"/>
          <w:numId w:val="1"/>
        </w:numPr>
        <w:spacing w:before="240" w:after="240"/>
        <w:contextualSpacing w:val="0"/>
        <w:rPr>
          <w:i/>
          <w:iCs/>
          <w:sz w:val="24"/>
          <w:szCs w:val="24"/>
        </w:rPr>
      </w:pPr>
      <w:r w:rsidRPr="00CB1DAB">
        <w:rPr>
          <w:i/>
          <w:iCs/>
          <w:sz w:val="24"/>
          <w:szCs w:val="24"/>
        </w:rPr>
        <w:t>reducing training requirements for prescribing practitioners and dispensing pharmacists.</w:t>
      </w:r>
    </w:p>
    <w:p w14:paraId="4EE130D4" w14:textId="707E9958" w:rsidR="00020A48" w:rsidRPr="00CB1DAB" w:rsidRDefault="00020A48"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55599E1E" w14:textId="3D5C317E" w:rsidR="00952328" w:rsidRPr="00CB1DAB" w:rsidRDefault="006B5E91" w:rsidP="00EE1D82">
      <w:pPr>
        <w:pStyle w:val="CommentText"/>
        <w:spacing w:after="120"/>
        <w:rPr>
          <w:lang w:eastAsia="en-AU"/>
        </w:rPr>
      </w:pPr>
      <w:r w:rsidRPr="00CB1DAB">
        <w:rPr>
          <w:rFonts w:cstheme="minorHAnsi"/>
          <w:sz w:val="24"/>
          <w:szCs w:val="24"/>
          <w:lang w:eastAsia="en-AU"/>
        </w:rPr>
        <w:t>The TGA has approved an application from the sponsor of MS-2 Step</w:t>
      </w:r>
      <w:r w:rsidR="00784C6C" w:rsidRPr="00CB1DAB">
        <w:rPr>
          <w:rFonts w:cstheme="minorHAnsi"/>
          <w:sz w:val="24"/>
          <w:szCs w:val="24"/>
          <w:vertAlign w:val="superscript"/>
          <w:lang w:eastAsia="en-AU"/>
        </w:rPr>
        <w:t>©</w:t>
      </w:r>
      <w:r w:rsidRPr="00CB1DAB">
        <w:rPr>
          <w:rFonts w:cstheme="minorHAnsi"/>
          <w:sz w:val="24"/>
          <w:szCs w:val="24"/>
          <w:lang w:eastAsia="en-AU"/>
        </w:rPr>
        <w:t xml:space="preserve"> amending restrictions to prescribing and dispensing MS</w:t>
      </w:r>
      <w:r w:rsidR="0080483B" w:rsidRPr="00CB1DAB">
        <w:rPr>
          <w:rFonts w:cstheme="minorHAnsi"/>
          <w:sz w:val="24"/>
          <w:szCs w:val="24"/>
          <w:lang w:eastAsia="en-AU"/>
        </w:rPr>
        <w:noBreakHyphen/>
      </w:r>
      <w:r w:rsidRPr="00CB1DAB">
        <w:rPr>
          <w:rFonts w:cstheme="minorHAnsi"/>
          <w:sz w:val="24"/>
          <w:szCs w:val="24"/>
          <w:lang w:eastAsia="en-AU"/>
        </w:rPr>
        <w:t>2 Step</w:t>
      </w:r>
      <w:r w:rsidR="00784C6C" w:rsidRPr="00CB1DAB">
        <w:rPr>
          <w:rFonts w:cstheme="minorHAnsi"/>
          <w:sz w:val="24"/>
          <w:szCs w:val="24"/>
          <w:vertAlign w:val="superscript"/>
          <w:lang w:eastAsia="en-AU"/>
        </w:rPr>
        <w:t>©</w:t>
      </w:r>
      <w:r w:rsidRPr="00CB1DAB">
        <w:rPr>
          <w:rFonts w:cstheme="minorHAnsi"/>
          <w:sz w:val="24"/>
          <w:szCs w:val="24"/>
          <w:lang w:eastAsia="en-AU"/>
        </w:rPr>
        <w:t>. From 1</w:t>
      </w:r>
      <w:r w:rsidR="006B00FF" w:rsidRPr="00CB1DAB">
        <w:rPr>
          <w:rFonts w:cstheme="minorHAnsi"/>
          <w:sz w:val="24"/>
          <w:szCs w:val="24"/>
          <w:lang w:eastAsia="en-AU"/>
        </w:rPr>
        <w:t> </w:t>
      </w:r>
      <w:r w:rsidRPr="00CB1DAB">
        <w:rPr>
          <w:rFonts w:cstheme="minorHAnsi"/>
          <w:sz w:val="24"/>
          <w:szCs w:val="24"/>
          <w:lang w:eastAsia="en-AU"/>
        </w:rPr>
        <w:t>August 2023</w:t>
      </w:r>
      <w:r w:rsidR="00811899">
        <w:rPr>
          <w:rFonts w:cstheme="minorHAnsi"/>
          <w:sz w:val="24"/>
          <w:szCs w:val="24"/>
          <w:lang w:eastAsia="en-AU"/>
        </w:rPr>
        <w:t>,</w:t>
      </w:r>
      <w:r w:rsidRPr="00CB1DAB">
        <w:rPr>
          <w:rFonts w:cstheme="minorHAnsi"/>
          <w:sz w:val="24"/>
          <w:szCs w:val="24"/>
          <w:lang w:eastAsia="en-AU"/>
        </w:rPr>
        <w:t xml:space="preserve"> healthcare practitioners with the appropriate qualifications and training</w:t>
      </w:r>
      <w:r w:rsidR="00811899">
        <w:rPr>
          <w:rFonts w:cstheme="minorHAnsi"/>
          <w:sz w:val="24"/>
          <w:szCs w:val="24"/>
          <w:lang w:eastAsia="en-AU"/>
        </w:rPr>
        <w:t>,</w:t>
      </w:r>
      <w:r w:rsidRPr="00CB1DAB">
        <w:rPr>
          <w:rFonts w:cstheme="minorHAnsi"/>
          <w:sz w:val="24"/>
          <w:szCs w:val="24"/>
          <w:lang w:eastAsia="en-AU"/>
        </w:rPr>
        <w:t xml:space="preserve"> including</w:t>
      </w:r>
      <w:r w:rsidR="00811899" w:rsidRPr="00811899">
        <w:rPr>
          <w:rFonts w:cstheme="minorHAnsi"/>
          <w:sz w:val="24"/>
          <w:szCs w:val="24"/>
          <w:lang w:eastAsia="en-AU"/>
        </w:rPr>
        <w:t xml:space="preserve"> Nurse Practitioners </w:t>
      </w:r>
      <w:r w:rsidR="00554B96" w:rsidRPr="00CB1DAB">
        <w:rPr>
          <w:rFonts w:cstheme="minorHAnsi"/>
          <w:sz w:val="24"/>
          <w:szCs w:val="24"/>
          <w:lang w:eastAsia="en-AU"/>
        </w:rPr>
        <w:t>are</w:t>
      </w:r>
      <w:r w:rsidRPr="00CB1DAB">
        <w:rPr>
          <w:rFonts w:cstheme="minorHAnsi"/>
          <w:sz w:val="24"/>
          <w:szCs w:val="24"/>
          <w:lang w:eastAsia="en-AU"/>
        </w:rPr>
        <w:t xml:space="preserve"> able to prescribe MS</w:t>
      </w:r>
      <w:r w:rsidR="005E2089" w:rsidRPr="00CB1DAB">
        <w:rPr>
          <w:rFonts w:cstheme="minorHAnsi"/>
          <w:sz w:val="24"/>
          <w:szCs w:val="24"/>
          <w:lang w:eastAsia="en-AU"/>
        </w:rPr>
        <w:noBreakHyphen/>
      </w:r>
      <w:r w:rsidRPr="00CB1DAB">
        <w:rPr>
          <w:rFonts w:cstheme="minorHAnsi"/>
          <w:sz w:val="24"/>
          <w:szCs w:val="24"/>
          <w:lang w:eastAsia="en-AU"/>
        </w:rPr>
        <w:t>2</w:t>
      </w:r>
      <w:r w:rsidR="005E2089" w:rsidRPr="00CB1DAB">
        <w:rPr>
          <w:rFonts w:cstheme="minorHAnsi"/>
          <w:sz w:val="24"/>
          <w:szCs w:val="24"/>
          <w:lang w:eastAsia="en-AU"/>
        </w:rPr>
        <w:t> </w:t>
      </w:r>
      <w:r w:rsidRPr="00CB1DAB">
        <w:rPr>
          <w:rFonts w:cstheme="minorHAnsi"/>
          <w:sz w:val="24"/>
          <w:szCs w:val="24"/>
          <w:lang w:eastAsia="en-AU"/>
        </w:rPr>
        <w:t>Step</w:t>
      </w:r>
      <w:r w:rsidR="00784C6C" w:rsidRPr="00CB1DAB">
        <w:rPr>
          <w:rFonts w:cstheme="minorHAnsi"/>
          <w:sz w:val="24"/>
          <w:szCs w:val="24"/>
          <w:vertAlign w:val="superscript"/>
          <w:lang w:eastAsia="en-AU"/>
        </w:rPr>
        <w:t>©</w:t>
      </w:r>
      <w:r w:rsidRPr="00CB1DAB">
        <w:rPr>
          <w:rFonts w:cstheme="minorHAnsi"/>
          <w:sz w:val="24"/>
          <w:szCs w:val="24"/>
          <w:lang w:eastAsia="en-AU"/>
        </w:rPr>
        <w:t xml:space="preserve"> </w:t>
      </w:r>
      <w:r w:rsidR="00727F7A" w:rsidRPr="00CB1DAB">
        <w:rPr>
          <w:rFonts w:cstheme="minorHAnsi"/>
          <w:sz w:val="24"/>
          <w:szCs w:val="24"/>
          <w:lang w:eastAsia="en-AU"/>
        </w:rPr>
        <w:t xml:space="preserve">subject to state and territory prescribing rights </w:t>
      </w:r>
      <w:r w:rsidRPr="00CB1DAB">
        <w:rPr>
          <w:rFonts w:cstheme="minorHAnsi"/>
          <w:sz w:val="24"/>
          <w:szCs w:val="24"/>
          <w:lang w:eastAsia="en-AU"/>
        </w:rPr>
        <w:t xml:space="preserve">and pharmacists no longer require certification to dispense. </w:t>
      </w:r>
      <w:r w:rsidR="00811899" w:rsidRPr="00811899">
        <w:rPr>
          <w:rFonts w:cstheme="minorHAnsi"/>
          <w:sz w:val="24"/>
          <w:szCs w:val="24"/>
          <w:lang w:eastAsia="en-AU"/>
        </w:rPr>
        <w:t>Nurse Practitioners</w:t>
      </w:r>
      <w:r w:rsidR="00D75E85" w:rsidRPr="00CB1DAB">
        <w:rPr>
          <w:rFonts w:cstheme="minorHAnsi"/>
          <w:sz w:val="24"/>
          <w:szCs w:val="24"/>
          <w:lang w:eastAsia="en-AU"/>
        </w:rPr>
        <w:t xml:space="preserve"> (as of 1 August 2023)</w:t>
      </w:r>
      <w:r w:rsidR="008E54E4" w:rsidRPr="00CB1DAB">
        <w:rPr>
          <w:rFonts w:cstheme="minorHAnsi"/>
          <w:sz w:val="24"/>
          <w:szCs w:val="24"/>
          <w:lang w:eastAsia="en-AU"/>
        </w:rPr>
        <w:t xml:space="preserve"> and </w:t>
      </w:r>
      <w:r w:rsidR="00AD2921" w:rsidRPr="00CB1DAB">
        <w:rPr>
          <w:rFonts w:cstheme="minorHAnsi"/>
          <w:sz w:val="24"/>
          <w:szCs w:val="24"/>
          <w:lang w:eastAsia="en-AU"/>
        </w:rPr>
        <w:t>E</w:t>
      </w:r>
      <w:r w:rsidR="00A1166C" w:rsidRPr="00CB1DAB">
        <w:rPr>
          <w:rFonts w:cstheme="minorHAnsi"/>
          <w:sz w:val="24"/>
          <w:szCs w:val="24"/>
          <w:lang w:eastAsia="en-AU"/>
        </w:rPr>
        <w:t>M</w:t>
      </w:r>
      <w:r w:rsidR="00AD2921" w:rsidRPr="00CB1DAB">
        <w:rPr>
          <w:rFonts w:cstheme="minorHAnsi"/>
          <w:sz w:val="24"/>
          <w:szCs w:val="24"/>
          <w:lang w:eastAsia="en-AU"/>
        </w:rPr>
        <w:t>s</w:t>
      </w:r>
      <w:r w:rsidR="008E54E4" w:rsidRPr="00CB1DAB">
        <w:rPr>
          <w:rFonts w:cstheme="minorHAnsi"/>
          <w:sz w:val="24"/>
          <w:szCs w:val="24"/>
          <w:lang w:eastAsia="en-AU"/>
        </w:rPr>
        <w:t xml:space="preserve"> </w:t>
      </w:r>
      <w:r w:rsidR="00D75E85" w:rsidRPr="00CB1DAB">
        <w:rPr>
          <w:rFonts w:cstheme="minorHAnsi"/>
          <w:sz w:val="24"/>
          <w:szCs w:val="24"/>
          <w:lang w:eastAsia="en-AU"/>
        </w:rPr>
        <w:t>(as of 1 September</w:t>
      </w:r>
      <w:r w:rsidR="006B00FF" w:rsidRPr="00CB1DAB">
        <w:rPr>
          <w:rFonts w:cstheme="minorHAnsi"/>
          <w:sz w:val="24"/>
          <w:szCs w:val="24"/>
          <w:lang w:eastAsia="en-AU"/>
        </w:rPr>
        <w:t xml:space="preserve"> 2023</w:t>
      </w:r>
      <w:r w:rsidR="00D75E85" w:rsidRPr="00CB1DAB">
        <w:rPr>
          <w:rFonts w:cstheme="minorHAnsi"/>
          <w:sz w:val="24"/>
          <w:szCs w:val="24"/>
          <w:lang w:eastAsia="en-AU"/>
        </w:rPr>
        <w:t>)</w:t>
      </w:r>
      <w:r w:rsidR="008E54E4" w:rsidRPr="00CB1DAB">
        <w:rPr>
          <w:rFonts w:cstheme="minorHAnsi"/>
          <w:sz w:val="24"/>
          <w:szCs w:val="24"/>
          <w:lang w:eastAsia="en-AU"/>
        </w:rPr>
        <w:t xml:space="preserve"> are</w:t>
      </w:r>
      <w:r w:rsidR="00D75E85" w:rsidRPr="00CB1DAB">
        <w:rPr>
          <w:rFonts w:cstheme="minorHAnsi"/>
          <w:sz w:val="24"/>
          <w:szCs w:val="24"/>
          <w:lang w:eastAsia="en-AU"/>
        </w:rPr>
        <w:t xml:space="preserve"> now</w:t>
      </w:r>
      <w:r w:rsidR="008E54E4" w:rsidRPr="00CB1DAB">
        <w:rPr>
          <w:rFonts w:cstheme="minorHAnsi"/>
          <w:sz w:val="24"/>
          <w:szCs w:val="24"/>
          <w:lang w:eastAsia="en-AU"/>
        </w:rPr>
        <w:t xml:space="preserve"> able to prescribe MS</w:t>
      </w:r>
      <w:r w:rsidR="008E54E4" w:rsidRPr="00CB1DAB">
        <w:rPr>
          <w:rFonts w:cstheme="minorHAnsi"/>
          <w:sz w:val="24"/>
          <w:szCs w:val="24"/>
          <w:lang w:eastAsia="en-AU"/>
        </w:rPr>
        <w:noBreakHyphen/>
        <w:t>2 Step</w:t>
      </w:r>
      <w:r w:rsidR="008E54E4" w:rsidRPr="00CB1DAB">
        <w:rPr>
          <w:rFonts w:cstheme="minorHAnsi"/>
          <w:sz w:val="24"/>
          <w:szCs w:val="24"/>
          <w:vertAlign w:val="superscript"/>
          <w:lang w:eastAsia="en-AU"/>
        </w:rPr>
        <w:t>©</w:t>
      </w:r>
      <w:r w:rsidR="008E54E4" w:rsidRPr="00CB1DAB">
        <w:rPr>
          <w:rFonts w:cstheme="minorHAnsi"/>
          <w:sz w:val="24"/>
          <w:szCs w:val="24"/>
          <w:lang w:eastAsia="en-AU"/>
        </w:rPr>
        <w:t xml:space="preserve"> through the PBS, subject to state and territory prescribing rights. </w:t>
      </w:r>
    </w:p>
    <w:p w14:paraId="4D1AEBFB" w14:textId="5F21B1BA" w:rsidR="00815BAA" w:rsidRPr="00CB1DAB" w:rsidRDefault="00815BAA" w:rsidP="00EE1D82">
      <w:pPr>
        <w:spacing w:after="120"/>
        <w:rPr>
          <w:rFonts w:cstheme="minorHAnsi"/>
          <w:lang w:eastAsia="en-AU"/>
        </w:rPr>
      </w:pPr>
      <w:r w:rsidRPr="00CB1DAB">
        <w:rPr>
          <w:rFonts w:cstheme="minorHAnsi"/>
          <w:lang w:eastAsia="en-AU"/>
        </w:rPr>
        <w:t xml:space="preserve">State and territory laws regulate the safe storage, prescribing, supply, and use of medicines in their jurisdiction. </w:t>
      </w:r>
      <w:r w:rsidR="00554B96" w:rsidRPr="00CB1DAB">
        <w:rPr>
          <w:rFonts w:cstheme="minorHAnsi"/>
          <w:lang w:eastAsia="en-AU"/>
        </w:rPr>
        <w:t>T</w:t>
      </w:r>
      <w:r w:rsidRPr="00CB1DAB">
        <w:rPr>
          <w:rFonts w:cstheme="minorHAnsi"/>
          <w:lang w:eastAsia="en-AU"/>
        </w:rPr>
        <w:t>hese</w:t>
      </w:r>
      <w:r w:rsidR="00E2331B" w:rsidRPr="00CB1DAB">
        <w:rPr>
          <w:rFonts w:cstheme="minorHAnsi"/>
          <w:lang w:eastAsia="en-AU"/>
        </w:rPr>
        <w:t xml:space="preserve"> jurisdictional</w:t>
      </w:r>
      <w:r w:rsidRPr="00CB1DAB">
        <w:rPr>
          <w:rFonts w:cstheme="minorHAnsi"/>
          <w:lang w:eastAsia="en-AU"/>
        </w:rPr>
        <w:t xml:space="preserve"> laws describe who can lawfully distribute, prescribe, and administer scheduled substances.</w:t>
      </w:r>
      <w:r w:rsidR="0003683C" w:rsidRPr="00CB1DAB">
        <w:rPr>
          <w:rFonts w:cstheme="minorHAnsi"/>
          <w:lang w:eastAsia="en-AU"/>
        </w:rPr>
        <w:t xml:space="preserve"> </w:t>
      </w:r>
      <w:r w:rsidR="00554B96" w:rsidRPr="00CB1DAB">
        <w:rPr>
          <w:rFonts w:cstheme="minorHAnsi"/>
          <w:lang w:eastAsia="en-AU"/>
        </w:rPr>
        <w:t xml:space="preserve">Legislative amendments to enable </w:t>
      </w:r>
      <w:r w:rsidR="00811899" w:rsidRPr="00CB1DAB">
        <w:t>N</w:t>
      </w:r>
      <w:r w:rsidR="00811899">
        <w:t xml:space="preserve">urse </w:t>
      </w:r>
      <w:r w:rsidR="00811899" w:rsidRPr="00CB1DAB">
        <w:t>P</w:t>
      </w:r>
      <w:r w:rsidR="00811899">
        <w:t>ractitioner</w:t>
      </w:r>
      <w:r w:rsidR="00811899" w:rsidRPr="00CB1DAB">
        <w:t>s</w:t>
      </w:r>
      <w:r w:rsidR="00554B96" w:rsidRPr="00CB1DAB">
        <w:rPr>
          <w:rFonts w:cstheme="minorHAnsi"/>
          <w:lang w:eastAsia="en-AU"/>
        </w:rPr>
        <w:t xml:space="preserve"> and </w:t>
      </w:r>
      <w:r w:rsidR="00811899">
        <w:rPr>
          <w:rFonts w:cstheme="minorHAnsi"/>
          <w:lang w:eastAsia="en-AU"/>
        </w:rPr>
        <w:t>EMs</w:t>
      </w:r>
      <w:r w:rsidR="00554B96" w:rsidRPr="00CB1DAB">
        <w:rPr>
          <w:rFonts w:cstheme="minorHAnsi"/>
          <w:lang w:eastAsia="en-AU"/>
        </w:rPr>
        <w:t xml:space="preserve"> to prescribe MS-2 Step</w:t>
      </w:r>
      <w:r w:rsidR="00554B96" w:rsidRPr="00CB1DAB">
        <w:rPr>
          <w:rFonts w:cstheme="minorHAnsi"/>
          <w:vertAlign w:val="superscript"/>
          <w:lang w:eastAsia="en-AU"/>
        </w:rPr>
        <w:t>©</w:t>
      </w:r>
      <w:r w:rsidR="00554B96" w:rsidRPr="00CB1DAB">
        <w:rPr>
          <w:rFonts w:cstheme="minorHAnsi"/>
          <w:lang w:eastAsia="en-AU"/>
        </w:rPr>
        <w:t xml:space="preserve"> are being considered by jurisdictions. </w:t>
      </w:r>
      <w:r w:rsidR="004401DC" w:rsidRPr="00CB1DAB">
        <w:rPr>
          <w:rFonts w:cstheme="minorHAnsi"/>
          <w:lang w:eastAsia="en-AU"/>
        </w:rPr>
        <w:t xml:space="preserve">A key action in the </w:t>
      </w:r>
      <w:r w:rsidR="009A0EDE" w:rsidRPr="00CB1DAB">
        <w:rPr>
          <w:rFonts w:cstheme="minorHAnsi"/>
          <w:shd w:val="clear" w:color="auto" w:fill="FFFFFF"/>
          <w:lang w:val="en-GB"/>
        </w:rPr>
        <w:t>Nurse Practitioner Workforce Plan</w:t>
      </w:r>
      <w:r w:rsidR="009A0EDE" w:rsidRPr="00CB1DAB">
        <w:rPr>
          <w:rFonts w:cstheme="minorHAnsi"/>
          <w:lang w:eastAsia="en-AU"/>
        </w:rPr>
        <w:t xml:space="preserve"> </w:t>
      </w:r>
      <w:r w:rsidR="009A0EDE" w:rsidRPr="00CB1DAB">
        <w:t>(th</w:t>
      </w:r>
      <w:r w:rsidR="004401DC" w:rsidRPr="00CB1DAB">
        <w:rPr>
          <w:rFonts w:cstheme="minorHAnsi"/>
          <w:lang w:eastAsia="en-AU"/>
        </w:rPr>
        <w:t xml:space="preserve">e Plan) is to review regulations that allow </w:t>
      </w:r>
      <w:r w:rsidR="00811899" w:rsidRPr="00CB1DAB">
        <w:t>N</w:t>
      </w:r>
      <w:r w:rsidR="00811899">
        <w:t xml:space="preserve">urse </w:t>
      </w:r>
      <w:r w:rsidR="00811899" w:rsidRPr="00CB1DAB">
        <w:t>P</w:t>
      </w:r>
      <w:r w:rsidR="00811899">
        <w:t xml:space="preserve">ractitioner </w:t>
      </w:r>
      <w:r w:rsidR="004401DC" w:rsidRPr="00CB1DAB">
        <w:rPr>
          <w:rFonts w:cstheme="minorHAnsi"/>
          <w:lang w:eastAsia="en-AU"/>
        </w:rPr>
        <w:t xml:space="preserve">medication prescribing, with the outcome to remove variations and limitations on </w:t>
      </w:r>
      <w:r w:rsidR="00811899" w:rsidRPr="00CB1DAB">
        <w:t>N</w:t>
      </w:r>
      <w:r w:rsidR="00811899">
        <w:t xml:space="preserve">urse </w:t>
      </w:r>
      <w:r w:rsidR="00811899" w:rsidRPr="00CB1DAB">
        <w:t>P</w:t>
      </w:r>
      <w:r w:rsidR="00811899">
        <w:t>ractitioner</w:t>
      </w:r>
      <w:r w:rsidR="00811899" w:rsidRPr="00CB1DAB">
        <w:t>s</w:t>
      </w:r>
      <w:r w:rsidR="004401DC" w:rsidRPr="00CB1DAB">
        <w:rPr>
          <w:rFonts w:cstheme="minorHAnsi"/>
          <w:lang w:eastAsia="en-AU"/>
        </w:rPr>
        <w:t>’ ability to prescribe medication. Endorsed by Government, the Plan was released in May</w:t>
      </w:r>
      <w:r w:rsidR="00DE551B" w:rsidRPr="00CB1DAB">
        <w:rPr>
          <w:rFonts w:cstheme="minorHAnsi"/>
          <w:lang w:eastAsia="en-AU"/>
        </w:rPr>
        <w:t> </w:t>
      </w:r>
      <w:r w:rsidR="004401DC" w:rsidRPr="00CB1DAB">
        <w:rPr>
          <w:rFonts w:cstheme="minorHAnsi"/>
          <w:lang w:eastAsia="en-AU"/>
        </w:rPr>
        <w:t>2023 and implementation has commenced.</w:t>
      </w:r>
    </w:p>
    <w:p w14:paraId="7064A601" w14:textId="46F70B60" w:rsidR="00781EBD" w:rsidRPr="00CB1DAB" w:rsidRDefault="00554B96" w:rsidP="00EE1D82">
      <w:pPr>
        <w:spacing w:after="120"/>
        <w:rPr>
          <w:rFonts w:cstheme="minorHAnsi"/>
          <w:strike/>
          <w:lang w:eastAsia="en-AU"/>
        </w:rPr>
      </w:pPr>
      <w:r w:rsidRPr="00CB1DAB">
        <w:t xml:space="preserve">Further </w:t>
      </w:r>
      <w:r w:rsidRPr="00CB1DAB">
        <w:rPr>
          <w:rFonts w:cstheme="minorHAnsi"/>
          <w:lang w:eastAsia="en-AU"/>
        </w:rPr>
        <w:t xml:space="preserve">consideration of expansion of the </w:t>
      </w:r>
      <w:r w:rsidR="006D19F0" w:rsidRPr="00CB1DAB">
        <w:rPr>
          <w:rFonts w:cstheme="minorHAnsi"/>
          <w:lang w:eastAsia="en-AU"/>
        </w:rPr>
        <w:t xml:space="preserve">prescribing </w:t>
      </w:r>
      <w:r w:rsidRPr="00CB1DAB">
        <w:rPr>
          <w:rFonts w:cstheme="minorHAnsi"/>
          <w:lang w:eastAsia="en-AU"/>
        </w:rPr>
        <w:t>workforce</w:t>
      </w:r>
      <w:r w:rsidR="006D19F0" w:rsidRPr="00CB1DAB">
        <w:rPr>
          <w:rFonts w:cstheme="minorHAnsi"/>
          <w:lang w:eastAsia="en-AU"/>
        </w:rPr>
        <w:t xml:space="preserve"> to include those without prescribing rights</w:t>
      </w:r>
      <w:r w:rsidRPr="00CB1DAB">
        <w:rPr>
          <w:rFonts w:cstheme="minorHAnsi"/>
          <w:lang w:eastAsia="en-AU"/>
        </w:rPr>
        <w:t>, such as</w:t>
      </w:r>
      <w:r w:rsidR="00AD2921" w:rsidRPr="00CB1DAB">
        <w:rPr>
          <w:rFonts w:cstheme="minorHAnsi"/>
          <w:lang w:eastAsia="en-AU"/>
        </w:rPr>
        <w:t xml:space="preserve"> </w:t>
      </w:r>
      <w:r w:rsidR="00811899">
        <w:rPr>
          <w:rFonts w:cstheme="minorHAnsi"/>
          <w:lang w:eastAsia="en-AU"/>
        </w:rPr>
        <w:t>R</w:t>
      </w:r>
      <w:r w:rsidR="00AD2921" w:rsidRPr="00CB1DAB">
        <w:rPr>
          <w:rFonts w:cstheme="minorHAnsi"/>
          <w:lang w:eastAsia="en-AU"/>
        </w:rPr>
        <w:t xml:space="preserve">egistered </w:t>
      </w:r>
      <w:r w:rsidR="00811899">
        <w:rPr>
          <w:rFonts w:cstheme="minorHAnsi"/>
          <w:lang w:eastAsia="en-AU"/>
        </w:rPr>
        <w:t>N</w:t>
      </w:r>
      <w:r w:rsidR="00AD2921" w:rsidRPr="00CB1DAB">
        <w:rPr>
          <w:rFonts w:cstheme="minorHAnsi"/>
          <w:lang w:eastAsia="en-AU"/>
        </w:rPr>
        <w:t>urses,</w:t>
      </w:r>
      <w:r w:rsidRPr="00CB1DAB">
        <w:rPr>
          <w:rFonts w:cstheme="minorHAnsi"/>
          <w:lang w:eastAsia="en-AU"/>
        </w:rPr>
        <w:t xml:space="preserve"> Aboriginal </w:t>
      </w:r>
      <w:r w:rsidR="006D19F0" w:rsidRPr="00CB1DAB">
        <w:rPr>
          <w:rFonts w:cstheme="minorHAnsi"/>
          <w:lang w:eastAsia="en-AU"/>
        </w:rPr>
        <w:t xml:space="preserve">and Torres Strait Islander </w:t>
      </w:r>
      <w:r w:rsidRPr="00CB1DAB">
        <w:rPr>
          <w:rFonts w:cstheme="minorHAnsi"/>
          <w:lang w:eastAsia="en-AU"/>
        </w:rPr>
        <w:t>Health</w:t>
      </w:r>
      <w:r w:rsidR="006D19F0" w:rsidRPr="00CB1DAB">
        <w:rPr>
          <w:rFonts w:cstheme="minorHAnsi"/>
          <w:lang w:eastAsia="en-AU"/>
        </w:rPr>
        <w:t xml:space="preserve"> Practitioners and</w:t>
      </w:r>
      <w:r w:rsidRPr="00CB1DAB">
        <w:rPr>
          <w:rFonts w:cstheme="minorHAnsi"/>
          <w:lang w:eastAsia="en-AU"/>
        </w:rPr>
        <w:t xml:space="preserve"> Workers,</w:t>
      </w:r>
      <w:r w:rsidR="006D19F0" w:rsidRPr="00CB1DAB">
        <w:rPr>
          <w:rFonts w:cstheme="minorHAnsi"/>
          <w:lang w:eastAsia="en-AU"/>
        </w:rPr>
        <w:t xml:space="preserve"> should be discussed with the relevant authorities</w:t>
      </w:r>
      <w:r w:rsidR="009F7F72" w:rsidRPr="00CB1DAB">
        <w:rPr>
          <w:rFonts w:cstheme="minorHAnsi"/>
          <w:lang w:eastAsia="en-AU"/>
        </w:rPr>
        <w:t>.</w:t>
      </w:r>
      <w:r w:rsidR="008E54E4" w:rsidRPr="00CB1DAB">
        <w:rPr>
          <w:rFonts w:cstheme="minorHAnsi"/>
          <w:strike/>
          <w:lang w:eastAsia="en-AU"/>
        </w:rPr>
        <w:t xml:space="preserve"> </w:t>
      </w:r>
    </w:p>
    <w:p w14:paraId="18796B83" w14:textId="77777777" w:rsidR="003622CB" w:rsidRPr="00CB1DAB" w:rsidRDefault="003622CB" w:rsidP="003622CB">
      <w:pPr>
        <w:spacing w:after="120"/>
      </w:pPr>
      <w:r w:rsidRPr="00CB1DAB">
        <w:t>The Nursing and Midwifery Board of Australia (NMBA) has responsibility for developing standards, codes and guidelines which together establish the requirements for professional and safe practice by nurses and midwives in Australia. The Australian Nursing and Midwifery Accreditation Council establishes education standards for nursing and midwifery education on behalf of the NMBA.</w:t>
      </w:r>
    </w:p>
    <w:p w14:paraId="78735133" w14:textId="77777777" w:rsidR="003622CB" w:rsidRPr="00CB1DAB" w:rsidRDefault="003622CB" w:rsidP="00EE1D82">
      <w:pPr>
        <w:spacing w:after="120"/>
      </w:pPr>
    </w:p>
    <w:p w14:paraId="1E963EB3" w14:textId="77777777" w:rsidR="009F7F72" w:rsidRPr="00CB1DAB" w:rsidRDefault="009F7F72" w:rsidP="00A27907">
      <w:pPr>
        <w:spacing w:after="120"/>
        <w:rPr>
          <w:b/>
          <w:bCs/>
        </w:rPr>
      </w:pPr>
      <w:r w:rsidRPr="00CB1DAB">
        <w:rPr>
          <w:b/>
          <w:bCs/>
        </w:rPr>
        <w:br w:type="page"/>
      </w:r>
    </w:p>
    <w:p w14:paraId="6041576B" w14:textId="7AD027DD" w:rsidR="00781EBD" w:rsidRPr="00CB1DAB" w:rsidRDefault="00781EBD" w:rsidP="00EE1D82">
      <w:pPr>
        <w:pBdr>
          <w:bottom w:val="single" w:sz="6" w:space="1" w:color="auto"/>
        </w:pBdr>
        <w:spacing w:after="120"/>
        <w:rPr>
          <w:b/>
          <w:bCs/>
        </w:rPr>
      </w:pPr>
      <w:r w:rsidRPr="00CB1DAB">
        <w:rPr>
          <w:b/>
          <w:bCs/>
        </w:rPr>
        <w:lastRenderedPageBreak/>
        <w:t>Recommendation 21</w:t>
      </w:r>
    </w:p>
    <w:p w14:paraId="23BC4E5B" w14:textId="7D059CD9" w:rsidR="00781EBD" w:rsidRPr="00CB1DAB" w:rsidRDefault="00781EBD" w:rsidP="009C6998">
      <w:pPr>
        <w:spacing w:before="240" w:after="240"/>
        <w:rPr>
          <w:i/>
          <w:iCs/>
        </w:rPr>
      </w:pPr>
      <w:r w:rsidRPr="00CB1DAB">
        <w:rPr>
          <w:i/>
          <w:iCs/>
        </w:rPr>
        <w:t>21: The Committee recommends that the Australian Government, in consultation with relevant training providers, reviews the availability, timing, and quality of sexual and reproductive healthcare training in undergraduate and postgraduate tertiary health professional courses, including vasectomy procedures, terminations and insertion of long</w:t>
      </w:r>
      <w:r w:rsidR="00A671CD" w:rsidRPr="00CB1DAB">
        <w:rPr>
          <w:i/>
          <w:iCs/>
        </w:rPr>
        <w:noBreakHyphen/>
      </w:r>
      <w:r w:rsidRPr="00CB1DAB">
        <w:rPr>
          <w:i/>
          <w:iCs/>
        </w:rPr>
        <w:t xml:space="preserve">acting reversible contraception. </w:t>
      </w:r>
    </w:p>
    <w:p w14:paraId="678F960D" w14:textId="77777777" w:rsidR="005E2089" w:rsidRPr="00CB1DAB" w:rsidRDefault="005E2089"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4BFD934B" w14:textId="6EBEF735" w:rsidR="00F212F7" w:rsidRPr="00CB1DAB" w:rsidRDefault="00771CC2" w:rsidP="00EE1D82">
      <w:pPr>
        <w:spacing w:after="120"/>
      </w:pPr>
      <w:r w:rsidRPr="00CB1DAB">
        <w:t>The Australian Health Practitioners Regulation Agency</w:t>
      </w:r>
      <w:r w:rsidR="00600E4F" w:rsidRPr="00CB1DAB">
        <w:t xml:space="preserve"> </w:t>
      </w:r>
      <w:r w:rsidR="00F212F7" w:rsidRPr="00CB1DAB">
        <w:rPr>
          <w:color w:val="000000" w:themeColor="text1"/>
        </w:rPr>
        <w:t>regulates Australia’s registered health practitioners in partnership with 15 National Boards, to ensure the community has access to a safe health workforce across all professions registered under the National Registration and Accreditation Scheme.</w:t>
      </w:r>
    </w:p>
    <w:p w14:paraId="4B2F9A50" w14:textId="77777777" w:rsidR="00AD2921" w:rsidRPr="00CB1DAB" w:rsidRDefault="001C30CF" w:rsidP="00EE1D82">
      <w:pPr>
        <w:spacing w:after="120"/>
      </w:pPr>
      <w:r w:rsidRPr="00CB1DAB">
        <w:t xml:space="preserve">These matters will be referred to the </w:t>
      </w:r>
      <w:r w:rsidR="00352F30" w:rsidRPr="00CB1DAB">
        <w:t>National Boards</w:t>
      </w:r>
      <w:r w:rsidRPr="00CB1DAB">
        <w:t xml:space="preserve"> who are responsible for setting the standards required for educational programs for health practitioners.</w:t>
      </w:r>
      <w:r w:rsidR="00FA3164" w:rsidRPr="00CB1DAB">
        <w:t xml:space="preserve"> Accreditation standards for undergraduate and postgraduate training programs are regularly reviewed</w:t>
      </w:r>
      <w:r w:rsidR="009235C7" w:rsidRPr="00CB1DAB">
        <w:t xml:space="preserve">, best practice is a </w:t>
      </w:r>
      <w:r w:rsidR="001D44CE" w:rsidRPr="00CB1DAB">
        <w:t xml:space="preserve">5 </w:t>
      </w:r>
      <w:r w:rsidR="009235C7" w:rsidRPr="00CB1DAB">
        <w:t>yearly review,</w:t>
      </w:r>
      <w:r w:rsidR="00FA3164" w:rsidRPr="00CB1DAB">
        <w:t xml:space="preserve"> for content and relevant updates can be included in this process.</w:t>
      </w:r>
    </w:p>
    <w:p w14:paraId="256DF1BD" w14:textId="77777777" w:rsidR="00AD2921" w:rsidRPr="00CB1DAB" w:rsidRDefault="00AD2921" w:rsidP="00EE1D82">
      <w:pPr>
        <w:spacing w:after="120"/>
      </w:pPr>
      <w:r w:rsidRPr="00CB1DAB">
        <w:t xml:space="preserve">As outlined in recommendation 8, medical colleges are responsible for relevant medical training, and are </w:t>
      </w:r>
      <w:r w:rsidRPr="00CB1DAB">
        <w:rPr>
          <w:color w:val="000000" w:themeColor="text1"/>
        </w:rPr>
        <w:t>also responsible for maintaining the standards for quality clinical practice, education and training in Australia</w:t>
      </w:r>
      <w:r w:rsidRPr="00CB1DAB">
        <w:t>.</w:t>
      </w:r>
    </w:p>
    <w:p w14:paraId="05DFB6F5" w14:textId="77777777" w:rsidR="00AD2921" w:rsidRPr="00CB1DAB" w:rsidRDefault="00AD2921" w:rsidP="00EE1D82">
      <w:pPr>
        <w:spacing w:after="120"/>
      </w:pPr>
      <w:r w:rsidRPr="00CB1DAB">
        <w:t>The Medical Board of Australia sets codes and guidelines to guide medical practitioners as to what is appropriate professional conduct. In addition to this, some states and territories have specific guidelines which may inform clinical judgements.</w:t>
      </w:r>
    </w:p>
    <w:p w14:paraId="12DEBFF4" w14:textId="0E7C3799" w:rsidR="0083240D" w:rsidRPr="00CB1DAB" w:rsidRDefault="0083240D" w:rsidP="002C59AD">
      <w:pPr>
        <w:spacing w:after="120"/>
      </w:pPr>
      <w:r w:rsidRPr="00CB1DAB">
        <w:rPr>
          <w:rFonts w:cstheme="minorHAnsi"/>
        </w:rPr>
        <w:t xml:space="preserve">Governments do not have the levers to direct accreditation authorities. The Independent review of complexity in the National Registration and Accreditation Scheme is currently underway. Its Terms of Reference include whether additional levers should be available to governments to direct accreditation authorities. The final report is expected in April 2025. </w:t>
      </w:r>
    </w:p>
    <w:p w14:paraId="1043C397" w14:textId="77777777" w:rsidR="0083240D" w:rsidRPr="00CB1DAB" w:rsidRDefault="0083240D" w:rsidP="0083240D">
      <w:pPr>
        <w:spacing w:after="120"/>
      </w:pPr>
      <w:r w:rsidRPr="00CB1DAB">
        <w:t>It is acknowledged that there are a range of topics that health students could learn to better align</w:t>
      </w:r>
      <w:r w:rsidRPr="00CB1DAB">
        <w:rPr>
          <w:rFonts w:cstheme="minorHAnsi"/>
        </w:rPr>
        <w:t xml:space="preserve"> with community expectations. </w:t>
      </w:r>
      <w:r w:rsidRPr="00CB1DAB">
        <w:t>It is important that accreditation standards keep step with advances in health care and community expectation of care and conduct by health practitioners.</w:t>
      </w:r>
    </w:p>
    <w:p w14:paraId="2EBCE879" w14:textId="39A3CA36" w:rsidR="00DE551B" w:rsidRPr="00CB1DAB" w:rsidRDefault="00DE551B">
      <w:pPr>
        <w:spacing w:after="200" w:line="276" w:lineRule="auto"/>
      </w:pPr>
      <w:r w:rsidRPr="00CB1DAB">
        <w:br w:type="page"/>
      </w:r>
    </w:p>
    <w:p w14:paraId="202F3988" w14:textId="00D5BAB0" w:rsidR="00400FFF" w:rsidRPr="00CB1DAB" w:rsidRDefault="00400FFF" w:rsidP="00EE1D82">
      <w:pPr>
        <w:pBdr>
          <w:bottom w:val="single" w:sz="6" w:space="1" w:color="auto"/>
        </w:pBdr>
        <w:spacing w:after="120"/>
        <w:rPr>
          <w:b/>
          <w:bCs/>
        </w:rPr>
      </w:pPr>
      <w:r w:rsidRPr="00CB1DAB">
        <w:rPr>
          <w:b/>
          <w:bCs/>
        </w:rPr>
        <w:lastRenderedPageBreak/>
        <w:t>Recommendation 22</w:t>
      </w:r>
    </w:p>
    <w:p w14:paraId="4EBEEC80" w14:textId="53420BD7" w:rsidR="00400FFF" w:rsidRPr="00CB1DAB" w:rsidRDefault="00400FFF" w:rsidP="009C6998">
      <w:pPr>
        <w:spacing w:before="240" w:after="240"/>
        <w:rPr>
          <w:i/>
          <w:iCs/>
        </w:rPr>
      </w:pPr>
      <w:r w:rsidRPr="00CB1DAB">
        <w:rPr>
          <w:i/>
          <w:iCs/>
        </w:rPr>
        <w:t>22: The Committee recommends that the Australian Government commissions work to improve its collection, breadth, and publication of statistical data and information regarding sexual and reproductive healthcare, particularly in relation to pregnancy terminations, both medical and surgical, and contraceptive use across Australia.</w:t>
      </w:r>
    </w:p>
    <w:p w14:paraId="7824BB9D" w14:textId="5025CB20" w:rsidR="005E2089" w:rsidRPr="00CB1DAB" w:rsidRDefault="005E2089"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093979C2" w14:textId="3EAF7D9D" w:rsidR="00D25912" w:rsidRPr="00CB1DAB" w:rsidRDefault="00D25912" w:rsidP="00EE1D82">
      <w:pPr>
        <w:spacing w:after="120"/>
      </w:pPr>
      <w:r w:rsidRPr="00CB1DAB">
        <w:t>The</w:t>
      </w:r>
      <w:r w:rsidR="00206C8D" w:rsidRPr="00CB1DAB">
        <w:t xml:space="preserve"> </w:t>
      </w:r>
      <w:r w:rsidRPr="00CB1DAB">
        <w:t>A</w:t>
      </w:r>
      <w:r w:rsidR="000B60C0" w:rsidRPr="00CB1DAB">
        <w:t xml:space="preserve">ustralian </w:t>
      </w:r>
      <w:r w:rsidRPr="00CB1DAB">
        <w:t>I</w:t>
      </w:r>
      <w:r w:rsidR="000B60C0" w:rsidRPr="00CB1DAB">
        <w:t xml:space="preserve">nstitute of </w:t>
      </w:r>
      <w:r w:rsidRPr="00CB1DAB">
        <w:t>H</w:t>
      </w:r>
      <w:r w:rsidR="000B60C0" w:rsidRPr="00CB1DAB">
        <w:t xml:space="preserve">ealth and </w:t>
      </w:r>
      <w:r w:rsidRPr="00CB1DAB">
        <w:t>W</w:t>
      </w:r>
      <w:r w:rsidR="000B60C0" w:rsidRPr="00CB1DAB">
        <w:t>elfare</w:t>
      </w:r>
      <w:r w:rsidRPr="00CB1DAB">
        <w:t xml:space="preserve"> </w:t>
      </w:r>
      <w:r w:rsidR="00877669" w:rsidRPr="00CB1DAB">
        <w:t xml:space="preserve">(AIHW) </w:t>
      </w:r>
      <w:r w:rsidR="00226FCD" w:rsidRPr="00CB1DAB">
        <w:t xml:space="preserve">receives funding </w:t>
      </w:r>
      <w:r w:rsidR="009C1BDD" w:rsidRPr="00CB1DAB">
        <w:t>for</w:t>
      </w:r>
      <w:r w:rsidRPr="00CB1DAB">
        <w:t xml:space="preserve"> the National Maternity Data Development Project 2023-26 to </w:t>
      </w:r>
      <w:r w:rsidR="00877669" w:rsidRPr="00CB1DAB">
        <w:t>provide nationally consistent maternal and perinatal data.</w:t>
      </w:r>
    </w:p>
    <w:p w14:paraId="207A1CD8" w14:textId="37AB96A7" w:rsidR="003630F2" w:rsidRPr="00CB1DAB" w:rsidRDefault="00B54945" w:rsidP="00EE1D82">
      <w:pPr>
        <w:spacing w:after="120"/>
      </w:pPr>
      <w:r w:rsidRPr="00CB1DAB">
        <w:t xml:space="preserve">In the recent 2024-25 Budget, the </w:t>
      </w:r>
      <w:r w:rsidR="003630F2" w:rsidRPr="00CB1DAB">
        <w:t xml:space="preserve">Australian Government </w:t>
      </w:r>
      <w:r w:rsidRPr="00CB1DAB">
        <w:t>invested</w:t>
      </w:r>
      <w:r w:rsidR="003630F2" w:rsidRPr="00CB1DAB">
        <w:t xml:space="preserve"> $8 million </w:t>
      </w:r>
      <w:r w:rsidR="00877669" w:rsidRPr="00CB1DAB">
        <w:t>for data and evaluation activities on miscarriage, early pregnancy loss, and sexual and reproductive health. Th</w:t>
      </w:r>
      <w:r w:rsidR="003630F2" w:rsidRPr="00CB1DAB">
        <w:t>is includes:</w:t>
      </w:r>
    </w:p>
    <w:p w14:paraId="3A130347" w14:textId="24F50731" w:rsidR="00FA60DF" w:rsidRPr="00CB1DAB" w:rsidRDefault="003630F2" w:rsidP="00326B55">
      <w:pPr>
        <w:pStyle w:val="ListParagraph"/>
        <w:numPr>
          <w:ilvl w:val="0"/>
          <w:numId w:val="50"/>
        </w:numPr>
        <w:spacing w:after="120"/>
        <w:ind w:left="714" w:hanging="357"/>
        <w:contextualSpacing w:val="0"/>
        <w:rPr>
          <w:sz w:val="24"/>
          <w:szCs w:val="24"/>
        </w:rPr>
      </w:pPr>
      <w:r w:rsidRPr="00CB1DAB">
        <w:rPr>
          <w:sz w:val="24"/>
          <w:szCs w:val="24"/>
        </w:rPr>
        <w:t>$5.</w:t>
      </w:r>
      <w:r w:rsidR="00551DDE" w:rsidRPr="00CB1DAB">
        <w:rPr>
          <w:sz w:val="24"/>
          <w:szCs w:val="24"/>
        </w:rPr>
        <w:t>5</w:t>
      </w:r>
      <w:r w:rsidRPr="00CB1DAB">
        <w:rPr>
          <w:sz w:val="24"/>
          <w:szCs w:val="24"/>
        </w:rPr>
        <w:t xml:space="preserve"> million over </w:t>
      </w:r>
      <w:r w:rsidR="00006B95">
        <w:rPr>
          <w:sz w:val="24"/>
          <w:szCs w:val="24"/>
        </w:rPr>
        <w:t>three</w:t>
      </w:r>
      <w:r w:rsidRPr="00CB1DAB">
        <w:rPr>
          <w:sz w:val="24"/>
          <w:szCs w:val="24"/>
        </w:rPr>
        <w:t xml:space="preserve"> years for t</w:t>
      </w:r>
      <w:r w:rsidR="00877669" w:rsidRPr="00CB1DAB">
        <w:rPr>
          <w:sz w:val="24"/>
          <w:szCs w:val="24"/>
        </w:rPr>
        <w:t xml:space="preserve">he AIHW </w:t>
      </w:r>
      <w:r w:rsidRPr="00CB1DAB">
        <w:rPr>
          <w:sz w:val="24"/>
          <w:szCs w:val="24"/>
        </w:rPr>
        <w:t>to</w:t>
      </w:r>
      <w:r w:rsidR="00877669" w:rsidRPr="00CB1DAB">
        <w:rPr>
          <w:sz w:val="24"/>
          <w:szCs w:val="24"/>
        </w:rPr>
        <w:t xml:space="preserve"> develop a </w:t>
      </w:r>
      <w:r w:rsidR="00B960E3" w:rsidRPr="00CB1DAB">
        <w:rPr>
          <w:sz w:val="24"/>
          <w:szCs w:val="24"/>
        </w:rPr>
        <w:t>sexual and reproductive health data set. This will support an understanding of service access deserts, regional needs, contraception uptake and preferences, and pregnancy outcomes. The AIHW has access to a range of data sources, analytical expertise and validated methodologies to develop such a dataset. The development of this data set will help inform sexual and reproductive health policy and ensure improved access to sexual and reproductive healthcare services for all Australians</w:t>
      </w:r>
      <w:r w:rsidR="00C757F8" w:rsidRPr="00CB1DAB">
        <w:rPr>
          <w:sz w:val="24"/>
          <w:szCs w:val="24"/>
        </w:rPr>
        <w:t>.</w:t>
      </w:r>
    </w:p>
    <w:p w14:paraId="6C763C21" w14:textId="5633539D" w:rsidR="00877669" w:rsidRPr="00CB1DAB" w:rsidRDefault="003630F2" w:rsidP="00326B55">
      <w:pPr>
        <w:pStyle w:val="ListParagraph"/>
        <w:numPr>
          <w:ilvl w:val="0"/>
          <w:numId w:val="50"/>
        </w:numPr>
        <w:spacing w:after="120"/>
        <w:ind w:left="714" w:hanging="357"/>
        <w:contextualSpacing w:val="0"/>
        <w:rPr>
          <w:sz w:val="24"/>
          <w:szCs w:val="24"/>
        </w:rPr>
      </w:pPr>
      <w:r w:rsidRPr="00CB1DAB">
        <w:rPr>
          <w:sz w:val="24"/>
          <w:szCs w:val="24"/>
        </w:rPr>
        <w:t xml:space="preserve">$1.5 million over </w:t>
      </w:r>
      <w:r w:rsidR="00006B95">
        <w:rPr>
          <w:sz w:val="24"/>
          <w:szCs w:val="24"/>
        </w:rPr>
        <w:t>two</w:t>
      </w:r>
      <w:r w:rsidR="00346EE3" w:rsidRPr="00CB1DAB">
        <w:rPr>
          <w:sz w:val="24"/>
          <w:szCs w:val="24"/>
        </w:rPr>
        <w:t xml:space="preserve"> </w:t>
      </w:r>
      <w:r w:rsidRPr="00CB1DAB">
        <w:rPr>
          <w:sz w:val="24"/>
          <w:szCs w:val="24"/>
        </w:rPr>
        <w:t>years for a</w:t>
      </w:r>
      <w:r w:rsidR="00877669" w:rsidRPr="00CB1DAB">
        <w:rPr>
          <w:sz w:val="24"/>
          <w:szCs w:val="24"/>
        </w:rPr>
        <w:t xml:space="preserve"> national audit of Early Pregnancy Assessment Service (EPAS) clinics</w:t>
      </w:r>
      <w:r w:rsidRPr="00CB1DAB">
        <w:rPr>
          <w:sz w:val="24"/>
          <w:szCs w:val="24"/>
        </w:rPr>
        <w:t>. This</w:t>
      </w:r>
      <w:r w:rsidR="00877669" w:rsidRPr="00CB1DAB">
        <w:rPr>
          <w:sz w:val="24"/>
          <w:szCs w:val="24"/>
        </w:rPr>
        <w:t xml:space="preserve"> will provide baseline data to measure EPAS clinics’ service provision, staffing levels, patient numbers, satisfaction levels, and accessibility over time, including areas of shortfall where targeted interventions are required. A</w:t>
      </w:r>
      <w:r w:rsidR="00DE551B" w:rsidRPr="00CB1DAB">
        <w:rPr>
          <w:sz w:val="24"/>
          <w:szCs w:val="24"/>
        </w:rPr>
        <w:t> </w:t>
      </w:r>
      <w:r w:rsidR="00877669" w:rsidRPr="00CB1DAB">
        <w:rPr>
          <w:sz w:val="24"/>
          <w:szCs w:val="24"/>
        </w:rPr>
        <w:t xml:space="preserve">service listing will be developed that can be used by </w:t>
      </w:r>
      <w:r w:rsidRPr="00CB1DAB">
        <w:rPr>
          <w:sz w:val="24"/>
          <w:szCs w:val="24"/>
        </w:rPr>
        <w:t>healthcare providers</w:t>
      </w:r>
      <w:r w:rsidR="00877669" w:rsidRPr="00CB1DAB">
        <w:rPr>
          <w:sz w:val="24"/>
          <w:szCs w:val="24"/>
        </w:rPr>
        <w:t xml:space="preserve"> to refer women experiencing miscarriage to an appropriate service in their local area for treatment and follow-up care</w:t>
      </w:r>
      <w:r w:rsidR="00C757F8" w:rsidRPr="00CB1DAB">
        <w:rPr>
          <w:sz w:val="24"/>
          <w:szCs w:val="24"/>
        </w:rPr>
        <w:t>.</w:t>
      </w:r>
    </w:p>
    <w:p w14:paraId="4A2EB120" w14:textId="412F6E55" w:rsidR="00D70906" w:rsidRPr="00CB1DAB" w:rsidRDefault="00D70906" w:rsidP="00326B55">
      <w:pPr>
        <w:pStyle w:val="ListParagraph"/>
        <w:numPr>
          <w:ilvl w:val="0"/>
          <w:numId w:val="50"/>
        </w:numPr>
        <w:spacing w:after="120"/>
        <w:ind w:left="714" w:hanging="357"/>
        <w:contextualSpacing w:val="0"/>
        <w:rPr>
          <w:sz w:val="24"/>
          <w:szCs w:val="24"/>
        </w:rPr>
      </w:pPr>
      <w:r w:rsidRPr="00CB1DAB">
        <w:rPr>
          <w:sz w:val="24"/>
          <w:szCs w:val="24"/>
        </w:rPr>
        <w:t xml:space="preserve">$1 million over </w:t>
      </w:r>
      <w:r w:rsidR="00006B95">
        <w:rPr>
          <w:sz w:val="24"/>
          <w:szCs w:val="24"/>
        </w:rPr>
        <w:t>two</w:t>
      </w:r>
      <w:r w:rsidRPr="00CB1DAB">
        <w:rPr>
          <w:sz w:val="24"/>
          <w:szCs w:val="24"/>
        </w:rPr>
        <w:t xml:space="preserve"> years for the AIHW to undertake a miscarriage data scoping study. This will provide clarity around definitions of miscarriage for data collection purposes, establish existing and potential data sources, and report on options for national collection of miscarriage data.</w:t>
      </w:r>
    </w:p>
    <w:p w14:paraId="0827929B" w14:textId="77777777" w:rsidR="002E1D36" w:rsidRPr="00CB1DAB" w:rsidRDefault="002E1D36" w:rsidP="00A27907">
      <w:pPr>
        <w:spacing w:after="120"/>
        <w:rPr>
          <w:b/>
          <w:bCs/>
        </w:rPr>
      </w:pPr>
      <w:r w:rsidRPr="00CB1DAB">
        <w:rPr>
          <w:b/>
          <w:bCs/>
        </w:rPr>
        <w:br w:type="page"/>
      </w:r>
    </w:p>
    <w:p w14:paraId="2DF48BBD" w14:textId="20DE386E" w:rsidR="00400FFF" w:rsidRPr="00CB1DAB" w:rsidRDefault="00400FFF" w:rsidP="00EE1D82">
      <w:pPr>
        <w:pBdr>
          <w:bottom w:val="single" w:sz="6" w:space="1" w:color="auto"/>
        </w:pBdr>
        <w:spacing w:after="120"/>
        <w:rPr>
          <w:b/>
          <w:bCs/>
        </w:rPr>
      </w:pPr>
      <w:r w:rsidRPr="00CB1DAB">
        <w:rPr>
          <w:b/>
          <w:bCs/>
        </w:rPr>
        <w:lastRenderedPageBreak/>
        <w:t>Recommendation 23</w:t>
      </w:r>
    </w:p>
    <w:p w14:paraId="19A1A6C8" w14:textId="7D5459DC" w:rsidR="00400FFF" w:rsidRPr="00CB1DAB" w:rsidRDefault="00400FFF" w:rsidP="009C6998">
      <w:pPr>
        <w:spacing w:before="240" w:after="240"/>
        <w:rPr>
          <w:i/>
          <w:iCs/>
        </w:rPr>
      </w:pPr>
      <w:r w:rsidRPr="00CB1DAB">
        <w:rPr>
          <w:i/>
          <w:iCs/>
        </w:rPr>
        <w:t>23: The Committee recommends that the Department of Health and Aged Care works closely with its state and territory counterparts to consider the effectiveness of local programs providing free menstrual hygiene products.</w:t>
      </w:r>
    </w:p>
    <w:p w14:paraId="5E7BF0A6" w14:textId="77777777" w:rsidR="00C23D38" w:rsidRPr="00CB1DAB" w:rsidRDefault="00C23D38" w:rsidP="009C699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060FFBA8" w14:textId="52347CB1" w:rsidR="005752C0" w:rsidRPr="00CB1DAB" w:rsidRDefault="005752C0" w:rsidP="00EE1D82">
      <w:pPr>
        <w:spacing w:after="120"/>
        <w:rPr>
          <w:sz w:val="28"/>
          <w:szCs w:val="28"/>
        </w:rPr>
      </w:pPr>
      <w:r w:rsidRPr="00CB1DAB">
        <w:rPr>
          <w:rFonts w:ascii="Calibri" w:hAnsi="Calibri" w:cs="Calibri"/>
          <w:lang w:val="en-US"/>
        </w:rPr>
        <w:t>The Government acknowledges that</w:t>
      </w:r>
      <w:r w:rsidR="00672DA2" w:rsidRPr="00CB1DAB">
        <w:rPr>
          <w:rFonts w:ascii="Calibri" w:hAnsi="Calibri" w:cs="Calibri"/>
          <w:lang w:val="en-US"/>
        </w:rPr>
        <w:t xml:space="preserve"> a</w:t>
      </w:r>
      <w:r w:rsidRPr="00CB1DAB">
        <w:rPr>
          <w:rFonts w:ascii="Calibri" w:hAnsi="Calibri" w:cs="Calibri"/>
          <w:lang w:val="en-US"/>
        </w:rPr>
        <w:t xml:space="preserve">ccess to </w:t>
      </w:r>
      <w:r w:rsidR="00FA1713" w:rsidRPr="00CB1DAB">
        <w:rPr>
          <w:rFonts w:ascii="Calibri" w:hAnsi="Calibri" w:cs="Calibri"/>
          <w:lang w:val="en-US"/>
        </w:rPr>
        <w:t xml:space="preserve">menstrual hygiene </w:t>
      </w:r>
      <w:r w:rsidRPr="00CB1DAB">
        <w:rPr>
          <w:rFonts w:ascii="Calibri" w:hAnsi="Calibri" w:cs="Calibri"/>
          <w:lang w:val="en-US"/>
        </w:rPr>
        <w:t xml:space="preserve">products is essential to support full participation for women, </w:t>
      </w:r>
      <w:r w:rsidR="009C6998" w:rsidRPr="00CB1DAB">
        <w:rPr>
          <w:rFonts w:ascii="Calibri" w:hAnsi="Calibri" w:cs="Calibri"/>
          <w:lang w:val="en-US"/>
        </w:rPr>
        <w:t>girls,</w:t>
      </w:r>
      <w:r w:rsidRPr="00CB1DAB">
        <w:rPr>
          <w:rFonts w:ascii="Calibri" w:hAnsi="Calibri" w:cs="Calibri"/>
          <w:lang w:val="en-US"/>
        </w:rPr>
        <w:t xml:space="preserve"> and gender-diverse people in education, employment and social activities</w:t>
      </w:r>
      <w:r w:rsidR="00AF60E3" w:rsidRPr="00CB1DAB">
        <w:rPr>
          <w:rFonts w:ascii="Calibri" w:hAnsi="Calibri" w:cs="Calibri"/>
          <w:lang w:val="en-US"/>
        </w:rPr>
        <w:t>.</w:t>
      </w:r>
    </w:p>
    <w:p w14:paraId="240DA24A" w14:textId="5AD76E15" w:rsidR="00F5430A" w:rsidRPr="00CB1DAB" w:rsidRDefault="002D360E" w:rsidP="00EE1D82">
      <w:pPr>
        <w:spacing w:after="120"/>
      </w:pPr>
      <w:r w:rsidRPr="00CB1DAB">
        <w:t xml:space="preserve">Several states and territories are providing or trialling access to free sanitary products, mainly through schools. </w:t>
      </w:r>
      <w:r w:rsidR="00672DA2" w:rsidRPr="00CB1DAB">
        <w:t>S</w:t>
      </w:r>
      <w:r w:rsidRPr="00CB1DAB">
        <w:t>tate and territory education authorities are responsible for managing schools</w:t>
      </w:r>
      <w:r w:rsidR="0096082C" w:rsidRPr="00CB1DAB">
        <w:t xml:space="preserve"> and ensuring appropriate measures</w:t>
      </w:r>
      <w:r w:rsidR="00FB1602" w:rsidRPr="00CB1DAB">
        <w:t xml:space="preserve"> are in place so students can learn in safe, </w:t>
      </w:r>
      <w:r w:rsidR="00F401BD" w:rsidRPr="00CB1DAB">
        <w:t>healthy,</w:t>
      </w:r>
      <w:r w:rsidR="00FB1602" w:rsidRPr="00CB1DAB">
        <w:t xml:space="preserve"> and supportive environments</w:t>
      </w:r>
      <w:r w:rsidRPr="00CB1DAB">
        <w:t xml:space="preserve">. </w:t>
      </w:r>
      <w:r w:rsidR="00E6529C" w:rsidRPr="00CB1DAB">
        <w:t>Some jurisdictions</w:t>
      </w:r>
      <w:r w:rsidR="001C7E6B" w:rsidRPr="00CB1DAB">
        <w:t xml:space="preserve">, for example, NSW, </w:t>
      </w:r>
      <w:r w:rsidR="00F401BD" w:rsidRPr="00CB1DAB">
        <w:t>Tasmania,</w:t>
      </w:r>
      <w:r w:rsidR="001C7E6B" w:rsidRPr="00CB1DAB">
        <w:t xml:space="preserve"> and Victoria, are</w:t>
      </w:r>
      <w:r w:rsidR="00377CDC" w:rsidRPr="00CB1DAB">
        <w:t xml:space="preserve"> also providing</w:t>
      </w:r>
      <w:r w:rsidR="00E6529C" w:rsidRPr="00CB1DAB">
        <w:t xml:space="preserve"> </w:t>
      </w:r>
      <w:r w:rsidR="00301364" w:rsidRPr="00CB1DAB">
        <w:t xml:space="preserve">free </w:t>
      </w:r>
      <w:r w:rsidR="00377CDC" w:rsidRPr="00CB1DAB">
        <w:t xml:space="preserve">menstrual hygiene </w:t>
      </w:r>
      <w:r w:rsidR="00301364" w:rsidRPr="00CB1DAB">
        <w:t>products in public spaces</w:t>
      </w:r>
      <w:r w:rsidR="001C7E6B" w:rsidRPr="00CB1DAB">
        <w:t xml:space="preserve"> and/or healthcare settings</w:t>
      </w:r>
      <w:r w:rsidR="00826F6C" w:rsidRPr="00CB1DAB">
        <w:t xml:space="preserve">. </w:t>
      </w:r>
      <w:r w:rsidR="00D62998" w:rsidRPr="00CB1DAB">
        <w:t xml:space="preserve">It should be noted that any evaluation of the jurisdiction programs </w:t>
      </w:r>
      <w:r w:rsidR="00267E9D" w:rsidRPr="00CB1DAB">
        <w:t>to determine</w:t>
      </w:r>
      <w:r w:rsidR="00D62998" w:rsidRPr="00CB1DAB">
        <w:t xml:space="preserve"> effectiveness nationally would require consultation with jurisdictions.</w:t>
      </w:r>
      <w:r w:rsidR="00CF16A3" w:rsidRPr="00CB1DAB">
        <w:t xml:space="preserve"> </w:t>
      </w:r>
    </w:p>
    <w:p w14:paraId="2E7E4606" w14:textId="58B415C2" w:rsidR="00400FFF" w:rsidRPr="00CB1DAB" w:rsidRDefault="00741F74" w:rsidP="00EE1D82">
      <w:pPr>
        <w:spacing w:after="120"/>
      </w:pPr>
      <w:r w:rsidRPr="00CB1DAB">
        <w:t>Through the 2024-25 Budget, $12.</w:t>
      </w:r>
      <w:r w:rsidR="009D54A6" w:rsidRPr="00CB1DAB">
        <w:t>5</w:t>
      </w:r>
      <w:r w:rsidRPr="00CB1DAB">
        <w:t xml:space="preserve"> million </w:t>
      </w:r>
      <w:r w:rsidR="00E0041E" w:rsidRPr="00CB1DAB">
        <w:t xml:space="preserve">over </w:t>
      </w:r>
      <w:r w:rsidR="00DE551B" w:rsidRPr="00CB1DAB">
        <w:t>four</w:t>
      </w:r>
      <w:r w:rsidR="00E0041E" w:rsidRPr="00CB1DAB">
        <w:t xml:space="preserve"> years </w:t>
      </w:r>
      <w:r w:rsidRPr="00CB1DAB">
        <w:t>will</w:t>
      </w:r>
      <w:r w:rsidR="00510368" w:rsidRPr="00CB1DAB">
        <w:t xml:space="preserve"> be</w:t>
      </w:r>
      <w:r w:rsidRPr="00CB1DAB">
        <w:t xml:space="preserve"> provided to the NACCH</w:t>
      </w:r>
      <w:r w:rsidR="00006B95">
        <w:t>O</w:t>
      </w:r>
      <w:r w:rsidR="00510368" w:rsidRPr="00CB1DAB">
        <w:t xml:space="preserve"> to provide free menstrual hygiene products</w:t>
      </w:r>
      <w:r w:rsidR="00F5430A" w:rsidRPr="00CB1DAB">
        <w:t xml:space="preserve"> to rural and remote First Nations women and girls</w:t>
      </w:r>
      <w:r w:rsidR="00510368" w:rsidRPr="00CB1DAB">
        <w:t xml:space="preserve">. </w:t>
      </w:r>
      <w:r w:rsidR="008D0040" w:rsidRPr="00CB1DAB">
        <w:t xml:space="preserve">This will enable </w:t>
      </w:r>
      <w:r w:rsidR="00510368" w:rsidRPr="00CB1DAB">
        <w:t xml:space="preserve">NACCHO </w:t>
      </w:r>
      <w:r w:rsidR="008D0040" w:rsidRPr="00CB1DAB">
        <w:t xml:space="preserve">to </w:t>
      </w:r>
      <w:r w:rsidR="00510368" w:rsidRPr="00CB1DAB">
        <w:t xml:space="preserve">facilitate community-led, fit for purpose distribution of </w:t>
      </w:r>
      <w:r w:rsidR="008D0040" w:rsidRPr="00CB1DAB">
        <w:t xml:space="preserve">free </w:t>
      </w:r>
      <w:r w:rsidR="00510368" w:rsidRPr="00CB1DAB">
        <w:t xml:space="preserve">menstrual </w:t>
      </w:r>
      <w:r w:rsidR="00E0041E" w:rsidRPr="00CB1DAB">
        <w:t xml:space="preserve">hygiene </w:t>
      </w:r>
      <w:r w:rsidR="00510368" w:rsidRPr="00CB1DAB">
        <w:t>products that best meets the needs of rural and remote First Nations communities</w:t>
      </w:r>
      <w:r w:rsidR="008D0040" w:rsidRPr="00CB1DAB">
        <w:t xml:space="preserve">. In many rural and remote </w:t>
      </w:r>
      <w:r w:rsidR="00006B95" w:rsidRPr="00CB1DAB">
        <w:t>communities’</w:t>
      </w:r>
      <w:r w:rsidR="00510368" w:rsidRPr="00CB1DAB">
        <w:t xml:space="preserve"> menstrual </w:t>
      </w:r>
      <w:r w:rsidR="008D0040" w:rsidRPr="00CB1DAB">
        <w:t xml:space="preserve">hygiene </w:t>
      </w:r>
      <w:r w:rsidR="00510368" w:rsidRPr="00CB1DAB">
        <w:t>products are expensive</w:t>
      </w:r>
      <w:r w:rsidR="008D0040" w:rsidRPr="00CB1DAB">
        <w:t xml:space="preserve">, </w:t>
      </w:r>
      <w:r w:rsidR="008D0040" w:rsidRPr="00CB1DAB">
        <w:rPr>
          <w:rFonts w:cs="Arial"/>
        </w:rPr>
        <w:t xml:space="preserve">the cost </w:t>
      </w:r>
      <w:r w:rsidR="00FF3EA7" w:rsidRPr="00CB1DAB">
        <w:rPr>
          <w:rFonts w:cs="Arial"/>
        </w:rPr>
        <w:t>is often double that of metropolitan items</w:t>
      </w:r>
      <w:r w:rsidR="008D0040" w:rsidRPr="00CB1DAB">
        <w:rPr>
          <w:rStyle w:val="FootnoteReference"/>
          <w:rFonts w:cs="Arial"/>
          <w:szCs w:val="19"/>
        </w:rPr>
        <w:footnoteReference w:id="6"/>
      </w:r>
      <w:r w:rsidR="008D0040" w:rsidRPr="00CB1DAB">
        <w:rPr>
          <w:rFonts w:cs="Arial"/>
          <w:vertAlign w:val="superscript"/>
        </w:rPr>
        <w:t>,</w:t>
      </w:r>
      <w:r w:rsidR="008D0040" w:rsidRPr="00CB1DAB">
        <w:rPr>
          <w:rStyle w:val="FootnoteReference"/>
          <w:rFonts w:cs="Arial"/>
          <w:szCs w:val="19"/>
        </w:rPr>
        <w:footnoteReference w:id="7"/>
      </w:r>
      <w:r w:rsidR="008D0040" w:rsidRPr="00CB1DAB">
        <w:rPr>
          <w:rFonts w:cs="Arial"/>
        </w:rPr>
        <w:t xml:space="preserve"> </w:t>
      </w:r>
      <w:r w:rsidR="00510368" w:rsidRPr="00CB1DAB">
        <w:t>and</w:t>
      </w:r>
      <w:r w:rsidR="008D0040" w:rsidRPr="00CB1DAB">
        <w:t xml:space="preserve"> can be</w:t>
      </w:r>
      <w:r w:rsidR="00510368" w:rsidRPr="00CB1DAB">
        <w:t xml:space="preserve"> hard to access.</w:t>
      </w:r>
      <w:r w:rsidR="00400FFF" w:rsidRPr="00CB1DAB">
        <w:br w:type="page"/>
      </w:r>
    </w:p>
    <w:p w14:paraId="3D511F2F" w14:textId="2F6CAF58" w:rsidR="00400FFF" w:rsidRPr="00CB1DAB" w:rsidRDefault="00400FFF" w:rsidP="00EE1D82">
      <w:pPr>
        <w:pBdr>
          <w:bottom w:val="single" w:sz="6" w:space="1" w:color="auto"/>
        </w:pBdr>
        <w:spacing w:after="120"/>
        <w:rPr>
          <w:b/>
          <w:bCs/>
        </w:rPr>
      </w:pPr>
      <w:r w:rsidRPr="00CB1DAB">
        <w:rPr>
          <w:b/>
          <w:bCs/>
        </w:rPr>
        <w:lastRenderedPageBreak/>
        <w:t>Recommendation 24</w:t>
      </w:r>
    </w:p>
    <w:p w14:paraId="50C11B0B" w14:textId="77777777" w:rsidR="00400FFF" w:rsidRPr="00CB1DAB" w:rsidRDefault="00400FFF" w:rsidP="009C6998">
      <w:pPr>
        <w:spacing w:before="240" w:after="240"/>
        <w:rPr>
          <w:i/>
          <w:iCs/>
        </w:rPr>
      </w:pPr>
      <w:r w:rsidRPr="00CB1DAB">
        <w:rPr>
          <w:i/>
          <w:iCs/>
        </w:rPr>
        <w:t>24: The committee recommends that the Australian Government work with the relevant medical and professional colleges to support the development and delivery of training to health practitioners providing sexual, reproductive and maternal healthcare on:</w:t>
      </w:r>
    </w:p>
    <w:p w14:paraId="77CB673F" w14:textId="77777777" w:rsidR="00400FFF" w:rsidRPr="00CB1DAB" w:rsidRDefault="00400FFF" w:rsidP="009C6998">
      <w:pPr>
        <w:pStyle w:val="ListParagraph"/>
        <w:numPr>
          <w:ilvl w:val="0"/>
          <w:numId w:val="2"/>
        </w:numPr>
        <w:spacing w:before="240" w:after="240"/>
        <w:contextualSpacing w:val="0"/>
        <w:rPr>
          <w:i/>
          <w:iCs/>
          <w:sz w:val="24"/>
          <w:szCs w:val="24"/>
        </w:rPr>
      </w:pPr>
      <w:r w:rsidRPr="00CB1DAB">
        <w:rPr>
          <w:i/>
          <w:iCs/>
          <w:sz w:val="24"/>
          <w:szCs w:val="24"/>
        </w:rPr>
        <w:t>engaging and communicating with people with disability;</w:t>
      </w:r>
    </w:p>
    <w:p w14:paraId="40AD695E" w14:textId="77777777" w:rsidR="00400FFF" w:rsidRPr="00CB1DAB" w:rsidRDefault="00400FFF" w:rsidP="009C6998">
      <w:pPr>
        <w:pStyle w:val="ListParagraph"/>
        <w:numPr>
          <w:ilvl w:val="0"/>
          <w:numId w:val="2"/>
        </w:numPr>
        <w:spacing w:before="240" w:after="240"/>
        <w:contextualSpacing w:val="0"/>
        <w:rPr>
          <w:i/>
          <w:iCs/>
          <w:sz w:val="24"/>
          <w:szCs w:val="24"/>
        </w:rPr>
      </w:pPr>
      <w:r w:rsidRPr="00CB1DAB">
        <w:rPr>
          <w:i/>
          <w:iCs/>
          <w:sz w:val="24"/>
          <w:szCs w:val="24"/>
        </w:rPr>
        <w:t>providing culturally aware and trauma-informed services to culturally and linguistically diverse migrants and refugees; and</w:t>
      </w:r>
    </w:p>
    <w:p w14:paraId="6C262118" w14:textId="575F4593" w:rsidR="00400FFF" w:rsidRPr="00CB1DAB" w:rsidRDefault="00400FFF" w:rsidP="009C6998">
      <w:pPr>
        <w:pStyle w:val="ListParagraph"/>
        <w:numPr>
          <w:ilvl w:val="0"/>
          <w:numId w:val="2"/>
        </w:numPr>
        <w:spacing w:before="240" w:after="240"/>
        <w:contextualSpacing w:val="0"/>
        <w:rPr>
          <w:i/>
          <w:iCs/>
          <w:sz w:val="24"/>
          <w:szCs w:val="24"/>
        </w:rPr>
      </w:pPr>
      <w:r w:rsidRPr="00CB1DAB">
        <w:rPr>
          <w:i/>
          <w:iCs/>
          <w:sz w:val="24"/>
          <w:szCs w:val="24"/>
        </w:rPr>
        <w:t>ensuring culturally safe healthcare for First Nations people in mainstream non</w:t>
      </w:r>
      <w:r w:rsidR="0031268F" w:rsidRPr="00CB1DAB">
        <w:rPr>
          <w:i/>
          <w:iCs/>
          <w:sz w:val="24"/>
          <w:szCs w:val="24"/>
        </w:rPr>
        <w:noBreakHyphen/>
      </w:r>
      <w:r w:rsidRPr="00CB1DAB">
        <w:rPr>
          <w:i/>
          <w:iCs/>
          <w:sz w:val="24"/>
          <w:szCs w:val="24"/>
        </w:rPr>
        <w:t>community-controlled organisations, by ensuring practitioners are aware of intergenerational trauma, cultural norms and taboos.</w:t>
      </w:r>
    </w:p>
    <w:p w14:paraId="7DEB5A43" w14:textId="37E8F644" w:rsidR="00AF60E3" w:rsidRPr="00CB1DAB" w:rsidRDefault="00AF60E3"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578FBB26" w14:textId="1FC0D0E5" w:rsidR="000E36E6" w:rsidRPr="00CB1DAB" w:rsidRDefault="005A253D" w:rsidP="00EE1D82">
      <w:pPr>
        <w:spacing w:after="120"/>
      </w:pPr>
      <w:r w:rsidRPr="00CB1DAB">
        <w:t>Addressing inequities in healthcare</w:t>
      </w:r>
      <w:r w:rsidR="00F94173" w:rsidRPr="00CB1DAB">
        <w:t>, between and within</w:t>
      </w:r>
      <w:r w:rsidRPr="00CB1DAB">
        <w:t xml:space="preserve"> </w:t>
      </w:r>
      <w:r w:rsidR="00FD676E" w:rsidRPr="00CB1DAB">
        <w:t xml:space="preserve">different </w:t>
      </w:r>
      <w:r w:rsidR="00613ABD" w:rsidRPr="00CB1DAB">
        <w:t>priority</w:t>
      </w:r>
      <w:r w:rsidR="00FD676E" w:rsidRPr="00CB1DAB">
        <w:t xml:space="preserve"> population groups, is a key focus of the Women’s Health Strategy</w:t>
      </w:r>
      <w:r w:rsidR="006D4D6C" w:rsidRPr="00CB1DAB">
        <w:t xml:space="preserve"> and Nation</w:t>
      </w:r>
      <w:r w:rsidR="00E5415A" w:rsidRPr="00CB1DAB">
        <w:t>al Men’s Health Strategy 2020-2030</w:t>
      </w:r>
      <w:r w:rsidR="00604B2B" w:rsidRPr="00CB1DAB">
        <w:t xml:space="preserve">. </w:t>
      </w:r>
      <w:r w:rsidR="00522C76" w:rsidRPr="00CB1DAB">
        <w:t>To support this the Government has:</w:t>
      </w:r>
    </w:p>
    <w:p w14:paraId="13E6C3A3" w14:textId="01B85F9F" w:rsidR="008A44E1"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I</w:t>
      </w:r>
      <w:r w:rsidR="00F51802" w:rsidRPr="00CB1DAB">
        <w:rPr>
          <w:sz w:val="24"/>
          <w:szCs w:val="24"/>
        </w:rPr>
        <w:t>nvested $5.6 million in the 2024-25 Budget to continue delivery of Health in My Language (HIML)</w:t>
      </w:r>
      <w:r w:rsidR="002F3F49" w:rsidRPr="00CB1DAB">
        <w:rPr>
          <w:sz w:val="24"/>
          <w:szCs w:val="24"/>
        </w:rPr>
        <w:t>,</w:t>
      </w:r>
      <w:r w:rsidR="00F51802" w:rsidRPr="00CB1DAB">
        <w:rPr>
          <w:sz w:val="24"/>
          <w:szCs w:val="24"/>
        </w:rPr>
        <w:t xml:space="preserve"> </w:t>
      </w:r>
      <w:r w:rsidR="00D324A2" w:rsidRPr="00CB1DAB">
        <w:rPr>
          <w:sz w:val="24"/>
          <w:szCs w:val="24"/>
        </w:rPr>
        <w:t>which will pivot its program to specifically target CALD women on sexual and reproductive health issues. The program will run across all jurisdictions</w:t>
      </w:r>
      <w:r w:rsidR="00C757F8" w:rsidRPr="00CB1DAB">
        <w:rPr>
          <w:sz w:val="24"/>
          <w:szCs w:val="24"/>
        </w:rPr>
        <w:t>.</w:t>
      </w:r>
    </w:p>
    <w:p w14:paraId="1DE98DD1" w14:textId="122638E6" w:rsidR="00522C76"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A</w:t>
      </w:r>
      <w:r w:rsidR="00522C76" w:rsidRPr="00CB1DAB">
        <w:rPr>
          <w:sz w:val="24"/>
          <w:szCs w:val="24"/>
        </w:rPr>
        <w:t xml:space="preserve">warded a contract of $5.9 million from 2022-23 to 2023-24 to update the </w:t>
      </w:r>
      <w:r w:rsidR="00506AAF" w:rsidRPr="00CB1DAB">
        <w:rPr>
          <w:sz w:val="24"/>
          <w:szCs w:val="24"/>
        </w:rPr>
        <w:t xml:space="preserve">Clinical Practice Guidelines: </w:t>
      </w:r>
      <w:hyperlink r:id="rId12" w:history="1">
        <w:r w:rsidR="00522C76" w:rsidRPr="00CB1DAB">
          <w:rPr>
            <w:sz w:val="24"/>
            <w:szCs w:val="24"/>
          </w:rPr>
          <w:t>Pregnancy Care</w:t>
        </w:r>
      </w:hyperlink>
      <w:r w:rsidR="00522C76" w:rsidRPr="00CB1DAB">
        <w:rPr>
          <w:sz w:val="24"/>
          <w:szCs w:val="24"/>
        </w:rPr>
        <w:t xml:space="preserve"> and develop new Postnatal Care Guidelines. The project include</w:t>
      </w:r>
      <w:r w:rsidR="001D44CE" w:rsidRPr="00CB1DAB">
        <w:rPr>
          <w:sz w:val="24"/>
          <w:szCs w:val="24"/>
        </w:rPr>
        <w:t>s</w:t>
      </w:r>
      <w:r w:rsidR="00522C76" w:rsidRPr="00CB1DAB">
        <w:rPr>
          <w:sz w:val="24"/>
          <w:szCs w:val="24"/>
        </w:rPr>
        <w:t xml:space="preserve"> targeted consultation and guidance for priority populations including </w:t>
      </w:r>
      <w:r w:rsidR="004A148D" w:rsidRPr="00CB1DAB">
        <w:rPr>
          <w:sz w:val="24"/>
          <w:szCs w:val="24"/>
        </w:rPr>
        <w:t>CALD</w:t>
      </w:r>
      <w:r w:rsidR="00522C76" w:rsidRPr="00CB1DAB">
        <w:rPr>
          <w:sz w:val="24"/>
          <w:szCs w:val="24"/>
        </w:rPr>
        <w:t xml:space="preserve"> and First Nations people. Practice support tools will also be developed to assist health professionals to translate both sets of guidelines into practice</w:t>
      </w:r>
      <w:r w:rsidR="00C757F8" w:rsidRPr="00CB1DAB">
        <w:rPr>
          <w:sz w:val="24"/>
          <w:szCs w:val="24"/>
        </w:rPr>
        <w:t>.</w:t>
      </w:r>
    </w:p>
    <w:p w14:paraId="2E0F4C94" w14:textId="6B0279EB" w:rsidR="004F530D" w:rsidRPr="00CB1DAB" w:rsidRDefault="00141A8D" w:rsidP="00326B55">
      <w:pPr>
        <w:pStyle w:val="ListParagraph"/>
        <w:numPr>
          <w:ilvl w:val="0"/>
          <w:numId w:val="50"/>
        </w:numPr>
        <w:spacing w:after="120"/>
        <w:ind w:left="714" w:hanging="357"/>
        <w:contextualSpacing w:val="0"/>
        <w:rPr>
          <w:sz w:val="24"/>
          <w:szCs w:val="24"/>
        </w:rPr>
      </w:pPr>
      <w:bookmarkStart w:id="9" w:name="_Hlk153734423"/>
      <w:r w:rsidRPr="00CB1DAB">
        <w:rPr>
          <w:sz w:val="24"/>
          <w:szCs w:val="24"/>
        </w:rPr>
        <w:t>F</w:t>
      </w:r>
      <w:r w:rsidR="004F530D" w:rsidRPr="00CB1DAB">
        <w:rPr>
          <w:sz w:val="24"/>
          <w:szCs w:val="24"/>
        </w:rPr>
        <w:t>unded education and awareness of stillbirth, and bereavement support in relation to stillbirth and miscarriage including tailored approaches for First Nations and CALD women. This includes cultural adaptation and translation of resources</w:t>
      </w:r>
      <w:r w:rsidR="00C757F8" w:rsidRPr="00CB1DAB">
        <w:rPr>
          <w:sz w:val="24"/>
          <w:szCs w:val="24"/>
        </w:rPr>
        <w:t>.</w:t>
      </w:r>
    </w:p>
    <w:p w14:paraId="13DF4045" w14:textId="7E597535" w:rsidR="0022084C"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F</w:t>
      </w:r>
      <w:r w:rsidR="0022084C" w:rsidRPr="00CB1DAB">
        <w:rPr>
          <w:sz w:val="24"/>
          <w:szCs w:val="24"/>
        </w:rPr>
        <w:t>unded the Migration Council of Australia (now the Social Policy Group) in 2019 to develop and launch:</w:t>
      </w:r>
    </w:p>
    <w:p w14:paraId="6B81FB37" w14:textId="192A494E" w:rsidR="0022084C" w:rsidRPr="00CB1DAB" w:rsidRDefault="0022084C" w:rsidP="00326B55">
      <w:pPr>
        <w:pStyle w:val="ListParagraph"/>
        <w:numPr>
          <w:ilvl w:val="1"/>
          <w:numId w:val="5"/>
        </w:numPr>
        <w:spacing w:after="120"/>
        <w:contextualSpacing w:val="0"/>
        <w:rPr>
          <w:sz w:val="24"/>
          <w:szCs w:val="24"/>
        </w:rPr>
      </w:pPr>
      <w:r w:rsidRPr="00CB1DAB">
        <w:rPr>
          <w:sz w:val="24"/>
          <w:szCs w:val="24"/>
        </w:rPr>
        <w:t>Competency Standards Framework which provides cultural responsiveness competency standards for working with people from migrant and refugee backgrounds. This framework has been widely endorsed by peak professional bodies for clinicians</w:t>
      </w:r>
      <w:r w:rsidR="00C757F8" w:rsidRPr="00CB1DAB">
        <w:rPr>
          <w:sz w:val="24"/>
          <w:szCs w:val="24"/>
        </w:rPr>
        <w:t>.</w:t>
      </w:r>
    </w:p>
    <w:p w14:paraId="5FC24953" w14:textId="17ECE687" w:rsidR="0022084C" w:rsidRPr="00CB1DAB" w:rsidRDefault="00141A8D" w:rsidP="00326B55">
      <w:pPr>
        <w:pStyle w:val="ListParagraph"/>
        <w:numPr>
          <w:ilvl w:val="1"/>
          <w:numId w:val="5"/>
        </w:numPr>
        <w:spacing w:after="120"/>
        <w:contextualSpacing w:val="0"/>
        <w:rPr>
          <w:sz w:val="24"/>
          <w:szCs w:val="24"/>
        </w:rPr>
      </w:pPr>
      <w:r w:rsidRPr="00CB1DAB">
        <w:rPr>
          <w:sz w:val="24"/>
          <w:szCs w:val="24"/>
        </w:rPr>
        <w:t>A g</w:t>
      </w:r>
      <w:r w:rsidR="0022084C" w:rsidRPr="00CB1DAB">
        <w:rPr>
          <w:sz w:val="24"/>
          <w:szCs w:val="24"/>
        </w:rPr>
        <w:t xml:space="preserve">uide for clinicians working with interpreters in healthcare settings which provides evidence-based recommendations for effective communication in the event of doctor-patient language discordance, specifically with regard to engaging and working with interpreters. This guide is officially recognised as an accepted clinical resource by the </w:t>
      </w:r>
      <w:r w:rsidR="001D44CE" w:rsidRPr="00CB1DAB">
        <w:rPr>
          <w:sz w:val="24"/>
          <w:szCs w:val="24"/>
        </w:rPr>
        <w:t>RACGP</w:t>
      </w:r>
      <w:r w:rsidR="0022084C" w:rsidRPr="00CB1DAB">
        <w:rPr>
          <w:sz w:val="24"/>
          <w:szCs w:val="24"/>
        </w:rPr>
        <w:t xml:space="preserve">. </w:t>
      </w:r>
    </w:p>
    <w:bookmarkEnd w:id="9"/>
    <w:p w14:paraId="17809917" w14:textId="77777777" w:rsidR="00FF1FEB" w:rsidRPr="00CB1DAB" w:rsidRDefault="00FF1FEB" w:rsidP="00326B55">
      <w:pPr>
        <w:pStyle w:val="ListParagraph"/>
        <w:numPr>
          <w:ilvl w:val="0"/>
          <w:numId w:val="50"/>
        </w:numPr>
        <w:spacing w:after="120"/>
        <w:ind w:left="714" w:hanging="357"/>
        <w:contextualSpacing w:val="0"/>
        <w:rPr>
          <w:sz w:val="24"/>
          <w:szCs w:val="24"/>
        </w:rPr>
      </w:pPr>
      <w:r w:rsidRPr="00CB1DAB">
        <w:rPr>
          <w:sz w:val="24"/>
          <w:szCs w:val="24"/>
        </w:rPr>
        <w:t>Provided more than $16 million from 2022-23 to 2025-26 to the GP Colleges to form the Joint Colleges Training Services Pty Ltd (JCTS). The objective of this funding is to:</w:t>
      </w:r>
    </w:p>
    <w:p w14:paraId="3B7DB955" w14:textId="2BAFC627" w:rsidR="00FF1FEB" w:rsidRPr="00CB1DAB" w:rsidRDefault="007773A4" w:rsidP="00326B55">
      <w:pPr>
        <w:pStyle w:val="ListParagraph"/>
        <w:numPr>
          <w:ilvl w:val="1"/>
          <w:numId w:val="5"/>
        </w:numPr>
        <w:spacing w:after="120"/>
        <w:contextualSpacing w:val="0"/>
        <w:rPr>
          <w:sz w:val="24"/>
          <w:szCs w:val="24"/>
        </w:rPr>
      </w:pPr>
      <w:r w:rsidRPr="00CB1DAB">
        <w:rPr>
          <w:sz w:val="24"/>
          <w:szCs w:val="24"/>
        </w:rPr>
        <w:lastRenderedPageBreak/>
        <w:t>S</w:t>
      </w:r>
      <w:r w:rsidR="00FF1FEB" w:rsidRPr="00CB1DAB">
        <w:rPr>
          <w:sz w:val="24"/>
          <w:szCs w:val="24"/>
        </w:rPr>
        <w:t>upport the delivery of GP training in First Nations health settings</w:t>
      </w:r>
      <w:r w:rsidRPr="00CB1DAB">
        <w:rPr>
          <w:sz w:val="24"/>
          <w:szCs w:val="24"/>
        </w:rPr>
        <w:t>.</w:t>
      </w:r>
    </w:p>
    <w:p w14:paraId="613BD1A3" w14:textId="02F0045A" w:rsidR="00FF1FEB" w:rsidRPr="00CB1DAB" w:rsidRDefault="007773A4" w:rsidP="00326B55">
      <w:pPr>
        <w:pStyle w:val="ListParagraph"/>
        <w:numPr>
          <w:ilvl w:val="1"/>
          <w:numId w:val="5"/>
        </w:numPr>
        <w:spacing w:after="120"/>
        <w:contextualSpacing w:val="0"/>
        <w:rPr>
          <w:sz w:val="24"/>
          <w:szCs w:val="24"/>
        </w:rPr>
      </w:pPr>
      <w:r w:rsidRPr="00CB1DAB">
        <w:rPr>
          <w:sz w:val="24"/>
          <w:szCs w:val="24"/>
        </w:rPr>
        <w:t>E</w:t>
      </w:r>
      <w:r w:rsidR="00FF1FEB" w:rsidRPr="00CB1DAB">
        <w:rPr>
          <w:sz w:val="24"/>
          <w:szCs w:val="24"/>
        </w:rPr>
        <w:t>nsure that the training program is culturally safe for all participants (through cultural education and mentoring)</w:t>
      </w:r>
      <w:r w:rsidRPr="00CB1DAB">
        <w:rPr>
          <w:sz w:val="24"/>
          <w:szCs w:val="24"/>
        </w:rPr>
        <w:t>.</w:t>
      </w:r>
    </w:p>
    <w:p w14:paraId="4EE6394C" w14:textId="4CE3A179" w:rsidR="00FF1FEB" w:rsidRPr="00CB1DAB" w:rsidRDefault="007773A4" w:rsidP="00326B55">
      <w:pPr>
        <w:pStyle w:val="ListParagraph"/>
        <w:numPr>
          <w:ilvl w:val="1"/>
          <w:numId w:val="5"/>
        </w:numPr>
        <w:spacing w:after="120"/>
        <w:contextualSpacing w:val="0"/>
        <w:rPr>
          <w:sz w:val="24"/>
          <w:szCs w:val="24"/>
        </w:rPr>
      </w:pPr>
      <w:r w:rsidRPr="00CB1DAB">
        <w:rPr>
          <w:sz w:val="24"/>
          <w:szCs w:val="24"/>
        </w:rPr>
        <w:t>S</w:t>
      </w:r>
      <w:r w:rsidR="00FF1FEB" w:rsidRPr="00CB1DAB">
        <w:rPr>
          <w:sz w:val="24"/>
          <w:szCs w:val="24"/>
        </w:rPr>
        <w:t>upport First Nations registrars to achieve GP Fellowship.</w:t>
      </w:r>
    </w:p>
    <w:p w14:paraId="713105B4" w14:textId="2B204552" w:rsidR="00FF1FEB" w:rsidRPr="00CB1DAB" w:rsidRDefault="00FF1FEB" w:rsidP="00326B55">
      <w:pPr>
        <w:pStyle w:val="ListParagraph"/>
        <w:numPr>
          <w:ilvl w:val="0"/>
          <w:numId w:val="50"/>
        </w:numPr>
        <w:spacing w:after="120"/>
        <w:ind w:left="714" w:hanging="357"/>
        <w:contextualSpacing w:val="0"/>
        <w:rPr>
          <w:sz w:val="24"/>
          <w:szCs w:val="24"/>
        </w:rPr>
      </w:pPr>
      <w:r w:rsidRPr="00CB1DAB">
        <w:rPr>
          <w:sz w:val="24"/>
          <w:szCs w:val="24"/>
        </w:rPr>
        <w:t>Provide</w:t>
      </w:r>
      <w:r w:rsidR="00006B95">
        <w:rPr>
          <w:sz w:val="24"/>
          <w:szCs w:val="24"/>
        </w:rPr>
        <w:t>d funding of</w:t>
      </w:r>
      <w:r w:rsidRPr="00CB1DAB">
        <w:rPr>
          <w:sz w:val="24"/>
          <w:szCs w:val="24"/>
        </w:rPr>
        <w:t xml:space="preserve"> $0.89 million from 2024 to 2025 to the Indigenous General Practice Trainee Network (IGPTN) to provide independent, culturally appropriate support to Aboriginal and Torres Strait Islander GP registrars. This includes the design, development, coordination and management of professional development activities and education resources; provision of independent advice and mentoring; and representation of First Nation registrars’ interests in vocational GP training.</w:t>
      </w:r>
    </w:p>
    <w:p w14:paraId="00B4B637" w14:textId="172550C4" w:rsidR="00FF1FEB" w:rsidRPr="00CB1DAB" w:rsidRDefault="00FF1FEB" w:rsidP="00326B55">
      <w:pPr>
        <w:pStyle w:val="ListParagraph"/>
        <w:numPr>
          <w:ilvl w:val="0"/>
          <w:numId w:val="50"/>
        </w:numPr>
        <w:spacing w:after="120"/>
        <w:ind w:left="714" w:hanging="357"/>
        <w:contextualSpacing w:val="0"/>
        <w:rPr>
          <w:sz w:val="24"/>
          <w:szCs w:val="24"/>
        </w:rPr>
      </w:pPr>
      <w:r w:rsidRPr="00CB1DAB">
        <w:rPr>
          <w:sz w:val="24"/>
          <w:szCs w:val="24"/>
        </w:rPr>
        <w:t>Provide</w:t>
      </w:r>
      <w:r w:rsidR="00006B95">
        <w:rPr>
          <w:sz w:val="24"/>
          <w:szCs w:val="24"/>
        </w:rPr>
        <w:t>d funding of</w:t>
      </w:r>
      <w:r w:rsidRPr="00CB1DAB">
        <w:rPr>
          <w:sz w:val="24"/>
          <w:szCs w:val="24"/>
        </w:rPr>
        <w:t xml:space="preserve"> $0.54 million from 2022-23 to 2025-26 to the Cultural Educators and Cultural Mentors Network to provide capacity building and professional development activities; independent representation, coordination and support mechanism for all cultural educators and cultural mentors to deliver culturally appropriate in GP training.</w:t>
      </w:r>
    </w:p>
    <w:p w14:paraId="32320831" w14:textId="07335DFF" w:rsidR="00FA5A3D"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P</w:t>
      </w:r>
      <w:r w:rsidR="007E15F4" w:rsidRPr="00CB1DAB">
        <w:rPr>
          <w:sz w:val="24"/>
          <w:szCs w:val="24"/>
        </w:rPr>
        <w:t>rovided</w:t>
      </w:r>
      <w:r w:rsidR="00006B95">
        <w:rPr>
          <w:sz w:val="24"/>
          <w:szCs w:val="24"/>
        </w:rPr>
        <w:t xml:space="preserve"> funding of</w:t>
      </w:r>
      <w:r w:rsidR="007E15F4" w:rsidRPr="00CB1DAB">
        <w:rPr>
          <w:sz w:val="24"/>
          <w:szCs w:val="24"/>
        </w:rPr>
        <w:t xml:space="preserve"> $</w:t>
      </w:r>
      <w:r w:rsidR="00D0676E" w:rsidRPr="00CB1DAB">
        <w:rPr>
          <w:sz w:val="24"/>
          <w:szCs w:val="24"/>
        </w:rPr>
        <w:t>29.5 million</w:t>
      </w:r>
      <w:r w:rsidR="007E15F4" w:rsidRPr="00CB1DAB">
        <w:rPr>
          <w:sz w:val="24"/>
          <w:szCs w:val="24"/>
        </w:rPr>
        <w:t xml:space="preserve"> </w:t>
      </w:r>
      <w:r w:rsidR="00453617" w:rsidRPr="00CB1DAB">
        <w:rPr>
          <w:sz w:val="24"/>
          <w:szCs w:val="24"/>
        </w:rPr>
        <w:t>from</w:t>
      </w:r>
      <w:r w:rsidR="007E15F4" w:rsidRPr="00CB1DAB">
        <w:rPr>
          <w:sz w:val="24"/>
          <w:szCs w:val="24"/>
        </w:rPr>
        <w:t xml:space="preserve"> </w:t>
      </w:r>
      <w:r w:rsidR="00D0676E" w:rsidRPr="00CB1DAB">
        <w:rPr>
          <w:sz w:val="24"/>
          <w:szCs w:val="24"/>
        </w:rPr>
        <w:t xml:space="preserve">2021 </w:t>
      </w:r>
      <w:r w:rsidR="00453617" w:rsidRPr="00CB1DAB">
        <w:rPr>
          <w:sz w:val="24"/>
          <w:szCs w:val="24"/>
        </w:rPr>
        <w:t xml:space="preserve">to </w:t>
      </w:r>
      <w:r w:rsidR="00D0676E" w:rsidRPr="00CB1DAB">
        <w:rPr>
          <w:sz w:val="24"/>
          <w:szCs w:val="24"/>
        </w:rPr>
        <w:t>2025</w:t>
      </w:r>
      <w:r w:rsidR="007E15F4" w:rsidRPr="00CB1DAB">
        <w:rPr>
          <w:sz w:val="24"/>
          <w:szCs w:val="24"/>
        </w:rPr>
        <w:t xml:space="preserve"> towards</w:t>
      </w:r>
      <w:r w:rsidR="00FA5A3D" w:rsidRPr="00CB1DAB">
        <w:rPr>
          <w:sz w:val="24"/>
          <w:szCs w:val="24"/>
        </w:rPr>
        <w:t xml:space="preserve"> the Flexible Approach to Training in Expanded Settings (FATES) program</w:t>
      </w:r>
      <w:r w:rsidR="009B634E" w:rsidRPr="00CB1DAB">
        <w:rPr>
          <w:sz w:val="24"/>
          <w:szCs w:val="24"/>
        </w:rPr>
        <w:t xml:space="preserve">. The </w:t>
      </w:r>
      <w:r w:rsidR="001C0BA6" w:rsidRPr="00CB1DAB">
        <w:rPr>
          <w:sz w:val="24"/>
          <w:szCs w:val="24"/>
        </w:rPr>
        <w:t>FATES program</w:t>
      </w:r>
      <w:r w:rsidR="00FA5A3D" w:rsidRPr="00CB1DAB">
        <w:rPr>
          <w:sz w:val="24"/>
          <w:szCs w:val="24"/>
        </w:rPr>
        <w:t xml:space="preserve"> responds to priorities in the </w:t>
      </w:r>
      <w:r w:rsidR="001C0BA6" w:rsidRPr="00CB1DAB">
        <w:rPr>
          <w:sz w:val="24"/>
          <w:szCs w:val="24"/>
        </w:rPr>
        <w:t>National Medical Workforce Strategy (</w:t>
      </w:r>
      <w:r w:rsidR="00FA5A3D" w:rsidRPr="00CB1DAB">
        <w:rPr>
          <w:sz w:val="24"/>
          <w:szCs w:val="24"/>
        </w:rPr>
        <w:t>NMWS</w:t>
      </w:r>
      <w:r w:rsidR="001C0BA6" w:rsidRPr="00CB1DAB">
        <w:rPr>
          <w:sz w:val="24"/>
          <w:szCs w:val="24"/>
        </w:rPr>
        <w:t>)</w:t>
      </w:r>
      <w:r w:rsidR="00FA5A3D" w:rsidRPr="00CB1DAB">
        <w:rPr>
          <w:sz w:val="24"/>
          <w:szCs w:val="24"/>
        </w:rPr>
        <w:t xml:space="preserve"> to rebalance supply and distribution of many specialities by improving systems and structures to encourage training in regional, rural, and remote areas, and to increase the number of First Nations doctors, </w:t>
      </w:r>
      <w:r w:rsidR="00FB7FDA" w:rsidRPr="00CB1DAB">
        <w:rPr>
          <w:sz w:val="24"/>
          <w:szCs w:val="24"/>
        </w:rPr>
        <w:t>as well as ensuring</w:t>
      </w:r>
      <w:r w:rsidR="00FA5A3D" w:rsidRPr="00CB1DAB">
        <w:rPr>
          <w:sz w:val="24"/>
          <w:szCs w:val="24"/>
        </w:rPr>
        <w:t xml:space="preserve"> Australia’s medical workforce can provide culturally safe services</w:t>
      </w:r>
      <w:r w:rsidR="00C757F8" w:rsidRPr="00CB1DAB">
        <w:rPr>
          <w:sz w:val="24"/>
          <w:szCs w:val="24"/>
        </w:rPr>
        <w:t>.</w:t>
      </w:r>
    </w:p>
    <w:p w14:paraId="02FC4D3E" w14:textId="4F3CD0BB" w:rsidR="00434234"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T</w:t>
      </w:r>
      <w:r w:rsidR="000942A4" w:rsidRPr="00CB1DAB">
        <w:rPr>
          <w:sz w:val="24"/>
          <w:szCs w:val="24"/>
        </w:rPr>
        <w:t>hrough the FATE</w:t>
      </w:r>
      <w:r w:rsidR="00AC0992" w:rsidRPr="00CB1DAB">
        <w:rPr>
          <w:sz w:val="24"/>
          <w:szCs w:val="24"/>
        </w:rPr>
        <w:t>S</w:t>
      </w:r>
      <w:r w:rsidR="00006B95">
        <w:rPr>
          <w:sz w:val="24"/>
          <w:szCs w:val="24"/>
        </w:rPr>
        <w:t>,</w:t>
      </w:r>
      <w:r w:rsidR="000942A4" w:rsidRPr="00CB1DAB">
        <w:rPr>
          <w:sz w:val="24"/>
          <w:szCs w:val="24"/>
        </w:rPr>
        <w:t xml:space="preserve"> program funding of </w:t>
      </w:r>
      <w:r w:rsidR="00D0676E" w:rsidRPr="00CB1DAB">
        <w:rPr>
          <w:sz w:val="24"/>
          <w:szCs w:val="24"/>
        </w:rPr>
        <w:t>$350,000, from 2023 to 2025,</w:t>
      </w:r>
      <w:r w:rsidR="000942A4" w:rsidRPr="00CB1DAB">
        <w:rPr>
          <w:sz w:val="24"/>
          <w:szCs w:val="24"/>
        </w:rPr>
        <w:t xml:space="preserve"> </w:t>
      </w:r>
      <w:r w:rsidR="00006B95">
        <w:rPr>
          <w:sz w:val="24"/>
          <w:szCs w:val="24"/>
        </w:rPr>
        <w:t xml:space="preserve">is being provided </w:t>
      </w:r>
      <w:r w:rsidR="000942A4" w:rsidRPr="00CB1DAB">
        <w:rPr>
          <w:sz w:val="24"/>
          <w:szCs w:val="24"/>
        </w:rPr>
        <w:t xml:space="preserve">to support </w:t>
      </w:r>
      <w:r w:rsidR="00434234" w:rsidRPr="00CB1DAB">
        <w:rPr>
          <w:sz w:val="24"/>
          <w:szCs w:val="24"/>
        </w:rPr>
        <w:t>RANZCOG’s First Nations Trainees and Fellows through financial support, attendance at workshops, and the development of peer networks outside their usual work settings</w:t>
      </w:r>
      <w:r w:rsidR="00C757F8" w:rsidRPr="00CB1DAB">
        <w:rPr>
          <w:sz w:val="24"/>
          <w:szCs w:val="24"/>
        </w:rPr>
        <w:t>.</w:t>
      </w:r>
      <w:r w:rsidR="00434234" w:rsidRPr="00CB1DAB">
        <w:rPr>
          <w:sz w:val="24"/>
          <w:szCs w:val="24"/>
        </w:rPr>
        <w:t> </w:t>
      </w:r>
    </w:p>
    <w:p w14:paraId="5F4F53E6" w14:textId="62DADEA3" w:rsidR="00434234"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F</w:t>
      </w:r>
      <w:r w:rsidR="007E15F4" w:rsidRPr="00CB1DAB">
        <w:rPr>
          <w:sz w:val="24"/>
          <w:szCs w:val="24"/>
        </w:rPr>
        <w:t xml:space="preserve">unded </w:t>
      </w:r>
      <w:r w:rsidR="00434234" w:rsidRPr="00CB1DAB">
        <w:rPr>
          <w:sz w:val="24"/>
          <w:szCs w:val="24"/>
        </w:rPr>
        <w:t>the Australian Indigenous Doctors’ Association Specialist Trainee Support Program</w:t>
      </w:r>
      <w:r w:rsidR="007E15F4" w:rsidRPr="00CB1DAB">
        <w:rPr>
          <w:sz w:val="24"/>
          <w:szCs w:val="24"/>
        </w:rPr>
        <w:t xml:space="preserve"> $</w:t>
      </w:r>
      <w:r w:rsidR="00F53A20" w:rsidRPr="00CB1DAB">
        <w:rPr>
          <w:sz w:val="24"/>
          <w:szCs w:val="24"/>
        </w:rPr>
        <w:t>4</w:t>
      </w:r>
      <w:r w:rsidR="00D0676E" w:rsidRPr="00CB1DAB">
        <w:rPr>
          <w:sz w:val="24"/>
          <w:szCs w:val="24"/>
        </w:rPr>
        <w:t>.9</w:t>
      </w:r>
      <w:r w:rsidR="00F53A20" w:rsidRPr="00CB1DAB">
        <w:rPr>
          <w:sz w:val="24"/>
          <w:szCs w:val="24"/>
        </w:rPr>
        <w:t>2</w:t>
      </w:r>
      <w:r w:rsidR="00D0676E" w:rsidRPr="00CB1DAB">
        <w:rPr>
          <w:sz w:val="24"/>
          <w:szCs w:val="24"/>
        </w:rPr>
        <w:t xml:space="preserve"> million</w:t>
      </w:r>
      <w:r w:rsidR="007E15F4" w:rsidRPr="00CB1DAB">
        <w:rPr>
          <w:sz w:val="24"/>
          <w:szCs w:val="24"/>
        </w:rPr>
        <w:t xml:space="preserve"> </w:t>
      </w:r>
      <w:r w:rsidR="00453617" w:rsidRPr="00CB1DAB">
        <w:rPr>
          <w:sz w:val="24"/>
          <w:szCs w:val="24"/>
        </w:rPr>
        <w:t>f</w:t>
      </w:r>
      <w:r w:rsidR="007E15F4" w:rsidRPr="00CB1DAB">
        <w:rPr>
          <w:sz w:val="24"/>
          <w:szCs w:val="24"/>
        </w:rPr>
        <w:t>r</w:t>
      </w:r>
      <w:r w:rsidR="00453617" w:rsidRPr="00CB1DAB">
        <w:rPr>
          <w:sz w:val="24"/>
          <w:szCs w:val="24"/>
        </w:rPr>
        <w:t>om</w:t>
      </w:r>
      <w:r w:rsidR="007E15F4" w:rsidRPr="00CB1DAB">
        <w:rPr>
          <w:sz w:val="24"/>
          <w:szCs w:val="24"/>
        </w:rPr>
        <w:t xml:space="preserve"> </w:t>
      </w:r>
      <w:r w:rsidR="00D0676E" w:rsidRPr="00CB1DAB">
        <w:rPr>
          <w:sz w:val="24"/>
          <w:szCs w:val="24"/>
        </w:rPr>
        <w:t>2023 to 202</w:t>
      </w:r>
      <w:r w:rsidR="00F53A20" w:rsidRPr="00CB1DAB">
        <w:rPr>
          <w:sz w:val="24"/>
          <w:szCs w:val="24"/>
        </w:rPr>
        <w:t>8</w:t>
      </w:r>
      <w:r w:rsidR="00434234" w:rsidRPr="00CB1DAB">
        <w:rPr>
          <w:sz w:val="24"/>
          <w:szCs w:val="24"/>
        </w:rPr>
        <w:t>. The</w:t>
      </w:r>
      <w:r w:rsidR="00453617" w:rsidRPr="00CB1DAB">
        <w:rPr>
          <w:sz w:val="24"/>
          <w:szCs w:val="24"/>
        </w:rPr>
        <w:t xml:space="preserve"> program</w:t>
      </w:r>
      <w:r w:rsidR="007E15F4" w:rsidRPr="00CB1DAB">
        <w:rPr>
          <w:sz w:val="24"/>
          <w:szCs w:val="24"/>
        </w:rPr>
        <w:t xml:space="preserve"> complements the NMWS and</w:t>
      </w:r>
      <w:r w:rsidR="00434234" w:rsidRPr="00CB1DAB">
        <w:rPr>
          <w:sz w:val="24"/>
          <w:szCs w:val="24"/>
        </w:rPr>
        <w:t xml:space="preserve"> is a consortium project led by </w:t>
      </w:r>
      <w:r w:rsidR="00453617" w:rsidRPr="00CB1DAB">
        <w:rPr>
          <w:sz w:val="24"/>
          <w:szCs w:val="24"/>
        </w:rPr>
        <w:t>the Australian Indigenous Doctors’ Association</w:t>
      </w:r>
      <w:r w:rsidR="00434234" w:rsidRPr="00CB1DAB">
        <w:rPr>
          <w:sz w:val="24"/>
          <w:szCs w:val="24"/>
        </w:rPr>
        <w:t xml:space="preserve"> with all 13 non-GP Specialist Medical Colleges</w:t>
      </w:r>
      <w:r w:rsidR="003651D9" w:rsidRPr="00CB1DAB">
        <w:rPr>
          <w:sz w:val="24"/>
          <w:szCs w:val="24"/>
        </w:rPr>
        <w:t xml:space="preserve">. The program </w:t>
      </w:r>
      <w:r w:rsidR="00434234" w:rsidRPr="00CB1DAB">
        <w:rPr>
          <w:sz w:val="24"/>
          <w:szCs w:val="24"/>
        </w:rPr>
        <w:t>aims to improve recruitment, selection, and retention of First Nations specialist trainees, increas</w:t>
      </w:r>
      <w:r w:rsidR="003651D9" w:rsidRPr="00CB1DAB">
        <w:rPr>
          <w:sz w:val="24"/>
          <w:szCs w:val="24"/>
        </w:rPr>
        <w:t>e</w:t>
      </w:r>
      <w:r w:rsidR="00434234" w:rsidRPr="00CB1DAB">
        <w:rPr>
          <w:sz w:val="24"/>
          <w:szCs w:val="24"/>
        </w:rPr>
        <w:t xml:space="preserve"> the focus of cultural safety in medical college-led training, and provid</w:t>
      </w:r>
      <w:r w:rsidR="003651D9" w:rsidRPr="00CB1DAB">
        <w:rPr>
          <w:sz w:val="24"/>
          <w:szCs w:val="24"/>
        </w:rPr>
        <w:t>e</w:t>
      </w:r>
      <w:r w:rsidR="00434234" w:rsidRPr="00CB1DAB">
        <w:rPr>
          <w:sz w:val="24"/>
          <w:szCs w:val="24"/>
        </w:rPr>
        <w:t xml:space="preserve"> tailored one-on-one support to current and prospective trainees. The program will help grow the First Nations workforce, reduce barriers for doctors to work and train in rural and remote communities, and increase the number of trainees in undersupplied specialities</w:t>
      </w:r>
      <w:r w:rsidR="00C757F8" w:rsidRPr="00CB1DAB">
        <w:rPr>
          <w:sz w:val="24"/>
          <w:szCs w:val="24"/>
        </w:rPr>
        <w:t>.</w:t>
      </w:r>
    </w:p>
    <w:p w14:paraId="79FED64D" w14:textId="515D09D3" w:rsidR="00371061" w:rsidRPr="00CB1DAB" w:rsidRDefault="00141A8D" w:rsidP="00326B55">
      <w:pPr>
        <w:pStyle w:val="ListParagraph"/>
        <w:numPr>
          <w:ilvl w:val="0"/>
          <w:numId w:val="50"/>
        </w:numPr>
        <w:spacing w:after="120"/>
        <w:ind w:left="714" w:hanging="357"/>
        <w:contextualSpacing w:val="0"/>
        <w:rPr>
          <w:sz w:val="24"/>
          <w:szCs w:val="24"/>
        </w:rPr>
      </w:pPr>
      <w:r w:rsidRPr="00CB1DAB">
        <w:rPr>
          <w:sz w:val="24"/>
          <w:szCs w:val="24"/>
        </w:rPr>
        <w:t>F</w:t>
      </w:r>
      <w:r w:rsidR="00371061" w:rsidRPr="00CB1DAB">
        <w:rPr>
          <w:sz w:val="24"/>
          <w:szCs w:val="24"/>
        </w:rPr>
        <w:t xml:space="preserve">unded the Australian Society for HIV, Viral Hepatitis and Sexual Health Medicine (ASHM) to deliver online training resources that assist health workers to provide meaningful, accessible and culturally appropriate sexual health advice and care to First Nations people and CALD groups. ASHM has expertise in training and resource development to support the health workforce, including training accredited with a variety of professional colleges to meet </w:t>
      </w:r>
      <w:r w:rsidR="00006B95">
        <w:rPr>
          <w:sz w:val="24"/>
          <w:szCs w:val="24"/>
        </w:rPr>
        <w:t xml:space="preserve">CPD </w:t>
      </w:r>
      <w:r w:rsidR="00371061" w:rsidRPr="00CB1DAB">
        <w:rPr>
          <w:sz w:val="24"/>
          <w:szCs w:val="24"/>
        </w:rPr>
        <w:t xml:space="preserve">requirements that healthcare professionals complete as part of their continuing registration. </w:t>
      </w:r>
    </w:p>
    <w:p w14:paraId="683FAC4D" w14:textId="42838708" w:rsidR="000E0F88" w:rsidRPr="00CB1DAB" w:rsidRDefault="000E0F88" w:rsidP="00EE1D82">
      <w:pPr>
        <w:spacing w:after="120"/>
      </w:pPr>
      <w:r w:rsidRPr="00CB1DAB">
        <w:lastRenderedPageBreak/>
        <w:t xml:space="preserve">There are </w:t>
      </w:r>
      <w:r w:rsidR="002027EF" w:rsidRPr="00CB1DAB">
        <w:t xml:space="preserve">a number of </w:t>
      </w:r>
      <w:r w:rsidRPr="00CB1DAB">
        <w:t xml:space="preserve">existing guidelines and training on providing culturally safe care to </w:t>
      </w:r>
      <w:r w:rsidR="001059F0" w:rsidRPr="00CB1DAB">
        <w:t>Fi</w:t>
      </w:r>
      <w:r w:rsidR="00171197" w:rsidRPr="00CB1DAB">
        <w:t>r</w:t>
      </w:r>
      <w:r w:rsidR="001059F0" w:rsidRPr="00CB1DAB">
        <w:t xml:space="preserve">st Nations people, </w:t>
      </w:r>
      <w:r w:rsidR="00366B12" w:rsidRPr="00CB1DAB">
        <w:t xml:space="preserve">and </w:t>
      </w:r>
      <w:r w:rsidRPr="00CB1DAB">
        <w:t>migrants and refugees. These include:</w:t>
      </w:r>
    </w:p>
    <w:p w14:paraId="09CA8CCE" w14:textId="019BF48D" w:rsidR="00153213" w:rsidRPr="00CB1DAB" w:rsidRDefault="001232B1" w:rsidP="00326B55">
      <w:pPr>
        <w:pStyle w:val="ListParagraph"/>
        <w:numPr>
          <w:ilvl w:val="0"/>
          <w:numId w:val="50"/>
        </w:numPr>
        <w:spacing w:after="120"/>
        <w:ind w:left="714" w:hanging="357"/>
        <w:contextualSpacing w:val="0"/>
        <w:rPr>
          <w:sz w:val="24"/>
          <w:szCs w:val="24"/>
        </w:rPr>
      </w:pPr>
      <w:r w:rsidRPr="00CB1DAB">
        <w:rPr>
          <w:sz w:val="24"/>
          <w:szCs w:val="24"/>
        </w:rPr>
        <w:t>T</w:t>
      </w:r>
      <w:r w:rsidR="000E0F88" w:rsidRPr="00CB1DAB">
        <w:rPr>
          <w:sz w:val="24"/>
          <w:szCs w:val="24"/>
        </w:rPr>
        <w:t>he RACGP 2022 curriculum</w:t>
      </w:r>
      <w:r w:rsidR="007E60CF" w:rsidRPr="00CB1DAB">
        <w:rPr>
          <w:sz w:val="24"/>
          <w:szCs w:val="24"/>
        </w:rPr>
        <w:t>, which</w:t>
      </w:r>
      <w:r w:rsidR="000E0F88" w:rsidRPr="00CB1DAB">
        <w:rPr>
          <w:sz w:val="24"/>
          <w:szCs w:val="24"/>
        </w:rPr>
        <w:t xml:space="preserve"> includes </w:t>
      </w:r>
      <w:r w:rsidR="001059F0" w:rsidRPr="00CB1DAB">
        <w:rPr>
          <w:sz w:val="24"/>
          <w:szCs w:val="24"/>
        </w:rPr>
        <w:t xml:space="preserve">a core unit on First Nations health and a contextual unit on </w:t>
      </w:r>
      <w:r w:rsidR="000E0F88" w:rsidRPr="00CB1DAB">
        <w:rPr>
          <w:sz w:val="24"/>
          <w:szCs w:val="24"/>
        </w:rPr>
        <w:t>migrant, refugee and asylum seeker health</w:t>
      </w:r>
      <w:r w:rsidR="00C757F8" w:rsidRPr="00CB1DAB">
        <w:rPr>
          <w:sz w:val="24"/>
          <w:szCs w:val="24"/>
        </w:rPr>
        <w:t>.</w:t>
      </w:r>
    </w:p>
    <w:p w14:paraId="53B1460A" w14:textId="2A6E8586" w:rsidR="00B42AEA" w:rsidRPr="00CB1DAB" w:rsidRDefault="001232B1" w:rsidP="00326B55">
      <w:pPr>
        <w:pStyle w:val="ListParagraph"/>
        <w:numPr>
          <w:ilvl w:val="0"/>
          <w:numId w:val="50"/>
        </w:numPr>
        <w:spacing w:after="120"/>
        <w:ind w:left="714" w:hanging="357"/>
        <w:contextualSpacing w:val="0"/>
        <w:rPr>
          <w:sz w:val="24"/>
          <w:szCs w:val="24"/>
        </w:rPr>
      </w:pPr>
      <w:r w:rsidRPr="00CB1DAB">
        <w:rPr>
          <w:sz w:val="24"/>
          <w:szCs w:val="24"/>
        </w:rPr>
        <w:t>T</w:t>
      </w:r>
      <w:r w:rsidR="000E0F88" w:rsidRPr="00CB1DAB">
        <w:rPr>
          <w:sz w:val="24"/>
          <w:szCs w:val="24"/>
        </w:rPr>
        <w:t>he Migrant and Refugee Health Partnership</w:t>
      </w:r>
      <w:r w:rsidR="003C5B38" w:rsidRPr="00CB1DAB">
        <w:rPr>
          <w:sz w:val="24"/>
          <w:szCs w:val="24"/>
        </w:rPr>
        <w:t xml:space="preserve"> </w:t>
      </w:r>
      <w:r w:rsidR="000E0F88" w:rsidRPr="00CB1DAB">
        <w:rPr>
          <w:sz w:val="24"/>
          <w:szCs w:val="24"/>
        </w:rPr>
        <w:t>Competency Standards Framework - Culturally Responsive Clinical Practice: Working with people from migrant and refugee backgrounds</w:t>
      </w:r>
      <w:r w:rsidR="00C757F8" w:rsidRPr="00CB1DAB">
        <w:rPr>
          <w:sz w:val="24"/>
          <w:szCs w:val="24"/>
        </w:rPr>
        <w:t>.</w:t>
      </w:r>
    </w:p>
    <w:p w14:paraId="31221A19" w14:textId="5D22922C" w:rsidR="002D5549" w:rsidRPr="00CB1DAB" w:rsidRDefault="002D5549" w:rsidP="00326B55">
      <w:pPr>
        <w:pStyle w:val="ListParagraph"/>
        <w:numPr>
          <w:ilvl w:val="0"/>
          <w:numId w:val="50"/>
        </w:numPr>
        <w:spacing w:after="120"/>
        <w:ind w:left="714" w:hanging="357"/>
        <w:contextualSpacing w:val="0"/>
        <w:rPr>
          <w:sz w:val="24"/>
          <w:szCs w:val="24"/>
        </w:rPr>
      </w:pPr>
      <w:r w:rsidRPr="00CB1DAB">
        <w:rPr>
          <w:sz w:val="24"/>
          <w:szCs w:val="24"/>
        </w:rPr>
        <w:t xml:space="preserve">The </w:t>
      </w:r>
      <w:r w:rsidR="00CB0E82" w:rsidRPr="00CB1DAB">
        <w:rPr>
          <w:sz w:val="24"/>
          <w:szCs w:val="24"/>
        </w:rPr>
        <w:t xml:space="preserve">Clinical Practice Guideline for </w:t>
      </w:r>
      <w:r w:rsidR="00366B12" w:rsidRPr="00CB1DAB">
        <w:rPr>
          <w:sz w:val="24"/>
          <w:szCs w:val="24"/>
        </w:rPr>
        <w:t>C</w:t>
      </w:r>
      <w:r w:rsidRPr="00CB1DAB">
        <w:rPr>
          <w:sz w:val="24"/>
          <w:szCs w:val="24"/>
        </w:rPr>
        <w:t xml:space="preserve">are </w:t>
      </w:r>
      <w:r w:rsidR="00CB0E82" w:rsidRPr="00CB1DAB">
        <w:rPr>
          <w:sz w:val="24"/>
          <w:szCs w:val="24"/>
        </w:rPr>
        <w:t>A</w:t>
      </w:r>
      <w:r w:rsidRPr="00CB1DAB">
        <w:rPr>
          <w:sz w:val="24"/>
          <w:szCs w:val="24"/>
        </w:rPr>
        <w:t xml:space="preserve">round </w:t>
      </w:r>
      <w:r w:rsidR="00CB0E82" w:rsidRPr="00CB1DAB">
        <w:rPr>
          <w:sz w:val="24"/>
          <w:szCs w:val="24"/>
        </w:rPr>
        <w:t>S</w:t>
      </w:r>
      <w:r w:rsidRPr="00CB1DAB">
        <w:rPr>
          <w:sz w:val="24"/>
          <w:szCs w:val="24"/>
        </w:rPr>
        <w:t xml:space="preserve">tillbirth and </w:t>
      </w:r>
      <w:r w:rsidR="00CB0E82" w:rsidRPr="00CB1DAB">
        <w:rPr>
          <w:sz w:val="24"/>
          <w:szCs w:val="24"/>
        </w:rPr>
        <w:t>N</w:t>
      </w:r>
      <w:r w:rsidRPr="00CB1DAB">
        <w:rPr>
          <w:sz w:val="24"/>
          <w:szCs w:val="24"/>
        </w:rPr>
        <w:t xml:space="preserve">eonatal </w:t>
      </w:r>
      <w:r w:rsidR="00CB0E82" w:rsidRPr="00CB1DAB">
        <w:rPr>
          <w:sz w:val="24"/>
          <w:szCs w:val="24"/>
        </w:rPr>
        <w:t>D</w:t>
      </w:r>
      <w:r w:rsidRPr="00CB1DAB">
        <w:rPr>
          <w:sz w:val="24"/>
          <w:szCs w:val="24"/>
        </w:rPr>
        <w:t>eath include</w:t>
      </w:r>
      <w:r w:rsidR="00AD0B89" w:rsidRPr="00CB1DAB">
        <w:rPr>
          <w:sz w:val="24"/>
          <w:szCs w:val="24"/>
        </w:rPr>
        <w:t>s</w:t>
      </w:r>
      <w:r w:rsidRPr="00CB1DAB">
        <w:rPr>
          <w:sz w:val="24"/>
          <w:szCs w:val="24"/>
        </w:rPr>
        <w:t xml:space="preserve"> </w:t>
      </w:r>
      <w:r w:rsidR="00AD0B89" w:rsidRPr="00CB1DAB">
        <w:rPr>
          <w:sz w:val="24"/>
          <w:szCs w:val="24"/>
        </w:rPr>
        <w:t>guidance</w:t>
      </w:r>
      <w:r w:rsidRPr="00CB1DAB">
        <w:rPr>
          <w:sz w:val="24"/>
          <w:szCs w:val="24"/>
        </w:rPr>
        <w:t xml:space="preserve"> on cultural safety and highlight</w:t>
      </w:r>
      <w:r w:rsidR="00CB0E82" w:rsidRPr="00CB1DAB">
        <w:rPr>
          <w:sz w:val="24"/>
          <w:szCs w:val="24"/>
        </w:rPr>
        <w:t>s</w:t>
      </w:r>
      <w:r w:rsidRPr="00CB1DAB">
        <w:rPr>
          <w:sz w:val="24"/>
          <w:szCs w:val="24"/>
        </w:rPr>
        <w:t xml:space="preserve"> the importance of providing services in a culturally safe way, including awareness of vulnerable groups who may have a history of trauma and loss</w:t>
      </w:r>
      <w:r w:rsidR="00C757F8" w:rsidRPr="00CB1DAB">
        <w:rPr>
          <w:sz w:val="24"/>
          <w:szCs w:val="24"/>
        </w:rPr>
        <w:t>.</w:t>
      </w:r>
    </w:p>
    <w:p w14:paraId="44FDC685" w14:textId="06B2077D" w:rsidR="00B42AEA" w:rsidRPr="00CB1DAB" w:rsidRDefault="009A4B08" w:rsidP="00326B55">
      <w:pPr>
        <w:pStyle w:val="ListParagraph"/>
        <w:numPr>
          <w:ilvl w:val="0"/>
          <w:numId w:val="50"/>
        </w:numPr>
        <w:spacing w:after="120"/>
        <w:ind w:left="714" w:hanging="357"/>
        <w:contextualSpacing w:val="0"/>
        <w:rPr>
          <w:sz w:val="24"/>
          <w:szCs w:val="24"/>
        </w:rPr>
      </w:pPr>
      <w:r w:rsidRPr="00CB1DAB">
        <w:rPr>
          <w:sz w:val="24"/>
          <w:szCs w:val="24"/>
        </w:rPr>
        <w:t xml:space="preserve">The </w:t>
      </w:r>
      <w:r w:rsidR="00CB0E82" w:rsidRPr="00CB1DAB">
        <w:rPr>
          <w:sz w:val="24"/>
          <w:szCs w:val="24"/>
        </w:rPr>
        <w:t xml:space="preserve">Clinical Practice Guideline: </w:t>
      </w:r>
      <w:r w:rsidRPr="00CB1DAB">
        <w:rPr>
          <w:sz w:val="24"/>
          <w:szCs w:val="24"/>
        </w:rPr>
        <w:t xml:space="preserve">Pregnancy Care </w:t>
      </w:r>
      <w:r w:rsidR="00B42AEA" w:rsidRPr="00CB1DAB">
        <w:rPr>
          <w:sz w:val="24"/>
          <w:szCs w:val="24"/>
        </w:rPr>
        <w:t xml:space="preserve">include </w:t>
      </w:r>
      <w:r w:rsidRPr="00CB1DAB">
        <w:rPr>
          <w:sz w:val="24"/>
          <w:szCs w:val="24"/>
        </w:rPr>
        <w:t xml:space="preserve">clinical recommendations around </w:t>
      </w:r>
      <w:r w:rsidR="00B42AEA" w:rsidRPr="00CB1DAB">
        <w:rPr>
          <w:sz w:val="24"/>
          <w:szCs w:val="24"/>
        </w:rPr>
        <w:t>pregnancy care</w:t>
      </w:r>
      <w:r w:rsidRPr="00CB1DAB">
        <w:rPr>
          <w:sz w:val="24"/>
          <w:szCs w:val="24"/>
        </w:rPr>
        <w:t xml:space="preserve"> for</w:t>
      </w:r>
      <w:r w:rsidR="00B42AEA" w:rsidRPr="00CB1DAB">
        <w:rPr>
          <w:sz w:val="24"/>
          <w:szCs w:val="24"/>
        </w:rPr>
        <w:t>:</w:t>
      </w:r>
      <w:r w:rsidRPr="00CB1DAB">
        <w:rPr>
          <w:sz w:val="24"/>
          <w:szCs w:val="24"/>
        </w:rPr>
        <w:t xml:space="preserve"> </w:t>
      </w:r>
    </w:p>
    <w:p w14:paraId="566451B4" w14:textId="124E76F5" w:rsidR="009A4B08" w:rsidRPr="00CB1DAB" w:rsidRDefault="009A4B08" w:rsidP="00326B55">
      <w:pPr>
        <w:pStyle w:val="ListParagraph"/>
        <w:numPr>
          <w:ilvl w:val="1"/>
          <w:numId w:val="5"/>
        </w:numPr>
        <w:spacing w:after="120"/>
        <w:contextualSpacing w:val="0"/>
        <w:rPr>
          <w:sz w:val="24"/>
          <w:szCs w:val="24"/>
        </w:rPr>
      </w:pPr>
      <w:r w:rsidRPr="00CB1DAB">
        <w:rPr>
          <w:sz w:val="24"/>
          <w:szCs w:val="24"/>
        </w:rPr>
        <w:t xml:space="preserve">First Nations women </w:t>
      </w:r>
      <w:r w:rsidR="00B42AEA" w:rsidRPr="00CB1DAB">
        <w:rPr>
          <w:sz w:val="24"/>
          <w:szCs w:val="24"/>
        </w:rPr>
        <w:t xml:space="preserve">acknowledging the importance of </w:t>
      </w:r>
      <w:r w:rsidRPr="00CB1DAB">
        <w:rPr>
          <w:sz w:val="24"/>
          <w:szCs w:val="24"/>
        </w:rPr>
        <w:t>working in partnership with women, First Nations health professionals and communities, noting this should be informed by cultural safety training for health professionals</w:t>
      </w:r>
      <w:r w:rsidR="00C757F8" w:rsidRPr="00CB1DAB">
        <w:rPr>
          <w:sz w:val="24"/>
          <w:szCs w:val="24"/>
        </w:rPr>
        <w:t>.</w:t>
      </w:r>
    </w:p>
    <w:p w14:paraId="619F4DA4" w14:textId="214A4FB3" w:rsidR="009A4B08" w:rsidRPr="00CB1DAB" w:rsidRDefault="00141A8D" w:rsidP="00326B55">
      <w:pPr>
        <w:pStyle w:val="ListParagraph"/>
        <w:numPr>
          <w:ilvl w:val="1"/>
          <w:numId w:val="5"/>
        </w:numPr>
        <w:spacing w:after="120"/>
        <w:contextualSpacing w:val="0"/>
        <w:rPr>
          <w:sz w:val="24"/>
          <w:szCs w:val="24"/>
        </w:rPr>
      </w:pPr>
      <w:r w:rsidRPr="00CB1DAB">
        <w:rPr>
          <w:sz w:val="24"/>
          <w:szCs w:val="24"/>
        </w:rPr>
        <w:t>M</w:t>
      </w:r>
      <w:r w:rsidR="009A4B08" w:rsidRPr="00CB1DAB">
        <w:rPr>
          <w:sz w:val="24"/>
          <w:szCs w:val="24"/>
        </w:rPr>
        <w:t xml:space="preserve">igrant and refugee women, </w:t>
      </w:r>
      <w:r w:rsidR="00B42AEA" w:rsidRPr="00CB1DAB">
        <w:rPr>
          <w:sz w:val="24"/>
          <w:szCs w:val="24"/>
        </w:rPr>
        <w:t xml:space="preserve">acknowledging </w:t>
      </w:r>
      <w:r w:rsidR="009A4B08" w:rsidRPr="00CB1DAB">
        <w:rPr>
          <w:sz w:val="24"/>
          <w:szCs w:val="24"/>
        </w:rPr>
        <w:t xml:space="preserve">the importance </w:t>
      </w:r>
      <w:r w:rsidR="002D5549" w:rsidRPr="00CB1DAB">
        <w:rPr>
          <w:sz w:val="24"/>
          <w:szCs w:val="24"/>
        </w:rPr>
        <w:t>of</w:t>
      </w:r>
      <w:r w:rsidR="009A4B08" w:rsidRPr="00CB1DAB">
        <w:rPr>
          <w:sz w:val="24"/>
          <w:szCs w:val="24"/>
        </w:rPr>
        <w:t xml:space="preserve"> understanding the issues facing families from migrant and refugee groups to improve the care </w:t>
      </w:r>
      <w:r w:rsidR="002D5549" w:rsidRPr="00CB1DAB">
        <w:rPr>
          <w:sz w:val="24"/>
          <w:szCs w:val="24"/>
        </w:rPr>
        <w:t xml:space="preserve">and to </w:t>
      </w:r>
      <w:r w:rsidR="009A4B08" w:rsidRPr="00CB1DAB">
        <w:rPr>
          <w:sz w:val="24"/>
          <w:szCs w:val="24"/>
        </w:rPr>
        <w:t xml:space="preserve">use accredited health interpreters and multicultural health workers, wherever possible.  </w:t>
      </w:r>
    </w:p>
    <w:p w14:paraId="4726485D" w14:textId="09B47736" w:rsidR="00547641" w:rsidRPr="00006B95" w:rsidRDefault="00547641" w:rsidP="00006B95">
      <w:pPr>
        <w:spacing w:after="120"/>
      </w:pPr>
      <w:r w:rsidRPr="00CB1DAB">
        <w:t>The Government is also supporting the further development of training to provide culturally safe care to CALD, migrant and refugee women. This includes funding</w:t>
      </w:r>
      <w:r w:rsidR="00006B95">
        <w:t xml:space="preserve"> of </w:t>
      </w:r>
      <w:r w:rsidRPr="00006B95">
        <w:t>$699,000</w:t>
      </w:r>
      <w:r w:rsidR="00891374" w:rsidRPr="00006B95">
        <w:t xml:space="preserve"> </w:t>
      </w:r>
      <w:r w:rsidR="00006B95">
        <w:t>over three</w:t>
      </w:r>
      <w:r w:rsidR="001527CA" w:rsidRPr="00006B95">
        <w:t xml:space="preserve"> </w:t>
      </w:r>
      <w:r w:rsidRPr="00006B95">
        <w:t xml:space="preserve">years (2023-24 to 2025-26) to the Multicultural Centre for Women’s Health (MCWH) to establish a national Community of Practice and develop and deliver training for health professionals to increase the Australian health workforce’s ability to address the health impacts of Female Genital Mutilation/Cutting (FGM/C). </w:t>
      </w:r>
    </w:p>
    <w:p w14:paraId="76AF94A4" w14:textId="0CFC53C4" w:rsidR="00024C1F" w:rsidRPr="00CB1DAB" w:rsidRDefault="00453617" w:rsidP="00EE1D82">
      <w:pPr>
        <w:spacing w:after="120"/>
        <w:rPr>
          <w:rFonts w:ascii="Calibri" w:eastAsia="Calibri" w:hAnsi="Calibri" w:cs="Calibri"/>
          <w:lang w:val="en-GB"/>
        </w:rPr>
      </w:pPr>
      <w:r w:rsidRPr="00CB1DAB">
        <w:rPr>
          <w:rFonts w:ascii="Calibri" w:eastAsia="Calibri" w:hAnsi="Calibri" w:cs="Calibri"/>
          <w:lang w:val="en-GB"/>
        </w:rPr>
        <w:t>T</w:t>
      </w:r>
      <w:r w:rsidR="002027EF" w:rsidRPr="00CB1DAB">
        <w:rPr>
          <w:rFonts w:ascii="Calibri" w:eastAsia="Calibri" w:hAnsi="Calibri" w:cs="Calibri"/>
          <w:lang w:val="en-GB"/>
        </w:rPr>
        <w:t>he</w:t>
      </w:r>
      <w:r w:rsidR="00024C1F" w:rsidRPr="00CB1DAB">
        <w:rPr>
          <w:rFonts w:ascii="Calibri" w:eastAsia="Calibri" w:hAnsi="Calibri" w:cs="Calibri"/>
          <w:lang w:val="en-GB"/>
        </w:rPr>
        <w:t xml:space="preserve"> Government has invested in several programs </w:t>
      </w:r>
      <w:r w:rsidR="00912308" w:rsidRPr="00CB1DAB">
        <w:rPr>
          <w:rFonts w:ascii="Calibri" w:eastAsia="Calibri" w:hAnsi="Calibri" w:cs="Calibri"/>
          <w:lang w:val="en-GB"/>
        </w:rPr>
        <w:t xml:space="preserve">to </w:t>
      </w:r>
      <w:r w:rsidR="00024C1F" w:rsidRPr="00CB1DAB">
        <w:t>support the development and delivery of training to health practitioners providing trauma informed care</w:t>
      </w:r>
      <w:r w:rsidR="00912308" w:rsidRPr="00CB1DAB">
        <w:t>. This includes</w:t>
      </w:r>
      <w:r w:rsidR="00024C1F" w:rsidRPr="00CB1DAB">
        <w:t>:</w:t>
      </w:r>
    </w:p>
    <w:p w14:paraId="62D2B32E" w14:textId="5D9E75A8" w:rsidR="00410C7B" w:rsidRPr="00CB1DAB" w:rsidRDefault="00024C1F" w:rsidP="00326B55">
      <w:pPr>
        <w:pStyle w:val="ListParagraph"/>
        <w:numPr>
          <w:ilvl w:val="0"/>
          <w:numId w:val="50"/>
        </w:numPr>
        <w:spacing w:after="120"/>
        <w:ind w:left="714" w:hanging="357"/>
        <w:contextualSpacing w:val="0"/>
        <w:rPr>
          <w:sz w:val="24"/>
          <w:szCs w:val="24"/>
        </w:rPr>
      </w:pPr>
      <w:r w:rsidRPr="00CB1DAB">
        <w:rPr>
          <w:sz w:val="24"/>
          <w:szCs w:val="24"/>
        </w:rPr>
        <w:t>Increased support to primary care providers to assist in the early identification and intervention of family, domestic, sexual violence and child sexual abuse</w:t>
      </w:r>
      <w:r w:rsidR="00CC2901" w:rsidRPr="00CB1DAB">
        <w:rPr>
          <w:sz w:val="24"/>
          <w:szCs w:val="24"/>
        </w:rPr>
        <w:t xml:space="preserve"> through</w:t>
      </w:r>
      <w:r w:rsidRPr="00CB1DAB">
        <w:rPr>
          <w:sz w:val="24"/>
          <w:szCs w:val="24"/>
        </w:rPr>
        <w:t xml:space="preserve"> </w:t>
      </w:r>
      <w:r w:rsidR="00410C7B" w:rsidRPr="00CB1DAB">
        <w:rPr>
          <w:sz w:val="24"/>
          <w:szCs w:val="24"/>
        </w:rPr>
        <w:t xml:space="preserve">$48.7 million over </w:t>
      </w:r>
      <w:r w:rsidR="00006B95">
        <w:rPr>
          <w:sz w:val="24"/>
          <w:szCs w:val="24"/>
        </w:rPr>
        <w:t>four</w:t>
      </w:r>
      <w:r w:rsidR="00410C7B" w:rsidRPr="00CB1DAB">
        <w:rPr>
          <w:sz w:val="24"/>
          <w:szCs w:val="24"/>
        </w:rPr>
        <w:t xml:space="preserve"> years from 2022-23 to 2025-26</w:t>
      </w:r>
      <w:r w:rsidR="00912308" w:rsidRPr="00CB1DAB">
        <w:rPr>
          <w:sz w:val="24"/>
          <w:szCs w:val="24"/>
        </w:rPr>
        <w:t xml:space="preserve"> including</w:t>
      </w:r>
      <w:r w:rsidR="001D44CE" w:rsidRPr="00CB1DAB">
        <w:rPr>
          <w:sz w:val="24"/>
          <w:szCs w:val="24"/>
        </w:rPr>
        <w:t>:</w:t>
      </w:r>
      <w:r w:rsidR="00410C7B" w:rsidRPr="00CB1DAB">
        <w:rPr>
          <w:sz w:val="24"/>
          <w:szCs w:val="24"/>
        </w:rPr>
        <w:t xml:space="preserve"> </w:t>
      </w:r>
    </w:p>
    <w:p w14:paraId="4830E638" w14:textId="274D163B" w:rsidR="00410C7B" w:rsidRPr="00CB1DAB" w:rsidRDefault="00410C7B" w:rsidP="00326B55">
      <w:pPr>
        <w:pStyle w:val="ListParagraph"/>
        <w:numPr>
          <w:ilvl w:val="1"/>
          <w:numId w:val="5"/>
        </w:numPr>
        <w:spacing w:after="120"/>
        <w:contextualSpacing w:val="0"/>
        <w:rPr>
          <w:sz w:val="24"/>
          <w:szCs w:val="24"/>
        </w:rPr>
      </w:pPr>
      <w:r w:rsidRPr="00CB1DAB">
        <w:rPr>
          <w:sz w:val="24"/>
          <w:szCs w:val="24"/>
        </w:rPr>
        <w:t>$45.5 million to extend and expand a Primary Health Network</w:t>
      </w:r>
      <w:r w:rsidR="00724213" w:rsidRPr="00CB1DAB">
        <w:rPr>
          <w:sz w:val="24"/>
          <w:szCs w:val="24"/>
        </w:rPr>
        <w:t xml:space="preserve"> (PHN)</w:t>
      </w:r>
      <w:r w:rsidRPr="00CB1DAB">
        <w:rPr>
          <w:sz w:val="24"/>
          <w:szCs w:val="24"/>
        </w:rPr>
        <w:t xml:space="preserve"> pilot. The pilot focuses on the development and delivery of training, resources and capacity building activities for primary care to enhance the capacity to recognise and respond to family, domestic and sexual violence as well as a range of system integration activities to improve the quality of support provided to victim-survivors.</w:t>
      </w:r>
    </w:p>
    <w:p w14:paraId="24115D8C" w14:textId="0C69EDEA" w:rsidR="00410C7B" w:rsidRPr="00CB1DAB" w:rsidRDefault="00410C7B" w:rsidP="00326B55">
      <w:pPr>
        <w:pStyle w:val="ListParagraph"/>
        <w:numPr>
          <w:ilvl w:val="1"/>
          <w:numId w:val="5"/>
        </w:numPr>
        <w:spacing w:after="120"/>
        <w:contextualSpacing w:val="0"/>
        <w:rPr>
          <w:sz w:val="24"/>
          <w:szCs w:val="24"/>
        </w:rPr>
      </w:pPr>
      <w:r w:rsidRPr="00CB1DAB">
        <w:rPr>
          <w:sz w:val="24"/>
          <w:szCs w:val="24"/>
        </w:rPr>
        <w:t>$450,000 to develop nationally consistent sexual violence resources to support the primary care workforce and its engagement with victim</w:t>
      </w:r>
      <w:r w:rsidR="001D44CE" w:rsidRPr="00CB1DAB">
        <w:rPr>
          <w:sz w:val="24"/>
          <w:szCs w:val="24"/>
        </w:rPr>
        <w:noBreakHyphen/>
      </w:r>
      <w:r w:rsidRPr="00CB1DAB">
        <w:rPr>
          <w:sz w:val="24"/>
          <w:szCs w:val="24"/>
        </w:rPr>
        <w:t>survivors.</w:t>
      </w:r>
    </w:p>
    <w:p w14:paraId="0BC233B8" w14:textId="062AFDF9" w:rsidR="00B13176" w:rsidRPr="00CB1DAB" w:rsidRDefault="000C5C6E" w:rsidP="00326B55">
      <w:pPr>
        <w:pStyle w:val="ListParagraph"/>
        <w:numPr>
          <w:ilvl w:val="0"/>
          <w:numId w:val="50"/>
        </w:numPr>
        <w:spacing w:after="120"/>
        <w:ind w:left="714" w:hanging="357"/>
        <w:contextualSpacing w:val="0"/>
        <w:rPr>
          <w:sz w:val="24"/>
          <w:szCs w:val="24"/>
        </w:rPr>
      </w:pPr>
      <w:r w:rsidRPr="00CB1DAB">
        <w:rPr>
          <w:sz w:val="24"/>
          <w:szCs w:val="24"/>
        </w:rPr>
        <w:lastRenderedPageBreak/>
        <w:t>$4.75 million for</w:t>
      </w:r>
      <w:r w:rsidR="00B13176" w:rsidRPr="00CB1DAB">
        <w:rPr>
          <w:sz w:val="24"/>
          <w:szCs w:val="24"/>
        </w:rPr>
        <w:t xml:space="preserve"> Sexual Health and Family Planning </w:t>
      </w:r>
      <w:r w:rsidR="009E76AC" w:rsidRPr="00CB1DAB">
        <w:rPr>
          <w:sz w:val="24"/>
          <w:szCs w:val="24"/>
        </w:rPr>
        <w:t>ACT</w:t>
      </w:r>
      <w:r w:rsidR="00194602" w:rsidRPr="00CB1DAB">
        <w:rPr>
          <w:sz w:val="24"/>
          <w:szCs w:val="24"/>
        </w:rPr>
        <w:t xml:space="preserve"> </w:t>
      </w:r>
      <w:r w:rsidR="00B13176" w:rsidRPr="00CB1DAB">
        <w:rPr>
          <w:sz w:val="24"/>
          <w:szCs w:val="24"/>
        </w:rPr>
        <w:t>to</w:t>
      </w:r>
      <w:r w:rsidR="00194602" w:rsidRPr="00CB1DAB">
        <w:rPr>
          <w:sz w:val="24"/>
          <w:szCs w:val="24"/>
        </w:rPr>
        <w:t xml:space="preserve"> </w:t>
      </w:r>
      <w:r w:rsidRPr="00CB1DAB">
        <w:rPr>
          <w:sz w:val="24"/>
          <w:szCs w:val="24"/>
        </w:rPr>
        <w:t xml:space="preserve">support development of the </w:t>
      </w:r>
      <w:r w:rsidR="00006B95" w:rsidRPr="00CB1DAB">
        <w:rPr>
          <w:sz w:val="24"/>
          <w:szCs w:val="24"/>
        </w:rPr>
        <w:t>family, domestic, sexual violence</w:t>
      </w:r>
      <w:r w:rsidRPr="00CB1DAB">
        <w:rPr>
          <w:sz w:val="24"/>
          <w:szCs w:val="24"/>
        </w:rPr>
        <w:t xml:space="preserve"> service sector to support and educate women with disabilities</w:t>
      </w:r>
      <w:r w:rsidR="001C78BA" w:rsidRPr="00CB1DAB">
        <w:rPr>
          <w:sz w:val="24"/>
          <w:szCs w:val="24"/>
        </w:rPr>
        <w:t>.</w:t>
      </w:r>
    </w:p>
    <w:p w14:paraId="63E65C28" w14:textId="0E4BC509" w:rsidR="00CB0E82" w:rsidRPr="00CB1DAB" w:rsidRDefault="007F04BF" w:rsidP="00326B55">
      <w:pPr>
        <w:pStyle w:val="ListParagraph"/>
        <w:numPr>
          <w:ilvl w:val="0"/>
          <w:numId w:val="50"/>
        </w:numPr>
        <w:spacing w:after="120"/>
        <w:ind w:left="714" w:hanging="357"/>
        <w:contextualSpacing w:val="0"/>
        <w:rPr>
          <w:sz w:val="24"/>
          <w:szCs w:val="24"/>
        </w:rPr>
      </w:pPr>
      <w:r w:rsidRPr="00CB1DAB">
        <w:rPr>
          <w:sz w:val="24"/>
          <w:szCs w:val="24"/>
        </w:rPr>
        <w:t xml:space="preserve">$34 million </w:t>
      </w:r>
      <w:r w:rsidR="00453617" w:rsidRPr="00CB1DAB">
        <w:rPr>
          <w:sz w:val="24"/>
          <w:szCs w:val="24"/>
        </w:rPr>
        <w:t xml:space="preserve">from </w:t>
      </w:r>
      <w:r w:rsidRPr="00CB1DAB">
        <w:rPr>
          <w:sz w:val="24"/>
          <w:szCs w:val="24"/>
        </w:rPr>
        <w:t>2022</w:t>
      </w:r>
      <w:r w:rsidR="00453617" w:rsidRPr="00CB1DAB">
        <w:rPr>
          <w:sz w:val="24"/>
          <w:szCs w:val="24"/>
        </w:rPr>
        <w:t xml:space="preserve">-23 to </w:t>
      </w:r>
      <w:r w:rsidRPr="00CB1DAB">
        <w:rPr>
          <w:sz w:val="24"/>
          <w:szCs w:val="24"/>
        </w:rPr>
        <w:t>20</w:t>
      </w:r>
      <w:r w:rsidR="00453617" w:rsidRPr="00CB1DAB">
        <w:rPr>
          <w:sz w:val="24"/>
          <w:szCs w:val="24"/>
        </w:rPr>
        <w:t>26-</w:t>
      </w:r>
      <w:r w:rsidRPr="00CB1DAB">
        <w:rPr>
          <w:sz w:val="24"/>
          <w:szCs w:val="24"/>
        </w:rPr>
        <w:t>27</w:t>
      </w:r>
      <w:r w:rsidR="00453617" w:rsidRPr="00CB1DAB">
        <w:rPr>
          <w:sz w:val="24"/>
          <w:szCs w:val="24"/>
        </w:rPr>
        <w:t xml:space="preserve"> to Lifeline Australia</w:t>
      </w:r>
      <w:r w:rsidRPr="00CB1DAB">
        <w:rPr>
          <w:sz w:val="24"/>
          <w:szCs w:val="24"/>
        </w:rPr>
        <w:t xml:space="preserve"> </w:t>
      </w:r>
      <w:r w:rsidR="00A56D84" w:rsidRPr="00CB1DAB">
        <w:rPr>
          <w:sz w:val="24"/>
          <w:szCs w:val="24"/>
        </w:rPr>
        <w:t xml:space="preserve">to deliver </w:t>
      </w:r>
      <w:r w:rsidR="00B13176" w:rsidRPr="00CB1DAB">
        <w:rPr>
          <w:sz w:val="24"/>
          <w:szCs w:val="24"/>
        </w:rPr>
        <w:t>DV-alert</w:t>
      </w:r>
      <w:r w:rsidR="00CB385E" w:rsidRPr="00CB1DAB">
        <w:rPr>
          <w:sz w:val="24"/>
          <w:szCs w:val="24"/>
        </w:rPr>
        <w:t xml:space="preserve">, </w:t>
      </w:r>
      <w:r w:rsidR="00B13176" w:rsidRPr="00CB1DAB">
        <w:rPr>
          <w:sz w:val="24"/>
          <w:szCs w:val="24"/>
        </w:rPr>
        <w:t xml:space="preserve">a free nationally accredited training program to help health, allied health and community frontline workers better understand and identify domestic and family violence and improve their referral and support skills. DV-alert also offers accredited specialised streams </w:t>
      </w:r>
      <w:r w:rsidR="001C78BA" w:rsidRPr="00CB1DAB">
        <w:rPr>
          <w:sz w:val="24"/>
          <w:szCs w:val="24"/>
        </w:rPr>
        <w:t xml:space="preserve">to </w:t>
      </w:r>
      <w:r w:rsidR="00B13176" w:rsidRPr="00CB1DAB">
        <w:rPr>
          <w:sz w:val="24"/>
          <w:szCs w:val="24"/>
        </w:rPr>
        <w:t xml:space="preserve">train frontline workers in the specific needs of </w:t>
      </w:r>
      <w:r w:rsidR="001C78BA" w:rsidRPr="00CB1DAB">
        <w:rPr>
          <w:sz w:val="24"/>
          <w:szCs w:val="24"/>
        </w:rPr>
        <w:t xml:space="preserve">particular cohorts, including </w:t>
      </w:r>
      <w:r w:rsidR="00AF6759" w:rsidRPr="00CB1DAB">
        <w:rPr>
          <w:sz w:val="24"/>
          <w:szCs w:val="24"/>
        </w:rPr>
        <w:t>First Nations</w:t>
      </w:r>
      <w:r w:rsidR="001C78BA" w:rsidRPr="00CB1DAB">
        <w:rPr>
          <w:sz w:val="24"/>
          <w:szCs w:val="24"/>
        </w:rPr>
        <w:t>, CALD</w:t>
      </w:r>
      <w:r w:rsidR="00B13176" w:rsidRPr="00CB1DAB">
        <w:rPr>
          <w:sz w:val="24"/>
          <w:szCs w:val="24"/>
        </w:rPr>
        <w:t xml:space="preserve"> </w:t>
      </w:r>
      <w:r w:rsidR="001C78BA" w:rsidRPr="00CB1DAB">
        <w:rPr>
          <w:sz w:val="24"/>
          <w:szCs w:val="24"/>
        </w:rPr>
        <w:t xml:space="preserve">and </w:t>
      </w:r>
      <w:r w:rsidR="00B13176" w:rsidRPr="00CB1DAB">
        <w:rPr>
          <w:sz w:val="24"/>
          <w:szCs w:val="24"/>
        </w:rPr>
        <w:t>women with disability, and in specific skills such as working with interpreters and recognising complex forms of violence</w:t>
      </w:r>
      <w:r w:rsidR="00C757F8" w:rsidRPr="00CB1DAB">
        <w:rPr>
          <w:sz w:val="24"/>
          <w:szCs w:val="24"/>
        </w:rPr>
        <w:t>.</w:t>
      </w:r>
    </w:p>
    <w:p w14:paraId="754F967D" w14:textId="3A8EB851" w:rsidR="00400FFF" w:rsidRPr="00CB1DAB" w:rsidRDefault="007F04BF" w:rsidP="00326B55">
      <w:pPr>
        <w:pStyle w:val="ListParagraph"/>
        <w:numPr>
          <w:ilvl w:val="0"/>
          <w:numId w:val="50"/>
        </w:numPr>
        <w:spacing w:after="120"/>
        <w:ind w:left="714" w:hanging="357"/>
        <w:contextualSpacing w:val="0"/>
        <w:rPr>
          <w:sz w:val="24"/>
          <w:szCs w:val="24"/>
        </w:rPr>
      </w:pPr>
      <w:r w:rsidRPr="00CB1DAB">
        <w:rPr>
          <w:sz w:val="24"/>
          <w:szCs w:val="24"/>
        </w:rPr>
        <w:t>$6.4 million from 2022-23</w:t>
      </w:r>
      <w:r w:rsidR="003536C2" w:rsidRPr="00CB1DAB">
        <w:rPr>
          <w:sz w:val="24"/>
          <w:szCs w:val="24"/>
        </w:rPr>
        <w:t xml:space="preserve"> to 2026-27</w:t>
      </w:r>
      <w:r w:rsidR="007F25A8" w:rsidRPr="00CB1DAB">
        <w:rPr>
          <w:sz w:val="24"/>
          <w:szCs w:val="24"/>
        </w:rPr>
        <w:t xml:space="preserve"> for Monash University</w:t>
      </w:r>
      <w:r w:rsidRPr="00CB1DAB">
        <w:rPr>
          <w:sz w:val="24"/>
          <w:szCs w:val="24"/>
        </w:rPr>
        <w:t xml:space="preserve"> to deliver the Accredited Training for Sexual Violence Responses program</w:t>
      </w:r>
      <w:r w:rsidR="003536C2" w:rsidRPr="00CB1DAB">
        <w:rPr>
          <w:sz w:val="24"/>
          <w:szCs w:val="24"/>
        </w:rPr>
        <w:t xml:space="preserve">, including to </w:t>
      </w:r>
      <w:r w:rsidRPr="00CB1DAB">
        <w:rPr>
          <w:sz w:val="24"/>
          <w:szCs w:val="24"/>
        </w:rPr>
        <w:t xml:space="preserve">medical professionals. </w:t>
      </w:r>
      <w:r w:rsidR="00434234" w:rsidRPr="00CB1DAB">
        <w:rPr>
          <w:sz w:val="24"/>
          <w:szCs w:val="24"/>
        </w:rPr>
        <w:t>Th</w:t>
      </w:r>
      <w:r w:rsidR="00D419CC" w:rsidRPr="00CB1DAB">
        <w:rPr>
          <w:sz w:val="24"/>
          <w:szCs w:val="24"/>
        </w:rPr>
        <w:t>is</w:t>
      </w:r>
      <w:r w:rsidR="00434234" w:rsidRPr="00CB1DAB">
        <w:rPr>
          <w:sz w:val="24"/>
          <w:szCs w:val="24"/>
        </w:rPr>
        <w:t xml:space="preserve"> training</w:t>
      </w:r>
      <w:r w:rsidR="00D419CC" w:rsidRPr="00CB1DAB">
        <w:rPr>
          <w:sz w:val="24"/>
          <w:szCs w:val="24"/>
        </w:rPr>
        <w:t xml:space="preserve"> educates medical professionals</w:t>
      </w:r>
      <w:r w:rsidR="00434234" w:rsidRPr="00CB1DAB">
        <w:rPr>
          <w:sz w:val="24"/>
          <w:szCs w:val="24"/>
        </w:rPr>
        <w:t xml:space="preserve"> on how to respond to victims of sexual violence in a way supports the victim’s safety and autonomy and covers responding to sexual violence in at-risk patients.</w:t>
      </w:r>
      <w:r w:rsidR="00D419CC" w:rsidRPr="00CB1DAB" w:rsidDel="00D419CC">
        <w:rPr>
          <w:sz w:val="24"/>
          <w:szCs w:val="24"/>
        </w:rPr>
        <w:t xml:space="preserve"> </w:t>
      </w:r>
    </w:p>
    <w:p w14:paraId="692A2C6D" w14:textId="77777777" w:rsidR="009F1522" w:rsidRPr="00CB1DAB" w:rsidRDefault="009F1522" w:rsidP="009F1522">
      <w:pPr>
        <w:spacing w:after="120"/>
        <w:ind w:left="360"/>
      </w:pPr>
      <w:r w:rsidRPr="00CB1DAB">
        <w:t>The Government has invested in several programs to increase the Aboriginal and Torres Strait Islander workforce, and to support the development and delivery of training to health practitioners providing care to Aboriginal and Torres Strait Islander peoples. This includes:</w:t>
      </w:r>
    </w:p>
    <w:p w14:paraId="11F73242" w14:textId="77777777" w:rsidR="009F1522" w:rsidRPr="00CB1DAB" w:rsidRDefault="009F1522" w:rsidP="00326B55">
      <w:pPr>
        <w:pStyle w:val="ListParagraph"/>
        <w:numPr>
          <w:ilvl w:val="0"/>
          <w:numId w:val="50"/>
        </w:numPr>
        <w:spacing w:after="120"/>
        <w:ind w:left="714" w:hanging="357"/>
        <w:contextualSpacing w:val="0"/>
        <w:rPr>
          <w:sz w:val="24"/>
          <w:szCs w:val="24"/>
        </w:rPr>
      </w:pPr>
      <w:r w:rsidRPr="00CB1DAB">
        <w:rPr>
          <w:sz w:val="24"/>
          <w:szCs w:val="24"/>
        </w:rPr>
        <w:t>Funding Aboriginal and Torres Strait Islander Health Professional Organisations $52.96 million over four years (2022-23 to 2025-26) to support and develop the growing Aboriginal and Torres Strait Islander health workforce. Funding also supports work to increase the cultural capability of the broader health workforce, to support better care of Aboriginal and Torres Strait Islander people.</w:t>
      </w:r>
    </w:p>
    <w:p w14:paraId="534FCD97" w14:textId="05EABD7D" w:rsidR="009F1522" w:rsidRPr="00CB1DAB" w:rsidRDefault="009F1522" w:rsidP="00326B55">
      <w:pPr>
        <w:pStyle w:val="ListParagraph"/>
        <w:numPr>
          <w:ilvl w:val="0"/>
          <w:numId w:val="50"/>
        </w:numPr>
        <w:spacing w:after="120"/>
        <w:ind w:left="714" w:hanging="357"/>
        <w:contextualSpacing w:val="0"/>
        <w:rPr>
          <w:sz w:val="24"/>
          <w:szCs w:val="24"/>
        </w:rPr>
      </w:pPr>
      <w:r w:rsidRPr="00CB1DAB">
        <w:rPr>
          <w:sz w:val="24"/>
          <w:szCs w:val="24"/>
        </w:rPr>
        <w:t>Investing $54.3 million over five years (2022-23 to 2026-27) for the First Nations Health Worker Traineeship Program. The program will support up to 500 First Nations trainees to become Aboriginal Health Workers or Health Practitioners and work across various health settings to deliver culturally appropriate care.</w:t>
      </w:r>
    </w:p>
    <w:p w14:paraId="378EFBDD" w14:textId="62997D46" w:rsidR="009F1522" w:rsidRPr="00CB1DAB" w:rsidRDefault="009F1522" w:rsidP="00326B55">
      <w:pPr>
        <w:pStyle w:val="ListParagraph"/>
        <w:numPr>
          <w:ilvl w:val="0"/>
          <w:numId w:val="50"/>
        </w:numPr>
        <w:spacing w:after="120"/>
        <w:ind w:left="714" w:hanging="357"/>
        <w:contextualSpacing w:val="0"/>
        <w:rPr>
          <w:sz w:val="24"/>
          <w:szCs w:val="24"/>
        </w:rPr>
      </w:pPr>
      <w:r w:rsidRPr="00CB1DAB">
        <w:rPr>
          <w:sz w:val="24"/>
          <w:szCs w:val="24"/>
        </w:rPr>
        <w:t>Funding the Indigenous Health Workforce Traineeship Program to provide $20.5</w:t>
      </w:r>
      <w:r w:rsidR="003A3D3A" w:rsidRPr="00CB1DAB">
        <w:rPr>
          <w:sz w:val="24"/>
          <w:szCs w:val="24"/>
        </w:rPr>
        <w:t> </w:t>
      </w:r>
      <w:r w:rsidRPr="00CB1DAB">
        <w:rPr>
          <w:sz w:val="24"/>
          <w:szCs w:val="24"/>
        </w:rPr>
        <w:t>million over five years (2020-21 to 2024-25) to approved NACCHO affiliates. The program aims to improve Aboriginal and Torres Strait Islander health through building the capacity of Aboriginal Community Controlled Health Services to provide culturally appropriate health care.</w:t>
      </w:r>
    </w:p>
    <w:p w14:paraId="0361173E" w14:textId="60339CC7" w:rsidR="009F1522" w:rsidRPr="00CB1DAB" w:rsidRDefault="009F1522" w:rsidP="009F1522">
      <w:pPr>
        <w:spacing w:after="120"/>
        <w:ind w:left="363"/>
      </w:pPr>
      <w:r w:rsidRPr="00CB1DAB">
        <w:t xml:space="preserve">Further, the National Aboriginal and Torres Strait Islander Health Workforce Strategic Framework and Implementation Plan 2021-31 (Workforce Plan) was co-designed in genuine partnership with the sector and has been endorsed by the Commonwealth, territory and state </w:t>
      </w:r>
      <w:r w:rsidR="009A2CC5">
        <w:t>H</w:t>
      </w:r>
      <w:r w:rsidRPr="00CB1DAB">
        <w:t xml:space="preserve">ealth Ministers. The Workforce Plan sets the target that Aboriginal and Torres Strait Islander peoples are fully represented in the health workforce by 2031 and aims to strengthen the cultural safety of the health system more broadly. </w:t>
      </w:r>
    </w:p>
    <w:p w14:paraId="0C40057F" w14:textId="77777777" w:rsidR="009F1522" w:rsidRPr="00CB1DAB" w:rsidRDefault="009F1522" w:rsidP="009F1522">
      <w:pPr>
        <w:spacing w:after="120"/>
        <w:ind w:left="360"/>
      </w:pPr>
    </w:p>
    <w:p w14:paraId="094D34D2" w14:textId="3F7037D6" w:rsidR="00400FFF" w:rsidRPr="00CB1DAB" w:rsidRDefault="00400FFF" w:rsidP="00EE1D82">
      <w:pPr>
        <w:pageBreakBefore/>
        <w:pBdr>
          <w:bottom w:val="single" w:sz="6" w:space="1" w:color="auto"/>
        </w:pBdr>
        <w:spacing w:after="120"/>
        <w:rPr>
          <w:b/>
          <w:bCs/>
        </w:rPr>
      </w:pPr>
      <w:bookmarkStart w:id="10" w:name="_Hlk167282788"/>
      <w:r w:rsidRPr="00CB1DAB">
        <w:rPr>
          <w:b/>
          <w:bCs/>
        </w:rPr>
        <w:lastRenderedPageBreak/>
        <w:t>Recommendation 25</w:t>
      </w:r>
    </w:p>
    <w:p w14:paraId="39712AD7" w14:textId="265CC350" w:rsidR="00400FFF" w:rsidRPr="00CB1DAB" w:rsidRDefault="00400FFF" w:rsidP="009C6998">
      <w:pPr>
        <w:spacing w:before="240" w:after="240"/>
        <w:rPr>
          <w:i/>
          <w:iCs/>
        </w:rPr>
      </w:pPr>
      <w:r w:rsidRPr="00CB1DAB">
        <w:rPr>
          <w:i/>
          <w:iCs/>
        </w:rPr>
        <w:t xml:space="preserve">25: The Committee recommends that the Australian Government consider options and incentives to expand the culturally and linguistically diverse (CALD) sexual and reproductive health workforce including leveraging the success of the 'Health in My Language' program. </w:t>
      </w:r>
    </w:p>
    <w:p w14:paraId="270641DA" w14:textId="4FB3A217" w:rsidR="00775220" w:rsidRPr="00CB1DAB" w:rsidRDefault="00775220"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2BA6A742" w14:textId="77777777" w:rsidR="000A6C79" w:rsidRPr="00CB1DAB" w:rsidRDefault="00D826BE" w:rsidP="00EE1D82">
      <w:pPr>
        <w:spacing w:after="120"/>
      </w:pPr>
      <w:r w:rsidRPr="00CB1DAB">
        <w:t xml:space="preserve">The Government is committed to </w:t>
      </w:r>
      <w:r w:rsidR="00265A0F" w:rsidRPr="00CB1DAB">
        <w:t>expanding representation of Australia’s multicultural population in the health</w:t>
      </w:r>
      <w:r w:rsidRPr="00CB1DAB">
        <w:t xml:space="preserve"> workforce </w:t>
      </w:r>
      <w:r w:rsidR="00265A0F" w:rsidRPr="00CB1DAB">
        <w:t>including</w:t>
      </w:r>
      <w:r w:rsidRPr="00CB1DAB">
        <w:t xml:space="preserve"> sexual and reproductive health </w:t>
      </w:r>
      <w:r w:rsidR="00265A0F" w:rsidRPr="00CB1DAB">
        <w:t>workforce</w:t>
      </w:r>
      <w:r w:rsidRPr="00CB1DAB">
        <w:t xml:space="preserve">. </w:t>
      </w:r>
    </w:p>
    <w:p w14:paraId="5DB753C7" w14:textId="65BAF547" w:rsidR="00F378E2" w:rsidRPr="00CB1DAB" w:rsidRDefault="00F378E2" w:rsidP="00F378E2">
      <w:pPr>
        <w:spacing w:after="120"/>
      </w:pPr>
      <w:r w:rsidRPr="00CB1DAB">
        <w:t xml:space="preserve">Funding of $18.9 million has been provided over </w:t>
      </w:r>
      <w:r w:rsidR="009A2CC5">
        <w:t>four</w:t>
      </w:r>
      <w:r w:rsidRPr="00CB1DAB">
        <w:t xml:space="preserve"> years (2021</w:t>
      </w:r>
      <w:r w:rsidRPr="00CB1DAB">
        <w:rPr>
          <w:rFonts w:ascii="Calibri" w:eastAsia="Calibri" w:hAnsi="Calibri" w:cs="Calibri"/>
          <w:color w:val="000000" w:themeColor="text1"/>
        </w:rPr>
        <w:t>–</w:t>
      </w:r>
      <w:r w:rsidRPr="00CB1DAB">
        <w:t>22 to 2024</w:t>
      </w:r>
      <w:r w:rsidRPr="00CB1DAB">
        <w:rPr>
          <w:rFonts w:ascii="Calibri" w:eastAsia="Calibri" w:hAnsi="Calibri" w:cs="Calibri"/>
          <w:color w:val="000000" w:themeColor="text1"/>
        </w:rPr>
        <w:t>–</w:t>
      </w:r>
      <w:r w:rsidRPr="00CB1DAB">
        <w:t>25) for the delivery of the national bicultural health educator program, Health in My Language (HIML). The program provides people from CALD communities, including migrants and refugees, with opportunities to talk with trained professionals about COVID-19 and other health and wellbeing matters</w:t>
      </w:r>
      <w:r w:rsidR="002F3F49" w:rsidRPr="00CB1DAB">
        <w:t>. Through funding provided in the 2024-25 Budget,</w:t>
      </w:r>
      <w:r w:rsidR="00F50AEA" w:rsidRPr="00CB1DAB">
        <w:t xml:space="preserve"> valued at $5.6 million</w:t>
      </w:r>
      <w:r w:rsidR="00150119" w:rsidRPr="00CB1DAB">
        <w:t>,</w:t>
      </w:r>
      <w:r w:rsidR="002F3F49" w:rsidRPr="00CB1DAB">
        <w:t xml:space="preserve"> the program is pivoting to specifically target CALD women on sexual and reproductive health</w:t>
      </w:r>
      <w:r w:rsidRPr="00CB1DAB">
        <w:t xml:space="preserve">. </w:t>
      </w:r>
    </w:p>
    <w:p w14:paraId="2D4F8369" w14:textId="243F77FC" w:rsidR="00265A0F" w:rsidRPr="00CB1DAB" w:rsidRDefault="00F378E2" w:rsidP="008A2F40">
      <w:pPr>
        <w:spacing w:after="120"/>
        <w:rPr>
          <w:rFonts w:cstheme="minorHAnsi"/>
        </w:rPr>
      </w:pPr>
      <w:r w:rsidRPr="00CB1DAB">
        <w:t>An evaluation of the HIML program is being supported by $0.94 million provided in the 2023</w:t>
      </w:r>
      <w:r w:rsidRPr="00CB1DAB">
        <w:rPr>
          <w:rFonts w:ascii="Calibri" w:eastAsia="Calibri" w:hAnsi="Calibri" w:cs="Calibri"/>
          <w:color w:val="000000" w:themeColor="text1"/>
        </w:rPr>
        <w:t>–</w:t>
      </w:r>
      <w:r w:rsidRPr="00CB1DAB">
        <w:t xml:space="preserve">24 Budget to </w:t>
      </w:r>
      <w:r w:rsidR="002F3F49" w:rsidRPr="00CB1DAB">
        <w:t>review</w:t>
      </w:r>
      <w:r w:rsidRPr="00CB1DAB">
        <w:t xml:space="preserve"> activities undertaken by multicultural communities to support CALD communities throughout the COVID-19 Vaccine rollout.</w:t>
      </w:r>
      <w:r w:rsidR="008D0138" w:rsidRPr="00CB1DAB">
        <w:t xml:space="preserve"> </w:t>
      </w:r>
      <w:r w:rsidR="00265A0F" w:rsidRPr="00CB1DAB">
        <w:rPr>
          <w:rFonts w:cstheme="minorHAnsi"/>
        </w:rPr>
        <w:t>The Review will build an evidence</w:t>
      </w:r>
      <w:r w:rsidR="009A2CC5">
        <w:rPr>
          <w:rFonts w:cstheme="minorHAnsi"/>
        </w:rPr>
        <w:t>-</w:t>
      </w:r>
      <w:r w:rsidR="00265A0F" w:rsidRPr="00CB1DAB">
        <w:rPr>
          <w:rFonts w:cstheme="minorHAnsi"/>
        </w:rPr>
        <w:t>base to inform a co-designed COVID-19 engagement strategy to activate culturally</w:t>
      </w:r>
      <w:r w:rsidR="00F3573A" w:rsidRPr="00CB1DAB">
        <w:rPr>
          <w:rFonts w:cstheme="minorHAnsi"/>
        </w:rPr>
        <w:t xml:space="preserve"> </w:t>
      </w:r>
      <w:r w:rsidR="00265A0F" w:rsidRPr="00CB1DAB">
        <w:rPr>
          <w:rFonts w:cstheme="minorHAnsi"/>
        </w:rPr>
        <w:t>safe responses to address factors influencing COVID-19 vaccine uptake across CALD communities and to inform future public health responses.</w:t>
      </w:r>
    </w:p>
    <w:p w14:paraId="64A1DF6D" w14:textId="62B58D65" w:rsidR="002C59AD" w:rsidRPr="00CB1DAB" w:rsidRDefault="000B4FD6" w:rsidP="008A2F40">
      <w:pPr>
        <w:spacing w:after="120"/>
        <w:rPr>
          <w:rFonts w:cstheme="minorHAnsi"/>
        </w:rPr>
      </w:pPr>
      <w:r w:rsidRPr="00CB1DAB">
        <w:rPr>
          <w:rFonts w:cstheme="minorHAnsi"/>
        </w:rPr>
        <w:t>T</w:t>
      </w:r>
      <w:r w:rsidR="00F3573A" w:rsidRPr="00CB1DAB">
        <w:rPr>
          <w:rFonts w:cstheme="minorHAnsi"/>
        </w:rPr>
        <w:t>he 2023-24 Budget</w:t>
      </w:r>
      <w:r w:rsidR="00CB0F3A" w:rsidRPr="00CB1DAB">
        <w:rPr>
          <w:rFonts w:cstheme="minorHAnsi"/>
        </w:rPr>
        <w:t xml:space="preserve"> provided the</w:t>
      </w:r>
      <w:r w:rsidR="00506AAF" w:rsidRPr="00CB1DAB">
        <w:rPr>
          <w:rFonts w:cstheme="minorHAnsi"/>
        </w:rPr>
        <w:t xml:space="preserve"> Federation of Ethnic Communities’ Councils of Australia</w:t>
      </w:r>
      <w:r w:rsidR="00F51139" w:rsidRPr="00CB1DAB">
        <w:rPr>
          <w:rFonts w:cstheme="minorHAnsi"/>
        </w:rPr>
        <w:t xml:space="preserve"> (FECCA)</w:t>
      </w:r>
      <w:r w:rsidR="00506AAF" w:rsidRPr="00CB1DAB">
        <w:rPr>
          <w:rFonts w:cstheme="minorHAnsi"/>
        </w:rPr>
        <w:t xml:space="preserve"> </w:t>
      </w:r>
      <w:r w:rsidR="00366B12" w:rsidRPr="00CB1DAB">
        <w:rPr>
          <w:rFonts w:cstheme="minorHAnsi"/>
        </w:rPr>
        <w:t xml:space="preserve">with </w:t>
      </w:r>
      <w:r w:rsidR="00506AAF" w:rsidRPr="00CB1DAB">
        <w:rPr>
          <w:rFonts w:cstheme="minorHAnsi"/>
        </w:rPr>
        <w:t>$2.5</w:t>
      </w:r>
      <w:r w:rsidR="00366B12" w:rsidRPr="00CB1DAB">
        <w:t> </w:t>
      </w:r>
      <w:r w:rsidR="00506AAF" w:rsidRPr="00CB1DAB">
        <w:rPr>
          <w:rFonts w:cstheme="minorHAnsi"/>
        </w:rPr>
        <w:t xml:space="preserve">million over </w:t>
      </w:r>
      <w:r w:rsidR="003A3D3A" w:rsidRPr="00CB1DAB">
        <w:rPr>
          <w:rFonts w:cstheme="minorHAnsi"/>
        </w:rPr>
        <w:t>four</w:t>
      </w:r>
      <w:r w:rsidR="001D44CE" w:rsidRPr="00CB1DAB">
        <w:rPr>
          <w:rFonts w:cstheme="minorHAnsi"/>
        </w:rPr>
        <w:t xml:space="preserve"> </w:t>
      </w:r>
      <w:r w:rsidR="00506AAF" w:rsidRPr="00CB1DAB">
        <w:rPr>
          <w:rFonts w:cstheme="minorHAnsi"/>
        </w:rPr>
        <w:t>years in seed funding towards the Australian Multicultural Collaborative (the Collaborative), to support the engagement of health consumers from CALD backgrounds in the design and implementation of the Strengthening Medicare reforms.</w:t>
      </w:r>
      <w:r w:rsidR="002F3F49" w:rsidRPr="00CB1DAB">
        <w:rPr>
          <w:rFonts w:cstheme="minorHAnsi"/>
        </w:rPr>
        <w:t xml:space="preserve"> </w:t>
      </w:r>
    </w:p>
    <w:p w14:paraId="17AA6D43" w14:textId="1959A131" w:rsidR="00075408" w:rsidRPr="00CB1DAB" w:rsidRDefault="00CB0F3A" w:rsidP="008A2F40">
      <w:pPr>
        <w:spacing w:after="120"/>
        <w:rPr>
          <w:rFonts w:cstheme="minorHAnsi"/>
        </w:rPr>
      </w:pPr>
      <w:r w:rsidRPr="00CB1DAB">
        <w:rPr>
          <w:rFonts w:cstheme="minorHAnsi"/>
        </w:rPr>
        <w:t xml:space="preserve">Additionally, the 2023-24 Budget </w:t>
      </w:r>
      <w:r w:rsidR="00606D51" w:rsidRPr="00CB1DAB">
        <w:rPr>
          <w:rFonts w:cstheme="minorHAnsi"/>
        </w:rPr>
        <w:t xml:space="preserve">allocated $20 million over </w:t>
      </w:r>
      <w:r w:rsidR="003A3D3A" w:rsidRPr="00CB1DAB">
        <w:rPr>
          <w:rFonts w:cstheme="minorHAnsi"/>
        </w:rPr>
        <w:t>two</w:t>
      </w:r>
      <w:r w:rsidR="00606D51" w:rsidRPr="00CB1DAB">
        <w:rPr>
          <w:rFonts w:cstheme="minorHAnsi"/>
        </w:rPr>
        <w:t xml:space="preserve"> years to establish a new PHN</w:t>
      </w:r>
      <w:r w:rsidR="00724213" w:rsidRPr="00CB1DAB">
        <w:rPr>
          <w:rFonts w:cstheme="minorHAnsi"/>
        </w:rPr>
        <w:t xml:space="preserve"> </w:t>
      </w:r>
      <w:r w:rsidR="00606D51" w:rsidRPr="00CB1DAB">
        <w:rPr>
          <w:rFonts w:cstheme="minorHAnsi"/>
        </w:rPr>
        <w:t>Multicultural Access Program for PHN</w:t>
      </w:r>
      <w:r w:rsidR="009A2CC5">
        <w:rPr>
          <w:rFonts w:cstheme="minorHAnsi"/>
        </w:rPr>
        <w:t>s</w:t>
      </w:r>
      <w:r w:rsidR="00606D51" w:rsidRPr="00CB1DAB">
        <w:rPr>
          <w:rFonts w:cstheme="minorHAnsi"/>
        </w:rPr>
        <w:t xml:space="preserve"> to commission services to support </w:t>
      </w:r>
      <w:r w:rsidR="00724213" w:rsidRPr="00CB1DAB">
        <w:rPr>
          <w:rFonts w:cstheme="minorHAnsi"/>
        </w:rPr>
        <w:t>CALD</w:t>
      </w:r>
      <w:r w:rsidR="00606D51" w:rsidRPr="00CB1DAB">
        <w:rPr>
          <w:rFonts w:cstheme="minorHAnsi"/>
        </w:rPr>
        <w:t xml:space="preserve"> communities to access primary care services.</w:t>
      </w:r>
      <w:r w:rsidR="00506AAF" w:rsidRPr="00CB1DAB">
        <w:rPr>
          <w:rFonts w:cstheme="minorHAnsi"/>
        </w:rPr>
        <w:t xml:space="preserve"> Sexual and reproductive health services, support, navigation, </w:t>
      </w:r>
      <w:r w:rsidR="00C13B36" w:rsidRPr="00CB1DAB">
        <w:rPr>
          <w:rFonts w:cstheme="minorHAnsi"/>
        </w:rPr>
        <w:t xml:space="preserve">and </w:t>
      </w:r>
      <w:r w:rsidR="00506AAF" w:rsidRPr="00CB1DAB">
        <w:rPr>
          <w:rFonts w:cstheme="minorHAnsi"/>
        </w:rPr>
        <w:t xml:space="preserve">information </w:t>
      </w:r>
      <w:r w:rsidR="000942A4" w:rsidRPr="00CB1DAB">
        <w:rPr>
          <w:rFonts w:cstheme="minorHAnsi"/>
        </w:rPr>
        <w:t>is</w:t>
      </w:r>
      <w:r w:rsidR="00506AAF" w:rsidRPr="00CB1DAB">
        <w:rPr>
          <w:rFonts w:cstheme="minorHAnsi"/>
        </w:rPr>
        <w:t xml:space="preserve"> in scope for the funding if it is identified as a need based on local needs assessment</w:t>
      </w:r>
      <w:r w:rsidR="009A2CC5">
        <w:rPr>
          <w:rFonts w:cstheme="minorHAnsi"/>
        </w:rPr>
        <w:t>s</w:t>
      </w:r>
      <w:r w:rsidR="00724213" w:rsidRPr="00CB1DAB">
        <w:rPr>
          <w:rFonts w:cstheme="minorHAnsi"/>
        </w:rPr>
        <w:t>.</w:t>
      </w:r>
      <w:r w:rsidR="00506AAF" w:rsidRPr="00CB1DAB">
        <w:rPr>
          <w:rFonts w:cstheme="minorHAnsi"/>
        </w:rPr>
        <w:t xml:space="preserve"> </w:t>
      </w:r>
    </w:p>
    <w:bookmarkEnd w:id="10"/>
    <w:p w14:paraId="5F888876" w14:textId="41D1D7BA" w:rsidR="00075408" w:rsidRPr="00CB1DAB" w:rsidRDefault="00075408" w:rsidP="00EE1D82">
      <w:pPr>
        <w:pStyle w:val="Default"/>
        <w:spacing w:after="120"/>
        <w:rPr>
          <w:rFonts w:asciiTheme="minorHAnsi" w:hAnsiTheme="minorHAnsi" w:cstheme="minorHAnsi"/>
        </w:rPr>
      </w:pPr>
    </w:p>
    <w:p w14:paraId="6296E302" w14:textId="3C14C324" w:rsidR="00400FFF" w:rsidRPr="00CB1DAB" w:rsidRDefault="00400FFF" w:rsidP="00EE1D82">
      <w:pPr>
        <w:pageBreakBefore/>
        <w:pBdr>
          <w:bottom w:val="single" w:sz="6" w:space="1" w:color="auto"/>
        </w:pBdr>
        <w:spacing w:after="120"/>
        <w:rPr>
          <w:b/>
          <w:bCs/>
        </w:rPr>
      </w:pPr>
      <w:r w:rsidRPr="00CB1DAB">
        <w:rPr>
          <w:b/>
          <w:bCs/>
        </w:rPr>
        <w:lastRenderedPageBreak/>
        <w:t>Recommendation 26</w:t>
      </w:r>
      <w:r w:rsidR="00EB5FD6" w:rsidRPr="00CB1DAB">
        <w:rPr>
          <w:b/>
          <w:bCs/>
        </w:rPr>
        <w:t xml:space="preserve"> and Recommendation 27</w:t>
      </w:r>
    </w:p>
    <w:p w14:paraId="518FAAFA" w14:textId="3BD3E819" w:rsidR="00400FFF" w:rsidRPr="00CB1DAB" w:rsidRDefault="00400FFF" w:rsidP="009C6998">
      <w:pPr>
        <w:spacing w:before="240" w:after="240"/>
        <w:rPr>
          <w:i/>
          <w:iCs/>
        </w:rPr>
      </w:pPr>
      <w:r w:rsidRPr="00CB1DAB">
        <w:rPr>
          <w:i/>
          <w:iCs/>
        </w:rPr>
        <w:t>26: The Committee recommends that the Department of Health and Aged Care consider sexual and reproductive healthcare for LGBTIQA+ people in the context of the 10-year National Action Plan for the Health and Wellbeing of LGBTIQA+ people.</w:t>
      </w:r>
    </w:p>
    <w:p w14:paraId="20716AC4" w14:textId="4A30351E" w:rsidR="00EB5FD6" w:rsidRPr="00CB1DAB" w:rsidRDefault="00EB5FD6" w:rsidP="009C6998">
      <w:pPr>
        <w:spacing w:before="240" w:after="240"/>
        <w:rPr>
          <w:i/>
          <w:iCs/>
        </w:rPr>
      </w:pPr>
      <w:r w:rsidRPr="00CB1DAB">
        <w:rPr>
          <w:i/>
          <w:iCs/>
        </w:rPr>
        <w:t>27: The Committee recommends that the Australian Government consult with people with innate variations of sex characteristics regarding surgical interventions in the context of the 10-year National Action Plan on the Health and Wellbeing of LGBTIQA+.</w:t>
      </w:r>
    </w:p>
    <w:p w14:paraId="6B73B4BC" w14:textId="0C17FE2D" w:rsidR="00FC010C" w:rsidRPr="00CB1DAB" w:rsidRDefault="00FC010C" w:rsidP="009C6998">
      <w:pPr>
        <w:spacing w:before="240" w:after="240"/>
      </w:pPr>
      <w:r w:rsidRPr="00CB1DAB">
        <w:rPr>
          <w:rFonts w:cstheme="minorHAnsi"/>
          <w:lang w:eastAsia="en-AU"/>
        </w:rPr>
        <w:t>The Australian Government</w:t>
      </w:r>
      <w:r w:rsidRPr="00CB1DAB">
        <w:rPr>
          <w:b/>
          <w:bCs/>
        </w:rPr>
        <w:t xml:space="preserve"> supports </w:t>
      </w:r>
      <w:r w:rsidRPr="00CB1DAB">
        <w:t>th</w:t>
      </w:r>
      <w:r w:rsidR="00BA0B06" w:rsidRPr="00CB1DAB">
        <w:t>ese</w:t>
      </w:r>
      <w:r w:rsidRPr="00CB1DAB">
        <w:t xml:space="preserve"> recommendation</w:t>
      </w:r>
      <w:r w:rsidR="00BA0B06" w:rsidRPr="00CB1DAB">
        <w:t>s</w:t>
      </w:r>
      <w:r w:rsidRPr="00CB1DAB">
        <w:t>.</w:t>
      </w:r>
    </w:p>
    <w:p w14:paraId="270B09CB" w14:textId="7DACB92E" w:rsidR="009D39D5" w:rsidRPr="00CB1DAB" w:rsidRDefault="003576AA" w:rsidP="009D39D5">
      <w:pPr>
        <w:spacing w:after="120"/>
      </w:pPr>
      <w:r w:rsidRPr="00CB1DAB">
        <w:t xml:space="preserve">Issues related to </w:t>
      </w:r>
      <w:r w:rsidR="00D826BE" w:rsidRPr="00CB1DAB">
        <w:t>sexual and reproductive healthcare for LGBTIQA+ people</w:t>
      </w:r>
      <w:r w:rsidRPr="00CB1DAB">
        <w:t xml:space="preserve"> are highlighted</w:t>
      </w:r>
      <w:r w:rsidR="00D826BE" w:rsidRPr="00CB1DAB">
        <w:t xml:space="preserve"> in the </w:t>
      </w:r>
      <w:r w:rsidR="0093675F" w:rsidRPr="00CB1DAB">
        <w:t>10</w:t>
      </w:r>
      <w:r w:rsidR="0045799F" w:rsidRPr="00CB1DAB">
        <w:t>-</w:t>
      </w:r>
      <w:r w:rsidR="0093675F" w:rsidRPr="00CB1DAB">
        <w:t xml:space="preserve">year </w:t>
      </w:r>
      <w:hyperlink r:id="rId13" w:history="1">
        <w:r w:rsidR="0093675F" w:rsidRPr="00CB1DAB">
          <w:rPr>
            <w:rStyle w:val="Hyperlink"/>
          </w:rPr>
          <w:t xml:space="preserve">National Action Plan for the Health and Wellbeing of LGBTIQA+ </w:t>
        </w:r>
        <w:r w:rsidRPr="00CB1DAB">
          <w:rPr>
            <w:rStyle w:val="Hyperlink"/>
          </w:rPr>
          <w:t>P</w:t>
        </w:r>
        <w:r w:rsidR="0093675F" w:rsidRPr="00CB1DAB">
          <w:rPr>
            <w:rStyle w:val="Hyperlink"/>
          </w:rPr>
          <w:t>eople</w:t>
        </w:r>
        <w:r w:rsidRPr="00CB1DAB">
          <w:rPr>
            <w:rStyle w:val="Hyperlink"/>
          </w:rPr>
          <w:t xml:space="preserve"> 2025</w:t>
        </w:r>
        <w:r w:rsidR="003A3D3A" w:rsidRPr="00CB1DAB">
          <w:rPr>
            <w:rStyle w:val="Hyperlink"/>
          </w:rPr>
          <w:noBreakHyphen/>
        </w:r>
        <w:r w:rsidRPr="00CB1DAB">
          <w:rPr>
            <w:rStyle w:val="Hyperlink"/>
          </w:rPr>
          <w:t>2035</w:t>
        </w:r>
      </w:hyperlink>
      <w:r w:rsidR="009D39D5" w:rsidRPr="00CB1DAB">
        <w:t xml:space="preserve">. The LGBTIQA+ Action Plan </w:t>
      </w:r>
      <w:r w:rsidRPr="00CB1DAB">
        <w:t>was guided</w:t>
      </w:r>
      <w:r w:rsidR="009D39D5" w:rsidRPr="00CB1DAB">
        <w:t xml:space="preserve"> by the LGBTIQA+ Health and Wellbeing 10 Year National Action Plan Expert Advisory Group (EAG) and</w:t>
      </w:r>
      <w:r w:rsidRPr="00CB1DAB">
        <w:t xml:space="preserve"> co-designed with</w:t>
      </w:r>
      <w:r w:rsidR="009D39D5" w:rsidRPr="00CB1DAB">
        <w:t xml:space="preserve"> LGBTIQA+ people</w:t>
      </w:r>
      <w:r w:rsidRPr="00CB1DAB">
        <w:t xml:space="preserve"> with lived experience through extensive consultations</w:t>
      </w:r>
      <w:r w:rsidR="009D39D5" w:rsidRPr="00CB1DAB">
        <w:t xml:space="preserve">. The LGBTIQA+ Action Plan </w:t>
      </w:r>
      <w:r w:rsidRPr="00CB1DAB">
        <w:t xml:space="preserve">was </w:t>
      </w:r>
      <w:r w:rsidR="009D39D5" w:rsidRPr="00CB1DAB">
        <w:t>delivered by Government in</w:t>
      </w:r>
      <w:r w:rsidRPr="00CB1DAB">
        <w:t xml:space="preserve"> December</w:t>
      </w:r>
      <w:r w:rsidR="009D39D5" w:rsidRPr="00CB1DAB">
        <w:t xml:space="preserve"> 2024.</w:t>
      </w:r>
    </w:p>
    <w:p w14:paraId="26FBBCB2" w14:textId="29AD83B2" w:rsidR="003F7125" w:rsidRPr="00CB1DAB" w:rsidRDefault="003576AA" w:rsidP="003F7125">
      <w:pPr>
        <w:spacing w:before="120" w:after="120"/>
        <w:rPr>
          <w:lang w:val="en-US"/>
        </w:rPr>
      </w:pPr>
      <w:r w:rsidRPr="00CB1DAB">
        <w:t>The Government will</w:t>
      </w:r>
      <w:r w:rsidR="003F7125" w:rsidRPr="00CB1DAB">
        <w:t xml:space="preserve"> provide initial investment of $15.5 million to commence system-</w:t>
      </w:r>
      <w:r w:rsidR="00E82F84" w:rsidRPr="00CB1DAB">
        <w:t>w</w:t>
      </w:r>
      <w:r w:rsidR="003F7125" w:rsidRPr="00CB1DAB">
        <w:t xml:space="preserve">ide improvements to give LGBTIQA+ people access to safe, appropriate and stigma-free health and wellbeing care. </w:t>
      </w:r>
      <w:r w:rsidR="003F7125" w:rsidRPr="00CB1DAB">
        <w:rPr>
          <w:lang w:val="en-US"/>
        </w:rPr>
        <w:t>To support the implementation of the Action Plan, the Government has made a series of investments, including:</w:t>
      </w:r>
    </w:p>
    <w:p w14:paraId="2282D32E" w14:textId="77777777" w:rsidR="003F7125" w:rsidRPr="00CB1DAB" w:rsidRDefault="003F7125" w:rsidP="003F7125">
      <w:pPr>
        <w:numPr>
          <w:ilvl w:val="0"/>
          <w:numId w:val="69"/>
        </w:numPr>
        <w:tabs>
          <w:tab w:val="num" w:pos="720"/>
        </w:tabs>
        <w:spacing w:before="120" w:after="120"/>
        <w:rPr>
          <w:lang w:val="en-US"/>
        </w:rPr>
      </w:pPr>
      <w:r w:rsidRPr="00CB1DAB">
        <w:rPr>
          <w:lang w:val="en-US"/>
        </w:rPr>
        <w:t>Establishing a $13 million grants program to scale up dedicated LGBTIQA+ services and support successful initiatives that build the health and wellbeing of LGBTIQA+ communities.</w:t>
      </w:r>
    </w:p>
    <w:p w14:paraId="0FEC4F60" w14:textId="77777777" w:rsidR="003F7125" w:rsidRPr="00CB1DAB" w:rsidRDefault="003F7125" w:rsidP="003F7125">
      <w:pPr>
        <w:numPr>
          <w:ilvl w:val="0"/>
          <w:numId w:val="69"/>
        </w:numPr>
        <w:tabs>
          <w:tab w:val="num" w:pos="720"/>
        </w:tabs>
        <w:spacing w:before="120" w:after="120"/>
        <w:rPr>
          <w:lang w:val="en-US"/>
        </w:rPr>
      </w:pPr>
      <w:r w:rsidRPr="00CB1DAB">
        <w:rPr>
          <w:lang w:val="en-US"/>
        </w:rPr>
        <w:t>Investing $2 million to collect data to underpin priority areas for action through La Trobe University’s ‘Private Lives’ and ‘Writing Themselves In’ health and wellbeing surveys.</w:t>
      </w:r>
    </w:p>
    <w:p w14:paraId="77ADCA2C" w14:textId="77777777" w:rsidR="003F7125" w:rsidRPr="00CB1DAB" w:rsidRDefault="003F7125" w:rsidP="003F7125">
      <w:pPr>
        <w:numPr>
          <w:ilvl w:val="0"/>
          <w:numId w:val="69"/>
        </w:numPr>
        <w:tabs>
          <w:tab w:val="num" w:pos="720"/>
        </w:tabs>
        <w:spacing w:before="120" w:after="120"/>
        <w:rPr>
          <w:lang w:val="en-US"/>
        </w:rPr>
      </w:pPr>
      <w:r w:rsidRPr="00CB1DAB">
        <w:rPr>
          <w:lang w:val="en-US"/>
        </w:rPr>
        <w:t>Providing $500,000 to expand InterAction for Health and Human Rights InterLink program, a community-led professional psychosocial support service for people with innate variations of sex characteristics. </w:t>
      </w:r>
    </w:p>
    <w:p w14:paraId="20D3BD20" w14:textId="7E2D1559" w:rsidR="00CC3FE9" w:rsidRPr="00CB1DAB" w:rsidRDefault="00D826BE" w:rsidP="00EE1D82">
      <w:pPr>
        <w:spacing w:after="120"/>
      </w:pPr>
      <w:r w:rsidRPr="00CB1DAB">
        <w:t>The Government consult</w:t>
      </w:r>
      <w:r w:rsidR="003576AA" w:rsidRPr="00CB1DAB">
        <w:t>ed closely</w:t>
      </w:r>
      <w:r w:rsidRPr="00CB1DAB">
        <w:t xml:space="preserve"> with people with innate variations of sex characteristics regarding surgical interventions in the context of the LGBTIQA+ Action Plan. </w:t>
      </w:r>
      <w:r w:rsidR="00EB5FD6" w:rsidRPr="00CB1DAB">
        <w:t xml:space="preserve">Intersex Human Rights Australia is a member of the EAG guiding development of the </w:t>
      </w:r>
      <w:r w:rsidR="0017517E" w:rsidRPr="00CB1DAB">
        <w:t xml:space="preserve">LGBTIQA+ </w:t>
      </w:r>
      <w:r w:rsidR="00EB5FD6" w:rsidRPr="00CB1DAB">
        <w:t>Action</w:t>
      </w:r>
      <w:r w:rsidR="00F71607" w:rsidRPr="00CB1DAB">
        <w:t> </w:t>
      </w:r>
      <w:r w:rsidR="00EB5FD6" w:rsidRPr="00CB1DAB">
        <w:t>Plan</w:t>
      </w:r>
      <w:r w:rsidR="00F71607" w:rsidRPr="00CB1DAB">
        <w:t xml:space="preserve">. </w:t>
      </w:r>
    </w:p>
    <w:p w14:paraId="5CDF1574" w14:textId="6169ECC1" w:rsidR="00400FFF" w:rsidRPr="00CB1DAB" w:rsidRDefault="00400FFF" w:rsidP="00EE1D82">
      <w:pPr>
        <w:spacing w:after="120"/>
      </w:pPr>
      <w:r w:rsidRPr="00CB1DAB">
        <w:br w:type="page"/>
      </w:r>
    </w:p>
    <w:p w14:paraId="625190E4" w14:textId="24A837AB" w:rsidR="00935B50" w:rsidRPr="00CB1DAB" w:rsidRDefault="00935B50" w:rsidP="00EE1D82">
      <w:pPr>
        <w:pBdr>
          <w:bottom w:val="single" w:sz="6" w:space="1" w:color="auto"/>
        </w:pBdr>
        <w:spacing w:after="120"/>
        <w:rPr>
          <w:b/>
          <w:bCs/>
        </w:rPr>
      </w:pPr>
      <w:r w:rsidRPr="00CB1DAB">
        <w:rPr>
          <w:b/>
          <w:bCs/>
        </w:rPr>
        <w:lastRenderedPageBreak/>
        <w:t>Recommendation 28</w:t>
      </w:r>
    </w:p>
    <w:p w14:paraId="6E305557" w14:textId="6A66BD22" w:rsidR="00935B50" w:rsidRPr="00CB1DAB" w:rsidRDefault="00935B50" w:rsidP="009C6998">
      <w:pPr>
        <w:spacing w:before="240" w:after="240"/>
        <w:rPr>
          <w:i/>
          <w:iCs/>
        </w:rPr>
      </w:pPr>
      <w:r w:rsidRPr="00CB1DAB">
        <w:rPr>
          <w:i/>
          <w:iCs/>
        </w:rPr>
        <w:t>28: The Committee recommends that the Australian Government commissions research into reproductive coercion and abuse with a view to developing clinical guidelines, resources and training for primary care providers.</w:t>
      </w:r>
    </w:p>
    <w:p w14:paraId="1C3CCF54" w14:textId="613A67D8" w:rsidR="008C0E95" w:rsidRPr="00CB1DAB" w:rsidRDefault="008C0E95" w:rsidP="009C699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1B6BD40" w14:textId="1B8F17A4" w:rsidR="00963E2C" w:rsidRPr="00CB1DAB" w:rsidRDefault="00426A80" w:rsidP="00EE1D82">
      <w:pPr>
        <w:spacing w:after="120"/>
      </w:pPr>
      <w:r w:rsidRPr="00CB1DAB">
        <w:t>T</w:t>
      </w:r>
      <w:r w:rsidR="00EC1F2B" w:rsidRPr="00CB1DAB">
        <w:t>he</w:t>
      </w:r>
      <w:r w:rsidR="002D31BE" w:rsidRPr="00CB1DAB">
        <w:t xml:space="preserve"> Government </w:t>
      </w:r>
      <w:r w:rsidRPr="00CB1DAB">
        <w:t>collaborat</w:t>
      </w:r>
      <w:r w:rsidR="00163549" w:rsidRPr="00CB1DAB">
        <w:t>ed</w:t>
      </w:r>
      <w:r w:rsidRPr="00CB1DAB">
        <w:t xml:space="preserve"> with state and territor</w:t>
      </w:r>
      <w:r w:rsidR="00963E2C" w:rsidRPr="00CB1DAB">
        <w:t>y</w:t>
      </w:r>
      <w:r w:rsidRPr="00CB1DAB">
        <w:t xml:space="preserve"> governments to</w:t>
      </w:r>
      <w:r w:rsidR="00310848" w:rsidRPr="00CB1DAB">
        <w:t xml:space="preserve"> develop the National Principles to Address Coercive Control in Family and Domestic Violence</w:t>
      </w:r>
      <w:r w:rsidR="00275A84" w:rsidRPr="00CB1DAB">
        <w:t xml:space="preserve"> (National Principles).</w:t>
      </w:r>
      <w:r w:rsidR="00EC1F2B" w:rsidRPr="00CB1DAB">
        <w:t xml:space="preserve"> The National Principles establish a shared understanding of coercive control, including reproductive coercion, and outline guiding considerations to inform responses to coercive control. </w:t>
      </w:r>
      <w:r w:rsidR="00163549" w:rsidRPr="00CB1DAB">
        <w:t>T</w:t>
      </w:r>
      <w:r w:rsidR="00F037BF" w:rsidRPr="00CB1DAB">
        <w:t xml:space="preserve">he National Principles </w:t>
      </w:r>
      <w:r w:rsidR="00163549" w:rsidRPr="00CB1DAB">
        <w:t xml:space="preserve">were </w:t>
      </w:r>
      <w:r w:rsidR="00F037BF" w:rsidRPr="00CB1DAB">
        <w:t>launch</w:t>
      </w:r>
      <w:r w:rsidR="00163549" w:rsidRPr="00CB1DAB">
        <w:t>ed</w:t>
      </w:r>
      <w:r w:rsidR="00F037BF" w:rsidRPr="00CB1DAB">
        <w:t xml:space="preserve"> in </w:t>
      </w:r>
      <w:r w:rsidR="00163549" w:rsidRPr="00CB1DAB">
        <w:t>September</w:t>
      </w:r>
      <w:r w:rsidR="00F037BF" w:rsidRPr="00CB1DAB">
        <w:t xml:space="preserve"> 2023.</w:t>
      </w:r>
    </w:p>
    <w:p w14:paraId="225FD84A" w14:textId="5DFC4369" w:rsidR="00D62998" w:rsidRPr="00CB1DAB" w:rsidRDefault="00D62998" w:rsidP="00EE1D82">
      <w:pPr>
        <w:spacing w:after="120"/>
      </w:pPr>
      <w:r w:rsidRPr="00CB1DAB">
        <w:t>To inform development of the National Principles, the Government engaged the Australian Institute of Family Studies (AIFS) to conduct a literature review on coercive control, which includes research on reproductive coercion. The literature review is available on the AIFS website (</w:t>
      </w:r>
      <w:r w:rsidRPr="00CB1DAB">
        <w:rPr>
          <w:u w:val="single"/>
        </w:rPr>
        <w:t>www.aifs.gov.au</w:t>
      </w:r>
      <w:r w:rsidRPr="00CB1DAB">
        <w:t xml:space="preserve">). </w:t>
      </w:r>
    </w:p>
    <w:p w14:paraId="513AD323" w14:textId="0528D824" w:rsidR="00163549" w:rsidRPr="00CB1DAB" w:rsidRDefault="00163549" w:rsidP="00EE1D82">
      <w:pPr>
        <w:spacing w:after="120"/>
      </w:pPr>
      <w:r w:rsidRPr="00CB1DAB">
        <w:t xml:space="preserve">The National Principles are supported by a range of resources, including </w:t>
      </w:r>
      <w:r w:rsidR="003A3D3A" w:rsidRPr="00CB1DAB">
        <w:t>two</w:t>
      </w:r>
      <w:r w:rsidRPr="00CB1DAB">
        <w:t xml:space="preserve"> quick reference guide</w:t>
      </w:r>
      <w:r w:rsidR="00110D31" w:rsidRPr="00CB1DAB">
        <w:t>s</w:t>
      </w:r>
      <w:r w:rsidRPr="00CB1DAB">
        <w:t xml:space="preserve"> for healthcare practitioners to promote and create awareness of coercive control within the health section.</w:t>
      </w:r>
    </w:p>
    <w:p w14:paraId="3E7FDC55" w14:textId="344AB22B" w:rsidR="00FF3177" w:rsidRPr="00CB1DAB" w:rsidRDefault="00FF3177" w:rsidP="00EE1D82">
      <w:pPr>
        <w:spacing w:after="120"/>
      </w:pPr>
      <w:r w:rsidRPr="00CB1DAB">
        <w:t xml:space="preserve">Some practice guidelines </w:t>
      </w:r>
      <w:r w:rsidR="00F20E5B" w:rsidRPr="00CB1DAB">
        <w:t xml:space="preserve">already </w:t>
      </w:r>
      <w:r w:rsidRPr="00CB1DAB">
        <w:t>exist which address reproductive coercion, notably the recent AIFS Reproductive coercion and abuse Practice Guide. The</w:t>
      </w:r>
      <w:r w:rsidR="00C00CD9" w:rsidRPr="00CB1DAB">
        <w:t xml:space="preserve"> Government</w:t>
      </w:r>
      <w:r w:rsidRPr="00CB1DAB">
        <w:t xml:space="preserve"> </w:t>
      </w:r>
      <w:r w:rsidR="00685094" w:rsidRPr="00CB1DAB">
        <w:t xml:space="preserve">has </w:t>
      </w:r>
      <w:r w:rsidR="00F20E5B" w:rsidRPr="00CB1DAB">
        <w:t xml:space="preserve">also </w:t>
      </w:r>
      <w:r w:rsidRPr="00CB1DAB">
        <w:t xml:space="preserve">funded the revision of the RACGP White Book, which includes information on reproductive coercion and case studies. </w:t>
      </w:r>
    </w:p>
    <w:p w14:paraId="5725EA7D" w14:textId="77777777" w:rsidR="0093078B" w:rsidRPr="00CB1DAB" w:rsidRDefault="0093078B" w:rsidP="00EC16A2">
      <w:pPr>
        <w:spacing w:after="120"/>
      </w:pPr>
    </w:p>
    <w:p w14:paraId="287609EE" w14:textId="77777777" w:rsidR="0093078B" w:rsidRPr="00CB1DAB" w:rsidRDefault="0093078B" w:rsidP="00EC16A2">
      <w:pPr>
        <w:spacing w:after="120"/>
      </w:pPr>
    </w:p>
    <w:p w14:paraId="4C2A289B" w14:textId="77777777" w:rsidR="0093078B" w:rsidRPr="00CB1DAB" w:rsidRDefault="0093078B" w:rsidP="00EC16A2">
      <w:pPr>
        <w:spacing w:after="120"/>
      </w:pPr>
    </w:p>
    <w:p w14:paraId="4B424E2B" w14:textId="77777777" w:rsidR="00185AF8" w:rsidRPr="00CB1DAB" w:rsidRDefault="00185AF8" w:rsidP="00EC16A2">
      <w:pPr>
        <w:spacing w:after="120"/>
        <w:rPr>
          <w:b/>
          <w:bCs/>
        </w:rPr>
      </w:pPr>
      <w:r w:rsidRPr="00CB1DAB">
        <w:rPr>
          <w:b/>
          <w:bCs/>
        </w:rPr>
        <w:br w:type="page"/>
      </w:r>
    </w:p>
    <w:p w14:paraId="04611E14" w14:textId="464B211E" w:rsidR="00935B50" w:rsidRPr="00CB1DAB" w:rsidRDefault="00935B50" w:rsidP="00EE1D82">
      <w:pPr>
        <w:pBdr>
          <w:bottom w:val="single" w:sz="6" w:space="1" w:color="auto"/>
        </w:pBdr>
        <w:spacing w:after="120"/>
        <w:rPr>
          <w:b/>
          <w:bCs/>
        </w:rPr>
      </w:pPr>
      <w:r w:rsidRPr="00CB1DAB">
        <w:rPr>
          <w:b/>
          <w:bCs/>
        </w:rPr>
        <w:lastRenderedPageBreak/>
        <w:t>Recommendation 29</w:t>
      </w:r>
    </w:p>
    <w:p w14:paraId="1CCB948C" w14:textId="45A27AEC" w:rsidR="00935B50" w:rsidRPr="00CB1DAB" w:rsidRDefault="00935B50" w:rsidP="009C6998">
      <w:pPr>
        <w:spacing w:before="240" w:after="240"/>
        <w:rPr>
          <w:i/>
          <w:iCs/>
        </w:rPr>
      </w:pPr>
      <w:r w:rsidRPr="00CB1DAB">
        <w:rPr>
          <w:i/>
          <w:iCs/>
        </w:rPr>
        <w:t>29: The Committee recommends that the Australian Government works with the sector to develop sexual and reproductive health education programs and resources for people with disability and their families and carers that are accessible, disability inclusive and empowering for young people with disability.</w:t>
      </w:r>
    </w:p>
    <w:p w14:paraId="5E793109" w14:textId="44465610" w:rsidR="008C0E95" w:rsidRPr="00CB1DAB" w:rsidRDefault="008C0E95" w:rsidP="009C6998">
      <w:pPr>
        <w:spacing w:before="240" w:after="240"/>
        <w:rPr>
          <w:b/>
          <w:bCs/>
        </w:rPr>
      </w:pPr>
      <w:r w:rsidRPr="00CB1DAB">
        <w:rPr>
          <w:rFonts w:cstheme="minorHAnsi"/>
          <w:lang w:eastAsia="en-AU"/>
        </w:rPr>
        <w:t>The Australian Government</w:t>
      </w:r>
      <w:r w:rsidRPr="00CB1DAB">
        <w:rPr>
          <w:b/>
          <w:bCs/>
        </w:rPr>
        <w:t xml:space="preserve"> supports in-principle </w:t>
      </w:r>
      <w:r w:rsidRPr="00CB1DAB">
        <w:t>this recommendation.</w:t>
      </w:r>
    </w:p>
    <w:p w14:paraId="647B5936" w14:textId="77777777" w:rsidR="008965C0" w:rsidRPr="00CB1DAB" w:rsidRDefault="008965C0" w:rsidP="00EE1D82">
      <w:pPr>
        <w:spacing w:after="120"/>
        <w:rPr>
          <w:rFonts w:ascii="Calibri" w:hAnsi="Calibri" w:cs="Calibri"/>
        </w:rPr>
      </w:pPr>
      <w:r w:rsidRPr="00CB1DAB">
        <w:rPr>
          <w:rFonts w:ascii="Calibri" w:hAnsi="Calibri" w:cs="Calibri"/>
        </w:rPr>
        <w:t xml:space="preserve">The Government is committed to ensuring reproductive health services are disability inclusive and empowering for young people with disability. </w:t>
      </w:r>
    </w:p>
    <w:p w14:paraId="46CB7321" w14:textId="77777777" w:rsidR="009D1090" w:rsidRPr="00CB1DAB" w:rsidRDefault="00666A57" w:rsidP="00EE1D82">
      <w:pPr>
        <w:spacing w:after="120"/>
        <w:rPr>
          <w:sz w:val="28"/>
          <w:szCs w:val="28"/>
        </w:rPr>
      </w:pPr>
      <w:r w:rsidRPr="00CB1DAB">
        <w:rPr>
          <w:rFonts w:ascii="Calibri" w:hAnsi="Calibri" w:cs="Calibri"/>
        </w:rPr>
        <w:t>A priority of the Women's Health Strategy is to increase access to sexual and reproductive health care information, diagnosis, treatment and services</w:t>
      </w:r>
      <w:r w:rsidR="00F84B45" w:rsidRPr="00CB1DAB">
        <w:rPr>
          <w:rFonts w:ascii="Calibri" w:hAnsi="Calibri" w:cs="Calibri"/>
        </w:rPr>
        <w:t>, and acknowledges women and girls living with disability and carers as a priority population</w:t>
      </w:r>
      <w:r w:rsidRPr="00CB1DAB">
        <w:rPr>
          <w:rFonts w:ascii="Calibri" w:hAnsi="Calibri" w:cs="Calibri"/>
        </w:rPr>
        <w:t>.</w:t>
      </w:r>
      <w:r w:rsidRPr="00CB1DAB">
        <w:rPr>
          <w:sz w:val="28"/>
          <w:szCs w:val="28"/>
        </w:rPr>
        <w:t xml:space="preserve"> </w:t>
      </w:r>
    </w:p>
    <w:p w14:paraId="33A69D35" w14:textId="6052AA8A" w:rsidR="00B32B89" w:rsidRPr="00CB1DAB" w:rsidRDefault="000110DF" w:rsidP="00EE1D82">
      <w:pPr>
        <w:spacing w:after="120"/>
        <w:rPr>
          <w:sz w:val="28"/>
          <w:szCs w:val="28"/>
        </w:rPr>
      </w:pPr>
      <w:r w:rsidRPr="00CB1DAB">
        <w:t xml:space="preserve">The </w:t>
      </w:r>
      <w:r w:rsidR="004B741B" w:rsidRPr="00CB1DAB">
        <w:rPr>
          <w:iCs/>
        </w:rPr>
        <w:t>National Plan</w:t>
      </w:r>
      <w:r w:rsidRPr="00CB1DAB">
        <w:rPr>
          <w:iCs/>
        </w:rPr>
        <w:t xml:space="preserve"> to </w:t>
      </w:r>
      <w:r w:rsidR="004B741B" w:rsidRPr="00CB1DAB">
        <w:rPr>
          <w:iCs/>
        </w:rPr>
        <w:t>End Violence</w:t>
      </w:r>
      <w:r w:rsidRPr="00CB1DAB">
        <w:rPr>
          <w:iCs/>
        </w:rPr>
        <w:t xml:space="preserve"> against </w:t>
      </w:r>
      <w:r w:rsidR="004B741B" w:rsidRPr="00CB1DAB">
        <w:rPr>
          <w:iCs/>
        </w:rPr>
        <w:t xml:space="preserve">Women and Children </w:t>
      </w:r>
      <w:r w:rsidR="00995DB8" w:rsidRPr="00CB1DAB">
        <w:rPr>
          <w:iCs/>
        </w:rPr>
        <w:t>2022-2032</w:t>
      </w:r>
      <w:r w:rsidR="00995DB8" w:rsidRPr="00CB1DAB">
        <w:t xml:space="preserve"> </w:t>
      </w:r>
      <w:r w:rsidR="004B741B" w:rsidRPr="00CB1DAB">
        <w:t xml:space="preserve">recognises that </w:t>
      </w:r>
      <w:r w:rsidRPr="00CB1DAB">
        <w:t>women and girls with disability</w:t>
      </w:r>
      <w:r w:rsidR="004B741B" w:rsidRPr="00CB1DAB">
        <w:t xml:space="preserve"> are at particular risk</w:t>
      </w:r>
      <w:r w:rsidRPr="00CB1DAB">
        <w:t xml:space="preserve"> of </w:t>
      </w:r>
      <w:r w:rsidR="004B741B" w:rsidRPr="00CB1DAB">
        <w:t>forced or coerced sterilisation, forced contraception</w:t>
      </w:r>
      <w:r w:rsidR="0061204C" w:rsidRPr="00CB1DAB">
        <w:t xml:space="preserve"> or limited/no contraceptive choices, menstrual suppression, poorly managed pregnancy and birth</w:t>
      </w:r>
      <w:r w:rsidR="005B64BE" w:rsidRPr="00CB1DAB">
        <w:t>,</w:t>
      </w:r>
      <w:r w:rsidR="0061204C" w:rsidRPr="00CB1DAB">
        <w:t xml:space="preserve"> and forced or coerced abortion.</w:t>
      </w:r>
      <w:r w:rsidR="004B741B" w:rsidRPr="00CB1DAB">
        <w:t xml:space="preserve"> </w:t>
      </w:r>
      <w:r w:rsidR="00AE1345" w:rsidRPr="00CB1DAB">
        <w:t xml:space="preserve">The </w:t>
      </w:r>
      <w:r w:rsidR="00AE1345" w:rsidRPr="00CB1DAB">
        <w:rPr>
          <w:i/>
          <w:iCs/>
        </w:rPr>
        <w:t>First Action Plan 2023-2027</w:t>
      </w:r>
      <w:r w:rsidR="00AE1345" w:rsidRPr="00CB1DAB">
        <w:t xml:space="preserve"> (</w:t>
      </w:r>
      <w:r w:rsidR="008D4707">
        <w:t>A</w:t>
      </w:r>
      <w:r w:rsidR="00AE1345" w:rsidRPr="00CB1DAB">
        <w:t xml:space="preserve">ction </w:t>
      </w:r>
      <w:r w:rsidR="008D4707">
        <w:t>P</w:t>
      </w:r>
      <w:r w:rsidR="00AE1345" w:rsidRPr="00CB1DAB">
        <w:t xml:space="preserve">lan) provides a roadmap towards achieving the vision of the National </w:t>
      </w:r>
      <w:r w:rsidR="008D4707">
        <w:t>P</w:t>
      </w:r>
      <w:r w:rsidR="00AE1345" w:rsidRPr="00CB1DAB">
        <w:t xml:space="preserve">lan. Responding to recommendation 8.23 of the Disability Royal Commission, the Government has committed to applying a disability lens to implementation of the </w:t>
      </w:r>
      <w:r w:rsidR="008D4707">
        <w:t>A</w:t>
      </w:r>
      <w:r w:rsidR="00AE1345" w:rsidRPr="00CB1DAB">
        <w:t xml:space="preserve">ction </w:t>
      </w:r>
      <w:r w:rsidR="008D4707">
        <w:t>P</w:t>
      </w:r>
      <w:r w:rsidR="00AE1345" w:rsidRPr="00CB1DAB">
        <w:t>lan, to support policy, program and service reform and change that responds to the needs of women and girls with disability, and associated communication material and resources that are accessible.</w:t>
      </w:r>
    </w:p>
    <w:p w14:paraId="35D78888" w14:textId="6C1D71A3" w:rsidR="00D86C83" w:rsidRPr="00CB1DAB" w:rsidRDefault="00FD35BC" w:rsidP="00EE1D82">
      <w:pPr>
        <w:spacing w:after="120"/>
      </w:pPr>
      <w:r w:rsidRPr="00CB1DAB">
        <w:t xml:space="preserve">The </w:t>
      </w:r>
      <w:r w:rsidRPr="00CB1DAB">
        <w:rPr>
          <w:iCs/>
        </w:rPr>
        <w:t xml:space="preserve">National Roadmap for Improving the Health of People with Intellectual Disability </w:t>
      </w:r>
      <w:r w:rsidR="00953667" w:rsidRPr="00CB1DAB">
        <w:rPr>
          <w:iCs/>
        </w:rPr>
        <w:t>(the</w:t>
      </w:r>
      <w:r w:rsidR="00953667" w:rsidRPr="00CB1DAB">
        <w:t xml:space="preserve"> </w:t>
      </w:r>
      <w:r w:rsidR="00060628" w:rsidRPr="00CB1DAB">
        <w:t xml:space="preserve">Intellectual Disability </w:t>
      </w:r>
      <w:r w:rsidR="00953667" w:rsidRPr="00CB1DAB">
        <w:t xml:space="preserve">Roadmap) </w:t>
      </w:r>
      <w:r w:rsidR="004F756E" w:rsidRPr="00CB1DAB">
        <w:t>(</w:t>
      </w:r>
      <w:r w:rsidRPr="00CB1DAB">
        <w:t>released in August 2021</w:t>
      </w:r>
      <w:r w:rsidR="004F756E" w:rsidRPr="00CB1DAB">
        <w:t>)</w:t>
      </w:r>
      <w:r w:rsidRPr="00CB1DAB">
        <w:t xml:space="preserve"> includes</w:t>
      </w:r>
      <w:r w:rsidR="004F756E" w:rsidRPr="00CB1DAB">
        <w:t xml:space="preserve"> a</w:t>
      </w:r>
      <w:r w:rsidRPr="00CB1DAB">
        <w:t xml:space="preserve"> short-term action for the Commonwealth to work with </w:t>
      </w:r>
      <w:r w:rsidR="00724213" w:rsidRPr="00CB1DAB">
        <w:t>PHNs</w:t>
      </w:r>
      <w:r w:rsidRPr="00CB1DAB">
        <w:t>, the National Disability Insurance Agency, and other advocacy organisations t</w:t>
      </w:r>
      <w:r w:rsidR="001C5D09" w:rsidRPr="00CB1DAB">
        <w:t>o</w:t>
      </w:r>
      <w:r w:rsidRPr="00CB1DAB">
        <w:t xml:space="preserve"> better promote mental health and reproductive health services to people with </w:t>
      </w:r>
      <w:r w:rsidR="00955CFE" w:rsidRPr="00CB1DAB">
        <w:t>intellectual</w:t>
      </w:r>
      <w:r w:rsidRPr="00CB1DAB">
        <w:t xml:space="preserve"> disability and connect existing service</w:t>
      </w:r>
      <w:r w:rsidR="004F756E" w:rsidRPr="00CB1DAB">
        <w:t>s</w:t>
      </w:r>
      <w:r w:rsidRPr="00CB1DAB">
        <w:t xml:space="preserve"> to a National Centre of Excellence in Intellectual Disability Health (</w:t>
      </w:r>
      <w:r w:rsidR="004F756E" w:rsidRPr="00CB1DAB">
        <w:t>the</w:t>
      </w:r>
      <w:r w:rsidRPr="00CB1DAB">
        <w:t xml:space="preserve"> Centre).</w:t>
      </w:r>
      <w:r w:rsidR="00A30298" w:rsidRPr="00CB1DAB">
        <w:t xml:space="preserve"> </w:t>
      </w:r>
    </w:p>
    <w:p w14:paraId="410B4AE3" w14:textId="5ABF7B83" w:rsidR="00D86C83" w:rsidRPr="00CB1DAB" w:rsidRDefault="00B3366E" w:rsidP="00EE1D82">
      <w:pPr>
        <w:spacing w:after="120"/>
      </w:pPr>
      <w:r w:rsidRPr="00CB1DAB">
        <w:t xml:space="preserve">The Government </w:t>
      </w:r>
      <w:r w:rsidR="00656DBF" w:rsidRPr="00CB1DAB">
        <w:t>is</w:t>
      </w:r>
      <w:r w:rsidR="00C16FD2" w:rsidRPr="00CB1DAB">
        <w:t xml:space="preserve"> provid</w:t>
      </w:r>
      <w:r w:rsidR="00656DBF" w:rsidRPr="00CB1DAB">
        <w:t>ing</w:t>
      </w:r>
      <w:r w:rsidR="00C16FD2" w:rsidRPr="00CB1DAB">
        <w:t xml:space="preserve"> $22 million over </w:t>
      </w:r>
      <w:r w:rsidR="003A3D3A" w:rsidRPr="00CB1DAB">
        <w:t>four</w:t>
      </w:r>
      <w:r w:rsidR="00C16FD2" w:rsidRPr="00CB1DAB">
        <w:t xml:space="preserve"> years from 2022-23</w:t>
      </w:r>
      <w:r w:rsidR="00656DBF" w:rsidRPr="00CB1DAB">
        <w:t xml:space="preserve"> to 2025-26</w:t>
      </w:r>
      <w:r w:rsidR="00C16FD2" w:rsidRPr="00CB1DAB">
        <w:t xml:space="preserve"> for the Centre. The Centre has been established by a consortium of </w:t>
      </w:r>
      <w:r w:rsidR="003A3D3A" w:rsidRPr="00CB1DAB">
        <w:t>nine</w:t>
      </w:r>
      <w:r w:rsidR="00A920B1" w:rsidRPr="00CB1DAB">
        <w:t> </w:t>
      </w:r>
      <w:r w:rsidR="00C16FD2" w:rsidRPr="00CB1DAB">
        <w:t xml:space="preserve">organisations, led by the University of </w:t>
      </w:r>
      <w:r w:rsidR="00656DBF" w:rsidRPr="00CB1DAB">
        <w:t>NSW</w:t>
      </w:r>
      <w:r w:rsidR="00C16FD2" w:rsidRPr="00CB1DAB">
        <w:t>. People with intellectual disability are directly involved in the establishment and running of the Centre.</w:t>
      </w:r>
    </w:p>
    <w:p w14:paraId="0FC5A8AA" w14:textId="7705FA9C" w:rsidR="00D86C83" w:rsidRPr="00CB1DAB" w:rsidRDefault="00A653F0" w:rsidP="00EE1D82">
      <w:pPr>
        <w:spacing w:after="120"/>
      </w:pPr>
      <w:r w:rsidRPr="00CB1DAB">
        <w:t>The Centre’s core functions include</w:t>
      </w:r>
      <w:r w:rsidR="00CD6FF8" w:rsidRPr="00CB1DAB">
        <w:t xml:space="preserve">, </w:t>
      </w:r>
      <w:r w:rsidR="00C16FD2" w:rsidRPr="00CB1DAB">
        <w:t>but are not limited to</w:t>
      </w:r>
      <w:r w:rsidRPr="00CB1DAB">
        <w:t>:</w:t>
      </w:r>
    </w:p>
    <w:p w14:paraId="7297973E" w14:textId="7EF22EEC" w:rsidR="00A653F0" w:rsidRPr="00CB1DAB" w:rsidRDefault="000775FF" w:rsidP="00326B55">
      <w:pPr>
        <w:pStyle w:val="ListParagraph"/>
        <w:numPr>
          <w:ilvl w:val="0"/>
          <w:numId w:val="50"/>
        </w:numPr>
        <w:spacing w:after="120"/>
        <w:ind w:left="714" w:hanging="357"/>
        <w:contextualSpacing w:val="0"/>
        <w:rPr>
          <w:sz w:val="24"/>
          <w:szCs w:val="24"/>
        </w:rPr>
      </w:pPr>
      <w:r w:rsidRPr="00CB1DAB">
        <w:rPr>
          <w:sz w:val="24"/>
          <w:szCs w:val="24"/>
        </w:rPr>
        <w:t>Provid</w:t>
      </w:r>
      <w:r w:rsidR="00C16FD2" w:rsidRPr="00CB1DAB">
        <w:rPr>
          <w:sz w:val="24"/>
          <w:szCs w:val="24"/>
        </w:rPr>
        <w:t>ing</w:t>
      </w:r>
      <w:r w:rsidRPr="00CB1DAB">
        <w:rPr>
          <w:sz w:val="24"/>
          <w:szCs w:val="24"/>
        </w:rPr>
        <w:t xml:space="preserve"> online support, including an online portal to help connect people with intellectual disability to appropriate health services, and providing quality, accessible health resources and information for people with intellectual disability and their families</w:t>
      </w:r>
      <w:r w:rsidR="003A3D3A" w:rsidRPr="00CB1DAB">
        <w:rPr>
          <w:sz w:val="24"/>
          <w:szCs w:val="24"/>
        </w:rPr>
        <w:t>.</w:t>
      </w:r>
    </w:p>
    <w:p w14:paraId="255552E1" w14:textId="587236B6" w:rsidR="000775FF" w:rsidRPr="00CB1DAB" w:rsidRDefault="000775FF" w:rsidP="00326B55">
      <w:pPr>
        <w:pStyle w:val="ListParagraph"/>
        <w:numPr>
          <w:ilvl w:val="0"/>
          <w:numId w:val="50"/>
        </w:numPr>
        <w:spacing w:after="120"/>
        <w:ind w:left="714" w:hanging="357"/>
        <w:contextualSpacing w:val="0"/>
        <w:rPr>
          <w:sz w:val="24"/>
          <w:szCs w:val="24"/>
        </w:rPr>
      </w:pPr>
      <w:r w:rsidRPr="00CB1DAB">
        <w:rPr>
          <w:sz w:val="24"/>
          <w:szCs w:val="24"/>
        </w:rPr>
        <w:t>Establish</w:t>
      </w:r>
      <w:r w:rsidR="00C16FD2" w:rsidRPr="00CB1DAB">
        <w:rPr>
          <w:sz w:val="24"/>
          <w:szCs w:val="24"/>
        </w:rPr>
        <w:t>ing</w:t>
      </w:r>
      <w:r w:rsidRPr="00CB1DAB">
        <w:rPr>
          <w:sz w:val="24"/>
          <w:szCs w:val="24"/>
        </w:rPr>
        <w:t xml:space="preserve"> a central hub of expertise</w:t>
      </w:r>
      <w:r w:rsidR="00C9755B" w:rsidRPr="00CB1DAB">
        <w:rPr>
          <w:sz w:val="24"/>
          <w:szCs w:val="24"/>
        </w:rPr>
        <w:t>, resources</w:t>
      </w:r>
      <w:r w:rsidR="0024041A" w:rsidRPr="00CB1DAB">
        <w:rPr>
          <w:sz w:val="24"/>
          <w:szCs w:val="24"/>
        </w:rPr>
        <w:t>,</w:t>
      </w:r>
      <w:r w:rsidR="00C9755B" w:rsidRPr="00CB1DAB">
        <w:rPr>
          <w:sz w:val="24"/>
          <w:szCs w:val="24"/>
        </w:rPr>
        <w:t xml:space="preserve"> and research </w:t>
      </w:r>
      <w:r w:rsidR="00216317" w:rsidRPr="00CB1DAB">
        <w:rPr>
          <w:sz w:val="24"/>
          <w:szCs w:val="24"/>
        </w:rPr>
        <w:t xml:space="preserve">in the healthcare of people with intellectual </w:t>
      </w:r>
      <w:r w:rsidR="0046553F" w:rsidRPr="00CB1DAB">
        <w:rPr>
          <w:sz w:val="24"/>
          <w:szCs w:val="24"/>
        </w:rPr>
        <w:t>disability and information for people with intellectual disability and their families, to help deliver its core functions</w:t>
      </w:r>
      <w:r w:rsidR="00C757F8" w:rsidRPr="00CB1DAB">
        <w:rPr>
          <w:sz w:val="24"/>
          <w:szCs w:val="24"/>
        </w:rPr>
        <w:t>.</w:t>
      </w:r>
    </w:p>
    <w:p w14:paraId="36643DEB" w14:textId="3B6C2A2F" w:rsidR="008550DC" w:rsidRPr="00CB1DAB" w:rsidRDefault="0046553F" w:rsidP="00326B55">
      <w:pPr>
        <w:pStyle w:val="ListParagraph"/>
        <w:numPr>
          <w:ilvl w:val="0"/>
          <w:numId w:val="50"/>
        </w:numPr>
        <w:spacing w:after="120"/>
        <w:ind w:left="714" w:hanging="357"/>
        <w:contextualSpacing w:val="0"/>
        <w:rPr>
          <w:sz w:val="24"/>
          <w:szCs w:val="24"/>
        </w:rPr>
      </w:pPr>
      <w:r w:rsidRPr="00CB1DAB">
        <w:rPr>
          <w:sz w:val="24"/>
          <w:szCs w:val="24"/>
        </w:rPr>
        <w:t>Serv</w:t>
      </w:r>
      <w:r w:rsidR="00C16FD2" w:rsidRPr="00CB1DAB">
        <w:rPr>
          <w:sz w:val="24"/>
          <w:szCs w:val="24"/>
        </w:rPr>
        <w:t>ing</w:t>
      </w:r>
      <w:r w:rsidR="004F3CE9" w:rsidRPr="00CB1DAB">
        <w:rPr>
          <w:sz w:val="24"/>
          <w:szCs w:val="24"/>
        </w:rPr>
        <w:t xml:space="preserve"> as a source of expert </w:t>
      </w:r>
      <w:r w:rsidR="00953667" w:rsidRPr="00CB1DAB">
        <w:rPr>
          <w:sz w:val="24"/>
          <w:szCs w:val="24"/>
        </w:rPr>
        <w:t xml:space="preserve">advice for implementing other measures under the </w:t>
      </w:r>
      <w:r w:rsidR="00090809" w:rsidRPr="00CB1DAB">
        <w:rPr>
          <w:sz w:val="24"/>
          <w:szCs w:val="24"/>
        </w:rPr>
        <w:t xml:space="preserve">Intellectual Disability </w:t>
      </w:r>
      <w:r w:rsidR="00953667" w:rsidRPr="00CB1DAB">
        <w:rPr>
          <w:sz w:val="24"/>
          <w:szCs w:val="24"/>
        </w:rPr>
        <w:t>Roadmap</w:t>
      </w:r>
      <w:r w:rsidR="00DE2F3A" w:rsidRPr="00CB1DAB">
        <w:rPr>
          <w:sz w:val="24"/>
          <w:szCs w:val="24"/>
        </w:rPr>
        <w:t xml:space="preserve">. </w:t>
      </w:r>
      <w:r w:rsidR="002B2B61" w:rsidRPr="00CB1DAB">
        <w:rPr>
          <w:sz w:val="24"/>
          <w:szCs w:val="24"/>
        </w:rPr>
        <w:t>It</w:t>
      </w:r>
      <w:r w:rsidR="00DE2F3A" w:rsidRPr="00CB1DAB">
        <w:rPr>
          <w:sz w:val="24"/>
          <w:szCs w:val="24"/>
        </w:rPr>
        <w:t xml:space="preserve"> is anticipated the Centre may undertake some of the other actions in the</w:t>
      </w:r>
      <w:r w:rsidR="00090809" w:rsidRPr="00CB1DAB">
        <w:rPr>
          <w:sz w:val="24"/>
          <w:szCs w:val="24"/>
        </w:rPr>
        <w:t xml:space="preserve"> Intellectual Disability</w:t>
      </w:r>
      <w:r w:rsidR="00DE2F3A" w:rsidRPr="00CB1DAB">
        <w:rPr>
          <w:sz w:val="24"/>
          <w:szCs w:val="24"/>
        </w:rPr>
        <w:t xml:space="preserve"> Roadmap.</w:t>
      </w:r>
    </w:p>
    <w:p w14:paraId="3F822D44" w14:textId="1660C944" w:rsidR="008550DC" w:rsidRPr="00CB1DAB" w:rsidRDefault="008550DC" w:rsidP="00EE1D82">
      <w:pPr>
        <w:spacing w:after="120"/>
      </w:pPr>
      <w:r w:rsidRPr="00CB1DAB">
        <w:lastRenderedPageBreak/>
        <w:t xml:space="preserve">The response to recommendation 24 contains additional information </w:t>
      </w:r>
      <w:r w:rsidR="00EC4CFA" w:rsidRPr="00CB1DAB">
        <w:t xml:space="preserve">on support for people with disabilities </w:t>
      </w:r>
      <w:r w:rsidR="00611AEE" w:rsidRPr="00CB1DAB">
        <w:t>concerning sexual health, respectful relationships and consent training concerning sexual violence</w:t>
      </w:r>
      <w:r w:rsidR="00EC4CFA" w:rsidRPr="00CB1DAB">
        <w:t xml:space="preserve">. </w:t>
      </w:r>
    </w:p>
    <w:p w14:paraId="497954DE" w14:textId="77777777" w:rsidR="00D86C83" w:rsidRPr="00CB1DAB" w:rsidRDefault="00D86C83" w:rsidP="00EC16A2">
      <w:pPr>
        <w:spacing w:after="120"/>
      </w:pPr>
    </w:p>
    <w:p w14:paraId="15081378" w14:textId="1330C03E" w:rsidR="00935B50" w:rsidRPr="00CB1DAB" w:rsidRDefault="00935B50" w:rsidP="00EE1D82">
      <w:pPr>
        <w:pageBreakBefore/>
        <w:pBdr>
          <w:bottom w:val="single" w:sz="6" w:space="1" w:color="auto"/>
        </w:pBdr>
        <w:spacing w:after="120"/>
        <w:rPr>
          <w:b/>
          <w:bCs/>
        </w:rPr>
      </w:pPr>
      <w:r w:rsidRPr="00CB1DAB">
        <w:rPr>
          <w:b/>
          <w:bCs/>
        </w:rPr>
        <w:lastRenderedPageBreak/>
        <w:t>Recommendation 30</w:t>
      </w:r>
      <w:r w:rsidR="00960CF2" w:rsidRPr="00CB1DAB">
        <w:rPr>
          <w:b/>
          <w:bCs/>
        </w:rPr>
        <w:t xml:space="preserve"> and Recommendation 31</w:t>
      </w:r>
    </w:p>
    <w:p w14:paraId="71DFACD8" w14:textId="1BFA51F3" w:rsidR="00935B50" w:rsidRPr="00CB1DAB" w:rsidRDefault="00935B50" w:rsidP="00A832E8">
      <w:pPr>
        <w:spacing w:before="240" w:after="240"/>
        <w:rPr>
          <w:i/>
          <w:iCs/>
        </w:rPr>
      </w:pPr>
      <w:r w:rsidRPr="00CB1DAB">
        <w:rPr>
          <w:i/>
          <w:iCs/>
        </w:rPr>
        <w:t>30: The Committee recommends that the Australian Government, in consultation with state and territory governments, consider options for ensuring the provision of reproductive health and pregnancy care services to all people living in Australia, irrespective of their visa status.</w:t>
      </w:r>
    </w:p>
    <w:p w14:paraId="5C64F945" w14:textId="77777777" w:rsidR="00960CF2" w:rsidRPr="00CB1DAB" w:rsidRDefault="00960CF2" w:rsidP="00A832E8">
      <w:pPr>
        <w:spacing w:before="240" w:after="240"/>
        <w:rPr>
          <w:i/>
          <w:iCs/>
        </w:rPr>
      </w:pPr>
      <w:r w:rsidRPr="00CB1DAB">
        <w:rPr>
          <w:i/>
          <w:iCs/>
        </w:rPr>
        <w:t>31: The Committee recommends that the Australian Government work with relevant overseas health insurance providers to amend Schedule 4d of the Overseas Student Health Cover Deed to abolish pregnancy care related wait periods.</w:t>
      </w:r>
    </w:p>
    <w:p w14:paraId="0A7C64CF" w14:textId="0CF36A51" w:rsidR="00C11E83" w:rsidRPr="00CB1DAB" w:rsidRDefault="00C11E83" w:rsidP="00A832E8">
      <w:pPr>
        <w:spacing w:before="240" w:after="240"/>
      </w:pPr>
      <w:r w:rsidRPr="00CB1DAB">
        <w:rPr>
          <w:rFonts w:cstheme="minorHAnsi"/>
          <w:lang w:eastAsia="en-AU"/>
        </w:rPr>
        <w:t>The Australian Government</w:t>
      </w:r>
      <w:r w:rsidRPr="00CB1DAB">
        <w:rPr>
          <w:b/>
          <w:bCs/>
        </w:rPr>
        <w:t xml:space="preserve"> supports in-principle </w:t>
      </w:r>
      <w:r w:rsidR="00CB1257" w:rsidRPr="00CB1DAB">
        <w:t xml:space="preserve">these </w:t>
      </w:r>
      <w:r w:rsidRPr="00CB1DAB">
        <w:t>recommendation</w:t>
      </w:r>
      <w:r w:rsidR="00CB1257" w:rsidRPr="00CB1DAB">
        <w:t>s</w:t>
      </w:r>
      <w:r w:rsidRPr="00CB1DAB">
        <w:t>.</w:t>
      </w:r>
    </w:p>
    <w:p w14:paraId="0892C969" w14:textId="2512CE43" w:rsidR="005F1D4D" w:rsidRPr="00CB1DAB" w:rsidRDefault="005F1D4D" w:rsidP="00EE1D82">
      <w:pPr>
        <w:shd w:val="clear" w:color="auto" w:fill="FFFFFF"/>
        <w:spacing w:after="120"/>
        <w:rPr>
          <w:rFonts w:cstheme="minorHAnsi"/>
          <w:lang w:eastAsia="en-AU"/>
        </w:rPr>
      </w:pPr>
      <w:r w:rsidRPr="00CB1DAB">
        <w:rPr>
          <w:rFonts w:cstheme="minorHAnsi"/>
          <w:lang w:eastAsia="en-AU"/>
        </w:rPr>
        <w:t>Eligibility under Medicare is governed by the </w:t>
      </w:r>
      <w:r w:rsidRPr="00CB1DAB">
        <w:rPr>
          <w:rFonts w:cstheme="minorHAnsi"/>
          <w:i/>
          <w:iCs/>
          <w:lang w:eastAsia="en-AU"/>
        </w:rPr>
        <w:t>Health Insurance Act 1973 </w:t>
      </w:r>
      <w:r w:rsidR="00BF2885" w:rsidRPr="00CB1DAB">
        <w:rPr>
          <w:rFonts w:cstheme="minorHAnsi"/>
          <w:lang w:eastAsia="en-AU"/>
        </w:rPr>
        <w:t xml:space="preserve">and </w:t>
      </w:r>
      <w:r w:rsidRPr="00CB1DAB">
        <w:rPr>
          <w:rFonts w:cstheme="minorHAnsi"/>
          <w:lang w:eastAsia="en-AU"/>
        </w:rPr>
        <w:t>is generally restricted to people who are residing in Australia, and are either:</w:t>
      </w:r>
    </w:p>
    <w:p w14:paraId="02456AF5" w14:textId="30A9D629" w:rsidR="005F1D4D" w:rsidRPr="00CB1DAB" w:rsidRDefault="005F1D4D" w:rsidP="00326B55">
      <w:pPr>
        <w:pStyle w:val="ListParagraph"/>
        <w:numPr>
          <w:ilvl w:val="0"/>
          <w:numId w:val="50"/>
        </w:numPr>
        <w:spacing w:after="120"/>
        <w:ind w:left="714" w:hanging="357"/>
        <w:contextualSpacing w:val="0"/>
        <w:rPr>
          <w:sz w:val="24"/>
          <w:szCs w:val="24"/>
        </w:rPr>
      </w:pPr>
      <w:r w:rsidRPr="00CB1DAB">
        <w:rPr>
          <w:sz w:val="24"/>
          <w:szCs w:val="24"/>
        </w:rPr>
        <w:t>Australian citizens</w:t>
      </w:r>
      <w:r w:rsidR="00C757F8" w:rsidRPr="00CB1DAB">
        <w:rPr>
          <w:sz w:val="24"/>
          <w:szCs w:val="24"/>
        </w:rPr>
        <w:t>.</w:t>
      </w:r>
    </w:p>
    <w:p w14:paraId="3C24FA1E" w14:textId="64338819" w:rsidR="005F1D4D" w:rsidRPr="00CB1DAB" w:rsidRDefault="00B8614C" w:rsidP="00326B55">
      <w:pPr>
        <w:pStyle w:val="ListParagraph"/>
        <w:numPr>
          <w:ilvl w:val="0"/>
          <w:numId w:val="50"/>
        </w:numPr>
        <w:spacing w:after="120"/>
        <w:ind w:left="714" w:hanging="357"/>
        <w:contextualSpacing w:val="0"/>
        <w:rPr>
          <w:sz w:val="24"/>
          <w:szCs w:val="24"/>
        </w:rPr>
      </w:pPr>
      <w:r w:rsidRPr="00CB1DAB">
        <w:rPr>
          <w:sz w:val="24"/>
          <w:szCs w:val="24"/>
        </w:rPr>
        <w:t>P</w:t>
      </w:r>
      <w:r w:rsidR="005F1D4D" w:rsidRPr="00CB1DAB">
        <w:rPr>
          <w:sz w:val="24"/>
          <w:szCs w:val="24"/>
        </w:rPr>
        <w:t>ermanent visa holders</w:t>
      </w:r>
      <w:r w:rsidR="00C757F8" w:rsidRPr="00CB1DAB">
        <w:rPr>
          <w:sz w:val="24"/>
          <w:szCs w:val="24"/>
        </w:rPr>
        <w:t>.</w:t>
      </w:r>
    </w:p>
    <w:p w14:paraId="01E394B0" w14:textId="57CDA52E" w:rsidR="00BC1E30" w:rsidRPr="00CB1DAB" w:rsidRDefault="005F1D4D" w:rsidP="00326B55">
      <w:pPr>
        <w:pStyle w:val="ListParagraph"/>
        <w:numPr>
          <w:ilvl w:val="0"/>
          <w:numId w:val="50"/>
        </w:numPr>
        <w:spacing w:after="120"/>
        <w:ind w:left="714" w:hanging="357"/>
        <w:contextualSpacing w:val="0"/>
        <w:rPr>
          <w:sz w:val="24"/>
          <w:szCs w:val="24"/>
        </w:rPr>
      </w:pPr>
      <w:r w:rsidRPr="00CB1DAB">
        <w:rPr>
          <w:sz w:val="24"/>
          <w:szCs w:val="24"/>
        </w:rPr>
        <w:t>New Zealand citizens</w:t>
      </w:r>
      <w:r w:rsidR="00C757F8" w:rsidRPr="00CB1DAB">
        <w:rPr>
          <w:sz w:val="24"/>
          <w:szCs w:val="24"/>
        </w:rPr>
        <w:t>.</w:t>
      </w:r>
    </w:p>
    <w:p w14:paraId="719C24D1" w14:textId="5A09D4EE" w:rsidR="005F1D4D" w:rsidRPr="00CB1DAB" w:rsidRDefault="00B8614C" w:rsidP="00326B55">
      <w:pPr>
        <w:pStyle w:val="ListParagraph"/>
        <w:numPr>
          <w:ilvl w:val="0"/>
          <w:numId w:val="50"/>
        </w:numPr>
        <w:spacing w:after="120"/>
        <w:ind w:left="714" w:hanging="357"/>
        <w:contextualSpacing w:val="0"/>
        <w:rPr>
          <w:sz w:val="24"/>
          <w:szCs w:val="24"/>
        </w:rPr>
      </w:pPr>
      <w:r w:rsidRPr="00CB1DAB">
        <w:rPr>
          <w:sz w:val="24"/>
          <w:szCs w:val="24"/>
        </w:rPr>
        <w:t>I</w:t>
      </w:r>
      <w:r w:rsidR="005F1D4D" w:rsidRPr="00CB1DAB">
        <w:rPr>
          <w:sz w:val="24"/>
          <w:szCs w:val="24"/>
        </w:rPr>
        <w:t xml:space="preserve">n certain circumstances, applicants for </w:t>
      </w:r>
      <w:r w:rsidR="00BC1E30" w:rsidRPr="00CB1DAB">
        <w:rPr>
          <w:sz w:val="24"/>
          <w:szCs w:val="24"/>
        </w:rPr>
        <w:t xml:space="preserve">a </w:t>
      </w:r>
      <w:r w:rsidR="005F1D4D" w:rsidRPr="00CB1DAB">
        <w:rPr>
          <w:sz w:val="24"/>
          <w:szCs w:val="24"/>
        </w:rPr>
        <w:t>permanent visa.</w:t>
      </w:r>
    </w:p>
    <w:p w14:paraId="0E3D678E" w14:textId="5CE8DEC7" w:rsidR="005F1D4D" w:rsidRPr="00CB1DAB" w:rsidRDefault="000A6F8B" w:rsidP="00EE1D82">
      <w:pPr>
        <w:shd w:val="clear" w:color="auto" w:fill="FFFFFF"/>
        <w:spacing w:after="120"/>
      </w:pPr>
      <w:r w:rsidRPr="00CB1DAB">
        <w:t>V</w:t>
      </w:r>
      <w:r w:rsidR="005F1D4D" w:rsidRPr="00CB1DAB">
        <w:t>isitors to Australia are strongly recommended to make their own arrangements for private health insurance</w:t>
      </w:r>
      <w:r w:rsidR="004064FF" w:rsidRPr="00CB1DAB">
        <w:t xml:space="preserve">, </w:t>
      </w:r>
      <w:r w:rsidR="005F1D4D" w:rsidRPr="00CB1DAB">
        <w:t>regardless of whether it is a visa condition</w:t>
      </w:r>
      <w:r w:rsidR="004064FF" w:rsidRPr="00CB1DAB">
        <w:t xml:space="preserve">, </w:t>
      </w:r>
      <w:r w:rsidR="005F1D4D" w:rsidRPr="00CB1DAB">
        <w:t>to ensure they are fully covered for any unplanned medical and or hospital care they may need while in Australia.</w:t>
      </w:r>
    </w:p>
    <w:p w14:paraId="4328A019" w14:textId="1CC2DBCC" w:rsidR="005F1D4D" w:rsidRPr="00CB1DAB" w:rsidRDefault="002929D9" w:rsidP="00EE1D82">
      <w:pPr>
        <w:shd w:val="clear" w:color="auto" w:fill="FFFFFF"/>
        <w:spacing w:after="120"/>
      </w:pPr>
      <w:r w:rsidRPr="00CB1DAB">
        <w:t xml:space="preserve">When an individual requires healthcare assistance </w:t>
      </w:r>
      <w:r w:rsidR="00161EAE" w:rsidRPr="00CB1DAB">
        <w:t xml:space="preserve">in Australia </w:t>
      </w:r>
      <w:r w:rsidRPr="00CB1DAB">
        <w:t>and are</w:t>
      </w:r>
      <w:r w:rsidR="005F1D4D" w:rsidRPr="00CB1DAB">
        <w:t xml:space="preserve"> not covered by an appropriate level of private health insurance cover, as a non-resident and non-citizen of Australia, a person will be considered a private patient and will be required to pay any costs at the time of treatment. This will apply whether a person seeks healthcare treatment in either the public or private healthcare system. For routine medical treatment in Australia, out-of-hospital treatment from a </w:t>
      </w:r>
      <w:r w:rsidR="007C2D7B" w:rsidRPr="00CB1DAB">
        <w:t>GP</w:t>
      </w:r>
      <w:r w:rsidR="005F1D4D" w:rsidRPr="00CB1DAB">
        <w:t xml:space="preserve"> is normally the most cost-effective solution.</w:t>
      </w:r>
    </w:p>
    <w:p w14:paraId="19D9A9FE" w14:textId="655B4C58" w:rsidR="00AD0B89" w:rsidRPr="00CB1DAB" w:rsidRDefault="00AD0B89" w:rsidP="00EE1D82">
      <w:pPr>
        <w:spacing w:after="120"/>
        <w:rPr>
          <w:sz w:val="22"/>
          <w:szCs w:val="22"/>
        </w:rPr>
      </w:pPr>
      <w:r w:rsidRPr="00CB1DAB">
        <w:t>As outlined in the response to recommendation</w:t>
      </w:r>
      <w:r w:rsidR="000F6589" w:rsidRPr="00CB1DAB">
        <w:t>s</w:t>
      </w:r>
      <w:r w:rsidRPr="00CB1DAB">
        <w:t xml:space="preserve"> 12</w:t>
      </w:r>
      <w:r w:rsidR="00B534A0" w:rsidRPr="00CB1DAB">
        <w:t xml:space="preserve">, </w:t>
      </w:r>
      <w:r w:rsidRPr="00CB1DAB">
        <w:t xml:space="preserve">the planning and delivery of Australian maternity services is predominantly undertaken by states and territories with the Australian Government providing national direction and supporting efforts to improve care and outcomes, which includes developing and implementing culturally safe and responsive, evidence-based maternity care in partnership with </w:t>
      </w:r>
      <w:r w:rsidR="002B2B61" w:rsidRPr="00CB1DAB">
        <w:t>CALD</w:t>
      </w:r>
      <w:r w:rsidRPr="00CB1DAB">
        <w:t xml:space="preserve"> women and communities.</w:t>
      </w:r>
    </w:p>
    <w:p w14:paraId="57CBFD6D" w14:textId="2D138054" w:rsidR="001C64F2" w:rsidRPr="00CB1DAB" w:rsidRDefault="001C64F2" w:rsidP="001C64F2">
      <w:pPr>
        <w:spacing w:after="120"/>
      </w:pPr>
      <w:r w:rsidRPr="00CB1DAB">
        <w:t>There has been consultation with insurers and international student representative organisations in the context of improvements to the next Deed for Overseas Student Health Cover</w:t>
      </w:r>
      <w:r w:rsidR="00D20157" w:rsidRPr="00CB1DAB">
        <w:t xml:space="preserve"> (OSHC)</w:t>
      </w:r>
      <w:r w:rsidRPr="00CB1DAB">
        <w:t>, commencing 1 July 2025. The intention is th</w:t>
      </w:r>
      <w:r w:rsidR="008D4707">
        <w:t>at the</w:t>
      </w:r>
      <w:r w:rsidRPr="00CB1DAB">
        <w:t xml:space="preserve"> next Deed will remove waiting periods for pregnancy, birth, miscarriage, and termination, for OSHC products with a duration of </w:t>
      </w:r>
      <w:r w:rsidR="003A3D3A" w:rsidRPr="00CB1DAB">
        <w:t>two</w:t>
      </w:r>
      <w:r w:rsidRPr="00CB1DAB">
        <w:t xml:space="preserve"> years or more. This accounts for the majority of OSHC products.</w:t>
      </w:r>
    </w:p>
    <w:p w14:paraId="47C61165" w14:textId="77777777" w:rsidR="001C64F2" w:rsidRPr="00CB1DAB" w:rsidRDefault="001C64F2" w:rsidP="001C64F2">
      <w:pPr>
        <w:spacing w:after="120"/>
      </w:pPr>
      <w:r w:rsidRPr="00CB1DAB">
        <w:t xml:space="preserve">The benefits paid for pregnancy related conditions are generally significant, requiring higher premiums to ensure adequate cover. The level of benefits paid by insurers reflects the fees charged by doctors and hospitals. Insurers have advised pregnancy related conditions are a key driver of hospital treatment benefits expenditure, particularly public hospitals, given this is the usual setting for care provided to international students. It is anticipated the removal of the waiting period will result in premiums which are slightly higher than otherwise. </w:t>
      </w:r>
    </w:p>
    <w:p w14:paraId="2418F2BB" w14:textId="49BC2B7C" w:rsidR="00935B50" w:rsidRPr="00CB1DAB" w:rsidRDefault="00935B50" w:rsidP="00EE1D82">
      <w:pPr>
        <w:pBdr>
          <w:bottom w:val="single" w:sz="6" w:space="1" w:color="auto"/>
        </w:pBdr>
        <w:spacing w:after="120"/>
        <w:rPr>
          <w:b/>
          <w:bCs/>
        </w:rPr>
      </w:pPr>
      <w:r w:rsidRPr="00CB1DAB">
        <w:rPr>
          <w:b/>
          <w:bCs/>
        </w:rPr>
        <w:lastRenderedPageBreak/>
        <w:t>Recommendation 32</w:t>
      </w:r>
      <w:r w:rsidR="00376FC8" w:rsidRPr="00CB1DAB">
        <w:rPr>
          <w:b/>
          <w:bCs/>
        </w:rPr>
        <w:t xml:space="preserve"> and</w:t>
      </w:r>
      <w:r w:rsidR="00CE1FF4" w:rsidRPr="00CB1DAB">
        <w:rPr>
          <w:b/>
          <w:bCs/>
        </w:rPr>
        <w:t xml:space="preserve"> Recommendation 33</w:t>
      </w:r>
    </w:p>
    <w:p w14:paraId="6C24AA13" w14:textId="5EDC6821" w:rsidR="00935B50" w:rsidRPr="00CB1DAB" w:rsidRDefault="00935B50" w:rsidP="00A832E8">
      <w:pPr>
        <w:spacing w:before="240" w:after="240"/>
        <w:rPr>
          <w:i/>
          <w:iCs/>
        </w:rPr>
      </w:pPr>
      <w:r w:rsidRPr="00CB1DAB">
        <w:rPr>
          <w:i/>
          <w:iCs/>
        </w:rPr>
        <w:t>32: The Committee recommends that the Australian Government explores the feasibility of Medicare rebates for in vitro fertilisation (IVF) services for cohorts not currently eligible for subsidised services.</w:t>
      </w:r>
    </w:p>
    <w:p w14:paraId="2434BED3" w14:textId="77777777" w:rsidR="00CE1FF4" w:rsidRPr="00CB1DAB" w:rsidRDefault="00CE1FF4" w:rsidP="00A832E8">
      <w:pPr>
        <w:spacing w:before="240" w:after="240"/>
        <w:rPr>
          <w:i/>
          <w:iCs/>
        </w:rPr>
      </w:pPr>
      <w:r w:rsidRPr="00CB1DAB">
        <w:rPr>
          <w:i/>
          <w:iCs/>
        </w:rPr>
        <w:t>33: The Committee recommends that the Australian Government implement the recommendations of the Medicare Benefits Schedule Review regarding removal of the exclusion of in vitro fertilisation (IVF) services for altruistic surrogacy purposes.</w:t>
      </w:r>
    </w:p>
    <w:p w14:paraId="2898467E" w14:textId="22898337" w:rsidR="007B174C" w:rsidRPr="00CB1DAB" w:rsidRDefault="007B174C" w:rsidP="00A832E8">
      <w:pPr>
        <w:spacing w:before="240" w:after="240"/>
      </w:pPr>
      <w:r w:rsidRPr="00CB1DAB">
        <w:rPr>
          <w:rFonts w:cstheme="minorHAnsi"/>
          <w:lang w:eastAsia="en-AU"/>
        </w:rPr>
        <w:t>The Australian Government</w:t>
      </w:r>
      <w:r w:rsidRPr="00CB1DAB">
        <w:rPr>
          <w:b/>
          <w:bCs/>
        </w:rPr>
        <w:t xml:space="preserve"> supports</w:t>
      </w:r>
      <w:r w:rsidR="001B7D05" w:rsidRPr="00CB1DAB">
        <w:rPr>
          <w:b/>
          <w:bCs/>
        </w:rPr>
        <w:t xml:space="preserve"> </w:t>
      </w:r>
      <w:r w:rsidRPr="00CB1DAB">
        <w:rPr>
          <w:b/>
          <w:bCs/>
        </w:rPr>
        <w:t xml:space="preserve">in-principle </w:t>
      </w:r>
      <w:r w:rsidR="00AF4E7B" w:rsidRPr="00CB1DAB">
        <w:t>Recommendation 32</w:t>
      </w:r>
      <w:r w:rsidR="00AF4E7B" w:rsidRPr="00CB1DAB">
        <w:rPr>
          <w:b/>
          <w:bCs/>
        </w:rPr>
        <w:t xml:space="preserve"> </w:t>
      </w:r>
      <w:r w:rsidR="001B7D05" w:rsidRPr="00CB1DAB">
        <w:t>and</w:t>
      </w:r>
      <w:r w:rsidR="001B7D05" w:rsidRPr="00CB1DAB">
        <w:rPr>
          <w:b/>
          <w:bCs/>
        </w:rPr>
        <w:t xml:space="preserve"> </w:t>
      </w:r>
      <w:r w:rsidR="001B7D05" w:rsidRPr="00CB1DAB">
        <w:t>Recommendation 33.</w:t>
      </w:r>
    </w:p>
    <w:p w14:paraId="72AE8E49" w14:textId="1BB2225D" w:rsidR="00A7414D" w:rsidRPr="00CB1DAB" w:rsidRDefault="003C636D" w:rsidP="00A7414D">
      <w:pPr>
        <w:spacing w:after="120"/>
      </w:pPr>
      <w:r w:rsidRPr="00CB1DAB">
        <w:t xml:space="preserve">The Government will further consider implementation issues relating to this recommendation, including the scope of any legislative or other changes that may be required.  This will also take into account consideration of recent changes to the sector’s definition of infertility adopted by </w:t>
      </w:r>
      <w:r w:rsidR="00A7414D" w:rsidRPr="00CB1DAB">
        <w:t xml:space="preserve">the Australian and New Zealand Society for Reproductive Endocrinology and Infertility, RANZCOG and the Fertility Society of Australia and New </w:t>
      </w:r>
      <w:r w:rsidR="007773A4" w:rsidRPr="00CB1DAB">
        <w:t xml:space="preserve">Zealand. </w:t>
      </w:r>
      <w:r w:rsidR="00A7414D" w:rsidRPr="00CB1DAB">
        <w:t>The Government notes this revised definition encompasses a broader consideration of a patients’ sexual orientation, reproductive history and circumstances.</w:t>
      </w:r>
    </w:p>
    <w:p w14:paraId="7735ED61" w14:textId="3D92ED98" w:rsidR="00A6276F" w:rsidRPr="00CB1DAB" w:rsidRDefault="00A6276F" w:rsidP="00EE1D82">
      <w:pPr>
        <w:spacing w:after="120"/>
      </w:pPr>
      <w:r w:rsidRPr="00CB1DAB">
        <w:br w:type="page"/>
      </w:r>
    </w:p>
    <w:p w14:paraId="6AE08B5C" w14:textId="4F4FFC01" w:rsidR="00A6276F" w:rsidRPr="00CB1DAB" w:rsidRDefault="00A6276F" w:rsidP="00EE1D82">
      <w:pPr>
        <w:pBdr>
          <w:bottom w:val="single" w:sz="6" w:space="1" w:color="auto"/>
        </w:pBdr>
        <w:spacing w:after="120"/>
        <w:rPr>
          <w:b/>
          <w:bCs/>
        </w:rPr>
      </w:pPr>
      <w:bookmarkStart w:id="11" w:name="_Hlk153808938"/>
      <w:r w:rsidRPr="00CB1DAB">
        <w:rPr>
          <w:b/>
          <w:bCs/>
        </w:rPr>
        <w:lastRenderedPageBreak/>
        <w:t>Recommendation 34</w:t>
      </w:r>
    </w:p>
    <w:p w14:paraId="434F42A1" w14:textId="42E02EBA" w:rsidR="00A6276F" w:rsidRPr="00CB1DAB" w:rsidRDefault="00A6276F" w:rsidP="00A832E8">
      <w:pPr>
        <w:spacing w:before="240" w:after="240"/>
        <w:rPr>
          <w:i/>
          <w:iCs/>
        </w:rPr>
      </w:pPr>
      <w:r w:rsidRPr="00CB1DAB">
        <w:rPr>
          <w:i/>
          <w:iCs/>
        </w:rPr>
        <w:t>34: The Committee recommends that the Australian Government work with jurisdictions to improve the quality of sexual health and relationships education in schools including building capabilities of educators to deliver this training.</w:t>
      </w:r>
    </w:p>
    <w:p w14:paraId="08A60DCD" w14:textId="6D32374F" w:rsidR="000A705C" w:rsidRPr="00CB1DAB" w:rsidRDefault="000A705C" w:rsidP="00A832E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3B167050" w14:textId="623B7F2B" w:rsidR="00987C04" w:rsidRPr="00CB1DAB" w:rsidRDefault="00E03B7C" w:rsidP="00EE1D82">
      <w:pPr>
        <w:spacing w:after="120"/>
      </w:pPr>
      <w:r w:rsidRPr="00CB1DAB">
        <w:t xml:space="preserve">The Australian Government has committed $83.5 million through its Consent and Respectful Relationships Education initiative, to partner with </w:t>
      </w:r>
      <w:r w:rsidR="006820A4" w:rsidRPr="00CB1DAB">
        <w:t>jurisdictions</w:t>
      </w:r>
      <w:r w:rsidRPr="00CB1DAB">
        <w:t xml:space="preserve"> and non</w:t>
      </w:r>
      <w:r w:rsidR="006820A4" w:rsidRPr="00CB1DAB">
        <w:noBreakHyphen/>
      </w:r>
      <w:r w:rsidRPr="00CB1DAB">
        <w:t xml:space="preserve">government school systems to deliver </w:t>
      </w:r>
      <w:r w:rsidR="00D15443" w:rsidRPr="00CB1DAB">
        <w:t xml:space="preserve">expert-developed, </w:t>
      </w:r>
      <w:r w:rsidRPr="00CB1DAB">
        <w:t>high quality, age-appropriate, evidence-based respectful relationships education</w:t>
      </w:r>
      <w:r w:rsidR="00D15443" w:rsidRPr="00CB1DAB">
        <w:t>, including consent and sexuality education,</w:t>
      </w:r>
      <w:r w:rsidRPr="00CB1DAB">
        <w:t xml:space="preserve"> in states and territories</w:t>
      </w:r>
      <w:r w:rsidR="00DA25AF" w:rsidRPr="00CB1DAB">
        <w:t>. This</w:t>
      </w:r>
      <w:r w:rsidRPr="00CB1DAB">
        <w:t xml:space="preserve"> includ</w:t>
      </w:r>
      <w:r w:rsidR="00DA25AF" w:rsidRPr="00CB1DAB">
        <w:t>es</w:t>
      </w:r>
      <w:r w:rsidRPr="00CB1DAB">
        <w:t>, for example, t</w:t>
      </w:r>
      <w:r w:rsidR="00DA25AF" w:rsidRPr="00CB1DAB">
        <w:t>he</w:t>
      </w:r>
      <w:r w:rsidRPr="00CB1DAB">
        <w:t xml:space="preserve"> deliver</w:t>
      </w:r>
      <w:r w:rsidR="00DA25AF" w:rsidRPr="00CB1DAB">
        <w:t>y of</w:t>
      </w:r>
      <w:r w:rsidRPr="00CB1DAB">
        <w:t xml:space="preserve"> whole-school approaches and build</w:t>
      </w:r>
      <w:r w:rsidR="00DA25AF" w:rsidRPr="00CB1DAB">
        <w:t>ing</w:t>
      </w:r>
      <w:r w:rsidRPr="00CB1DAB">
        <w:t xml:space="preserve"> capability of educators. </w:t>
      </w:r>
      <w:r w:rsidR="008E0A14" w:rsidRPr="00CB1DAB">
        <w:t>Funding will be provided to states, territories and the non</w:t>
      </w:r>
      <w:r w:rsidR="000E078F" w:rsidRPr="00CB1DAB">
        <w:noBreakHyphen/>
      </w:r>
      <w:r w:rsidR="008E0A14" w:rsidRPr="00CB1DAB">
        <w:t xml:space="preserve">government school sector </w:t>
      </w:r>
      <w:r w:rsidR="0045157A" w:rsidRPr="00CB1DAB">
        <w:t>from</w:t>
      </w:r>
      <w:r w:rsidR="008E0A14" w:rsidRPr="00CB1DAB">
        <w:t xml:space="preserve"> 2024.</w:t>
      </w:r>
    </w:p>
    <w:p w14:paraId="7ED2809A" w14:textId="3343916A" w:rsidR="00E03B7C" w:rsidRPr="00CB1DAB" w:rsidRDefault="00E03B7C" w:rsidP="00EE1D82">
      <w:pPr>
        <w:spacing w:after="120"/>
      </w:pPr>
      <w:r w:rsidRPr="00CB1DAB">
        <w:t xml:space="preserve">A National Respectful Relationships Education Expert Working Group was established in </w:t>
      </w:r>
      <w:r w:rsidR="00865FBD" w:rsidRPr="00CB1DAB">
        <w:t xml:space="preserve">June </w:t>
      </w:r>
      <w:r w:rsidRPr="00CB1DAB">
        <w:t xml:space="preserve">2023 to support the schooling sector to deliver the </w:t>
      </w:r>
      <w:r w:rsidR="000E078F" w:rsidRPr="00CB1DAB">
        <w:t>Consent and Respectful Relationships Education</w:t>
      </w:r>
      <w:r w:rsidRPr="00CB1DAB">
        <w:t xml:space="preserve"> initiative. Membership includes independent experts and representatives from the Australian Government, state and territory governments, </w:t>
      </w:r>
      <w:r w:rsidR="007459E8" w:rsidRPr="00CB1DAB">
        <w:t xml:space="preserve">and </w:t>
      </w:r>
      <w:r w:rsidRPr="00CB1DAB">
        <w:t xml:space="preserve">the Catholic and </w:t>
      </w:r>
      <w:r w:rsidR="007459E8" w:rsidRPr="00CB1DAB">
        <w:t>i</w:t>
      </w:r>
      <w:r w:rsidRPr="00CB1DAB">
        <w:t xml:space="preserve">ndependent education sectors.  </w:t>
      </w:r>
    </w:p>
    <w:p w14:paraId="34745EC5" w14:textId="60FC86C6" w:rsidR="008C1A20" w:rsidRPr="00CB1DAB" w:rsidRDefault="00BC1E30" w:rsidP="00EE1D82">
      <w:pPr>
        <w:spacing w:after="120"/>
      </w:pPr>
      <w:r w:rsidRPr="00CB1DAB">
        <w:t>Implementation</w:t>
      </w:r>
      <w:r w:rsidR="00865FBD" w:rsidRPr="00CB1DAB">
        <w:t xml:space="preserve"> has been</w:t>
      </w:r>
      <w:r w:rsidRPr="00CB1DAB">
        <w:t xml:space="preserve"> informed by a rapid review on how respectful relationships education is being delivered in schools, identifying gaps and opportunities, and the development of a Respectful Relationships Education Framework. These activities </w:t>
      </w:r>
      <w:r w:rsidR="00865FBD" w:rsidRPr="00CB1DAB">
        <w:t xml:space="preserve">were </w:t>
      </w:r>
      <w:r w:rsidRPr="00CB1DAB">
        <w:t>undertaken by the Monash Gender and Family Violence Prevention Centre at Monash University, in consultation with the National Respectful Relationships Education Expert Working Group.</w:t>
      </w:r>
    </w:p>
    <w:p w14:paraId="1B8A38CF" w14:textId="191C2E5C" w:rsidR="00D15443" w:rsidRPr="00CB1DAB" w:rsidRDefault="00D15443" w:rsidP="00EE1D82">
      <w:pPr>
        <w:spacing w:after="120"/>
      </w:pPr>
      <w:r w:rsidRPr="00CB1DAB">
        <w:t>In addition, under the Australian Curriculum, students study Health and Physical Education from Foundation to Year 10 enabling students to develop</w:t>
      </w:r>
      <w:r w:rsidR="000E078F" w:rsidRPr="00CB1DAB">
        <w:t xml:space="preserve"> </w:t>
      </w:r>
      <w:r w:rsidRPr="00CB1DAB">
        <w:t>skills, understanding and willingness to positively influence the health and wellbeing of themselves and their communities. The relationships and sexuality content in the curriculum addresses physical, social and emotional changes that occur over time and the significant role relationships, identities and sexuality play in these changes. The content supports students to develop positive and respectful practices in relation to their reproductive and sexual health and their identities.</w:t>
      </w:r>
    </w:p>
    <w:p w14:paraId="75511E50" w14:textId="03492A6D" w:rsidR="00A6276F" w:rsidRPr="00CB1DAB" w:rsidRDefault="00371061" w:rsidP="00A27907">
      <w:pPr>
        <w:spacing w:after="120"/>
      </w:pPr>
      <w:r w:rsidRPr="00CB1DAB">
        <w:t xml:space="preserve">The Fourth National Sexually Transmissible Infections (STI) Strategy 2018-2022, endorsed by Australia’s Health Ministers, include the recommendation that effective culturally and </w:t>
      </w:r>
      <w:r w:rsidR="008D4707" w:rsidRPr="00CB1DAB">
        <w:t>age-appropriate</w:t>
      </w:r>
      <w:r w:rsidRPr="00CB1DAB">
        <w:t xml:space="preserve"> sex education should be delivered to Australian school students to improve knowledge and awareness of healthy relationships and STI, and reduce risk behaviours associated with the transmission of STI.</w:t>
      </w:r>
      <w:bookmarkEnd w:id="11"/>
      <w:r w:rsidR="00D05F70" w:rsidRPr="00CB1DAB">
        <w:t xml:space="preserve"> The Fifth National STI Strategy 2023-2030 was released for public consultation on 22 November 2024.</w:t>
      </w:r>
      <w:r w:rsidRPr="00CB1DAB">
        <w:br w:type="page"/>
      </w:r>
    </w:p>
    <w:p w14:paraId="4404D58E" w14:textId="67E67714" w:rsidR="00A6276F" w:rsidRPr="00CB1DAB" w:rsidRDefault="00A6276F" w:rsidP="00EE1D82">
      <w:pPr>
        <w:pBdr>
          <w:bottom w:val="single" w:sz="6" w:space="1" w:color="auto"/>
        </w:pBdr>
        <w:spacing w:after="120"/>
        <w:rPr>
          <w:b/>
          <w:bCs/>
        </w:rPr>
      </w:pPr>
      <w:r w:rsidRPr="00CB1DAB">
        <w:rPr>
          <w:b/>
          <w:bCs/>
        </w:rPr>
        <w:lastRenderedPageBreak/>
        <w:t>Recommendation 35</w:t>
      </w:r>
    </w:p>
    <w:p w14:paraId="250E2A10" w14:textId="77777777" w:rsidR="00A6276F" w:rsidRPr="00CB1DAB" w:rsidRDefault="00A6276F" w:rsidP="00A832E8">
      <w:pPr>
        <w:spacing w:before="240" w:after="240"/>
        <w:rPr>
          <w:i/>
          <w:iCs/>
        </w:rPr>
      </w:pPr>
      <w:r w:rsidRPr="00CB1DAB">
        <w:rPr>
          <w:i/>
          <w:iCs/>
        </w:rPr>
        <w:t xml:space="preserve">35: The Committee recommends the Department of Health and Aged Care work with jurisdictions and the health sector to implement options for targeted public awareness and sexual health literacy campaigns in target communities, including for the LGBTIQA+ community, community-led initiatives for First Nations and culturally and linguistically diverse groups, and sexually transmitted infections campaigns in vulnerable cohorts. </w:t>
      </w:r>
    </w:p>
    <w:p w14:paraId="44713597" w14:textId="1B93C5F9" w:rsidR="000A705C" w:rsidRPr="00CB1DAB" w:rsidRDefault="000A705C" w:rsidP="00A832E8">
      <w:pPr>
        <w:spacing w:before="240" w:after="240"/>
      </w:pPr>
      <w:r w:rsidRPr="00CB1DAB">
        <w:rPr>
          <w:rFonts w:cstheme="minorHAnsi"/>
          <w:lang w:eastAsia="en-AU"/>
        </w:rPr>
        <w:t>The Australian Government</w:t>
      </w:r>
      <w:r w:rsidRPr="00CB1DAB">
        <w:rPr>
          <w:b/>
          <w:bCs/>
        </w:rPr>
        <w:t xml:space="preserve"> supports </w:t>
      </w:r>
      <w:r w:rsidRPr="00CB1DAB">
        <w:t>this recommendation.</w:t>
      </w:r>
    </w:p>
    <w:p w14:paraId="25890320" w14:textId="1C1E6753" w:rsidR="003633DE" w:rsidRPr="00CB1DAB" w:rsidRDefault="00B40F52" w:rsidP="00EE1D82">
      <w:pPr>
        <w:spacing w:after="120"/>
      </w:pPr>
      <w:r w:rsidRPr="00CB1DAB">
        <w:t xml:space="preserve">As outlined in </w:t>
      </w:r>
      <w:r w:rsidR="0017517E" w:rsidRPr="00CB1DAB">
        <w:t xml:space="preserve">the </w:t>
      </w:r>
      <w:r w:rsidRPr="00CB1DAB">
        <w:t xml:space="preserve">response to recommendations </w:t>
      </w:r>
      <w:r w:rsidR="00644FE5" w:rsidRPr="00CB1DAB">
        <w:t>26 and 27, t</w:t>
      </w:r>
      <w:r w:rsidR="003633DE" w:rsidRPr="00CB1DAB">
        <w:t xml:space="preserve">he </w:t>
      </w:r>
      <w:r w:rsidR="006D41D8" w:rsidRPr="00CB1DAB">
        <w:t>Government has commi</w:t>
      </w:r>
      <w:r w:rsidR="00DE688F" w:rsidRPr="00CB1DAB">
        <w:t>t</w:t>
      </w:r>
      <w:r w:rsidR="006D41D8" w:rsidRPr="00CB1DAB">
        <w:t xml:space="preserve">ted to community investment to support LGBTIQA+ health literacy in implementing the </w:t>
      </w:r>
      <w:r w:rsidR="0017517E" w:rsidRPr="00CB1DAB">
        <w:t xml:space="preserve">LGBTIQA+ </w:t>
      </w:r>
      <w:r w:rsidR="006D41D8" w:rsidRPr="00CB1DAB">
        <w:t>Health and Wellb</w:t>
      </w:r>
      <w:r w:rsidR="00DE688F" w:rsidRPr="00CB1DAB">
        <w:t>e</w:t>
      </w:r>
      <w:r w:rsidR="006D41D8" w:rsidRPr="00CB1DAB">
        <w:t xml:space="preserve">ing </w:t>
      </w:r>
      <w:r w:rsidR="003633DE" w:rsidRPr="00CB1DAB">
        <w:t>Action Plan</w:t>
      </w:r>
      <w:r w:rsidR="006D41D8" w:rsidRPr="00CB1DAB">
        <w:t>.</w:t>
      </w:r>
    </w:p>
    <w:p w14:paraId="7F026DF5" w14:textId="355075E5" w:rsidR="00F51139" w:rsidRPr="00CB1DAB" w:rsidRDefault="00371061" w:rsidP="00EE1D82">
      <w:pPr>
        <w:spacing w:after="120"/>
      </w:pPr>
      <w:r w:rsidRPr="00CB1DAB">
        <w:t xml:space="preserve">A national STI campaign, titled ‘Beforeplay’, launched on 14 January 2024 and aims to educate and raise awareness of STI prevention, with a focus on regular testing and promoting safe sex behaviours. </w:t>
      </w:r>
      <w:r w:rsidR="00421F2A" w:rsidRPr="00CB1DAB">
        <w:t xml:space="preserve">The campaign </w:t>
      </w:r>
      <w:r w:rsidRPr="00CB1DAB">
        <w:t>is highly targeted to priority groups,</w:t>
      </w:r>
      <w:r w:rsidR="00421F2A" w:rsidRPr="00CB1DAB">
        <w:t xml:space="preserve"> includ</w:t>
      </w:r>
      <w:r w:rsidRPr="00CB1DAB">
        <w:t>ing</w:t>
      </w:r>
      <w:r w:rsidR="00421F2A" w:rsidRPr="00CB1DAB">
        <w:t xml:space="preserve"> members of the LGBTIQA+</w:t>
      </w:r>
      <w:r w:rsidR="000C77D9" w:rsidRPr="00CB1DAB">
        <w:t xml:space="preserve"> community</w:t>
      </w:r>
      <w:r w:rsidR="00421F2A" w:rsidRPr="00CB1DAB">
        <w:t xml:space="preserve">, First Nations people, </w:t>
      </w:r>
      <w:r w:rsidR="000C77D9" w:rsidRPr="00CB1DAB">
        <w:t xml:space="preserve">and </w:t>
      </w:r>
      <w:r w:rsidR="00573DE4" w:rsidRPr="00CB1DAB">
        <w:t>CALD</w:t>
      </w:r>
      <w:r w:rsidR="000C77D9" w:rsidRPr="00CB1DAB">
        <w:t xml:space="preserve"> </w:t>
      </w:r>
      <w:r w:rsidR="00421F2A" w:rsidRPr="00CB1DAB">
        <w:t>populations.</w:t>
      </w:r>
      <w:r w:rsidR="00836A88" w:rsidRPr="00CB1DAB">
        <w:t xml:space="preserve"> </w:t>
      </w:r>
      <w:r w:rsidRPr="00CB1DAB">
        <w:t xml:space="preserve">In addition, media partnerships with LGBTIQA+ and First Nations publishers extend the reach to these audiences. </w:t>
      </w:r>
      <w:r w:rsidRPr="00CB1DAB">
        <w:rPr>
          <w:color w:val="000000" w:themeColor="text1"/>
        </w:rPr>
        <w:t xml:space="preserve">Specialists in multicultural communication adapted and translated campaign materials, while a tailored public relations strategy for First Nations audiences was developed to engage and educate through trusted voices, community engagement and meaningful content. </w:t>
      </w:r>
      <w:r w:rsidRPr="00CB1DAB">
        <w:t xml:space="preserve">The Department </w:t>
      </w:r>
      <w:r w:rsidR="00B826C1" w:rsidRPr="00CB1DAB">
        <w:t xml:space="preserve">of Health and Aged Care </w:t>
      </w:r>
      <w:r w:rsidRPr="00CB1DAB">
        <w:t>has undertaken a pilot to collaborate and co-design below the line First Nations assets with the Northern Territory and Queensland governments that can be delivered nationally.</w:t>
      </w:r>
    </w:p>
    <w:p w14:paraId="289BD936" w14:textId="4EB24B0A" w:rsidR="00244139" w:rsidRPr="00CB1DAB" w:rsidRDefault="00244139" w:rsidP="00EE1D82">
      <w:pPr>
        <w:spacing w:after="120"/>
      </w:pPr>
      <w:r w:rsidRPr="00CB1DAB">
        <w:t xml:space="preserve">In 2023, the </w:t>
      </w:r>
      <w:r w:rsidR="00B43D3D" w:rsidRPr="00CB1DAB">
        <w:t>Government</w:t>
      </w:r>
      <w:r w:rsidRPr="00CB1DAB">
        <w:t xml:space="preserve"> established the HIV Taskforce to develop recommendations on priority areas of action that would contribute to the elimination of HIV transmission in Australian by 2030.</w:t>
      </w:r>
    </w:p>
    <w:p w14:paraId="101AE1F1" w14:textId="2F18EBC8" w:rsidR="00244139" w:rsidRPr="00CB1DAB" w:rsidRDefault="00244139" w:rsidP="00EE1D82">
      <w:pPr>
        <w:spacing w:after="120"/>
      </w:pPr>
      <w:r w:rsidRPr="00CB1DAB">
        <w:t>The HIV Taskforce discussed a range of issues including education, prevention, testing, treatment, workforce, legal issues, stigma and discrimination, and government relations. These findings were incorporated into the HIV Taskforce Report, which was released on 30</w:t>
      </w:r>
      <w:r w:rsidR="00BB3796" w:rsidRPr="00CB1DAB">
        <w:t> </w:t>
      </w:r>
      <w:r w:rsidRPr="00CB1DAB">
        <w:t>November 2023. The report sets out the Taskforce’s finding and recommendations, organised into 6 sections addressing prevention, testing, treatment, awareness, decriminalisation and partnership.</w:t>
      </w:r>
    </w:p>
    <w:p w14:paraId="0B392DCB" w14:textId="28F5AA28" w:rsidR="00173BF6" w:rsidRPr="00CB1DAB" w:rsidRDefault="007C712E" w:rsidP="00173BF6">
      <w:pPr>
        <w:spacing w:after="120"/>
      </w:pPr>
      <w:r w:rsidRPr="00CB1DAB">
        <w:t>In t</w:t>
      </w:r>
      <w:r w:rsidR="00173BF6" w:rsidRPr="00CB1DAB">
        <w:t>he 2024‒25 Budget</w:t>
      </w:r>
      <w:r w:rsidRPr="00CB1DAB">
        <w:t>, the Government</w:t>
      </w:r>
      <w:r w:rsidR="00173BF6" w:rsidRPr="00CB1DAB">
        <w:t xml:space="preserve"> provided $43.9 million to support the implementation of a number of recommendations from the HIV Taskforce. These measures address the most pressing actions required to eliminate the transmission of HIV in Australia. </w:t>
      </w:r>
    </w:p>
    <w:p w14:paraId="2B9E6BEF" w14:textId="7329FE22" w:rsidR="00173BF6" w:rsidRPr="00CB1DAB" w:rsidRDefault="00173BF6" w:rsidP="00173BF6">
      <w:pPr>
        <w:spacing w:after="120"/>
      </w:pPr>
      <w:r w:rsidRPr="00CB1DAB">
        <w:t xml:space="preserve">This includes the establishment of a new program to provide subsided PrEP preventive medication for people who are not eligible for Medicare, as well as a range of initiatives aimed at reducing the transmission of HIV in Australia. </w:t>
      </w:r>
    </w:p>
    <w:p w14:paraId="779F8996" w14:textId="77777777" w:rsidR="00173BF6" w:rsidRPr="00CB1DAB" w:rsidRDefault="00173BF6" w:rsidP="00173BF6">
      <w:pPr>
        <w:spacing w:after="120"/>
      </w:pPr>
      <w:r w:rsidRPr="00CB1DAB">
        <w:t xml:space="preserve">The Budget also included a national rollout of HIV testing vending machines and the expansion of the national HIV self-test mail out program to ensure any individual who wishes to test for HIV is able to do so. These programs are working to bring together community and industry, to reduce barriers to HIV testing nationally. </w:t>
      </w:r>
    </w:p>
    <w:p w14:paraId="18B7F969" w14:textId="77777777" w:rsidR="00173BF6" w:rsidRPr="00CB1DAB" w:rsidRDefault="00173BF6" w:rsidP="00EE1D82">
      <w:pPr>
        <w:spacing w:after="120"/>
      </w:pPr>
    </w:p>
    <w:p w14:paraId="3C4D8215" w14:textId="6BB76740" w:rsidR="00413E13" w:rsidRPr="00CB1DAB" w:rsidRDefault="00413E13" w:rsidP="00EE1D82">
      <w:pPr>
        <w:spacing w:after="120"/>
      </w:pPr>
      <w:r w:rsidRPr="00CB1DAB">
        <w:lastRenderedPageBreak/>
        <w:t xml:space="preserve">The </w:t>
      </w:r>
      <w:r w:rsidR="00951D42" w:rsidRPr="00CB1DAB">
        <w:t>Government</w:t>
      </w:r>
      <w:r w:rsidRPr="00CB1DAB">
        <w:t xml:space="preserve"> is funding the University of Queensland to implement the ‘Young Deadly Free’ (YDF) Program which aims to increase awareness of STIs and </w:t>
      </w:r>
      <w:r w:rsidR="00A87F5A">
        <w:t>blood borne viruses (</w:t>
      </w:r>
      <w:r w:rsidRPr="00CB1DAB">
        <w:t>BBVs</w:t>
      </w:r>
      <w:r w:rsidR="00A87F5A">
        <w:t>)</w:t>
      </w:r>
      <w:r w:rsidRPr="00CB1DAB">
        <w:t xml:space="preserve"> in Aboriginal and Torres Strait Islander communities through sexual health literacy. </w:t>
      </w:r>
    </w:p>
    <w:p w14:paraId="3C7DE97D" w14:textId="2DB28F3A" w:rsidR="00A6276F" w:rsidRPr="00CB1DAB" w:rsidRDefault="00413E13" w:rsidP="00EE1D82">
      <w:pPr>
        <w:spacing w:after="120"/>
      </w:pPr>
      <w:r w:rsidRPr="00CB1DAB">
        <w:t xml:space="preserve">The </w:t>
      </w:r>
      <w:r w:rsidR="00D364CB" w:rsidRPr="00CB1DAB">
        <w:t xml:space="preserve">2017 </w:t>
      </w:r>
      <w:r w:rsidRPr="00CB1DAB">
        <w:t>Action Plan: Enhanced Response to Addressing STI/BBV in Indigenous Populations also considered opportunities to improve sexual health education for 13-19 year olds in schools and investigate options for starting sexual health education from age 10. It found sexual health literacy in Australia was mostly decentralised and controlled by individual states, territories and schools in some instances. In response, the Department</w:t>
      </w:r>
      <w:r w:rsidR="00CE2582" w:rsidRPr="00CB1DAB">
        <w:t xml:space="preserve"> of Health and Aged Care</w:t>
      </w:r>
      <w:r w:rsidRPr="00CB1DAB">
        <w:t xml:space="preserve"> partnered with Australian Education Services to upload Aboriginal and Torres Strait Islander sexual health material, developed through the YDF</w:t>
      </w:r>
      <w:r w:rsidR="002430DE" w:rsidRPr="00CB1DAB">
        <w:t xml:space="preserve"> Program</w:t>
      </w:r>
      <w:r w:rsidRPr="00CB1DAB">
        <w:t xml:space="preserve">, on the Student Wellbeing Hub – which is </w:t>
      </w:r>
      <w:r w:rsidR="002F7128" w:rsidRPr="00CB1DAB">
        <w:t xml:space="preserve">a </w:t>
      </w:r>
      <w:r w:rsidRPr="00CB1DAB">
        <w:t>repository of information for teachers, parents and students on a wide range of curriculum relevant material.</w:t>
      </w:r>
    </w:p>
    <w:p w14:paraId="7BA57F67" w14:textId="77777777" w:rsidR="00A832E8" w:rsidRPr="00CB1DAB" w:rsidRDefault="00A832E8">
      <w:pPr>
        <w:spacing w:after="200" w:line="276" w:lineRule="auto"/>
        <w:rPr>
          <w:b/>
          <w:bCs/>
        </w:rPr>
      </w:pPr>
      <w:r w:rsidRPr="00CB1DAB">
        <w:rPr>
          <w:b/>
          <w:bCs/>
        </w:rPr>
        <w:br w:type="page"/>
      </w:r>
    </w:p>
    <w:p w14:paraId="45732605" w14:textId="67C7EB94" w:rsidR="00A6276F" w:rsidRPr="00CB1DAB" w:rsidRDefault="00A6276F" w:rsidP="00EE1D82">
      <w:pPr>
        <w:pBdr>
          <w:bottom w:val="single" w:sz="6" w:space="1" w:color="auto"/>
        </w:pBdr>
        <w:spacing w:after="120"/>
        <w:rPr>
          <w:b/>
          <w:bCs/>
        </w:rPr>
      </w:pPr>
      <w:r w:rsidRPr="00CB1DAB">
        <w:rPr>
          <w:b/>
          <w:bCs/>
        </w:rPr>
        <w:lastRenderedPageBreak/>
        <w:t>Recommendation 36</w:t>
      </w:r>
    </w:p>
    <w:p w14:paraId="6D865DD6" w14:textId="4AAAC943" w:rsidR="00A6276F" w:rsidRPr="00CB1DAB" w:rsidRDefault="00A6276F" w:rsidP="00A832E8">
      <w:pPr>
        <w:spacing w:before="240" w:after="240"/>
        <w:rPr>
          <w:i/>
          <w:iCs/>
        </w:rPr>
      </w:pPr>
      <w:r w:rsidRPr="00CB1DAB">
        <w:rPr>
          <w:i/>
          <w:iCs/>
        </w:rPr>
        <w:t>36: The Committee recommends that the Australian Government considers commissioning research and policy responses on the impact of reproductive health on women's participation in the workforce and the adequacy of existing leave entitlements under the National Employment Standards.</w:t>
      </w:r>
    </w:p>
    <w:p w14:paraId="1E0DC666" w14:textId="77777777" w:rsidR="00045893" w:rsidRPr="00CB1DAB" w:rsidRDefault="00045893" w:rsidP="00A832E8">
      <w:pPr>
        <w:spacing w:before="240" w:after="240"/>
      </w:pPr>
      <w:r w:rsidRPr="00CB1DAB">
        <w:rPr>
          <w:rFonts w:cstheme="minorHAnsi"/>
          <w:lang w:eastAsia="en-AU"/>
        </w:rPr>
        <w:t>The Australian Government</w:t>
      </w:r>
      <w:r w:rsidRPr="00CB1DAB">
        <w:rPr>
          <w:b/>
          <w:bCs/>
        </w:rPr>
        <w:t xml:space="preserve"> supports in-principle </w:t>
      </w:r>
      <w:r w:rsidRPr="00CB1DAB">
        <w:t>this recommendation.</w:t>
      </w:r>
    </w:p>
    <w:p w14:paraId="4864FBE3" w14:textId="10ADC45B" w:rsidR="009D347F" w:rsidRPr="00CB1DAB" w:rsidRDefault="00FE25F1" w:rsidP="00FE25F1">
      <w:pPr>
        <w:spacing w:after="120"/>
      </w:pPr>
      <w:r w:rsidRPr="00CB1DAB">
        <w:t>The 2024 MRFF E</w:t>
      </w:r>
      <w:r w:rsidR="00DE688F" w:rsidRPr="00CB1DAB">
        <w:t xml:space="preserve">mergency </w:t>
      </w:r>
      <w:r w:rsidRPr="00CB1DAB">
        <w:t>P</w:t>
      </w:r>
      <w:r w:rsidR="00DE688F" w:rsidRPr="00CB1DAB">
        <w:t xml:space="preserve">riorities and </w:t>
      </w:r>
      <w:r w:rsidRPr="00CB1DAB">
        <w:t>C</w:t>
      </w:r>
      <w:r w:rsidR="00DE688F" w:rsidRPr="00CB1DAB">
        <w:t>onsumer-</w:t>
      </w:r>
      <w:r w:rsidRPr="00CB1DAB">
        <w:t>D</w:t>
      </w:r>
      <w:r w:rsidR="00DE688F" w:rsidRPr="00CB1DAB">
        <w:t xml:space="preserve">riven </w:t>
      </w:r>
      <w:r w:rsidRPr="00CB1DAB">
        <w:t>R</w:t>
      </w:r>
      <w:r w:rsidR="00DE688F" w:rsidRPr="00CB1DAB">
        <w:t xml:space="preserve">esearch </w:t>
      </w:r>
      <w:r w:rsidR="0053152C" w:rsidRPr="00CB1DAB">
        <w:t>Initiative</w:t>
      </w:r>
      <w:r w:rsidRPr="00CB1DAB">
        <w:t xml:space="preserve"> Infertility, Pregnancy Loss and Menopause Grant Opportunity </w:t>
      </w:r>
      <w:r w:rsidR="009D347F" w:rsidRPr="00CB1DAB">
        <w:t>closed on 6 November 2024, with funding expected to commence from June 2025. Stream four of this Grant Opportunity has a focus on the impacts of perimenopause and menopause research to investigate impacts on workforce engagement and retention, including on paid and unpaid employment.</w:t>
      </w:r>
    </w:p>
    <w:p w14:paraId="4B866FFC" w14:textId="77777777" w:rsidR="00825BAD" w:rsidRPr="00CB1DAB" w:rsidRDefault="00E30784" w:rsidP="00EE1D82">
      <w:pPr>
        <w:spacing w:after="120"/>
      </w:pPr>
      <w:r w:rsidRPr="00CB1DAB">
        <w:t>The Terms of Reference for the Senate inquiry into the issues related to menopause and perimenopause</w:t>
      </w:r>
      <w:r w:rsidR="0014795B" w:rsidRPr="00CB1DAB">
        <w:t xml:space="preserve"> </w:t>
      </w:r>
      <w:r w:rsidRPr="00CB1DAB">
        <w:t>includes ‘the level of awareness amongst employers and workers of the symptoms of menopause and perimenopause, and the awareness, availability and usage of workplace supports’.</w:t>
      </w:r>
    </w:p>
    <w:p w14:paraId="4AB7FBEA" w14:textId="1C6E38D1" w:rsidR="009D54A6" w:rsidRPr="00CB1DAB" w:rsidRDefault="00547641" w:rsidP="00EE1D82">
      <w:pPr>
        <w:spacing w:after="120"/>
        <w:rPr>
          <w:rFonts w:ascii="Times New Roman" w:eastAsiaTheme="minorHAnsi" w:hAnsi="Times New Roman" w:cs="Times New Roman"/>
          <w:lang w:eastAsia="en-AU"/>
        </w:rPr>
      </w:pPr>
      <w:r w:rsidRPr="00CB1DAB">
        <w:t>The Government funds</w:t>
      </w:r>
      <w:r w:rsidR="00A80B7D" w:rsidRPr="00CB1DAB">
        <w:t> </w:t>
      </w:r>
      <w:r w:rsidR="00AF5CEA" w:rsidRPr="00CB1DAB">
        <w:t>Jean</w:t>
      </w:r>
      <w:r w:rsidR="00A80B7D" w:rsidRPr="00CB1DAB">
        <w:t> </w:t>
      </w:r>
      <w:r w:rsidR="00AF5CEA" w:rsidRPr="00CB1DAB">
        <w:t xml:space="preserve">Hailes </w:t>
      </w:r>
      <w:r w:rsidR="001637D4" w:rsidRPr="00CB1DAB">
        <w:t>for Women’s Health</w:t>
      </w:r>
      <w:r w:rsidRPr="00CB1DAB">
        <w:t xml:space="preserve"> to undertake an annual study designed to increase understanding of the issues that affect women in Australia, attitudes and behaviours, and the health information and policy changes that will help improve women’s health and wellbeing. The</w:t>
      </w:r>
      <w:r w:rsidR="001637D4" w:rsidRPr="00CB1DAB">
        <w:t xml:space="preserve"> </w:t>
      </w:r>
      <w:r w:rsidR="00AF5CEA" w:rsidRPr="00CB1DAB">
        <w:t xml:space="preserve">2023 </w:t>
      </w:r>
      <w:r w:rsidR="008931C4" w:rsidRPr="00CB1DAB">
        <w:t>National Women's Health Survey</w:t>
      </w:r>
      <w:r w:rsidR="00C70E53" w:rsidRPr="00CB1DAB">
        <w:t xml:space="preserve"> </w:t>
      </w:r>
      <w:r w:rsidR="00AF5CEA" w:rsidRPr="00CB1DAB">
        <w:t>include</w:t>
      </w:r>
      <w:r w:rsidR="00F4162F" w:rsidRPr="00CB1DAB">
        <w:t>d</w:t>
      </w:r>
      <w:r w:rsidR="00AF5CEA" w:rsidRPr="00CB1DAB">
        <w:t xml:space="preserve"> questions to assess the impact of reproductive health on women’s participation in all areas of life, </w:t>
      </w:r>
      <w:r w:rsidR="005F41CE" w:rsidRPr="00CB1DAB">
        <w:t xml:space="preserve">including work, </w:t>
      </w:r>
      <w:r w:rsidR="00AF5CEA" w:rsidRPr="00CB1DAB">
        <w:t xml:space="preserve">and attitudes to menopause and menstrual leave. </w:t>
      </w:r>
      <w:r w:rsidR="000C47D5" w:rsidRPr="00CB1DAB">
        <w:t>T</w:t>
      </w:r>
      <w:r w:rsidR="005F41CE" w:rsidRPr="00CB1DAB">
        <w:t>hree</w:t>
      </w:r>
      <w:r w:rsidR="000C47D5" w:rsidRPr="00CB1DAB">
        <w:t xml:space="preserve"> reports from the National Women’s Health Survey have been published, </w:t>
      </w:r>
      <w:r w:rsidR="000C47D5" w:rsidRPr="00CB1DAB">
        <w:rPr>
          <w:i/>
          <w:iCs/>
        </w:rPr>
        <w:t>Pelvic Pain in Australian Women</w:t>
      </w:r>
      <w:r w:rsidR="000C47D5" w:rsidRPr="00CB1DAB">
        <w:rPr>
          <w:rStyle w:val="FootnoteReference"/>
        </w:rPr>
        <w:footnoteReference w:id="8"/>
      </w:r>
      <w:r w:rsidR="005F41CE" w:rsidRPr="00CB1DAB">
        <w:t>,</w:t>
      </w:r>
      <w:r w:rsidR="000C47D5" w:rsidRPr="00CB1DAB">
        <w:t xml:space="preserve"> </w:t>
      </w:r>
      <w:r w:rsidR="000C47D5" w:rsidRPr="00CB1DAB">
        <w:rPr>
          <w:i/>
          <w:iCs/>
        </w:rPr>
        <w:t>The impact of symptoms attributed to menopause by Australian women</w:t>
      </w:r>
      <w:r w:rsidR="000C47D5" w:rsidRPr="00CB1DAB">
        <w:rPr>
          <w:rStyle w:val="FootnoteReference"/>
        </w:rPr>
        <w:footnoteReference w:id="9"/>
      </w:r>
      <w:r w:rsidR="005F41CE" w:rsidRPr="00CB1DAB">
        <w:rPr>
          <w:iCs/>
        </w:rPr>
        <w:t>and</w:t>
      </w:r>
      <w:r w:rsidR="005F41CE" w:rsidRPr="00CB1DAB">
        <w:rPr>
          <w:i/>
          <w:iCs/>
        </w:rPr>
        <w:t xml:space="preserve"> </w:t>
      </w:r>
      <w:r w:rsidR="005F41CE" w:rsidRPr="00CB1DAB">
        <w:rPr>
          <w:i/>
        </w:rPr>
        <w:t>Australian women</w:t>
      </w:r>
      <w:r w:rsidR="00F832BB" w:rsidRPr="00CB1DAB">
        <w:rPr>
          <w:i/>
        </w:rPr>
        <w:t>’s attitudes</w:t>
      </w:r>
      <w:r w:rsidR="005F41CE" w:rsidRPr="00CB1DAB">
        <w:rPr>
          <w:i/>
        </w:rPr>
        <w:t xml:space="preserve"> to menstrual and menopause leave</w:t>
      </w:r>
      <w:r w:rsidR="005F41CE" w:rsidRPr="00CB1DAB">
        <w:rPr>
          <w:rStyle w:val="FootnoteReference"/>
          <w:i/>
        </w:rPr>
        <w:footnoteReference w:id="10"/>
      </w:r>
      <w:r w:rsidR="005F41CE" w:rsidRPr="00CB1DAB">
        <w:t>.</w:t>
      </w:r>
      <w:r w:rsidR="000C47D5" w:rsidRPr="00CB1DAB">
        <w:t xml:space="preserve"> </w:t>
      </w:r>
    </w:p>
    <w:p w14:paraId="71F2470C" w14:textId="1864F6CC" w:rsidR="009D54A6" w:rsidRPr="00CB1DAB" w:rsidRDefault="009D54A6" w:rsidP="00EE1D82">
      <w:pPr>
        <w:spacing w:after="120"/>
        <w:rPr>
          <w:rFonts w:ascii="Times New Roman" w:eastAsiaTheme="minorHAnsi" w:hAnsi="Times New Roman" w:cs="Times New Roman"/>
          <w:lang w:eastAsia="en-AU"/>
        </w:rPr>
      </w:pPr>
      <w:r w:rsidRPr="00CB1DAB">
        <w:t>The Government provides core funding to the Australian Longitudinal Study on Women’s Health (ALSWH). The population-based survey examines the health and wellbeing of over 57,000 Australian women across 4 cohorts. The study has provided data on the health of Australian women since 1995 and supports evidence-based policy and practice in many areas of women’s health. ALSWH data is being used in a research project examining reproductive events and workforce participation across the life course, with outcomes expected in 2026</w:t>
      </w:r>
      <w:r w:rsidRPr="00CB1DAB">
        <w:rPr>
          <w:rStyle w:val="FootnoteReference"/>
        </w:rPr>
        <w:footnoteReference w:id="11"/>
      </w:r>
      <w:r w:rsidRPr="00CB1DAB">
        <w:t xml:space="preserve">. </w:t>
      </w:r>
    </w:p>
    <w:p w14:paraId="5B4C4B5D" w14:textId="77777777" w:rsidR="00FE25F1" w:rsidRPr="00CB1DAB" w:rsidRDefault="00FE25F1" w:rsidP="00FE25F1">
      <w:r w:rsidRPr="00CB1DAB">
        <w:t xml:space="preserve">The </w:t>
      </w:r>
      <w:r w:rsidRPr="00CB1DAB">
        <w:rPr>
          <w:i/>
          <w:iCs/>
        </w:rPr>
        <w:t>Fair Work Act 2009</w:t>
      </w:r>
      <w:r w:rsidRPr="00CB1DAB">
        <w:t xml:space="preserve"> National Employment Standards (NES) provide permanent employees with an entitlement to paid personal/carer’s leave, which can be taken when an employee is unfit for work because of a personal illness or injury, or caring responsibilities. </w:t>
      </w:r>
    </w:p>
    <w:p w14:paraId="18F4094D" w14:textId="77777777" w:rsidR="00FE25F1" w:rsidRPr="00CB1DAB" w:rsidRDefault="00FE25F1" w:rsidP="00FE25F1"/>
    <w:p w14:paraId="651592A2" w14:textId="77777777" w:rsidR="00FE25F1" w:rsidRPr="00CB1DAB" w:rsidRDefault="00FE25F1" w:rsidP="00AD38D4">
      <w:pPr>
        <w:keepNext/>
        <w:keepLines/>
        <w:spacing w:after="120"/>
      </w:pPr>
      <w:r w:rsidRPr="00CB1DAB">
        <w:lastRenderedPageBreak/>
        <w:t>The Government acknowledges that reproductive health leave provisions are being adopted in some workplaces in Australia, directly by employers or through enterprise agreements. The Department of Employment and Workplace Relations has captured IVF/reproductive leave, menstrual leave and menopause leave in its database of approved enterprise agreements since 2023. This information will continue to be captured, providing insights into the implementation of reproductive health leave entitlements in Australian workplaces.</w:t>
      </w:r>
    </w:p>
    <w:p w14:paraId="28BC7183" w14:textId="3D3A43B0" w:rsidR="00062E27" w:rsidRPr="00CB1DAB" w:rsidRDefault="004C0564" w:rsidP="00AD38D4">
      <w:pPr>
        <w:keepNext/>
        <w:keepLines/>
        <w:spacing w:after="120"/>
      </w:pPr>
      <w:r w:rsidRPr="00CB1DAB">
        <w:t xml:space="preserve">The </w:t>
      </w:r>
      <w:r w:rsidRPr="00CB1DAB">
        <w:rPr>
          <w:i/>
          <w:iCs/>
        </w:rPr>
        <w:t>Fair Work Legislation Amendment</w:t>
      </w:r>
      <w:r w:rsidRPr="00CB1DAB">
        <w:t xml:space="preserve"> (</w:t>
      </w:r>
      <w:r w:rsidR="00062E27" w:rsidRPr="00CB1DAB">
        <w:rPr>
          <w:i/>
          <w:iCs/>
        </w:rPr>
        <w:t>Secure Jobs</w:t>
      </w:r>
      <w:r w:rsidRPr="00CB1DAB">
        <w:rPr>
          <w:i/>
          <w:iCs/>
        </w:rPr>
        <w:t>,</w:t>
      </w:r>
      <w:r w:rsidR="00062E27" w:rsidRPr="00CB1DAB">
        <w:rPr>
          <w:i/>
          <w:iCs/>
        </w:rPr>
        <w:t xml:space="preserve"> Better Pay</w:t>
      </w:r>
      <w:r w:rsidRPr="00CB1DAB">
        <w:rPr>
          <w:i/>
          <w:iCs/>
        </w:rPr>
        <w:t>)</w:t>
      </w:r>
      <w:r w:rsidR="00062E27" w:rsidRPr="00CB1DAB">
        <w:rPr>
          <w:i/>
          <w:iCs/>
        </w:rPr>
        <w:t xml:space="preserve"> Act 2022</w:t>
      </w:r>
      <w:r w:rsidR="00062E27" w:rsidRPr="00CB1DAB">
        <w:t xml:space="preserve"> amend</w:t>
      </w:r>
      <w:r w:rsidRPr="00CB1DAB">
        <w:t>ed</w:t>
      </w:r>
      <w:r w:rsidR="008F3ECD" w:rsidRPr="00CB1DAB">
        <w:t xml:space="preserve"> the </w:t>
      </w:r>
      <w:r w:rsidRPr="00CB1DAB">
        <w:t>Fair</w:t>
      </w:r>
      <w:r w:rsidR="001A215C" w:rsidRPr="00CB1DAB">
        <w:t> </w:t>
      </w:r>
      <w:r w:rsidRPr="00CB1DAB">
        <w:t>Work Act to make gen</w:t>
      </w:r>
      <w:r w:rsidR="005A33B2" w:rsidRPr="00CB1DAB">
        <w:t>der</w:t>
      </w:r>
      <w:r w:rsidRPr="00CB1DAB">
        <w:t xml:space="preserve"> equality an object of the Fair Work Act, a Modern Awards Objective, and a Minimum Wages Objective.</w:t>
      </w:r>
    </w:p>
    <w:p w14:paraId="18EF339D" w14:textId="1AAEB45B" w:rsidR="00062E27" w:rsidRPr="00CB1DAB" w:rsidRDefault="00650662" w:rsidP="00326B55">
      <w:pPr>
        <w:pStyle w:val="ListParagraph"/>
        <w:numPr>
          <w:ilvl w:val="0"/>
          <w:numId w:val="50"/>
        </w:numPr>
        <w:spacing w:after="120"/>
        <w:ind w:left="714" w:hanging="357"/>
        <w:contextualSpacing w:val="0"/>
        <w:rPr>
          <w:sz w:val="24"/>
          <w:szCs w:val="24"/>
        </w:rPr>
      </w:pPr>
      <w:r w:rsidRPr="00CB1DAB">
        <w:rPr>
          <w:sz w:val="24"/>
          <w:szCs w:val="24"/>
        </w:rPr>
        <w:t>The Fair Work Commission must now consider gender equality when making decisions. For example, g</w:t>
      </w:r>
      <w:r w:rsidR="00062E27" w:rsidRPr="00CB1DAB">
        <w:rPr>
          <w:sz w:val="24"/>
          <w:szCs w:val="24"/>
        </w:rPr>
        <w:t xml:space="preserve">ender-responsive workplace conditions such as those in relation to reproductive health may be relevant considerations for the Fair Work Commission when dealing with modern awards. This is because the modern awards objective requires the Commission to ensure modern awards, together with the NES, provide a fair and relevant safety net of terms and conditions, taking into account several factors including the need to achieve gender equality in the workplace by providing workplace conditions </w:t>
      </w:r>
      <w:r w:rsidR="00824317" w:rsidRPr="00CB1DAB">
        <w:rPr>
          <w:sz w:val="24"/>
          <w:szCs w:val="24"/>
        </w:rPr>
        <w:t>which</w:t>
      </w:r>
      <w:r w:rsidR="00062E27" w:rsidRPr="00CB1DAB">
        <w:rPr>
          <w:sz w:val="24"/>
          <w:szCs w:val="24"/>
        </w:rPr>
        <w:t xml:space="preserve"> facilitate women’s full economic participation.</w:t>
      </w:r>
    </w:p>
    <w:p w14:paraId="10B88114" w14:textId="25B5FA5A" w:rsidR="00650662" w:rsidRPr="00CB1DAB" w:rsidRDefault="00650662" w:rsidP="00EE1D82">
      <w:pPr>
        <w:keepNext/>
        <w:keepLines/>
        <w:spacing w:after="120"/>
      </w:pPr>
      <w:r w:rsidRPr="00CB1DAB">
        <w:t>The Secure Jobs</w:t>
      </w:r>
      <w:r w:rsidR="00FE25F1" w:rsidRPr="00CB1DAB">
        <w:t>,</w:t>
      </w:r>
      <w:r w:rsidRPr="00CB1DAB">
        <w:t xml:space="preserve"> Better Pay reforms also improved access to bargaining through the supported bargaining stream. This will help workers in lower paid and feminised sectors to negotiate better pay and conditions for themselves.</w:t>
      </w:r>
      <w:r w:rsidR="001A215C" w:rsidRPr="00CB1DAB">
        <w:t xml:space="preserve"> </w:t>
      </w:r>
      <w:r w:rsidRPr="00CB1DAB">
        <w:t>This could include negotiating for more generous leave entitlements, including in relation to reproductive health.</w:t>
      </w:r>
      <w:r w:rsidR="001A215C" w:rsidRPr="00CB1DAB">
        <w:t xml:space="preserve"> </w:t>
      </w:r>
      <w:r w:rsidRPr="00CB1DAB">
        <w:t>Supported bargaining may also assist in influencing the prevalence of leave arrangements within these sectors.</w:t>
      </w:r>
    </w:p>
    <w:p w14:paraId="3826B828" w14:textId="39655EB0" w:rsidR="00A84F56" w:rsidRPr="00CB1DAB" w:rsidRDefault="00650662" w:rsidP="00EE1D82">
      <w:pPr>
        <w:spacing w:after="120"/>
      </w:pPr>
      <w:r w:rsidRPr="00CB1DAB">
        <w:t xml:space="preserve">Secure Jobs Better Pay </w:t>
      </w:r>
      <w:r w:rsidR="00FE25F1" w:rsidRPr="00CB1DAB">
        <w:t xml:space="preserve">reforms </w:t>
      </w:r>
      <w:r w:rsidRPr="00CB1DAB">
        <w:t>also improved access to flexible work arrangements, which may help individuals manage reproductive health issues in their workplaces.</w:t>
      </w:r>
      <w:r w:rsidR="001A215C" w:rsidRPr="00CB1DAB">
        <w:t xml:space="preserve"> </w:t>
      </w:r>
      <w:r w:rsidR="00E278E2" w:rsidRPr="00CB1DAB">
        <w:t xml:space="preserve">The Fair Work Commission can now deal with disputes about eligible employees’ requests for a flexible working arrangement, including by arbitration. </w:t>
      </w:r>
      <w:r w:rsidR="00A84F56" w:rsidRPr="00CB1DAB">
        <w:br w:type="page"/>
      </w:r>
    </w:p>
    <w:p w14:paraId="1F17D662" w14:textId="2E01B31A" w:rsidR="001938A7" w:rsidRPr="00CB1DAB" w:rsidRDefault="001938A7" w:rsidP="00EE1D82">
      <w:pPr>
        <w:pBdr>
          <w:bottom w:val="single" w:sz="6" w:space="1" w:color="auto"/>
        </w:pBdr>
        <w:spacing w:after="120"/>
        <w:rPr>
          <w:b/>
          <w:bCs/>
        </w:rPr>
      </w:pPr>
      <w:r w:rsidRPr="00CB1DAB">
        <w:rPr>
          <w:b/>
          <w:bCs/>
        </w:rPr>
        <w:lastRenderedPageBreak/>
        <w:t>Australian Greens Recommendation</w:t>
      </w:r>
      <w:r w:rsidR="00376FC8" w:rsidRPr="00CB1DAB">
        <w:rPr>
          <w:b/>
          <w:bCs/>
        </w:rPr>
        <w:t>s</w:t>
      </w:r>
      <w:r w:rsidRPr="00CB1DAB">
        <w:rPr>
          <w:b/>
          <w:bCs/>
        </w:rPr>
        <w:t xml:space="preserve"> </w:t>
      </w:r>
    </w:p>
    <w:p w14:paraId="6F0AAD49" w14:textId="2999A3B6" w:rsidR="009F7130" w:rsidRPr="00CB1DAB" w:rsidRDefault="00325384" w:rsidP="00A832E8">
      <w:pPr>
        <w:spacing w:before="240" w:after="240"/>
        <w:rPr>
          <w:i/>
          <w:iCs/>
        </w:rPr>
      </w:pPr>
      <w:r w:rsidRPr="00CB1DAB">
        <w:rPr>
          <w:i/>
          <w:iCs/>
        </w:rPr>
        <w:t>Greens 1: That the Australian Government funds the free provision of all approved contraceptive methods.</w:t>
      </w:r>
    </w:p>
    <w:p w14:paraId="0C89D48F" w14:textId="77777777" w:rsidR="00325384" w:rsidRPr="00CB1DAB" w:rsidRDefault="00325384" w:rsidP="00A832E8">
      <w:pPr>
        <w:spacing w:before="240" w:after="240"/>
      </w:pPr>
      <w:r w:rsidRPr="00CB1DAB">
        <w:rPr>
          <w:rFonts w:cstheme="minorHAnsi"/>
          <w:lang w:eastAsia="en-AU"/>
        </w:rPr>
        <w:t>The Australian Government</w:t>
      </w:r>
      <w:r w:rsidRPr="00CB1DAB">
        <w:rPr>
          <w:b/>
          <w:bCs/>
        </w:rPr>
        <w:t xml:space="preserve"> notes </w:t>
      </w:r>
      <w:r w:rsidRPr="00CB1DAB">
        <w:t>this recommendation.</w:t>
      </w:r>
    </w:p>
    <w:p w14:paraId="41FEDD0E" w14:textId="1C2C880B" w:rsidR="00325384" w:rsidRPr="00CB1DAB" w:rsidRDefault="00325384" w:rsidP="00A832E8">
      <w:pPr>
        <w:spacing w:before="240" w:after="240"/>
      </w:pPr>
      <w:r w:rsidRPr="00CB1DAB">
        <w:t>Refer to the response to recommendation 4.</w:t>
      </w:r>
    </w:p>
    <w:p w14:paraId="3CB4DFBA" w14:textId="77777777" w:rsidR="00325384" w:rsidRPr="00CB1DAB" w:rsidRDefault="00325384" w:rsidP="00EE1D82">
      <w:pPr>
        <w:spacing w:after="120"/>
      </w:pPr>
    </w:p>
    <w:p w14:paraId="69038557" w14:textId="54D63478" w:rsidR="001938A7" w:rsidRPr="00CB1DAB" w:rsidRDefault="00082D36" w:rsidP="00A832E8">
      <w:pPr>
        <w:spacing w:before="240" w:after="240"/>
        <w:rPr>
          <w:i/>
          <w:iCs/>
        </w:rPr>
      </w:pPr>
      <w:r w:rsidRPr="00CB1DAB">
        <w:rPr>
          <w:i/>
          <w:iCs/>
        </w:rPr>
        <w:t xml:space="preserve">Greens </w:t>
      </w:r>
      <w:r w:rsidR="001938A7" w:rsidRPr="00CB1DAB">
        <w:rPr>
          <w:i/>
          <w:iCs/>
        </w:rPr>
        <w:t>2: That the Australian Government work with states and territories to:</w:t>
      </w:r>
    </w:p>
    <w:p w14:paraId="068A7269" w14:textId="77777777" w:rsidR="001938A7" w:rsidRPr="00CB1DAB" w:rsidRDefault="001938A7" w:rsidP="00A832E8">
      <w:pPr>
        <w:pStyle w:val="ListParagraph"/>
        <w:numPr>
          <w:ilvl w:val="0"/>
          <w:numId w:val="3"/>
        </w:numPr>
        <w:spacing w:before="240" w:after="240"/>
        <w:contextualSpacing w:val="0"/>
        <w:rPr>
          <w:i/>
          <w:iCs/>
          <w:sz w:val="24"/>
          <w:szCs w:val="24"/>
        </w:rPr>
      </w:pPr>
      <w:r w:rsidRPr="00CB1DAB">
        <w:rPr>
          <w:i/>
          <w:iCs/>
          <w:sz w:val="24"/>
          <w:szCs w:val="24"/>
        </w:rPr>
        <w:t>ensure abortion services are provided at no cost; and</w:t>
      </w:r>
    </w:p>
    <w:p w14:paraId="70882246" w14:textId="7301AC4C" w:rsidR="001938A7" w:rsidRPr="00CB1DAB" w:rsidRDefault="001938A7" w:rsidP="00A832E8">
      <w:pPr>
        <w:pStyle w:val="ListParagraph"/>
        <w:numPr>
          <w:ilvl w:val="0"/>
          <w:numId w:val="3"/>
        </w:numPr>
        <w:spacing w:before="240" w:after="240"/>
        <w:contextualSpacing w:val="0"/>
        <w:rPr>
          <w:i/>
          <w:iCs/>
          <w:sz w:val="24"/>
          <w:szCs w:val="24"/>
        </w:rPr>
      </w:pPr>
      <w:r w:rsidRPr="00CB1DAB">
        <w:rPr>
          <w:i/>
          <w:iCs/>
          <w:sz w:val="24"/>
          <w:szCs w:val="24"/>
        </w:rPr>
        <w:t>maintain locally-administered public funds to assist patients to cover</w:t>
      </w:r>
      <w:r w:rsidR="00334014" w:rsidRPr="00CB1DAB">
        <w:rPr>
          <w:i/>
          <w:iCs/>
          <w:sz w:val="24"/>
          <w:szCs w:val="24"/>
        </w:rPr>
        <w:t xml:space="preserve"> </w:t>
      </w:r>
      <w:r w:rsidRPr="00CB1DAB">
        <w:rPr>
          <w:i/>
          <w:iCs/>
          <w:sz w:val="24"/>
          <w:szCs w:val="24"/>
        </w:rPr>
        <w:t>indirect costs where services are not provided in the local hospital.</w:t>
      </w:r>
    </w:p>
    <w:p w14:paraId="3BCDD76F" w14:textId="77777777" w:rsidR="009F7130" w:rsidRPr="00CB1DAB" w:rsidRDefault="009F7130" w:rsidP="009F7130">
      <w:pPr>
        <w:pStyle w:val="ListParagraph"/>
        <w:spacing w:after="120"/>
        <w:contextualSpacing w:val="0"/>
        <w:rPr>
          <w:i/>
          <w:iCs/>
          <w:sz w:val="24"/>
          <w:szCs w:val="24"/>
        </w:rPr>
      </w:pPr>
    </w:p>
    <w:p w14:paraId="534A954B" w14:textId="3C0773DB" w:rsidR="003B365D" w:rsidRPr="00CB1DAB" w:rsidRDefault="00082D36" w:rsidP="00A832E8">
      <w:pPr>
        <w:spacing w:before="240" w:after="240"/>
        <w:rPr>
          <w:i/>
          <w:iCs/>
        </w:rPr>
      </w:pPr>
      <w:r w:rsidRPr="00CB1DAB">
        <w:rPr>
          <w:i/>
          <w:iCs/>
        </w:rPr>
        <w:t xml:space="preserve">Greens </w:t>
      </w:r>
      <w:r w:rsidR="003B365D" w:rsidRPr="00CB1DAB">
        <w:rPr>
          <w:i/>
          <w:iCs/>
        </w:rPr>
        <w:t xml:space="preserve">3: That the Australian, state, and territory governments work towards the harmonisation of pregnancy termination legislation across all Australian jurisdictions, based on best practice models of care. </w:t>
      </w:r>
    </w:p>
    <w:p w14:paraId="64F3E6A4" w14:textId="7D9E5A11" w:rsidR="00045893" w:rsidRPr="00CB1DAB" w:rsidRDefault="00045893" w:rsidP="00A832E8">
      <w:pPr>
        <w:spacing w:before="240" w:after="240"/>
      </w:pPr>
      <w:r w:rsidRPr="00CB1DAB">
        <w:rPr>
          <w:rFonts w:cstheme="minorHAnsi"/>
          <w:lang w:eastAsia="en-AU"/>
        </w:rPr>
        <w:t>The Australian Government</w:t>
      </w:r>
      <w:r w:rsidRPr="00CB1DAB">
        <w:rPr>
          <w:b/>
          <w:bCs/>
        </w:rPr>
        <w:t xml:space="preserve"> notes </w:t>
      </w:r>
      <w:r w:rsidRPr="00CB1DAB">
        <w:t>these recommendations.</w:t>
      </w:r>
    </w:p>
    <w:p w14:paraId="53A61849" w14:textId="5BA07B28" w:rsidR="00CA06DA" w:rsidRPr="00CB1DAB" w:rsidRDefault="00CA06DA" w:rsidP="00EE1D82">
      <w:pPr>
        <w:pStyle w:val="NormalWeb"/>
        <w:spacing w:before="0" w:beforeAutospacing="0" w:after="120" w:afterAutospacing="0"/>
        <w:rPr>
          <w:rFonts w:ascii="Calibri" w:hAnsi="Calibri" w:cs="Calibri"/>
        </w:rPr>
      </w:pPr>
      <w:r w:rsidRPr="00CB1DAB">
        <w:rPr>
          <w:rFonts w:ascii="Calibri" w:hAnsi="Calibri" w:cs="Calibri"/>
        </w:rPr>
        <w:t>The Government provides funding for pregnancy termination services via:</w:t>
      </w:r>
    </w:p>
    <w:p w14:paraId="25FE8EE0" w14:textId="234D8C2A" w:rsidR="00CA06DA" w:rsidRPr="00CB1DAB" w:rsidRDefault="00CA06DA" w:rsidP="00326B55">
      <w:pPr>
        <w:pStyle w:val="ListParagraph"/>
        <w:numPr>
          <w:ilvl w:val="0"/>
          <w:numId w:val="50"/>
        </w:numPr>
        <w:spacing w:after="120"/>
        <w:ind w:left="714" w:hanging="357"/>
        <w:contextualSpacing w:val="0"/>
        <w:rPr>
          <w:sz w:val="24"/>
          <w:szCs w:val="24"/>
        </w:rPr>
      </w:pPr>
      <w:r w:rsidRPr="00CB1DAB">
        <w:rPr>
          <w:sz w:val="24"/>
          <w:szCs w:val="24"/>
        </w:rPr>
        <w:t xml:space="preserve">Public hospitals funding through the NHRA </w:t>
      </w:r>
    </w:p>
    <w:p w14:paraId="31BBDF7F" w14:textId="4023022C" w:rsidR="00CA06DA" w:rsidRPr="00CB1DAB" w:rsidRDefault="00CA06DA" w:rsidP="00326B55">
      <w:pPr>
        <w:pStyle w:val="ListParagraph"/>
        <w:numPr>
          <w:ilvl w:val="0"/>
          <w:numId w:val="50"/>
        </w:numPr>
        <w:spacing w:after="120"/>
        <w:ind w:left="714" w:hanging="357"/>
        <w:contextualSpacing w:val="0"/>
        <w:rPr>
          <w:sz w:val="24"/>
          <w:szCs w:val="24"/>
        </w:rPr>
      </w:pPr>
      <w:r w:rsidRPr="00CB1DAB">
        <w:rPr>
          <w:sz w:val="24"/>
          <w:szCs w:val="24"/>
        </w:rPr>
        <w:t xml:space="preserve">MBS items for surgical terminations and for </w:t>
      </w:r>
      <w:r w:rsidR="00CD4369" w:rsidRPr="00CB1DAB">
        <w:rPr>
          <w:sz w:val="24"/>
          <w:szCs w:val="24"/>
        </w:rPr>
        <w:t>face</w:t>
      </w:r>
      <w:r w:rsidR="003A3D3A" w:rsidRPr="00CB1DAB">
        <w:rPr>
          <w:sz w:val="24"/>
          <w:szCs w:val="24"/>
        </w:rPr>
        <w:t>-</w:t>
      </w:r>
      <w:r w:rsidR="00CD4369" w:rsidRPr="00CB1DAB">
        <w:rPr>
          <w:sz w:val="24"/>
          <w:szCs w:val="24"/>
        </w:rPr>
        <w:t>to</w:t>
      </w:r>
      <w:r w:rsidR="003A3D3A" w:rsidRPr="00CB1DAB">
        <w:rPr>
          <w:sz w:val="24"/>
          <w:szCs w:val="24"/>
        </w:rPr>
        <w:t>-</w:t>
      </w:r>
      <w:r w:rsidR="00CD4369" w:rsidRPr="00CB1DAB">
        <w:rPr>
          <w:sz w:val="24"/>
          <w:szCs w:val="24"/>
        </w:rPr>
        <w:t xml:space="preserve">face and </w:t>
      </w:r>
      <w:r w:rsidRPr="00CB1DAB">
        <w:rPr>
          <w:sz w:val="24"/>
          <w:szCs w:val="24"/>
        </w:rPr>
        <w:t xml:space="preserve">telehealth </w:t>
      </w:r>
      <w:r w:rsidR="00CD4369" w:rsidRPr="00CB1DAB">
        <w:rPr>
          <w:sz w:val="24"/>
          <w:szCs w:val="24"/>
        </w:rPr>
        <w:t xml:space="preserve">consultations for </w:t>
      </w:r>
      <w:r w:rsidRPr="00CB1DAB">
        <w:rPr>
          <w:sz w:val="24"/>
          <w:szCs w:val="24"/>
        </w:rPr>
        <w:t>access to sexual and reproductive healthcare</w:t>
      </w:r>
      <w:r w:rsidR="008C7DB4" w:rsidRPr="00CB1DAB">
        <w:rPr>
          <w:sz w:val="24"/>
          <w:szCs w:val="24"/>
        </w:rPr>
        <w:t>,</w:t>
      </w:r>
      <w:r w:rsidR="00A92D62" w:rsidRPr="00CB1DAB">
        <w:rPr>
          <w:sz w:val="24"/>
          <w:szCs w:val="24"/>
        </w:rPr>
        <w:t xml:space="preserve"> </w:t>
      </w:r>
      <w:r w:rsidRPr="00CB1DAB">
        <w:rPr>
          <w:sz w:val="24"/>
          <w:szCs w:val="24"/>
        </w:rPr>
        <w:t>and</w:t>
      </w:r>
    </w:p>
    <w:p w14:paraId="10C1394B" w14:textId="33C92ABE" w:rsidR="00CA06DA" w:rsidRPr="00CB1DAB" w:rsidRDefault="00CA06DA" w:rsidP="00326B55">
      <w:pPr>
        <w:pStyle w:val="ListParagraph"/>
        <w:numPr>
          <w:ilvl w:val="0"/>
          <w:numId w:val="50"/>
        </w:numPr>
        <w:spacing w:after="120"/>
        <w:ind w:left="714" w:hanging="357"/>
        <w:contextualSpacing w:val="0"/>
        <w:rPr>
          <w:sz w:val="24"/>
          <w:szCs w:val="24"/>
        </w:rPr>
      </w:pPr>
      <w:r w:rsidRPr="00CB1DAB">
        <w:rPr>
          <w:sz w:val="24"/>
          <w:szCs w:val="24"/>
        </w:rPr>
        <w:t>PBS listings for medical termination medication.</w:t>
      </w:r>
    </w:p>
    <w:p w14:paraId="24D127E7" w14:textId="422E52E1" w:rsidR="00CA06DA" w:rsidRPr="00CB1DAB" w:rsidRDefault="00CA06DA" w:rsidP="00EE1D82">
      <w:pPr>
        <w:spacing w:after="120"/>
        <w:rPr>
          <w:rFonts w:ascii="Calibri" w:hAnsi="Calibri" w:cs="Calibri"/>
        </w:rPr>
      </w:pPr>
      <w:r w:rsidRPr="00CB1DAB">
        <w:rPr>
          <w:rFonts w:ascii="Calibri" w:hAnsi="Calibri" w:cs="Calibri"/>
          <w:lang w:eastAsia="en-AU"/>
        </w:rPr>
        <w:t>Fees charged by private providers are not set or controlled by the Government, but MBS rebates may apply.</w:t>
      </w:r>
      <w:r w:rsidR="00F160B5" w:rsidRPr="00CB1DAB">
        <w:rPr>
          <w:rFonts w:ascii="Calibri" w:hAnsi="Calibri" w:cs="Calibri"/>
          <w:lang w:eastAsia="en-AU"/>
        </w:rPr>
        <w:t xml:space="preserve"> </w:t>
      </w:r>
    </w:p>
    <w:p w14:paraId="1A336A80" w14:textId="15E8776A" w:rsidR="00287104" w:rsidRPr="00CB1DAB" w:rsidRDefault="00581056" w:rsidP="00EE1D82">
      <w:pPr>
        <w:pStyle w:val="NormalWeb"/>
        <w:spacing w:before="0" w:beforeAutospacing="0" w:after="120" w:afterAutospacing="0"/>
        <w:rPr>
          <w:rFonts w:asciiTheme="minorHAnsi" w:hAnsiTheme="minorHAnsi" w:cstheme="minorHAnsi"/>
        </w:rPr>
      </w:pPr>
      <w:r w:rsidRPr="00CB1DAB">
        <w:rPr>
          <w:rFonts w:ascii="Calibri" w:hAnsi="Calibri" w:cs="Calibri"/>
        </w:rPr>
        <w:t xml:space="preserve">Access to </w:t>
      </w:r>
      <w:r w:rsidR="00763C5F" w:rsidRPr="00CB1DAB">
        <w:rPr>
          <w:rFonts w:ascii="Calibri" w:hAnsi="Calibri" w:cs="Calibri"/>
        </w:rPr>
        <w:t xml:space="preserve">pregnancy termination services </w:t>
      </w:r>
      <w:r w:rsidR="003F69CC" w:rsidRPr="00CB1DAB">
        <w:rPr>
          <w:rFonts w:ascii="Calibri" w:hAnsi="Calibri" w:cs="Calibri"/>
        </w:rPr>
        <w:t xml:space="preserve">is a state and territory responsibility and the laws relating to pregnancy termination are a matter for individual jurisdictions. </w:t>
      </w:r>
      <w:r w:rsidR="00BA0F8E" w:rsidRPr="00CB1DAB">
        <w:rPr>
          <w:rFonts w:asciiTheme="minorHAnsi" w:hAnsiTheme="minorHAnsi" w:cstheme="minorHAnsi"/>
        </w:rPr>
        <w:t>Laws relating to pregnancy termination vary between jurisdictions, including the legal conditions under which a termination can be performed and the requirements for patients to access termination services.</w:t>
      </w:r>
      <w:r w:rsidR="00287104" w:rsidRPr="00CB1DAB">
        <w:rPr>
          <w:rFonts w:asciiTheme="minorHAnsi" w:hAnsiTheme="minorHAnsi" w:cstheme="minorHAnsi"/>
        </w:rPr>
        <w:t xml:space="preserve"> </w:t>
      </w:r>
    </w:p>
    <w:p w14:paraId="081AFA31" w14:textId="77777777" w:rsidR="009F7130" w:rsidRPr="00CB1DAB" w:rsidRDefault="00287104" w:rsidP="009F7130">
      <w:pPr>
        <w:pStyle w:val="NormalWeb"/>
        <w:spacing w:before="0" w:beforeAutospacing="0" w:after="120" w:afterAutospacing="0"/>
        <w:rPr>
          <w:rFonts w:ascii="Calibri" w:hAnsi="Calibri" w:cs="Calibri"/>
        </w:rPr>
      </w:pPr>
      <w:r w:rsidRPr="00CB1DAB">
        <w:rPr>
          <w:rFonts w:ascii="Calibri" w:hAnsi="Calibri" w:cs="Calibri"/>
        </w:rPr>
        <w:t>The responses to recommendations 15, 18 and 20 provide further information on pregnancy termination in Australia.</w:t>
      </w:r>
    </w:p>
    <w:p w14:paraId="49458EAC" w14:textId="77777777" w:rsidR="00A832E8" w:rsidRPr="00CB1DAB" w:rsidRDefault="00A832E8" w:rsidP="009F7130">
      <w:pPr>
        <w:pStyle w:val="NormalWeb"/>
        <w:spacing w:before="0" w:beforeAutospacing="0" w:after="120" w:afterAutospacing="0"/>
        <w:rPr>
          <w:rFonts w:ascii="Calibri" w:hAnsi="Calibri" w:cs="Calibri"/>
        </w:rPr>
      </w:pPr>
    </w:p>
    <w:p w14:paraId="6E0177C7" w14:textId="05D14B61" w:rsidR="00376FC8" w:rsidRPr="00CB1DAB" w:rsidRDefault="00376FC8" w:rsidP="00A832E8">
      <w:pPr>
        <w:pStyle w:val="NormalWeb"/>
        <w:spacing w:before="240" w:beforeAutospacing="0" w:after="240" w:afterAutospacing="0"/>
        <w:rPr>
          <w:rFonts w:asciiTheme="minorHAnsi" w:hAnsiTheme="minorHAnsi" w:cstheme="minorHAnsi"/>
          <w:i/>
          <w:iCs/>
        </w:rPr>
      </w:pPr>
      <w:r w:rsidRPr="00CB1DAB">
        <w:rPr>
          <w:rFonts w:asciiTheme="minorHAnsi" w:hAnsiTheme="minorHAnsi" w:cstheme="minorHAnsi"/>
          <w:i/>
          <w:iCs/>
        </w:rPr>
        <w:t>Greens 4: That the Government remove legal barriers to accessing IVF and altruistic surrogacy arrangements by:</w:t>
      </w:r>
    </w:p>
    <w:p w14:paraId="495CFBD0" w14:textId="77777777" w:rsidR="00376FC8" w:rsidRPr="00CB1DAB" w:rsidRDefault="00376FC8" w:rsidP="00A832E8">
      <w:pPr>
        <w:pStyle w:val="ListParagraph"/>
        <w:keepNext/>
        <w:keepLines/>
        <w:numPr>
          <w:ilvl w:val="0"/>
          <w:numId w:val="4"/>
        </w:numPr>
        <w:spacing w:before="240" w:after="240"/>
        <w:contextualSpacing w:val="0"/>
        <w:rPr>
          <w:i/>
          <w:iCs/>
          <w:sz w:val="24"/>
          <w:szCs w:val="24"/>
        </w:rPr>
      </w:pPr>
      <w:r w:rsidRPr="00CB1DAB">
        <w:rPr>
          <w:i/>
          <w:iCs/>
          <w:sz w:val="24"/>
          <w:szCs w:val="24"/>
        </w:rPr>
        <w:lastRenderedPageBreak/>
        <w:t xml:space="preserve">amending the definition of infertility to align with the International Committee Monitoring Assisted Reproductive Technologies’ definition of infertility; and </w:t>
      </w:r>
    </w:p>
    <w:p w14:paraId="0F353168" w14:textId="77777777" w:rsidR="00376FC8" w:rsidRPr="00CB1DAB" w:rsidRDefault="00376FC8" w:rsidP="00A832E8">
      <w:pPr>
        <w:pStyle w:val="ListParagraph"/>
        <w:keepNext/>
        <w:keepLines/>
        <w:numPr>
          <w:ilvl w:val="0"/>
          <w:numId w:val="4"/>
        </w:numPr>
        <w:spacing w:before="240" w:after="240"/>
        <w:contextualSpacing w:val="0"/>
        <w:rPr>
          <w:b/>
          <w:bCs/>
        </w:rPr>
      </w:pPr>
      <w:r w:rsidRPr="00CB1DAB">
        <w:rPr>
          <w:i/>
          <w:iCs/>
          <w:sz w:val="24"/>
          <w:szCs w:val="24"/>
        </w:rPr>
        <w:t>deleting the word ‘particular’ from subsection 12(1) of the Prohibition of Human Cloning for Reproduction Act 2002.</w:t>
      </w:r>
    </w:p>
    <w:p w14:paraId="7F52ED8B" w14:textId="005074F1" w:rsidR="0076664F" w:rsidRPr="00CB1DAB" w:rsidRDefault="0076664F" w:rsidP="00A832E8">
      <w:pPr>
        <w:keepNext/>
        <w:keepLines/>
        <w:spacing w:before="240" w:after="240"/>
        <w:rPr>
          <w:rFonts w:ascii="Calibri" w:hAnsi="Calibri" w:cs="Calibri"/>
          <w:lang w:eastAsia="en-AU"/>
        </w:rPr>
      </w:pPr>
      <w:r w:rsidRPr="00CB1DAB">
        <w:rPr>
          <w:rFonts w:cstheme="minorHAnsi"/>
          <w:lang w:eastAsia="en-AU"/>
        </w:rPr>
        <w:t>The Australian Government</w:t>
      </w:r>
      <w:r w:rsidRPr="00CB1DAB">
        <w:rPr>
          <w:b/>
          <w:bCs/>
        </w:rPr>
        <w:t xml:space="preserve"> notes </w:t>
      </w:r>
      <w:r w:rsidRPr="00CB1DAB">
        <w:t>this recommendation</w:t>
      </w:r>
      <w:r w:rsidR="00CC370F" w:rsidRPr="00CB1DAB">
        <w:t>.</w:t>
      </w:r>
    </w:p>
    <w:p w14:paraId="053E7F1E" w14:textId="5C1C38E0" w:rsidR="006820D0" w:rsidRPr="00CB1DAB" w:rsidRDefault="0076664F" w:rsidP="00EE1D82">
      <w:pPr>
        <w:keepNext/>
        <w:keepLines/>
        <w:spacing w:after="120"/>
        <w:rPr>
          <w:rFonts w:ascii="Calibri" w:hAnsi="Calibri" w:cs="Calibri"/>
          <w:lang w:eastAsia="en-AU"/>
        </w:rPr>
      </w:pPr>
      <w:r w:rsidRPr="00CB1DAB">
        <w:rPr>
          <w:rFonts w:ascii="Calibri" w:hAnsi="Calibri" w:cs="Calibri"/>
          <w:lang w:eastAsia="en-AU"/>
        </w:rPr>
        <w:t>Refer to the response for recommendations 32 and 33</w:t>
      </w:r>
      <w:r w:rsidR="00A04776" w:rsidRPr="00CB1DAB">
        <w:rPr>
          <w:rFonts w:ascii="Calibri" w:hAnsi="Calibri" w:cs="Calibri"/>
          <w:lang w:eastAsia="en-AU"/>
        </w:rPr>
        <w:t>.</w:t>
      </w:r>
    </w:p>
    <w:p w14:paraId="0104A958" w14:textId="77777777" w:rsidR="00456CF8" w:rsidRPr="00CB1DAB" w:rsidRDefault="00456CF8" w:rsidP="00EC16A2">
      <w:pPr>
        <w:spacing w:after="120"/>
      </w:pPr>
      <w:r w:rsidRPr="00CB1DAB">
        <w:t xml:space="preserve">The </w:t>
      </w:r>
      <w:r w:rsidRPr="00CB1DAB">
        <w:rPr>
          <w:i/>
          <w:iCs/>
        </w:rPr>
        <w:t>Prohibition of Human Cloning for Reproduction Act 2002</w:t>
      </w:r>
      <w:r w:rsidRPr="00CB1DAB">
        <w:t>, subsection 12(1) states:</w:t>
      </w:r>
    </w:p>
    <w:p w14:paraId="2AE14EE4" w14:textId="77777777" w:rsidR="00456CF8" w:rsidRPr="00CB1DAB" w:rsidRDefault="00456CF8" w:rsidP="00EE1D82">
      <w:pPr>
        <w:spacing w:after="120"/>
        <w:rPr>
          <w:i/>
          <w:iCs/>
        </w:rPr>
      </w:pPr>
      <w:r w:rsidRPr="00CB1DAB">
        <w:rPr>
          <w:i/>
          <w:iCs/>
        </w:rPr>
        <w:t>A person commits an offence if the person intentionally creates a human embryo by a process of the fertilisation of a human egg by a human sperm outside the body of a woman, unless either both of the following apply:</w:t>
      </w:r>
    </w:p>
    <w:p w14:paraId="209C43F8" w14:textId="77777777" w:rsidR="00456CF8" w:rsidRPr="00CB1DAB" w:rsidRDefault="00456CF8" w:rsidP="00EE1D82">
      <w:pPr>
        <w:spacing w:after="120"/>
        <w:rPr>
          <w:i/>
          <w:iCs/>
        </w:rPr>
      </w:pPr>
      <w:r w:rsidRPr="00CB1DAB">
        <w:rPr>
          <w:i/>
          <w:iCs/>
        </w:rPr>
        <w:t>(a) the person’s intention in creating the embryo is to attempt to achieve pregnancy in a particular woman…</w:t>
      </w:r>
    </w:p>
    <w:p w14:paraId="25E8367B" w14:textId="77777777" w:rsidR="00456CF8" w:rsidRPr="00CB1DAB" w:rsidRDefault="00456CF8" w:rsidP="00EE1D82">
      <w:pPr>
        <w:spacing w:after="120"/>
      </w:pPr>
      <w:r w:rsidRPr="00CB1DAB">
        <w:t>Section 12 is intended to address ethical concerns around the creation of a human embryo outside the body of a woman for reasons beyond an attempt to achieve pregnancy in a particular woman. The feasibility of amending this legislation would depend on whether the broader ethical concerns in the creation of an embryo at a time when a particular woman is not identified for the purposes of achieving pregnancy can be managed in an alternative way.</w:t>
      </w:r>
    </w:p>
    <w:p w14:paraId="4DD74039" w14:textId="77777777" w:rsidR="002D04CC" w:rsidRPr="00CB1DAB" w:rsidRDefault="002D04CC" w:rsidP="00EC16A2">
      <w:pPr>
        <w:spacing w:after="200"/>
      </w:pPr>
    </w:p>
    <w:p w14:paraId="03CB2308" w14:textId="77777777" w:rsidR="00253AB5" w:rsidRPr="00CB1DAB" w:rsidRDefault="00253AB5" w:rsidP="00EC16A2">
      <w:pPr>
        <w:spacing w:after="200"/>
      </w:pPr>
    </w:p>
    <w:p w14:paraId="50A30325" w14:textId="6CE2AC71" w:rsidR="00B25FA0" w:rsidRPr="00CB1DAB" w:rsidRDefault="00B25FA0" w:rsidP="00EC16A2">
      <w:pPr>
        <w:spacing w:after="200"/>
      </w:pPr>
    </w:p>
    <w:p w14:paraId="333CBD62" w14:textId="77777777" w:rsidR="004B3EBB" w:rsidRPr="00CB1DAB" w:rsidRDefault="004B3EBB" w:rsidP="00EC16A2">
      <w:pPr>
        <w:spacing w:after="200"/>
      </w:pPr>
    </w:p>
    <w:p w14:paraId="1F888C68" w14:textId="77777777" w:rsidR="004B3EBB" w:rsidRPr="00CB1DAB" w:rsidRDefault="004B3EBB" w:rsidP="00EC16A2">
      <w:pPr>
        <w:spacing w:after="200"/>
      </w:pPr>
    </w:p>
    <w:p w14:paraId="2EFB6D2C" w14:textId="77777777" w:rsidR="004B3EBB" w:rsidRPr="00CB1DAB" w:rsidRDefault="004B3EBB" w:rsidP="00EC16A2">
      <w:pPr>
        <w:spacing w:after="200"/>
      </w:pPr>
    </w:p>
    <w:p w14:paraId="421020AC" w14:textId="6C719663" w:rsidR="006E7F80" w:rsidRPr="00CB1DAB" w:rsidRDefault="006E7F80" w:rsidP="00EE1D82">
      <w:pPr>
        <w:pageBreakBefore/>
        <w:pBdr>
          <w:bottom w:val="single" w:sz="6" w:space="1" w:color="auto"/>
        </w:pBdr>
        <w:spacing w:after="240"/>
        <w:rPr>
          <w:b/>
          <w:bCs/>
        </w:rPr>
      </w:pPr>
      <w:r w:rsidRPr="00CB1DAB">
        <w:rPr>
          <w:b/>
          <w:bCs/>
        </w:rPr>
        <w:lastRenderedPageBreak/>
        <w:t>Abbreviations</w:t>
      </w:r>
    </w:p>
    <w:p w14:paraId="5C18EB94" w14:textId="315EABE3" w:rsidR="006E7F80" w:rsidRPr="00CB1DAB" w:rsidRDefault="006E7F80" w:rsidP="00EE1D82">
      <w:r w:rsidRPr="00CB1DAB">
        <w:t>AusCAPPS = Australian Contraception and Abortion Primary Care Practitioner Support</w:t>
      </w:r>
    </w:p>
    <w:p w14:paraId="43127A63" w14:textId="77777777" w:rsidR="006E7F80" w:rsidRPr="00CB1DAB" w:rsidRDefault="006E7F80" w:rsidP="00EE1D82">
      <w:r w:rsidRPr="00CB1DAB">
        <w:t>AIFS = Australian Institute of Family Studies</w:t>
      </w:r>
    </w:p>
    <w:p w14:paraId="42260A28" w14:textId="77777777" w:rsidR="006E7F80" w:rsidRPr="00CB1DAB" w:rsidRDefault="006E7F80" w:rsidP="00EE1D82">
      <w:r w:rsidRPr="00CB1DAB">
        <w:t>ART = assisted reproductive technology</w:t>
      </w:r>
    </w:p>
    <w:p w14:paraId="486089A8" w14:textId="77777777" w:rsidR="006E7F80" w:rsidRPr="00CB1DAB" w:rsidRDefault="006E7F80" w:rsidP="00EE1D82">
      <w:r w:rsidRPr="00CB1DAB">
        <w:t>ARTG = Australian Register of Therapeutic Goods</w:t>
      </w:r>
    </w:p>
    <w:p w14:paraId="6BEA2628" w14:textId="30558A15" w:rsidR="006E7F80" w:rsidRPr="00CB1DAB" w:rsidRDefault="006E7F80" w:rsidP="00EE1D82">
      <w:r w:rsidRPr="00CB1DAB">
        <w:t xml:space="preserve">BBV = blood borne viruses </w:t>
      </w:r>
    </w:p>
    <w:p w14:paraId="5C9F2091" w14:textId="54E48D09" w:rsidR="009D2468" w:rsidRPr="00CB1DAB" w:rsidRDefault="009D2468" w:rsidP="00EE1D82">
      <w:r w:rsidRPr="00CB1DAB">
        <w:t>BBVSRH = blood borne viruses and sexual and reproductive health</w:t>
      </w:r>
    </w:p>
    <w:p w14:paraId="2458231B" w14:textId="0022E81D" w:rsidR="005D423E" w:rsidRPr="00CB1DAB" w:rsidRDefault="005D423E" w:rsidP="00EE1D82">
      <w:r w:rsidRPr="00CB1DAB">
        <w:t xml:space="preserve">CALD = culturally and linguistically diverse  </w:t>
      </w:r>
    </w:p>
    <w:p w14:paraId="359A53DE" w14:textId="5CD64D16" w:rsidR="006E7F80" w:rsidRPr="00CB1DAB" w:rsidRDefault="006E7F80" w:rsidP="00EE1D82">
      <w:r w:rsidRPr="00CB1DAB">
        <w:t>CPD = continuing professional development</w:t>
      </w:r>
    </w:p>
    <w:p w14:paraId="469B5483" w14:textId="77777777" w:rsidR="006E7F80" w:rsidRPr="00CB1DAB" w:rsidRDefault="006E7F80" w:rsidP="00EE1D82">
      <w:r w:rsidRPr="00CB1DAB">
        <w:t>EAG = Expert Advisory Group</w:t>
      </w:r>
    </w:p>
    <w:p w14:paraId="07B44534" w14:textId="1B05DB33" w:rsidR="00453617" w:rsidRPr="00CB1DAB" w:rsidRDefault="00453617" w:rsidP="00EE1D82">
      <w:r w:rsidRPr="00CB1DAB">
        <w:t>FATES = Flexible Approach to Training in Expanded Settings</w:t>
      </w:r>
    </w:p>
    <w:p w14:paraId="6EB0960D" w14:textId="5C717577" w:rsidR="006E7F80" w:rsidRPr="00CB1DAB" w:rsidRDefault="006E7F80" w:rsidP="00EE1D82">
      <w:r w:rsidRPr="00CB1DAB">
        <w:t>FTE = full time equivalent</w:t>
      </w:r>
    </w:p>
    <w:p w14:paraId="07796CCF" w14:textId="77777777" w:rsidR="006E7F80" w:rsidRPr="00CB1DAB" w:rsidRDefault="006E7F80" w:rsidP="00EE1D82">
      <w:r w:rsidRPr="00CB1DAB">
        <w:t>GP = general practitioner</w:t>
      </w:r>
    </w:p>
    <w:p w14:paraId="0B2C6E5C" w14:textId="362B44ED" w:rsidR="00DF14EE" w:rsidRPr="00CB1DAB" w:rsidRDefault="00DF14EE" w:rsidP="00EE1D82">
      <w:r w:rsidRPr="00CB1DAB">
        <w:t xml:space="preserve">HIV = </w:t>
      </w:r>
      <w:r w:rsidR="00965904" w:rsidRPr="00CB1DAB">
        <w:t>human immunodeficiency virus</w:t>
      </w:r>
    </w:p>
    <w:p w14:paraId="34FFFE75" w14:textId="244D208C" w:rsidR="009D2468" w:rsidRPr="00CB1DAB" w:rsidRDefault="009D2468" w:rsidP="00EE1D82">
      <w:r w:rsidRPr="00CB1DAB">
        <w:t>HWT = Health Workforce Taskforce</w:t>
      </w:r>
    </w:p>
    <w:p w14:paraId="6CDB24AD" w14:textId="074A61A7" w:rsidR="00CB4FC6" w:rsidRPr="00CB1DAB" w:rsidRDefault="00CB4FC6" w:rsidP="00EE1D82">
      <w:r w:rsidRPr="00CB1DAB">
        <w:t>Intellectual Disability Roadmap</w:t>
      </w:r>
      <w:r w:rsidRPr="00CB1DAB">
        <w:rPr>
          <w:iCs/>
        </w:rPr>
        <w:t xml:space="preserve"> = National Roadmap for Improving the Health of People with Intellectual Disability</w:t>
      </w:r>
    </w:p>
    <w:p w14:paraId="767A95E3" w14:textId="77777777" w:rsidR="006E7F80" w:rsidRPr="00CB1DAB" w:rsidRDefault="006E7F80" w:rsidP="00EE1D82">
      <w:r w:rsidRPr="00CB1DAB">
        <w:t>IRTP = Integrated Rural Training Pipeline</w:t>
      </w:r>
    </w:p>
    <w:p w14:paraId="57D52C8F" w14:textId="77777777" w:rsidR="006E7F80" w:rsidRPr="00CB1DAB" w:rsidRDefault="006E7F80" w:rsidP="00EE1D82">
      <w:r w:rsidRPr="00CB1DAB">
        <w:t>IUD = intrauterine device</w:t>
      </w:r>
    </w:p>
    <w:p w14:paraId="281B56F9" w14:textId="77777777" w:rsidR="006E7F80" w:rsidRPr="00CB1DAB" w:rsidRDefault="006E7F80" w:rsidP="00EE1D82">
      <w:r w:rsidRPr="00CB1DAB">
        <w:t>IVF = in vitro fertilisation</w:t>
      </w:r>
    </w:p>
    <w:p w14:paraId="3BE44CF3" w14:textId="77777777" w:rsidR="006E7F80" w:rsidRPr="00CB1DAB" w:rsidRDefault="006E7F80" w:rsidP="00EE1D82">
      <w:r w:rsidRPr="00CB1DAB">
        <w:t>LARC = long-acting reversible contraception</w:t>
      </w:r>
    </w:p>
    <w:p w14:paraId="048B48C4" w14:textId="50C1F722" w:rsidR="00113E49" w:rsidRPr="00CB1DAB" w:rsidRDefault="00113E49" w:rsidP="00EE1D82">
      <w:r w:rsidRPr="00CB1DAB">
        <w:t>LGBTIQA+ Action Plan = 10</w:t>
      </w:r>
      <w:r w:rsidR="009D1090" w:rsidRPr="00CB1DAB">
        <w:t xml:space="preserve"> </w:t>
      </w:r>
      <w:r w:rsidRPr="00CB1DAB">
        <w:t>year</w:t>
      </w:r>
      <w:r w:rsidR="00E40727" w:rsidRPr="00CB1DAB">
        <w:t xml:space="preserve"> National Action Plan on the Health and Wellbeing of LGBTIQA+ people</w:t>
      </w:r>
      <w:r w:rsidR="00472869" w:rsidRPr="00CB1DAB">
        <w:t xml:space="preserve"> 2025-2035</w:t>
      </w:r>
    </w:p>
    <w:p w14:paraId="4068CC7C" w14:textId="77777777" w:rsidR="006E7F80" w:rsidRPr="00CB1DAB" w:rsidRDefault="006E7F80" w:rsidP="00EE1D82">
      <w:r w:rsidRPr="00CB1DAB">
        <w:t>MBS = Medicare Benefits Schedule</w:t>
      </w:r>
    </w:p>
    <w:p w14:paraId="0F799275" w14:textId="77777777" w:rsidR="006E7F80" w:rsidRPr="00CB1DAB" w:rsidRDefault="006E7F80" w:rsidP="00EE1D82">
      <w:r w:rsidRPr="00CB1DAB">
        <w:t>MCWH = Multicultural Centre for Women’s Health</w:t>
      </w:r>
    </w:p>
    <w:p w14:paraId="45F44B13" w14:textId="77777777" w:rsidR="006E7F80" w:rsidRPr="00CB1DAB" w:rsidRDefault="006E7F80" w:rsidP="00EE1D82">
      <w:r w:rsidRPr="00CB1DAB">
        <w:t>MRAC = MBS Review Advisory Committee</w:t>
      </w:r>
    </w:p>
    <w:p w14:paraId="47F0F710" w14:textId="77777777" w:rsidR="006E7F80" w:rsidRPr="00CB1DAB" w:rsidRDefault="006E7F80" w:rsidP="00EE1D82">
      <w:r w:rsidRPr="00CB1DAB">
        <w:t>MRFF = Medical Research Future Fund</w:t>
      </w:r>
    </w:p>
    <w:p w14:paraId="7869B8C0" w14:textId="7CB95A59" w:rsidR="00135CE6" w:rsidRPr="00CB1DAB" w:rsidRDefault="00135CE6" w:rsidP="00EE1D82">
      <w:pPr>
        <w:rPr>
          <w:rFonts w:cstheme="minorHAnsi"/>
          <w:lang w:eastAsia="en-AU"/>
        </w:rPr>
      </w:pPr>
      <w:r w:rsidRPr="00CB1DAB">
        <w:rPr>
          <w:rFonts w:cstheme="minorHAnsi"/>
          <w:lang w:eastAsia="en-AU"/>
        </w:rPr>
        <w:t>MS-2 Step</w:t>
      </w:r>
      <w:r w:rsidRPr="00CB1DAB">
        <w:rPr>
          <w:rFonts w:cstheme="minorHAnsi"/>
          <w:vertAlign w:val="superscript"/>
          <w:lang w:eastAsia="en-AU"/>
        </w:rPr>
        <w:t>©</w:t>
      </w:r>
      <w:r w:rsidRPr="00CB1DAB">
        <w:rPr>
          <w:rFonts w:cstheme="minorHAnsi"/>
          <w:lang w:eastAsia="en-AU"/>
        </w:rPr>
        <w:t xml:space="preserve"> = mifepristone and misoprostol</w:t>
      </w:r>
    </w:p>
    <w:p w14:paraId="6DCC120C" w14:textId="36BB938B" w:rsidR="0081619E" w:rsidRPr="00CB1DAB" w:rsidRDefault="0081619E" w:rsidP="00EE1D82">
      <w:r w:rsidRPr="00CB1DAB">
        <w:rPr>
          <w:rFonts w:cstheme="minorHAnsi"/>
          <w:lang w:eastAsia="en-AU"/>
        </w:rPr>
        <w:t>MSAC = Medical Services Advisory Committee</w:t>
      </w:r>
    </w:p>
    <w:p w14:paraId="74D40D5C" w14:textId="0D981270" w:rsidR="000A42D1" w:rsidRPr="00CB1DAB" w:rsidRDefault="000A42D1" w:rsidP="00EE1D82">
      <w:r w:rsidRPr="00CB1DAB">
        <w:t>MYEFO = Mid-Year Economic and Fiscal Outlook</w:t>
      </w:r>
    </w:p>
    <w:p w14:paraId="0242EE84" w14:textId="5368C17F" w:rsidR="006E7F80" w:rsidRPr="00CB1DAB" w:rsidRDefault="006E7F80" w:rsidP="00EE1D82">
      <w:r w:rsidRPr="00CB1DAB">
        <w:t>NACCHO = National Aboriginal Community Controlled Health Organisation</w:t>
      </w:r>
    </w:p>
    <w:p w14:paraId="4D2D265A" w14:textId="77B1F01A" w:rsidR="0024708F" w:rsidRPr="00CB1DAB" w:rsidRDefault="0024708F" w:rsidP="00EE1D82">
      <w:r w:rsidRPr="00CB1DAB">
        <w:t xml:space="preserve">National Centre = </w:t>
      </w:r>
      <w:r w:rsidR="00815D33" w:rsidRPr="00CB1DAB">
        <w:t xml:space="preserve">National Centre </w:t>
      </w:r>
      <w:r w:rsidRPr="00CB1DAB">
        <w:t>of Excellence in Intellectual Disability Health</w:t>
      </w:r>
    </w:p>
    <w:p w14:paraId="0054FA9A" w14:textId="7646AFA0" w:rsidR="00676D8A" w:rsidRPr="00CB1DAB" w:rsidRDefault="00676D8A" w:rsidP="00EE1D82">
      <w:r w:rsidRPr="00CB1DAB">
        <w:t xml:space="preserve">National Principles = National Principles to Address Coercive Control in Family and Domestic Violence </w:t>
      </w:r>
    </w:p>
    <w:p w14:paraId="5CC4FF4A" w14:textId="77777777" w:rsidR="006E7F80" w:rsidRPr="00CB1DAB" w:rsidRDefault="006E7F80" w:rsidP="00EE1D82">
      <w:r w:rsidRPr="00CB1DAB">
        <w:t>NES = National Employment Standards</w:t>
      </w:r>
    </w:p>
    <w:p w14:paraId="0C82A2B7" w14:textId="77777777" w:rsidR="006E7F80" w:rsidRPr="00CB1DAB" w:rsidRDefault="006E7F80" w:rsidP="00EE1D82">
      <w:r w:rsidRPr="00CB1DAB">
        <w:t>NHMRC = National Health and Medical Research Council</w:t>
      </w:r>
    </w:p>
    <w:p w14:paraId="0AA8EF05" w14:textId="77777777" w:rsidR="006E7F80" w:rsidRPr="00CB1DAB" w:rsidRDefault="006E7F80" w:rsidP="00EE1D82">
      <w:r w:rsidRPr="00CB1DAB">
        <w:t>NHRA = National Health Reform Agreement</w:t>
      </w:r>
    </w:p>
    <w:p w14:paraId="0DE65090" w14:textId="77777777" w:rsidR="006E7F80" w:rsidRPr="00CB1DAB" w:rsidRDefault="006E7F80" w:rsidP="00EE1D82">
      <w:r w:rsidRPr="00CB1DAB">
        <w:t>NMWS = National Medical Workforce Strategy</w:t>
      </w:r>
    </w:p>
    <w:p w14:paraId="57AD4B33" w14:textId="783ED630" w:rsidR="006E7F80" w:rsidRPr="00CB1DAB" w:rsidRDefault="006E7F80" w:rsidP="00EE1D82">
      <w:r w:rsidRPr="00CB1DAB">
        <w:t>NP = Nurse Practitioners</w:t>
      </w:r>
    </w:p>
    <w:p w14:paraId="1DABF350" w14:textId="2CA97434" w:rsidR="00656DBF" w:rsidRPr="00CB1DAB" w:rsidRDefault="00656DBF" w:rsidP="00EE1D82">
      <w:r w:rsidRPr="00CB1DAB">
        <w:t>NSW = New South Wales</w:t>
      </w:r>
    </w:p>
    <w:p w14:paraId="2E15370A" w14:textId="77777777" w:rsidR="00D20157" w:rsidRPr="00CB1DAB" w:rsidRDefault="00D20157" w:rsidP="00EE1D82">
      <w:r w:rsidRPr="00CB1DAB">
        <w:t>OSHC = Overseas Student Health Cover</w:t>
      </w:r>
    </w:p>
    <w:p w14:paraId="228F207C" w14:textId="20927813" w:rsidR="006E7F80" w:rsidRPr="00CB1DAB" w:rsidRDefault="006E7F80" w:rsidP="00EE1D82">
      <w:r w:rsidRPr="00CB1DAB">
        <w:t>PBS = Pharmaceutical Benefits Scheme</w:t>
      </w:r>
    </w:p>
    <w:p w14:paraId="67DDEA9E" w14:textId="18AE40B6" w:rsidR="006E7F80" w:rsidRPr="00CB1DAB" w:rsidRDefault="006E7F80" w:rsidP="00EE1D82">
      <w:r w:rsidRPr="00CB1DAB">
        <w:t>PBAC = Pharmaceutical Benefits Advisory Committee</w:t>
      </w:r>
    </w:p>
    <w:p w14:paraId="6FF532B2" w14:textId="0EFAA8DB" w:rsidR="00366B12" w:rsidRPr="00CB1DAB" w:rsidRDefault="00366B12" w:rsidP="00EE1D82">
      <w:r w:rsidRPr="00CB1DAB">
        <w:t>PHN = Primary Health Network</w:t>
      </w:r>
    </w:p>
    <w:p w14:paraId="412CA204" w14:textId="71D4F8E0" w:rsidR="00DE688F" w:rsidRPr="00CB1DAB" w:rsidRDefault="00DE688F" w:rsidP="00EE1D82">
      <w:r w:rsidRPr="00CB1DAB">
        <w:t xml:space="preserve">PReP = Pre-exposure Prophylaxis </w:t>
      </w:r>
    </w:p>
    <w:p w14:paraId="6168A106" w14:textId="77777777" w:rsidR="006E7F80" w:rsidRPr="00CB1DAB" w:rsidRDefault="006E7F80" w:rsidP="00EE1D82">
      <w:r w:rsidRPr="00CB1DAB">
        <w:t>RACGP = Royal Australian College of General Practitioners</w:t>
      </w:r>
    </w:p>
    <w:p w14:paraId="05F63BE6" w14:textId="77777777" w:rsidR="006E7F80" w:rsidRPr="00CB1DAB" w:rsidRDefault="006E7F80" w:rsidP="00EE1D82">
      <w:r w:rsidRPr="00CB1DAB">
        <w:t>RANZCOG = Royal Australian and New Zealand College of Obstetrics and Gynaecology</w:t>
      </w:r>
    </w:p>
    <w:p w14:paraId="7B13749B" w14:textId="77777777" w:rsidR="001C7109" w:rsidRPr="00CB1DAB" w:rsidRDefault="001C7109" w:rsidP="00EE1D82">
      <w:r w:rsidRPr="00CB1DAB">
        <w:lastRenderedPageBreak/>
        <w:t>RN – Registered Nurses</w:t>
      </w:r>
    </w:p>
    <w:p w14:paraId="3A9F8123" w14:textId="52C8C3FC" w:rsidR="00E86E1A" w:rsidRPr="00CB1DAB" w:rsidRDefault="00E86E1A" w:rsidP="00EE1D82">
      <w:r w:rsidRPr="00CB1DAB">
        <w:t>RPGP = Rural Procedural Grant Program</w:t>
      </w:r>
    </w:p>
    <w:p w14:paraId="489C8452" w14:textId="5C68C6CD" w:rsidR="006E7F80" w:rsidRPr="00CB1DAB" w:rsidRDefault="006E7F80" w:rsidP="00EE1D82">
      <w:r w:rsidRPr="00CB1DAB">
        <w:t>STP = Specialist Training Program</w:t>
      </w:r>
    </w:p>
    <w:p w14:paraId="3A1B354F" w14:textId="77777777" w:rsidR="006E7F80" w:rsidRPr="00CB1DAB" w:rsidRDefault="006E7F80" w:rsidP="00EE1D82">
      <w:r w:rsidRPr="00CB1DAB">
        <w:t>TGA = Therapeutic Goods Administration</w:t>
      </w:r>
    </w:p>
    <w:p w14:paraId="5D4BB717" w14:textId="7A8CB0F8" w:rsidR="00CB4FC6" w:rsidRPr="00CB1DAB" w:rsidRDefault="00CB4FC6" w:rsidP="00EE1D82">
      <w:r w:rsidRPr="00CB1DAB">
        <w:t xml:space="preserve">Woman-centred Care Strategy = Woman-centred </w:t>
      </w:r>
      <w:r w:rsidR="0088487D" w:rsidRPr="00CB1DAB">
        <w:t>c</w:t>
      </w:r>
      <w:r w:rsidRPr="00CB1DAB">
        <w:t>are: Strategic directions for Australian maternity services</w:t>
      </w:r>
    </w:p>
    <w:p w14:paraId="304BDE88" w14:textId="4846C04A" w:rsidR="00113E49" w:rsidRPr="00CB1DAB" w:rsidRDefault="00113E49" w:rsidP="00EE1D82">
      <w:r w:rsidRPr="00CB1DAB">
        <w:t>Women’s Health Strategy = National Women’s Health Strategy 2020-2030</w:t>
      </w:r>
    </w:p>
    <w:p w14:paraId="40D8E82C" w14:textId="516E2953" w:rsidR="006E7F80" w:rsidRPr="00CB1DAB" w:rsidRDefault="006E7F80" w:rsidP="00EE1D82">
      <w:r w:rsidRPr="00CB1DAB">
        <w:t>WIP</w:t>
      </w:r>
      <w:r w:rsidR="00BC1B50" w:rsidRPr="00CB1DAB">
        <w:t>-PS</w:t>
      </w:r>
      <w:r w:rsidRPr="00CB1DAB">
        <w:t xml:space="preserve"> = Workforce Incentive Program</w:t>
      </w:r>
      <w:r w:rsidR="00BC1B50" w:rsidRPr="00CB1DAB">
        <w:t xml:space="preserve"> – Practice Stream</w:t>
      </w:r>
    </w:p>
    <w:p w14:paraId="2CCF7101" w14:textId="2C65446B" w:rsidR="00B25FA0" w:rsidRPr="009F7130" w:rsidRDefault="006E7F80" w:rsidP="00EE1D82">
      <w:r w:rsidRPr="00CB1DAB">
        <w:t>YDF = Young Deadly Free</w:t>
      </w:r>
    </w:p>
    <w:sectPr w:rsidR="00B25FA0" w:rsidRPr="009F7130" w:rsidSect="005677A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CB00" w14:textId="77777777" w:rsidR="00AA53CA" w:rsidRDefault="00AA53CA" w:rsidP="00C25DB7">
      <w:r>
        <w:separator/>
      </w:r>
    </w:p>
  </w:endnote>
  <w:endnote w:type="continuationSeparator" w:id="0">
    <w:p w14:paraId="1F9B92A6" w14:textId="77777777" w:rsidR="00AA53CA" w:rsidRDefault="00AA53CA" w:rsidP="00C25DB7">
      <w:r>
        <w:continuationSeparator/>
      </w:r>
    </w:p>
  </w:endnote>
  <w:endnote w:type="continuationNotice" w:id="1">
    <w:p w14:paraId="27FCD786" w14:textId="77777777" w:rsidR="00AA53CA" w:rsidRDefault="00AA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6CCC" w14:textId="0B0052E0" w:rsidR="005677A0" w:rsidRDefault="005677A0">
    <w:pPr>
      <w:pStyle w:val="Footer"/>
    </w:pPr>
    <w:r>
      <w:rPr>
        <w:noProof/>
      </w:rPr>
      <mc:AlternateContent>
        <mc:Choice Requires="wps">
          <w:drawing>
            <wp:anchor distT="0" distB="0" distL="0" distR="0" simplePos="0" relativeHeight="251658752" behindDoc="0" locked="0" layoutInCell="1" allowOverlap="1" wp14:anchorId="267812AD" wp14:editId="55F56EFB">
              <wp:simplePos x="635" y="635"/>
              <wp:positionH relativeFrom="page">
                <wp:align>center</wp:align>
              </wp:positionH>
              <wp:positionV relativeFrom="page">
                <wp:align>bottom</wp:align>
              </wp:positionV>
              <wp:extent cx="551815" cy="376555"/>
              <wp:effectExtent l="0" t="0" r="635" b="0"/>
              <wp:wrapNone/>
              <wp:docPr id="1897818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01D034" w14:textId="609D0C91"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812A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001D034" w14:textId="609D0C91"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9E22" w14:textId="3EE76EF8" w:rsidR="003E4F2E" w:rsidRDefault="005677A0" w:rsidP="00084ECB">
    <w:pPr>
      <w:pStyle w:val="Footer"/>
      <w:jc w:val="right"/>
    </w:pPr>
    <w:r>
      <w:rPr>
        <w:noProof/>
      </w:rPr>
      <mc:AlternateContent>
        <mc:Choice Requires="wps">
          <w:drawing>
            <wp:anchor distT="0" distB="0" distL="0" distR="0" simplePos="0" relativeHeight="251659776" behindDoc="0" locked="0" layoutInCell="1" allowOverlap="1" wp14:anchorId="4F98F3F0" wp14:editId="367BDA60">
              <wp:simplePos x="914400" y="10058400"/>
              <wp:positionH relativeFrom="page">
                <wp:align>center</wp:align>
              </wp:positionH>
              <wp:positionV relativeFrom="page">
                <wp:align>bottom</wp:align>
              </wp:positionV>
              <wp:extent cx="551815" cy="376555"/>
              <wp:effectExtent l="0" t="0" r="635" b="0"/>
              <wp:wrapNone/>
              <wp:docPr id="168676114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90C50D" w14:textId="33E4364D"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8F3F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390C50D" w14:textId="33E4364D"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sdt>
      <w:sdtPr>
        <w:id w:val="-68119257"/>
        <w:docPartObj>
          <w:docPartGallery w:val="Page Numbers (Bottom of Page)"/>
          <w:docPartUnique/>
        </w:docPartObj>
      </w:sdtPr>
      <w:sdtContent>
        <w:sdt>
          <w:sdtPr>
            <w:id w:val="-1769616900"/>
            <w:docPartObj>
              <w:docPartGallery w:val="Page Numbers (Top of Page)"/>
              <w:docPartUnique/>
            </w:docPartObj>
          </w:sdtPr>
          <w:sdtContent>
            <w:r w:rsidR="003E4F2E">
              <w:t xml:space="preserve">Page </w:t>
            </w:r>
            <w:r w:rsidR="003E4F2E">
              <w:rPr>
                <w:b/>
                <w:bCs/>
              </w:rPr>
              <w:fldChar w:fldCharType="begin"/>
            </w:r>
            <w:r w:rsidR="003E4F2E">
              <w:rPr>
                <w:b/>
                <w:bCs/>
              </w:rPr>
              <w:instrText xml:space="preserve"> PAGE </w:instrText>
            </w:r>
            <w:r w:rsidR="003E4F2E">
              <w:rPr>
                <w:b/>
                <w:bCs/>
              </w:rPr>
              <w:fldChar w:fldCharType="separate"/>
            </w:r>
            <w:r w:rsidR="00595AB8">
              <w:rPr>
                <w:b/>
                <w:bCs/>
                <w:noProof/>
              </w:rPr>
              <w:t>20</w:t>
            </w:r>
            <w:r w:rsidR="003E4F2E">
              <w:rPr>
                <w:b/>
                <w:bCs/>
              </w:rPr>
              <w:fldChar w:fldCharType="end"/>
            </w:r>
            <w:r w:rsidR="003E4F2E">
              <w:t xml:space="preserve"> of </w:t>
            </w:r>
            <w:r w:rsidR="003E4F2E">
              <w:rPr>
                <w:b/>
                <w:bCs/>
              </w:rPr>
              <w:fldChar w:fldCharType="begin"/>
            </w:r>
            <w:r w:rsidR="003E4F2E">
              <w:rPr>
                <w:b/>
                <w:bCs/>
              </w:rPr>
              <w:instrText xml:space="preserve"> NUMPAGES  </w:instrText>
            </w:r>
            <w:r w:rsidR="003E4F2E">
              <w:rPr>
                <w:b/>
                <w:bCs/>
              </w:rPr>
              <w:fldChar w:fldCharType="separate"/>
            </w:r>
            <w:r w:rsidR="00595AB8">
              <w:rPr>
                <w:b/>
                <w:bCs/>
                <w:noProof/>
              </w:rPr>
              <w:t>52</w:t>
            </w:r>
            <w:r w:rsidR="003E4F2E">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876B" w14:textId="72DC71CF" w:rsidR="005677A0" w:rsidRDefault="005677A0">
    <w:pPr>
      <w:pStyle w:val="Footer"/>
    </w:pPr>
    <w:r>
      <w:rPr>
        <w:noProof/>
      </w:rPr>
      <mc:AlternateContent>
        <mc:Choice Requires="wps">
          <w:drawing>
            <wp:anchor distT="0" distB="0" distL="0" distR="0" simplePos="0" relativeHeight="251657728" behindDoc="0" locked="0" layoutInCell="1" allowOverlap="1" wp14:anchorId="0E0712DB" wp14:editId="71397EAB">
              <wp:simplePos x="635" y="635"/>
              <wp:positionH relativeFrom="page">
                <wp:align>center</wp:align>
              </wp:positionH>
              <wp:positionV relativeFrom="page">
                <wp:align>bottom</wp:align>
              </wp:positionV>
              <wp:extent cx="551815" cy="376555"/>
              <wp:effectExtent l="0" t="0" r="635" b="0"/>
              <wp:wrapNone/>
              <wp:docPr id="16041609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3A65AB9" w14:textId="3FF32234"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712DB"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3A65AB9" w14:textId="3FF32234"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A860" w14:textId="77777777" w:rsidR="00AA53CA" w:rsidRDefault="00AA53CA" w:rsidP="00C25DB7">
      <w:r>
        <w:separator/>
      </w:r>
    </w:p>
  </w:footnote>
  <w:footnote w:type="continuationSeparator" w:id="0">
    <w:p w14:paraId="2A6F1CA1" w14:textId="77777777" w:rsidR="00AA53CA" w:rsidRDefault="00AA53CA" w:rsidP="00C25DB7">
      <w:r>
        <w:continuationSeparator/>
      </w:r>
    </w:p>
  </w:footnote>
  <w:footnote w:type="continuationNotice" w:id="1">
    <w:p w14:paraId="2FC42AC0" w14:textId="77777777" w:rsidR="00AA53CA" w:rsidRDefault="00AA53CA"/>
  </w:footnote>
  <w:footnote w:id="2">
    <w:p w14:paraId="198AD14C" w14:textId="6C994584" w:rsidR="003E4F2E" w:rsidRDefault="003E4F2E">
      <w:pPr>
        <w:pStyle w:val="FootnoteText"/>
      </w:pPr>
      <w:r>
        <w:rPr>
          <w:rStyle w:val="FootnoteReference"/>
        </w:rPr>
        <w:footnoteRef/>
      </w:r>
      <w:r>
        <w:t xml:space="preserve"> The 12 recommendations are: 3, 4, 12, 14, 15, 17, 20, 22, 23, 30, 34, and 35.</w:t>
      </w:r>
    </w:p>
  </w:footnote>
  <w:footnote w:id="3">
    <w:p w14:paraId="05F80EDE" w14:textId="6BEA7380" w:rsidR="003E4F2E" w:rsidRDefault="003E4F2E">
      <w:pPr>
        <w:pStyle w:val="FootnoteText"/>
      </w:pPr>
      <w:r>
        <w:rPr>
          <w:rStyle w:val="FootnoteReference"/>
        </w:rPr>
        <w:footnoteRef/>
      </w:r>
      <w:r>
        <w:t xml:space="preserve"> </w:t>
      </w:r>
      <w:hyperlink r:id="rId1" w:history="1">
        <w:r w:rsidRPr="007276E8">
          <w:rPr>
            <w:rStyle w:val="Hyperlink"/>
          </w:rPr>
          <w:t>www.health.govt.nz/publication/long-acting-reversible-contraception-health-practitioner-training-principles-and-standards</w:t>
        </w:r>
      </w:hyperlink>
    </w:p>
  </w:footnote>
  <w:footnote w:id="4">
    <w:p w14:paraId="636E9DC1" w14:textId="21C3ABA4" w:rsidR="003E4F2E" w:rsidRDefault="003E4F2E">
      <w:pPr>
        <w:pStyle w:val="FootnoteText"/>
      </w:pPr>
      <w:r>
        <w:rPr>
          <w:rStyle w:val="FootnoteReference"/>
        </w:rPr>
        <w:footnoteRef/>
      </w:r>
      <w:r>
        <w:t xml:space="preserve"> </w:t>
      </w:r>
      <w:hyperlink r:id="rId2" w:history="1">
        <w:r w:rsidRPr="00FA77DC">
          <w:rPr>
            <w:rStyle w:val="Hyperlink"/>
          </w:rPr>
          <w:t>https://ranzcog.edu.au/wp-content/uploads/2022/05/Long-Acting-Reversible-Contraception.pdf</w:t>
        </w:r>
      </w:hyperlink>
    </w:p>
  </w:footnote>
  <w:footnote w:id="5">
    <w:p w14:paraId="5B4B6DB3" w14:textId="7DE91763" w:rsidR="003E4F2E" w:rsidRDefault="003E4F2E" w:rsidP="0056145D">
      <w:pPr>
        <w:pStyle w:val="FootnoteText"/>
      </w:pPr>
      <w:r>
        <w:rPr>
          <w:rStyle w:val="FootnoteReference"/>
        </w:rPr>
        <w:footnoteRef/>
      </w:r>
      <w:r>
        <w:t xml:space="preserve"> The Australian College of Rural and Remote Medicine Rural Generalist Curriculum </w:t>
      </w:r>
    </w:p>
    <w:p w14:paraId="77BC54C6" w14:textId="46235E93" w:rsidR="003E4F2E" w:rsidRDefault="003E4F2E" w:rsidP="0056145D">
      <w:pPr>
        <w:pStyle w:val="FootnoteText"/>
      </w:pPr>
      <w:hyperlink r:id="rId3" w:history="1">
        <w:r w:rsidRPr="00907915">
          <w:rPr>
            <w:rStyle w:val="Hyperlink"/>
          </w:rPr>
          <w:t>https://www.acrrm.org.au/docs/default-source/all-files/rural-generalist-curriculum.pdf</w:t>
        </w:r>
      </w:hyperlink>
    </w:p>
  </w:footnote>
  <w:footnote w:id="6">
    <w:p w14:paraId="327C888D" w14:textId="77777777" w:rsidR="003E4F2E" w:rsidRPr="00C250E4" w:rsidRDefault="003E4F2E" w:rsidP="008D0040">
      <w:pPr>
        <w:pStyle w:val="FootnoteText"/>
        <w:rPr>
          <w:rFonts w:asciiTheme="minorHAnsi" w:hAnsiTheme="minorHAnsi"/>
        </w:rPr>
      </w:pPr>
      <w:r w:rsidRPr="00C250E4">
        <w:rPr>
          <w:rStyle w:val="FootnoteReference"/>
          <w:rFonts w:asciiTheme="minorHAnsi" w:hAnsiTheme="minorHAnsi"/>
        </w:rPr>
        <w:footnoteRef/>
      </w:r>
      <w:r w:rsidRPr="00C250E4">
        <w:rPr>
          <w:rFonts w:asciiTheme="minorHAnsi" w:hAnsiTheme="minorHAnsi"/>
        </w:rPr>
        <w:t xml:space="preserve"> Plan International Australia, ‘</w:t>
      </w:r>
      <w:hyperlink r:id="rId4" w:history="1">
        <w:r w:rsidRPr="00C250E4">
          <w:rPr>
            <w:rStyle w:val="Hyperlink"/>
            <w:rFonts w:asciiTheme="minorHAnsi" w:hAnsiTheme="minorHAnsi"/>
          </w:rPr>
          <w:t>A tough period</w:t>
        </w:r>
      </w:hyperlink>
      <w:r w:rsidRPr="00C250E4">
        <w:rPr>
          <w:rFonts w:asciiTheme="minorHAnsi" w:hAnsiTheme="minorHAnsi"/>
        </w:rPr>
        <w:t xml:space="preserve">’, A tough period Australia report, </w:t>
      </w:r>
      <w:r w:rsidRPr="00C250E4">
        <w:rPr>
          <w:rFonts w:asciiTheme="minorHAnsi" w:hAnsiTheme="minorHAnsi"/>
          <w:i/>
          <w:iCs/>
        </w:rPr>
        <w:t>Plan International Australia</w:t>
      </w:r>
      <w:r w:rsidRPr="00C250E4">
        <w:rPr>
          <w:rFonts w:asciiTheme="minorHAnsi" w:hAnsiTheme="minorHAnsi"/>
        </w:rPr>
        <w:t>, May 2023.</w:t>
      </w:r>
    </w:p>
  </w:footnote>
  <w:footnote w:id="7">
    <w:p w14:paraId="6E8F45C3" w14:textId="77777777" w:rsidR="003E4F2E" w:rsidRPr="005843D4" w:rsidRDefault="003E4F2E" w:rsidP="008D0040">
      <w:pPr>
        <w:pStyle w:val="FootnoteText"/>
        <w:rPr>
          <w:rFonts w:asciiTheme="minorHAnsi" w:hAnsiTheme="minorHAnsi"/>
          <w:sz w:val="16"/>
          <w:szCs w:val="16"/>
        </w:rPr>
      </w:pPr>
      <w:r w:rsidRPr="00C250E4">
        <w:rPr>
          <w:rStyle w:val="FootnoteReference"/>
          <w:rFonts w:asciiTheme="minorHAnsi" w:hAnsiTheme="minorHAnsi"/>
        </w:rPr>
        <w:footnoteRef/>
      </w:r>
      <w:r w:rsidRPr="00C250E4">
        <w:rPr>
          <w:rFonts w:asciiTheme="minorHAnsi" w:hAnsiTheme="minorHAnsi"/>
        </w:rPr>
        <w:t xml:space="preserve"> Share the Dignity, </w:t>
      </w:r>
      <w:hyperlink r:id="rId5" w:history="1">
        <w:r w:rsidRPr="00C250E4">
          <w:rPr>
            <w:rStyle w:val="Hyperlink"/>
            <w:rFonts w:asciiTheme="minorHAnsi" w:hAnsiTheme="minorHAnsi"/>
          </w:rPr>
          <w:t>Indigenous Menstrual Health</w:t>
        </w:r>
      </w:hyperlink>
      <w:r w:rsidRPr="00C250E4">
        <w:rPr>
          <w:rFonts w:asciiTheme="minorHAnsi" w:hAnsiTheme="minorHAnsi"/>
        </w:rPr>
        <w:t>, accessed December 2023.</w:t>
      </w:r>
    </w:p>
  </w:footnote>
  <w:footnote w:id="8">
    <w:p w14:paraId="3D8DC218" w14:textId="41E5EE2C" w:rsidR="003E4F2E" w:rsidRDefault="003E4F2E">
      <w:pPr>
        <w:pStyle w:val="FootnoteText"/>
      </w:pPr>
      <w:r>
        <w:rPr>
          <w:rStyle w:val="FootnoteReference"/>
        </w:rPr>
        <w:footnoteRef/>
      </w:r>
      <w:r>
        <w:t xml:space="preserve"> </w:t>
      </w:r>
      <w:hyperlink r:id="rId6" w:history="1">
        <w:r w:rsidRPr="00157D13">
          <w:rPr>
            <w:rStyle w:val="Hyperlink"/>
          </w:rPr>
          <w:t>www.jeanhailes.org.au/research/womens-health-survey/pelvic-pain-in-australian-women</w:t>
        </w:r>
      </w:hyperlink>
      <w:r>
        <w:t xml:space="preserve"> </w:t>
      </w:r>
    </w:p>
  </w:footnote>
  <w:footnote w:id="9">
    <w:p w14:paraId="1D93FC50" w14:textId="2CEEF490" w:rsidR="003E4F2E" w:rsidRDefault="003E4F2E" w:rsidP="000C47D5">
      <w:pPr>
        <w:pStyle w:val="FootnoteText"/>
      </w:pPr>
      <w:r>
        <w:rPr>
          <w:rStyle w:val="FootnoteReference"/>
        </w:rPr>
        <w:footnoteRef/>
      </w:r>
      <w:r>
        <w:t xml:space="preserve"> </w:t>
      </w:r>
      <w:hyperlink r:id="rId7" w:history="1">
        <w:r w:rsidRPr="00157D13">
          <w:rPr>
            <w:rStyle w:val="Hyperlink"/>
          </w:rPr>
          <w:t>www.jeanhailes.org.au/research/womens-health-survey/menopause-in-australian-women</w:t>
        </w:r>
      </w:hyperlink>
      <w:r>
        <w:t xml:space="preserve"> </w:t>
      </w:r>
    </w:p>
  </w:footnote>
  <w:footnote w:id="10">
    <w:p w14:paraId="4F446A3C" w14:textId="048687D5" w:rsidR="003E4F2E" w:rsidRDefault="003E4F2E" w:rsidP="005F41CE">
      <w:pPr>
        <w:pStyle w:val="FootnoteText"/>
      </w:pPr>
      <w:r>
        <w:rPr>
          <w:rStyle w:val="FootnoteReference"/>
        </w:rPr>
        <w:footnoteRef/>
      </w:r>
      <w:r>
        <w:t xml:space="preserve"> </w:t>
      </w:r>
      <w:hyperlink r:id="rId8" w:history="1">
        <w:r w:rsidRPr="00440197">
          <w:rPr>
            <w:rStyle w:val="Hyperlink"/>
          </w:rPr>
          <w:t>www.jeanhailes.org.au/research/womens-health-survey/australian-womens-attitudes-to-menstrual-and-menopause-leave</w:t>
        </w:r>
      </w:hyperlink>
      <w:r>
        <w:t xml:space="preserve"> </w:t>
      </w:r>
    </w:p>
  </w:footnote>
  <w:footnote w:id="11">
    <w:p w14:paraId="4DD678CA" w14:textId="55C1DF59" w:rsidR="003E4F2E" w:rsidRDefault="003E4F2E" w:rsidP="009D54A6">
      <w:pPr>
        <w:pStyle w:val="FootnoteText"/>
      </w:pPr>
      <w:r>
        <w:rPr>
          <w:rStyle w:val="FootnoteReference"/>
        </w:rPr>
        <w:footnoteRef/>
      </w:r>
      <w:r>
        <w:t xml:space="preserve"> </w:t>
      </w:r>
      <w:hyperlink r:id="rId9" w:history="1">
        <w:r w:rsidRPr="00907915">
          <w:rPr>
            <w:rStyle w:val="Hyperlink"/>
          </w:rPr>
          <w:t>www.alswh.org.au/projects/a785a-reproductive-events-and-workforce-participation-across-the-life-course/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273C" w14:textId="4F5A0A06" w:rsidR="005677A0" w:rsidRDefault="005677A0">
    <w:pPr>
      <w:pStyle w:val="Header"/>
    </w:pPr>
    <w:r>
      <w:rPr>
        <w:noProof/>
      </w:rPr>
      <mc:AlternateContent>
        <mc:Choice Requires="wps">
          <w:drawing>
            <wp:anchor distT="0" distB="0" distL="0" distR="0" simplePos="0" relativeHeight="251655680" behindDoc="0" locked="0" layoutInCell="1" allowOverlap="1" wp14:anchorId="4C3F659D" wp14:editId="3B4A913C">
              <wp:simplePos x="635" y="635"/>
              <wp:positionH relativeFrom="page">
                <wp:align>center</wp:align>
              </wp:positionH>
              <wp:positionV relativeFrom="page">
                <wp:align>top</wp:align>
              </wp:positionV>
              <wp:extent cx="551815" cy="376555"/>
              <wp:effectExtent l="0" t="0" r="635" b="4445"/>
              <wp:wrapNone/>
              <wp:docPr id="671803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C6C176D" w14:textId="59CBB97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F659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C6C176D" w14:textId="59CBB97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CE07" w14:textId="759E7640" w:rsidR="003E4F2E" w:rsidRDefault="005677A0">
    <w:pPr>
      <w:pStyle w:val="Header"/>
    </w:pPr>
    <w:r>
      <w:rPr>
        <w:noProof/>
      </w:rPr>
      <mc:AlternateContent>
        <mc:Choice Requires="wps">
          <w:drawing>
            <wp:anchor distT="0" distB="0" distL="0" distR="0" simplePos="0" relativeHeight="251656704" behindDoc="0" locked="0" layoutInCell="1" allowOverlap="1" wp14:anchorId="0709F08D" wp14:editId="1DF8CFFC">
              <wp:simplePos x="914400" y="450850"/>
              <wp:positionH relativeFrom="page">
                <wp:align>center</wp:align>
              </wp:positionH>
              <wp:positionV relativeFrom="page">
                <wp:align>top</wp:align>
              </wp:positionV>
              <wp:extent cx="551815" cy="376555"/>
              <wp:effectExtent l="0" t="0" r="635" b="4445"/>
              <wp:wrapNone/>
              <wp:docPr id="1781620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0574B3" w14:textId="2E5AD1F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9F08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A0574B3" w14:textId="2E5AD1FE"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p w14:paraId="46A9458E" w14:textId="77848349" w:rsidR="003E4F2E" w:rsidRDefault="003E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1FF6" w14:textId="4A5BF5BF" w:rsidR="005677A0" w:rsidRDefault="005677A0">
    <w:pPr>
      <w:pStyle w:val="Header"/>
    </w:pPr>
    <w:r>
      <w:rPr>
        <w:noProof/>
      </w:rPr>
      <mc:AlternateContent>
        <mc:Choice Requires="wps">
          <w:drawing>
            <wp:anchor distT="0" distB="0" distL="0" distR="0" simplePos="0" relativeHeight="251654656" behindDoc="0" locked="0" layoutInCell="1" allowOverlap="1" wp14:anchorId="44EF7A00" wp14:editId="16445BB8">
              <wp:simplePos x="635" y="635"/>
              <wp:positionH relativeFrom="page">
                <wp:align>center</wp:align>
              </wp:positionH>
              <wp:positionV relativeFrom="page">
                <wp:align>top</wp:align>
              </wp:positionV>
              <wp:extent cx="551815" cy="376555"/>
              <wp:effectExtent l="0" t="0" r="635" b="4445"/>
              <wp:wrapNone/>
              <wp:docPr id="7749253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240FE20" w14:textId="0261E7F2"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F7A0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240FE20" w14:textId="0261E7F2" w:rsidR="005677A0" w:rsidRPr="005677A0" w:rsidRDefault="005677A0" w:rsidP="005677A0">
                    <w:pPr>
                      <w:rPr>
                        <w:rFonts w:ascii="Calibri" w:eastAsia="Calibri" w:hAnsi="Calibri" w:cs="Calibri"/>
                        <w:noProof/>
                        <w:color w:val="FF0000"/>
                      </w:rPr>
                    </w:pPr>
                    <w:r w:rsidRPr="005677A0">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8F0"/>
    <w:multiLevelType w:val="hybridMultilevel"/>
    <w:tmpl w:val="6ACECAAA"/>
    <w:lvl w:ilvl="0" w:tplc="9976E34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245A8"/>
    <w:multiLevelType w:val="hybridMultilevel"/>
    <w:tmpl w:val="145A03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5D2F07"/>
    <w:multiLevelType w:val="hybridMultilevel"/>
    <w:tmpl w:val="DDC2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E610C"/>
    <w:multiLevelType w:val="hybridMultilevel"/>
    <w:tmpl w:val="A472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20436"/>
    <w:multiLevelType w:val="hybridMultilevel"/>
    <w:tmpl w:val="83523E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9390731"/>
    <w:multiLevelType w:val="hybridMultilevel"/>
    <w:tmpl w:val="052CB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7727D"/>
    <w:multiLevelType w:val="hybridMultilevel"/>
    <w:tmpl w:val="A6327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7F4369"/>
    <w:multiLevelType w:val="hybridMultilevel"/>
    <w:tmpl w:val="A61A9B66"/>
    <w:lvl w:ilvl="0" w:tplc="3F5AD82C">
      <w:start w:val="1"/>
      <w:numFmt w:val="bullet"/>
      <w:lvlText w:val=""/>
      <w:lvlJc w:val="left"/>
      <w:pPr>
        <w:ind w:left="720" w:hanging="360"/>
      </w:pPr>
      <w:rPr>
        <w:rFonts w:ascii="Symbol" w:hAnsi="Symbol"/>
      </w:rPr>
    </w:lvl>
    <w:lvl w:ilvl="1" w:tplc="C6785C92">
      <w:start w:val="1"/>
      <w:numFmt w:val="bullet"/>
      <w:lvlText w:val=""/>
      <w:lvlJc w:val="left"/>
      <w:pPr>
        <w:ind w:left="720" w:hanging="360"/>
      </w:pPr>
      <w:rPr>
        <w:rFonts w:ascii="Symbol" w:hAnsi="Symbol"/>
      </w:rPr>
    </w:lvl>
    <w:lvl w:ilvl="2" w:tplc="E02A4638">
      <w:start w:val="1"/>
      <w:numFmt w:val="bullet"/>
      <w:lvlText w:val=""/>
      <w:lvlJc w:val="left"/>
      <w:pPr>
        <w:ind w:left="720" w:hanging="360"/>
      </w:pPr>
      <w:rPr>
        <w:rFonts w:ascii="Symbol" w:hAnsi="Symbol"/>
      </w:rPr>
    </w:lvl>
    <w:lvl w:ilvl="3" w:tplc="1EE6E104">
      <w:start w:val="1"/>
      <w:numFmt w:val="bullet"/>
      <w:lvlText w:val=""/>
      <w:lvlJc w:val="left"/>
      <w:pPr>
        <w:ind w:left="720" w:hanging="360"/>
      </w:pPr>
      <w:rPr>
        <w:rFonts w:ascii="Symbol" w:hAnsi="Symbol"/>
      </w:rPr>
    </w:lvl>
    <w:lvl w:ilvl="4" w:tplc="F50A09B8">
      <w:start w:val="1"/>
      <w:numFmt w:val="bullet"/>
      <w:lvlText w:val=""/>
      <w:lvlJc w:val="left"/>
      <w:pPr>
        <w:ind w:left="720" w:hanging="360"/>
      </w:pPr>
      <w:rPr>
        <w:rFonts w:ascii="Symbol" w:hAnsi="Symbol"/>
      </w:rPr>
    </w:lvl>
    <w:lvl w:ilvl="5" w:tplc="5D5859A0">
      <w:start w:val="1"/>
      <w:numFmt w:val="bullet"/>
      <w:lvlText w:val=""/>
      <w:lvlJc w:val="left"/>
      <w:pPr>
        <w:ind w:left="720" w:hanging="360"/>
      </w:pPr>
      <w:rPr>
        <w:rFonts w:ascii="Symbol" w:hAnsi="Symbol"/>
      </w:rPr>
    </w:lvl>
    <w:lvl w:ilvl="6" w:tplc="DAC43F86">
      <w:start w:val="1"/>
      <w:numFmt w:val="bullet"/>
      <w:lvlText w:val=""/>
      <w:lvlJc w:val="left"/>
      <w:pPr>
        <w:ind w:left="720" w:hanging="360"/>
      </w:pPr>
      <w:rPr>
        <w:rFonts w:ascii="Symbol" w:hAnsi="Symbol"/>
      </w:rPr>
    </w:lvl>
    <w:lvl w:ilvl="7" w:tplc="530A3F42">
      <w:start w:val="1"/>
      <w:numFmt w:val="bullet"/>
      <w:lvlText w:val=""/>
      <w:lvlJc w:val="left"/>
      <w:pPr>
        <w:ind w:left="720" w:hanging="360"/>
      </w:pPr>
      <w:rPr>
        <w:rFonts w:ascii="Symbol" w:hAnsi="Symbol"/>
      </w:rPr>
    </w:lvl>
    <w:lvl w:ilvl="8" w:tplc="535EAE4C">
      <w:start w:val="1"/>
      <w:numFmt w:val="bullet"/>
      <w:lvlText w:val=""/>
      <w:lvlJc w:val="left"/>
      <w:pPr>
        <w:ind w:left="720" w:hanging="360"/>
      </w:pPr>
      <w:rPr>
        <w:rFonts w:ascii="Symbol" w:hAnsi="Symbol"/>
      </w:rPr>
    </w:lvl>
  </w:abstractNum>
  <w:abstractNum w:abstractNumId="8" w15:restartNumberingAfterBreak="0">
    <w:nsid w:val="0EDE05B0"/>
    <w:multiLevelType w:val="hybridMultilevel"/>
    <w:tmpl w:val="44FABC30"/>
    <w:lvl w:ilvl="0" w:tplc="FBC8C9F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89222B"/>
    <w:multiLevelType w:val="hybridMultilevel"/>
    <w:tmpl w:val="CB609A80"/>
    <w:lvl w:ilvl="0" w:tplc="5FE8DAB4">
      <w:start w:val="1"/>
      <w:numFmt w:val="bullet"/>
      <w:lvlText w:val=""/>
      <w:lvlJc w:val="left"/>
      <w:pPr>
        <w:ind w:left="720" w:hanging="360"/>
      </w:pPr>
      <w:rPr>
        <w:rFonts w:ascii="Symbol" w:hAnsi="Symbol" w:hint="default"/>
        <w:sz w:val="20"/>
        <w:szCs w:val="20"/>
      </w:rPr>
    </w:lvl>
    <w:lvl w:ilvl="1" w:tplc="CA4EB498">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B1889"/>
    <w:multiLevelType w:val="hybridMultilevel"/>
    <w:tmpl w:val="C5CA828C"/>
    <w:lvl w:ilvl="0" w:tplc="9BF69D7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32303"/>
    <w:multiLevelType w:val="hybridMultilevel"/>
    <w:tmpl w:val="55506468"/>
    <w:lvl w:ilvl="0" w:tplc="7CC27D68">
      <w:start w:val="1"/>
      <w:numFmt w:val="bullet"/>
      <w:lvlText w:val=""/>
      <w:lvlJc w:val="left"/>
      <w:pPr>
        <w:ind w:left="720" w:hanging="360"/>
      </w:pPr>
      <w:rPr>
        <w:rFonts w:ascii="Symbol" w:hAnsi="Symbol" w:hint="default"/>
        <w:sz w:val="20"/>
        <w:szCs w:val="20"/>
      </w:rPr>
    </w:lvl>
    <w:lvl w:ilvl="1" w:tplc="730043B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52B48"/>
    <w:multiLevelType w:val="hybridMultilevel"/>
    <w:tmpl w:val="50F0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2C7F44"/>
    <w:multiLevelType w:val="hybridMultilevel"/>
    <w:tmpl w:val="37B69380"/>
    <w:lvl w:ilvl="0" w:tplc="36DC036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84556"/>
    <w:multiLevelType w:val="multilevel"/>
    <w:tmpl w:val="7AF69F5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218A636C"/>
    <w:multiLevelType w:val="hybridMultilevel"/>
    <w:tmpl w:val="010C77D6"/>
    <w:lvl w:ilvl="0" w:tplc="0C090001">
      <w:start w:val="1"/>
      <w:numFmt w:val="bullet"/>
      <w:lvlText w:val=""/>
      <w:lvlJc w:val="left"/>
      <w:pPr>
        <w:ind w:left="6684" w:hanging="360"/>
      </w:pPr>
      <w:rPr>
        <w:rFonts w:ascii="Symbol" w:hAnsi="Symbol" w:hint="default"/>
      </w:rPr>
    </w:lvl>
    <w:lvl w:ilvl="1" w:tplc="0C090003" w:tentative="1">
      <w:start w:val="1"/>
      <w:numFmt w:val="bullet"/>
      <w:lvlText w:val="o"/>
      <w:lvlJc w:val="left"/>
      <w:pPr>
        <w:ind w:left="7404" w:hanging="360"/>
      </w:pPr>
      <w:rPr>
        <w:rFonts w:ascii="Courier New" w:hAnsi="Courier New" w:cs="Courier New" w:hint="default"/>
      </w:rPr>
    </w:lvl>
    <w:lvl w:ilvl="2" w:tplc="0C090005" w:tentative="1">
      <w:start w:val="1"/>
      <w:numFmt w:val="bullet"/>
      <w:lvlText w:val=""/>
      <w:lvlJc w:val="left"/>
      <w:pPr>
        <w:ind w:left="8124" w:hanging="360"/>
      </w:pPr>
      <w:rPr>
        <w:rFonts w:ascii="Wingdings" w:hAnsi="Wingdings" w:hint="default"/>
      </w:rPr>
    </w:lvl>
    <w:lvl w:ilvl="3" w:tplc="0C090001" w:tentative="1">
      <w:start w:val="1"/>
      <w:numFmt w:val="bullet"/>
      <w:lvlText w:val=""/>
      <w:lvlJc w:val="left"/>
      <w:pPr>
        <w:ind w:left="8844" w:hanging="360"/>
      </w:pPr>
      <w:rPr>
        <w:rFonts w:ascii="Symbol" w:hAnsi="Symbol" w:hint="default"/>
      </w:rPr>
    </w:lvl>
    <w:lvl w:ilvl="4" w:tplc="0C090003" w:tentative="1">
      <w:start w:val="1"/>
      <w:numFmt w:val="bullet"/>
      <w:lvlText w:val="o"/>
      <w:lvlJc w:val="left"/>
      <w:pPr>
        <w:ind w:left="9564" w:hanging="360"/>
      </w:pPr>
      <w:rPr>
        <w:rFonts w:ascii="Courier New" w:hAnsi="Courier New" w:cs="Courier New" w:hint="default"/>
      </w:rPr>
    </w:lvl>
    <w:lvl w:ilvl="5" w:tplc="0C090005" w:tentative="1">
      <w:start w:val="1"/>
      <w:numFmt w:val="bullet"/>
      <w:lvlText w:val=""/>
      <w:lvlJc w:val="left"/>
      <w:pPr>
        <w:ind w:left="10284" w:hanging="360"/>
      </w:pPr>
      <w:rPr>
        <w:rFonts w:ascii="Wingdings" w:hAnsi="Wingdings" w:hint="default"/>
      </w:rPr>
    </w:lvl>
    <w:lvl w:ilvl="6" w:tplc="0C090001" w:tentative="1">
      <w:start w:val="1"/>
      <w:numFmt w:val="bullet"/>
      <w:lvlText w:val=""/>
      <w:lvlJc w:val="left"/>
      <w:pPr>
        <w:ind w:left="11004" w:hanging="360"/>
      </w:pPr>
      <w:rPr>
        <w:rFonts w:ascii="Symbol" w:hAnsi="Symbol" w:hint="default"/>
      </w:rPr>
    </w:lvl>
    <w:lvl w:ilvl="7" w:tplc="0C090003" w:tentative="1">
      <w:start w:val="1"/>
      <w:numFmt w:val="bullet"/>
      <w:lvlText w:val="o"/>
      <w:lvlJc w:val="left"/>
      <w:pPr>
        <w:ind w:left="11724" w:hanging="360"/>
      </w:pPr>
      <w:rPr>
        <w:rFonts w:ascii="Courier New" w:hAnsi="Courier New" w:cs="Courier New" w:hint="default"/>
      </w:rPr>
    </w:lvl>
    <w:lvl w:ilvl="8" w:tplc="0C090005" w:tentative="1">
      <w:start w:val="1"/>
      <w:numFmt w:val="bullet"/>
      <w:lvlText w:val=""/>
      <w:lvlJc w:val="left"/>
      <w:pPr>
        <w:ind w:left="12444" w:hanging="360"/>
      </w:pPr>
      <w:rPr>
        <w:rFonts w:ascii="Wingdings" w:hAnsi="Wingdings" w:hint="default"/>
      </w:rPr>
    </w:lvl>
  </w:abstractNum>
  <w:abstractNum w:abstractNumId="16" w15:restartNumberingAfterBreak="0">
    <w:nsid w:val="23A47434"/>
    <w:multiLevelType w:val="hybridMultilevel"/>
    <w:tmpl w:val="7C960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6D7D92"/>
    <w:multiLevelType w:val="hybridMultilevel"/>
    <w:tmpl w:val="B3C2B822"/>
    <w:lvl w:ilvl="0" w:tplc="95902872">
      <w:start w:val="1"/>
      <w:numFmt w:val="bullet"/>
      <w:lvlText w:val=""/>
      <w:lvlJc w:val="left"/>
      <w:pPr>
        <w:ind w:left="720" w:hanging="360"/>
      </w:pPr>
      <w:rPr>
        <w:rFonts w:ascii="Symbol" w:hAnsi="Symbol" w:hint="default"/>
        <w:sz w:val="20"/>
        <w:szCs w:val="20"/>
      </w:rPr>
    </w:lvl>
    <w:lvl w:ilvl="1" w:tplc="CE562F5C">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E9112B"/>
    <w:multiLevelType w:val="multilevel"/>
    <w:tmpl w:val="8CC28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C5220"/>
    <w:multiLevelType w:val="multilevel"/>
    <w:tmpl w:val="740EAED6"/>
    <w:lvl w:ilvl="0">
      <w:start w:val="1"/>
      <w:numFmt w:val="bullet"/>
      <w:lvlText w:val="o"/>
      <w:lvlJc w:val="left"/>
      <w:pPr>
        <w:tabs>
          <w:tab w:val="num" w:pos="1437"/>
        </w:tabs>
        <w:ind w:left="1437" w:hanging="360"/>
      </w:pPr>
      <w:rPr>
        <w:rFonts w:ascii="Courier New" w:hAnsi="Courier New" w:cs="Courier New" w:hint="default"/>
      </w:rPr>
    </w:lvl>
    <w:lvl w:ilvl="1">
      <w:start w:val="1"/>
      <w:numFmt w:val="decimal"/>
      <w:lvlText w:val="%2."/>
      <w:lvlJc w:val="left"/>
      <w:pPr>
        <w:tabs>
          <w:tab w:val="num" w:pos="2157"/>
        </w:tabs>
        <w:ind w:left="2157" w:hanging="360"/>
      </w:pPr>
    </w:lvl>
    <w:lvl w:ilvl="2">
      <w:start w:val="1"/>
      <w:numFmt w:val="decimal"/>
      <w:lvlText w:val="%3."/>
      <w:lvlJc w:val="left"/>
      <w:pPr>
        <w:tabs>
          <w:tab w:val="num" w:pos="2877"/>
        </w:tabs>
        <w:ind w:left="2877" w:hanging="360"/>
      </w:pPr>
    </w:lvl>
    <w:lvl w:ilvl="3">
      <w:start w:val="1"/>
      <w:numFmt w:val="decimal"/>
      <w:lvlText w:val="%4."/>
      <w:lvlJc w:val="left"/>
      <w:pPr>
        <w:tabs>
          <w:tab w:val="num" w:pos="3597"/>
        </w:tabs>
        <w:ind w:left="3597" w:hanging="360"/>
      </w:pPr>
    </w:lvl>
    <w:lvl w:ilvl="4">
      <w:start w:val="1"/>
      <w:numFmt w:val="decimal"/>
      <w:lvlText w:val="%5."/>
      <w:lvlJc w:val="left"/>
      <w:pPr>
        <w:tabs>
          <w:tab w:val="num" w:pos="4317"/>
        </w:tabs>
        <w:ind w:left="4317" w:hanging="360"/>
      </w:pPr>
    </w:lvl>
    <w:lvl w:ilvl="5">
      <w:start w:val="1"/>
      <w:numFmt w:val="decimal"/>
      <w:lvlText w:val="%6."/>
      <w:lvlJc w:val="left"/>
      <w:pPr>
        <w:tabs>
          <w:tab w:val="num" w:pos="5037"/>
        </w:tabs>
        <w:ind w:left="5037" w:hanging="360"/>
      </w:pPr>
    </w:lvl>
    <w:lvl w:ilvl="6">
      <w:start w:val="1"/>
      <w:numFmt w:val="decimal"/>
      <w:lvlText w:val="%7."/>
      <w:lvlJc w:val="left"/>
      <w:pPr>
        <w:tabs>
          <w:tab w:val="num" w:pos="5757"/>
        </w:tabs>
        <w:ind w:left="5757" w:hanging="360"/>
      </w:pPr>
    </w:lvl>
    <w:lvl w:ilvl="7">
      <w:start w:val="1"/>
      <w:numFmt w:val="decimal"/>
      <w:lvlText w:val="%8."/>
      <w:lvlJc w:val="left"/>
      <w:pPr>
        <w:tabs>
          <w:tab w:val="num" w:pos="6477"/>
        </w:tabs>
        <w:ind w:left="6477" w:hanging="360"/>
      </w:pPr>
    </w:lvl>
    <w:lvl w:ilvl="8">
      <w:start w:val="1"/>
      <w:numFmt w:val="decimal"/>
      <w:lvlText w:val="%9."/>
      <w:lvlJc w:val="left"/>
      <w:pPr>
        <w:tabs>
          <w:tab w:val="num" w:pos="7197"/>
        </w:tabs>
        <w:ind w:left="7197" w:hanging="360"/>
      </w:pPr>
    </w:lvl>
  </w:abstractNum>
  <w:abstractNum w:abstractNumId="20" w15:restartNumberingAfterBreak="0">
    <w:nsid w:val="2C155558"/>
    <w:multiLevelType w:val="hybridMultilevel"/>
    <w:tmpl w:val="D8BC45F8"/>
    <w:lvl w:ilvl="0" w:tplc="F46EBF0E">
      <w:start w:val="1"/>
      <w:numFmt w:val="bullet"/>
      <w:lvlText w:val=""/>
      <w:lvlJc w:val="left"/>
      <w:pPr>
        <w:ind w:left="720" w:hanging="360"/>
      </w:pPr>
      <w:rPr>
        <w:rFonts w:ascii="Symbol" w:hAnsi="Symbol" w:hint="default"/>
        <w:sz w:val="20"/>
        <w:szCs w:val="20"/>
      </w:rPr>
    </w:lvl>
    <w:lvl w:ilvl="1" w:tplc="9D88D15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1437EC"/>
    <w:multiLevelType w:val="hybridMultilevel"/>
    <w:tmpl w:val="2CAE7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0658E"/>
    <w:multiLevelType w:val="hybridMultilevel"/>
    <w:tmpl w:val="8852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C58BF"/>
    <w:multiLevelType w:val="singleLevel"/>
    <w:tmpl w:val="0C090003"/>
    <w:lvl w:ilvl="0">
      <w:start w:val="1"/>
      <w:numFmt w:val="bullet"/>
      <w:lvlText w:val="o"/>
      <w:lvlJc w:val="left"/>
      <w:pPr>
        <w:ind w:left="1440" w:hanging="360"/>
      </w:pPr>
      <w:rPr>
        <w:rFonts w:ascii="Courier New" w:hAnsi="Courier New" w:cs="Courier New" w:hint="default"/>
        <w:color w:val="auto"/>
      </w:rPr>
    </w:lvl>
  </w:abstractNum>
  <w:abstractNum w:abstractNumId="24" w15:restartNumberingAfterBreak="0">
    <w:nsid w:val="38AE3A49"/>
    <w:multiLevelType w:val="hybridMultilevel"/>
    <w:tmpl w:val="A24E15B4"/>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B33678"/>
    <w:multiLevelType w:val="hybridMultilevel"/>
    <w:tmpl w:val="9160B8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E4D42B1"/>
    <w:multiLevelType w:val="hybridMultilevel"/>
    <w:tmpl w:val="184EF13C"/>
    <w:lvl w:ilvl="0" w:tplc="0FA215C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541759"/>
    <w:multiLevelType w:val="hybridMultilevel"/>
    <w:tmpl w:val="DF9622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41256A31"/>
    <w:multiLevelType w:val="hybridMultilevel"/>
    <w:tmpl w:val="659EBBFC"/>
    <w:lvl w:ilvl="0" w:tplc="0C090001">
      <w:start w:val="1"/>
      <w:numFmt w:val="bullet"/>
      <w:lvlText w:val=""/>
      <w:lvlJc w:val="left"/>
      <w:pPr>
        <w:ind w:left="3804" w:hanging="360"/>
      </w:pPr>
      <w:rPr>
        <w:rFonts w:ascii="Symbol" w:hAnsi="Symbol" w:hint="default"/>
      </w:rPr>
    </w:lvl>
    <w:lvl w:ilvl="1" w:tplc="0C090003" w:tentative="1">
      <w:start w:val="1"/>
      <w:numFmt w:val="bullet"/>
      <w:lvlText w:val="o"/>
      <w:lvlJc w:val="left"/>
      <w:pPr>
        <w:ind w:left="4524" w:hanging="360"/>
      </w:pPr>
      <w:rPr>
        <w:rFonts w:ascii="Courier New" w:hAnsi="Courier New" w:cs="Courier New" w:hint="default"/>
      </w:rPr>
    </w:lvl>
    <w:lvl w:ilvl="2" w:tplc="0C090005" w:tentative="1">
      <w:start w:val="1"/>
      <w:numFmt w:val="bullet"/>
      <w:lvlText w:val=""/>
      <w:lvlJc w:val="left"/>
      <w:pPr>
        <w:ind w:left="5244" w:hanging="360"/>
      </w:pPr>
      <w:rPr>
        <w:rFonts w:ascii="Wingdings" w:hAnsi="Wingdings" w:hint="default"/>
      </w:rPr>
    </w:lvl>
    <w:lvl w:ilvl="3" w:tplc="0C090001" w:tentative="1">
      <w:start w:val="1"/>
      <w:numFmt w:val="bullet"/>
      <w:lvlText w:val=""/>
      <w:lvlJc w:val="left"/>
      <w:pPr>
        <w:ind w:left="5964" w:hanging="360"/>
      </w:pPr>
      <w:rPr>
        <w:rFonts w:ascii="Symbol" w:hAnsi="Symbol" w:hint="default"/>
      </w:rPr>
    </w:lvl>
    <w:lvl w:ilvl="4" w:tplc="0C090003" w:tentative="1">
      <w:start w:val="1"/>
      <w:numFmt w:val="bullet"/>
      <w:lvlText w:val="o"/>
      <w:lvlJc w:val="left"/>
      <w:pPr>
        <w:ind w:left="6684" w:hanging="360"/>
      </w:pPr>
      <w:rPr>
        <w:rFonts w:ascii="Courier New" w:hAnsi="Courier New" w:cs="Courier New" w:hint="default"/>
      </w:rPr>
    </w:lvl>
    <w:lvl w:ilvl="5" w:tplc="0C090005" w:tentative="1">
      <w:start w:val="1"/>
      <w:numFmt w:val="bullet"/>
      <w:lvlText w:val=""/>
      <w:lvlJc w:val="left"/>
      <w:pPr>
        <w:ind w:left="7404" w:hanging="360"/>
      </w:pPr>
      <w:rPr>
        <w:rFonts w:ascii="Wingdings" w:hAnsi="Wingdings" w:hint="default"/>
      </w:rPr>
    </w:lvl>
    <w:lvl w:ilvl="6" w:tplc="0C090001" w:tentative="1">
      <w:start w:val="1"/>
      <w:numFmt w:val="bullet"/>
      <w:lvlText w:val=""/>
      <w:lvlJc w:val="left"/>
      <w:pPr>
        <w:ind w:left="8124" w:hanging="360"/>
      </w:pPr>
      <w:rPr>
        <w:rFonts w:ascii="Symbol" w:hAnsi="Symbol" w:hint="default"/>
      </w:rPr>
    </w:lvl>
    <w:lvl w:ilvl="7" w:tplc="0C090003" w:tentative="1">
      <w:start w:val="1"/>
      <w:numFmt w:val="bullet"/>
      <w:lvlText w:val="o"/>
      <w:lvlJc w:val="left"/>
      <w:pPr>
        <w:ind w:left="8844" w:hanging="360"/>
      </w:pPr>
      <w:rPr>
        <w:rFonts w:ascii="Courier New" w:hAnsi="Courier New" w:cs="Courier New" w:hint="default"/>
      </w:rPr>
    </w:lvl>
    <w:lvl w:ilvl="8" w:tplc="0C090005" w:tentative="1">
      <w:start w:val="1"/>
      <w:numFmt w:val="bullet"/>
      <w:lvlText w:val=""/>
      <w:lvlJc w:val="left"/>
      <w:pPr>
        <w:ind w:left="9564" w:hanging="360"/>
      </w:pPr>
      <w:rPr>
        <w:rFonts w:ascii="Wingdings" w:hAnsi="Wingdings" w:hint="default"/>
      </w:rPr>
    </w:lvl>
  </w:abstractNum>
  <w:abstractNum w:abstractNumId="29" w15:restartNumberingAfterBreak="0">
    <w:nsid w:val="43E85A14"/>
    <w:multiLevelType w:val="hybridMultilevel"/>
    <w:tmpl w:val="007E2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BF8E93"/>
    <w:multiLevelType w:val="hybridMultilevel"/>
    <w:tmpl w:val="ADAC2C40"/>
    <w:lvl w:ilvl="0" w:tplc="FBA0AD28">
      <w:start w:val="1"/>
      <w:numFmt w:val="bullet"/>
      <w:lvlText w:val=""/>
      <w:lvlJc w:val="left"/>
      <w:pPr>
        <w:ind w:left="720" w:hanging="360"/>
      </w:pPr>
      <w:rPr>
        <w:rFonts w:ascii="Symbol" w:hAnsi="Symbol" w:hint="default"/>
        <w:sz w:val="20"/>
        <w:szCs w:val="20"/>
      </w:rPr>
    </w:lvl>
    <w:lvl w:ilvl="1" w:tplc="7D242FBE">
      <w:start w:val="1"/>
      <w:numFmt w:val="bullet"/>
      <w:lvlText w:val="o"/>
      <w:lvlJc w:val="left"/>
      <w:pPr>
        <w:ind w:left="1440" w:hanging="360"/>
      </w:pPr>
      <w:rPr>
        <w:rFonts w:ascii="Courier New" w:hAnsi="Courier New" w:hint="default"/>
        <w:sz w:val="20"/>
        <w:szCs w:val="20"/>
      </w:rPr>
    </w:lvl>
    <w:lvl w:ilvl="2" w:tplc="567663DE">
      <w:start w:val="1"/>
      <w:numFmt w:val="bullet"/>
      <w:lvlText w:val=""/>
      <w:lvlJc w:val="left"/>
      <w:pPr>
        <w:ind w:left="2160" w:hanging="360"/>
      </w:pPr>
      <w:rPr>
        <w:rFonts w:ascii="Wingdings" w:hAnsi="Wingdings" w:hint="default"/>
      </w:rPr>
    </w:lvl>
    <w:lvl w:ilvl="3" w:tplc="9D9C1562">
      <w:start w:val="1"/>
      <w:numFmt w:val="bullet"/>
      <w:lvlText w:val=""/>
      <w:lvlJc w:val="left"/>
      <w:pPr>
        <w:ind w:left="2880" w:hanging="360"/>
      </w:pPr>
      <w:rPr>
        <w:rFonts w:ascii="Symbol" w:hAnsi="Symbol" w:hint="default"/>
      </w:rPr>
    </w:lvl>
    <w:lvl w:ilvl="4" w:tplc="B512F176">
      <w:start w:val="1"/>
      <w:numFmt w:val="bullet"/>
      <w:lvlText w:val="o"/>
      <w:lvlJc w:val="left"/>
      <w:pPr>
        <w:ind w:left="3600" w:hanging="360"/>
      </w:pPr>
      <w:rPr>
        <w:rFonts w:ascii="Courier New" w:hAnsi="Courier New" w:hint="default"/>
      </w:rPr>
    </w:lvl>
    <w:lvl w:ilvl="5" w:tplc="D8C231C6">
      <w:start w:val="1"/>
      <w:numFmt w:val="bullet"/>
      <w:lvlText w:val=""/>
      <w:lvlJc w:val="left"/>
      <w:pPr>
        <w:ind w:left="4320" w:hanging="360"/>
      </w:pPr>
      <w:rPr>
        <w:rFonts w:ascii="Wingdings" w:hAnsi="Wingdings" w:hint="default"/>
      </w:rPr>
    </w:lvl>
    <w:lvl w:ilvl="6" w:tplc="FD5A2DF2">
      <w:start w:val="1"/>
      <w:numFmt w:val="bullet"/>
      <w:lvlText w:val=""/>
      <w:lvlJc w:val="left"/>
      <w:pPr>
        <w:ind w:left="5040" w:hanging="360"/>
      </w:pPr>
      <w:rPr>
        <w:rFonts w:ascii="Symbol" w:hAnsi="Symbol" w:hint="default"/>
      </w:rPr>
    </w:lvl>
    <w:lvl w:ilvl="7" w:tplc="0A6AD174">
      <w:start w:val="1"/>
      <w:numFmt w:val="bullet"/>
      <w:lvlText w:val="o"/>
      <w:lvlJc w:val="left"/>
      <w:pPr>
        <w:ind w:left="5760" w:hanging="360"/>
      </w:pPr>
      <w:rPr>
        <w:rFonts w:ascii="Courier New" w:hAnsi="Courier New" w:hint="default"/>
      </w:rPr>
    </w:lvl>
    <w:lvl w:ilvl="8" w:tplc="D706B116">
      <w:start w:val="1"/>
      <w:numFmt w:val="bullet"/>
      <w:lvlText w:val=""/>
      <w:lvlJc w:val="left"/>
      <w:pPr>
        <w:ind w:left="6480" w:hanging="360"/>
      </w:pPr>
      <w:rPr>
        <w:rFonts w:ascii="Wingdings" w:hAnsi="Wingdings" w:hint="default"/>
      </w:rPr>
    </w:lvl>
  </w:abstractNum>
  <w:abstractNum w:abstractNumId="31" w15:restartNumberingAfterBreak="0">
    <w:nsid w:val="473171F0"/>
    <w:multiLevelType w:val="hybridMultilevel"/>
    <w:tmpl w:val="82F45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B546C"/>
    <w:multiLevelType w:val="hybridMultilevel"/>
    <w:tmpl w:val="27E4E2F2"/>
    <w:lvl w:ilvl="0" w:tplc="F276238A">
      <w:start w:val="1"/>
      <w:numFmt w:val="bullet"/>
      <w:lvlText w:val=""/>
      <w:lvlJc w:val="left"/>
      <w:pPr>
        <w:ind w:left="720" w:hanging="360"/>
      </w:pPr>
      <w:rPr>
        <w:rFonts w:ascii="Symbol" w:hAnsi="Symbol" w:hint="default"/>
        <w:sz w:val="20"/>
        <w:szCs w:val="20"/>
      </w:rPr>
    </w:lvl>
    <w:lvl w:ilvl="1" w:tplc="F0383C10">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F4836"/>
    <w:multiLevelType w:val="hybridMultilevel"/>
    <w:tmpl w:val="06461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1C70D97"/>
    <w:multiLevelType w:val="hybridMultilevel"/>
    <w:tmpl w:val="95DA3F06"/>
    <w:lvl w:ilvl="0" w:tplc="263E84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4A3617"/>
    <w:multiLevelType w:val="hybridMultilevel"/>
    <w:tmpl w:val="BF8E5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725C6E"/>
    <w:multiLevelType w:val="hybridMultilevel"/>
    <w:tmpl w:val="5D609F8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7" w15:restartNumberingAfterBreak="0">
    <w:nsid w:val="55B726F5"/>
    <w:multiLevelType w:val="hybridMultilevel"/>
    <w:tmpl w:val="E0D02BB8"/>
    <w:lvl w:ilvl="0" w:tplc="C9AE9404">
      <w:start w:val="1"/>
      <w:numFmt w:val="bullet"/>
      <w:lvlText w:val=""/>
      <w:lvlJc w:val="left"/>
      <w:pPr>
        <w:ind w:left="720" w:hanging="360"/>
      </w:pPr>
      <w:rPr>
        <w:rFonts w:ascii="Symbol" w:hAnsi="Symbol" w:hint="default"/>
        <w:sz w:val="20"/>
        <w:szCs w:val="20"/>
      </w:rPr>
    </w:lvl>
    <w:lvl w:ilvl="1" w:tplc="76BC9828">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623B70"/>
    <w:multiLevelType w:val="hybridMultilevel"/>
    <w:tmpl w:val="DBF01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78089E"/>
    <w:multiLevelType w:val="hybridMultilevel"/>
    <w:tmpl w:val="AF60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774970"/>
    <w:multiLevelType w:val="hybridMultilevel"/>
    <w:tmpl w:val="2E9A1B52"/>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FA565D"/>
    <w:multiLevelType w:val="hybridMultilevel"/>
    <w:tmpl w:val="8FD2F61C"/>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93220E"/>
    <w:multiLevelType w:val="hybridMultilevel"/>
    <w:tmpl w:val="76E83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884368"/>
    <w:multiLevelType w:val="hybridMultilevel"/>
    <w:tmpl w:val="7BE0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761E2A"/>
    <w:multiLevelType w:val="hybridMultilevel"/>
    <w:tmpl w:val="C1206CD2"/>
    <w:lvl w:ilvl="0" w:tplc="0C090001">
      <w:start w:val="1"/>
      <w:numFmt w:val="bullet"/>
      <w:lvlText w:val=""/>
      <w:lvlJc w:val="left"/>
      <w:pPr>
        <w:ind w:left="9564" w:hanging="360"/>
      </w:pPr>
      <w:rPr>
        <w:rFonts w:ascii="Symbol" w:hAnsi="Symbol" w:hint="default"/>
      </w:rPr>
    </w:lvl>
    <w:lvl w:ilvl="1" w:tplc="0C090003" w:tentative="1">
      <w:start w:val="1"/>
      <w:numFmt w:val="bullet"/>
      <w:lvlText w:val="o"/>
      <w:lvlJc w:val="left"/>
      <w:pPr>
        <w:ind w:left="10284" w:hanging="360"/>
      </w:pPr>
      <w:rPr>
        <w:rFonts w:ascii="Courier New" w:hAnsi="Courier New" w:cs="Courier New" w:hint="default"/>
      </w:rPr>
    </w:lvl>
    <w:lvl w:ilvl="2" w:tplc="0C090005" w:tentative="1">
      <w:start w:val="1"/>
      <w:numFmt w:val="bullet"/>
      <w:lvlText w:val=""/>
      <w:lvlJc w:val="left"/>
      <w:pPr>
        <w:ind w:left="11004" w:hanging="360"/>
      </w:pPr>
      <w:rPr>
        <w:rFonts w:ascii="Wingdings" w:hAnsi="Wingdings" w:hint="default"/>
      </w:rPr>
    </w:lvl>
    <w:lvl w:ilvl="3" w:tplc="0C090001" w:tentative="1">
      <w:start w:val="1"/>
      <w:numFmt w:val="bullet"/>
      <w:lvlText w:val=""/>
      <w:lvlJc w:val="left"/>
      <w:pPr>
        <w:ind w:left="11724" w:hanging="360"/>
      </w:pPr>
      <w:rPr>
        <w:rFonts w:ascii="Symbol" w:hAnsi="Symbol" w:hint="default"/>
      </w:rPr>
    </w:lvl>
    <w:lvl w:ilvl="4" w:tplc="0C090003" w:tentative="1">
      <w:start w:val="1"/>
      <w:numFmt w:val="bullet"/>
      <w:lvlText w:val="o"/>
      <w:lvlJc w:val="left"/>
      <w:pPr>
        <w:ind w:left="12444" w:hanging="360"/>
      </w:pPr>
      <w:rPr>
        <w:rFonts w:ascii="Courier New" w:hAnsi="Courier New" w:cs="Courier New" w:hint="default"/>
      </w:rPr>
    </w:lvl>
    <w:lvl w:ilvl="5" w:tplc="0C090005" w:tentative="1">
      <w:start w:val="1"/>
      <w:numFmt w:val="bullet"/>
      <w:lvlText w:val=""/>
      <w:lvlJc w:val="left"/>
      <w:pPr>
        <w:ind w:left="13164" w:hanging="360"/>
      </w:pPr>
      <w:rPr>
        <w:rFonts w:ascii="Wingdings" w:hAnsi="Wingdings" w:hint="default"/>
      </w:rPr>
    </w:lvl>
    <w:lvl w:ilvl="6" w:tplc="0C090001" w:tentative="1">
      <w:start w:val="1"/>
      <w:numFmt w:val="bullet"/>
      <w:lvlText w:val=""/>
      <w:lvlJc w:val="left"/>
      <w:pPr>
        <w:ind w:left="13884" w:hanging="360"/>
      </w:pPr>
      <w:rPr>
        <w:rFonts w:ascii="Symbol" w:hAnsi="Symbol" w:hint="default"/>
      </w:rPr>
    </w:lvl>
    <w:lvl w:ilvl="7" w:tplc="0C090003" w:tentative="1">
      <w:start w:val="1"/>
      <w:numFmt w:val="bullet"/>
      <w:lvlText w:val="o"/>
      <w:lvlJc w:val="left"/>
      <w:pPr>
        <w:ind w:left="14604" w:hanging="360"/>
      </w:pPr>
      <w:rPr>
        <w:rFonts w:ascii="Courier New" w:hAnsi="Courier New" w:cs="Courier New" w:hint="default"/>
      </w:rPr>
    </w:lvl>
    <w:lvl w:ilvl="8" w:tplc="0C090005" w:tentative="1">
      <w:start w:val="1"/>
      <w:numFmt w:val="bullet"/>
      <w:lvlText w:val=""/>
      <w:lvlJc w:val="left"/>
      <w:pPr>
        <w:ind w:left="15324" w:hanging="360"/>
      </w:pPr>
      <w:rPr>
        <w:rFonts w:ascii="Wingdings" w:hAnsi="Wingdings" w:hint="default"/>
      </w:rPr>
    </w:lvl>
  </w:abstractNum>
  <w:abstractNum w:abstractNumId="45" w15:restartNumberingAfterBreak="0">
    <w:nsid w:val="606E1C46"/>
    <w:multiLevelType w:val="hybridMultilevel"/>
    <w:tmpl w:val="74E4B89E"/>
    <w:lvl w:ilvl="0" w:tplc="0532A39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9F7735"/>
    <w:multiLevelType w:val="hybridMultilevel"/>
    <w:tmpl w:val="D81E7E2E"/>
    <w:lvl w:ilvl="0" w:tplc="11985FE6">
      <w:start w:val="1"/>
      <w:numFmt w:val="bullet"/>
      <w:lvlText w:val=""/>
      <w:lvlJc w:val="left"/>
      <w:pPr>
        <w:ind w:left="644" w:hanging="360"/>
      </w:pPr>
      <w:rPr>
        <w:rFonts w:ascii="Symbol" w:hAnsi="Symbol" w:hint="default"/>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60D516F5"/>
    <w:multiLevelType w:val="hybridMultilevel"/>
    <w:tmpl w:val="15F81E4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8" w15:restartNumberingAfterBreak="0">
    <w:nsid w:val="60FE43C3"/>
    <w:multiLevelType w:val="multilevel"/>
    <w:tmpl w:val="8B8E4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10F3A59"/>
    <w:multiLevelType w:val="hybridMultilevel"/>
    <w:tmpl w:val="36A6E99C"/>
    <w:lvl w:ilvl="0" w:tplc="470287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453E4B"/>
    <w:multiLevelType w:val="hybridMultilevel"/>
    <w:tmpl w:val="05E09CA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1" w15:restartNumberingAfterBreak="0">
    <w:nsid w:val="661E567F"/>
    <w:multiLevelType w:val="hybridMultilevel"/>
    <w:tmpl w:val="C874A276"/>
    <w:lvl w:ilvl="0" w:tplc="BFEA119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923F2B"/>
    <w:multiLevelType w:val="hybridMultilevel"/>
    <w:tmpl w:val="C3AE5B20"/>
    <w:lvl w:ilvl="0" w:tplc="E9C0F808">
      <w:start w:val="1"/>
      <w:numFmt w:val="bullet"/>
      <w:lvlText w:val=""/>
      <w:lvlJc w:val="left"/>
      <w:pPr>
        <w:ind w:left="720" w:hanging="360"/>
      </w:pPr>
      <w:rPr>
        <w:rFonts w:ascii="Symbol" w:hAnsi="Symbol" w:hint="default"/>
        <w:sz w:val="20"/>
        <w:szCs w:val="20"/>
      </w:rPr>
    </w:lvl>
    <w:lvl w:ilvl="1" w:tplc="3FC6FF76">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33079E"/>
    <w:multiLevelType w:val="hybridMultilevel"/>
    <w:tmpl w:val="AD80BD0C"/>
    <w:lvl w:ilvl="0" w:tplc="BFEA1194">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1315C8"/>
    <w:multiLevelType w:val="hybridMultilevel"/>
    <w:tmpl w:val="934A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0444EB"/>
    <w:multiLevelType w:val="hybridMultilevel"/>
    <w:tmpl w:val="7F20774A"/>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3F0FA1"/>
    <w:multiLevelType w:val="multilevel"/>
    <w:tmpl w:val="7D4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1F412F"/>
    <w:multiLevelType w:val="hybridMultilevel"/>
    <w:tmpl w:val="AC027434"/>
    <w:lvl w:ilvl="0" w:tplc="8DAED142">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BA5824"/>
    <w:multiLevelType w:val="hybridMultilevel"/>
    <w:tmpl w:val="4A32C2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013280"/>
    <w:multiLevelType w:val="hybridMultilevel"/>
    <w:tmpl w:val="54E8D0C6"/>
    <w:lvl w:ilvl="0" w:tplc="ECC84170">
      <w:start w:val="1"/>
      <w:numFmt w:val="bullet"/>
      <w:lvlText w:val=""/>
      <w:lvlJc w:val="left"/>
      <w:pPr>
        <w:ind w:left="720" w:hanging="360"/>
      </w:pPr>
      <w:rPr>
        <w:rFonts w:ascii="Symbol" w:hAnsi="Symbol" w:hint="default"/>
        <w:sz w:val="20"/>
        <w:szCs w:val="20"/>
      </w:rPr>
    </w:lvl>
    <w:lvl w:ilvl="1" w:tplc="912E2452">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ED7334"/>
    <w:multiLevelType w:val="hybridMultilevel"/>
    <w:tmpl w:val="B1C0B77A"/>
    <w:lvl w:ilvl="0" w:tplc="5836AB4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EA739F"/>
    <w:multiLevelType w:val="hybridMultilevel"/>
    <w:tmpl w:val="C11C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7377F8"/>
    <w:multiLevelType w:val="hybridMultilevel"/>
    <w:tmpl w:val="1B2EF6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7A317A35"/>
    <w:multiLevelType w:val="hybridMultilevel"/>
    <w:tmpl w:val="414A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AA8575D"/>
    <w:multiLevelType w:val="multilevel"/>
    <w:tmpl w:val="B7CED4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7B4012F7"/>
    <w:multiLevelType w:val="hybridMultilevel"/>
    <w:tmpl w:val="943A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C120D06"/>
    <w:multiLevelType w:val="hybridMultilevel"/>
    <w:tmpl w:val="81F8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40709A"/>
    <w:multiLevelType w:val="hybridMultilevel"/>
    <w:tmpl w:val="027C9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456602"/>
    <w:multiLevelType w:val="hybridMultilevel"/>
    <w:tmpl w:val="5174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9786047">
    <w:abstractNumId w:val="34"/>
  </w:num>
  <w:num w:numId="2" w16cid:durableId="1174762819">
    <w:abstractNumId w:val="20"/>
  </w:num>
  <w:num w:numId="3" w16cid:durableId="1555463071">
    <w:abstractNumId w:val="10"/>
  </w:num>
  <w:num w:numId="4" w16cid:durableId="1058825090">
    <w:abstractNumId w:val="65"/>
  </w:num>
  <w:num w:numId="5" w16cid:durableId="2039236977">
    <w:abstractNumId w:val="37"/>
  </w:num>
  <w:num w:numId="6" w16cid:durableId="1036537795">
    <w:abstractNumId w:val="51"/>
  </w:num>
  <w:num w:numId="7" w16cid:durableId="446704854">
    <w:abstractNumId w:val="31"/>
  </w:num>
  <w:num w:numId="8" w16cid:durableId="230193279">
    <w:abstractNumId w:val="53"/>
  </w:num>
  <w:num w:numId="9" w16cid:durableId="1560745724">
    <w:abstractNumId w:val="3"/>
  </w:num>
  <w:num w:numId="10" w16cid:durableId="624122353">
    <w:abstractNumId w:val="38"/>
  </w:num>
  <w:num w:numId="11" w16cid:durableId="1171523386">
    <w:abstractNumId w:val="39"/>
  </w:num>
  <w:num w:numId="12" w16cid:durableId="795371040">
    <w:abstractNumId w:val="41"/>
  </w:num>
  <w:num w:numId="13" w16cid:durableId="635836271">
    <w:abstractNumId w:val="60"/>
  </w:num>
  <w:num w:numId="14" w16cid:durableId="677461943">
    <w:abstractNumId w:val="5"/>
  </w:num>
  <w:num w:numId="15" w16cid:durableId="447554537">
    <w:abstractNumId w:val="26"/>
  </w:num>
  <w:num w:numId="16" w16cid:durableId="1169490314">
    <w:abstractNumId w:val="45"/>
  </w:num>
  <w:num w:numId="17" w16cid:durableId="1270428410">
    <w:abstractNumId w:val="55"/>
  </w:num>
  <w:num w:numId="18" w16cid:durableId="667368701">
    <w:abstractNumId w:val="6"/>
  </w:num>
  <w:num w:numId="19" w16cid:durableId="1302463457">
    <w:abstractNumId w:val="24"/>
  </w:num>
  <w:num w:numId="20" w16cid:durableId="1450199013">
    <w:abstractNumId w:val="40"/>
  </w:num>
  <w:num w:numId="21" w16cid:durableId="1953705319">
    <w:abstractNumId w:val="2"/>
  </w:num>
  <w:num w:numId="22" w16cid:durableId="1598708286">
    <w:abstractNumId w:val="56"/>
  </w:num>
  <w:num w:numId="23" w16cid:durableId="1172838608">
    <w:abstractNumId w:val="9"/>
  </w:num>
  <w:num w:numId="24" w16cid:durableId="1052264915">
    <w:abstractNumId w:val="11"/>
  </w:num>
  <w:num w:numId="25" w16cid:durableId="1676105885">
    <w:abstractNumId w:val="68"/>
  </w:num>
  <w:num w:numId="26" w16cid:durableId="1058164733">
    <w:abstractNumId w:val="67"/>
  </w:num>
  <w:num w:numId="27" w16cid:durableId="136380797">
    <w:abstractNumId w:val="25"/>
  </w:num>
  <w:num w:numId="28" w16cid:durableId="86316725">
    <w:abstractNumId w:val="57"/>
  </w:num>
  <w:num w:numId="29" w16cid:durableId="1057902167">
    <w:abstractNumId w:val="18"/>
  </w:num>
  <w:num w:numId="30" w16cid:durableId="447697090">
    <w:abstractNumId w:val="33"/>
  </w:num>
  <w:num w:numId="31" w16cid:durableId="92869480">
    <w:abstractNumId w:val="16"/>
  </w:num>
  <w:num w:numId="32" w16cid:durableId="1470830282">
    <w:abstractNumId w:val="30"/>
  </w:num>
  <w:num w:numId="33" w16cid:durableId="1736850152">
    <w:abstractNumId w:val="32"/>
  </w:num>
  <w:num w:numId="34" w16cid:durableId="1366172246">
    <w:abstractNumId w:val="17"/>
  </w:num>
  <w:num w:numId="35" w16cid:durableId="4727968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6811478">
    <w:abstractNumId w:val="47"/>
  </w:num>
  <w:num w:numId="37" w16cid:durableId="715812250">
    <w:abstractNumId w:val="23"/>
  </w:num>
  <w:num w:numId="38" w16cid:durableId="1226261463">
    <w:abstractNumId w:val="63"/>
  </w:num>
  <w:num w:numId="39" w16cid:durableId="776170146">
    <w:abstractNumId w:val="52"/>
  </w:num>
  <w:num w:numId="40" w16cid:durableId="599993789">
    <w:abstractNumId w:val="14"/>
  </w:num>
  <w:num w:numId="41" w16cid:durableId="1750076386">
    <w:abstractNumId w:val="19"/>
  </w:num>
  <w:num w:numId="42" w16cid:durableId="760027955">
    <w:abstractNumId w:val="43"/>
  </w:num>
  <w:num w:numId="43" w16cid:durableId="402485876">
    <w:abstractNumId w:val="13"/>
  </w:num>
  <w:num w:numId="44" w16cid:durableId="847449511">
    <w:abstractNumId w:val="61"/>
  </w:num>
  <w:num w:numId="45" w16cid:durableId="878468288">
    <w:abstractNumId w:val="59"/>
  </w:num>
  <w:num w:numId="46" w16cid:durableId="1296596900">
    <w:abstractNumId w:val="22"/>
  </w:num>
  <w:num w:numId="47" w16cid:durableId="149758542">
    <w:abstractNumId w:val="54"/>
  </w:num>
  <w:num w:numId="48" w16cid:durableId="1809282782">
    <w:abstractNumId w:val="42"/>
  </w:num>
  <w:num w:numId="49" w16cid:durableId="1296369874">
    <w:abstractNumId w:val="29"/>
  </w:num>
  <w:num w:numId="50" w16cid:durableId="2132504564">
    <w:abstractNumId w:val="0"/>
  </w:num>
  <w:num w:numId="51" w16cid:durableId="1186359904">
    <w:abstractNumId w:val="1"/>
  </w:num>
  <w:num w:numId="52" w16cid:durableId="979656772">
    <w:abstractNumId w:val="36"/>
  </w:num>
  <w:num w:numId="53" w16cid:durableId="764231987">
    <w:abstractNumId w:val="50"/>
  </w:num>
  <w:num w:numId="54" w16cid:durableId="1530682537">
    <w:abstractNumId w:val="27"/>
  </w:num>
  <w:num w:numId="55" w16cid:durableId="2120754772">
    <w:abstractNumId w:val="28"/>
  </w:num>
  <w:num w:numId="56" w16cid:durableId="1090084886">
    <w:abstractNumId w:val="15"/>
  </w:num>
  <w:num w:numId="57" w16cid:durableId="961419485">
    <w:abstractNumId w:val="44"/>
  </w:num>
  <w:num w:numId="58" w16cid:durableId="905535548">
    <w:abstractNumId w:val="46"/>
  </w:num>
  <w:num w:numId="59" w16cid:durableId="383599538">
    <w:abstractNumId w:val="58"/>
  </w:num>
  <w:num w:numId="60" w16cid:durableId="1702047870">
    <w:abstractNumId w:val="66"/>
  </w:num>
  <w:num w:numId="61" w16cid:durableId="36971407">
    <w:abstractNumId w:val="35"/>
  </w:num>
  <w:num w:numId="62" w16cid:durableId="412705926">
    <w:abstractNumId w:val="8"/>
  </w:num>
  <w:num w:numId="63" w16cid:durableId="606817843">
    <w:abstractNumId w:val="32"/>
  </w:num>
  <w:num w:numId="64" w16cid:durableId="1446656238">
    <w:abstractNumId w:val="21"/>
  </w:num>
  <w:num w:numId="65" w16cid:durableId="1962689632">
    <w:abstractNumId w:val="49"/>
  </w:num>
  <w:num w:numId="66" w16cid:durableId="344789720">
    <w:abstractNumId w:val="62"/>
  </w:num>
  <w:num w:numId="67" w16cid:durableId="205143278">
    <w:abstractNumId w:val="12"/>
  </w:num>
  <w:num w:numId="68" w16cid:durableId="1892770726">
    <w:abstractNumId w:val="4"/>
  </w:num>
  <w:num w:numId="69" w16cid:durableId="1475298480">
    <w:abstractNumId w:val="64"/>
  </w:num>
  <w:num w:numId="70" w16cid:durableId="50636181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2E2"/>
    <w:rsid w:val="00000422"/>
    <w:rsid w:val="0000047F"/>
    <w:rsid w:val="00000F09"/>
    <w:rsid w:val="00001687"/>
    <w:rsid w:val="00001730"/>
    <w:rsid w:val="000017C1"/>
    <w:rsid w:val="000019EF"/>
    <w:rsid w:val="00001A57"/>
    <w:rsid w:val="00001FC1"/>
    <w:rsid w:val="0000265E"/>
    <w:rsid w:val="0000390B"/>
    <w:rsid w:val="00003C1E"/>
    <w:rsid w:val="00003D3B"/>
    <w:rsid w:val="000053CE"/>
    <w:rsid w:val="00005A5C"/>
    <w:rsid w:val="00005BD2"/>
    <w:rsid w:val="00005E65"/>
    <w:rsid w:val="000062FD"/>
    <w:rsid w:val="0000634B"/>
    <w:rsid w:val="00006587"/>
    <w:rsid w:val="00006761"/>
    <w:rsid w:val="00006A62"/>
    <w:rsid w:val="00006B95"/>
    <w:rsid w:val="000072CB"/>
    <w:rsid w:val="000076A3"/>
    <w:rsid w:val="00007D17"/>
    <w:rsid w:val="0000AEC1"/>
    <w:rsid w:val="0001019C"/>
    <w:rsid w:val="000104D6"/>
    <w:rsid w:val="00010719"/>
    <w:rsid w:val="0001079E"/>
    <w:rsid w:val="00010E45"/>
    <w:rsid w:val="000110DF"/>
    <w:rsid w:val="000119F1"/>
    <w:rsid w:val="00011BA6"/>
    <w:rsid w:val="0001240D"/>
    <w:rsid w:val="00012903"/>
    <w:rsid w:val="00012958"/>
    <w:rsid w:val="0001297D"/>
    <w:rsid w:val="00012F09"/>
    <w:rsid w:val="00013885"/>
    <w:rsid w:val="00014651"/>
    <w:rsid w:val="00014EE0"/>
    <w:rsid w:val="000153D6"/>
    <w:rsid w:val="00015603"/>
    <w:rsid w:val="00015792"/>
    <w:rsid w:val="00015BAB"/>
    <w:rsid w:val="00015D75"/>
    <w:rsid w:val="00015D90"/>
    <w:rsid w:val="00015E70"/>
    <w:rsid w:val="0001616C"/>
    <w:rsid w:val="000162A2"/>
    <w:rsid w:val="000166AB"/>
    <w:rsid w:val="00016F4E"/>
    <w:rsid w:val="000170F7"/>
    <w:rsid w:val="000172D8"/>
    <w:rsid w:val="00017692"/>
    <w:rsid w:val="000176AC"/>
    <w:rsid w:val="00017A9A"/>
    <w:rsid w:val="00017C36"/>
    <w:rsid w:val="00017DB3"/>
    <w:rsid w:val="00017F3F"/>
    <w:rsid w:val="00017F80"/>
    <w:rsid w:val="00020160"/>
    <w:rsid w:val="00020833"/>
    <w:rsid w:val="0002096F"/>
    <w:rsid w:val="000209C4"/>
    <w:rsid w:val="00020A48"/>
    <w:rsid w:val="00020B34"/>
    <w:rsid w:val="00020EA1"/>
    <w:rsid w:val="00021166"/>
    <w:rsid w:val="0002256B"/>
    <w:rsid w:val="000227EF"/>
    <w:rsid w:val="00022F2A"/>
    <w:rsid w:val="000239E9"/>
    <w:rsid w:val="00023D7F"/>
    <w:rsid w:val="00024593"/>
    <w:rsid w:val="00024C1F"/>
    <w:rsid w:val="00024CCB"/>
    <w:rsid w:val="00024E25"/>
    <w:rsid w:val="00024F39"/>
    <w:rsid w:val="00025D50"/>
    <w:rsid w:val="00025E0E"/>
    <w:rsid w:val="00025EAF"/>
    <w:rsid w:val="00025F31"/>
    <w:rsid w:val="00026691"/>
    <w:rsid w:val="00027325"/>
    <w:rsid w:val="00027F0C"/>
    <w:rsid w:val="000302BC"/>
    <w:rsid w:val="000305BE"/>
    <w:rsid w:val="00030BA1"/>
    <w:rsid w:val="00031421"/>
    <w:rsid w:val="00031558"/>
    <w:rsid w:val="000318B0"/>
    <w:rsid w:val="00031B32"/>
    <w:rsid w:val="00031F28"/>
    <w:rsid w:val="0003249E"/>
    <w:rsid w:val="0003289C"/>
    <w:rsid w:val="00033B2D"/>
    <w:rsid w:val="00033D35"/>
    <w:rsid w:val="000348D8"/>
    <w:rsid w:val="00034C2D"/>
    <w:rsid w:val="0003503A"/>
    <w:rsid w:val="00035967"/>
    <w:rsid w:val="000359A5"/>
    <w:rsid w:val="00035EAD"/>
    <w:rsid w:val="00035EF7"/>
    <w:rsid w:val="00036239"/>
    <w:rsid w:val="0003683C"/>
    <w:rsid w:val="0003710A"/>
    <w:rsid w:val="000373D6"/>
    <w:rsid w:val="00037887"/>
    <w:rsid w:val="00037B5F"/>
    <w:rsid w:val="00037F42"/>
    <w:rsid w:val="000409DC"/>
    <w:rsid w:val="00040BDC"/>
    <w:rsid w:val="0004119A"/>
    <w:rsid w:val="0004167C"/>
    <w:rsid w:val="00041874"/>
    <w:rsid w:val="00041890"/>
    <w:rsid w:val="00041E76"/>
    <w:rsid w:val="00042747"/>
    <w:rsid w:val="00042BC0"/>
    <w:rsid w:val="00042CD5"/>
    <w:rsid w:val="00042DDB"/>
    <w:rsid w:val="0004361D"/>
    <w:rsid w:val="00043AD8"/>
    <w:rsid w:val="00043BB5"/>
    <w:rsid w:val="00043D85"/>
    <w:rsid w:val="00043E8A"/>
    <w:rsid w:val="000441B2"/>
    <w:rsid w:val="0004441F"/>
    <w:rsid w:val="00044816"/>
    <w:rsid w:val="00044A8E"/>
    <w:rsid w:val="00044ADA"/>
    <w:rsid w:val="00044B7F"/>
    <w:rsid w:val="00045740"/>
    <w:rsid w:val="00045893"/>
    <w:rsid w:val="000459F5"/>
    <w:rsid w:val="00045A83"/>
    <w:rsid w:val="0004642B"/>
    <w:rsid w:val="00046660"/>
    <w:rsid w:val="00046766"/>
    <w:rsid w:val="000467A5"/>
    <w:rsid w:val="00046B26"/>
    <w:rsid w:val="00046BBF"/>
    <w:rsid w:val="00046E75"/>
    <w:rsid w:val="00046E7D"/>
    <w:rsid w:val="0004752F"/>
    <w:rsid w:val="000477A0"/>
    <w:rsid w:val="000477C9"/>
    <w:rsid w:val="00047984"/>
    <w:rsid w:val="00050688"/>
    <w:rsid w:val="00050ADE"/>
    <w:rsid w:val="00051969"/>
    <w:rsid w:val="00052094"/>
    <w:rsid w:val="00052261"/>
    <w:rsid w:val="00052E74"/>
    <w:rsid w:val="00053B4F"/>
    <w:rsid w:val="00053F24"/>
    <w:rsid w:val="00054496"/>
    <w:rsid w:val="00054615"/>
    <w:rsid w:val="00054F03"/>
    <w:rsid w:val="0005534A"/>
    <w:rsid w:val="000555A4"/>
    <w:rsid w:val="00056335"/>
    <w:rsid w:val="00056733"/>
    <w:rsid w:val="000567DB"/>
    <w:rsid w:val="00056AE9"/>
    <w:rsid w:val="0005706F"/>
    <w:rsid w:val="00057137"/>
    <w:rsid w:val="00057A3A"/>
    <w:rsid w:val="00057D60"/>
    <w:rsid w:val="00057FB2"/>
    <w:rsid w:val="00060628"/>
    <w:rsid w:val="0006071E"/>
    <w:rsid w:val="00060B98"/>
    <w:rsid w:val="00060C1F"/>
    <w:rsid w:val="00060E9E"/>
    <w:rsid w:val="00061064"/>
    <w:rsid w:val="0006108C"/>
    <w:rsid w:val="0006127D"/>
    <w:rsid w:val="00061316"/>
    <w:rsid w:val="00061CC8"/>
    <w:rsid w:val="00062308"/>
    <w:rsid w:val="00062470"/>
    <w:rsid w:val="000624B3"/>
    <w:rsid w:val="00062826"/>
    <w:rsid w:val="00062D05"/>
    <w:rsid w:val="00062DD0"/>
    <w:rsid w:val="00062E27"/>
    <w:rsid w:val="0006333F"/>
    <w:rsid w:val="00063416"/>
    <w:rsid w:val="00063E0F"/>
    <w:rsid w:val="0006461D"/>
    <w:rsid w:val="000653E9"/>
    <w:rsid w:val="0006549F"/>
    <w:rsid w:val="00065C1D"/>
    <w:rsid w:val="000661AE"/>
    <w:rsid w:val="00066568"/>
    <w:rsid w:val="000665C5"/>
    <w:rsid w:val="0006664C"/>
    <w:rsid w:val="000667A0"/>
    <w:rsid w:val="000671D2"/>
    <w:rsid w:val="0006747A"/>
    <w:rsid w:val="0006751A"/>
    <w:rsid w:val="00070126"/>
    <w:rsid w:val="000702C6"/>
    <w:rsid w:val="00070489"/>
    <w:rsid w:val="000705D0"/>
    <w:rsid w:val="0007078E"/>
    <w:rsid w:val="000707E2"/>
    <w:rsid w:val="00070F77"/>
    <w:rsid w:val="00070FFD"/>
    <w:rsid w:val="000710C2"/>
    <w:rsid w:val="000717D3"/>
    <w:rsid w:val="000718D4"/>
    <w:rsid w:val="0007204E"/>
    <w:rsid w:val="00072076"/>
    <w:rsid w:val="0007265E"/>
    <w:rsid w:val="000728E9"/>
    <w:rsid w:val="00072DC1"/>
    <w:rsid w:val="00072F87"/>
    <w:rsid w:val="000731B4"/>
    <w:rsid w:val="00073FAF"/>
    <w:rsid w:val="00074477"/>
    <w:rsid w:val="000746CE"/>
    <w:rsid w:val="00075055"/>
    <w:rsid w:val="00075408"/>
    <w:rsid w:val="00075D55"/>
    <w:rsid w:val="0007663A"/>
    <w:rsid w:val="00076AC0"/>
    <w:rsid w:val="00076F09"/>
    <w:rsid w:val="000775DF"/>
    <w:rsid w:val="000775FF"/>
    <w:rsid w:val="000776A6"/>
    <w:rsid w:val="00077A37"/>
    <w:rsid w:val="00077D93"/>
    <w:rsid w:val="00077E3E"/>
    <w:rsid w:val="00077F05"/>
    <w:rsid w:val="00080564"/>
    <w:rsid w:val="0008057B"/>
    <w:rsid w:val="00080C40"/>
    <w:rsid w:val="00080D2B"/>
    <w:rsid w:val="00081829"/>
    <w:rsid w:val="000819DF"/>
    <w:rsid w:val="00081C89"/>
    <w:rsid w:val="00081D11"/>
    <w:rsid w:val="00081E01"/>
    <w:rsid w:val="00081E57"/>
    <w:rsid w:val="00082046"/>
    <w:rsid w:val="000824D4"/>
    <w:rsid w:val="0008270E"/>
    <w:rsid w:val="00082AA2"/>
    <w:rsid w:val="00082D36"/>
    <w:rsid w:val="000831E1"/>
    <w:rsid w:val="000845E3"/>
    <w:rsid w:val="000849D6"/>
    <w:rsid w:val="00084ECB"/>
    <w:rsid w:val="000861DC"/>
    <w:rsid w:val="00086729"/>
    <w:rsid w:val="00086A8E"/>
    <w:rsid w:val="00086C20"/>
    <w:rsid w:val="00086CA7"/>
    <w:rsid w:val="00086DD1"/>
    <w:rsid w:val="00086E82"/>
    <w:rsid w:val="000875AD"/>
    <w:rsid w:val="00087A48"/>
    <w:rsid w:val="00087C2C"/>
    <w:rsid w:val="00087D9F"/>
    <w:rsid w:val="00090381"/>
    <w:rsid w:val="000904B5"/>
    <w:rsid w:val="00090809"/>
    <w:rsid w:val="00090940"/>
    <w:rsid w:val="00090E5D"/>
    <w:rsid w:val="00090F4C"/>
    <w:rsid w:val="00091E43"/>
    <w:rsid w:val="0009220B"/>
    <w:rsid w:val="000924C8"/>
    <w:rsid w:val="00092A77"/>
    <w:rsid w:val="00093173"/>
    <w:rsid w:val="00093683"/>
    <w:rsid w:val="00093C32"/>
    <w:rsid w:val="000941E2"/>
    <w:rsid w:val="000942A4"/>
    <w:rsid w:val="000944A3"/>
    <w:rsid w:val="00094CAE"/>
    <w:rsid w:val="00094E5C"/>
    <w:rsid w:val="000951A0"/>
    <w:rsid w:val="00095BE2"/>
    <w:rsid w:val="00096E63"/>
    <w:rsid w:val="0009755A"/>
    <w:rsid w:val="00097729"/>
    <w:rsid w:val="00097960"/>
    <w:rsid w:val="000A06A7"/>
    <w:rsid w:val="000A0DDE"/>
    <w:rsid w:val="000A0F04"/>
    <w:rsid w:val="000A13FD"/>
    <w:rsid w:val="000A19E5"/>
    <w:rsid w:val="000A1DE7"/>
    <w:rsid w:val="000A1F9B"/>
    <w:rsid w:val="000A2145"/>
    <w:rsid w:val="000A21D2"/>
    <w:rsid w:val="000A30A6"/>
    <w:rsid w:val="000A35FC"/>
    <w:rsid w:val="000A3E99"/>
    <w:rsid w:val="000A4069"/>
    <w:rsid w:val="000A42D1"/>
    <w:rsid w:val="000A47F5"/>
    <w:rsid w:val="000A4983"/>
    <w:rsid w:val="000A4AED"/>
    <w:rsid w:val="000A5D44"/>
    <w:rsid w:val="000A5EFA"/>
    <w:rsid w:val="000A63C4"/>
    <w:rsid w:val="000A68A0"/>
    <w:rsid w:val="000A6C79"/>
    <w:rsid w:val="000A6F8B"/>
    <w:rsid w:val="000A705C"/>
    <w:rsid w:val="000A7B2C"/>
    <w:rsid w:val="000B0DC9"/>
    <w:rsid w:val="000B10FE"/>
    <w:rsid w:val="000B13C2"/>
    <w:rsid w:val="000B1B68"/>
    <w:rsid w:val="000B2330"/>
    <w:rsid w:val="000B26DB"/>
    <w:rsid w:val="000B2A03"/>
    <w:rsid w:val="000B2C37"/>
    <w:rsid w:val="000B3950"/>
    <w:rsid w:val="000B3B73"/>
    <w:rsid w:val="000B45D8"/>
    <w:rsid w:val="000B45E4"/>
    <w:rsid w:val="000B4760"/>
    <w:rsid w:val="000B4FD6"/>
    <w:rsid w:val="000B520E"/>
    <w:rsid w:val="000B5274"/>
    <w:rsid w:val="000B59B4"/>
    <w:rsid w:val="000B60C0"/>
    <w:rsid w:val="000B6DFB"/>
    <w:rsid w:val="000B6E32"/>
    <w:rsid w:val="000B771E"/>
    <w:rsid w:val="000B7BC5"/>
    <w:rsid w:val="000C06D0"/>
    <w:rsid w:val="000C0EE8"/>
    <w:rsid w:val="000C0F2B"/>
    <w:rsid w:val="000C1BEE"/>
    <w:rsid w:val="000C2984"/>
    <w:rsid w:val="000C2BB0"/>
    <w:rsid w:val="000C2D00"/>
    <w:rsid w:val="000C2DB8"/>
    <w:rsid w:val="000C2DF2"/>
    <w:rsid w:val="000C2F75"/>
    <w:rsid w:val="000C3D45"/>
    <w:rsid w:val="000C4311"/>
    <w:rsid w:val="000C4639"/>
    <w:rsid w:val="000C47D5"/>
    <w:rsid w:val="000C4A7E"/>
    <w:rsid w:val="000C4AB2"/>
    <w:rsid w:val="000C4CCF"/>
    <w:rsid w:val="000C4DDB"/>
    <w:rsid w:val="000C4E6D"/>
    <w:rsid w:val="000C4EE3"/>
    <w:rsid w:val="000C4F27"/>
    <w:rsid w:val="000C5107"/>
    <w:rsid w:val="000C5305"/>
    <w:rsid w:val="000C55BF"/>
    <w:rsid w:val="000C5C6E"/>
    <w:rsid w:val="000C5D77"/>
    <w:rsid w:val="000C5EC4"/>
    <w:rsid w:val="000C6274"/>
    <w:rsid w:val="000C6CC4"/>
    <w:rsid w:val="000C6F45"/>
    <w:rsid w:val="000C7071"/>
    <w:rsid w:val="000C70CE"/>
    <w:rsid w:val="000C77D9"/>
    <w:rsid w:val="000C7CB9"/>
    <w:rsid w:val="000C7DE4"/>
    <w:rsid w:val="000C7EA8"/>
    <w:rsid w:val="000C7F29"/>
    <w:rsid w:val="000C7F2D"/>
    <w:rsid w:val="000C7FC8"/>
    <w:rsid w:val="000D003D"/>
    <w:rsid w:val="000D00CB"/>
    <w:rsid w:val="000D0295"/>
    <w:rsid w:val="000D0448"/>
    <w:rsid w:val="000D056F"/>
    <w:rsid w:val="000D1085"/>
    <w:rsid w:val="000D1504"/>
    <w:rsid w:val="000D1674"/>
    <w:rsid w:val="000D1868"/>
    <w:rsid w:val="000D1DFA"/>
    <w:rsid w:val="000D2706"/>
    <w:rsid w:val="000D29E8"/>
    <w:rsid w:val="000D300B"/>
    <w:rsid w:val="000D3E57"/>
    <w:rsid w:val="000D4104"/>
    <w:rsid w:val="000D41CA"/>
    <w:rsid w:val="000D44BB"/>
    <w:rsid w:val="000D4735"/>
    <w:rsid w:val="000D558A"/>
    <w:rsid w:val="000D63EE"/>
    <w:rsid w:val="000D66DE"/>
    <w:rsid w:val="000D6C85"/>
    <w:rsid w:val="000D6D11"/>
    <w:rsid w:val="000D6F50"/>
    <w:rsid w:val="000D7132"/>
    <w:rsid w:val="000D7498"/>
    <w:rsid w:val="000D753F"/>
    <w:rsid w:val="000D7610"/>
    <w:rsid w:val="000D7960"/>
    <w:rsid w:val="000D7966"/>
    <w:rsid w:val="000D7DAE"/>
    <w:rsid w:val="000D7DC1"/>
    <w:rsid w:val="000E0190"/>
    <w:rsid w:val="000E078F"/>
    <w:rsid w:val="000E0D6D"/>
    <w:rsid w:val="000E0F88"/>
    <w:rsid w:val="000E1A06"/>
    <w:rsid w:val="000E1D91"/>
    <w:rsid w:val="000E1F04"/>
    <w:rsid w:val="000E2CDF"/>
    <w:rsid w:val="000E36E6"/>
    <w:rsid w:val="000E3D80"/>
    <w:rsid w:val="000E41A3"/>
    <w:rsid w:val="000E4268"/>
    <w:rsid w:val="000E4DFA"/>
    <w:rsid w:val="000E4E9D"/>
    <w:rsid w:val="000E51DA"/>
    <w:rsid w:val="000E69EC"/>
    <w:rsid w:val="000E6CDC"/>
    <w:rsid w:val="000E6E12"/>
    <w:rsid w:val="000E7580"/>
    <w:rsid w:val="000E7675"/>
    <w:rsid w:val="000E7757"/>
    <w:rsid w:val="000E79A5"/>
    <w:rsid w:val="000E7AB3"/>
    <w:rsid w:val="000E7B84"/>
    <w:rsid w:val="000E7F6E"/>
    <w:rsid w:val="000F09A2"/>
    <w:rsid w:val="000F0DC1"/>
    <w:rsid w:val="000F0EE8"/>
    <w:rsid w:val="000F1980"/>
    <w:rsid w:val="000F1C3C"/>
    <w:rsid w:val="000F2095"/>
    <w:rsid w:val="000F20ED"/>
    <w:rsid w:val="000F2225"/>
    <w:rsid w:val="000F274A"/>
    <w:rsid w:val="000F2E0F"/>
    <w:rsid w:val="000F37AC"/>
    <w:rsid w:val="000F37BE"/>
    <w:rsid w:val="000F39BA"/>
    <w:rsid w:val="000F3CC3"/>
    <w:rsid w:val="000F4BF7"/>
    <w:rsid w:val="000F54D4"/>
    <w:rsid w:val="000F58C1"/>
    <w:rsid w:val="000F6577"/>
    <w:rsid w:val="000F6589"/>
    <w:rsid w:val="000F69DA"/>
    <w:rsid w:val="000F6B77"/>
    <w:rsid w:val="000F71E6"/>
    <w:rsid w:val="000F7D32"/>
    <w:rsid w:val="0010005B"/>
    <w:rsid w:val="00100669"/>
    <w:rsid w:val="00100A3E"/>
    <w:rsid w:val="00101067"/>
    <w:rsid w:val="00101712"/>
    <w:rsid w:val="001019EE"/>
    <w:rsid w:val="001020B7"/>
    <w:rsid w:val="001021A5"/>
    <w:rsid w:val="00102288"/>
    <w:rsid w:val="00102338"/>
    <w:rsid w:val="00102B01"/>
    <w:rsid w:val="001039AE"/>
    <w:rsid w:val="00103DD2"/>
    <w:rsid w:val="001055B5"/>
    <w:rsid w:val="0010576D"/>
    <w:rsid w:val="001059F0"/>
    <w:rsid w:val="00105B90"/>
    <w:rsid w:val="00106509"/>
    <w:rsid w:val="001068E9"/>
    <w:rsid w:val="00106AFA"/>
    <w:rsid w:val="00106BB0"/>
    <w:rsid w:val="00106D56"/>
    <w:rsid w:val="00106F37"/>
    <w:rsid w:val="00107233"/>
    <w:rsid w:val="0010738C"/>
    <w:rsid w:val="0011050B"/>
    <w:rsid w:val="00110634"/>
    <w:rsid w:val="00110785"/>
    <w:rsid w:val="00110D31"/>
    <w:rsid w:val="00111409"/>
    <w:rsid w:val="001120F9"/>
    <w:rsid w:val="00112919"/>
    <w:rsid w:val="0011304F"/>
    <w:rsid w:val="00113E49"/>
    <w:rsid w:val="00113F7E"/>
    <w:rsid w:val="001140AA"/>
    <w:rsid w:val="00114683"/>
    <w:rsid w:val="00114B79"/>
    <w:rsid w:val="00114DBD"/>
    <w:rsid w:val="0011537B"/>
    <w:rsid w:val="00115F4E"/>
    <w:rsid w:val="0011615E"/>
    <w:rsid w:val="001165C9"/>
    <w:rsid w:val="00116BED"/>
    <w:rsid w:val="00117415"/>
    <w:rsid w:val="0011777D"/>
    <w:rsid w:val="00117B9D"/>
    <w:rsid w:val="00117C2B"/>
    <w:rsid w:val="00117E3B"/>
    <w:rsid w:val="00120F79"/>
    <w:rsid w:val="001210D6"/>
    <w:rsid w:val="00121B30"/>
    <w:rsid w:val="00121BEB"/>
    <w:rsid w:val="00121D52"/>
    <w:rsid w:val="00121EF8"/>
    <w:rsid w:val="001229A1"/>
    <w:rsid w:val="001232B1"/>
    <w:rsid w:val="001233EE"/>
    <w:rsid w:val="001235C7"/>
    <w:rsid w:val="0012377C"/>
    <w:rsid w:val="00123858"/>
    <w:rsid w:val="00123FC2"/>
    <w:rsid w:val="00124C9C"/>
    <w:rsid w:val="00125504"/>
    <w:rsid w:val="001258D3"/>
    <w:rsid w:val="00125CF2"/>
    <w:rsid w:val="001261CD"/>
    <w:rsid w:val="001264C3"/>
    <w:rsid w:val="00126A8C"/>
    <w:rsid w:val="00126CCD"/>
    <w:rsid w:val="00126E14"/>
    <w:rsid w:val="0012713D"/>
    <w:rsid w:val="001271E1"/>
    <w:rsid w:val="00127736"/>
    <w:rsid w:val="0013065E"/>
    <w:rsid w:val="00130BBF"/>
    <w:rsid w:val="0013116A"/>
    <w:rsid w:val="001311DB"/>
    <w:rsid w:val="001319A6"/>
    <w:rsid w:val="0013206E"/>
    <w:rsid w:val="001329BC"/>
    <w:rsid w:val="00132B69"/>
    <w:rsid w:val="001330D4"/>
    <w:rsid w:val="001331F5"/>
    <w:rsid w:val="0013339F"/>
    <w:rsid w:val="0013344F"/>
    <w:rsid w:val="0013438B"/>
    <w:rsid w:val="001346B9"/>
    <w:rsid w:val="0013471B"/>
    <w:rsid w:val="001347F1"/>
    <w:rsid w:val="00134893"/>
    <w:rsid w:val="00134C91"/>
    <w:rsid w:val="00135CE6"/>
    <w:rsid w:val="00136021"/>
    <w:rsid w:val="001364B7"/>
    <w:rsid w:val="00136AC9"/>
    <w:rsid w:val="00137968"/>
    <w:rsid w:val="0014057A"/>
    <w:rsid w:val="00140B45"/>
    <w:rsid w:val="00140ED3"/>
    <w:rsid w:val="001415C6"/>
    <w:rsid w:val="001416ED"/>
    <w:rsid w:val="00141A8D"/>
    <w:rsid w:val="00141EA7"/>
    <w:rsid w:val="00143420"/>
    <w:rsid w:val="00143683"/>
    <w:rsid w:val="00143A93"/>
    <w:rsid w:val="0014400A"/>
    <w:rsid w:val="0014429A"/>
    <w:rsid w:val="0014464A"/>
    <w:rsid w:val="00144AC3"/>
    <w:rsid w:val="00144ADD"/>
    <w:rsid w:val="0014545D"/>
    <w:rsid w:val="00145AE6"/>
    <w:rsid w:val="0014606E"/>
    <w:rsid w:val="00146EF1"/>
    <w:rsid w:val="001471FE"/>
    <w:rsid w:val="0014795B"/>
    <w:rsid w:val="00150119"/>
    <w:rsid w:val="00150538"/>
    <w:rsid w:val="001508F1"/>
    <w:rsid w:val="00150A52"/>
    <w:rsid w:val="00150AD3"/>
    <w:rsid w:val="00150D3F"/>
    <w:rsid w:val="00150E8F"/>
    <w:rsid w:val="00151106"/>
    <w:rsid w:val="0015119F"/>
    <w:rsid w:val="001516B9"/>
    <w:rsid w:val="00151AA2"/>
    <w:rsid w:val="00151FBD"/>
    <w:rsid w:val="00152574"/>
    <w:rsid w:val="001527CA"/>
    <w:rsid w:val="00152A4E"/>
    <w:rsid w:val="00152C12"/>
    <w:rsid w:val="00152C19"/>
    <w:rsid w:val="00153213"/>
    <w:rsid w:val="00153289"/>
    <w:rsid w:val="0015340B"/>
    <w:rsid w:val="00153567"/>
    <w:rsid w:val="00153651"/>
    <w:rsid w:val="00153974"/>
    <w:rsid w:val="00153CD9"/>
    <w:rsid w:val="00154177"/>
    <w:rsid w:val="00154738"/>
    <w:rsid w:val="00154CD0"/>
    <w:rsid w:val="00154DC7"/>
    <w:rsid w:val="00154F97"/>
    <w:rsid w:val="0015518D"/>
    <w:rsid w:val="00155907"/>
    <w:rsid w:val="00156016"/>
    <w:rsid w:val="00156243"/>
    <w:rsid w:val="00156B98"/>
    <w:rsid w:val="00156DBF"/>
    <w:rsid w:val="0016010B"/>
    <w:rsid w:val="00160379"/>
    <w:rsid w:val="001608D6"/>
    <w:rsid w:val="00160AB3"/>
    <w:rsid w:val="001613B3"/>
    <w:rsid w:val="00161889"/>
    <w:rsid w:val="00161C4F"/>
    <w:rsid w:val="00161EAE"/>
    <w:rsid w:val="00162D3A"/>
    <w:rsid w:val="00163549"/>
    <w:rsid w:val="001637D4"/>
    <w:rsid w:val="00163921"/>
    <w:rsid w:val="00163C2C"/>
    <w:rsid w:val="00163CE6"/>
    <w:rsid w:val="00164121"/>
    <w:rsid w:val="001643BE"/>
    <w:rsid w:val="00164499"/>
    <w:rsid w:val="00164614"/>
    <w:rsid w:val="001647FD"/>
    <w:rsid w:val="00164915"/>
    <w:rsid w:val="00164A0A"/>
    <w:rsid w:val="0016521C"/>
    <w:rsid w:val="0016592B"/>
    <w:rsid w:val="001662C8"/>
    <w:rsid w:val="001664A3"/>
    <w:rsid w:val="00166B23"/>
    <w:rsid w:val="00167464"/>
    <w:rsid w:val="00171197"/>
    <w:rsid w:val="0017228F"/>
    <w:rsid w:val="001724AD"/>
    <w:rsid w:val="0017257C"/>
    <w:rsid w:val="0017259C"/>
    <w:rsid w:val="00172A55"/>
    <w:rsid w:val="00172B87"/>
    <w:rsid w:val="00172C02"/>
    <w:rsid w:val="00172DE7"/>
    <w:rsid w:val="00173635"/>
    <w:rsid w:val="001737B4"/>
    <w:rsid w:val="00173BF6"/>
    <w:rsid w:val="00173D69"/>
    <w:rsid w:val="00174BB7"/>
    <w:rsid w:val="00174C45"/>
    <w:rsid w:val="00174C72"/>
    <w:rsid w:val="00174CC9"/>
    <w:rsid w:val="0017517E"/>
    <w:rsid w:val="00175918"/>
    <w:rsid w:val="00175BD3"/>
    <w:rsid w:val="001760F4"/>
    <w:rsid w:val="00176260"/>
    <w:rsid w:val="0017628C"/>
    <w:rsid w:val="00176759"/>
    <w:rsid w:val="00176AC1"/>
    <w:rsid w:val="00176BD1"/>
    <w:rsid w:val="00177B84"/>
    <w:rsid w:val="00177B9B"/>
    <w:rsid w:val="00177D18"/>
    <w:rsid w:val="0018069E"/>
    <w:rsid w:val="001809CE"/>
    <w:rsid w:val="00180D85"/>
    <w:rsid w:val="00181586"/>
    <w:rsid w:val="00181882"/>
    <w:rsid w:val="0018192E"/>
    <w:rsid w:val="00181AAC"/>
    <w:rsid w:val="0018202E"/>
    <w:rsid w:val="001823CC"/>
    <w:rsid w:val="0018244A"/>
    <w:rsid w:val="00182478"/>
    <w:rsid w:val="001827E1"/>
    <w:rsid w:val="00182866"/>
    <w:rsid w:val="0018299D"/>
    <w:rsid w:val="00182D50"/>
    <w:rsid w:val="00182E8B"/>
    <w:rsid w:val="00183DF3"/>
    <w:rsid w:val="0018406E"/>
    <w:rsid w:val="0018413D"/>
    <w:rsid w:val="00184926"/>
    <w:rsid w:val="00184974"/>
    <w:rsid w:val="001849EB"/>
    <w:rsid w:val="00185072"/>
    <w:rsid w:val="0018539C"/>
    <w:rsid w:val="00185AF8"/>
    <w:rsid w:val="00185C57"/>
    <w:rsid w:val="001862F3"/>
    <w:rsid w:val="00186A49"/>
    <w:rsid w:val="00186A78"/>
    <w:rsid w:val="00186AE7"/>
    <w:rsid w:val="0018703B"/>
    <w:rsid w:val="0018713E"/>
    <w:rsid w:val="00187615"/>
    <w:rsid w:val="001877C8"/>
    <w:rsid w:val="0018784E"/>
    <w:rsid w:val="001878E8"/>
    <w:rsid w:val="0019004E"/>
    <w:rsid w:val="00190573"/>
    <w:rsid w:val="001906EF"/>
    <w:rsid w:val="001909B3"/>
    <w:rsid w:val="0019155A"/>
    <w:rsid w:val="00191C63"/>
    <w:rsid w:val="00192172"/>
    <w:rsid w:val="00192F16"/>
    <w:rsid w:val="00193695"/>
    <w:rsid w:val="00193723"/>
    <w:rsid w:val="001938A7"/>
    <w:rsid w:val="00193944"/>
    <w:rsid w:val="00193EB4"/>
    <w:rsid w:val="00193EFE"/>
    <w:rsid w:val="001944A3"/>
    <w:rsid w:val="00194577"/>
    <w:rsid w:val="00194602"/>
    <w:rsid w:val="00194851"/>
    <w:rsid w:val="00194B1D"/>
    <w:rsid w:val="00194EF0"/>
    <w:rsid w:val="001953E5"/>
    <w:rsid w:val="00195425"/>
    <w:rsid w:val="001956B9"/>
    <w:rsid w:val="001959A6"/>
    <w:rsid w:val="00195C27"/>
    <w:rsid w:val="0019665C"/>
    <w:rsid w:val="00196B35"/>
    <w:rsid w:val="00196C86"/>
    <w:rsid w:val="00197322"/>
    <w:rsid w:val="00197CB3"/>
    <w:rsid w:val="001A0136"/>
    <w:rsid w:val="001A0296"/>
    <w:rsid w:val="001A09B8"/>
    <w:rsid w:val="001A0A8D"/>
    <w:rsid w:val="001A0CCE"/>
    <w:rsid w:val="001A0CD7"/>
    <w:rsid w:val="001A0ED1"/>
    <w:rsid w:val="001A0F13"/>
    <w:rsid w:val="001A215C"/>
    <w:rsid w:val="001A22EF"/>
    <w:rsid w:val="001A27BD"/>
    <w:rsid w:val="001A2A0C"/>
    <w:rsid w:val="001A2C1D"/>
    <w:rsid w:val="001A2CFB"/>
    <w:rsid w:val="001A3837"/>
    <w:rsid w:val="001A3B18"/>
    <w:rsid w:val="001A43D7"/>
    <w:rsid w:val="001A51D0"/>
    <w:rsid w:val="001A56A4"/>
    <w:rsid w:val="001A5718"/>
    <w:rsid w:val="001A597E"/>
    <w:rsid w:val="001A5AEA"/>
    <w:rsid w:val="001A5E76"/>
    <w:rsid w:val="001A5EBE"/>
    <w:rsid w:val="001A5F2C"/>
    <w:rsid w:val="001A6A36"/>
    <w:rsid w:val="001A6E8C"/>
    <w:rsid w:val="001A704B"/>
    <w:rsid w:val="001A7279"/>
    <w:rsid w:val="001A7C90"/>
    <w:rsid w:val="001A7EEC"/>
    <w:rsid w:val="001A7FE0"/>
    <w:rsid w:val="001B1203"/>
    <w:rsid w:val="001B145E"/>
    <w:rsid w:val="001B148F"/>
    <w:rsid w:val="001B1EF8"/>
    <w:rsid w:val="001B20A9"/>
    <w:rsid w:val="001B24A0"/>
    <w:rsid w:val="001B2533"/>
    <w:rsid w:val="001B2566"/>
    <w:rsid w:val="001B26E3"/>
    <w:rsid w:val="001B26EE"/>
    <w:rsid w:val="001B2B4E"/>
    <w:rsid w:val="001B3213"/>
    <w:rsid w:val="001B37E7"/>
    <w:rsid w:val="001B38E4"/>
    <w:rsid w:val="001B39C8"/>
    <w:rsid w:val="001B3BAD"/>
    <w:rsid w:val="001B3BD3"/>
    <w:rsid w:val="001B3C41"/>
    <w:rsid w:val="001B3F9B"/>
    <w:rsid w:val="001B4D64"/>
    <w:rsid w:val="001B588E"/>
    <w:rsid w:val="001B5C25"/>
    <w:rsid w:val="001B5E71"/>
    <w:rsid w:val="001B6099"/>
    <w:rsid w:val="001B67D9"/>
    <w:rsid w:val="001B6894"/>
    <w:rsid w:val="001B71C5"/>
    <w:rsid w:val="001B71C9"/>
    <w:rsid w:val="001B7282"/>
    <w:rsid w:val="001B742E"/>
    <w:rsid w:val="001B7D05"/>
    <w:rsid w:val="001C010E"/>
    <w:rsid w:val="001C0BA6"/>
    <w:rsid w:val="001C0E94"/>
    <w:rsid w:val="001C0ECC"/>
    <w:rsid w:val="001C13A9"/>
    <w:rsid w:val="001C1862"/>
    <w:rsid w:val="001C1A74"/>
    <w:rsid w:val="001C1DF0"/>
    <w:rsid w:val="001C219E"/>
    <w:rsid w:val="001C28CE"/>
    <w:rsid w:val="001C2A4A"/>
    <w:rsid w:val="001C2B7C"/>
    <w:rsid w:val="001C2EB6"/>
    <w:rsid w:val="001C30CF"/>
    <w:rsid w:val="001C31D5"/>
    <w:rsid w:val="001C3359"/>
    <w:rsid w:val="001C3888"/>
    <w:rsid w:val="001C3B13"/>
    <w:rsid w:val="001C3DC0"/>
    <w:rsid w:val="001C3F21"/>
    <w:rsid w:val="001C4223"/>
    <w:rsid w:val="001C4386"/>
    <w:rsid w:val="001C4591"/>
    <w:rsid w:val="001C4790"/>
    <w:rsid w:val="001C484D"/>
    <w:rsid w:val="001C4F31"/>
    <w:rsid w:val="001C53A1"/>
    <w:rsid w:val="001C56C8"/>
    <w:rsid w:val="001C5C78"/>
    <w:rsid w:val="001C5D09"/>
    <w:rsid w:val="001C6219"/>
    <w:rsid w:val="001C63E3"/>
    <w:rsid w:val="001C64F2"/>
    <w:rsid w:val="001C6DAD"/>
    <w:rsid w:val="001C6E60"/>
    <w:rsid w:val="001C6F4E"/>
    <w:rsid w:val="001C7109"/>
    <w:rsid w:val="001C78BA"/>
    <w:rsid w:val="001C7E6B"/>
    <w:rsid w:val="001C7E6F"/>
    <w:rsid w:val="001C7EE6"/>
    <w:rsid w:val="001D03A1"/>
    <w:rsid w:val="001D045A"/>
    <w:rsid w:val="001D072C"/>
    <w:rsid w:val="001D1D4E"/>
    <w:rsid w:val="001D2044"/>
    <w:rsid w:val="001D26A8"/>
    <w:rsid w:val="001D288B"/>
    <w:rsid w:val="001D2C7F"/>
    <w:rsid w:val="001D2C9E"/>
    <w:rsid w:val="001D3064"/>
    <w:rsid w:val="001D3632"/>
    <w:rsid w:val="001D3D1A"/>
    <w:rsid w:val="001D3E25"/>
    <w:rsid w:val="001D4074"/>
    <w:rsid w:val="001D41AB"/>
    <w:rsid w:val="001D44CE"/>
    <w:rsid w:val="001D4E84"/>
    <w:rsid w:val="001D5B6E"/>
    <w:rsid w:val="001D5B92"/>
    <w:rsid w:val="001D6DE8"/>
    <w:rsid w:val="001D6F72"/>
    <w:rsid w:val="001D757B"/>
    <w:rsid w:val="001D7650"/>
    <w:rsid w:val="001D77D0"/>
    <w:rsid w:val="001E019A"/>
    <w:rsid w:val="001E07A5"/>
    <w:rsid w:val="001E0B6B"/>
    <w:rsid w:val="001E0B95"/>
    <w:rsid w:val="001E0CB9"/>
    <w:rsid w:val="001E0F7B"/>
    <w:rsid w:val="001E126F"/>
    <w:rsid w:val="001E22E7"/>
    <w:rsid w:val="001E2459"/>
    <w:rsid w:val="001E24B2"/>
    <w:rsid w:val="001E24EB"/>
    <w:rsid w:val="001E2A43"/>
    <w:rsid w:val="001E2B11"/>
    <w:rsid w:val="001E3204"/>
    <w:rsid w:val="001E345F"/>
    <w:rsid w:val="001E3493"/>
    <w:rsid w:val="001E3AFA"/>
    <w:rsid w:val="001E3B54"/>
    <w:rsid w:val="001E3BDB"/>
    <w:rsid w:val="001E3E87"/>
    <w:rsid w:val="001E4086"/>
    <w:rsid w:val="001E4227"/>
    <w:rsid w:val="001E4A3C"/>
    <w:rsid w:val="001E4E8F"/>
    <w:rsid w:val="001E570D"/>
    <w:rsid w:val="001E5843"/>
    <w:rsid w:val="001E5DEB"/>
    <w:rsid w:val="001E600A"/>
    <w:rsid w:val="001E60BB"/>
    <w:rsid w:val="001E63B3"/>
    <w:rsid w:val="001E67D2"/>
    <w:rsid w:val="001E68B7"/>
    <w:rsid w:val="001E6CFE"/>
    <w:rsid w:val="001E6D42"/>
    <w:rsid w:val="001E6E86"/>
    <w:rsid w:val="001E70BC"/>
    <w:rsid w:val="001E77D6"/>
    <w:rsid w:val="001E796C"/>
    <w:rsid w:val="001E7B07"/>
    <w:rsid w:val="001F0074"/>
    <w:rsid w:val="001F0720"/>
    <w:rsid w:val="001F0ADB"/>
    <w:rsid w:val="001F0FD7"/>
    <w:rsid w:val="001F1306"/>
    <w:rsid w:val="001F1603"/>
    <w:rsid w:val="001F16DF"/>
    <w:rsid w:val="001F2191"/>
    <w:rsid w:val="001F2351"/>
    <w:rsid w:val="001F28A0"/>
    <w:rsid w:val="001F2E37"/>
    <w:rsid w:val="001F2EB6"/>
    <w:rsid w:val="001F32FF"/>
    <w:rsid w:val="001F3361"/>
    <w:rsid w:val="001F3404"/>
    <w:rsid w:val="001F37AD"/>
    <w:rsid w:val="001F3C20"/>
    <w:rsid w:val="001F3D2B"/>
    <w:rsid w:val="001F3D5D"/>
    <w:rsid w:val="001F3DC8"/>
    <w:rsid w:val="001F458C"/>
    <w:rsid w:val="001F4B97"/>
    <w:rsid w:val="001F5402"/>
    <w:rsid w:val="001F563F"/>
    <w:rsid w:val="001F584B"/>
    <w:rsid w:val="001F5860"/>
    <w:rsid w:val="001F587B"/>
    <w:rsid w:val="001F66F6"/>
    <w:rsid w:val="001F6A26"/>
    <w:rsid w:val="001F7CC6"/>
    <w:rsid w:val="001F7E84"/>
    <w:rsid w:val="001F7FAA"/>
    <w:rsid w:val="00200036"/>
    <w:rsid w:val="00200507"/>
    <w:rsid w:val="00200541"/>
    <w:rsid w:val="0020054A"/>
    <w:rsid w:val="00200AD5"/>
    <w:rsid w:val="00200C03"/>
    <w:rsid w:val="00201039"/>
    <w:rsid w:val="00201852"/>
    <w:rsid w:val="00201D5D"/>
    <w:rsid w:val="00202263"/>
    <w:rsid w:val="002027EF"/>
    <w:rsid w:val="0020285B"/>
    <w:rsid w:val="00202A4C"/>
    <w:rsid w:val="00203127"/>
    <w:rsid w:val="002032ED"/>
    <w:rsid w:val="00203801"/>
    <w:rsid w:val="00204442"/>
    <w:rsid w:val="00204816"/>
    <w:rsid w:val="00204A4D"/>
    <w:rsid w:val="00204D4F"/>
    <w:rsid w:val="00205C92"/>
    <w:rsid w:val="00205DB5"/>
    <w:rsid w:val="0020624A"/>
    <w:rsid w:val="002062F7"/>
    <w:rsid w:val="002065A2"/>
    <w:rsid w:val="0020676D"/>
    <w:rsid w:val="00206C8D"/>
    <w:rsid w:val="00206D4A"/>
    <w:rsid w:val="00206E62"/>
    <w:rsid w:val="00206F64"/>
    <w:rsid w:val="00207898"/>
    <w:rsid w:val="00207A83"/>
    <w:rsid w:val="00207FBD"/>
    <w:rsid w:val="002101B8"/>
    <w:rsid w:val="00210277"/>
    <w:rsid w:val="002102BE"/>
    <w:rsid w:val="00210393"/>
    <w:rsid w:val="002104DF"/>
    <w:rsid w:val="0021078A"/>
    <w:rsid w:val="0021097A"/>
    <w:rsid w:val="00210AAE"/>
    <w:rsid w:val="002111D3"/>
    <w:rsid w:val="0021165D"/>
    <w:rsid w:val="0021236B"/>
    <w:rsid w:val="00212C50"/>
    <w:rsid w:val="00212E2F"/>
    <w:rsid w:val="0021312D"/>
    <w:rsid w:val="00213A5C"/>
    <w:rsid w:val="00213AC1"/>
    <w:rsid w:val="002148E0"/>
    <w:rsid w:val="00214AC8"/>
    <w:rsid w:val="00214CC4"/>
    <w:rsid w:val="00214D29"/>
    <w:rsid w:val="00214DB0"/>
    <w:rsid w:val="00214EBB"/>
    <w:rsid w:val="002158FA"/>
    <w:rsid w:val="00216317"/>
    <w:rsid w:val="0021668E"/>
    <w:rsid w:val="002167D1"/>
    <w:rsid w:val="0021683F"/>
    <w:rsid w:val="00216C8F"/>
    <w:rsid w:val="00216F28"/>
    <w:rsid w:val="00217249"/>
    <w:rsid w:val="002172ED"/>
    <w:rsid w:val="00217447"/>
    <w:rsid w:val="00217632"/>
    <w:rsid w:val="00217B13"/>
    <w:rsid w:val="00217D05"/>
    <w:rsid w:val="0022013E"/>
    <w:rsid w:val="0022036B"/>
    <w:rsid w:val="002203E4"/>
    <w:rsid w:val="00220670"/>
    <w:rsid w:val="002207DC"/>
    <w:rsid w:val="0022084C"/>
    <w:rsid w:val="00220F50"/>
    <w:rsid w:val="00220F64"/>
    <w:rsid w:val="0022113A"/>
    <w:rsid w:val="00221269"/>
    <w:rsid w:val="002215CC"/>
    <w:rsid w:val="00223576"/>
    <w:rsid w:val="002239B3"/>
    <w:rsid w:val="002241A1"/>
    <w:rsid w:val="0022444E"/>
    <w:rsid w:val="0022460A"/>
    <w:rsid w:val="00224826"/>
    <w:rsid w:val="00224892"/>
    <w:rsid w:val="00224E8D"/>
    <w:rsid w:val="00224FA5"/>
    <w:rsid w:val="002250DC"/>
    <w:rsid w:val="00225A46"/>
    <w:rsid w:val="00225B60"/>
    <w:rsid w:val="00225D33"/>
    <w:rsid w:val="002262D1"/>
    <w:rsid w:val="00226462"/>
    <w:rsid w:val="0022658B"/>
    <w:rsid w:val="002267E3"/>
    <w:rsid w:val="0022686E"/>
    <w:rsid w:val="00226FCD"/>
    <w:rsid w:val="002271F0"/>
    <w:rsid w:val="002272B3"/>
    <w:rsid w:val="00227683"/>
    <w:rsid w:val="00227774"/>
    <w:rsid w:val="0023066F"/>
    <w:rsid w:val="0023099A"/>
    <w:rsid w:val="00230F7B"/>
    <w:rsid w:val="00231462"/>
    <w:rsid w:val="00232275"/>
    <w:rsid w:val="00232D5D"/>
    <w:rsid w:val="00232FF0"/>
    <w:rsid w:val="00233091"/>
    <w:rsid w:val="002333ED"/>
    <w:rsid w:val="00233D67"/>
    <w:rsid w:val="00234555"/>
    <w:rsid w:val="0023469A"/>
    <w:rsid w:val="00234768"/>
    <w:rsid w:val="002348A1"/>
    <w:rsid w:val="00234A21"/>
    <w:rsid w:val="00234B19"/>
    <w:rsid w:val="00234B88"/>
    <w:rsid w:val="00234D18"/>
    <w:rsid w:val="002354E2"/>
    <w:rsid w:val="00235B07"/>
    <w:rsid w:val="00235D0D"/>
    <w:rsid w:val="002364DD"/>
    <w:rsid w:val="00236DAF"/>
    <w:rsid w:val="00236E18"/>
    <w:rsid w:val="002377C9"/>
    <w:rsid w:val="002378C6"/>
    <w:rsid w:val="00237A88"/>
    <w:rsid w:val="00237EB7"/>
    <w:rsid w:val="00240297"/>
    <w:rsid w:val="0024041A"/>
    <w:rsid w:val="002409D8"/>
    <w:rsid w:val="00240F41"/>
    <w:rsid w:val="00241945"/>
    <w:rsid w:val="00241A06"/>
    <w:rsid w:val="00241B1A"/>
    <w:rsid w:val="00241B8F"/>
    <w:rsid w:val="00241EDE"/>
    <w:rsid w:val="0024266C"/>
    <w:rsid w:val="00242705"/>
    <w:rsid w:val="00242AD3"/>
    <w:rsid w:val="00242F3E"/>
    <w:rsid w:val="00243017"/>
    <w:rsid w:val="002430DE"/>
    <w:rsid w:val="00243D56"/>
    <w:rsid w:val="00244119"/>
    <w:rsid w:val="00244139"/>
    <w:rsid w:val="002443B6"/>
    <w:rsid w:val="002446B5"/>
    <w:rsid w:val="002459E0"/>
    <w:rsid w:val="0024605C"/>
    <w:rsid w:val="00246148"/>
    <w:rsid w:val="0024649D"/>
    <w:rsid w:val="0024708F"/>
    <w:rsid w:val="0024717F"/>
    <w:rsid w:val="00250876"/>
    <w:rsid w:val="00250BCD"/>
    <w:rsid w:val="00250C58"/>
    <w:rsid w:val="00250C7D"/>
    <w:rsid w:val="002518E1"/>
    <w:rsid w:val="00252095"/>
    <w:rsid w:val="00253467"/>
    <w:rsid w:val="00253792"/>
    <w:rsid w:val="00253841"/>
    <w:rsid w:val="002538C2"/>
    <w:rsid w:val="002539E0"/>
    <w:rsid w:val="00253AB5"/>
    <w:rsid w:val="00253E49"/>
    <w:rsid w:val="00253FF7"/>
    <w:rsid w:val="00254B34"/>
    <w:rsid w:val="00254C72"/>
    <w:rsid w:val="0025526D"/>
    <w:rsid w:val="0025531C"/>
    <w:rsid w:val="0025536F"/>
    <w:rsid w:val="00255BF5"/>
    <w:rsid w:val="00255CCD"/>
    <w:rsid w:val="00255E81"/>
    <w:rsid w:val="00256971"/>
    <w:rsid w:val="00256A7E"/>
    <w:rsid w:val="00257701"/>
    <w:rsid w:val="00260010"/>
    <w:rsid w:val="00260048"/>
    <w:rsid w:val="002600F7"/>
    <w:rsid w:val="00260AD7"/>
    <w:rsid w:val="00260C09"/>
    <w:rsid w:val="00260F10"/>
    <w:rsid w:val="00261083"/>
    <w:rsid w:val="00261617"/>
    <w:rsid w:val="0026219B"/>
    <w:rsid w:val="00262A16"/>
    <w:rsid w:val="002638BD"/>
    <w:rsid w:val="00263EAF"/>
    <w:rsid w:val="00263EEA"/>
    <w:rsid w:val="00263FBE"/>
    <w:rsid w:val="00264382"/>
    <w:rsid w:val="002645F7"/>
    <w:rsid w:val="0026514F"/>
    <w:rsid w:val="00265374"/>
    <w:rsid w:val="00265887"/>
    <w:rsid w:val="002658EB"/>
    <w:rsid w:val="00265A0F"/>
    <w:rsid w:val="00265BB0"/>
    <w:rsid w:val="00267E9D"/>
    <w:rsid w:val="002700C9"/>
    <w:rsid w:val="002700D8"/>
    <w:rsid w:val="00270123"/>
    <w:rsid w:val="002719D8"/>
    <w:rsid w:val="00271A61"/>
    <w:rsid w:val="00271AC5"/>
    <w:rsid w:val="00271EBA"/>
    <w:rsid w:val="002722A8"/>
    <w:rsid w:val="00272366"/>
    <w:rsid w:val="00272449"/>
    <w:rsid w:val="0027292F"/>
    <w:rsid w:val="00272D9D"/>
    <w:rsid w:val="00272DD3"/>
    <w:rsid w:val="00273123"/>
    <w:rsid w:val="002738B6"/>
    <w:rsid w:val="00273995"/>
    <w:rsid w:val="00274288"/>
    <w:rsid w:val="00274382"/>
    <w:rsid w:val="00274907"/>
    <w:rsid w:val="00274FFE"/>
    <w:rsid w:val="002754FF"/>
    <w:rsid w:val="00275782"/>
    <w:rsid w:val="00275988"/>
    <w:rsid w:val="00275A84"/>
    <w:rsid w:val="00276333"/>
    <w:rsid w:val="00276CED"/>
    <w:rsid w:val="00276E66"/>
    <w:rsid w:val="0027751B"/>
    <w:rsid w:val="00277F5F"/>
    <w:rsid w:val="00280005"/>
    <w:rsid w:val="00280266"/>
    <w:rsid w:val="00280755"/>
    <w:rsid w:val="00280908"/>
    <w:rsid w:val="00280C35"/>
    <w:rsid w:val="00281000"/>
    <w:rsid w:val="0028133C"/>
    <w:rsid w:val="002813F3"/>
    <w:rsid w:val="002815D9"/>
    <w:rsid w:val="00281BC1"/>
    <w:rsid w:val="002828BC"/>
    <w:rsid w:val="00282E3F"/>
    <w:rsid w:val="00283506"/>
    <w:rsid w:val="00283675"/>
    <w:rsid w:val="00283D18"/>
    <w:rsid w:val="0028461F"/>
    <w:rsid w:val="0028517D"/>
    <w:rsid w:val="002866E4"/>
    <w:rsid w:val="002868A3"/>
    <w:rsid w:val="00287104"/>
    <w:rsid w:val="002903F5"/>
    <w:rsid w:val="00290A9D"/>
    <w:rsid w:val="00290B30"/>
    <w:rsid w:val="00290E64"/>
    <w:rsid w:val="00291277"/>
    <w:rsid w:val="00291650"/>
    <w:rsid w:val="00291E00"/>
    <w:rsid w:val="00292824"/>
    <w:rsid w:val="002929D9"/>
    <w:rsid w:val="00292C4B"/>
    <w:rsid w:val="00293254"/>
    <w:rsid w:val="0029339E"/>
    <w:rsid w:val="00293CC2"/>
    <w:rsid w:val="00294329"/>
    <w:rsid w:val="00294381"/>
    <w:rsid w:val="00295442"/>
    <w:rsid w:val="002957D1"/>
    <w:rsid w:val="00295C23"/>
    <w:rsid w:val="00296235"/>
    <w:rsid w:val="002968EE"/>
    <w:rsid w:val="00296EB6"/>
    <w:rsid w:val="00296F3F"/>
    <w:rsid w:val="002976BB"/>
    <w:rsid w:val="0029781F"/>
    <w:rsid w:val="00297A9B"/>
    <w:rsid w:val="00297D33"/>
    <w:rsid w:val="002A0101"/>
    <w:rsid w:val="002A0630"/>
    <w:rsid w:val="002A0E77"/>
    <w:rsid w:val="002A1261"/>
    <w:rsid w:val="002A17FA"/>
    <w:rsid w:val="002A192D"/>
    <w:rsid w:val="002A1DBF"/>
    <w:rsid w:val="002A1DFA"/>
    <w:rsid w:val="002A26E2"/>
    <w:rsid w:val="002A2808"/>
    <w:rsid w:val="002A3CB1"/>
    <w:rsid w:val="002A3F9E"/>
    <w:rsid w:val="002A4685"/>
    <w:rsid w:val="002A491E"/>
    <w:rsid w:val="002A4ACE"/>
    <w:rsid w:val="002A4D32"/>
    <w:rsid w:val="002A4F65"/>
    <w:rsid w:val="002A4FBF"/>
    <w:rsid w:val="002A50F5"/>
    <w:rsid w:val="002A5347"/>
    <w:rsid w:val="002A5FAB"/>
    <w:rsid w:val="002A64ED"/>
    <w:rsid w:val="002A6DAC"/>
    <w:rsid w:val="002A6E8B"/>
    <w:rsid w:val="002A719C"/>
    <w:rsid w:val="002A7A72"/>
    <w:rsid w:val="002B0593"/>
    <w:rsid w:val="002B0914"/>
    <w:rsid w:val="002B0B9A"/>
    <w:rsid w:val="002B0C18"/>
    <w:rsid w:val="002B1620"/>
    <w:rsid w:val="002B1886"/>
    <w:rsid w:val="002B2198"/>
    <w:rsid w:val="002B2B61"/>
    <w:rsid w:val="002B2F5B"/>
    <w:rsid w:val="002B31A6"/>
    <w:rsid w:val="002B31CB"/>
    <w:rsid w:val="002B3690"/>
    <w:rsid w:val="002B36D9"/>
    <w:rsid w:val="002B36DF"/>
    <w:rsid w:val="002B3BC4"/>
    <w:rsid w:val="002B3FC1"/>
    <w:rsid w:val="002B412C"/>
    <w:rsid w:val="002B456E"/>
    <w:rsid w:val="002B4C31"/>
    <w:rsid w:val="002B4FDF"/>
    <w:rsid w:val="002B5685"/>
    <w:rsid w:val="002B595B"/>
    <w:rsid w:val="002B72E5"/>
    <w:rsid w:val="002B747A"/>
    <w:rsid w:val="002B7601"/>
    <w:rsid w:val="002B7619"/>
    <w:rsid w:val="002C1492"/>
    <w:rsid w:val="002C198F"/>
    <w:rsid w:val="002C1CA0"/>
    <w:rsid w:val="002C2107"/>
    <w:rsid w:val="002C22DE"/>
    <w:rsid w:val="002C2727"/>
    <w:rsid w:val="002C2A14"/>
    <w:rsid w:val="002C2B95"/>
    <w:rsid w:val="002C2D46"/>
    <w:rsid w:val="002C2E39"/>
    <w:rsid w:val="002C2EF0"/>
    <w:rsid w:val="002C3900"/>
    <w:rsid w:val="002C3940"/>
    <w:rsid w:val="002C3CA4"/>
    <w:rsid w:val="002C3FF0"/>
    <w:rsid w:val="002C3FFC"/>
    <w:rsid w:val="002C5061"/>
    <w:rsid w:val="002C50C4"/>
    <w:rsid w:val="002C5101"/>
    <w:rsid w:val="002C518D"/>
    <w:rsid w:val="002C54E9"/>
    <w:rsid w:val="002C556C"/>
    <w:rsid w:val="002C5952"/>
    <w:rsid w:val="002C59AD"/>
    <w:rsid w:val="002C5CD7"/>
    <w:rsid w:val="002C5D67"/>
    <w:rsid w:val="002C5F81"/>
    <w:rsid w:val="002C6D5F"/>
    <w:rsid w:val="002C708C"/>
    <w:rsid w:val="002C72C9"/>
    <w:rsid w:val="002C7847"/>
    <w:rsid w:val="002D04C4"/>
    <w:rsid w:val="002D04CC"/>
    <w:rsid w:val="002D12ED"/>
    <w:rsid w:val="002D135D"/>
    <w:rsid w:val="002D13C0"/>
    <w:rsid w:val="002D16C8"/>
    <w:rsid w:val="002D2313"/>
    <w:rsid w:val="002D235E"/>
    <w:rsid w:val="002D2A3C"/>
    <w:rsid w:val="002D3071"/>
    <w:rsid w:val="002D31BE"/>
    <w:rsid w:val="002D360E"/>
    <w:rsid w:val="002D3E1D"/>
    <w:rsid w:val="002D4069"/>
    <w:rsid w:val="002D4160"/>
    <w:rsid w:val="002D461E"/>
    <w:rsid w:val="002D48C4"/>
    <w:rsid w:val="002D4B2A"/>
    <w:rsid w:val="002D4E0A"/>
    <w:rsid w:val="002D4ED0"/>
    <w:rsid w:val="002D5464"/>
    <w:rsid w:val="002D5549"/>
    <w:rsid w:val="002D58D9"/>
    <w:rsid w:val="002D5A0E"/>
    <w:rsid w:val="002D6238"/>
    <w:rsid w:val="002D6269"/>
    <w:rsid w:val="002D6293"/>
    <w:rsid w:val="002D6574"/>
    <w:rsid w:val="002D659B"/>
    <w:rsid w:val="002D7082"/>
    <w:rsid w:val="002D77D1"/>
    <w:rsid w:val="002D7E7A"/>
    <w:rsid w:val="002E0209"/>
    <w:rsid w:val="002E05B0"/>
    <w:rsid w:val="002E07A5"/>
    <w:rsid w:val="002E08C5"/>
    <w:rsid w:val="002E126F"/>
    <w:rsid w:val="002E1D36"/>
    <w:rsid w:val="002E35C1"/>
    <w:rsid w:val="002E3A15"/>
    <w:rsid w:val="002E3E5A"/>
    <w:rsid w:val="002E3FF8"/>
    <w:rsid w:val="002E4091"/>
    <w:rsid w:val="002E4B60"/>
    <w:rsid w:val="002E4E20"/>
    <w:rsid w:val="002E5F87"/>
    <w:rsid w:val="002E64EF"/>
    <w:rsid w:val="002E688B"/>
    <w:rsid w:val="002E6CA5"/>
    <w:rsid w:val="002E6DB8"/>
    <w:rsid w:val="002E7645"/>
    <w:rsid w:val="002E774D"/>
    <w:rsid w:val="002F01F9"/>
    <w:rsid w:val="002F033F"/>
    <w:rsid w:val="002F065A"/>
    <w:rsid w:val="002F0CE8"/>
    <w:rsid w:val="002F14D2"/>
    <w:rsid w:val="002F151B"/>
    <w:rsid w:val="002F169B"/>
    <w:rsid w:val="002F1711"/>
    <w:rsid w:val="002F1E54"/>
    <w:rsid w:val="002F2119"/>
    <w:rsid w:val="002F261D"/>
    <w:rsid w:val="002F262D"/>
    <w:rsid w:val="002F2AAF"/>
    <w:rsid w:val="002F3820"/>
    <w:rsid w:val="002F3977"/>
    <w:rsid w:val="002F398E"/>
    <w:rsid w:val="002F3E50"/>
    <w:rsid w:val="002F3EC0"/>
    <w:rsid w:val="002F3F49"/>
    <w:rsid w:val="002F3FD5"/>
    <w:rsid w:val="002F40AD"/>
    <w:rsid w:val="002F460C"/>
    <w:rsid w:val="002F4E59"/>
    <w:rsid w:val="002F4FD4"/>
    <w:rsid w:val="002F5121"/>
    <w:rsid w:val="002F52A8"/>
    <w:rsid w:val="002F5A1B"/>
    <w:rsid w:val="002F5B0F"/>
    <w:rsid w:val="002F5EB0"/>
    <w:rsid w:val="002F5F47"/>
    <w:rsid w:val="002F623D"/>
    <w:rsid w:val="002F638B"/>
    <w:rsid w:val="002F6767"/>
    <w:rsid w:val="002F6771"/>
    <w:rsid w:val="002F6C3D"/>
    <w:rsid w:val="002F6C42"/>
    <w:rsid w:val="002F6CDB"/>
    <w:rsid w:val="002F6CEA"/>
    <w:rsid w:val="002F7128"/>
    <w:rsid w:val="002F71CF"/>
    <w:rsid w:val="002F73CB"/>
    <w:rsid w:val="002F7533"/>
    <w:rsid w:val="002F7622"/>
    <w:rsid w:val="002F76EA"/>
    <w:rsid w:val="002F7895"/>
    <w:rsid w:val="002F7F69"/>
    <w:rsid w:val="003003A6"/>
    <w:rsid w:val="0030072C"/>
    <w:rsid w:val="00300A37"/>
    <w:rsid w:val="00300A80"/>
    <w:rsid w:val="00301364"/>
    <w:rsid w:val="00302ECE"/>
    <w:rsid w:val="003031D4"/>
    <w:rsid w:val="0030347C"/>
    <w:rsid w:val="00303B5E"/>
    <w:rsid w:val="00303C83"/>
    <w:rsid w:val="003043AB"/>
    <w:rsid w:val="0030552A"/>
    <w:rsid w:val="003055B9"/>
    <w:rsid w:val="003058BA"/>
    <w:rsid w:val="00305A64"/>
    <w:rsid w:val="00305D58"/>
    <w:rsid w:val="00305E62"/>
    <w:rsid w:val="003063CA"/>
    <w:rsid w:val="00306592"/>
    <w:rsid w:val="00306AAD"/>
    <w:rsid w:val="00306F41"/>
    <w:rsid w:val="003071DB"/>
    <w:rsid w:val="003072F0"/>
    <w:rsid w:val="0030732B"/>
    <w:rsid w:val="00307506"/>
    <w:rsid w:val="0030783D"/>
    <w:rsid w:val="00307EDB"/>
    <w:rsid w:val="003103F7"/>
    <w:rsid w:val="003107D7"/>
    <w:rsid w:val="00310848"/>
    <w:rsid w:val="00310ACC"/>
    <w:rsid w:val="0031157B"/>
    <w:rsid w:val="00311589"/>
    <w:rsid w:val="00311987"/>
    <w:rsid w:val="003119D1"/>
    <w:rsid w:val="00311AFB"/>
    <w:rsid w:val="00311E34"/>
    <w:rsid w:val="00312457"/>
    <w:rsid w:val="0031258B"/>
    <w:rsid w:val="0031268F"/>
    <w:rsid w:val="003133DC"/>
    <w:rsid w:val="0031391B"/>
    <w:rsid w:val="00313B92"/>
    <w:rsid w:val="00314372"/>
    <w:rsid w:val="003149F0"/>
    <w:rsid w:val="003152B4"/>
    <w:rsid w:val="0031566C"/>
    <w:rsid w:val="00315A86"/>
    <w:rsid w:val="00315F13"/>
    <w:rsid w:val="0031606D"/>
    <w:rsid w:val="00316818"/>
    <w:rsid w:val="00316D21"/>
    <w:rsid w:val="003171C1"/>
    <w:rsid w:val="00317229"/>
    <w:rsid w:val="00317400"/>
    <w:rsid w:val="00317539"/>
    <w:rsid w:val="00317959"/>
    <w:rsid w:val="00317B8B"/>
    <w:rsid w:val="00317CD3"/>
    <w:rsid w:val="00317E6D"/>
    <w:rsid w:val="00320341"/>
    <w:rsid w:val="00320503"/>
    <w:rsid w:val="003207A1"/>
    <w:rsid w:val="0032093E"/>
    <w:rsid w:val="00320F9F"/>
    <w:rsid w:val="003213E5"/>
    <w:rsid w:val="0032149E"/>
    <w:rsid w:val="003214E9"/>
    <w:rsid w:val="00321580"/>
    <w:rsid w:val="003219BC"/>
    <w:rsid w:val="00321A4D"/>
    <w:rsid w:val="00321CAC"/>
    <w:rsid w:val="0032268B"/>
    <w:rsid w:val="00322875"/>
    <w:rsid w:val="003228FF"/>
    <w:rsid w:val="00323769"/>
    <w:rsid w:val="00323805"/>
    <w:rsid w:val="00323B64"/>
    <w:rsid w:val="0032430E"/>
    <w:rsid w:val="0032439F"/>
    <w:rsid w:val="003249B1"/>
    <w:rsid w:val="00324D8E"/>
    <w:rsid w:val="00325384"/>
    <w:rsid w:val="00325985"/>
    <w:rsid w:val="00325E96"/>
    <w:rsid w:val="00325EAE"/>
    <w:rsid w:val="003262D2"/>
    <w:rsid w:val="00326B55"/>
    <w:rsid w:val="00327040"/>
    <w:rsid w:val="00327571"/>
    <w:rsid w:val="003276E4"/>
    <w:rsid w:val="00327702"/>
    <w:rsid w:val="00327E3A"/>
    <w:rsid w:val="00327ED7"/>
    <w:rsid w:val="00330043"/>
    <w:rsid w:val="00330E5D"/>
    <w:rsid w:val="003312A7"/>
    <w:rsid w:val="003313A2"/>
    <w:rsid w:val="00331C78"/>
    <w:rsid w:val="003321C7"/>
    <w:rsid w:val="003322E0"/>
    <w:rsid w:val="00332AF6"/>
    <w:rsid w:val="00332B1E"/>
    <w:rsid w:val="00332B77"/>
    <w:rsid w:val="00332F7C"/>
    <w:rsid w:val="003334BE"/>
    <w:rsid w:val="0033353B"/>
    <w:rsid w:val="0033361D"/>
    <w:rsid w:val="003337CB"/>
    <w:rsid w:val="00334014"/>
    <w:rsid w:val="003340A1"/>
    <w:rsid w:val="003347AB"/>
    <w:rsid w:val="00334ABD"/>
    <w:rsid w:val="00334DF0"/>
    <w:rsid w:val="00334EDC"/>
    <w:rsid w:val="00334EE5"/>
    <w:rsid w:val="003350C1"/>
    <w:rsid w:val="0033510D"/>
    <w:rsid w:val="003351C1"/>
    <w:rsid w:val="003355AC"/>
    <w:rsid w:val="003355F7"/>
    <w:rsid w:val="00335DD8"/>
    <w:rsid w:val="00335ED2"/>
    <w:rsid w:val="003363EA"/>
    <w:rsid w:val="00336D7D"/>
    <w:rsid w:val="00336D85"/>
    <w:rsid w:val="003373A0"/>
    <w:rsid w:val="0033742F"/>
    <w:rsid w:val="0033778B"/>
    <w:rsid w:val="00337D22"/>
    <w:rsid w:val="00337ECD"/>
    <w:rsid w:val="00340382"/>
    <w:rsid w:val="00340410"/>
    <w:rsid w:val="00340455"/>
    <w:rsid w:val="0034046D"/>
    <w:rsid w:val="00340679"/>
    <w:rsid w:val="00340732"/>
    <w:rsid w:val="00340B2F"/>
    <w:rsid w:val="00340E82"/>
    <w:rsid w:val="003412BC"/>
    <w:rsid w:val="003412D4"/>
    <w:rsid w:val="003417E6"/>
    <w:rsid w:val="00341E52"/>
    <w:rsid w:val="00341EF7"/>
    <w:rsid w:val="0034208D"/>
    <w:rsid w:val="0034221F"/>
    <w:rsid w:val="003423B4"/>
    <w:rsid w:val="00343152"/>
    <w:rsid w:val="00343589"/>
    <w:rsid w:val="003438D2"/>
    <w:rsid w:val="00343919"/>
    <w:rsid w:val="003439E3"/>
    <w:rsid w:val="00343AD9"/>
    <w:rsid w:val="003441D9"/>
    <w:rsid w:val="003443E2"/>
    <w:rsid w:val="003446DD"/>
    <w:rsid w:val="003458BB"/>
    <w:rsid w:val="00345A16"/>
    <w:rsid w:val="003462E7"/>
    <w:rsid w:val="00346D8C"/>
    <w:rsid w:val="00346E2E"/>
    <w:rsid w:val="00346ED2"/>
    <w:rsid w:val="00346EE3"/>
    <w:rsid w:val="00347239"/>
    <w:rsid w:val="00347E8A"/>
    <w:rsid w:val="00350464"/>
    <w:rsid w:val="00350F70"/>
    <w:rsid w:val="0035140C"/>
    <w:rsid w:val="003518DF"/>
    <w:rsid w:val="00351EC2"/>
    <w:rsid w:val="00352F30"/>
    <w:rsid w:val="00353307"/>
    <w:rsid w:val="0035333B"/>
    <w:rsid w:val="00353465"/>
    <w:rsid w:val="003536C2"/>
    <w:rsid w:val="00353BCE"/>
    <w:rsid w:val="00353D95"/>
    <w:rsid w:val="00354A23"/>
    <w:rsid w:val="00354B91"/>
    <w:rsid w:val="00354FEE"/>
    <w:rsid w:val="003557DA"/>
    <w:rsid w:val="00355DF5"/>
    <w:rsid w:val="00356153"/>
    <w:rsid w:val="003568EE"/>
    <w:rsid w:val="003569E9"/>
    <w:rsid w:val="003574BB"/>
    <w:rsid w:val="003576AA"/>
    <w:rsid w:val="003579B5"/>
    <w:rsid w:val="00357AAD"/>
    <w:rsid w:val="00357B0B"/>
    <w:rsid w:val="00357DD2"/>
    <w:rsid w:val="00360308"/>
    <w:rsid w:val="00360418"/>
    <w:rsid w:val="00360DF9"/>
    <w:rsid w:val="00360F78"/>
    <w:rsid w:val="0036142A"/>
    <w:rsid w:val="0036161E"/>
    <w:rsid w:val="00361FE7"/>
    <w:rsid w:val="003622B2"/>
    <w:rsid w:val="003622CB"/>
    <w:rsid w:val="00362512"/>
    <w:rsid w:val="003630F2"/>
    <w:rsid w:val="003633DE"/>
    <w:rsid w:val="00363461"/>
    <w:rsid w:val="0036399C"/>
    <w:rsid w:val="003639C7"/>
    <w:rsid w:val="00363DAC"/>
    <w:rsid w:val="00363DF3"/>
    <w:rsid w:val="00364679"/>
    <w:rsid w:val="00364792"/>
    <w:rsid w:val="00364C99"/>
    <w:rsid w:val="003650F0"/>
    <w:rsid w:val="00365103"/>
    <w:rsid w:val="003651D9"/>
    <w:rsid w:val="003657AA"/>
    <w:rsid w:val="003666F4"/>
    <w:rsid w:val="003669B2"/>
    <w:rsid w:val="00366B12"/>
    <w:rsid w:val="003677D3"/>
    <w:rsid w:val="00367A3C"/>
    <w:rsid w:val="0037014B"/>
    <w:rsid w:val="00370D36"/>
    <w:rsid w:val="00370D56"/>
    <w:rsid w:val="00370E33"/>
    <w:rsid w:val="00371061"/>
    <w:rsid w:val="0037127D"/>
    <w:rsid w:val="00371537"/>
    <w:rsid w:val="003717AF"/>
    <w:rsid w:val="003718B4"/>
    <w:rsid w:val="0037265E"/>
    <w:rsid w:val="00372789"/>
    <w:rsid w:val="0037293B"/>
    <w:rsid w:val="00372E33"/>
    <w:rsid w:val="00372E5F"/>
    <w:rsid w:val="00372EBA"/>
    <w:rsid w:val="00373254"/>
    <w:rsid w:val="0037365C"/>
    <w:rsid w:val="003736CE"/>
    <w:rsid w:val="00373778"/>
    <w:rsid w:val="00374028"/>
    <w:rsid w:val="00374705"/>
    <w:rsid w:val="00374773"/>
    <w:rsid w:val="0037549B"/>
    <w:rsid w:val="003755A5"/>
    <w:rsid w:val="00375609"/>
    <w:rsid w:val="00375665"/>
    <w:rsid w:val="00375D74"/>
    <w:rsid w:val="00376960"/>
    <w:rsid w:val="00376C04"/>
    <w:rsid w:val="00376FC8"/>
    <w:rsid w:val="0037729E"/>
    <w:rsid w:val="00377A88"/>
    <w:rsid w:val="00377CDC"/>
    <w:rsid w:val="00377D4A"/>
    <w:rsid w:val="00380E2A"/>
    <w:rsid w:val="00381166"/>
    <w:rsid w:val="0038252A"/>
    <w:rsid w:val="00382C73"/>
    <w:rsid w:val="00382DF4"/>
    <w:rsid w:val="00382F57"/>
    <w:rsid w:val="00383285"/>
    <w:rsid w:val="00383339"/>
    <w:rsid w:val="00383E92"/>
    <w:rsid w:val="00384472"/>
    <w:rsid w:val="00384A09"/>
    <w:rsid w:val="00384D4F"/>
    <w:rsid w:val="00385084"/>
    <w:rsid w:val="00385ACE"/>
    <w:rsid w:val="00385FA4"/>
    <w:rsid w:val="00385FE8"/>
    <w:rsid w:val="00386740"/>
    <w:rsid w:val="00386A35"/>
    <w:rsid w:val="0038753B"/>
    <w:rsid w:val="003875B5"/>
    <w:rsid w:val="003875B8"/>
    <w:rsid w:val="00387C0F"/>
    <w:rsid w:val="00387F8A"/>
    <w:rsid w:val="003903BE"/>
    <w:rsid w:val="0039085E"/>
    <w:rsid w:val="003913D6"/>
    <w:rsid w:val="00391EFF"/>
    <w:rsid w:val="00391FD9"/>
    <w:rsid w:val="00392ABB"/>
    <w:rsid w:val="00392EFE"/>
    <w:rsid w:val="003931C7"/>
    <w:rsid w:val="00393484"/>
    <w:rsid w:val="003936C4"/>
    <w:rsid w:val="00393D4D"/>
    <w:rsid w:val="00393DF5"/>
    <w:rsid w:val="00394001"/>
    <w:rsid w:val="00394436"/>
    <w:rsid w:val="003945A4"/>
    <w:rsid w:val="003947FF"/>
    <w:rsid w:val="00394A9D"/>
    <w:rsid w:val="00394E0A"/>
    <w:rsid w:val="00395519"/>
    <w:rsid w:val="003958D9"/>
    <w:rsid w:val="00395D6C"/>
    <w:rsid w:val="0039611A"/>
    <w:rsid w:val="00396EA4"/>
    <w:rsid w:val="003970DB"/>
    <w:rsid w:val="00397370"/>
    <w:rsid w:val="003976C2"/>
    <w:rsid w:val="00397B59"/>
    <w:rsid w:val="00397FB2"/>
    <w:rsid w:val="003A0143"/>
    <w:rsid w:val="003A054F"/>
    <w:rsid w:val="003A0850"/>
    <w:rsid w:val="003A0976"/>
    <w:rsid w:val="003A0E4C"/>
    <w:rsid w:val="003A0F28"/>
    <w:rsid w:val="003A0FE0"/>
    <w:rsid w:val="003A0FEC"/>
    <w:rsid w:val="003A1326"/>
    <w:rsid w:val="003A13C9"/>
    <w:rsid w:val="003A187B"/>
    <w:rsid w:val="003A1935"/>
    <w:rsid w:val="003A2793"/>
    <w:rsid w:val="003A2D92"/>
    <w:rsid w:val="003A2DE7"/>
    <w:rsid w:val="003A3226"/>
    <w:rsid w:val="003A3549"/>
    <w:rsid w:val="003A3755"/>
    <w:rsid w:val="003A3A69"/>
    <w:rsid w:val="003A3AF9"/>
    <w:rsid w:val="003A3D3A"/>
    <w:rsid w:val="003A4754"/>
    <w:rsid w:val="003A552B"/>
    <w:rsid w:val="003A62DD"/>
    <w:rsid w:val="003A6F40"/>
    <w:rsid w:val="003A7016"/>
    <w:rsid w:val="003A7329"/>
    <w:rsid w:val="003A7DE0"/>
    <w:rsid w:val="003A7EC7"/>
    <w:rsid w:val="003B018B"/>
    <w:rsid w:val="003B04A7"/>
    <w:rsid w:val="003B059F"/>
    <w:rsid w:val="003B05CF"/>
    <w:rsid w:val="003B097B"/>
    <w:rsid w:val="003B2BA6"/>
    <w:rsid w:val="003B3000"/>
    <w:rsid w:val="003B3115"/>
    <w:rsid w:val="003B365D"/>
    <w:rsid w:val="003B3868"/>
    <w:rsid w:val="003B397D"/>
    <w:rsid w:val="003B3A68"/>
    <w:rsid w:val="003B3AB7"/>
    <w:rsid w:val="003B4523"/>
    <w:rsid w:val="003B4C31"/>
    <w:rsid w:val="003B5AE7"/>
    <w:rsid w:val="003B671C"/>
    <w:rsid w:val="003B6793"/>
    <w:rsid w:val="003B6D54"/>
    <w:rsid w:val="003C0228"/>
    <w:rsid w:val="003C0643"/>
    <w:rsid w:val="003C0ED3"/>
    <w:rsid w:val="003C153E"/>
    <w:rsid w:val="003C1A54"/>
    <w:rsid w:val="003C2075"/>
    <w:rsid w:val="003C28F7"/>
    <w:rsid w:val="003C2FA7"/>
    <w:rsid w:val="003C2FB2"/>
    <w:rsid w:val="003C3998"/>
    <w:rsid w:val="003C39DB"/>
    <w:rsid w:val="003C4022"/>
    <w:rsid w:val="003C4370"/>
    <w:rsid w:val="003C4B8F"/>
    <w:rsid w:val="003C4FF1"/>
    <w:rsid w:val="003C585E"/>
    <w:rsid w:val="003C5938"/>
    <w:rsid w:val="003C5B38"/>
    <w:rsid w:val="003C5F1B"/>
    <w:rsid w:val="003C636D"/>
    <w:rsid w:val="003C704B"/>
    <w:rsid w:val="003C70E5"/>
    <w:rsid w:val="003C736C"/>
    <w:rsid w:val="003C753A"/>
    <w:rsid w:val="003C7962"/>
    <w:rsid w:val="003C7BBF"/>
    <w:rsid w:val="003C7D08"/>
    <w:rsid w:val="003D0615"/>
    <w:rsid w:val="003D0729"/>
    <w:rsid w:val="003D0B9B"/>
    <w:rsid w:val="003D0E41"/>
    <w:rsid w:val="003D142D"/>
    <w:rsid w:val="003D1647"/>
    <w:rsid w:val="003D1D9C"/>
    <w:rsid w:val="003D2A74"/>
    <w:rsid w:val="003D3704"/>
    <w:rsid w:val="003D37D0"/>
    <w:rsid w:val="003D3985"/>
    <w:rsid w:val="003D3DBB"/>
    <w:rsid w:val="003D3E22"/>
    <w:rsid w:val="003D422E"/>
    <w:rsid w:val="003D4689"/>
    <w:rsid w:val="003D4998"/>
    <w:rsid w:val="003D49C1"/>
    <w:rsid w:val="003D50D8"/>
    <w:rsid w:val="003D60C3"/>
    <w:rsid w:val="003D66C0"/>
    <w:rsid w:val="003D671D"/>
    <w:rsid w:val="003D6BF5"/>
    <w:rsid w:val="003D6C98"/>
    <w:rsid w:val="003D74C4"/>
    <w:rsid w:val="003D7696"/>
    <w:rsid w:val="003D7FCD"/>
    <w:rsid w:val="003E0932"/>
    <w:rsid w:val="003E0D70"/>
    <w:rsid w:val="003E0E0A"/>
    <w:rsid w:val="003E0FF1"/>
    <w:rsid w:val="003E1132"/>
    <w:rsid w:val="003E11CB"/>
    <w:rsid w:val="003E12DC"/>
    <w:rsid w:val="003E1369"/>
    <w:rsid w:val="003E2272"/>
    <w:rsid w:val="003E2C00"/>
    <w:rsid w:val="003E3161"/>
    <w:rsid w:val="003E35D3"/>
    <w:rsid w:val="003E3661"/>
    <w:rsid w:val="003E37F6"/>
    <w:rsid w:val="003E3CF4"/>
    <w:rsid w:val="003E3DDB"/>
    <w:rsid w:val="003E3F2B"/>
    <w:rsid w:val="003E45B7"/>
    <w:rsid w:val="003E4779"/>
    <w:rsid w:val="003E47E8"/>
    <w:rsid w:val="003E4D13"/>
    <w:rsid w:val="003E4F2E"/>
    <w:rsid w:val="003E4F75"/>
    <w:rsid w:val="003E4FA4"/>
    <w:rsid w:val="003E4FE8"/>
    <w:rsid w:val="003E506F"/>
    <w:rsid w:val="003E55B3"/>
    <w:rsid w:val="003E5872"/>
    <w:rsid w:val="003E59CD"/>
    <w:rsid w:val="003E6930"/>
    <w:rsid w:val="003E6985"/>
    <w:rsid w:val="003E6B3F"/>
    <w:rsid w:val="003E6BDB"/>
    <w:rsid w:val="003E6D16"/>
    <w:rsid w:val="003E74B5"/>
    <w:rsid w:val="003E7515"/>
    <w:rsid w:val="003E7994"/>
    <w:rsid w:val="003E7F11"/>
    <w:rsid w:val="003F0081"/>
    <w:rsid w:val="003F019B"/>
    <w:rsid w:val="003F03CC"/>
    <w:rsid w:val="003F0C6D"/>
    <w:rsid w:val="003F0FE7"/>
    <w:rsid w:val="003F1625"/>
    <w:rsid w:val="003F16FA"/>
    <w:rsid w:val="003F17FA"/>
    <w:rsid w:val="003F29F7"/>
    <w:rsid w:val="003F2C4F"/>
    <w:rsid w:val="003F366C"/>
    <w:rsid w:val="003F3B16"/>
    <w:rsid w:val="003F3E65"/>
    <w:rsid w:val="003F4080"/>
    <w:rsid w:val="003F40F5"/>
    <w:rsid w:val="003F499B"/>
    <w:rsid w:val="003F4DA3"/>
    <w:rsid w:val="003F5B41"/>
    <w:rsid w:val="003F5BB2"/>
    <w:rsid w:val="003F5F01"/>
    <w:rsid w:val="003F63F4"/>
    <w:rsid w:val="003F679C"/>
    <w:rsid w:val="003F681B"/>
    <w:rsid w:val="003F691C"/>
    <w:rsid w:val="003F69CC"/>
    <w:rsid w:val="003F6C60"/>
    <w:rsid w:val="003F7125"/>
    <w:rsid w:val="003F7655"/>
    <w:rsid w:val="003F778E"/>
    <w:rsid w:val="003F7840"/>
    <w:rsid w:val="003F7E24"/>
    <w:rsid w:val="00400041"/>
    <w:rsid w:val="00400E07"/>
    <w:rsid w:val="00400E22"/>
    <w:rsid w:val="00400FFF"/>
    <w:rsid w:val="004016E1"/>
    <w:rsid w:val="00401996"/>
    <w:rsid w:val="00401C15"/>
    <w:rsid w:val="00402AAC"/>
    <w:rsid w:val="00402D0C"/>
    <w:rsid w:val="00402E03"/>
    <w:rsid w:val="0040320A"/>
    <w:rsid w:val="00403502"/>
    <w:rsid w:val="0040468D"/>
    <w:rsid w:val="00404C8C"/>
    <w:rsid w:val="00404DF6"/>
    <w:rsid w:val="004051D4"/>
    <w:rsid w:val="004053EE"/>
    <w:rsid w:val="004054EB"/>
    <w:rsid w:val="004055C3"/>
    <w:rsid w:val="004058C6"/>
    <w:rsid w:val="00405932"/>
    <w:rsid w:val="00405CEF"/>
    <w:rsid w:val="00405D13"/>
    <w:rsid w:val="004064FF"/>
    <w:rsid w:val="00406652"/>
    <w:rsid w:val="004067C3"/>
    <w:rsid w:val="00406D4E"/>
    <w:rsid w:val="00407254"/>
    <w:rsid w:val="00407BF8"/>
    <w:rsid w:val="00407E64"/>
    <w:rsid w:val="0041058A"/>
    <w:rsid w:val="00410C7B"/>
    <w:rsid w:val="00410EFA"/>
    <w:rsid w:val="0041109D"/>
    <w:rsid w:val="0041122C"/>
    <w:rsid w:val="00411A76"/>
    <w:rsid w:val="00411B37"/>
    <w:rsid w:val="00412B37"/>
    <w:rsid w:val="00412B3C"/>
    <w:rsid w:val="00412B93"/>
    <w:rsid w:val="00412DC3"/>
    <w:rsid w:val="00412FC8"/>
    <w:rsid w:val="00413E13"/>
    <w:rsid w:val="00413FBA"/>
    <w:rsid w:val="00414533"/>
    <w:rsid w:val="0041464E"/>
    <w:rsid w:val="00414961"/>
    <w:rsid w:val="00414FF1"/>
    <w:rsid w:val="0041511D"/>
    <w:rsid w:val="004151EE"/>
    <w:rsid w:val="00415372"/>
    <w:rsid w:val="00415625"/>
    <w:rsid w:val="00415730"/>
    <w:rsid w:val="00415795"/>
    <w:rsid w:val="0041579F"/>
    <w:rsid w:val="00415BF6"/>
    <w:rsid w:val="00416B04"/>
    <w:rsid w:val="00416D51"/>
    <w:rsid w:val="004173BF"/>
    <w:rsid w:val="004177E5"/>
    <w:rsid w:val="00417C7A"/>
    <w:rsid w:val="004209F5"/>
    <w:rsid w:val="00421637"/>
    <w:rsid w:val="004216AD"/>
    <w:rsid w:val="00421757"/>
    <w:rsid w:val="0042182D"/>
    <w:rsid w:val="00421AD1"/>
    <w:rsid w:val="00421F2A"/>
    <w:rsid w:val="00421FDF"/>
    <w:rsid w:val="00421FF4"/>
    <w:rsid w:val="004226B1"/>
    <w:rsid w:val="004234AB"/>
    <w:rsid w:val="004234E4"/>
    <w:rsid w:val="0042359A"/>
    <w:rsid w:val="00423653"/>
    <w:rsid w:val="004237D6"/>
    <w:rsid w:val="004237DD"/>
    <w:rsid w:val="004239E2"/>
    <w:rsid w:val="00423B94"/>
    <w:rsid w:val="00423F23"/>
    <w:rsid w:val="0042447C"/>
    <w:rsid w:val="004247F8"/>
    <w:rsid w:val="00424ACB"/>
    <w:rsid w:val="00424BDE"/>
    <w:rsid w:val="00424EC1"/>
    <w:rsid w:val="00425104"/>
    <w:rsid w:val="0042537C"/>
    <w:rsid w:val="004258D9"/>
    <w:rsid w:val="00425CC1"/>
    <w:rsid w:val="00425F2B"/>
    <w:rsid w:val="0042606E"/>
    <w:rsid w:val="00426560"/>
    <w:rsid w:val="0042696C"/>
    <w:rsid w:val="00426A80"/>
    <w:rsid w:val="004273B1"/>
    <w:rsid w:val="004276CA"/>
    <w:rsid w:val="00427A9D"/>
    <w:rsid w:val="00427CD3"/>
    <w:rsid w:val="0043049A"/>
    <w:rsid w:val="00431A8F"/>
    <w:rsid w:val="00431B25"/>
    <w:rsid w:val="00431C73"/>
    <w:rsid w:val="0043215B"/>
    <w:rsid w:val="004323C3"/>
    <w:rsid w:val="004330EF"/>
    <w:rsid w:val="0043362E"/>
    <w:rsid w:val="00433773"/>
    <w:rsid w:val="00433962"/>
    <w:rsid w:val="00433D77"/>
    <w:rsid w:val="00433EC1"/>
    <w:rsid w:val="0043421A"/>
    <w:rsid w:val="00434234"/>
    <w:rsid w:val="00434C99"/>
    <w:rsid w:val="00434E95"/>
    <w:rsid w:val="00434FE3"/>
    <w:rsid w:val="00435067"/>
    <w:rsid w:val="004351E2"/>
    <w:rsid w:val="00435975"/>
    <w:rsid w:val="00435F21"/>
    <w:rsid w:val="0043609B"/>
    <w:rsid w:val="004363B4"/>
    <w:rsid w:val="00436433"/>
    <w:rsid w:val="00436C1A"/>
    <w:rsid w:val="00436E28"/>
    <w:rsid w:val="00436FCA"/>
    <w:rsid w:val="00437A29"/>
    <w:rsid w:val="00437FD5"/>
    <w:rsid w:val="004401DC"/>
    <w:rsid w:val="004402DC"/>
    <w:rsid w:val="00440338"/>
    <w:rsid w:val="00440399"/>
    <w:rsid w:val="00440444"/>
    <w:rsid w:val="004404FE"/>
    <w:rsid w:val="0044073E"/>
    <w:rsid w:val="004408AB"/>
    <w:rsid w:val="00440EFD"/>
    <w:rsid w:val="00441772"/>
    <w:rsid w:val="00441C39"/>
    <w:rsid w:val="004420F1"/>
    <w:rsid w:val="004422C5"/>
    <w:rsid w:val="004425AA"/>
    <w:rsid w:val="00442671"/>
    <w:rsid w:val="004432A7"/>
    <w:rsid w:val="004444EE"/>
    <w:rsid w:val="004447E9"/>
    <w:rsid w:val="004448A7"/>
    <w:rsid w:val="00444CCD"/>
    <w:rsid w:val="00444D11"/>
    <w:rsid w:val="004450B9"/>
    <w:rsid w:val="00445569"/>
    <w:rsid w:val="00445B87"/>
    <w:rsid w:val="00445E8C"/>
    <w:rsid w:val="00446AEF"/>
    <w:rsid w:val="00446BBE"/>
    <w:rsid w:val="00446DAA"/>
    <w:rsid w:val="00446F24"/>
    <w:rsid w:val="004471A9"/>
    <w:rsid w:val="00447225"/>
    <w:rsid w:val="004472DC"/>
    <w:rsid w:val="004474F4"/>
    <w:rsid w:val="00447533"/>
    <w:rsid w:val="00450907"/>
    <w:rsid w:val="00450F1F"/>
    <w:rsid w:val="00450F46"/>
    <w:rsid w:val="0045108E"/>
    <w:rsid w:val="00451430"/>
    <w:rsid w:val="0045157A"/>
    <w:rsid w:val="004517C6"/>
    <w:rsid w:val="00451936"/>
    <w:rsid w:val="00451D00"/>
    <w:rsid w:val="004520C4"/>
    <w:rsid w:val="004524FA"/>
    <w:rsid w:val="00452B51"/>
    <w:rsid w:val="004531BD"/>
    <w:rsid w:val="00453617"/>
    <w:rsid w:val="00453C81"/>
    <w:rsid w:val="00453D2C"/>
    <w:rsid w:val="00454CCF"/>
    <w:rsid w:val="00455ACE"/>
    <w:rsid w:val="00455E46"/>
    <w:rsid w:val="004568FA"/>
    <w:rsid w:val="00456ABD"/>
    <w:rsid w:val="00456B77"/>
    <w:rsid w:val="00456CF8"/>
    <w:rsid w:val="004572A7"/>
    <w:rsid w:val="0045799F"/>
    <w:rsid w:val="00457B60"/>
    <w:rsid w:val="00457BD9"/>
    <w:rsid w:val="00457EB2"/>
    <w:rsid w:val="00460535"/>
    <w:rsid w:val="00460735"/>
    <w:rsid w:val="00460810"/>
    <w:rsid w:val="00460B96"/>
    <w:rsid w:val="00461296"/>
    <w:rsid w:val="004616B5"/>
    <w:rsid w:val="004616F8"/>
    <w:rsid w:val="00461951"/>
    <w:rsid w:val="0046197D"/>
    <w:rsid w:val="00461F14"/>
    <w:rsid w:val="004620BD"/>
    <w:rsid w:val="00462412"/>
    <w:rsid w:val="004625C9"/>
    <w:rsid w:val="00462814"/>
    <w:rsid w:val="00462863"/>
    <w:rsid w:val="00462A67"/>
    <w:rsid w:val="00463569"/>
    <w:rsid w:val="0046393E"/>
    <w:rsid w:val="00463B34"/>
    <w:rsid w:val="00463F5B"/>
    <w:rsid w:val="0046431A"/>
    <w:rsid w:val="00464564"/>
    <w:rsid w:val="004648FE"/>
    <w:rsid w:val="00464A8E"/>
    <w:rsid w:val="00464ABC"/>
    <w:rsid w:val="0046553F"/>
    <w:rsid w:val="004656B6"/>
    <w:rsid w:val="004656D2"/>
    <w:rsid w:val="00465774"/>
    <w:rsid w:val="00465858"/>
    <w:rsid w:val="004659E0"/>
    <w:rsid w:val="0046609F"/>
    <w:rsid w:val="00466384"/>
    <w:rsid w:val="00466EFE"/>
    <w:rsid w:val="00467086"/>
    <w:rsid w:val="0046718B"/>
    <w:rsid w:val="00467763"/>
    <w:rsid w:val="00467B9A"/>
    <w:rsid w:val="00467CCE"/>
    <w:rsid w:val="0047011E"/>
    <w:rsid w:val="004702BB"/>
    <w:rsid w:val="0047034C"/>
    <w:rsid w:val="00470DC4"/>
    <w:rsid w:val="004711D6"/>
    <w:rsid w:val="00471612"/>
    <w:rsid w:val="00471672"/>
    <w:rsid w:val="00471B88"/>
    <w:rsid w:val="00471CCF"/>
    <w:rsid w:val="00472072"/>
    <w:rsid w:val="004722A8"/>
    <w:rsid w:val="004724ED"/>
    <w:rsid w:val="00472869"/>
    <w:rsid w:val="004728EB"/>
    <w:rsid w:val="004729B5"/>
    <w:rsid w:val="00472D61"/>
    <w:rsid w:val="00472D64"/>
    <w:rsid w:val="0047301A"/>
    <w:rsid w:val="004735A2"/>
    <w:rsid w:val="00473AC6"/>
    <w:rsid w:val="00473D71"/>
    <w:rsid w:val="004740FA"/>
    <w:rsid w:val="00474158"/>
    <w:rsid w:val="0047416A"/>
    <w:rsid w:val="004741BF"/>
    <w:rsid w:val="0047437F"/>
    <w:rsid w:val="004744E3"/>
    <w:rsid w:val="0047453C"/>
    <w:rsid w:val="00475831"/>
    <w:rsid w:val="00475982"/>
    <w:rsid w:val="004759CD"/>
    <w:rsid w:val="00475B30"/>
    <w:rsid w:val="00476838"/>
    <w:rsid w:val="00476895"/>
    <w:rsid w:val="00476ED9"/>
    <w:rsid w:val="004777DA"/>
    <w:rsid w:val="004779C8"/>
    <w:rsid w:val="00480112"/>
    <w:rsid w:val="0048013A"/>
    <w:rsid w:val="00480298"/>
    <w:rsid w:val="0048039B"/>
    <w:rsid w:val="00480563"/>
    <w:rsid w:val="004806E4"/>
    <w:rsid w:val="004806FA"/>
    <w:rsid w:val="00480E18"/>
    <w:rsid w:val="004816CF"/>
    <w:rsid w:val="004816E8"/>
    <w:rsid w:val="00481887"/>
    <w:rsid w:val="00481AEB"/>
    <w:rsid w:val="00482129"/>
    <w:rsid w:val="004823B2"/>
    <w:rsid w:val="004827C3"/>
    <w:rsid w:val="00482986"/>
    <w:rsid w:val="00483D13"/>
    <w:rsid w:val="004848E9"/>
    <w:rsid w:val="00484915"/>
    <w:rsid w:val="00484AED"/>
    <w:rsid w:val="00484C73"/>
    <w:rsid w:val="00485052"/>
    <w:rsid w:val="00485C9A"/>
    <w:rsid w:val="00486695"/>
    <w:rsid w:val="00486B4F"/>
    <w:rsid w:val="00486FE6"/>
    <w:rsid w:val="004871F1"/>
    <w:rsid w:val="00487319"/>
    <w:rsid w:val="00487534"/>
    <w:rsid w:val="00487FE2"/>
    <w:rsid w:val="004900E0"/>
    <w:rsid w:val="004907DD"/>
    <w:rsid w:val="00490C0C"/>
    <w:rsid w:val="00491334"/>
    <w:rsid w:val="0049136D"/>
    <w:rsid w:val="00491638"/>
    <w:rsid w:val="00491E38"/>
    <w:rsid w:val="00491EA2"/>
    <w:rsid w:val="00492324"/>
    <w:rsid w:val="004930C6"/>
    <w:rsid w:val="00493795"/>
    <w:rsid w:val="00493A62"/>
    <w:rsid w:val="00493AF3"/>
    <w:rsid w:val="00493E76"/>
    <w:rsid w:val="00493E88"/>
    <w:rsid w:val="004950A4"/>
    <w:rsid w:val="00495399"/>
    <w:rsid w:val="004956D4"/>
    <w:rsid w:val="0049579A"/>
    <w:rsid w:val="00495E07"/>
    <w:rsid w:val="00496415"/>
    <w:rsid w:val="00496516"/>
    <w:rsid w:val="004965DA"/>
    <w:rsid w:val="004967C5"/>
    <w:rsid w:val="00496A44"/>
    <w:rsid w:val="00496C1A"/>
    <w:rsid w:val="00497394"/>
    <w:rsid w:val="00497EF9"/>
    <w:rsid w:val="004A00CE"/>
    <w:rsid w:val="004A0568"/>
    <w:rsid w:val="004A099C"/>
    <w:rsid w:val="004A0A62"/>
    <w:rsid w:val="004A0C52"/>
    <w:rsid w:val="004A0DA9"/>
    <w:rsid w:val="004A0DBD"/>
    <w:rsid w:val="004A117D"/>
    <w:rsid w:val="004A12EB"/>
    <w:rsid w:val="004A148D"/>
    <w:rsid w:val="004A1721"/>
    <w:rsid w:val="004A19A3"/>
    <w:rsid w:val="004A20B6"/>
    <w:rsid w:val="004A22B6"/>
    <w:rsid w:val="004A2914"/>
    <w:rsid w:val="004A2FB9"/>
    <w:rsid w:val="004A3457"/>
    <w:rsid w:val="004A3487"/>
    <w:rsid w:val="004A37D2"/>
    <w:rsid w:val="004A3A24"/>
    <w:rsid w:val="004A5266"/>
    <w:rsid w:val="004A55FC"/>
    <w:rsid w:val="004A5A52"/>
    <w:rsid w:val="004A5BBA"/>
    <w:rsid w:val="004A5F1F"/>
    <w:rsid w:val="004A65F2"/>
    <w:rsid w:val="004A7111"/>
    <w:rsid w:val="004B011F"/>
    <w:rsid w:val="004B0BC5"/>
    <w:rsid w:val="004B0DB6"/>
    <w:rsid w:val="004B1433"/>
    <w:rsid w:val="004B1AB2"/>
    <w:rsid w:val="004B1EBC"/>
    <w:rsid w:val="004B24E9"/>
    <w:rsid w:val="004B2987"/>
    <w:rsid w:val="004B2B4F"/>
    <w:rsid w:val="004B2EC3"/>
    <w:rsid w:val="004B39F4"/>
    <w:rsid w:val="004B3CB6"/>
    <w:rsid w:val="004B3EBB"/>
    <w:rsid w:val="004B3F2A"/>
    <w:rsid w:val="004B425C"/>
    <w:rsid w:val="004B4420"/>
    <w:rsid w:val="004B4495"/>
    <w:rsid w:val="004B44A7"/>
    <w:rsid w:val="004B46B6"/>
    <w:rsid w:val="004B4988"/>
    <w:rsid w:val="004B4B29"/>
    <w:rsid w:val="004B59DD"/>
    <w:rsid w:val="004B5EDA"/>
    <w:rsid w:val="004B621A"/>
    <w:rsid w:val="004B6322"/>
    <w:rsid w:val="004B6327"/>
    <w:rsid w:val="004B63DE"/>
    <w:rsid w:val="004B64F4"/>
    <w:rsid w:val="004B670B"/>
    <w:rsid w:val="004B6CF3"/>
    <w:rsid w:val="004B6E7B"/>
    <w:rsid w:val="004B7043"/>
    <w:rsid w:val="004B741B"/>
    <w:rsid w:val="004B7762"/>
    <w:rsid w:val="004B7CEE"/>
    <w:rsid w:val="004B7E29"/>
    <w:rsid w:val="004C0496"/>
    <w:rsid w:val="004C0528"/>
    <w:rsid w:val="004C0564"/>
    <w:rsid w:val="004C0AB2"/>
    <w:rsid w:val="004C0D81"/>
    <w:rsid w:val="004C15CF"/>
    <w:rsid w:val="004C1601"/>
    <w:rsid w:val="004C1C34"/>
    <w:rsid w:val="004C1D46"/>
    <w:rsid w:val="004C2EC3"/>
    <w:rsid w:val="004C35ED"/>
    <w:rsid w:val="004C3867"/>
    <w:rsid w:val="004C4254"/>
    <w:rsid w:val="004C4581"/>
    <w:rsid w:val="004C48FF"/>
    <w:rsid w:val="004C4D67"/>
    <w:rsid w:val="004C4E56"/>
    <w:rsid w:val="004C5F9E"/>
    <w:rsid w:val="004C6385"/>
    <w:rsid w:val="004C676F"/>
    <w:rsid w:val="004C687A"/>
    <w:rsid w:val="004C6914"/>
    <w:rsid w:val="004C6AD6"/>
    <w:rsid w:val="004C739B"/>
    <w:rsid w:val="004C749D"/>
    <w:rsid w:val="004C765A"/>
    <w:rsid w:val="004C7705"/>
    <w:rsid w:val="004C7780"/>
    <w:rsid w:val="004C77A5"/>
    <w:rsid w:val="004C7820"/>
    <w:rsid w:val="004D02AD"/>
    <w:rsid w:val="004D04AC"/>
    <w:rsid w:val="004D0B4D"/>
    <w:rsid w:val="004D0DA8"/>
    <w:rsid w:val="004D1177"/>
    <w:rsid w:val="004D14D9"/>
    <w:rsid w:val="004D1C90"/>
    <w:rsid w:val="004D1DC2"/>
    <w:rsid w:val="004D1E2A"/>
    <w:rsid w:val="004D31F4"/>
    <w:rsid w:val="004D35EE"/>
    <w:rsid w:val="004D3CFF"/>
    <w:rsid w:val="004D3F73"/>
    <w:rsid w:val="004D5455"/>
    <w:rsid w:val="004D5B45"/>
    <w:rsid w:val="004D5EE8"/>
    <w:rsid w:val="004D64EA"/>
    <w:rsid w:val="004D6C7D"/>
    <w:rsid w:val="004D75E5"/>
    <w:rsid w:val="004D76F9"/>
    <w:rsid w:val="004D7C2F"/>
    <w:rsid w:val="004E0809"/>
    <w:rsid w:val="004E098C"/>
    <w:rsid w:val="004E0A8A"/>
    <w:rsid w:val="004E0B70"/>
    <w:rsid w:val="004E0F5F"/>
    <w:rsid w:val="004E1CF3"/>
    <w:rsid w:val="004E359D"/>
    <w:rsid w:val="004E3857"/>
    <w:rsid w:val="004E3D66"/>
    <w:rsid w:val="004E3EA4"/>
    <w:rsid w:val="004E40D4"/>
    <w:rsid w:val="004E431C"/>
    <w:rsid w:val="004E4D98"/>
    <w:rsid w:val="004E5275"/>
    <w:rsid w:val="004E597E"/>
    <w:rsid w:val="004E5ADC"/>
    <w:rsid w:val="004E6EBE"/>
    <w:rsid w:val="004E74A4"/>
    <w:rsid w:val="004E7B82"/>
    <w:rsid w:val="004E7CAC"/>
    <w:rsid w:val="004E7CD3"/>
    <w:rsid w:val="004E7D5D"/>
    <w:rsid w:val="004E7F89"/>
    <w:rsid w:val="004F08B1"/>
    <w:rsid w:val="004F0BA4"/>
    <w:rsid w:val="004F0BBA"/>
    <w:rsid w:val="004F0BE8"/>
    <w:rsid w:val="004F0E68"/>
    <w:rsid w:val="004F0E96"/>
    <w:rsid w:val="004F11EC"/>
    <w:rsid w:val="004F16C7"/>
    <w:rsid w:val="004F208C"/>
    <w:rsid w:val="004F2414"/>
    <w:rsid w:val="004F25EF"/>
    <w:rsid w:val="004F2C76"/>
    <w:rsid w:val="004F3436"/>
    <w:rsid w:val="004F3CE9"/>
    <w:rsid w:val="004F431E"/>
    <w:rsid w:val="004F43C6"/>
    <w:rsid w:val="004F44C7"/>
    <w:rsid w:val="004F46D0"/>
    <w:rsid w:val="004F4DC9"/>
    <w:rsid w:val="004F4EAA"/>
    <w:rsid w:val="004F5124"/>
    <w:rsid w:val="004F530D"/>
    <w:rsid w:val="004F5418"/>
    <w:rsid w:val="004F5508"/>
    <w:rsid w:val="004F6E38"/>
    <w:rsid w:val="004F756E"/>
    <w:rsid w:val="004F7573"/>
    <w:rsid w:val="00500061"/>
    <w:rsid w:val="005005ED"/>
    <w:rsid w:val="00500987"/>
    <w:rsid w:val="00501318"/>
    <w:rsid w:val="00501B04"/>
    <w:rsid w:val="0050222D"/>
    <w:rsid w:val="005024F6"/>
    <w:rsid w:val="00502AD6"/>
    <w:rsid w:val="005036A4"/>
    <w:rsid w:val="00503CC9"/>
    <w:rsid w:val="00504841"/>
    <w:rsid w:val="00504BE5"/>
    <w:rsid w:val="00504D96"/>
    <w:rsid w:val="0050534A"/>
    <w:rsid w:val="00505685"/>
    <w:rsid w:val="00505CEE"/>
    <w:rsid w:val="00505FFB"/>
    <w:rsid w:val="005060BA"/>
    <w:rsid w:val="00506121"/>
    <w:rsid w:val="005061CF"/>
    <w:rsid w:val="0050645D"/>
    <w:rsid w:val="00506AAF"/>
    <w:rsid w:val="005072E7"/>
    <w:rsid w:val="00507910"/>
    <w:rsid w:val="00507FF0"/>
    <w:rsid w:val="00510183"/>
    <w:rsid w:val="00510368"/>
    <w:rsid w:val="005107E0"/>
    <w:rsid w:val="00510A81"/>
    <w:rsid w:val="00510CD0"/>
    <w:rsid w:val="005110E2"/>
    <w:rsid w:val="00511485"/>
    <w:rsid w:val="005115E2"/>
    <w:rsid w:val="005116C9"/>
    <w:rsid w:val="00511A84"/>
    <w:rsid w:val="00511E7C"/>
    <w:rsid w:val="00511EF0"/>
    <w:rsid w:val="00512162"/>
    <w:rsid w:val="00512426"/>
    <w:rsid w:val="00512728"/>
    <w:rsid w:val="00512B4C"/>
    <w:rsid w:val="00513929"/>
    <w:rsid w:val="00513BBA"/>
    <w:rsid w:val="00513C8E"/>
    <w:rsid w:val="00513D21"/>
    <w:rsid w:val="00513D7E"/>
    <w:rsid w:val="00513FCA"/>
    <w:rsid w:val="00514D48"/>
    <w:rsid w:val="00514DCE"/>
    <w:rsid w:val="0051562E"/>
    <w:rsid w:val="00515716"/>
    <w:rsid w:val="00515A4F"/>
    <w:rsid w:val="00515AFF"/>
    <w:rsid w:val="00515E6A"/>
    <w:rsid w:val="005168DF"/>
    <w:rsid w:val="00516B33"/>
    <w:rsid w:val="00516CA7"/>
    <w:rsid w:val="00516F49"/>
    <w:rsid w:val="00517187"/>
    <w:rsid w:val="00517657"/>
    <w:rsid w:val="005177A7"/>
    <w:rsid w:val="00520288"/>
    <w:rsid w:val="0052098A"/>
    <w:rsid w:val="00521279"/>
    <w:rsid w:val="00521365"/>
    <w:rsid w:val="005216EA"/>
    <w:rsid w:val="00521ED5"/>
    <w:rsid w:val="005226DC"/>
    <w:rsid w:val="005229CC"/>
    <w:rsid w:val="00522C76"/>
    <w:rsid w:val="00522C7F"/>
    <w:rsid w:val="005239BC"/>
    <w:rsid w:val="00523C29"/>
    <w:rsid w:val="00523CE5"/>
    <w:rsid w:val="00523F27"/>
    <w:rsid w:val="00524091"/>
    <w:rsid w:val="00524121"/>
    <w:rsid w:val="0052448D"/>
    <w:rsid w:val="005244B6"/>
    <w:rsid w:val="00524A22"/>
    <w:rsid w:val="00524BB7"/>
    <w:rsid w:val="00525014"/>
    <w:rsid w:val="0052519A"/>
    <w:rsid w:val="00525F35"/>
    <w:rsid w:val="00526561"/>
    <w:rsid w:val="0052674C"/>
    <w:rsid w:val="00526A07"/>
    <w:rsid w:val="00527177"/>
    <w:rsid w:val="00527985"/>
    <w:rsid w:val="00527BA4"/>
    <w:rsid w:val="00527D9F"/>
    <w:rsid w:val="00530080"/>
    <w:rsid w:val="005308B0"/>
    <w:rsid w:val="00530984"/>
    <w:rsid w:val="00530C3A"/>
    <w:rsid w:val="00530F50"/>
    <w:rsid w:val="00531071"/>
    <w:rsid w:val="005314F3"/>
    <w:rsid w:val="0053152C"/>
    <w:rsid w:val="00531B89"/>
    <w:rsid w:val="00531D14"/>
    <w:rsid w:val="00532146"/>
    <w:rsid w:val="005323DE"/>
    <w:rsid w:val="005329A4"/>
    <w:rsid w:val="00532C5B"/>
    <w:rsid w:val="005334A0"/>
    <w:rsid w:val="005335E6"/>
    <w:rsid w:val="005337ED"/>
    <w:rsid w:val="00533B19"/>
    <w:rsid w:val="00534914"/>
    <w:rsid w:val="00534CFA"/>
    <w:rsid w:val="00534EEC"/>
    <w:rsid w:val="00535192"/>
    <w:rsid w:val="005351BF"/>
    <w:rsid w:val="00535536"/>
    <w:rsid w:val="00535D51"/>
    <w:rsid w:val="00535F05"/>
    <w:rsid w:val="00535F63"/>
    <w:rsid w:val="00536358"/>
    <w:rsid w:val="005367D9"/>
    <w:rsid w:val="005367FE"/>
    <w:rsid w:val="0053694C"/>
    <w:rsid w:val="00536D72"/>
    <w:rsid w:val="00537237"/>
    <w:rsid w:val="0053734C"/>
    <w:rsid w:val="00537B02"/>
    <w:rsid w:val="00537C44"/>
    <w:rsid w:val="00537F89"/>
    <w:rsid w:val="00540170"/>
    <w:rsid w:val="00540202"/>
    <w:rsid w:val="005405C0"/>
    <w:rsid w:val="00540921"/>
    <w:rsid w:val="0054145E"/>
    <w:rsid w:val="0054157F"/>
    <w:rsid w:val="0054162D"/>
    <w:rsid w:val="00541ACF"/>
    <w:rsid w:val="005427DF"/>
    <w:rsid w:val="0054374C"/>
    <w:rsid w:val="00543F2B"/>
    <w:rsid w:val="00544342"/>
    <w:rsid w:val="005449B6"/>
    <w:rsid w:val="00545200"/>
    <w:rsid w:val="00545272"/>
    <w:rsid w:val="00545953"/>
    <w:rsid w:val="005459D6"/>
    <w:rsid w:val="00545A86"/>
    <w:rsid w:val="00545AA5"/>
    <w:rsid w:val="00545E84"/>
    <w:rsid w:val="0054600C"/>
    <w:rsid w:val="00546017"/>
    <w:rsid w:val="00546204"/>
    <w:rsid w:val="00546599"/>
    <w:rsid w:val="005466DE"/>
    <w:rsid w:val="00547149"/>
    <w:rsid w:val="0054736F"/>
    <w:rsid w:val="00547641"/>
    <w:rsid w:val="00547843"/>
    <w:rsid w:val="005479AE"/>
    <w:rsid w:val="005500E5"/>
    <w:rsid w:val="005501D3"/>
    <w:rsid w:val="00550426"/>
    <w:rsid w:val="005505E3"/>
    <w:rsid w:val="005513F4"/>
    <w:rsid w:val="00551643"/>
    <w:rsid w:val="005517F7"/>
    <w:rsid w:val="00551811"/>
    <w:rsid w:val="00551DA1"/>
    <w:rsid w:val="00551DDE"/>
    <w:rsid w:val="00552238"/>
    <w:rsid w:val="00552738"/>
    <w:rsid w:val="005527C7"/>
    <w:rsid w:val="00552E7B"/>
    <w:rsid w:val="005534B1"/>
    <w:rsid w:val="005535EA"/>
    <w:rsid w:val="00553B4D"/>
    <w:rsid w:val="00553F87"/>
    <w:rsid w:val="0055414B"/>
    <w:rsid w:val="00554472"/>
    <w:rsid w:val="00554706"/>
    <w:rsid w:val="00554ACA"/>
    <w:rsid w:val="00554B96"/>
    <w:rsid w:val="005558AB"/>
    <w:rsid w:val="00556635"/>
    <w:rsid w:val="005566F5"/>
    <w:rsid w:val="00556802"/>
    <w:rsid w:val="00556A1C"/>
    <w:rsid w:val="00556AE2"/>
    <w:rsid w:val="00557267"/>
    <w:rsid w:val="00557B0A"/>
    <w:rsid w:val="00557EDF"/>
    <w:rsid w:val="00560048"/>
    <w:rsid w:val="005601E4"/>
    <w:rsid w:val="005605C7"/>
    <w:rsid w:val="0056060F"/>
    <w:rsid w:val="00560EA7"/>
    <w:rsid w:val="0056145D"/>
    <w:rsid w:val="00561488"/>
    <w:rsid w:val="0056178F"/>
    <w:rsid w:val="00561F18"/>
    <w:rsid w:val="00562317"/>
    <w:rsid w:val="005624DA"/>
    <w:rsid w:val="005632A8"/>
    <w:rsid w:val="005633CD"/>
    <w:rsid w:val="00563AF2"/>
    <w:rsid w:val="005640A0"/>
    <w:rsid w:val="005640B6"/>
    <w:rsid w:val="00564749"/>
    <w:rsid w:val="00564916"/>
    <w:rsid w:val="00564BAB"/>
    <w:rsid w:val="00564C50"/>
    <w:rsid w:val="00565138"/>
    <w:rsid w:val="005651A0"/>
    <w:rsid w:val="005657E7"/>
    <w:rsid w:val="00565A4B"/>
    <w:rsid w:val="00565BE7"/>
    <w:rsid w:val="005663BB"/>
    <w:rsid w:val="005668BD"/>
    <w:rsid w:val="00567015"/>
    <w:rsid w:val="005671FE"/>
    <w:rsid w:val="00567277"/>
    <w:rsid w:val="00567298"/>
    <w:rsid w:val="0056752B"/>
    <w:rsid w:val="005675EA"/>
    <w:rsid w:val="005677A0"/>
    <w:rsid w:val="00567914"/>
    <w:rsid w:val="00567B49"/>
    <w:rsid w:val="00567C4F"/>
    <w:rsid w:val="00567E23"/>
    <w:rsid w:val="00567ED3"/>
    <w:rsid w:val="00567EEB"/>
    <w:rsid w:val="005701B1"/>
    <w:rsid w:val="005704E8"/>
    <w:rsid w:val="0057064F"/>
    <w:rsid w:val="00571420"/>
    <w:rsid w:val="0057148C"/>
    <w:rsid w:val="0057217D"/>
    <w:rsid w:val="00572361"/>
    <w:rsid w:val="00572CC4"/>
    <w:rsid w:val="00572DB0"/>
    <w:rsid w:val="00572F18"/>
    <w:rsid w:val="005732C2"/>
    <w:rsid w:val="00573549"/>
    <w:rsid w:val="00573676"/>
    <w:rsid w:val="00573867"/>
    <w:rsid w:val="005739C9"/>
    <w:rsid w:val="00573BA9"/>
    <w:rsid w:val="00573DE4"/>
    <w:rsid w:val="00573FEA"/>
    <w:rsid w:val="00574360"/>
    <w:rsid w:val="00574389"/>
    <w:rsid w:val="00574793"/>
    <w:rsid w:val="005748F4"/>
    <w:rsid w:val="005749BD"/>
    <w:rsid w:val="00574FCB"/>
    <w:rsid w:val="00575173"/>
    <w:rsid w:val="005752C0"/>
    <w:rsid w:val="00575553"/>
    <w:rsid w:val="0057748D"/>
    <w:rsid w:val="005800D1"/>
    <w:rsid w:val="00580500"/>
    <w:rsid w:val="00581056"/>
    <w:rsid w:val="0058186E"/>
    <w:rsid w:val="00581E4B"/>
    <w:rsid w:val="005828A4"/>
    <w:rsid w:val="0058340E"/>
    <w:rsid w:val="00583466"/>
    <w:rsid w:val="00583AD2"/>
    <w:rsid w:val="00583BC5"/>
    <w:rsid w:val="00583FEF"/>
    <w:rsid w:val="00584B91"/>
    <w:rsid w:val="00584E1E"/>
    <w:rsid w:val="0058503D"/>
    <w:rsid w:val="0058524B"/>
    <w:rsid w:val="00585506"/>
    <w:rsid w:val="005855C3"/>
    <w:rsid w:val="00585835"/>
    <w:rsid w:val="00585C9D"/>
    <w:rsid w:val="00586186"/>
    <w:rsid w:val="00586326"/>
    <w:rsid w:val="00590032"/>
    <w:rsid w:val="005902EF"/>
    <w:rsid w:val="00590580"/>
    <w:rsid w:val="00590E60"/>
    <w:rsid w:val="00591909"/>
    <w:rsid w:val="00591917"/>
    <w:rsid w:val="00591D91"/>
    <w:rsid w:val="00591FD5"/>
    <w:rsid w:val="0059201F"/>
    <w:rsid w:val="005920E2"/>
    <w:rsid w:val="00592F4E"/>
    <w:rsid w:val="005932AF"/>
    <w:rsid w:val="0059398C"/>
    <w:rsid w:val="00594024"/>
    <w:rsid w:val="0059464E"/>
    <w:rsid w:val="005949BE"/>
    <w:rsid w:val="00594A0A"/>
    <w:rsid w:val="00594CC7"/>
    <w:rsid w:val="00594CFC"/>
    <w:rsid w:val="005955BB"/>
    <w:rsid w:val="00595AB8"/>
    <w:rsid w:val="00595D24"/>
    <w:rsid w:val="00595FA0"/>
    <w:rsid w:val="0059600D"/>
    <w:rsid w:val="005963B1"/>
    <w:rsid w:val="005966B3"/>
    <w:rsid w:val="00596BB0"/>
    <w:rsid w:val="00597196"/>
    <w:rsid w:val="00597242"/>
    <w:rsid w:val="0059776C"/>
    <w:rsid w:val="00597E43"/>
    <w:rsid w:val="005A016D"/>
    <w:rsid w:val="005A04E2"/>
    <w:rsid w:val="005A08DD"/>
    <w:rsid w:val="005A0DF8"/>
    <w:rsid w:val="005A0EE4"/>
    <w:rsid w:val="005A0FA6"/>
    <w:rsid w:val="005A0FED"/>
    <w:rsid w:val="005A10BE"/>
    <w:rsid w:val="005A1242"/>
    <w:rsid w:val="005A1A0A"/>
    <w:rsid w:val="005A1D9A"/>
    <w:rsid w:val="005A253D"/>
    <w:rsid w:val="005A298F"/>
    <w:rsid w:val="005A2AAB"/>
    <w:rsid w:val="005A33B2"/>
    <w:rsid w:val="005A3655"/>
    <w:rsid w:val="005A38D3"/>
    <w:rsid w:val="005A4033"/>
    <w:rsid w:val="005A40C3"/>
    <w:rsid w:val="005A4462"/>
    <w:rsid w:val="005A4821"/>
    <w:rsid w:val="005A4BA2"/>
    <w:rsid w:val="005A4E63"/>
    <w:rsid w:val="005A55A9"/>
    <w:rsid w:val="005A618D"/>
    <w:rsid w:val="005A64B8"/>
    <w:rsid w:val="005A67D1"/>
    <w:rsid w:val="005A6CA4"/>
    <w:rsid w:val="005A73A2"/>
    <w:rsid w:val="005A79A7"/>
    <w:rsid w:val="005A7A93"/>
    <w:rsid w:val="005B03E3"/>
    <w:rsid w:val="005B18CC"/>
    <w:rsid w:val="005B1A1C"/>
    <w:rsid w:val="005B1A70"/>
    <w:rsid w:val="005B1A8A"/>
    <w:rsid w:val="005B1C6B"/>
    <w:rsid w:val="005B1EF7"/>
    <w:rsid w:val="005B24D2"/>
    <w:rsid w:val="005B33C1"/>
    <w:rsid w:val="005B33DB"/>
    <w:rsid w:val="005B3589"/>
    <w:rsid w:val="005B3F8C"/>
    <w:rsid w:val="005B42EB"/>
    <w:rsid w:val="005B4683"/>
    <w:rsid w:val="005B4B8B"/>
    <w:rsid w:val="005B539D"/>
    <w:rsid w:val="005B6141"/>
    <w:rsid w:val="005B64BE"/>
    <w:rsid w:val="005B6573"/>
    <w:rsid w:val="005B65B7"/>
    <w:rsid w:val="005B6F58"/>
    <w:rsid w:val="005B778A"/>
    <w:rsid w:val="005B79D2"/>
    <w:rsid w:val="005B7A13"/>
    <w:rsid w:val="005B7C73"/>
    <w:rsid w:val="005C04D1"/>
    <w:rsid w:val="005C06E4"/>
    <w:rsid w:val="005C1C24"/>
    <w:rsid w:val="005C21D3"/>
    <w:rsid w:val="005C2F00"/>
    <w:rsid w:val="005C375C"/>
    <w:rsid w:val="005C3ADA"/>
    <w:rsid w:val="005C3B04"/>
    <w:rsid w:val="005C3EF2"/>
    <w:rsid w:val="005C4B58"/>
    <w:rsid w:val="005C5DB4"/>
    <w:rsid w:val="005C5ED8"/>
    <w:rsid w:val="005C60E0"/>
    <w:rsid w:val="005C6140"/>
    <w:rsid w:val="005C663B"/>
    <w:rsid w:val="005C7004"/>
    <w:rsid w:val="005C7487"/>
    <w:rsid w:val="005C7AFF"/>
    <w:rsid w:val="005C7FC9"/>
    <w:rsid w:val="005D0011"/>
    <w:rsid w:val="005D0118"/>
    <w:rsid w:val="005D0470"/>
    <w:rsid w:val="005D0E51"/>
    <w:rsid w:val="005D0F2C"/>
    <w:rsid w:val="005D12D0"/>
    <w:rsid w:val="005D1352"/>
    <w:rsid w:val="005D15C5"/>
    <w:rsid w:val="005D1A6C"/>
    <w:rsid w:val="005D1CEB"/>
    <w:rsid w:val="005D2AA7"/>
    <w:rsid w:val="005D2BFF"/>
    <w:rsid w:val="005D3A5E"/>
    <w:rsid w:val="005D4055"/>
    <w:rsid w:val="005D423E"/>
    <w:rsid w:val="005D4765"/>
    <w:rsid w:val="005D4848"/>
    <w:rsid w:val="005D4ABD"/>
    <w:rsid w:val="005D56F0"/>
    <w:rsid w:val="005D6111"/>
    <w:rsid w:val="005D6706"/>
    <w:rsid w:val="005D6816"/>
    <w:rsid w:val="005D719A"/>
    <w:rsid w:val="005D7FF6"/>
    <w:rsid w:val="005E07A3"/>
    <w:rsid w:val="005E1F6D"/>
    <w:rsid w:val="005E2089"/>
    <w:rsid w:val="005E2435"/>
    <w:rsid w:val="005E29DA"/>
    <w:rsid w:val="005E2C63"/>
    <w:rsid w:val="005E2D6D"/>
    <w:rsid w:val="005E3283"/>
    <w:rsid w:val="005E3754"/>
    <w:rsid w:val="005E3EC0"/>
    <w:rsid w:val="005E3FE5"/>
    <w:rsid w:val="005E4016"/>
    <w:rsid w:val="005E4238"/>
    <w:rsid w:val="005E4322"/>
    <w:rsid w:val="005E4425"/>
    <w:rsid w:val="005E44D2"/>
    <w:rsid w:val="005E467D"/>
    <w:rsid w:val="005E488A"/>
    <w:rsid w:val="005E48F6"/>
    <w:rsid w:val="005E4FB8"/>
    <w:rsid w:val="005E6193"/>
    <w:rsid w:val="005E6251"/>
    <w:rsid w:val="005E6252"/>
    <w:rsid w:val="005E6C1B"/>
    <w:rsid w:val="005E7750"/>
    <w:rsid w:val="005E78AC"/>
    <w:rsid w:val="005F0B62"/>
    <w:rsid w:val="005F1389"/>
    <w:rsid w:val="005F141C"/>
    <w:rsid w:val="005F1511"/>
    <w:rsid w:val="005F184A"/>
    <w:rsid w:val="005F198E"/>
    <w:rsid w:val="005F1D4D"/>
    <w:rsid w:val="005F1E40"/>
    <w:rsid w:val="005F26B8"/>
    <w:rsid w:val="005F2766"/>
    <w:rsid w:val="005F27D6"/>
    <w:rsid w:val="005F2AA0"/>
    <w:rsid w:val="005F2B5C"/>
    <w:rsid w:val="005F2CC0"/>
    <w:rsid w:val="005F31BE"/>
    <w:rsid w:val="005F3235"/>
    <w:rsid w:val="005F336C"/>
    <w:rsid w:val="005F3697"/>
    <w:rsid w:val="005F37B1"/>
    <w:rsid w:val="005F3B31"/>
    <w:rsid w:val="005F3CD8"/>
    <w:rsid w:val="005F41CE"/>
    <w:rsid w:val="005F43DD"/>
    <w:rsid w:val="005F50F5"/>
    <w:rsid w:val="005F536A"/>
    <w:rsid w:val="005F57C2"/>
    <w:rsid w:val="005F59E3"/>
    <w:rsid w:val="005F59EE"/>
    <w:rsid w:val="005F5AAA"/>
    <w:rsid w:val="005F606C"/>
    <w:rsid w:val="005F60FA"/>
    <w:rsid w:val="005F6F83"/>
    <w:rsid w:val="005F70C1"/>
    <w:rsid w:val="005F730D"/>
    <w:rsid w:val="005F7CA7"/>
    <w:rsid w:val="005F7DF2"/>
    <w:rsid w:val="0060001E"/>
    <w:rsid w:val="006001ED"/>
    <w:rsid w:val="00600401"/>
    <w:rsid w:val="006004FD"/>
    <w:rsid w:val="00600907"/>
    <w:rsid w:val="00600D20"/>
    <w:rsid w:val="00600DB9"/>
    <w:rsid w:val="00600E4F"/>
    <w:rsid w:val="006019FB"/>
    <w:rsid w:val="00601EF8"/>
    <w:rsid w:val="00602ACD"/>
    <w:rsid w:val="00603387"/>
    <w:rsid w:val="00603D63"/>
    <w:rsid w:val="006041E5"/>
    <w:rsid w:val="006042F3"/>
    <w:rsid w:val="00604B2B"/>
    <w:rsid w:val="00604B41"/>
    <w:rsid w:val="0060617B"/>
    <w:rsid w:val="0060660A"/>
    <w:rsid w:val="00606D51"/>
    <w:rsid w:val="006073A7"/>
    <w:rsid w:val="006074E5"/>
    <w:rsid w:val="00607701"/>
    <w:rsid w:val="00607810"/>
    <w:rsid w:val="00607815"/>
    <w:rsid w:val="00607D3C"/>
    <w:rsid w:val="006106DD"/>
    <w:rsid w:val="00610D80"/>
    <w:rsid w:val="006110AF"/>
    <w:rsid w:val="00611121"/>
    <w:rsid w:val="00611638"/>
    <w:rsid w:val="00611AEE"/>
    <w:rsid w:val="00611C0A"/>
    <w:rsid w:val="0061204C"/>
    <w:rsid w:val="00612055"/>
    <w:rsid w:val="00612161"/>
    <w:rsid w:val="0061248F"/>
    <w:rsid w:val="00612856"/>
    <w:rsid w:val="006134C4"/>
    <w:rsid w:val="00613894"/>
    <w:rsid w:val="00613967"/>
    <w:rsid w:val="00613ABD"/>
    <w:rsid w:val="00614DAA"/>
    <w:rsid w:val="00614E1A"/>
    <w:rsid w:val="0061547F"/>
    <w:rsid w:val="006156EF"/>
    <w:rsid w:val="006159BB"/>
    <w:rsid w:val="00615A34"/>
    <w:rsid w:val="00615CB1"/>
    <w:rsid w:val="00615DC1"/>
    <w:rsid w:val="006170B2"/>
    <w:rsid w:val="006175E9"/>
    <w:rsid w:val="0061762F"/>
    <w:rsid w:val="006176C0"/>
    <w:rsid w:val="00617C63"/>
    <w:rsid w:val="00617CC1"/>
    <w:rsid w:val="0062036D"/>
    <w:rsid w:val="00620733"/>
    <w:rsid w:val="00620A3E"/>
    <w:rsid w:val="006216A8"/>
    <w:rsid w:val="00621A02"/>
    <w:rsid w:val="00622242"/>
    <w:rsid w:val="00622815"/>
    <w:rsid w:val="00623202"/>
    <w:rsid w:val="00623984"/>
    <w:rsid w:val="00623A7E"/>
    <w:rsid w:val="00623AC4"/>
    <w:rsid w:val="00623CED"/>
    <w:rsid w:val="006242E3"/>
    <w:rsid w:val="006243C9"/>
    <w:rsid w:val="00624ADD"/>
    <w:rsid w:val="006251D9"/>
    <w:rsid w:val="006252F1"/>
    <w:rsid w:val="006252F2"/>
    <w:rsid w:val="00625818"/>
    <w:rsid w:val="00625902"/>
    <w:rsid w:val="00625ABA"/>
    <w:rsid w:val="006263C8"/>
    <w:rsid w:val="00626B8A"/>
    <w:rsid w:val="00626F2E"/>
    <w:rsid w:val="00627366"/>
    <w:rsid w:val="00627BCA"/>
    <w:rsid w:val="0063037B"/>
    <w:rsid w:val="0063044D"/>
    <w:rsid w:val="006305F7"/>
    <w:rsid w:val="00630EA4"/>
    <w:rsid w:val="00631044"/>
    <w:rsid w:val="0063104C"/>
    <w:rsid w:val="006314CB"/>
    <w:rsid w:val="00632120"/>
    <w:rsid w:val="00632274"/>
    <w:rsid w:val="0063302B"/>
    <w:rsid w:val="00633050"/>
    <w:rsid w:val="006337A7"/>
    <w:rsid w:val="006338D5"/>
    <w:rsid w:val="00633BE9"/>
    <w:rsid w:val="00633C3D"/>
    <w:rsid w:val="00633D4F"/>
    <w:rsid w:val="00633DD7"/>
    <w:rsid w:val="006343B5"/>
    <w:rsid w:val="006344F6"/>
    <w:rsid w:val="00635393"/>
    <w:rsid w:val="006358A3"/>
    <w:rsid w:val="00635FA4"/>
    <w:rsid w:val="006364DD"/>
    <w:rsid w:val="00636653"/>
    <w:rsid w:val="00636AFB"/>
    <w:rsid w:val="0063729A"/>
    <w:rsid w:val="0063747F"/>
    <w:rsid w:val="00637BD5"/>
    <w:rsid w:val="00637BFF"/>
    <w:rsid w:val="00637D91"/>
    <w:rsid w:val="00640300"/>
    <w:rsid w:val="00640A0D"/>
    <w:rsid w:val="00640A4A"/>
    <w:rsid w:val="00641012"/>
    <w:rsid w:val="00641060"/>
    <w:rsid w:val="006412C0"/>
    <w:rsid w:val="006412C4"/>
    <w:rsid w:val="00641BB4"/>
    <w:rsid w:val="00641BF6"/>
    <w:rsid w:val="0064239C"/>
    <w:rsid w:val="00642A92"/>
    <w:rsid w:val="0064357D"/>
    <w:rsid w:val="006437EB"/>
    <w:rsid w:val="006439F4"/>
    <w:rsid w:val="00643BF3"/>
    <w:rsid w:val="00643F1B"/>
    <w:rsid w:val="006442ED"/>
    <w:rsid w:val="0064458F"/>
    <w:rsid w:val="00644808"/>
    <w:rsid w:val="00644926"/>
    <w:rsid w:val="006449AA"/>
    <w:rsid w:val="00644C66"/>
    <w:rsid w:val="00644E19"/>
    <w:rsid w:val="00644FE5"/>
    <w:rsid w:val="006452EC"/>
    <w:rsid w:val="0064550A"/>
    <w:rsid w:val="00645FA1"/>
    <w:rsid w:val="006462AE"/>
    <w:rsid w:val="00646498"/>
    <w:rsid w:val="006465E0"/>
    <w:rsid w:val="006469B6"/>
    <w:rsid w:val="00646CC6"/>
    <w:rsid w:val="00646D9C"/>
    <w:rsid w:val="0064732D"/>
    <w:rsid w:val="0064763C"/>
    <w:rsid w:val="00647935"/>
    <w:rsid w:val="00647949"/>
    <w:rsid w:val="0065003A"/>
    <w:rsid w:val="00650662"/>
    <w:rsid w:val="00650A9D"/>
    <w:rsid w:val="00650CE6"/>
    <w:rsid w:val="0065163E"/>
    <w:rsid w:val="00652531"/>
    <w:rsid w:val="006526AB"/>
    <w:rsid w:val="00652773"/>
    <w:rsid w:val="0065295A"/>
    <w:rsid w:val="006533D5"/>
    <w:rsid w:val="006534EC"/>
    <w:rsid w:val="00653847"/>
    <w:rsid w:val="006543A4"/>
    <w:rsid w:val="0065454D"/>
    <w:rsid w:val="0065464B"/>
    <w:rsid w:val="00654D2E"/>
    <w:rsid w:val="00654F74"/>
    <w:rsid w:val="006557E3"/>
    <w:rsid w:val="006558FC"/>
    <w:rsid w:val="00655C63"/>
    <w:rsid w:val="00656720"/>
    <w:rsid w:val="00656A43"/>
    <w:rsid w:val="00656CDD"/>
    <w:rsid w:val="00656DBB"/>
    <w:rsid w:val="00656DBF"/>
    <w:rsid w:val="00657430"/>
    <w:rsid w:val="00657446"/>
    <w:rsid w:val="00657582"/>
    <w:rsid w:val="006578D3"/>
    <w:rsid w:val="00660324"/>
    <w:rsid w:val="00661DF8"/>
    <w:rsid w:val="00662485"/>
    <w:rsid w:val="00662B7E"/>
    <w:rsid w:val="00663430"/>
    <w:rsid w:val="006635D3"/>
    <w:rsid w:val="00664062"/>
    <w:rsid w:val="00664477"/>
    <w:rsid w:val="00664943"/>
    <w:rsid w:val="00664E35"/>
    <w:rsid w:val="006652CD"/>
    <w:rsid w:val="0066579C"/>
    <w:rsid w:val="006660C7"/>
    <w:rsid w:val="006664D0"/>
    <w:rsid w:val="006665AE"/>
    <w:rsid w:val="0066679F"/>
    <w:rsid w:val="00666A28"/>
    <w:rsid w:val="00666A57"/>
    <w:rsid w:val="00666D7D"/>
    <w:rsid w:val="00666DB5"/>
    <w:rsid w:val="00666F4D"/>
    <w:rsid w:val="00667106"/>
    <w:rsid w:val="00667208"/>
    <w:rsid w:val="00667297"/>
    <w:rsid w:val="006674D1"/>
    <w:rsid w:val="00667A81"/>
    <w:rsid w:val="006702BE"/>
    <w:rsid w:val="006710CF"/>
    <w:rsid w:val="0067148B"/>
    <w:rsid w:val="00671F4F"/>
    <w:rsid w:val="00672411"/>
    <w:rsid w:val="00672491"/>
    <w:rsid w:val="00672DA2"/>
    <w:rsid w:val="00672DDB"/>
    <w:rsid w:val="00673115"/>
    <w:rsid w:val="0067427E"/>
    <w:rsid w:val="006748DB"/>
    <w:rsid w:val="00674A2A"/>
    <w:rsid w:val="00674E73"/>
    <w:rsid w:val="0067527F"/>
    <w:rsid w:val="0067593A"/>
    <w:rsid w:val="00676795"/>
    <w:rsid w:val="00676888"/>
    <w:rsid w:val="00676B9A"/>
    <w:rsid w:val="00676D8A"/>
    <w:rsid w:val="00677955"/>
    <w:rsid w:val="00680762"/>
    <w:rsid w:val="006807BF"/>
    <w:rsid w:val="00680E86"/>
    <w:rsid w:val="006810F8"/>
    <w:rsid w:val="00681178"/>
    <w:rsid w:val="006815FE"/>
    <w:rsid w:val="00681EE3"/>
    <w:rsid w:val="006820A4"/>
    <w:rsid w:val="006820D0"/>
    <w:rsid w:val="006820F1"/>
    <w:rsid w:val="006824E7"/>
    <w:rsid w:val="00682567"/>
    <w:rsid w:val="00682A6A"/>
    <w:rsid w:val="00682EED"/>
    <w:rsid w:val="006835A5"/>
    <w:rsid w:val="00683655"/>
    <w:rsid w:val="00683B3F"/>
    <w:rsid w:val="00683E14"/>
    <w:rsid w:val="00683EEF"/>
    <w:rsid w:val="00683F32"/>
    <w:rsid w:val="00684B4F"/>
    <w:rsid w:val="00684B70"/>
    <w:rsid w:val="00684D42"/>
    <w:rsid w:val="00685094"/>
    <w:rsid w:val="006855D4"/>
    <w:rsid w:val="0068578D"/>
    <w:rsid w:val="0068581E"/>
    <w:rsid w:val="00685930"/>
    <w:rsid w:val="00685DA0"/>
    <w:rsid w:val="00685EF7"/>
    <w:rsid w:val="006860A5"/>
    <w:rsid w:val="006860C7"/>
    <w:rsid w:val="006866F6"/>
    <w:rsid w:val="0068678D"/>
    <w:rsid w:val="00686B9C"/>
    <w:rsid w:val="00686E13"/>
    <w:rsid w:val="0068702C"/>
    <w:rsid w:val="00687CC5"/>
    <w:rsid w:val="00690E0F"/>
    <w:rsid w:val="0069167B"/>
    <w:rsid w:val="00692552"/>
    <w:rsid w:val="0069261A"/>
    <w:rsid w:val="00692A03"/>
    <w:rsid w:val="00692AC6"/>
    <w:rsid w:val="00692F31"/>
    <w:rsid w:val="00693182"/>
    <w:rsid w:val="00693459"/>
    <w:rsid w:val="00693732"/>
    <w:rsid w:val="0069389A"/>
    <w:rsid w:val="00693979"/>
    <w:rsid w:val="00694163"/>
    <w:rsid w:val="006941AD"/>
    <w:rsid w:val="006943CF"/>
    <w:rsid w:val="00694449"/>
    <w:rsid w:val="00694676"/>
    <w:rsid w:val="00694851"/>
    <w:rsid w:val="00695045"/>
    <w:rsid w:val="00695418"/>
    <w:rsid w:val="00695489"/>
    <w:rsid w:val="00695F34"/>
    <w:rsid w:val="0069611D"/>
    <w:rsid w:val="00696483"/>
    <w:rsid w:val="006968C4"/>
    <w:rsid w:val="0069705E"/>
    <w:rsid w:val="006972BB"/>
    <w:rsid w:val="0069731C"/>
    <w:rsid w:val="00697C40"/>
    <w:rsid w:val="00697D50"/>
    <w:rsid w:val="00697E15"/>
    <w:rsid w:val="00697EDD"/>
    <w:rsid w:val="006A0468"/>
    <w:rsid w:val="006A04A7"/>
    <w:rsid w:val="006A1259"/>
    <w:rsid w:val="006A14C6"/>
    <w:rsid w:val="006A16D6"/>
    <w:rsid w:val="006A185B"/>
    <w:rsid w:val="006A1B3C"/>
    <w:rsid w:val="006A2346"/>
    <w:rsid w:val="006A27EB"/>
    <w:rsid w:val="006A2CC9"/>
    <w:rsid w:val="006A30DC"/>
    <w:rsid w:val="006A33F7"/>
    <w:rsid w:val="006A39EB"/>
    <w:rsid w:val="006A42CC"/>
    <w:rsid w:val="006A4685"/>
    <w:rsid w:val="006A46F7"/>
    <w:rsid w:val="006A5CD5"/>
    <w:rsid w:val="006A5F57"/>
    <w:rsid w:val="006A63BD"/>
    <w:rsid w:val="006A6570"/>
    <w:rsid w:val="006A694F"/>
    <w:rsid w:val="006A6F3B"/>
    <w:rsid w:val="006A7A3E"/>
    <w:rsid w:val="006A7A49"/>
    <w:rsid w:val="006B00FF"/>
    <w:rsid w:val="006B03CF"/>
    <w:rsid w:val="006B0CDF"/>
    <w:rsid w:val="006B0DDE"/>
    <w:rsid w:val="006B157F"/>
    <w:rsid w:val="006B176B"/>
    <w:rsid w:val="006B1F3E"/>
    <w:rsid w:val="006B231D"/>
    <w:rsid w:val="006B2326"/>
    <w:rsid w:val="006B25BA"/>
    <w:rsid w:val="006B3402"/>
    <w:rsid w:val="006B3868"/>
    <w:rsid w:val="006B3884"/>
    <w:rsid w:val="006B395B"/>
    <w:rsid w:val="006B42FA"/>
    <w:rsid w:val="006B433C"/>
    <w:rsid w:val="006B4B54"/>
    <w:rsid w:val="006B52AD"/>
    <w:rsid w:val="006B52E2"/>
    <w:rsid w:val="006B5AD4"/>
    <w:rsid w:val="006B5E91"/>
    <w:rsid w:val="006B60DE"/>
    <w:rsid w:val="006B6967"/>
    <w:rsid w:val="006B7151"/>
    <w:rsid w:val="006B7F57"/>
    <w:rsid w:val="006C11F3"/>
    <w:rsid w:val="006C18D2"/>
    <w:rsid w:val="006C1BAE"/>
    <w:rsid w:val="006C244F"/>
    <w:rsid w:val="006C2660"/>
    <w:rsid w:val="006C26F4"/>
    <w:rsid w:val="006C2738"/>
    <w:rsid w:val="006C2AF8"/>
    <w:rsid w:val="006C2CC4"/>
    <w:rsid w:val="006C3105"/>
    <w:rsid w:val="006C31AD"/>
    <w:rsid w:val="006C3291"/>
    <w:rsid w:val="006C39C0"/>
    <w:rsid w:val="006C3ADB"/>
    <w:rsid w:val="006C481B"/>
    <w:rsid w:val="006C4E68"/>
    <w:rsid w:val="006C4FFD"/>
    <w:rsid w:val="006C515D"/>
    <w:rsid w:val="006C54FE"/>
    <w:rsid w:val="006C58D7"/>
    <w:rsid w:val="006C5CBB"/>
    <w:rsid w:val="006C5F3F"/>
    <w:rsid w:val="006C6178"/>
    <w:rsid w:val="006C655E"/>
    <w:rsid w:val="006C65FE"/>
    <w:rsid w:val="006C6885"/>
    <w:rsid w:val="006C69AE"/>
    <w:rsid w:val="006C6BDF"/>
    <w:rsid w:val="006C6C74"/>
    <w:rsid w:val="006C6FE5"/>
    <w:rsid w:val="006C7331"/>
    <w:rsid w:val="006C794F"/>
    <w:rsid w:val="006C7EF8"/>
    <w:rsid w:val="006D0516"/>
    <w:rsid w:val="006D0709"/>
    <w:rsid w:val="006D0731"/>
    <w:rsid w:val="006D0FEE"/>
    <w:rsid w:val="006D1253"/>
    <w:rsid w:val="006D13B8"/>
    <w:rsid w:val="006D19F0"/>
    <w:rsid w:val="006D2137"/>
    <w:rsid w:val="006D2220"/>
    <w:rsid w:val="006D2526"/>
    <w:rsid w:val="006D2B58"/>
    <w:rsid w:val="006D2F44"/>
    <w:rsid w:val="006D32D9"/>
    <w:rsid w:val="006D3725"/>
    <w:rsid w:val="006D3905"/>
    <w:rsid w:val="006D41D8"/>
    <w:rsid w:val="006D41E4"/>
    <w:rsid w:val="006D462A"/>
    <w:rsid w:val="006D48FE"/>
    <w:rsid w:val="006D4D6C"/>
    <w:rsid w:val="006D57D4"/>
    <w:rsid w:val="006D5840"/>
    <w:rsid w:val="006D5EBC"/>
    <w:rsid w:val="006D6C7B"/>
    <w:rsid w:val="006D6EF6"/>
    <w:rsid w:val="006D7051"/>
    <w:rsid w:val="006D7285"/>
    <w:rsid w:val="006D7461"/>
    <w:rsid w:val="006D7932"/>
    <w:rsid w:val="006D7936"/>
    <w:rsid w:val="006E021E"/>
    <w:rsid w:val="006E0DA2"/>
    <w:rsid w:val="006E0F8D"/>
    <w:rsid w:val="006E1062"/>
    <w:rsid w:val="006E13DE"/>
    <w:rsid w:val="006E1595"/>
    <w:rsid w:val="006E1A58"/>
    <w:rsid w:val="006E2189"/>
    <w:rsid w:val="006E22E4"/>
    <w:rsid w:val="006E2469"/>
    <w:rsid w:val="006E254A"/>
    <w:rsid w:val="006E2A75"/>
    <w:rsid w:val="006E32C0"/>
    <w:rsid w:val="006E350D"/>
    <w:rsid w:val="006E379E"/>
    <w:rsid w:val="006E3B7A"/>
    <w:rsid w:val="006E3F1E"/>
    <w:rsid w:val="006E4A54"/>
    <w:rsid w:val="006E5435"/>
    <w:rsid w:val="006E5454"/>
    <w:rsid w:val="006E5DC9"/>
    <w:rsid w:val="006E5F58"/>
    <w:rsid w:val="006E6694"/>
    <w:rsid w:val="006E6C1C"/>
    <w:rsid w:val="006E74AC"/>
    <w:rsid w:val="006E74CF"/>
    <w:rsid w:val="006E74ED"/>
    <w:rsid w:val="006E7A66"/>
    <w:rsid w:val="006E7F80"/>
    <w:rsid w:val="006F0B6E"/>
    <w:rsid w:val="006F0BDD"/>
    <w:rsid w:val="006F0EBB"/>
    <w:rsid w:val="006F10D9"/>
    <w:rsid w:val="006F1145"/>
    <w:rsid w:val="006F1419"/>
    <w:rsid w:val="006F1561"/>
    <w:rsid w:val="006F1A2B"/>
    <w:rsid w:val="006F1EB7"/>
    <w:rsid w:val="006F2C49"/>
    <w:rsid w:val="006F2DE7"/>
    <w:rsid w:val="006F30A5"/>
    <w:rsid w:val="006F4D29"/>
    <w:rsid w:val="006F4E67"/>
    <w:rsid w:val="006F529D"/>
    <w:rsid w:val="006F5592"/>
    <w:rsid w:val="006F595E"/>
    <w:rsid w:val="006F5B0F"/>
    <w:rsid w:val="006F5C6F"/>
    <w:rsid w:val="006F6B92"/>
    <w:rsid w:val="006F6DCC"/>
    <w:rsid w:val="006F6E4F"/>
    <w:rsid w:val="006F7062"/>
    <w:rsid w:val="006F7362"/>
    <w:rsid w:val="006F77E7"/>
    <w:rsid w:val="006F7D4F"/>
    <w:rsid w:val="00700205"/>
    <w:rsid w:val="00700EF2"/>
    <w:rsid w:val="0070139A"/>
    <w:rsid w:val="00701B72"/>
    <w:rsid w:val="00702107"/>
    <w:rsid w:val="0070289A"/>
    <w:rsid w:val="00702E5B"/>
    <w:rsid w:val="0070322D"/>
    <w:rsid w:val="00703289"/>
    <w:rsid w:val="0070334A"/>
    <w:rsid w:val="007036E9"/>
    <w:rsid w:val="007037E2"/>
    <w:rsid w:val="00703BAC"/>
    <w:rsid w:val="00703C3C"/>
    <w:rsid w:val="00703C6B"/>
    <w:rsid w:val="00703DF7"/>
    <w:rsid w:val="00703EC6"/>
    <w:rsid w:val="007040E9"/>
    <w:rsid w:val="00704736"/>
    <w:rsid w:val="007048B3"/>
    <w:rsid w:val="00704BD9"/>
    <w:rsid w:val="007051D1"/>
    <w:rsid w:val="007052CD"/>
    <w:rsid w:val="007055BC"/>
    <w:rsid w:val="0070562D"/>
    <w:rsid w:val="00705B28"/>
    <w:rsid w:val="0070688C"/>
    <w:rsid w:val="00706C57"/>
    <w:rsid w:val="0070719C"/>
    <w:rsid w:val="00707B41"/>
    <w:rsid w:val="00707CE2"/>
    <w:rsid w:val="0071003A"/>
    <w:rsid w:val="00710CEB"/>
    <w:rsid w:val="00710D50"/>
    <w:rsid w:val="00710DCE"/>
    <w:rsid w:val="00711277"/>
    <w:rsid w:val="0071127C"/>
    <w:rsid w:val="0071139F"/>
    <w:rsid w:val="00711448"/>
    <w:rsid w:val="007114C3"/>
    <w:rsid w:val="00711660"/>
    <w:rsid w:val="007117D7"/>
    <w:rsid w:val="00711CAE"/>
    <w:rsid w:val="00711E3C"/>
    <w:rsid w:val="00712B21"/>
    <w:rsid w:val="00712F88"/>
    <w:rsid w:val="007132FA"/>
    <w:rsid w:val="00713F6B"/>
    <w:rsid w:val="007142AA"/>
    <w:rsid w:val="007144F2"/>
    <w:rsid w:val="007147D9"/>
    <w:rsid w:val="00714A7B"/>
    <w:rsid w:val="00714E4F"/>
    <w:rsid w:val="00714EE5"/>
    <w:rsid w:val="0071539E"/>
    <w:rsid w:val="00716A79"/>
    <w:rsid w:val="007175EE"/>
    <w:rsid w:val="00717AA1"/>
    <w:rsid w:val="00717F01"/>
    <w:rsid w:val="007204C9"/>
    <w:rsid w:val="0072057E"/>
    <w:rsid w:val="007205C2"/>
    <w:rsid w:val="00720E67"/>
    <w:rsid w:val="00720E72"/>
    <w:rsid w:val="007210C8"/>
    <w:rsid w:val="0072134E"/>
    <w:rsid w:val="007213C1"/>
    <w:rsid w:val="007214DB"/>
    <w:rsid w:val="00721690"/>
    <w:rsid w:val="00721C72"/>
    <w:rsid w:val="00721DCD"/>
    <w:rsid w:val="007227B8"/>
    <w:rsid w:val="007232C1"/>
    <w:rsid w:val="007238E4"/>
    <w:rsid w:val="00723915"/>
    <w:rsid w:val="00723ADF"/>
    <w:rsid w:val="00723B6E"/>
    <w:rsid w:val="00724079"/>
    <w:rsid w:val="00724213"/>
    <w:rsid w:val="00724398"/>
    <w:rsid w:val="0072448D"/>
    <w:rsid w:val="007248B7"/>
    <w:rsid w:val="00724D46"/>
    <w:rsid w:val="00725194"/>
    <w:rsid w:val="00725308"/>
    <w:rsid w:val="00725750"/>
    <w:rsid w:val="00725944"/>
    <w:rsid w:val="00725C02"/>
    <w:rsid w:val="00725CDF"/>
    <w:rsid w:val="00725E9A"/>
    <w:rsid w:val="007268CB"/>
    <w:rsid w:val="00727448"/>
    <w:rsid w:val="007276E8"/>
    <w:rsid w:val="0072774F"/>
    <w:rsid w:val="00727C27"/>
    <w:rsid w:val="00727F7A"/>
    <w:rsid w:val="007300AE"/>
    <w:rsid w:val="00730144"/>
    <w:rsid w:val="007303A2"/>
    <w:rsid w:val="0073043E"/>
    <w:rsid w:val="00730A89"/>
    <w:rsid w:val="007311E1"/>
    <w:rsid w:val="00731C54"/>
    <w:rsid w:val="00731E81"/>
    <w:rsid w:val="00732AD6"/>
    <w:rsid w:val="00732AEC"/>
    <w:rsid w:val="00732B28"/>
    <w:rsid w:val="00732B93"/>
    <w:rsid w:val="00732C2F"/>
    <w:rsid w:val="00732D81"/>
    <w:rsid w:val="00733161"/>
    <w:rsid w:val="00733534"/>
    <w:rsid w:val="007337A8"/>
    <w:rsid w:val="0073383A"/>
    <w:rsid w:val="00733940"/>
    <w:rsid w:val="0073396F"/>
    <w:rsid w:val="00733A6A"/>
    <w:rsid w:val="007341DE"/>
    <w:rsid w:val="0073441E"/>
    <w:rsid w:val="0073462A"/>
    <w:rsid w:val="00734B36"/>
    <w:rsid w:val="007352F6"/>
    <w:rsid w:val="007356BC"/>
    <w:rsid w:val="00736478"/>
    <w:rsid w:val="00736C23"/>
    <w:rsid w:val="007378E8"/>
    <w:rsid w:val="00737BB4"/>
    <w:rsid w:val="00737C8D"/>
    <w:rsid w:val="0074048F"/>
    <w:rsid w:val="007407CE"/>
    <w:rsid w:val="0074126C"/>
    <w:rsid w:val="007417C4"/>
    <w:rsid w:val="00741C60"/>
    <w:rsid w:val="00741F74"/>
    <w:rsid w:val="007422E9"/>
    <w:rsid w:val="0074303B"/>
    <w:rsid w:val="00743298"/>
    <w:rsid w:val="00743867"/>
    <w:rsid w:val="0074395E"/>
    <w:rsid w:val="0074407E"/>
    <w:rsid w:val="007442E9"/>
    <w:rsid w:val="007448DF"/>
    <w:rsid w:val="007449BB"/>
    <w:rsid w:val="00744A41"/>
    <w:rsid w:val="00744DA0"/>
    <w:rsid w:val="00744E17"/>
    <w:rsid w:val="007454F4"/>
    <w:rsid w:val="0074558C"/>
    <w:rsid w:val="007459E8"/>
    <w:rsid w:val="00745ADB"/>
    <w:rsid w:val="00745C2C"/>
    <w:rsid w:val="00746619"/>
    <w:rsid w:val="00746AF5"/>
    <w:rsid w:val="0074708B"/>
    <w:rsid w:val="00747513"/>
    <w:rsid w:val="0075030A"/>
    <w:rsid w:val="007503E4"/>
    <w:rsid w:val="00750520"/>
    <w:rsid w:val="00750BA3"/>
    <w:rsid w:val="00750D43"/>
    <w:rsid w:val="00750E6A"/>
    <w:rsid w:val="00750F07"/>
    <w:rsid w:val="00751020"/>
    <w:rsid w:val="0075107F"/>
    <w:rsid w:val="00751A90"/>
    <w:rsid w:val="00751BF4"/>
    <w:rsid w:val="00751F24"/>
    <w:rsid w:val="00751FE6"/>
    <w:rsid w:val="007527C9"/>
    <w:rsid w:val="0075280C"/>
    <w:rsid w:val="00752BDD"/>
    <w:rsid w:val="00753035"/>
    <w:rsid w:val="00753116"/>
    <w:rsid w:val="007531B7"/>
    <w:rsid w:val="007538C3"/>
    <w:rsid w:val="00753A11"/>
    <w:rsid w:val="00753E0E"/>
    <w:rsid w:val="00753E27"/>
    <w:rsid w:val="00754033"/>
    <w:rsid w:val="00754180"/>
    <w:rsid w:val="0075468A"/>
    <w:rsid w:val="00754B4B"/>
    <w:rsid w:val="00754DB2"/>
    <w:rsid w:val="00755007"/>
    <w:rsid w:val="00756511"/>
    <w:rsid w:val="007568B7"/>
    <w:rsid w:val="00756995"/>
    <w:rsid w:val="007569E6"/>
    <w:rsid w:val="00757106"/>
    <w:rsid w:val="00757298"/>
    <w:rsid w:val="00760293"/>
    <w:rsid w:val="00760366"/>
    <w:rsid w:val="00760378"/>
    <w:rsid w:val="007603C1"/>
    <w:rsid w:val="00760779"/>
    <w:rsid w:val="00760DEB"/>
    <w:rsid w:val="007610E5"/>
    <w:rsid w:val="00761512"/>
    <w:rsid w:val="007615B7"/>
    <w:rsid w:val="007617F0"/>
    <w:rsid w:val="007618DA"/>
    <w:rsid w:val="00761E47"/>
    <w:rsid w:val="00762119"/>
    <w:rsid w:val="007622AA"/>
    <w:rsid w:val="00762374"/>
    <w:rsid w:val="00762C77"/>
    <w:rsid w:val="00762FEC"/>
    <w:rsid w:val="007633FE"/>
    <w:rsid w:val="00763C5F"/>
    <w:rsid w:val="0076408D"/>
    <w:rsid w:val="0076437B"/>
    <w:rsid w:val="00764547"/>
    <w:rsid w:val="007645A0"/>
    <w:rsid w:val="007645A9"/>
    <w:rsid w:val="007646A2"/>
    <w:rsid w:val="00765F7A"/>
    <w:rsid w:val="00766552"/>
    <w:rsid w:val="0076664F"/>
    <w:rsid w:val="00766B3D"/>
    <w:rsid w:val="00766C07"/>
    <w:rsid w:val="00766DE9"/>
    <w:rsid w:val="00767181"/>
    <w:rsid w:val="00767B49"/>
    <w:rsid w:val="00767B92"/>
    <w:rsid w:val="0077007B"/>
    <w:rsid w:val="0077087E"/>
    <w:rsid w:val="00770AC4"/>
    <w:rsid w:val="00771414"/>
    <w:rsid w:val="007714A1"/>
    <w:rsid w:val="00771B3F"/>
    <w:rsid w:val="00771CC2"/>
    <w:rsid w:val="00772384"/>
    <w:rsid w:val="00772701"/>
    <w:rsid w:val="00772779"/>
    <w:rsid w:val="00772E83"/>
    <w:rsid w:val="00772FB3"/>
    <w:rsid w:val="007733D9"/>
    <w:rsid w:val="00773CD5"/>
    <w:rsid w:val="00773FEA"/>
    <w:rsid w:val="0077427A"/>
    <w:rsid w:val="00774358"/>
    <w:rsid w:val="00774871"/>
    <w:rsid w:val="00774AFE"/>
    <w:rsid w:val="00774FC4"/>
    <w:rsid w:val="00775220"/>
    <w:rsid w:val="0077569A"/>
    <w:rsid w:val="007756E7"/>
    <w:rsid w:val="00775A4F"/>
    <w:rsid w:val="00775CCE"/>
    <w:rsid w:val="0077660C"/>
    <w:rsid w:val="0077680B"/>
    <w:rsid w:val="00777065"/>
    <w:rsid w:val="00777135"/>
    <w:rsid w:val="0077733B"/>
    <w:rsid w:val="00777369"/>
    <w:rsid w:val="007773A4"/>
    <w:rsid w:val="007777E0"/>
    <w:rsid w:val="00777994"/>
    <w:rsid w:val="00777B8B"/>
    <w:rsid w:val="007804A2"/>
    <w:rsid w:val="00780D0D"/>
    <w:rsid w:val="00780EC9"/>
    <w:rsid w:val="007813FC"/>
    <w:rsid w:val="007819C0"/>
    <w:rsid w:val="00781BD5"/>
    <w:rsid w:val="00781EBD"/>
    <w:rsid w:val="00782C0E"/>
    <w:rsid w:val="00783027"/>
    <w:rsid w:val="007832F3"/>
    <w:rsid w:val="007837BF"/>
    <w:rsid w:val="007840CB"/>
    <w:rsid w:val="007843FC"/>
    <w:rsid w:val="0078497D"/>
    <w:rsid w:val="00784B62"/>
    <w:rsid w:val="00784C6C"/>
    <w:rsid w:val="00784D0A"/>
    <w:rsid w:val="007852EE"/>
    <w:rsid w:val="007856EC"/>
    <w:rsid w:val="00786071"/>
    <w:rsid w:val="007860EE"/>
    <w:rsid w:val="0078638A"/>
    <w:rsid w:val="007864C1"/>
    <w:rsid w:val="00786634"/>
    <w:rsid w:val="00786881"/>
    <w:rsid w:val="0078693E"/>
    <w:rsid w:val="00786CBC"/>
    <w:rsid w:val="007870D7"/>
    <w:rsid w:val="00787186"/>
    <w:rsid w:val="00787752"/>
    <w:rsid w:val="00787BA4"/>
    <w:rsid w:val="00787D9C"/>
    <w:rsid w:val="00787FE2"/>
    <w:rsid w:val="0079070E"/>
    <w:rsid w:val="00790DE4"/>
    <w:rsid w:val="00790EEB"/>
    <w:rsid w:val="00790F29"/>
    <w:rsid w:val="007911B8"/>
    <w:rsid w:val="00791500"/>
    <w:rsid w:val="00791841"/>
    <w:rsid w:val="00791AC3"/>
    <w:rsid w:val="00791FEC"/>
    <w:rsid w:val="007921C8"/>
    <w:rsid w:val="00792707"/>
    <w:rsid w:val="007929A6"/>
    <w:rsid w:val="0079330A"/>
    <w:rsid w:val="007933CB"/>
    <w:rsid w:val="007933E2"/>
    <w:rsid w:val="007936C2"/>
    <w:rsid w:val="0079382E"/>
    <w:rsid w:val="00793B2D"/>
    <w:rsid w:val="00793C78"/>
    <w:rsid w:val="00793ECB"/>
    <w:rsid w:val="00793EFF"/>
    <w:rsid w:val="00794210"/>
    <w:rsid w:val="00794683"/>
    <w:rsid w:val="00794F0F"/>
    <w:rsid w:val="00795B4B"/>
    <w:rsid w:val="00795CAC"/>
    <w:rsid w:val="0079602D"/>
    <w:rsid w:val="0079640A"/>
    <w:rsid w:val="00796619"/>
    <w:rsid w:val="00796A91"/>
    <w:rsid w:val="00796BF6"/>
    <w:rsid w:val="00796C29"/>
    <w:rsid w:val="00796D94"/>
    <w:rsid w:val="007976C6"/>
    <w:rsid w:val="00797848"/>
    <w:rsid w:val="00797C66"/>
    <w:rsid w:val="00797CB8"/>
    <w:rsid w:val="00797DF0"/>
    <w:rsid w:val="00797E4C"/>
    <w:rsid w:val="007A0020"/>
    <w:rsid w:val="007A0F21"/>
    <w:rsid w:val="007A1340"/>
    <w:rsid w:val="007A15F0"/>
    <w:rsid w:val="007A1B42"/>
    <w:rsid w:val="007A1D0D"/>
    <w:rsid w:val="007A2153"/>
    <w:rsid w:val="007A2ACD"/>
    <w:rsid w:val="007A2CEE"/>
    <w:rsid w:val="007A2E9C"/>
    <w:rsid w:val="007A2FF5"/>
    <w:rsid w:val="007A300C"/>
    <w:rsid w:val="007A3EBC"/>
    <w:rsid w:val="007A4256"/>
    <w:rsid w:val="007A4554"/>
    <w:rsid w:val="007A461B"/>
    <w:rsid w:val="007A48CF"/>
    <w:rsid w:val="007A4E46"/>
    <w:rsid w:val="007A5091"/>
    <w:rsid w:val="007A5B6B"/>
    <w:rsid w:val="007A6535"/>
    <w:rsid w:val="007A6CE3"/>
    <w:rsid w:val="007A716D"/>
    <w:rsid w:val="007A71FF"/>
    <w:rsid w:val="007A736C"/>
    <w:rsid w:val="007A737B"/>
    <w:rsid w:val="007A778B"/>
    <w:rsid w:val="007A7B53"/>
    <w:rsid w:val="007A7C28"/>
    <w:rsid w:val="007A7D0D"/>
    <w:rsid w:val="007A7D5A"/>
    <w:rsid w:val="007B0347"/>
    <w:rsid w:val="007B042D"/>
    <w:rsid w:val="007B0E5A"/>
    <w:rsid w:val="007B10CE"/>
    <w:rsid w:val="007B174C"/>
    <w:rsid w:val="007B22C2"/>
    <w:rsid w:val="007B3262"/>
    <w:rsid w:val="007B44A0"/>
    <w:rsid w:val="007B47F0"/>
    <w:rsid w:val="007B4891"/>
    <w:rsid w:val="007B4BC2"/>
    <w:rsid w:val="007B4DA6"/>
    <w:rsid w:val="007B5237"/>
    <w:rsid w:val="007B5588"/>
    <w:rsid w:val="007B56CB"/>
    <w:rsid w:val="007B5E90"/>
    <w:rsid w:val="007B60E2"/>
    <w:rsid w:val="007B6195"/>
    <w:rsid w:val="007B61C3"/>
    <w:rsid w:val="007B6334"/>
    <w:rsid w:val="007B63F5"/>
    <w:rsid w:val="007B6A4D"/>
    <w:rsid w:val="007B7820"/>
    <w:rsid w:val="007B7CA8"/>
    <w:rsid w:val="007B7D0D"/>
    <w:rsid w:val="007B7E72"/>
    <w:rsid w:val="007B7F57"/>
    <w:rsid w:val="007C02F0"/>
    <w:rsid w:val="007C0501"/>
    <w:rsid w:val="007C0E80"/>
    <w:rsid w:val="007C11AB"/>
    <w:rsid w:val="007C169C"/>
    <w:rsid w:val="007C186B"/>
    <w:rsid w:val="007C20B0"/>
    <w:rsid w:val="007C2253"/>
    <w:rsid w:val="007C233D"/>
    <w:rsid w:val="007C2A35"/>
    <w:rsid w:val="007C2C57"/>
    <w:rsid w:val="007C2D7B"/>
    <w:rsid w:val="007C37D8"/>
    <w:rsid w:val="007C4118"/>
    <w:rsid w:val="007C4436"/>
    <w:rsid w:val="007C44A3"/>
    <w:rsid w:val="007C45B4"/>
    <w:rsid w:val="007C4668"/>
    <w:rsid w:val="007C5FF5"/>
    <w:rsid w:val="007C60C8"/>
    <w:rsid w:val="007C6465"/>
    <w:rsid w:val="007C678F"/>
    <w:rsid w:val="007C6FD3"/>
    <w:rsid w:val="007C7118"/>
    <w:rsid w:val="007C712E"/>
    <w:rsid w:val="007C7434"/>
    <w:rsid w:val="007C7483"/>
    <w:rsid w:val="007C777D"/>
    <w:rsid w:val="007C7833"/>
    <w:rsid w:val="007C7C10"/>
    <w:rsid w:val="007C7DF8"/>
    <w:rsid w:val="007C7F96"/>
    <w:rsid w:val="007D00B3"/>
    <w:rsid w:val="007D046D"/>
    <w:rsid w:val="007D061C"/>
    <w:rsid w:val="007D06C3"/>
    <w:rsid w:val="007D1097"/>
    <w:rsid w:val="007D15AC"/>
    <w:rsid w:val="007D2CC6"/>
    <w:rsid w:val="007D3894"/>
    <w:rsid w:val="007D39AD"/>
    <w:rsid w:val="007D3E9B"/>
    <w:rsid w:val="007D4391"/>
    <w:rsid w:val="007D495C"/>
    <w:rsid w:val="007D52FF"/>
    <w:rsid w:val="007D5379"/>
    <w:rsid w:val="007D5958"/>
    <w:rsid w:val="007D66D1"/>
    <w:rsid w:val="007D692B"/>
    <w:rsid w:val="007D6F1A"/>
    <w:rsid w:val="007D70EB"/>
    <w:rsid w:val="007D711C"/>
    <w:rsid w:val="007D7FF7"/>
    <w:rsid w:val="007E049E"/>
    <w:rsid w:val="007E0761"/>
    <w:rsid w:val="007E0E20"/>
    <w:rsid w:val="007E1483"/>
    <w:rsid w:val="007E15F4"/>
    <w:rsid w:val="007E1922"/>
    <w:rsid w:val="007E1E54"/>
    <w:rsid w:val="007E2764"/>
    <w:rsid w:val="007E2B46"/>
    <w:rsid w:val="007E2C77"/>
    <w:rsid w:val="007E3470"/>
    <w:rsid w:val="007E3645"/>
    <w:rsid w:val="007E39E8"/>
    <w:rsid w:val="007E416A"/>
    <w:rsid w:val="007E4182"/>
    <w:rsid w:val="007E4422"/>
    <w:rsid w:val="007E5815"/>
    <w:rsid w:val="007E5A4E"/>
    <w:rsid w:val="007E60CF"/>
    <w:rsid w:val="007E6ED2"/>
    <w:rsid w:val="007E7032"/>
    <w:rsid w:val="007E761F"/>
    <w:rsid w:val="007E76C2"/>
    <w:rsid w:val="007E7A8F"/>
    <w:rsid w:val="007EB4E4"/>
    <w:rsid w:val="007F04BF"/>
    <w:rsid w:val="007F0704"/>
    <w:rsid w:val="007F08E1"/>
    <w:rsid w:val="007F0DC9"/>
    <w:rsid w:val="007F0E4D"/>
    <w:rsid w:val="007F0EFB"/>
    <w:rsid w:val="007F1AAD"/>
    <w:rsid w:val="007F1D40"/>
    <w:rsid w:val="007F2065"/>
    <w:rsid w:val="007F25A8"/>
    <w:rsid w:val="007F317C"/>
    <w:rsid w:val="007F3755"/>
    <w:rsid w:val="007F4238"/>
    <w:rsid w:val="007F497C"/>
    <w:rsid w:val="007F4CF7"/>
    <w:rsid w:val="007F50A1"/>
    <w:rsid w:val="007F52F7"/>
    <w:rsid w:val="007F5593"/>
    <w:rsid w:val="007F5730"/>
    <w:rsid w:val="007F5A46"/>
    <w:rsid w:val="007F5B5A"/>
    <w:rsid w:val="007F5CF7"/>
    <w:rsid w:val="007F694D"/>
    <w:rsid w:val="007F6BB1"/>
    <w:rsid w:val="007F6EE1"/>
    <w:rsid w:val="007F7E63"/>
    <w:rsid w:val="00800853"/>
    <w:rsid w:val="00800DF4"/>
    <w:rsid w:val="00801FFA"/>
    <w:rsid w:val="00802021"/>
    <w:rsid w:val="008021BC"/>
    <w:rsid w:val="008025C7"/>
    <w:rsid w:val="008028A3"/>
    <w:rsid w:val="0080378F"/>
    <w:rsid w:val="0080483B"/>
    <w:rsid w:val="00804A9C"/>
    <w:rsid w:val="00804BDD"/>
    <w:rsid w:val="00805CB8"/>
    <w:rsid w:val="00805E2A"/>
    <w:rsid w:val="00806A63"/>
    <w:rsid w:val="0080709D"/>
    <w:rsid w:val="0080721C"/>
    <w:rsid w:val="00807247"/>
    <w:rsid w:val="00807401"/>
    <w:rsid w:val="00807471"/>
    <w:rsid w:val="00807722"/>
    <w:rsid w:val="008078E8"/>
    <w:rsid w:val="00807D5C"/>
    <w:rsid w:val="008104EB"/>
    <w:rsid w:val="008105CD"/>
    <w:rsid w:val="00810AD7"/>
    <w:rsid w:val="008113A1"/>
    <w:rsid w:val="00811899"/>
    <w:rsid w:val="00811EE9"/>
    <w:rsid w:val="00812486"/>
    <w:rsid w:val="008127B9"/>
    <w:rsid w:val="0081302D"/>
    <w:rsid w:val="008130E7"/>
    <w:rsid w:val="00813727"/>
    <w:rsid w:val="008142CA"/>
    <w:rsid w:val="008147D4"/>
    <w:rsid w:val="00814B13"/>
    <w:rsid w:val="00814B91"/>
    <w:rsid w:val="00814E6F"/>
    <w:rsid w:val="0081512D"/>
    <w:rsid w:val="00815188"/>
    <w:rsid w:val="0081573F"/>
    <w:rsid w:val="00815BAA"/>
    <w:rsid w:val="00815D33"/>
    <w:rsid w:val="0081619E"/>
    <w:rsid w:val="00816265"/>
    <w:rsid w:val="008163AE"/>
    <w:rsid w:val="008169E2"/>
    <w:rsid w:val="00816BB1"/>
    <w:rsid w:val="00816C92"/>
    <w:rsid w:val="00816F06"/>
    <w:rsid w:val="008173B3"/>
    <w:rsid w:val="008173BA"/>
    <w:rsid w:val="0081782B"/>
    <w:rsid w:val="0081784A"/>
    <w:rsid w:val="00817942"/>
    <w:rsid w:val="008200E5"/>
    <w:rsid w:val="00820FAF"/>
    <w:rsid w:val="00821275"/>
    <w:rsid w:val="00821E34"/>
    <w:rsid w:val="00822022"/>
    <w:rsid w:val="008225FD"/>
    <w:rsid w:val="008226E5"/>
    <w:rsid w:val="00822815"/>
    <w:rsid w:val="00822A37"/>
    <w:rsid w:val="00822DF2"/>
    <w:rsid w:val="00822DFE"/>
    <w:rsid w:val="00822FC2"/>
    <w:rsid w:val="00823672"/>
    <w:rsid w:val="00823973"/>
    <w:rsid w:val="0082402E"/>
    <w:rsid w:val="00824317"/>
    <w:rsid w:val="008243B3"/>
    <w:rsid w:val="00824481"/>
    <w:rsid w:val="008245F0"/>
    <w:rsid w:val="008246A9"/>
    <w:rsid w:val="008246C1"/>
    <w:rsid w:val="00824927"/>
    <w:rsid w:val="00824C4D"/>
    <w:rsid w:val="00824E35"/>
    <w:rsid w:val="0082527D"/>
    <w:rsid w:val="00825BAD"/>
    <w:rsid w:val="00825D4E"/>
    <w:rsid w:val="00825F1C"/>
    <w:rsid w:val="0082601B"/>
    <w:rsid w:val="00826BDC"/>
    <w:rsid w:val="00826DCD"/>
    <w:rsid w:val="00826F6C"/>
    <w:rsid w:val="008279AD"/>
    <w:rsid w:val="00827C54"/>
    <w:rsid w:val="008308EE"/>
    <w:rsid w:val="00831672"/>
    <w:rsid w:val="00831984"/>
    <w:rsid w:val="00831C1B"/>
    <w:rsid w:val="0083240D"/>
    <w:rsid w:val="008329BF"/>
    <w:rsid w:val="008329C0"/>
    <w:rsid w:val="00832CA7"/>
    <w:rsid w:val="00833C0C"/>
    <w:rsid w:val="00834078"/>
    <w:rsid w:val="008342D1"/>
    <w:rsid w:val="008343E0"/>
    <w:rsid w:val="00835339"/>
    <w:rsid w:val="008354FF"/>
    <w:rsid w:val="00835A38"/>
    <w:rsid w:val="00835E49"/>
    <w:rsid w:val="008361BA"/>
    <w:rsid w:val="00836A88"/>
    <w:rsid w:val="00836C7D"/>
    <w:rsid w:val="00836FB2"/>
    <w:rsid w:val="0083703E"/>
    <w:rsid w:val="0083710F"/>
    <w:rsid w:val="008373A3"/>
    <w:rsid w:val="00837BFC"/>
    <w:rsid w:val="00840797"/>
    <w:rsid w:val="00840D3C"/>
    <w:rsid w:val="00841286"/>
    <w:rsid w:val="00841300"/>
    <w:rsid w:val="00841633"/>
    <w:rsid w:val="00841976"/>
    <w:rsid w:val="00841DAD"/>
    <w:rsid w:val="00842246"/>
    <w:rsid w:val="008423E5"/>
    <w:rsid w:val="00842902"/>
    <w:rsid w:val="00842DEB"/>
    <w:rsid w:val="0084425E"/>
    <w:rsid w:val="0084470C"/>
    <w:rsid w:val="00844C4A"/>
    <w:rsid w:val="008450C4"/>
    <w:rsid w:val="008457FD"/>
    <w:rsid w:val="00845A46"/>
    <w:rsid w:val="00845EA7"/>
    <w:rsid w:val="008460AA"/>
    <w:rsid w:val="008468F3"/>
    <w:rsid w:val="008469EE"/>
    <w:rsid w:val="00846D44"/>
    <w:rsid w:val="00847839"/>
    <w:rsid w:val="0084797B"/>
    <w:rsid w:val="00850025"/>
    <w:rsid w:val="00850C0F"/>
    <w:rsid w:val="00851ED2"/>
    <w:rsid w:val="008528A6"/>
    <w:rsid w:val="00852A1C"/>
    <w:rsid w:val="00852DDF"/>
    <w:rsid w:val="00853DDF"/>
    <w:rsid w:val="00854C64"/>
    <w:rsid w:val="00855030"/>
    <w:rsid w:val="008550DC"/>
    <w:rsid w:val="00855539"/>
    <w:rsid w:val="008556CE"/>
    <w:rsid w:val="008558C4"/>
    <w:rsid w:val="0085597B"/>
    <w:rsid w:val="00855C33"/>
    <w:rsid w:val="00855D11"/>
    <w:rsid w:val="00855E42"/>
    <w:rsid w:val="00855F2C"/>
    <w:rsid w:val="00856131"/>
    <w:rsid w:val="00856800"/>
    <w:rsid w:val="0085764D"/>
    <w:rsid w:val="008576C5"/>
    <w:rsid w:val="008604BA"/>
    <w:rsid w:val="00860D5A"/>
    <w:rsid w:val="00860D79"/>
    <w:rsid w:val="0086176A"/>
    <w:rsid w:val="00861B15"/>
    <w:rsid w:val="00861C23"/>
    <w:rsid w:val="008637AE"/>
    <w:rsid w:val="00864080"/>
    <w:rsid w:val="008642E4"/>
    <w:rsid w:val="00864730"/>
    <w:rsid w:val="008648F9"/>
    <w:rsid w:val="008648FF"/>
    <w:rsid w:val="00864BC7"/>
    <w:rsid w:val="00864CB1"/>
    <w:rsid w:val="008650CC"/>
    <w:rsid w:val="0086533E"/>
    <w:rsid w:val="008655D7"/>
    <w:rsid w:val="00865C4B"/>
    <w:rsid w:val="00865FBD"/>
    <w:rsid w:val="00866266"/>
    <w:rsid w:val="008663E0"/>
    <w:rsid w:val="0086650A"/>
    <w:rsid w:val="008668AD"/>
    <w:rsid w:val="0086690D"/>
    <w:rsid w:val="00866B27"/>
    <w:rsid w:val="008700CC"/>
    <w:rsid w:val="00870110"/>
    <w:rsid w:val="00870113"/>
    <w:rsid w:val="008701E7"/>
    <w:rsid w:val="0087023C"/>
    <w:rsid w:val="008704C3"/>
    <w:rsid w:val="008709A9"/>
    <w:rsid w:val="00870A93"/>
    <w:rsid w:val="00870BFD"/>
    <w:rsid w:val="00870DB8"/>
    <w:rsid w:val="00871860"/>
    <w:rsid w:val="00871C44"/>
    <w:rsid w:val="00872383"/>
    <w:rsid w:val="008725DF"/>
    <w:rsid w:val="00872692"/>
    <w:rsid w:val="008726A5"/>
    <w:rsid w:val="008727B7"/>
    <w:rsid w:val="0087304C"/>
    <w:rsid w:val="0087364F"/>
    <w:rsid w:val="00873910"/>
    <w:rsid w:val="0087406C"/>
    <w:rsid w:val="008742BD"/>
    <w:rsid w:val="00874518"/>
    <w:rsid w:val="00874783"/>
    <w:rsid w:val="00874F1F"/>
    <w:rsid w:val="00875B28"/>
    <w:rsid w:val="00876808"/>
    <w:rsid w:val="00876BBA"/>
    <w:rsid w:val="00876EF1"/>
    <w:rsid w:val="00877163"/>
    <w:rsid w:val="00877669"/>
    <w:rsid w:val="008776AC"/>
    <w:rsid w:val="008800B1"/>
    <w:rsid w:val="008806F2"/>
    <w:rsid w:val="008806FF"/>
    <w:rsid w:val="00880C8D"/>
    <w:rsid w:val="00881230"/>
    <w:rsid w:val="00881517"/>
    <w:rsid w:val="0088153B"/>
    <w:rsid w:val="00881618"/>
    <w:rsid w:val="00881BF1"/>
    <w:rsid w:val="00882D65"/>
    <w:rsid w:val="0088327B"/>
    <w:rsid w:val="0088360D"/>
    <w:rsid w:val="00883CA4"/>
    <w:rsid w:val="00884033"/>
    <w:rsid w:val="0088409A"/>
    <w:rsid w:val="0088422A"/>
    <w:rsid w:val="0088455F"/>
    <w:rsid w:val="008847D0"/>
    <w:rsid w:val="0088487D"/>
    <w:rsid w:val="008848E1"/>
    <w:rsid w:val="008848E9"/>
    <w:rsid w:val="00884A9D"/>
    <w:rsid w:val="00884BF9"/>
    <w:rsid w:val="008850ED"/>
    <w:rsid w:val="008854D8"/>
    <w:rsid w:val="008859C9"/>
    <w:rsid w:val="00885A7F"/>
    <w:rsid w:val="00885EFF"/>
    <w:rsid w:val="00886758"/>
    <w:rsid w:val="00886996"/>
    <w:rsid w:val="00886CD8"/>
    <w:rsid w:val="00886CD9"/>
    <w:rsid w:val="00886D67"/>
    <w:rsid w:val="00887026"/>
    <w:rsid w:val="00887D48"/>
    <w:rsid w:val="00887F5B"/>
    <w:rsid w:val="008908C7"/>
    <w:rsid w:val="00890945"/>
    <w:rsid w:val="00890BB3"/>
    <w:rsid w:val="00891374"/>
    <w:rsid w:val="008916BE"/>
    <w:rsid w:val="00891740"/>
    <w:rsid w:val="00891CDB"/>
    <w:rsid w:val="00891D51"/>
    <w:rsid w:val="00891E75"/>
    <w:rsid w:val="008922AA"/>
    <w:rsid w:val="008922F3"/>
    <w:rsid w:val="008923E2"/>
    <w:rsid w:val="00892C4F"/>
    <w:rsid w:val="00892CF4"/>
    <w:rsid w:val="008931C4"/>
    <w:rsid w:val="00893360"/>
    <w:rsid w:val="00893391"/>
    <w:rsid w:val="0089346C"/>
    <w:rsid w:val="00893F39"/>
    <w:rsid w:val="00894161"/>
    <w:rsid w:val="0089445C"/>
    <w:rsid w:val="008948DA"/>
    <w:rsid w:val="00894BAD"/>
    <w:rsid w:val="00894E40"/>
    <w:rsid w:val="00895577"/>
    <w:rsid w:val="00895735"/>
    <w:rsid w:val="00895830"/>
    <w:rsid w:val="0089594E"/>
    <w:rsid w:val="00895B0D"/>
    <w:rsid w:val="0089642A"/>
    <w:rsid w:val="008965C0"/>
    <w:rsid w:val="008966FC"/>
    <w:rsid w:val="008968AE"/>
    <w:rsid w:val="008974AA"/>
    <w:rsid w:val="0089752F"/>
    <w:rsid w:val="00897F73"/>
    <w:rsid w:val="008A00C3"/>
    <w:rsid w:val="008A114F"/>
    <w:rsid w:val="008A16AF"/>
    <w:rsid w:val="008A255C"/>
    <w:rsid w:val="008A2760"/>
    <w:rsid w:val="008A290A"/>
    <w:rsid w:val="008A2BC7"/>
    <w:rsid w:val="008A2F40"/>
    <w:rsid w:val="008A2F6C"/>
    <w:rsid w:val="008A31BB"/>
    <w:rsid w:val="008A3854"/>
    <w:rsid w:val="008A3C5B"/>
    <w:rsid w:val="008A3CF4"/>
    <w:rsid w:val="008A44E1"/>
    <w:rsid w:val="008A4920"/>
    <w:rsid w:val="008A56C6"/>
    <w:rsid w:val="008A5E0F"/>
    <w:rsid w:val="008A6224"/>
    <w:rsid w:val="008A6243"/>
    <w:rsid w:val="008A6718"/>
    <w:rsid w:val="008A6F79"/>
    <w:rsid w:val="008A71AD"/>
    <w:rsid w:val="008A74F7"/>
    <w:rsid w:val="008A7700"/>
    <w:rsid w:val="008A7881"/>
    <w:rsid w:val="008A7912"/>
    <w:rsid w:val="008B0148"/>
    <w:rsid w:val="008B024D"/>
    <w:rsid w:val="008B03DC"/>
    <w:rsid w:val="008B09BE"/>
    <w:rsid w:val="008B0A98"/>
    <w:rsid w:val="008B0DB7"/>
    <w:rsid w:val="008B154F"/>
    <w:rsid w:val="008B17B1"/>
    <w:rsid w:val="008B1AB4"/>
    <w:rsid w:val="008B200E"/>
    <w:rsid w:val="008B2B04"/>
    <w:rsid w:val="008B2C04"/>
    <w:rsid w:val="008B2EF4"/>
    <w:rsid w:val="008B3112"/>
    <w:rsid w:val="008B31E0"/>
    <w:rsid w:val="008B339D"/>
    <w:rsid w:val="008B34E1"/>
    <w:rsid w:val="008B354E"/>
    <w:rsid w:val="008B4496"/>
    <w:rsid w:val="008B4522"/>
    <w:rsid w:val="008B4642"/>
    <w:rsid w:val="008B47AD"/>
    <w:rsid w:val="008B4856"/>
    <w:rsid w:val="008B4D9F"/>
    <w:rsid w:val="008B4E03"/>
    <w:rsid w:val="008B4E3D"/>
    <w:rsid w:val="008B52DC"/>
    <w:rsid w:val="008B52FC"/>
    <w:rsid w:val="008B5574"/>
    <w:rsid w:val="008B5AF3"/>
    <w:rsid w:val="008B5CE4"/>
    <w:rsid w:val="008B5FA6"/>
    <w:rsid w:val="008B60F7"/>
    <w:rsid w:val="008B659B"/>
    <w:rsid w:val="008B666A"/>
    <w:rsid w:val="008B6BC4"/>
    <w:rsid w:val="008B6D66"/>
    <w:rsid w:val="008B6EBF"/>
    <w:rsid w:val="008B70E0"/>
    <w:rsid w:val="008B769D"/>
    <w:rsid w:val="008B7D48"/>
    <w:rsid w:val="008B7EFA"/>
    <w:rsid w:val="008C069C"/>
    <w:rsid w:val="008C0B62"/>
    <w:rsid w:val="008C0DC7"/>
    <w:rsid w:val="008C0E95"/>
    <w:rsid w:val="008C10E4"/>
    <w:rsid w:val="008C1859"/>
    <w:rsid w:val="008C1A20"/>
    <w:rsid w:val="008C1AAB"/>
    <w:rsid w:val="008C2807"/>
    <w:rsid w:val="008C310C"/>
    <w:rsid w:val="008C3721"/>
    <w:rsid w:val="008C385C"/>
    <w:rsid w:val="008C3BB0"/>
    <w:rsid w:val="008C3C3F"/>
    <w:rsid w:val="008C3D89"/>
    <w:rsid w:val="008C4189"/>
    <w:rsid w:val="008C4257"/>
    <w:rsid w:val="008C42AB"/>
    <w:rsid w:val="008C452A"/>
    <w:rsid w:val="008C4F35"/>
    <w:rsid w:val="008C5752"/>
    <w:rsid w:val="008C5D46"/>
    <w:rsid w:val="008C5D54"/>
    <w:rsid w:val="008C63C2"/>
    <w:rsid w:val="008C64E8"/>
    <w:rsid w:val="008C678A"/>
    <w:rsid w:val="008C6964"/>
    <w:rsid w:val="008C6B8E"/>
    <w:rsid w:val="008C7009"/>
    <w:rsid w:val="008C73A9"/>
    <w:rsid w:val="008C7CEA"/>
    <w:rsid w:val="008C7DB4"/>
    <w:rsid w:val="008C7FCE"/>
    <w:rsid w:val="008D0040"/>
    <w:rsid w:val="008D0138"/>
    <w:rsid w:val="008D0254"/>
    <w:rsid w:val="008D0296"/>
    <w:rsid w:val="008D0600"/>
    <w:rsid w:val="008D0C16"/>
    <w:rsid w:val="008D107E"/>
    <w:rsid w:val="008D167C"/>
    <w:rsid w:val="008D1AA7"/>
    <w:rsid w:val="008D1C06"/>
    <w:rsid w:val="008D1CB3"/>
    <w:rsid w:val="008D2188"/>
    <w:rsid w:val="008D26ED"/>
    <w:rsid w:val="008D3F95"/>
    <w:rsid w:val="008D43E4"/>
    <w:rsid w:val="008D46A0"/>
    <w:rsid w:val="008D4707"/>
    <w:rsid w:val="008D47C5"/>
    <w:rsid w:val="008D4AEA"/>
    <w:rsid w:val="008D4CCD"/>
    <w:rsid w:val="008D5109"/>
    <w:rsid w:val="008D5268"/>
    <w:rsid w:val="008D5299"/>
    <w:rsid w:val="008D593C"/>
    <w:rsid w:val="008D5D9F"/>
    <w:rsid w:val="008D61F6"/>
    <w:rsid w:val="008D7197"/>
    <w:rsid w:val="008D77D7"/>
    <w:rsid w:val="008D7A09"/>
    <w:rsid w:val="008E0022"/>
    <w:rsid w:val="008E0055"/>
    <w:rsid w:val="008E0065"/>
    <w:rsid w:val="008E0186"/>
    <w:rsid w:val="008E0A14"/>
    <w:rsid w:val="008E0D03"/>
    <w:rsid w:val="008E0DCE"/>
    <w:rsid w:val="008E1272"/>
    <w:rsid w:val="008E1353"/>
    <w:rsid w:val="008E1823"/>
    <w:rsid w:val="008E1864"/>
    <w:rsid w:val="008E19A6"/>
    <w:rsid w:val="008E1B8C"/>
    <w:rsid w:val="008E1BF4"/>
    <w:rsid w:val="008E1C10"/>
    <w:rsid w:val="008E2183"/>
    <w:rsid w:val="008E2745"/>
    <w:rsid w:val="008E2A0B"/>
    <w:rsid w:val="008E2C40"/>
    <w:rsid w:val="008E3182"/>
    <w:rsid w:val="008E344C"/>
    <w:rsid w:val="008E38FD"/>
    <w:rsid w:val="008E3CFD"/>
    <w:rsid w:val="008E3F77"/>
    <w:rsid w:val="008E4BF1"/>
    <w:rsid w:val="008E54E4"/>
    <w:rsid w:val="008E5856"/>
    <w:rsid w:val="008E5B19"/>
    <w:rsid w:val="008E65EB"/>
    <w:rsid w:val="008E6869"/>
    <w:rsid w:val="008E6DF0"/>
    <w:rsid w:val="008E7326"/>
    <w:rsid w:val="008E7546"/>
    <w:rsid w:val="008E7917"/>
    <w:rsid w:val="008E797D"/>
    <w:rsid w:val="008E7DA2"/>
    <w:rsid w:val="008F00D9"/>
    <w:rsid w:val="008F01C9"/>
    <w:rsid w:val="008F06E9"/>
    <w:rsid w:val="008F0720"/>
    <w:rsid w:val="008F0A4D"/>
    <w:rsid w:val="008F0D73"/>
    <w:rsid w:val="008F0DC9"/>
    <w:rsid w:val="008F114A"/>
    <w:rsid w:val="008F1537"/>
    <w:rsid w:val="008F16AD"/>
    <w:rsid w:val="008F1A95"/>
    <w:rsid w:val="008F1FEE"/>
    <w:rsid w:val="008F206A"/>
    <w:rsid w:val="008F2996"/>
    <w:rsid w:val="008F2ADE"/>
    <w:rsid w:val="008F3053"/>
    <w:rsid w:val="008F33ED"/>
    <w:rsid w:val="008F3ECD"/>
    <w:rsid w:val="008F428C"/>
    <w:rsid w:val="008F4A31"/>
    <w:rsid w:val="008F4D39"/>
    <w:rsid w:val="008F5254"/>
    <w:rsid w:val="008F53C3"/>
    <w:rsid w:val="008F55E5"/>
    <w:rsid w:val="008F5CAD"/>
    <w:rsid w:val="008F6092"/>
    <w:rsid w:val="008F6245"/>
    <w:rsid w:val="008F6595"/>
    <w:rsid w:val="008F6C02"/>
    <w:rsid w:val="008F6DCD"/>
    <w:rsid w:val="008F6F72"/>
    <w:rsid w:val="009001D0"/>
    <w:rsid w:val="009001EE"/>
    <w:rsid w:val="00900419"/>
    <w:rsid w:val="00900E1D"/>
    <w:rsid w:val="00900ED0"/>
    <w:rsid w:val="00901238"/>
    <w:rsid w:val="009029BD"/>
    <w:rsid w:val="009031D1"/>
    <w:rsid w:val="009035B1"/>
    <w:rsid w:val="009035F5"/>
    <w:rsid w:val="009038F1"/>
    <w:rsid w:val="00903A54"/>
    <w:rsid w:val="00903BA3"/>
    <w:rsid w:val="00903E0E"/>
    <w:rsid w:val="00903EA5"/>
    <w:rsid w:val="00903F04"/>
    <w:rsid w:val="0090426E"/>
    <w:rsid w:val="009042F9"/>
    <w:rsid w:val="009046A0"/>
    <w:rsid w:val="00904D33"/>
    <w:rsid w:val="009051EE"/>
    <w:rsid w:val="00905997"/>
    <w:rsid w:val="00906576"/>
    <w:rsid w:val="009065A7"/>
    <w:rsid w:val="009068D1"/>
    <w:rsid w:val="00906B85"/>
    <w:rsid w:val="0090753C"/>
    <w:rsid w:val="00907821"/>
    <w:rsid w:val="00907D30"/>
    <w:rsid w:val="009113DE"/>
    <w:rsid w:val="0091143A"/>
    <w:rsid w:val="00911488"/>
    <w:rsid w:val="009114A6"/>
    <w:rsid w:val="0091172C"/>
    <w:rsid w:val="009119F9"/>
    <w:rsid w:val="00912308"/>
    <w:rsid w:val="0091263F"/>
    <w:rsid w:val="00912814"/>
    <w:rsid w:val="00912A68"/>
    <w:rsid w:val="00913640"/>
    <w:rsid w:val="00913968"/>
    <w:rsid w:val="00913E72"/>
    <w:rsid w:val="00914215"/>
    <w:rsid w:val="00914263"/>
    <w:rsid w:val="009142C4"/>
    <w:rsid w:val="00914358"/>
    <w:rsid w:val="009143BA"/>
    <w:rsid w:val="00914609"/>
    <w:rsid w:val="009146E4"/>
    <w:rsid w:val="00914A35"/>
    <w:rsid w:val="0091513A"/>
    <w:rsid w:val="009157BD"/>
    <w:rsid w:val="00915BAB"/>
    <w:rsid w:val="00915F1F"/>
    <w:rsid w:val="0091664B"/>
    <w:rsid w:val="00916A67"/>
    <w:rsid w:val="00916AC3"/>
    <w:rsid w:val="00916AEA"/>
    <w:rsid w:val="0091719A"/>
    <w:rsid w:val="00917604"/>
    <w:rsid w:val="0091763B"/>
    <w:rsid w:val="00917DBB"/>
    <w:rsid w:val="00917E01"/>
    <w:rsid w:val="00917F7B"/>
    <w:rsid w:val="00920651"/>
    <w:rsid w:val="00920694"/>
    <w:rsid w:val="009208C4"/>
    <w:rsid w:val="00920A48"/>
    <w:rsid w:val="00920B42"/>
    <w:rsid w:val="0092178C"/>
    <w:rsid w:val="00921E32"/>
    <w:rsid w:val="00922052"/>
    <w:rsid w:val="00922914"/>
    <w:rsid w:val="009235C7"/>
    <w:rsid w:val="00923E8C"/>
    <w:rsid w:val="0092420B"/>
    <w:rsid w:val="00924531"/>
    <w:rsid w:val="009249B1"/>
    <w:rsid w:val="00924B9A"/>
    <w:rsid w:val="00924BD5"/>
    <w:rsid w:val="00924E02"/>
    <w:rsid w:val="00925041"/>
    <w:rsid w:val="00925BF3"/>
    <w:rsid w:val="00925D2C"/>
    <w:rsid w:val="00925D72"/>
    <w:rsid w:val="009262B5"/>
    <w:rsid w:val="009269BA"/>
    <w:rsid w:val="00926C2C"/>
    <w:rsid w:val="009270DC"/>
    <w:rsid w:val="009278D2"/>
    <w:rsid w:val="00927A86"/>
    <w:rsid w:val="00930519"/>
    <w:rsid w:val="0093078B"/>
    <w:rsid w:val="00930ACD"/>
    <w:rsid w:val="00931EE5"/>
    <w:rsid w:val="0093221D"/>
    <w:rsid w:val="009326AC"/>
    <w:rsid w:val="00932900"/>
    <w:rsid w:val="00932B66"/>
    <w:rsid w:val="00932BB0"/>
    <w:rsid w:val="00933DAB"/>
    <w:rsid w:val="00933E78"/>
    <w:rsid w:val="00934181"/>
    <w:rsid w:val="00935099"/>
    <w:rsid w:val="00935B50"/>
    <w:rsid w:val="00935BD6"/>
    <w:rsid w:val="00936095"/>
    <w:rsid w:val="00936276"/>
    <w:rsid w:val="00936348"/>
    <w:rsid w:val="0093675F"/>
    <w:rsid w:val="0093684F"/>
    <w:rsid w:val="00936D06"/>
    <w:rsid w:val="00936F9E"/>
    <w:rsid w:val="009372D8"/>
    <w:rsid w:val="009400C5"/>
    <w:rsid w:val="009404EF"/>
    <w:rsid w:val="0094055C"/>
    <w:rsid w:val="00941335"/>
    <w:rsid w:val="009413E0"/>
    <w:rsid w:val="009422C8"/>
    <w:rsid w:val="009424CD"/>
    <w:rsid w:val="00942723"/>
    <w:rsid w:val="009428F0"/>
    <w:rsid w:val="00942AC9"/>
    <w:rsid w:val="00942D95"/>
    <w:rsid w:val="00942DEE"/>
    <w:rsid w:val="00942E8C"/>
    <w:rsid w:val="0094341C"/>
    <w:rsid w:val="00943B51"/>
    <w:rsid w:val="009444CC"/>
    <w:rsid w:val="009445C1"/>
    <w:rsid w:val="0094484F"/>
    <w:rsid w:val="00944A74"/>
    <w:rsid w:val="00944BF5"/>
    <w:rsid w:val="00944C73"/>
    <w:rsid w:val="00945084"/>
    <w:rsid w:val="009454CA"/>
    <w:rsid w:val="00945645"/>
    <w:rsid w:val="009457E0"/>
    <w:rsid w:val="0094588B"/>
    <w:rsid w:val="00945BDD"/>
    <w:rsid w:val="00946245"/>
    <w:rsid w:val="0094624B"/>
    <w:rsid w:val="00946325"/>
    <w:rsid w:val="00946B21"/>
    <w:rsid w:val="00946CB4"/>
    <w:rsid w:val="00947E0C"/>
    <w:rsid w:val="009516A5"/>
    <w:rsid w:val="009516FE"/>
    <w:rsid w:val="00951937"/>
    <w:rsid w:val="00951A7F"/>
    <w:rsid w:val="00951B60"/>
    <w:rsid w:val="00951BD1"/>
    <w:rsid w:val="00951CFD"/>
    <w:rsid w:val="00951D42"/>
    <w:rsid w:val="009522B7"/>
    <w:rsid w:val="00952328"/>
    <w:rsid w:val="00952436"/>
    <w:rsid w:val="00952C4E"/>
    <w:rsid w:val="00952FB5"/>
    <w:rsid w:val="00953127"/>
    <w:rsid w:val="0095333D"/>
    <w:rsid w:val="009535D4"/>
    <w:rsid w:val="00953667"/>
    <w:rsid w:val="009536B1"/>
    <w:rsid w:val="009542F7"/>
    <w:rsid w:val="009548F3"/>
    <w:rsid w:val="00954A64"/>
    <w:rsid w:val="00954EF9"/>
    <w:rsid w:val="00955236"/>
    <w:rsid w:val="0095542A"/>
    <w:rsid w:val="00955CFE"/>
    <w:rsid w:val="0095605D"/>
    <w:rsid w:val="0095608C"/>
    <w:rsid w:val="009563CA"/>
    <w:rsid w:val="00956B15"/>
    <w:rsid w:val="0095780E"/>
    <w:rsid w:val="00957AEC"/>
    <w:rsid w:val="00957C4A"/>
    <w:rsid w:val="009605FF"/>
    <w:rsid w:val="0096082C"/>
    <w:rsid w:val="00960CF2"/>
    <w:rsid w:val="009611CD"/>
    <w:rsid w:val="00961C55"/>
    <w:rsid w:val="00961E49"/>
    <w:rsid w:val="0096269C"/>
    <w:rsid w:val="00962C19"/>
    <w:rsid w:val="00962EE3"/>
    <w:rsid w:val="00963A4C"/>
    <w:rsid w:val="00963E27"/>
    <w:rsid w:val="00963E2C"/>
    <w:rsid w:val="00963FA2"/>
    <w:rsid w:val="00964104"/>
    <w:rsid w:val="009644DD"/>
    <w:rsid w:val="00965112"/>
    <w:rsid w:val="00965406"/>
    <w:rsid w:val="00965904"/>
    <w:rsid w:val="00965DCF"/>
    <w:rsid w:val="00966D0B"/>
    <w:rsid w:val="00967324"/>
    <w:rsid w:val="00967C48"/>
    <w:rsid w:val="009702FC"/>
    <w:rsid w:val="00970382"/>
    <w:rsid w:val="00970438"/>
    <w:rsid w:val="00970601"/>
    <w:rsid w:val="009706EC"/>
    <w:rsid w:val="0097081A"/>
    <w:rsid w:val="00970D3F"/>
    <w:rsid w:val="009710C9"/>
    <w:rsid w:val="00971954"/>
    <w:rsid w:val="00971E20"/>
    <w:rsid w:val="009726A2"/>
    <w:rsid w:val="009728F7"/>
    <w:rsid w:val="00972901"/>
    <w:rsid w:val="00972A9D"/>
    <w:rsid w:val="00972F64"/>
    <w:rsid w:val="00972FE7"/>
    <w:rsid w:val="009730DA"/>
    <w:rsid w:val="0097310F"/>
    <w:rsid w:val="009731C8"/>
    <w:rsid w:val="009737CF"/>
    <w:rsid w:val="00973925"/>
    <w:rsid w:val="009748B1"/>
    <w:rsid w:val="00974B44"/>
    <w:rsid w:val="00974FF6"/>
    <w:rsid w:val="00975B1F"/>
    <w:rsid w:val="00975C50"/>
    <w:rsid w:val="00976223"/>
    <w:rsid w:val="00976F24"/>
    <w:rsid w:val="00976F52"/>
    <w:rsid w:val="009772FC"/>
    <w:rsid w:val="00977881"/>
    <w:rsid w:val="00980192"/>
    <w:rsid w:val="00980954"/>
    <w:rsid w:val="00980D39"/>
    <w:rsid w:val="00980E63"/>
    <w:rsid w:val="00981390"/>
    <w:rsid w:val="009817AA"/>
    <w:rsid w:val="00982041"/>
    <w:rsid w:val="0098254B"/>
    <w:rsid w:val="0098263F"/>
    <w:rsid w:val="00982731"/>
    <w:rsid w:val="00982BFD"/>
    <w:rsid w:val="00983467"/>
    <w:rsid w:val="0098358F"/>
    <w:rsid w:val="00983C4D"/>
    <w:rsid w:val="00983C67"/>
    <w:rsid w:val="00983F33"/>
    <w:rsid w:val="009840D8"/>
    <w:rsid w:val="009840F7"/>
    <w:rsid w:val="00984375"/>
    <w:rsid w:val="0098482E"/>
    <w:rsid w:val="00985325"/>
    <w:rsid w:val="0098546A"/>
    <w:rsid w:val="0098622C"/>
    <w:rsid w:val="00986736"/>
    <w:rsid w:val="009869C8"/>
    <w:rsid w:val="009870D1"/>
    <w:rsid w:val="009871DA"/>
    <w:rsid w:val="00987316"/>
    <w:rsid w:val="00987601"/>
    <w:rsid w:val="0098767C"/>
    <w:rsid w:val="00987918"/>
    <w:rsid w:val="00987C04"/>
    <w:rsid w:val="0099020E"/>
    <w:rsid w:val="009904BD"/>
    <w:rsid w:val="00990569"/>
    <w:rsid w:val="00990C43"/>
    <w:rsid w:val="00990FED"/>
    <w:rsid w:val="00991218"/>
    <w:rsid w:val="009912C8"/>
    <w:rsid w:val="00991382"/>
    <w:rsid w:val="009916B3"/>
    <w:rsid w:val="009925F8"/>
    <w:rsid w:val="009927D5"/>
    <w:rsid w:val="00992FAB"/>
    <w:rsid w:val="00993461"/>
    <w:rsid w:val="00993621"/>
    <w:rsid w:val="00993D30"/>
    <w:rsid w:val="0099488A"/>
    <w:rsid w:val="00994CD0"/>
    <w:rsid w:val="00994E0F"/>
    <w:rsid w:val="00995035"/>
    <w:rsid w:val="00995691"/>
    <w:rsid w:val="00995DB8"/>
    <w:rsid w:val="009962A7"/>
    <w:rsid w:val="009977C1"/>
    <w:rsid w:val="009979AA"/>
    <w:rsid w:val="00997A77"/>
    <w:rsid w:val="009A029D"/>
    <w:rsid w:val="009A05D2"/>
    <w:rsid w:val="009A0CDF"/>
    <w:rsid w:val="009A0D52"/>
    <w:rsid w:val="009A0EDE"/>
    <w:rsid w:val="009A1146"/>
    <w:rsid w:val="009A15BC"/>
    <w:rsid w:val="009A2473"/>
    <w:rsid w:val="009A2CC5"/>
    <w:rsid w:val="009A3C78"/>
    <w:rsid w:val="009A3EEB"/>
    <w:rsid w:val="009A40DC"/>
    <w:rsid w:val="009A46AE"/>
    <w:rsid w:val="009A4721"/>
    <w:rsid w:val="009A477D"/>
    <w:rsid w:val="009A4B08"/>
    <w:rsid w:val="009A4DD6"/>
    <w:rsid w:val="009A4E04"/>
    <w:rsid w:val="009A529F"/>
    <w:rsid w:val="009A5576"/>
    <w:rsid w:val="009A5BB6"/>
    <w:rsid w:val="009A5C8C"/>
    <w:rsid w:val="009A5CB4"/>
    <w:rsid w:val="009A631C"/>
    <w:rsid w:val="009A6465"/>
    <w:rsid w:val="009A6A02"/>
    <w:rsid w:val="009A6C59"/>
    <w:rsid w:val="009A7842"/>
    <w:rsid w:val="009A7B35"/>
    <w:rsid w:val="009A7C8B"/>
    <w:rsid w:val="009A7F94"/>
    <w:rsid w:val="009B0AE5"/>
    <w:rsid w:val="009B1269"/>
    <w:rsid w:val="009B151A"/>
    <w:rsid w:val="009B1736"/>
    <w:rsid w:val="009B1BEA"/>
    <w:rsid w:val="009B292B"/>
    <w:rsid w:val="009B2B9D"/>
    <w:rsid w:val="009B310B"/>
    <w:rsid w:val="009B333A"/>
    <w:rsid w:val="009B33F0"/>
    <w:rsid w:val="009B3AC2"/>
    <w:rsid w:val="009B3F42"/>
    <w:rsid w:val="009B4296"/>
    <w:rsid w:val="009B4492"/>
    <w:rsid w:val="009B4B11"/>
    <w:rsid w:val="009B4BB4"/>
    <w:rsid w:val="009B5200"/>
    <w:rsid w:val="009B5B78"/>
    <w:rsid w:val="009B5E86"/>
    <w:rsid w:val="009B606A"/>
    <w:rsid w:val="009B634E"/>
    <w:rsid w:val="009B6406"/>
    <w:rsid w:val="009B67E6"/>
    <w:rsid w:val="009B6BA4"/>
    <w:rsid w:val="009B6C52"/>
    <w:rsid w:val="009B7A90"/>
    <w:rsid w:val="009B7BEF"/>
    <w:rsid w:val="009B7C23"/>
    <w:rsid w:val="009C06B5"/>
    <w:rsid w:val="009C073B"/>
    <w:rsid w:val="009C0A2C"/>
    <w:rsid w:val="009C0DE6"/>
    <w:rsid w:val="009C0FC3"/>
    <w:rsid w:val="009C1BDD"/>
    <w:rsid w:val="009C1C1D"/>
    <w:rsid w:val="009C1C95"/>
    <w:rsid w:val="009C1F36"/>
    <w:rsid w:val="009C2014"/>
    <w:rsid w:val="009C239D"/>
    <w:rsid w:val="009C268E"/>
    <w:rsid w:val="009C26FA"/>
    <w:rsid w:val="009C2928"/>
    <w:rsid w:val="009C33F3"/>
    <w:rsid w:val="009C3406"/>
    <w:rsid w:val="009C34D0"/>
    <w:rsid w:val="009C3A79"/>
    <w:rsid w:val="009C3A9C"/>
    <w:rsid w:val="009C3C7C"/>
    <w:rsid w:val="009C4029"/>
    <w:rsid w:val="009C4172"/>
    <w:rsid w:val="009C44BB"/>
    <w:rsid w:val="009C44EC"/>
    <w:rsid w:val="009C609D"/>
    <w:rsid w:val="009C60FC"/>
    <w:rsid w:val="009C6495"/>
    <w:rsid w:val="009C666B"/>
    <w:rsid w:val="009C6723"/>
    <w:rsid w:val="009C6761"/>
    <w:rsid w:val="009C6998"/>
    <w:rsid w:val="009C7123"/>
    <w:rsid w:val="009C721E"/>
    <w:rsid w:val="009C7BF4"/>
    <w:rsid w:val="009C7C1E"/>
    <w:rsid w:val="009C7D1D"/>
    <w:rsid w:val="009D02DB"/>
    <w:rsid w:val="009D065E"/>
    <w:rsid w:val="009D0D95"/>
    <w:rsid w:val="009D0F0A"/>
    <w:rsid w:val="009D1090"/>
    <w:rsid w:val="009D12F7"/>
    <w:rsid w:val="009D1A96"/>
    <w:rsid w:val="009D1B59"/>
    <w:rsid w:val="009D1F46"/>
    <w:rsid w:val="009D20A5"/>
    <w:rsid w:val="009D2468"/>
    <w:rsid w:val="009D3028"/>
    <w:rsid w:val="009D3414"/>
    <w:rsid w:val="009D3419"/>
    <w:rsid w:val="009D347F"/>
    <w:rsid w:val="009D3683"/>
    <w:rsid w:val="009D39B8"/>
    <w:rsid w:val="009D39D5"/>
    <w:rsid w:val="009D3B2A"/>
    <w:rsid w:val="009D43FF"/>
    <w:rsid w:val="009D4651"/>
    <w:rsid w:val="009D5038"/>
    <w:rsid w:val="009D5145"/>
    <w:rsid w:val="009D52FD"/>
    <w:rsid w:val="009D5435"/>
    <w:rsid w:val="009D54A6"/>
    <w:rsid w:val="009D557B"/>
    <w:rsid w:val="009D5891"/>
    <w:rsid w:val="009E001D"/>
    <w:rsid w:val="009E0284"/>
    <w:rsid w:val="009E0333"/>
    <w:rsid w:val="009E0A9F"/>
    <w:rsid w:val="009E0C25"/>
    <w:rsid w:val="009E104C"/>
    <w:rsid w:val="009E1659"/>
    <w:rsid w:val="009E1BFF"/>
    <w:rsid w:val="009E2567"/>
    <w:rsid w:val="009E25A0"/>
    <w:rsid w:val="009E2937"/>
    <w:rsid w:val="009E2A08"/>
    <w:rsid w:val="009E2DEB"/>
    <w:rsid w:val="009E310F"/>
    <w:rsid w:val="009E317C"/>
    <w:rsid w:val="009E3C0B"/>
    <w:rsid w:val="009E3C69"/>
    <w:rsid w:val="009E42B2"/>
    <w:rsid w:val="009E4447"/>
    <w:rsid w:val="009E444B"/>
    <w:rsid w:val="009E4BA5"/>
    <w:rsid w:val="009E4D28"/>
    <w:rsid w:val="009E4FA1"/>
    <w:rsid w:val="009E573C"/>
    <w:rsid w:val="009E58E9"/>
    <w:rsid w:val="009E5907"/>
    <w:rsid w:val="009E5B09"/>
    <w:rsid w:val="009E5DCF"/>
    <w:rsid w:val="009E5FC6"/>
    <w:rsid w:val="009E61CF"/>
    <w:rsid w:val="009E649A"/>
    <w:rsid w:val="009E6ABD"/>
    <w:rsid w:val="009E6F64"/>
    <w:rsid w:val="009E76AC"/>
    <w:rsid w:val="009E772A"/>
    <w:rsid w:val="009F0071"/>
    <w:rsid w:val="009F007C"/>
    <w:rsid w:val="009F03A2"/>
    <w:rsid w:val="009F04A6"/>
    <w:rsid w:val="009F090C"/>
    <w:rsid w:val="009F1167"/>
    <w:rsid w:val="009F148B"/>
    <w:rsid w:val="009F1522"/>
    <w:rsid w:val="009F1671"/>
    <w:rsid w:val="009F172C"/>
    <w:rsid w:val="009F1CFD"/>
    <w:rsid w:val="009F21B1"/>
    <w:rsid w:val="009F2415"/>
    <w:rsid w:val="009F242A"/>
    <w:rsid w:val="009F24B7"/>
    <w:rsid w:val="009F25F3"/>
    <w:rsid w:val="009F2D2B"/>
    <w:rsid w:val="009F2E39"/>
    <w:rsid w:val="009F2F5A"/>
    <w:rsid w:val="009F38FB"/>
    <w:rsid w:val="009F3A6E"/>
    <w:rsid w:val="009F3A75"/>
    <w:rsid w:val="009F433B"/>
    <w:rsid w:val="009F4455"/>
    <w:rsid w:val="009F4738"/>
    <w:rsid w:val="009F4D81"/>
    <w:rsid w:val="009F537F"/>
    <w:rsid w:val="009F5832"/>
    <w:rsid w:val="009F5BED"/>
    <w:rsid w:val="009F6513"/>
    <w:rsid w:val="009F6CB9"/>
    <w:rsid w:val="009F6F17"/>
    <w:rsid w:val="009F7130"/>
    <w:rsid w:val="009F72B1"/>
    <w:rsid w:val="009F7501"/>
    <w:rsid w:val="009F7860"/>
    <w:rsid w:val="009F78D4"/>
    <w:rsid w:val="009F7B45"/>
    <w:rsid w:val="009F7F72"/>
    <w:rsid w:val="00A003C6"/>
    <w:rsid w:val="00A00B78"/>
    <w:rsid w:val="00A011A7"/>
    <w:rsid w:val="00A01C51"/>
    <w:rsid w:val="00A02085"/>
    <w:rsid w:val="00A02E7F"/>
    <w:rsid w:val="00A02EF6"/>
    <w:rsid w:val="00A0315C"/>
    <w:rsid w:val="00A034E1"/>
    <w:rsid w:val="00A03568"/>
    <w:rsid w:val="00A03CFF"/>
    <w:rsid w:val="00A03D57"/>
    <w:rsid w:val="00A03EE6"/>
    <w:rsid w:val="00A04136"/>
    <w:rsid w:val="00A04396"/>
    <w:rsid w:val="00A04776"/>
    <w:rsid w:val="00A050AD"/>
    <w:rsid w:val="00A057CA"/>
    <w:rsid w:val="00A0587E"/>
    <w:rsid w:val="00A06F68"/>
    <w:rsid w:val="00A071F4"/>
    <w:rsid w:val="00A074DD"/>
    <w:rsid w:val="00A07BB3"/>
    <w:rsid w:val="00A07F5F"/>
    <w:rsid w:val="00A102D5"/>
    <w:rsid w:val="00A10E01"/>
    <w:rsid w:val="00A112E7"/>
    <w:rsid w:val="00A1166C"/>
    <w:rsid w:val="00A123F4"/>
    <w:rsid w:val="00A127C7"/>
    <w:rsid w:val="00A12A09"/>
    <w:rsid w:val="00A12C9F"/>
    <w:rsid w:val="00A13020"/>
    <w:rsid w:val="00A14AB6"/>
    <w:rsid w:val="00A14FE5"/>
    <w:rsid w:val="00A1584C"/>
    <w:rsid w:val="00A15AB7"/>
    <w:rsid w:val="00A15C5A"/>
    <w:rsid w:val="00A1635F"/>
    <w:rsid w:val="00A163B4"/>
    <w:rsid w:val="00A163E2"/>
    <w:rsid w:val="00A1699B"/>
    <w:rsid w:val="00A16E45"/>
    <w:rsid w:val="00A17001"/>
    <w:rsid w:val="00A17347"/>
    <w:rsid w:val="00A173F0"/>
    <w:rsid w:val="00A1751B"/>
    <w:rsid w:val="00A17679"/>
    <w:rsid w:val="00A17B10"/>
    <w:rsid w:val="00A17BD8"/>
    <w:rsid w:val="00A17CC4"/>
    <w:rsid w:val="00A17E9A"/>
    <w:rsid w:val="00A20534"/>
    <w:rsid w:val="00A20600"/>
    <w:rsid w:val="00A2067C"/>
    <w:rsid w:val="00A20C93"/>
    <w:rsid w:val="00A21073"/>
    <w:rsid w:val="00A21697"/>
    <w:rsid w:val="00A21A2D"/>
    <w:rsid w:val="00A21DEB"/>
    <w:rsid w:val="00A21E8B"/>
    <w:rsid w:val="00A222EA"/>
    <w:rsid w:val="00A22E16"/>
    <w:rsid w:val="00A231D3"/>
    <w:rsid w:val="00A2324E"/>
    <w:rsid w:val="00A2368E"/>
    <w:rsid w:val="00A24667"/>
    <w:rsid w:val="00A24936"/>
    <w:rsid w:val="00A249CC"/>
    <w:rsid w:val="00A25300"/>
    <w:rsid w:val="00A2554C"/>
    <w:rsid w:val="00A255D1"/>
    <w:rsid w:val="00A25836"/>
    <w:rsid w:val="00A25D58"/>
    <w:rsid w:val="00A26237"/>
    <w:rsid w:val="00A2693D"/>
    <w:rsid w:val="00A26E66"/>
    <w:rsid w:val="00A271FB"/>
    <w:rsid w:val="00A27346"/>
    <w:rsid w:val="00A2757E"/>
    <w:rsid w:val="00A275C7"/>
    <w:rsid w:val="00A276D0"/>
    <w:rsid w:val="00A27907"/>
    <w:rsid w:val="00A27E3F"/>
    <w:rsid w:val="00A30298"/>
    <w:rsid w:val="00A30826"/>
    <w:rsid w:val="00A3099F"/>
    <w:rsid w:val="00A31944"/>
    <w:rsid w:val="00A319EB"/>
    <w:rsid w:val="00A31BCD"/>
    <w:rsid w:val="00A31BDF"/>
    <w:rsid w:val="00A32129"/>
    <w:rsid w:val="00A32605"/>
    <w:rsid w:val="00A32782"/>
    <w:rsid w:val="00A327E8"/>
    <w:rsid w:val="00A3296F"/>
    <w:rsid w:val="00A32B71"/>
    <w:rsid w:val="00A32BA3"/>
    <w:rsid w:val="00A32CD5"/>
    <w:rsid w:val="00A334BB"/>
    <w:rsid w:val="00A336DB"/>
    <w:rsid w:val="00A33CBD"/>
    <w:rsid w:val="00A33DBD"/>
    <w:rsid w:val="00A34B91"/>
    <w:rsid w:val="00A34FFA"/>
    <w:rsid w:val="00A35884"/>
    <w:rsid w:val="00A35DBC"/>
    <w:rsid w:val="00A35FA3"/>
    <w:rsid w:val="00A36221"/>
    <w:rsid w:val="00A362A8"/>
    <w:rsid w:val="00A362B2"/>
    <w:rsid w:val="00A36EE0"/>
    <w:rsid w:val="00A37225"/>
    <w:rsid w:val="00A3728B"/>
    <w:rsid w:val="00A374B4"/>
    <w:rsid w:val="00A402C7"/>
    <w:rsid w:val="00A40F61"/>
    <w:rsid w:val="00A41049"/>
    <w:rsid w:val="00A411D3"/>
    <w:rsid w:val="00A4161D"/>
    <w:rsid w:val="00A417E4"/>
    <w:rsid w:val="00A41849"/>
    <w:rsid w:val="00A42438"/>
    <w:rsid w:val="00A42522"/>
    <w:rsid w:val="00A42F49"/>
    <w:rsid w:val="00A43397"/>
    <w:rsid w:val="00A4357B"/>
    <w:rsid w:val="00A43E24"/>
    <w:rsid w:val="00A448EF"/>
    <w:rsid w:val="00A45CEA"/>
    <w:rsid w:val="00A45EDB"/>
    <w:rsid w:val="00A46030"/>
    <w:rsid w:val="00A46536"/>
    <w:rsid w:val="00A4690F"/>
    <w:rsid w:val="00A46940"/>
    <w:rsid w:val="00A46DDD"/>
    <w:rsid w:val="00A47398"/>
    <w:rsid w:val="00A47A13"/>
    <w:rsid w:val="00A50015"/>
    <w:rsid w:val="00A50182"/>
    <w:rsid w:val="00A502DF"/>
    <w:rsid w:val="00A5078A"/>
    <w:rsid w:val="00A50C82"/>
    <w:rsid w:val="00A5175B"/>
    <w:rsid w:val="00A51E72"/>
    <w:rsid w:val="00A51FAC"/>
    <w:rsid w:val="00A522D0"/>
    <w:rsid w:val="00A52DA2"/>
    <w:rsid w:val="00A53549"/>
    <w:rsid w:val="00A549D3"/>
    <w:rsid w:val="00A54A88"/>
    <w:rsid w:val="00A54C77"/>
    <w:rsid w:val="00A54C9C"/>
    <w:rsid w:val="00A5533C"/>
    <w:rsid w:val="00A554F0"/>
    <w:rsid w:val="00A55FC6"/>
    <w:rsid w:val="00A56355"/>
    <w:rsid w:val="00A56886"/>
    <w:rsid w:val="00A56A11"/>
    <w:rsid w:val="00A56CD5"/>
    <w:rsid w:val="00A56D3A"/>
    <w:rsid w:val="00A56D84"/>
    <w:rsid w:val="00A578BC"/>
    <w:rsid w:val="00A57B9C"/>
    <w:rsid w:val="00A57C90"/>
    <w:rsid w:val="00A57EC3"/>
    <w:rsid w:val="00A61096"/>
    <w:rsid w:val="00A6141F"/>
    <w:rsid w:val="00A6154C"/>
    <w:rsid w:val="00A61590"/>
    <w:rsid w:val="00A6160A"/>
    <w:rsid w:val="00A61910"/>
    <w:rsid w:val="00A61A0F"/>
    <w:rsid w:val="00A6276F"/>
    <w:rsid w:val="00A63607"/>
    <w:rsid w:val="00A63BE9"/>
    <w:rsid w:val="00A63C50"/>
    <w:rsid w:val="00A63DCD"/>
    <w:rsid w:val="00A64297"/>
    <w:rsid w:val="00A64632"/>
    <w:rsid w:val="00A64B7C"/>
    <w:rsid w:val="00A64CC4"/>
    <w:rsid w:val="00A653F0"/>
    <w:rsid w:val="00A65F5B"/>
    <w:rsid w:val="00A66135"/>
    <w:rsid w:val="00A661AB"/>
    <w:rsid w:val="00A66A17"/>
    <w:rsid w:val="00A671CD"/>
    <w:rsid w:val="00A6789F"/>
    <w:rsid w:val="00A700F6"/>
    <w:rsid w:val="00A702FE"/>
    <w:rsid w:val="00A70666"/>
    <w:rsid w:val="00A70B3A"/>
    <w:rsid w:val="00A70F5D"/>
    <w:rsid w:val="00A71027"/>
    <w:rsid w:val="00A71B03"/>
    <w:rsid w:val="00A71E7B"/>
    <w:rsid w:val="00A71EFF"/>
    <w:rsid w:val="00A72776"/>
    <w:rsid w:val="00A728A0"/>
    <w:rsid w:val="00A728C5"/>
    <w:rsid w:val="00A729EA"/>
    <w:rsid w:val="00A72BDE"/>
    <w:rsid w:val="00A72C74"/>
    <w:rsid w:val="00A74075"/>
    <w:rsid w:val="00A74088"/>
    <w:rsid w:val="00A74116"/>
    <w:rsid w:val="00A7414D"/>
    <w:rsid w:val="00A748BB"/>
    <w:rsid w:val="00A74F6E"/>
    <w:rsid w:val="00A74FB6"/>
    <w:rsid w:val="00A75020"/>
    <w:rsid w:val="00A754EA"/>
    <w:rsid w:val="00A75541"/>
    <w:rsid w:val="00A76418"/>
    <w:rsid w:val="00A7686A"/>
    <w:rsid w:val="00A76B9A"/>
    <w:rsid w:val="00A76BE4"/>
    <w:rsid w:val="00A76E2C"/>
    <w:rsid w:val="00A7765B"/>
    <w:rsid w:val="00A77846"/>
    <w:rsid w:val="00A80B7D"/>
    <w:rsid w:val="00A81748"/>
    <w:rsid w:val="00A817B2"/>
    <w:rsid w:val="00A81A29"/>
    <w:rsid w:val="00A81A64"/>
    <w:rsid w:val="00A8207D"/>
    <w:rsid w:val="00A82379"/>
    <w:rsid w:val="00A8247B"/>
    <w:rsid w:val="00A828E8"/>
    <w:rsid w:val="00A830E7"/>
    <w:rsid w:val="00A832E8"/>
    <w:rsid w:val="00A83412"/>
    <w:rsid w:val="00A8369C"/>
    <w:rsid w:val="00A845CF"/>
    <w:rsid w:val="00A84815"/>
    <w:rsid w:val="00A84F56"/>
    <w:rsid w:val="00A85867"/>
    <w:rsid w:val="00A85D76"/>
    <w:rsid w:val="00A86635"/>
    <w:rsid w:val="00A866A7"/>
    <w:rsid w:val="00A86CB0"/>
    <w:rsid w:val="00A86E23"/>
    <w:rsid w:val="00A86EB2"/>
    <w:rsid w:val="00A87410"/>
    <w:rsid w:val="00A8778F"/>
    <w:rsid w:val="00A87890"/>
    <w:rsid w:val="00A87A26"/>
    <w:rsid w:val="00A87F5A"/>
    <w:rsid w:val="00A902BB"/>
    <w:rsid w:val="00A908C1"/>
    <w:rsid w:val="00A90900"/>
    <w:rsid w:val="00A90B0B"/>
    <w:rsid w:val="00A90F20"/>
    <w:rsid w:val="00A9131C"/>
    <w:rsid w:val="00A91D09"/>
    <w:rsid w:val="00A91D29"/>
    <w:rsid w:val="00A91EC1"/>
    <w:rsid w:val="00A91EDB"/>
    <w:rsid w:val="00A91FDC"/>
    <w:rsid w:val="00A920B1"/>
    <w:rsid w:val="00A924B3"/>
    <w:rsid w:val="00A92752"/>
    <w:rsid w:val="00A92A5D"/>
    <w:rsid w:val="00A92C1C"/>
    <w:rsid w:val="00A92D62"/>
    <w:rsid w:val="00A935C7"/>
    <w:rsid w:val="00A9375D"/>
    <w:rsid w:val="00A93EA8"/>
    <w:rsid w:val="00A94037"/>
    <w:rsid w:val="00A942BF"/>
    <w:rsid w:val="00A94A5D"/>
    <w:rsid w:val="00A94C5E"/>
    <w:rsid w:val="00A94DD9"/>
    <w:rsid w:val="00A94FE2"/>
    <w:rsid w:val="00A958A9"/>
    <w:rsid w:val="00A95BDC"/>
    <w:rsid w:val="00A960FA"/>
    <w:rsid w:val="00A96746"/>
    <w:rsid w:val="00A97880"/>
    <w:rsid w:val="00A978B1"/>
    <w:rsid w:val="00A97C80"/>
    <w:rsid w:val="00A97CA3"/>
    <w:rsid w:val="00A97DE3"/>
    <w:rsid w:val="00AA066B"/>
    <w:rsid w:val="00AA0A36"/>
    <w:rsid w:val="00AA0C5F"/>
    <w:rsid w:val="00AA14B4"/>
    <w:rsid w:val="00AA1EEC"/>
    <w:rsid w:val="00AA2107"/>
    <w:rsid w:val="00AA2650"/>
    <w:rsid w:val="00AA2759"/>
    <w:rsid w:val="00AA27CD"/>
    <w:rsid w:val="00AA29B7"/>
    <w:rsid w:val="00AA3CEE"/>
    <w:rsid w:val="00AA3FEA"/>
    <w:rsid w:val="00AA4219"/>
    <w:rsid w:val="00AA46AA"/>
    <w:rsid w:val="00AA48B7"/>
    <w:rsid w:val="00AA509C"/>
    <w:rsid w:val="00AA53CA"/>
    <w:rsid w:val="00AA5862"/>
    <w:rsid w:val="00AA5CCB"/>
    <w:rsid w:val="00AA6278"/>
    <w:rsid w:val="00AA6346"/>
    <w:rsid w:val="00AA68D1"/>
    <w:rsid w:val="00AA6D12"/>
    <w:rsid w:val="00AB085B"/>
    <w:rsid w:val="00AB0893"/>
    <w:rsid w:val="00AB0CE5"/>
    <w:rsid w:val="00AB12CA"/>
    <w:rsid w:val="00AB131A"/>
    <w:rsid w:val="00AB1458"/>
    <w:rsid w:val="00AB15EE"/>
    <w:rsid w:val="00AB183A"/>
    <w:rsid w:val="00AB198F"/>
    <w:rsid w:val="00AB1A02"/>
    <w:rsid w:val="00AB1FD8"/>
    <w:rsid w:val="00AB2442"/>
    <w:rsid w:val="00AB274C"/>
    <w:rsid w:val="00AB2757"/>
    <w:rsid w:val="00AB291B"/>
    <w:rsid w:val="00AB2D25"/>
    <w:rsid w:val="00AB32AE"/>
    <w:rsid w:val="00AB34F9"/>
    <w:rsid w:val="00AB3553"/>
    <w:rsid w:val="00AB3F34"/>
    <w:rsid w:val="00AB42A0"/>
    <w:rsid w:val="00AB4A58"/>
    <w:rsid w:val="00AB4DE6"/>
    <w:rsid w:val="00AB59A8"/>
    <w:rsid w:val="00AB5DFD"/>
    <w:rsid w:val="00AB5F78"/>
    <w:rsid w:val="00AB60A8"/>
    <w:rsid w:val="00AB6178"/>
    <w:rsid w:val="00AB637E"/>
    <w:rsid w:val="00AB6671"/>
    <w:rsid w:val="00AB6884"/>
    <w:rsid w:val="00AB6A2A"/>
    <w:rsid w:val="00AB79C2"/>
    <w:rsid w:val="00AB7D51"/>
    <w:rsid w:val="00AC055B"/>
    <w:rsid w:val="00AC0992"/>
    <w:rsid w:val="00AC0CA5"/>
    <w:rsid w:val="00AC0D31"/>
    <w:rsid w:val="00AC12E9"/>
    <w:rsid w:val="00AC1869"/>
    <w:rsid w:val="00AC1F94"/>
    <w:rsid w:val="00AC21A2"/>
    <w:rsid w:val="00AC21A6"/>
    <w:rsid w:val="00AC2208"/>
    <w:rsid w:val="00AC235D"/>
    <w:rsid w:val="00AC29C6"/>
    <w:rsid w:val="00AC2BF3"/>
    <w:rsid w:val="00AC2ECD"/>
    <w:rsid w:val="00AC3226"/>
    <w:rsid w:val="00AC33D6"/>
    <w:rsid w:val="00AC393F"/>
    <w:rsid w:val="00AC402B"/>
    <w:rsid w:val="00AC4650"/>
    <w:rsid w:val="00AC49EC"/>
    <w:rsid w:val="00AC5355"/>
    <w:rsid w:val="00AC5E7F"/>
    <w:rsid w:val="00AC600E"/>
    <w:rsid w:val="00AC6C68"/>
    <w:rsid w:val="00AC744D"/>
    <w:rsid w:val="00AC7A09"/>
    <w:rsid w:val="00AC7AC0"/>
    <w:rsid w:val="00AC7AC5"/>
    <w:rsid w:val="00AC7CEE"/>
    <w:rsid w:val="00AD0061"/>
    <w:rsid w:val="00AD056B"/>
    <w:rsid w:val="00AD09F2"/>
    <w:rsid w:val="00AD0B89"/>
    <w:rsid w:val="00AD0C24"/>
    <w:rsid w:val="00AD1211"/>
    <w:rsid w:val="00AD1271"/>
    <w:rsid w:val="00AD1C8B"/>
    <w:rsid w:val="00AD27FC"/>
    <w:rsid w:val="00AD2921"/>
    <w:rsid w:val="00AD29F7"/>
    <w:rsid w:val="00AD2B00"/>
    <w:rsid w:val="00AD3429"/>
    <w:rsid w:val="00AD36A7"/>
    <w:rsid w:val="00AD38D4"/>
    <w:rsid w:val="00AD3EB8"/>
    <w:rsid w:val="00AD40FE"/>
    <w:rsid w:val="00AD41F2"/>
    <w:rsid w:val="00AD4631"/>
    <w:rsid w:val="00AD47E6"/>
    <w:rsid w:val="00AD489B"/>
    <w:rsid w:val="00AD578E"/>
    <w:rsid w:val="00AD59FF"/>
    <w:rsid w:val="00AD5A26"/>
    <w:rsid w:val="00AD5CB9"/>
    <w:rsid w:val="00AD6130"/>
    <w:rsid w:val="00AD627B"/>
    <w:rsid w:val="00AD62AC"/>
    <w:rsid w:val="00AD641C"/>
    <w:rsid w:val="00AD6833"/>
    <w:rsid w:val="00AD6889"/>
    <w:rsid w:val="00AD6AB0"/>
    <w:rsid w:val="00AD7609"/>
    <w:rsid w:val="00AD78D2"/>
    <w:rsid w:val="00AE0069"/>
    <w:rsid w:val="00AE07C9"/>
    <w:rsid w:val="00AE0D47"/>
    <w:rsid w:val="00AE120C"/>
    <w:rsid w:val="00AE1345"/>
    <w:rsid w:val="00AE1C13"/>
    <w:rsid w:val="00AE1D24"/>
    <w:rsid w:val="00AE2323"/>
    <w:rsid w:val="00AE2D85"/>
    <w:rsid w:val="00AE3367"/>
    <w:rsid w:val="00AE3A4B"/>
    <w:rsid w:val="00AE4C04"/>
    <w:rsid w:val="00AE5AAD"/>
    <w:rsid w:val="00AE5E12"/>
    <w:rsid w:val="00AE6398"/>
    <w:rsid w:val="00AE6633"/>
    <w:rsid w:val="00AE66A7"/>
    <w:rsid w:val="00AE6C39"/>
    <w:rsid w:val="00AE7320"/>
    <w:rsid w:val="00AE733B"/>
    <w:rsid w:val="00AE76C8"/>
    <w:rsid w:val="00AE7A05"/>
    <w:rsid w:val="00AF0136"/>
    <w:rsid w:val="00AF041C"/>
    <w:rsid w:val="00AF11C6"/>
    <w:rsid w:val="00AF1215"/>
    <w:rsid w:val="00AF1475"/>
    <w:rsid w:val="00AF15F1"/>
    <w:rsid w:val="00AF1C7C"/>
    <w:rsid w:val="00AF267A"/>
    <w:rsid w:val="00AF28BC"/>
    <w:rsid w:val="00AF2BFA"/>
    <w:rsid w:val="00AF2E4A"/>
    <w:rsid w:val="00AF31C1"/>
    <w:rsid w:val="00AF3285"/>
    <w:rsid w:val="00AF366F"/>
    <w:rsid w:val="00AF36BF"/>
    <w:rsid w:val="00AF477F"/>
    <w:rsid w:val="00AF4E7B"/>
    <w:rsid w:val="00AF50D1"/>
    <w:rsid w:val="00AF53EA"/>
    <w:rsid w:val="00AF5515"/>
    <w:rsid w:val="00AF557C"/>
    <w:rsid w:val="00AF5B7A"/>
    <w:rsid w:val="00AF5CEA"/>
    <w:rsid w:val="00AF60E3"/>
    <w:rsid w:val="00AF6759"/>
    <w:rsid w:val="00AF7430"/>
    <w:rsid w:val="00AF7DBE"/>
    <w:rsid w:val="00AF7E2B"/>
    <w:rsid w:val="00B00619"/>
    <w:rsid w:val="00B00B24"/>
    <w:rsid w:val="00B00B4D"/>
    <w:rsid w:val="00B01277"/>
    <w:rsid w:val="00B01701"/>
    <w:rsid w:val="00B01769"/>
    <w:rsid w:val="00B01F49"/>
    <w:rsid w:val="00B02044"/>
    <w:rsid w:val="00B0227F"/>
    <w:rsid w:val="00B02532"/>
    <w:rsid w:val="00B036C2"/>
    <w:rsid w:val="00B03D63"/>
    <w:rsid w:val="00B041C9"/>
    <w:rsid w:val="00B0424D"/>
    <w:rsid w:val="00B0459E"/>
    <w:rsid w:val="00B050FD"/>
    <w:rsid w:val="00B05832"/>
    <w:rsid w:val="00B0583B"/>
    <w:rsid w:val="00B05DAC"/>
    <w:rsid w:val="00B06A06"/>
    <w:rsid w:val="00B07071"/>
    <w:rsid w:val="00B072E6"/>
    <w:rsid w:val="00B07901"/>
    <w:rsid w:val="00B07ABF"/>
    <w:rsid w:val="00B07AFD"/>
    <w:rsid w:val="00B07D09"/>
    <w:rsid w:val="00B10325"/>
    <w:rsid w:val="00B109E1"/>
    <w:rsid w:val="00B11308"/>
    <w:rsid w:val="00B113D3"/>
    <w:rsid w:val="00B113F4"/>
    <w:rsid w:val="00B118B9"/>
    <w:rsid w:val="00B11B88"/>
    <w:rsid w:val="00B124B2"/>
    <w:rsid w:val="00B127DD"/>
    <w:rsid w:val="00B13176"/>
    <w:rsid w:val="00B133BB"/>
    <w:rsid w:val="00B13A40"/>
    <w:rsid w:val="00B13DB5"/>
    <w:rsid w:val="00B142D2"/>
    <w:rsid w:val="00B1435A"/>
    <w:rsid w:val="00B14915"/>
    <w:rsid w:val="00B14F38"/>
    <w:rsid w:val="00B15294"/>
    <w:rsid w:val="00B15692"/>
    <w:rsid w:val="00B15C1A"/>
    <w:rsid w:val="00B15C1B"/>
    <w:rsid w:val="00B1600E"/>
    <w:rsid w:val="00B16131"/>
    <w:rsid w:val="00B16ED6"/>
    <w:rsid w:val="00B16EFF"/>
    <w:rsid w:val="00B16FD2"/>
    <w:rsid w:val="00B1726A"/>
    <w:rsid w:val="00B17352"/>
    <w:rsid w:val="00B17D89"/>
    <w:rsid w:val="00B2027C"/>
    <w:rsid w:val="00B2046D"/>
    <w:rsid w:val="00B20651"/>
    <w:rsid w:val="00B20732"/>
    <w:rsid w:val="00B2083C"/>
    <w:rsid w:val="00B2108B"/>
    <w:rsid w:val="00B21334"/>
    <w:rsid w:val="00B2158E"/>
    <w:rsid w:val="00B21FFB"/>
    <w:rsid w:val="00B228E4"/>
    <w:rsid w:val="00B22BBB"/>
    <w:rsid w:val="00B22C48"/>
    <w:rsid w:val="00B23389"/>
    <w:rsid w:val="00B23818"/>
    <w:rsid w:val="00B24409"/>
    <w:rsid w:val="00B247B7"/>
    <w:rsid w:val="00B248B1"/>
    <w:rsid w:val="00B24C93"/>
    <w:rsid w:val="00B252AE"/>
    <w:rsid w:val="00B25FA0"/>
    <w:rsid w:val="00B2600A"/>
    <w:rsid w:val="00B26071"/>
    <w:rsid w:val="00B267E3"/>
    <w:rsid w:val="00B26CA7"/>
    <w:rsid w:val="00B26F55"/>
    <w:rsid w:val="00B275A6"/>
    <w:rsid w:val="00B278CA"/>
    <w:rsid w:val="00B27DCF"/>
    <w:rsid w:val="00B30403"/>
    <w:rsid w:val="00B30856"/>
    <w:rsid w:val="00B30AB3"/>
    <w:rsid w:val="00B30C93"/>
    <w:rsid w:val="00B3130F"/>
    <w:rsid w:val="00B3143B"/>
    <w:rsid w:val="00B31470"/>
    <w:rsid w:val="00B314FC"/>
    <w:rsid w:val="00B315D6"/>
    <w:rsid w:val="00B31C0A"/>
    <w:rsid w:val="00B322BB"/>
    <w:rsid w:val="00B323A2"/>
    <w:rsid w:val="00B32516"/>
    <w:rsid w:val="00B32B89"/>
    <w:rsid w:val="00B334DD"/>
    <w:rsid w:val="00B3366E"/>
    <w:rsid w:val="00B33B3D"/>
    <w:rsid w:val="00B33C35"/>
    <w:rsid w:val="00B3409D"/>
    <w:rsid w:val="00B346E5"/>
    <w:rsid w:val="00B34795"/>
    <w:rsid w:val="00B34FC6"/>
    <w:rsid w:val="00B351CF"/>
    <w:rsid w:val="00B356CB"/>
    <w:rsid w:val="00B3581F"/>
    <w:rsid w:val="00B35952"/>
    <w:rsid w:val="00B35A8C"/>
    <w:rsid w:val="00B35AF8"/>
    <w:rsid w:val="00B35C1B"/>
    <w:rsid w:val="00B36041"/>
    <w:rsid w:val="00B36052"/>
    <w:rsid w:val="00B36191"/>
    <w:rsid w:val="00B362B3"/>
    <w:rsid w:val="00B36FFC"/>
    <w:rsid w:val="00B37000"/>
    <w:rsid w:val="00B375DA"/>
    <w:rsid w:val="00B37865"/>
    <w:rsid w:val="00B37DBF"/>
    <w:rsid w:val="00B40F52"/>
    <w:rsid w:val="00B415CF"/>
    <w:rsid w:val="00B41AB6"/>
    <w:rsid w:val="00B41DBC"/>
    <w:rsid w:val="00B41DEB"/>
    <w:rsid w:val="00B41E0C"/>
    <w:rsid w:val="00B41E53"/>
    <w:rsid w:val="00B42159"/>
    <w:rsid w:val="00B4239D"/>
    <w:rsid w:val="00B42A72"/>
    <w:rsid w:val="00B42AEA"/>
    <w:rsid w:val="00B42E8B"/>
    <w:rsid w:val="00B42F85"/>
    <w:rsid w:val="00B43111"/>
    <w:rsid w:val="00B432E2"/>
    <w:rsid w:val="00B43423"/>
    <w:rsid w:val="00B434C2"/>
    <w:rsid w:val="00B43D3D"/>
    <w:rsid w:val="00B43F46"/>
    <w:rsid w:val="00B44510"/>
    <w:rsid w:val="00B44784"/>
    <w:rsid w:val="00B450F1"/>
    <w:rsid w:val="00B454B4"/>
    <w:rsid w:val="00B457F8"/>
    <w:rsid w:val="00B46151"/>
    <w:rsid w:val="00B461E6"/>
    <w:rsid w:val="00B46C8C"/>
    <w:rsid w:val="00B470BD"/>
    <w:rsid w:val="00B470F9"/>
    <w:rsid w:val="00B47418"/>
    <w:rsid w:val="00B47745"/>
    <w:rsid w:val="00B4792D"/>
    <w:rsid w:val="00B47B1D"/>
    <w:rsid w:val="00B518CD"/>
    <w:rsid w:val="00B51F3C"/>
    <w:rsid w:val="00B52C5E"/>
    <w:rsid w:val="00B53061"/>
    <w:rsid w:val="00B532DB"/>
    <w:rsid w:val="00B534A0"/>
    <w:rsid w:val="00B53B99"/>
    <w:rsid w:val="00B541AA"/>
    <w:rsid w:val="00B541FB"/>
    <w:rsid w:val="00B54945"/>
    <w:rsid w:val="00B55423"/>
    <w:rsid w:val="00B55678"/>
    <w:rsid w:val="00B55C7F"/>
    <w:rsid w:val="00B563EB"/>
    <w:rsid w:val="00B56824"/>
    <w:rsid w:val="00B57151"/>
    <w:rsid w:val="00B574C6"/>
    <w:rsid w:val="00B57A6F"/>
    <w:rsid w:val="00B57C6C"/>
    <w:rsid w:val="00B57F3E"/>
    <w:rsid w:val="00B60142"/>
    <w:rsid w:val="00B60476"/>
    <w:rsid w:val="00B60D32"/>
    <w:rsid w:val="00B6143D"/>
    <w:rsid w:val="00B619BE"/>
    <w:rsid w:val="00B61A2B"/>
    <w:rsid w:val="00B61E6E"/>
    <w:rsid w:val="00B61F5A"/>
    <w:rsid w:val="00B62628"/>
    <w:rsid w:val="00B62894"/>
    <w:rsid w:val="00B62FB0"/>
    <w:rsid w:val="00B63192"/>
    <w:rsid w:val="00B63204"/>
    <w:rsid w:val="00B63E0E"/>
    <w:rsid w:val="00B641FC"/>
    <w:rsid w:val="00B64710"/>
    <w:rsid w:val="00B64E0D"/>
    <w:rsid w:val="00B6540A"/>
    <w:rsid w:val="00B655E8"/>
    <w:rsid w:val="00B65F81"/>
    <w:rsid w:val="00B66527"/>
    <w:rsid w:val="00B66D7C"/>
    <w:rsid w:val="00B66FA1"/>
    <w:rsid w:val="00B67228"/>
    <w:rsid w:val="00B70E79"/>
    <w:rsid w:val="00B719C7"/>
    <w:rsid w:val="00B71FBF"/>
    <w:rsid w:val="00B72210"/>
    <w:rsid w:val="00B72274"/>
    <w:rsid w:val="00B7291E"/>
    <w:rsid w:val="00B72F00"/>
    <w:rsid w:val="00B731F5"/>
    <w:rsid w:val="00B73628"/>
    <w:rsid w:val="00B736D3"/>
    <w:rsid w:val="00B73875"/>
    <w:rsid w:val="00B738B5"/>
    <w:rsid w:val="00B7481E"/>
    <w:rsid w:val="00B749AF"/>
    <w:rsid w:val="00B74AAB"/>
    <w:rsid w:val="00B74C9F"/>
    <w:rsid w:val="00B755F5"/>
    <w:rsid w:val="00B75827"/>
    <w:rsid w:val="00B75B36"/>
    <w:rsid w:val="00B779E6"/>
    <w:rsid w:val="00B77B96"/>
    <w:rsid w:val="00B805C7"/>
    <w:rsid w:val="00B8063F"/>
    <w:rsid w:val="00B80CF6"/>
    <w:rsid w:val="00B81048"/>
    <w:rsid w:val="00B8160A"/>
    <w:rsid w:val="00B81803"/>
    <w:rsid w:val="00B81D6C"/>
    <w:rsid w:val="00B81E40"/>
    <w:rsid w:val="00B82619"/>
    <w:rsid w:val="00B826C1"/>
    <w:rsid w:val="00B82D44"/>
    <w:rsid w:val="00B82EE9"/>
    <w:rsid w:val="00B82F2B"/>
    <w:rsid w:val="00B8393F"/>
    <w:rsid w:val="00B83B78"/>
    <w:rsid w:val="00B84526"/>
    <w:rsid w:val="00B849CB"/>
    <w:rsid w:val="00B849DC"/>
    <w:rsid w:val="00B855CC"/>
    <w:rsid w:val="00B85A77"/>
    <w:rsid w:val="00B85D8B"/>
    <w:rsid w:val="00B8614C"/>
    <w:rsid w:val="00B8650A"/>
    <w:rsid w:val="00B86545"/>
    <w:rsid w:val="00B8665A"/>
    <w:rsid w:val="00B868FC"/>
    <w:rsid w:val="00B874C3"/>
    <w:rsid w:val="00B87571"/>
    <w:rsid w:val="00B8794F"/>
    <w:rsid w:val="00B87A9B"/>
    <w:rsid w:val="00B902F6"/>
    <w:rsid w:val="00B903B9"/>
    <w:rsid w:val="00B903D7"/>
    <w:rsid w:val="00B90512"/>
    <w:rsid w:val="00B90FCA"/>
    <w:rsid w:val="00B91F91"/>
    <w:rsid w:val="00B92AED"/>
    <w:rsid w:val="00B92F6F"/>
    <w:rsid w:val="00B93ACF"/>
    <w:rsid w:val="00B93CF3"/>
    <w:rsid w:val="00B93E05"/>
    <w:rsid w:val="00B93E2A"/>
    <w:rsid w:val="00B93EBD"/>
    <w:rsid w:val="00B94167"/>
    <w:rsid w:val="00B9517D"/>
    <w:rsid w:val="00B95A42"/>
    <w:rsid w:val="00B960E3"/>
    <w:rsid w:val="00B96296"/>
    <w:rsid w:val="00B96455"/>
    <w:rsid w:val="00B9679E"/>
    <w:rsid w:val="00B969CA"/>
    <w:rsid w:val="00B96ADA"/>
    <w:rsid w:val="00B97921"/>
    <w:rsid w:val="00B97E5A"/>
    <w:rsid w:val="00BA0820"/>
    <w:rsid w:val="00BA0828"/>
    <w:rsid w:val="00BA0B06"/>
    <w:rsid w:val="00BA0D2E"/>
    <w:rsid w:val="00BA0F8E"/>
    <w:rsid w:val="00BA12CE"/>
    <w:rsid w:val="00BA16EC"/>
    <w:rsid w:val="00BA1FA6"/>
    <w:rsid w:val="00BA2945"/>
    <w:rsid w:val="00BA3047"/>
    <w:rsid w:val="00BA3502"/>
    <w:rsid w:val="00BA373B"/>
    <w:rsid w:val="00BA39A6"/>
    <w:rsid w:val="00BA3B15"/>
    <w:rsid w:val="00BA3BFB"/>
    <w:rsid w:val="00BA3FB8"/>
    <w:rsid w:val="00BA4B3A"/>
    <w:rsid w:val="00BA4FE2"/>
    <w:rsid w:val="00BA513A"/>
    <w:rsid w:val="00BA52AB"/>
    <w:rsid w:val="00BA6751"/>
    <w:rsid w:val="00BA7388"/>
    <w:rsid w:val="00BA73A9"/>
    <w:rsid w:val="00BA7917"/>
    <w:rsid w:val="00BB0489"/>
    <w:rsid w:val="00BB0880"/>
    <w:rsid w:val="00BB0B3A"/>
    <w:rsid w:val="00BB0FFA"/>
    <w:rsid w:val="00BB1141"/>
    <w:rsid w:val="00BB18D2"/>
    <w:rsid w:val="00BB2413"/>
    <w:rsid w:val="00BB34E7"/>
    <w:rsid w:val="00BB3796"/>
    <w:rsid w:val="00BB4089"/>
    <w:rsid w:val="00BB43E6"/>
    <w:rsid w:val="00BB442C"/>
    <w:rsid w:val="00BB4777"/>
    <w:rsid w:val="00BB4983"/>
    <w:rsid w:val="00BB4E22"/>
    <w:rsid w:val="00BB5682"/>
    <w:rsid w:val="00BB606C"/>
    <w:rsid w:val="00BB6737"/>
    <w:rsid w:val="00BB6CE7"/>
    <w:rsid w:val="00BB7242"/>
    <w:rsid w:val="00BB748B"/>
    <w:rsid w:val="00BB7708"/>
    <w:rsid w:val="00BB7E1A"/>
    <w:rsid w:val="00BC0BC9"/>
    <w:rsid w:val="00BC1485"/>
    <w:rsid w:val="00BC15A8"/>
    <w:rsid w:val="00BC1883"/>
    <w:rsid w:val="00BC1A59"/>
    <w:rsid w:val="00BC1B50"/>
    <w:rsid w:val="00BC1E30"/>
    <w:rsid w:val="00BC208A"/>
    <w:rsid w:val="00BC20FF"/>
    <w:rsid w:val="00BC249D"/>
    <w:rsid w:val="00BC281A"/>
    <w:rsid w:val="00BC28B0"/>
    <w:rsid w:val="00BC2E7F"/>
    <w:rsid w:val="00BC2EDE"/>
    <w:rsid w:val="00BC3791"/>
    <w:rsid w:val="00BC39B1"/>
    <w:rsid w:val="00BC3EC2"/>
    <w:rsid w:val="00BC40C6"/>
    <w:rsid w:val="00BC40D6"/>
    <w:rsid w:val="00BC43FD"/>
    <w:rsid w:val="00BC4F88"/>
    <w:rsid w:val="00BC5419"/>
    <w:rsid w:val="00BC5A0C"/>
    <w:rsid w:val="00BC6A5F"/>
    <w:rsid w:val="00BC7356"/>
    <w:rsid w:val="00BC77EE"/>
    <w:rsid w:val="00BC7C71"/>
    <w:rsid w:val="00BC7F33"/>
    <w:rsid w:val="00BD0086"/>
    <w:rsid w:val="00BD0109"/>
    <w:rsid w:val="00BD064D"/>
    <w:rsid w:val="00BD0B97"/>
    <w:rsid w:val="00BD0BC3"/>
    <w:rsid w:val="00BD12ED"/>
    <w:rsid w:val="00BD17BD"/>
    <w:rsid w:val="00BD192C"/>
    <w:rsid w:val="00BD1933"/>
    <w:rsid w:val="00BD19EA"/>
    <w:rsid w:val="00BD1DE5"/>
    <w:rsid w:val="00BD2171"/>
    <w:rsid w:val="00BD22F5"/>
    <w:rsid w:val="00BD24DB"/>
    <w:rsid w:val="00BD2634"/>
    <w:rsid w:val="00BD2947"/>
    <w:rsid w:val="00BD2E0C"/>
    <w:rsid w:val="00BD3847"/>
    <w:rsid w:val="00BD416B"/>
    <w:rsid w:val="00BD4287"/>
    <w:rsid w:val="00BD438C"/>
    <w:rsid w:val="00BD493B"/>
    <w:rsid w:val="00BD4ECE"/>
    <w:rsid w:val="00BD5032"/>
    <w:rsid w:val="00BD6097"/>
    <w:rsid w:val="00BD61BC"/>
    <w:rsid w:val="00BD6320"/>
    <w:rsid w:val="00BD6364"/>
    <w:rsid w:val="00BD6CEB"/>
    <w:rsid w:val="00BD6FDB"/>
    <w:rsid w:val="00BD7757"/>
    <w:rsid w:val="00BD7CF8"/>
    <w:rsid w:val="00BE01BC"/>
    <w:rsid w:val="00BE04AF"/>
    <w:rsid w:val="00BE0621"/>
    <w:rsid w:val="00BE0814"/>
    <w:rsid w:val="00BE0F59"/>
    <w:rsid w:val="00BE1098"/>
    <w:rsid w:val="00BE11F5"/>
    <w:rsid w:val="00BE1257"/>
    <w:rsid w:val="00BE135B"/>
    <w:rsid w:val="00BE18A8"/>
    <w:rsid w:val="00BE19D2"/>
    <w:rsid w:val="00BE2B39"/>
    <w:rsid w:val="00BE2EC8"/>
    <w:rsid w:val="00BE383A"/>
    <w:rsid w:val="00BE3877"/>
    <w:rsid w:val="00BE4658"/>
    <w:rsid w:val="00BE4782"/>
    <w:rsid w:val="00BE4957"/>
    <w:rsid w:val="00BE51D1"/>
    <w:rsid w:val="00BE522F"/>
    <w:rsid w:val="00BE554E"/>
    <w:rsid w:val="00BE5613"/>
    <w:rsid w:val="00BE5766"/>
    <w:rsid w:val="00BE598E"/>
    <w:rsid w:val="00BE5D82"/>
    <w:rsid w:val="00BE5E23"/>
    <w:rsid w:val="00BE611F"/>
    <w:rsid w:val="00BE6250"/>
    <w:rsid w:val="00BE731E"/>
    <w:rsid w:val="00BE7724"/>
    <w:rsid w:val="00BE7CCB"/>
    <w:rsid w:val="00BF03DE"/>
    <w:rsid w:val="00BF0456"/>
    <w:rsid w:val="00BF05CB"/>
    <w:rsid w:val="00BF0619"/>
    <w:rsid w:val="00BF090D"/>
    <w:rsid w:val="00BF0A34"/>
    <w:rsid w:val="00BF151B"/>
    <w:rsid w:val="00BF1652"/>
    <w:rsid w:val="00BF16D5"/>
    <w:rsid w:val="00BF1B76"/>
    <w:rsid w:val="00BF25C2"/>
    <w:rsid w:val="00BF2775"/>
    <w:rsid w:val="00BF2885"/>
    <w:rsid w:val="00BF2F32"/>
    <w:rsid w:val="00BF314E"/>
    <w:rsid w:val="00BF3911"/>
    <w:rsid w:val="00BF3E2D"/>
    <w:rsid w:val="00BF4435"/>
    <w:rsid w:val="00BF480E"/>
    <w:rsid w:val="00BF483A"/>
    <w:rsid w:val="00BF4A64"/>
    <w:rsid w:val="00BF4B19"/>
    <w:rsid w:val="00BF588A"/>
    <w:rsid w:val="00BF5AAF"/>
    <w:rsid w:val="00BF5EA9"/>
    <w:rsid w:val="00BF61FB"/>
    <w:rsid w:val="00BF657F"/>
    <w:rsid w:val="00BF668A"/>
    <w:rsid w:val="00BF71D3"/>
    <w:rsid w:val="00C0000D"/>
    <w:rsid w:val="00C0014A"/>
    <w:rsid w:val="00C00309"/>
    <w:rsid w:val="00C0057D"/>
    <w:rsid w:val="00C008A5"/>
    <w:rsid w:val="00C00CD9"/>
    <w:rsid w:val="00C00D71"/>
    <w:rsid w:val="00C00FDD"/>
    <w:rsid w:val="00C01525"/>
    <w:rsid w:val="00C015F4"/>
    <w:rsid w:val="00C0212E"/>
    <w:rsid w:val="00C02BB8"/>
    <w:rsid w:val="00C02F6E"/>
    <w:rsid w:val="00C02FF7"/>
    <w:rsid w:val="00C038F5"/>
    <w:rsid w:val="00C03B0B"/>
    <w:rsid w:val="00C040C7"/>
    <w:rsid w:val="00C041E6"/>
    <w:rsid w:val="00C04AC5"/>
    <w:rsid w:val="00C04BA1"/>
    <w:rsid w:val="00C04F09"/>
    <w:rsid w:val="00C04FD3"/>
    <w:rsid w:val="00C0540B"/>
    <w:rsid w:val="00C05BDB"/>
    <w:rsid w:val="00C05FED"/>
    <w:rsid w:val="00C0601C"/>
    <w:rsid w:val="00C06044"/>
    <w:rsid w:val="00C0625A"/>
    <w:rsid w:val="00C063AB"/>
    <w:rsid w:val="00C066AF"/>
    <w:rsid w:val="00C0682B"/>
    <w:rsid w:val="00C06FE4"/>
    <w:rsid w:val="00C07238"/>
    <w:rsid w:val="00C07B8C"/>
    <w:rsid w:val="00C07CB3"/>
    <w:rsid w:val="00C07EB6"/>
    <w:rsid w:val="00C10030"/>
    <w:rsid w:val="00C105D7"/>
    <w:rsid w:val="00C10925"/>
    <w:rsid w:val="00C109AF"/>
    <w:rsid w:val="00C10A03"/>
    <w:rsid w:val="00C10B94"/>
    <w:rsid w:val="00C10F4E"/>
    <w:rsid w:val="00C11032"/>
    <w:rsid w:val="00C11C02"/>
    <w:rsid w:val="00C11DFE"/>
    <w:rsid w:val="00C11E83"/>
    <w:rsid w:val="00C124A3"/>
    <w:rsid w:val="00C12521"/>
    <w:rsid w:val="00C126FB"/>
    <w:rsid w:val="00C12F8B"/>
    <w:rsid w:val="00C132E6"/>
    <w:rsid w:val="00C13B36"/>
    <w:rsid w:val="00C13C9A"/>
    <w:rsid w:val="00C13D69"/>
    <w:rsid w:val="00C143E3"/>
    <w:rsid w:val="00C14A35"/>
    <w:rsid w:val="00C14AF6"/>
    <w:rsid w:val="00C14B74"/>
    <w:rsid w:val="00C15200"/>
    <w:rsid w:val="00C15864"/>
    <w:rsid w:val="00C15A8A"/>
    <w:rsid w:val="00C15B6E"/>
    <w:rsid w:val="00C16587"/>
    <w:rsid w:val="00C168E2"/>
    <w:rsid w:val="00C16A06"/>
    <w:rsid w:val="00C16BBE"/>
    <w:rsid w:val="00C16FD2"/>
    <w:rsid w:val="00C171ED"/>
    <w:rsid w:val="00C172EB"/>
    <w:rsid w:val="00C17566"/>
    <w:rsid w:val="00C17772"/>
    <w:rsid w:val="00C17E63"/>
    <w:rsid w:val="00C20654"/>
    <w:rsid w:val="00C2087E"/>
    <w:rsid w:val="00C20B5B"/>
    <w:rsid w:val="00C20D18"/>
    <w:rsid w:val="00C21023"/>
    <w:rsid w:val="00C210B1"/>
    <w:rsid w:val="00C21349"/>
    <w:rsid w:val="00C21411"/>
    <w:rsid w:val="00C215C1"/>
    <w:rsid w:val="00C21A4B"/>
    <w:rsid w:val="00C21DD8"/>
    <w:rsid w:val="00C22017"/>
    <w:rsid w:val="00C2295B"/>
    <w:rsid w:val="00C22ABB"/>
    <w:rsid w:val="00C22D3E"/>
    <w:rsid w:val="00C22DB6"/>
    <w:rsid w:val="00C2315B"/>
    <w:rsid w:val="00C23AA3"/>
    <w:rsid w:val="00C23D38"/>
    <w:rsid w:val="00C241EA"/>
    <w:rsid w:val="00C248CF"/>
    <w:rsid w:val="00C24A13"/>
    <w:rsid w:val="00C250E4"/>
    <w:rsid w:val="00C252D4"/>
    <w:rsid w:val="00C25DB7"/>
    <w:rsid w:val="00C265CC"/>
    <w:rsid w:val="00C26BF3"/>
    <w:rsid w:val="00C26D7B"/>
    <w:rsid w:val="00C271C0"/>
    <w:rsid w:val="00C2784A"/>
    <w:rsid w:val="00C30209"/>
    <w:rsid w:val="00C306F3"/>
    <w:rsid w:val="00C30801"/>
    <w:rsid w:val="00C30A74"/>
    <w:rsid w:val="00C3192F"/>
    <w:rsid w:val="00C319F7"/>
    <w:rsid w:val="00C31E50"/>
    <w:rsid w:val="00C31FB5"/>
    <w:rsid w:val="00C31FFF"/>
    <w:rsid w:val="00C32584"/>
    <w:rsid w:val="00C3276E"/>
    <w:rsid w:val="00C327DF"/>
    <w:rsid w:val="00C32AFB"/>
    <w:rsid w:val="00C32BC1"/>
    <w:rsid w:val="00C33063"/>
    <w:rsid w:val="00C33504"/>
    <w:rsid w:val="00C341BA"/>
    <w:rsid w:val="00C343DF"/>
    <w:rsid w:val="00C343E0"/>
    <w:rsid w:val="00C344DB"/>
    <w:rsid w:val="00C34A8B"/>
    <w:rsid w:val="00C34C2F"/>
    <w:rsid w:val="00C351B3"/>
    <w:rsid w:val="00C351FF"/>
    <w:rsid w:val="00C3568D"/>
    <w:rsid w:val="00C356E5"/>
    <w:rsid w:val="00C35A8D"/>
    <w:rsid w:val="00C35E2F"/>
    <w:rsid w:val="00C37194"/>
    <w:rsid w:val="00C377A9"/>
    <w:rsid w:val="00C3794F"/>
    <w:rsid w:val="00C403FD"/>
    <w:rsid w:val="00C41109"/>
    <w:rsid w:val="00C412E9"/>
    <w:rsid w:val="00C41572"/>
    <w:rsid w:val="00C416FB"/>
    <w:rsid w:val="00C421EC"/>
    <w:rsid w:val="00C423F2"/>
    <w:rsid w:val="00C42504"/>
    <w:rsid w:val="00C4257A"/>
    <w:rsid w:val="00C4269F"/>
    <w:rsid w:val="00C42970"/>
    <w:rsid w:val="00C4346F"/>
    <w:rsid w:val="00C435EA"/>
    <w:rsid w:val="00C436B7"/>
    <w:rsid w:val="00C439B3"/>
    <w:rsid w:val="00C44262"/>
    <w:rsid w:val="00C450AA"/>
    <w:rsid w:val="00C45222"/>
    <w:rsid w:val="00C45E73"/>
    <w:rsid w:val="00C46808"/>
    <w:rsid w:val="00C4721B"/>
    <w:rsid w:val="00C4724B"/>
    <w:rsid w:val="00C475E7"/>
    <w:rsid w:val="00C47F92"/>
    <w:rsid w:val="00C50149"/>
    <w:rsid w:val="00C507C4"/>
    <w:rsid w:val="00C50871"/>
    <w:rsid w:val="00C509B4"/>
    <w:rsid w:val="00C50ACB"/>
    <w:rsid w:val="00C522C9"/>
    <w:rsid w:val="00C52A60"/>
    <w:rsid w:val="00C5329C"/>
    <w:rsid w:val="00C53461"/>
    <w:rsid w:val="00C53BB2"/>
    <w:rsid w:val="00C53C77"/>
    <w:rsid w:val="00C53ED7"/>
    <w:rsid w:val="00C5423D"/>
    <w:rsid w:val="00C5487C"/>
    <w:rsid w:val="00C5552F"/>
    <w:rsid w:val="00C55BF2"/>
    <w:rsid w:val="00C56165"/>
    <w:rsid w:val="00C56BC5"/>
    <w:rsid w:val="00C57506"/>
    <w:rsid w:val="00C60002"/>
    <w:rsid w:val="00C60482"/>
    <w:rsid w:val="00C607AE"/>
    <w:rsid w:val="00C60FCD"/>
    <w:rsid w:val="00C61189"/>
    <w:rsid w:val="00C6128B"/>
    <w:rsid w:val="00C61A61"/>
    <w:rsid w:val="00C61DBB"/>
    <w:rsid w:val="00C6352A"/>
    <w:rsid w:val="00C6397D"/>
    <w:rsid w:val="00C63AE5"/>
    <w:rsid w:val="00C63E1C"/>
    <w:rsid w:val="00C64409"/>
    <w:rsid w:val="00C64E4B"/>
    <w:rsid w:val="00C65686"/>
    <w:rsid w:val="00C6568F"/>
    <w:rsid w:val="00C660A6"/>
    <w:rsid w:val="00C66140"/>
    <w:rsid w:val="00C671E9"/>
    <w:rsid w:val="00C674B8"/>
    <w:rsid w:val="00C70CBC"/>
    <w:rsid w:val="00C70E53"/>
    <w:rsid w:val="00C7149C"/>
    <w:rsid w:val="00C714C0"/>
    <w:rsid w:val="00C717D2"/>
    <w:rsid w:val="00C72A8B"/>
    <w:rsid w:val="00C72EA0"/>
    <w:rsid w:val="00C7331C"/>
    <w:rsid w:val="00C73A70"/>
    <w:rsid w:val="00C74111"/>
    <w:rsid w:val="00C749F4"/>
    <w:rsid w:val="00C74EF9"/>
    <w:rsid w:val="00C757F8"/>
    <w:rsid w:val="00C75DA9"/>
    <w:rsid w:val="00C75E12"/>
    <w:rsid w:val="00C7600F"/>
    <w:rsid w:val="00C76248"/>
    <w:rsid w:val="00C7639D"/>
    <w:rsid w:val="00C764B4"/>
    <w:rsid w:val="00C7685D"/>
    <w:rsid w:val="00C76869"/>
    <w:rsid w:val="00C76A08"/>
    <w:rsid w:val="00C76C29"/>
    <w:rsid w:val="00C76C5A"/>
    <w:rsid w:val="00C76E3F"/>
    <w:rsid w:val="00C76E8F"/>
    <w:rsid w:val="00C770E9"/>
    <w:rsid w:val="00C77180"/>
    <w:rsid w:val="00C77811"/>
    <w:rsid w:val="00C778E9"/>
    <w:rsid w:val="00C77AC1"/>
    <w:rsid w:val="00C77BCA"/>
    <w:rsid w:val="00C77FB6"/>
    <w:rsid w:val="00C80761"/>
    <w:rsid w:val="00C808C3"/>
    <w:rsid w:val="00C80991"/>
    <w:rsid w:val="00C80BE3"/>
    <w:rsid w:val="00C80D7D"/>
    <w:rsid w:val="00C80E89"/>
    <w:rsid w:val="00C815DA"/>
    <w:rsid w:val="00C81783"/>
    <w:rsid w:val="00C81803"/>
    <w:rsid w:val="00C8194F"/>
    <w:rsid w:val="00C81AB3"/>
    <w:rsid w:val="00C82564"/>
    <w:rsid w:val="00C82EDA"/>
    <w:rsid w:val="00C83C61"/>
    <w:rsid w:val="00C83EBC"/>
    <w:rsid w:val="00C842F6"/>
    <w:rsid w:val="00C84401"/>
    <w:rsid w:val="00C8485F"/>
    <w:rsid w:val="00C84DCA"/>
    <w:rsid w:val="00C84FF9"/>
    <w:rsid w:val="00C850EA"/>
    <w:rsid w:val="00C8544D"/>
    <w:rsid w:val="00C856AA"/>
    <w:rsid w:val="00C85865"/>
    <w:rsid w:val="00C85AD6"/>
    <w:rsid w:val="00C85E93"/>
    <w:rsid w:val="00C86910"/>
    <w:rsid w:val="00C86DC7"/>
    <w:rsid w:val="00C87FE5"/>
    <w:rsid w:val="00C903D5"/>
    <w:rsid w:val="00C908B7"/>
    <w:rsid w:val="00C909C7"/>
    <w:rsid w:val="00C90BF6"/>
    <w:rsid w:val="00C910AF"/>
    <w:rsid w:val="00C919E0"/>
    <w:rsid w:val="00C91A1A"/>
    <w:rsid w:val="00C91E77"/>
    <w:rsid w:val="00C92148"/>
    <w:rsid w:val="00C928CA"/>
    <w:rsid w:val="00C92BD9"/>
    <w:rsid w:val="00C92C4D"/>
    <w:rsid w:val="00C92F05"/>
    <w:rsid w:val="00C935B2"/>
    <w:rsid w:val="00C93866"/>
    <w:rsid w:val="00C93CC6"/>
    <w:rsid w:val="00C93D87"/>
    <w:rsid w:val="00C94B22"/>
    <w:rsid w:val="00C953B9"/>
    <w:rsid w:val="00C9556B"/>
    <w:rsid w:val="00C96033"/>
    <w:rsid w:val="00C96585"/>
    <w:rsid w:val="00C9755B"/>
    <w:rsid w:val="00C97711"/>
    <w:rsid w:val="00C9788C"/>
    <w:rsid w:val="00C97A6E"/>
    <w:rsid w:val="00CA06DA"/>
    <w:rsid w:val="00CA070D"/>
    <w:rsid w:val="00CA077B"/>
    <w:rsid w:val="00CA0C13"/>
    <w:rsid w:val="00CA0D96"/>
    <w:rsid w:val="00CA0F36"/>
    <w:rsid w:val="00CA1280"/>
    <w:rsid w:val="00CA1453"/>
    <w:rsid w:val="00CA20C2"/>
    <w:rsid w:val="00CA260E"/>
    <w:rsid w:val="00CA30BB"/>
    <w:rsid w:val="00CA327C"/>
    <w:rsid w:val="00CA3A2A"/>
    <w:rsid w:val="00CA3BF2"/>
    <w:rsid w:val="00CA3E45"/>
    <w:rsid w:val="00CA4BA2"/>
    <w:rsid w:val="00CA4D2F"/>
    <w:rsid w:val="00CA4D96"/>
    <w:rsid w:val="00CA51E5"/>
    <w:rsid w:val="00CA55E6"/>
    <w:rsid w:val="00CA636F"/>
    <w:rsid w:val="00CA658E"/>
    <w:rsid w:val="00CA662A"/>
    <w:rsid w:val="00CA67A7"/>
    <w:rsid w:val="00CA6845"/>
    <w:rsid w:val="00CA6C42"/>
    <w:rsid w:val="00CB00DD"/>
    <w:rsid w:val="00CB07A5"/>
    <w:rsid w:val="00CB0991"/>
    <w:rsid w:val="00CB0D67"/>
    <w:rsid w:val="00CB0E82"/>
    <w:rsid w:val="00CB0F3A"/>
    <w:rsid w:val="00CB1253"/>
    <w:rsid w:val="00CB1257"/>
    <w:rsid w:val="00CB13D0"/>
    <w:rsid w:val="00CB14CB"/>
    <w:rsid w:val="00CB1514"/>
    <w:rsid w:val="00CB18DC"/>
    <w:rsid w:val="00CB1CAF"/>
    <w:rsid w:val="00CB1DAB"/>
    <w:rsid w:val="00CB202B"/>
    <w:rsid w:val="00CB206C"/>
    <w:rsid w:val="00CB25FA"/>
    <w:rsid w:val="00CB27A6"/>
    <w:rsid w:val="00CB2A67"/>
    <w:rsid w:val="00CB2AEE"/>
    <w:rsid w:val="00CB3309"/>
    <w:rsid w:val="00CB35D1"/>
    <w:rsid w:val="00CB385E"/>
    <w:rsid w:val="00CB3874"/>
    <w:rsid w:val="00CB4639"/>
    <w:rsid w:val="00CB4F33"/>
    <w:rsid w:val="00CB4FC6"/>
    <w:rsid w:val="00CB5882"/>
    <w:rsid w:val="00CB59A8"/>
    <w:rsid w:val="00CB5C58"/>
    <w:rsid w:val="00CB5EBF"/>
    <w:rsid w:val="00CB65A0"/>
    <w:rsid w:val="00CB65BD"/>
    <w:rsid w:val="00CB66DB"/>
    <w:rsid w:val="00CB68ED"/>
    <w:rsid w:val="00CB6D80"/>
    <w:rsid w:val="00CB6F13"/>
    <w:rsid w:val="00CB7138"/>
    <w:rsid w:val="00CB74B6"/>
    <w:rsid w:val="00CB77B0"/>
    <w:rsid w:val="00CC0006"/>
    <w:rsid w:val="00CC05CC"/>
    <w:rsid w:val="00CC06D0"/>
    <w:rsid w:val="00CC0972"/>
    <w:rsid w:val="00CC0B36"/>
    <w:rsid w:val="00CC0D52"/>
    <w:rsid w:val="00CC0E73"/>
    <w:rsid w:val="00CC138D"/>
    <w:rsid w:val="00CC1A08"/>
    <w:rsid w:val="00CC1AFB"/>
    <w:rsid w:val="00CC1EC6"/>
    <w:rsid w:val="00CC24AE"/>
    <w:rsid w:val="00CC26C3"/>
    <w:rsid w:val="00CC2901"/>
    <w:rsid w:val="00CC2A4D"/>
    <w:rsid w:val="00CC34A0"/>
    <w:rsid w:val="00CC3701"/>
    <w:rsid w:val="00CC370F"/>
    <w:rsid w:val="00CC385A"/>
    <w:rsid w:val="00CC3FE9"/>
    <w:rsid w:val="00CC4166"/>
    <w:rsid w:val="00CC46BA"/>
    <w:rsid w:val="00CC487D"/>
    <w:rsid w:val="00CC4B7B"/>
    <w:rsid w:val="00CC533B"/>
    <w:rsid w:val="00CC563D"/>
    <w:rsid w:val="00CC611A"/>
    <w:rsid w:val="00CC75AA"/>
    <w:rsid w:val="00CC7617"/>
    <w:rsid w:val="00CC7818"/>
    <w:rsid w:val="00CD014F"/>
    <w:rsid w:val="00CD0151"/>
    <w:rsid w:val="00CD0216"/>
    <w:rsid w:val="00CD0374"/>
    <w:rsid w:val="00CD03FB"/>
    <w:rsid w:val="00CD059C"/>
    <w:rsid w:val="00CD06F7"/>
    <w:rsid w:val="00CD0CBC"/>
    <w:rsid w:val="00CD1086"/>
    <w:rsid w:val="00CD11CD"/>
    <w:rsid w:val="00CD11D1"/>
    <w:rsid w:val="00CD11EE"/>
    <w:rsid w:val="00CD1313"/>
    <w:rsid w:val="00CD16A5"/>
    <w:rsid w:val="00CD263C"/>
    <w:rsid w:val="00CD28BF"/>
    <w:rsid w:val="00CD309F"/>
    <w:rsid w:val="00CD346F"/>
    <w:rsid w:val="00CD4369"/>
    <w:rsid w:val="00CD43A1"/>
    <w:rsid w:val="00CD4937"/>
    <w:rsid w:val="00CD521D"/>
    <w:rsid w:val="00CD5348"/>
    <w:rsid w:val="00CD55A8"/>
    <w:rsid w:val="00CD564C"/>
    <w:rsid w:val="00CD566F"/>
    <w:rsid w:val="00CD6261"/>
    <w:rsid w:val="00CD653C"/>
    <w:rsid w:val="00CD66CA"/>
    <w:rsid w:val="00CD68A0"/>
    <w:rsid w:val="00CD6D08"/>
    <w:rsid w:val="00CD6FF8"/>
    <w:rsid w:val="00CD784E"/>
    <w:rsid w:val="00CD7FA2"/>
    <w:rsid w:val="00CE08FA"/>
    <w:rsid w:val="00CE0E9C"/>
    <w:rsid w:val="00CE105D"/>
    <w:rsid w:val="00CE10A4"/>
    <w:rsid w:val="00CE1594"/>
    <w:rsid w:val="00CE1A91"/>
    <w:rsid w:val="00CE1FF4"/>
    <w:rsid w:val="00CE242D"/>
    <w:rsid w:val="00CE2582"/>
    <w:rsid w:val="00CE25E6"/>
    <w:rsid w:val="00CE2EE7"/>
    <w:rsid w:val="00CE2FFA"/>
    <w:rsid w:val="00CE362B"/>
    <w:rsid w:val="00CE3D98"/>
    <w:rsid w:val="00CE4783"/>
    <w:rsid w:val="00CE4C81"/>
    <w:rsid w:val="00CE4F72"/>
    <w:rsid w:val="00CE54CB"/>
    <w:rsid w:val="00CE5926"/>
    <w:rsid w:val="00CE5C40"/>
    <w:rsid w:val="00CE6A33"/>
    <w:rsid w:val="00CE6B05"/>
    <w:rsid w:val="00CE7623"/>
    <w:rsid w:val="00CE7897"/>
    <w:rsid w:val="00CE7AF5"/>
    <w:rsid w:val="00CE7F4B"/>
    <w:rsid w:val="00CF0F21"/>
    <w:rsid w:val="00CF10AC"/>
    <w:rsid w:val="00CF11B4"/>
    <w:rsid w:val="00CF1440"/>
    <w:rsid w:val="00CF1452"/>
    <w:rsid w:val="00CF14ED"/>
    <w:rsid w:val="00CF16A3"/>
    <w:rsid w:val="00CF2196"/>
    <w:rsid w:val="00CF285D"/>
    <w:rsid w:val="00CF2CAF"/>
    <w:rsid w:val="00CF351D"/>
    <w:rsid w:val="00CF36F7"/>
    <w:rsid w:val="00CF3D49"/>
    <w:rsid w:val="00CF3E76"/>
    <w:rsid w:val="00CF4545"/>
    <w:rsid w:val="00CF58C6"/>
    <w:rsid w:val="00CF590D"/>
    <w:rsid w:val="00CF592C"/>
    <w:rsid w:val="00CF5AA7"/>
    <w:rsid w:val="00CF5DE6"/>
    <w:rsid w:val="00CF627B"/>
    <w:rsid w:val="00CF645E"/>
    <w:rsid w:val="00CF67D5"/>
    <w:rsid w:val="00CF6956"/>
    <w:rsid w:val="00CF719C"/>
    <w:rsid w:val="00CF735F"/>
    <w:rsid w:val="00CF7755"/>
    <w:rsid w:val="00CF7834"/>
    <w:rsid w:val="00CF7DD3"/>
    <w:rsid w:val="00D00405"/>
    <w:rsid w:val="00D004FB"/>
    <w:rsid w:val="00D00651"/>
    <w:rsid w:val="00D01484"/>
    <w:rsid w:val="00D018E7"/>
    <w:rsid w:val="00D01B24"/>
    <w:rsid w:val="00D01FEF"/>
    <w:rsid w:val="00D020E6"/>
    <w:rsid w:val="00D02260"/>
    <w:rsid w:val="00D022DF"/>
    <w:rsid w:val="00D02932"/>
    <w:rsid w:val="00D0319E"/>
    <w:rsid w:val="00D03DD0"/>
    <w:rsid w:val="00D03ED8"/>
    <w:rsid w:val="00D03EE1"/>
    <w:rsid w:val="00D041E9"/>
    <w:rsid w:val="00D0461D"/>
    <w:rsid w:val="00D0478A"/>
    <w:rsid w:val="00D051DF"/>
    <w:rsid w:val="00D052B3"/>
    <w:rsid w:val="00D05C21"/>
    <w:rsid w:val="00D05CB2"/>
    <w:rsid w:val="00D05EE1"/>
    <w:rsid w:val="00D05F70"/>
    <w:rsid w:val="00D0676E"/>
    <w:rsid w:val="00D10C75"/>
    <w:rsid w:val="00D11045"/>
    <w:rsid w:val="00D1124F"/>
    <w:rsid w:val="00D1143B"/>
    <w:rsid w:val="00D11831"/>
    <w:rsid w:val="00D118AA"/>
    <w:rsid w:val="00D118EE"/>
    <w:rsid w:val="00D1283B"/>
    <w:rsid w:val="00D129A5"/>
    <w:rsid w:val="00D12F63"/>
    <w:rsid w:val="00D132A2"/>
    <w:rsid w:val="00D1332A"/>
    <w:rsid w:val="00D1354F"/>
    <w:rsid w:val="00D1459A"/>
    <w:rsid w:val="00D14A20"/>
    <w:rsid w:val="00D15290"/>
    <w:rsid w:val="00D15311"/>
    <w:rsid w:val="00D15443"/>
    <w:rsid w:val="00D157F6"/>
    <w:rsid w:val="00D15936"/>
    <w:rsid w:val="00D15FE0"/>
    <w:rsid w:val="00D167ED"/>
    <w:rsid w:val="00D16CEF"/>
    <w:rsid w:val="00D1723D"/>
    <w:rsid w:val="00D175B7"/>
    <w:rsid w:val="00D176F1"/>
    <w:rsid w:val="00D17E12"/>
    <w:rsid w:val="00D17F77"/>
    <w:rsid w:val="00D17FC4"/>
    <w:rsid w:val="00D20157"/>
    <w:rsid w:val="00D20623"/>
    <w:rsid w:val="00D20672"/>
    <w:rsid w:val="00D207D7"/>
    <w:rsid w:val="00D21185"/>
    <w:rsid w:val="00D21897"/>
    <w:rsid w:val="00D21ACF"/>
    <w:rsid w:val="00D21DFC"/>
    <w:rsid w:val="00D221D8"/>
    <w:rsid w:val="00D223F0"/>
    <w:rsid w:val="00D22551"/>
    <w:rsid w:val="00D22D41"/>
    <w:rsid w:val="00D232F0"/>
    <w:rsid w:val="00D23CCF"/>
    <w:rsid w:val="00D23D66"/>
    <w:rsid w:val="00D2467E"/>
    <w:rsid w:val="00D24714"/>
    <w:rsid w:val="00D24F13"/>
    <w:rsid w:val="00D25620"/>
    <w:rsid w:val="00D25912"/>
    <w:rsid w:val="00D25A7F"/>
    <w:rsid w:val="00D25A89"/>
    <w:rsid w:val="00D25C58"/>
    <w:rsid w:val="00D25D46"/>
    <w:rsid w:val="00D25F31"/>
    <w:rsid w:val="00D26091"/>
    <w:rsid w:val="00D262FB"/>
    <w:rsid w:val="00D26CC5"/>
    <w:rsid w:val="00D26E7E"/>
    <w:rsid w:val="00D27D07"/>
    <w:rsid w:val="00D3012D"/>
    <w:rsid w:val="00D31ADD"/>
    <w:rsid w:val="00D31D3E"/>
    <w:rsid w:val="00D32093"/>
    <w:rsid w:val="00D32096"/>
    <w:rsid w:val="00D324A2"/>
    <w:rsid w:val="00D32520"/>
    <w:rsid w:val="00D3288F"/>
    <w:rsid w:val="00D32994"/>
    <w:rsid w:val="00D329C4"/>
    <w:rsid w:val="00D33262"/>
    <w:rsid w:val="00D338B7"/>
    <w:rsid w:val="00D33CED"/>
    <w:rsid w:val="00D350EF"/>
    <w:rsid w:val="00D35229"/>
    <w:rsid w:val="00D354C8"/>
    <w:rsid w:val="00D3582C"/>
    <w:rsid w:val="00D3596E"/>
    <w:rsid w:val="00D35A85"/>
    <w:rsid w:val="00D35E51"/>
    <w:rsid w:val="00D364CB"/>
    <w:rsid w:val="00D3654D"/>
    <w:rsid w:val="00D36C72"/>
    <w:rsid w:val="00D37B5F"/>
    <w:rsid w:val="00D37E98"/>
    <w:rsid w:val="00D37EDE"/>
    <w:rsid w:val="00D40319"/>
    <w:rsid w:val="00D40EF1"/>
    <w:rsid w:val="00D415A2"/>
    <w:rsid w:val="00D41960"/>
    <w:rsid w:val="00D419CC"/>
    <w:rsid w:val="00D41E1E"/>
    <w:rsid w:val="00D41E91"/>
    <w:rsid w:val="00D41F2E"/>
    <w:rsid w:val="00D4305A"/>
    <w:rsid w:val="00D43075"/>
    <w:rsid w:val="00D430A6"/>
    <w:rsid w:val="00D4370B"/>
    <w:rsid w:val="00D438F8"/>
    <w:rsid w:val="00D43BDE"/>
    <w:rsid w:val="00D43D44"/>
    <w:rsid w:val="00D446B6"/>
    <w:rsid w:val="00D4525A"/>
    <w:rsid w:val="00D45507"/>
    <w:rsid w:val="00D455A2"/>
    <w:rsid w:val="00D458C7"/>
    <w:rsid w:val="00D465AA"/>
    <w:rsid w:val="00D467FE"/>
    <w:rsid w:val="00D46BF9"/>
    <w:rsid w:val="00D46D0C"/>
    <w:rsid w:val="00D47335"/>
    <w:rsid w:val="00D47EC3"/>
    <w:rsid w:val="00D50264"/>
    <w:rsid w:val="00D505BC"/>
    <w:rsid w:val="00D505C6"/>
    <w:rsid w:val="00D514A9"/>
    <w:rsid w:val="00D5166C"/>
    <w:rsid w:val="00D519BD"/>
    <w:rsid w:val="00D52026"/>
    <w:rsid w:val="00D523D6"/>
    <w:rsid w:val="00D534CC"/>
    <w:rsid w:val="00D53792"/>
    <w:rsid w:val="00D5396C"/>
    <w:rsid w:val="00D539BA"/>
    <w:rsid w:val="00D539D7"/>
    <w:rsid w:val="00D53E2B"/>
    <w:rsid w:val="00D546A1"/>
    <w:rsid w:val="00D55B0F"/>
    <w:rsid w:val="00D55E73"/>
    <w:rsid w:val="00D56038"/>
    <w:rsid w:val="00D561AF"/>
    <w:rsid w:val="00D564CC"/>
    <w:rsid w:val="00D566D4"/>
    <w:rsid w:val="00D567C9"/>
    <w:rsid w:val="00D569BD"/>
    <w:rsid w:val="00D570B8"/>
    <w:rsid w:val="00D57650"/>
    <w:rsid w:val="00D576E7"/>
    <w:rsid w:val="00D57890"/>
    <w:rsid w:val="00D57D4E"/>
    <w:rsid w:val="00D57E66"/>
    <w:rsid w:val="00D61AC7"/>
    <w:rsid w:val="00D61B47"/>
    <w:rsid w:val="00D61CE7"/>
    <w:rsid w:val="00D62576"/>
    <w:rsid w:val="00D627A4"/>
    <w:rsid w:val="00D627F8"/>
    <w:rsid w:val="00D6292D"/>
    <w:rsid w:val="00D62998"/>
    <w:rsid w:val="00D629EA"/>
    <w:rsid w:val="00D62EBE"/>
    <w:rsid w:val="00D63222"/>
    <w:rsid w:val="00D632F7"/>
    <w:rsid w:val="00D633B9"/>
    <w:rsid w:val="00D63950"/>
    <w:rsid w:val="00D63C4A"/>
    <w:rsid w:val="00D63DAB"/>
    <w:rsid w:val="00D64A4F"/>
    <w:rsid w:val="00D64E8B"/>
    <w:rsid w:val="00D64F9F"/>
    <w:rsid w:val="00D652DD"/>
    <w:rsid w:val="00D65570"/>
    <w:rsid w:val="00D656FF"/>
    <w:rsid w:val="00D65750"/>
    <w:rsid w:val="00D65B83"/>
    <w:rsid w:val="00D665F0"/>
    <w:rsid w:val="00D66BAA"/>
    <w:rsid w:val="00D66DE3"/>
    <w:rsid w:val="00D66EA9"/>
    <w:rsid w:val="00D66F26"/>
    <w:rsid w:val="00D67233"/>
    <w:rsid w:val="00D67332"/>
    <w:rsid w:val="00D67B10"/>
    <w:rsid w:val="00D701A2"/>
    <w:rsid w:val="00D70429"/>
    <w:rsid w:val="00D70906"/>
    <w:rsid w:val="00D70B33"/>
    <w:rsid w:val="00D70F8D"/>
    <w:rsid w:val="00D715DF"/>
    <w:rsid w:val="00D7202A"/>
    <w:rsid w:val="00D7270B"/>
    <w:rsid w:val="00D72C28"/>
    <w:rsid w:val="00D72DE6"/>
    <w:rsid w:val="00D733E7"/>
    <w:rsid w:val="00D754F3"/>
    <w:rsid w:val="00D75E85"/>
    <w:rsid w:val="00D75ED9"/>
    <w:rsid w:val="00D7649A"/>
    <w:rsid w:val="00D76A1F"/>
    <w:rsid w:val="00D76FDE"/>
    <w:rsid w:val="00D776DF"/>
    <w:rsid w:val="00D802F8"/>
    <w:rsid w:val="00D80F5C"/>
    <w:rsid w:val="00D81109"/>
    <w:rsid w:val="00D8130C"/>
    <w:rsid w:val="00D8144D"/>
    <w:rsid w:val="00D81519"/>
    <w:rsid w:val="00D81665"/>
    <w:rsid w:val="00D81CCC"/>
    <w:rsid w:val="00D81E91"/>
    <w:rsid w:val="00D82188"/>
    <w:rsid w:val="00D82394"/>
    <w:rsid w:val="00D826BE"/>
    <w:rsid w:val="00D82830"/>
    <w:rsid w:val="00D83C27"/>
    <w:rsid w:val="00D83DBB"/>
    <w:rsid w:val="00D83F56"/>
    <w:rsid w:val="00D83FA1"/>
    <w:rsid w:val="00D84261"/>
    <w:rsid w:val="00D84BC1"/>
    <w:rsid w:val="00D84EF0"/>
    <w:rsid w:val="00D84F48"/>
    <w:rsid w:val="00D857F0"/>
    <w:rsid w:val="00D85C67"/>
    <w:rsid w:val="00D85D07"/>
    <w:rsid w:val="00D864F6"/>
    <w:rsid w:val="00D869D5"/>
    <w:rsid w:val="00D86C83"/>
    <w:rsid w:val="00D873C9"/>
    <w:rsid w:val="00D87B50"/>
    <w:rsid w:val="00D87BC4"/>
    <w:rsid w:val="00D87CA0"/>
    <w:rsid w:val="00D87EA3"/>
    <w:rsid w:val="00D87EFB"/>
    <w:rsid w:val="00D90273"/>
    <w:rsid w:val="00D90451"/>
    <w:rsid w:val="00D906BC"/>
    <w:rsid w:val="00D9120E"/>
    <w:rsid w:val="00D91279"/>
    <w:rsid w:val="00D913F9"/>
    <w:rsid w:val="00D915FC"/>
    <w:rsid w:val="00D91D4E"/>
    <w:rsid w:val="00D9201B"/>
    <w:rsid w:val="00D92246"/>
    <w:rsid w:val="00D9243B"/>
    <w:rsid w:val="00D924FE"/>
    <w:rsid w:val="00D928A9"/>
    <w:rsid w:val="00D928C4"/>
    <w:rsid w:val="00D939AD"/>
    <w:rsid w:val="00D93B53"/>
    <w:rsid w:val="00D941EC"/>
    <w:rsid w:val="00D94754"/>
    <w:rsid w:val="00D949D7"/>
    <w:rsid w:val="00D94CD9"/>
    <w:rsid w:val="00D95CD2"/>
    <w:rsid w:val="00D965FB"/>
    <w:rsid w:val="00D96E0E"/>
    <w:rsid w:val="00D96ED1"/>
    <w:rsid w:val="00D97974"/>
    <w:rsid w:val="00D97B14"/>
    <w:rsid w:val="00DA02F3"/>
    <w:rsid w:val="00DA03F7"/>
    <w:rsid w:val="00DA083E"/>
    <w:rsid w:val="00DA0F28"/>
    <w:rsid w:val="00DA1BD3"/>
    <w:rsid w:val="00DA25AF"/>
    <w:rsid w:val="00DA2874"/>
    <w:rsid w:val="00DA28F4"/>
    <w:rsid w:val="00DA2A11"/>
    <w:rsid w:val="00DA2ACA"/>
    <w:rsid w:val="00DA2D6D"/>
    <w:rsid w:val="00DA2DA3"/>
    <w:rsid w:val="00DA3154"/>
    <w:rsid w:val="00DA3D31"/>
    <w:rsid w:val="00DA4022"/>
    <w:rsid w:val="00DA483F"/>
    <w:rsid w:val="00DA4B42"/>
    <w:rsid w:val="00DA51BA"/>
    <w:rsid w:val="00DA5BCA"/>
    <w:rsid w:val="00DA5D0D"/>
    <w:rsid w:val="00DA6E2B"/>
    <w:rsid w:val="00DB01D6"/>
    <w:rsid w:val="00DB03ED"/>
    <w:rsid w:val="00DB06C0"/>
    <w:rsid w:val="00DB0CAF"/>
    <w:rsid w:val="00DB12C6"/>
    <w:rsid w:val="00DB151B"/>
    <w:rsid w:val="00DB1821"/>
    <w:rsid w:val="00DB18EC"/>
    <w:rsid w:val="00DB1A52"/>
    <w:rsid w:val="00DB1EFA"/>
    <w:rsid w:val="00DB2177"/>
    <w:rsid w:val="00DB2452"/>
    <w:rsid w:val="00DB2BD8"/>
    <w:rsid w:val="00DB2D6C"/>
    <w:rsid w:val="00DB35F4"/>
    <w:rsid w:val="00DB3796"/>
    <w:rsid w:val="00DB381B"/>
    <w:rsid w:val="00DB3FA5"/>
    <w:rsid w:val="00DB4665"/>
    <w:rsid w:val="00DB4704"/>
    <w:rsid w:val="00DB47EB"/>
    <w:rsid w:val="00DB500A"/>
    <w:rsid w:val="00DB559A"/>
    <w:rsid w:val="00DB5E36"/>
    <w:rsid w:val="00DB609F"/>
    <w:rsid w:val="00DB60C9"/>
    <w:rsid w:val="00DB6562"/>
    <w:rsid w:val="00DB659E"/>
    <w:rsid w:val="00DB7E80"/>
    <w:rsid w:val="00DC0F1B"/>
    <w:rsid w:val="00DC1013"/>
    <w:rsid w:val="00DC1597"/>
    <w:rsid w:val="00DC18EC"/>
    <w:rsid w:val="00DC19BF"/>
    <w:rsid w:val="00DC1FEB"/>
    <w:rsid w:val="00DC29F0"/>
    <w:rsid w:val="00DC2A09"/>
    <w:rsid w:val="00DC303C"/>
    <w:rsid w:val="00DC324A"/>
    <w:rsid w:val="00DC32B7"/>
    <w:rsid w:val="00DC35AC"/>
    <w:rsid w:val="00DC3666"/>
    <w:rsid w:val="00DC39C2"/>
    <w:rsid w:val="00DC3BEB"/>
    <w:rsid w:val="00DC3FA4"/>
    <w:rsid w:val="00DC47E7"/>
    <w:rsid w:val="00DC4A46"/>
    <w:rsid w:val="00DC4D86"/>
    <w:rsid w:val="00DC5D7F"/>
    <w:rsid w:val="00DC5DF1"/>
    <w:rsid w:val="00DC63CA"/>
    <w:rsid w:val="00DC6464"/>
    <w:rsid w:val="00DC6763"/>
    <w:rsid w:val="00DC7182"/>
    <w:rsid w:val="00DC7635"/>
    <w:rsid w:val="00DC7A51"/>
    <w:rsid w:val="00DC7A99"/>
    <w:rsid w:val="00DC7D0E"/>
    <w:rsid w:val="00DD0086"/>
    <w:rsid w:val="00DD0116"/>
    <w:rsid w:val="00DD078C"/>
    <w:rsid w:val="00DD09A9"/>
    <w:rsid w:val="00DD0E38"/>
    <w:rsid w:val="00DD0F7F"/>
    <w:rsid w:val="00DD1B4A"/>
    <w:rsid w:val="00DD21D0"/>
    <w:rsid w:val="00DD22E9"/>
    <w:rsid w:val="00DD2E6D"/>
    <w:rsid w:val="00DD2FEE"/>
    <w:rsid w:val="00DD3003"/>
    <w:rsid w:val="00DD33B9"/>
    <w:rsid w:val="00DD37FA"/>
    <w:rsid w:val="00DD3BCB"/>
    <w:rsid w:val="00DD3EF2"/>
    <w:rsid w:val="00DD4178"/>
    <w:rsid w:val="00DD4722"/>
    <w:rsid w:val="00DD4765"/>
    <w:rsid w:val="00DD5C8B"/>
    <w:rsid w:val="00DD6178"/>
    <w:rsid w:val="00DD61D4"/>
    <w:rsid w:val="00DD6379"/>
    <w:rsid w:val="00DD71AD"/>
    <w:rsid w:val="00DD7CA5"/>
    <w:rsid w:val="00DE01A6"/>
    <w:rsid w:val="00DE020C"/>
    <w:rsid w:val="00DE075E"/>
    <w:rsid w:val="00DE0808"/>
    <w:rsid w:val="00DE085C"/>
    <w:rsid w:val="00DE0F8B"/>
    <w:rsid w:val="00DE0F8D"/>
    <w:rsid w:val="00DE0FFA"/>
    <w:rsid w:val="00DE1266"/>
    <w:rsid w:val="00DE12FB"/>
    <w:rsid w:val="00DE13C6"/>
    <w:rsid w:val="00DE1619"/>
    <w:rsid w:val="00DE17F6"/>
    <w:rsid w:val="00DE1825"/>
    <w:rsid w:val="00DE18B7"/>
    <w:rsid w:val="00DE219C"/>
    <w:rsid w:val="00DE2A62"/>
    <w:rsid w:val="00DE2BA5"/>
    <w:rsid w:val="00DE2C3E"/>
    <w:rsid w:val="00DE2F3A"/>
    <w:rsid w:val="00DE2F9C"/>
    <w:rsid w:val="00DE36D8"/>
    <w:rsid w:val="00DE36F7"/>
    <w:rsid w:val="00DE37B7"/>
    <w:rsid w:val="00DE3970"/>
    <w:rsid w:val="00DE3A76"/>
    <w:rsid w:val="00DE3DEC"/>
    <w:rsid w:val="00DE3E2B"/>
    <w:rsid w:val="00DE3F4F"/>
    <w:rsid w:val="00DE4067"/>
    <w:rsid w:val="00DE4068"/>
    <w:rsid w:val="00DE435B"/>
    <w:rsid w:val="00DE44A7"/>
    <w:rsid w:val="00DE45F3"/>
    <w:rsid w:val="00DE4CAF"/>
    <w:rsid w:val="00DE5021"/>
    <w:rsid w:val="00DE551B"/>
    <w:rsid w:val="00DE55A2"/>
    <w:rsid w:val="00DE56C9"/>
    <w:rsid w:val="00DE5AC9"/>
    <w:rsid w:val="00DE65A5"/>
    <w:rsid w:val="00DE65F7"/>
    <w:rsid w:val="00DE6772"/>
    <w:rsid w:val="00DE688F"/>
    <w:rsid w:val="00DE6D95"/>
    <w:rsid w:val="00DE749C"/>
    <w:rsid w:val="00DE75B8"/>
    <w:rsid w:val="00DE763E"/>
    <w:rsid w:val="00DE766D"/>
    <w:rsid w:val="00DF028F"/>
    <w:rsid w:val="00DF0422"/>
    <w:rsid w:val="00DF0446"/>
    <w:rsid w:val="00DF04A6"/>
    <w:rsid w:val="00DF08C6"/>
    <w:rsid w:val="00DF09E6"/>
    <w:rsid w:val="00DF0AF1"/>
    <w:rsid w:val="00DF14EE"/>
    <w:rsid w:val="00DF1520"/>
    <w:rsid w:val="00DF1D9D"/>
    <w:rsid w:val="00DF2045"/>
    <w:rsid w:val="00DF22E7"/>
    <w:rsid w:val="00DF2459"/>
    <w:rsid w:val="00DF3632"/>
    <w:rsid w:val="00DF3718"/>
    <w:rsid w:val="00DF3F0B"/>
    <w:rsid w:val="00DF449E"/>
    <w:rsid w:val="00DF4717"/>
    <w:rsid w:val="00DF4C55"/>
    <w:rsid w:val="00DF5582"/>
    <w:rsid w:val="00DF5EDA"/>
    <w:rsid w:val="00DF69A1"/>
    <w:rsid w:val="00DF6B55"/>
    <w:rsid w:val="00DF6C53"/>
    <w:rsid w:val="00DF7151"/>
    <w:rsid w:val="00DF79ED"/>
    <w:rsid w:val="00DF7C44"/>
    <w:rsid w:val="00DF7E67"/>
    <w:rsid w:val="00DF7E7E"/>
    <w:rsid w:val="00E0028F"/>
    <w:rsid w:val="00E0041E"/>
    <w:rsid w:val="00E00507"/>
    <w:rsid w:val="00E00641"/>
    <w:rsid w:val="00E00DEC"/>
    <w:rsid w:val="00E00FBB"/>
    <w:rsid w:val="00E01319"/>
    <w:rsid w:val="00E013AB"/>
    <w:rsid w:val="00E017B3"/>
    <w:rsid w:val="00E01A5A"/>
    <w:rsid w:val="00E01A7D"/>
    <w:rsid w:val="00E023E3"/>
    <w:rsid w:val="00E02435"/>
    <w:rsid w:val="00E02653"/>
    <w:rsid w:val="00E02690"/>
    <w:rsid w:val="00E02EC3"/>
    <w:rsid w:val="00E03B7C"/>
    <w:rsid w:val="00E03F96"/>
    <w:rsid w:val="00E0403D"/>
    <w:rsid w:val="00E045D7"/>
    <w:rsid w:val="00E046D6"/>
    <w:rsid w:val="00E05F1F"/>
    <w:rsid w:val="00E068AD"/>
    <w:rsid w:val="00E069E0"/>
    <w:rsid w:val="00E06CB5"/>
    <w:rsid w:val="00E06DA1"/>
    <w:rsid w:val="00E07107"/>
    <w:rsid w:val="00E07182"/>
    <w:rsid w:val="00E07218"/>
    <w:rsid w:val="00E07459"/>
    <w:rsid w:val="00E0759A"/>
    <w:rsid w:val="00E07A7C"/>
    <w:rsid w:val="00E07BF3"/>
    <w:rsid w:val="00E07DC4"/>
    <w:rsid w:val="00E101E5"/>
    <w:rsid w:val="00E10BF1"/>
    <w:rsid w:val="00E1124F"/>
    <w:rsid w:val="00E11676"/>
    <w:rsid w:val="00E11848"/>
    <w:rsid w:val="00E1185E"/>
    <w:rsid w:val="00E1287D"/>
    <w:rsid w:val="00E12AF2"/>
    <w:rsid w:val="00E131C7"/>
    <w:rsid w:val="00E131ED"/>
    <w:rsid w:val="00E13351"/>
    <w:rsid w:val="00E135B9"/>
    <w:rsid w:val="00E136C6"/>
    <w:rsid w:val="00E13924"/>
    <w:rsid w:val="00E13E4A"/>
    <w:rsid w:val="00E1409F"/>
    <w:rsid w:val="00E141A4"/>
    <w:rsid w:val="00E14693"/>
    <w:rsid w:val="00E15335"/>
    <w:rsid w:val="00E15578"/>
    <w:rsid w:val="00E15667"/>
    <w:rsid w:val="00E15A41"/>
    <w:rsid w:val="00E15F50"/>
    <w:rsid w:val="00E164C0"/>
    <w:rsid w:val="00E165A5"/>
    <w:rsid w:val="00E16619"/>
    <w:rsid w:val="00E1691D"/>
    <w:rsid w:val="00E174D5"/>
    <w:rsid w:val="00E17CF4"/>
    <w:rsid w:val="00E20161"/>
    <w:rsid w:val="00E2044E"/>
    <w:rsid w:val="00E204B4"/>
    <w:rsid w:val="00E2059C"/>
    <w:rsid w:val="00E20727"/>
    <w:rsid w:val="00E20C9D"/>
    <w:rsid w:val="00E21068"/>
    <w:rsid w:val="00E213C6"/>
    <w:rsid w:val="00E21902"/>
    <w:rsid w:val="00E227A0"/>
    <w:rsid w:val="00E230A6"/>
    <w:rsid w:val="00E2331B"/>
    <w:rsid w:val="00E236BE"/>
    <w:rsid w:val="00E23D47"/>
    <w:rsid w:val="00E24EDA"/>
    <w:rsid w:val="00E253E8"/>
    <w:rsid w:val="00E25B9E"/>
    <w:rsid w:val="00E26084"/>
    <w:rsid w:val="00E261B7"/>
    <w:rsid w:val="00E26408"/>
    <w:rsid w:val="00E26958"/>
    <w:rsid w:val="00E2747D"/>
    <w:rsid w:val="00E278E2"/>
    <w:rsid w:val="00E27B45"/>
    <w:rsid w:val="00E30589"/>
    <w:rsid w:val="00E30632"/>
    <w:rsid w:val="00E30784"/>
    <w:rsid w:val="00E30A00"/>
    <w:rsid w:val="00E30A2A"/>
    <w:rsid w:val="00E30C0C"/>
    <w:rsid w:val="00E31142"/>
    <w:rsid w:val="00E312C1"/>
    <w:rsid w:val="00E3134E"/>
    <w:rsid w:val="00E31460"/>
    <w:rsid w:val="00E317A2"/>
    <w:rsid w:val="00E317F5"/>
    <w:rsid w:val="00E32150"/>
    <w:rsid w:val="00E323A7"/>
    <w:rsid w:val="00E32A0E"/>
    <w:rsid w:val="00E32CC3"/>
    <w:rsid w:val="00E32FC0"/>
    <w:rsid w:val="00E334ED"/>
    <w:rsid w:val="00E33AD4"/>
    <w:rsid w:val="00E33EF5"/>
    <w:rsid w:val="00E35420"/>
    <w:rsid w:val="00E3572B"/>
    <w:rsid w:val="00E35F6D"/>
    <w:rsid w:val="00E36983"/>
    <w:rsid w:val="00E378B2"/>
    <w:rsid w:val="00E37C8B"/>
    <w:rsid w:val="00E37DEC"/>
    <w:rsid w:val="00E40727"/>
    <w:rsid w:val="00E40AA7"/>
    <w:rsid w:val="00E40C4C"/>
    <w:rsid w:val="00E412AF"/>
    <w:rsid w:val="00E41C7A"/>
    <w:rsid w:val="00E41ECE"/>
    <w:rsid w:val="00E420AF"/>
    <w:rsid w:val="00E4237B"/>
    <w:rsid w:val="00E42A92"/>
    <w:rsid w:val="00E432B4"/>
    <w:rsid w:val="00E43BBB"/>
    <w:rsid w:val="00E43C39"/>
    <w:rsid w:val="00E44178"/>
    <w:rsid w:val="00E44289"/>
    <w:rsid w:val="00E44367"/>
    <w:rsid w:val="00E44583"/>
    <w:rsid w:val="00E44641"/>
    <w:rsid w:val="00E4491D"/>
    <w:rsid w:val="00E44969"/>
    <w:rsid w:val="00E44DC1"/>
    <w:rsid w:val="00E45307"/>
    <w:rsid w:val="00E4533F"/>
    <w:rsid w:val="00E453E4"/>
    <w:rsid w:val="00E457E6"/>
    <w:rsid w:val="00E459CE"/>
    <w:rsid w:val="00E4618E"/>
    <w:rsid w:val="00E46F61"/>
    <w:rsid w:val="00E46F86"/>
    <w:rsid w:val="00E4750F"/>
    <w:rsid w:val="00E476D2"/>
    <w:rsid w:val="00E479AA"/>
    <w:rsid w:val="00E47A87"/>
    <w:rsid w:val="00E47C84"/>
    <w:rsid w:val="00E47D81"/>
    <w:rsid w:val="00E47E94"/>
    <w:rsid w:val="00E47F1A"/>
    <w:rsid w:val="00E504D6"/>
    <w:rsid w:val="00E50B27"/>
    <w:rsid w:val="00E517B0"/>
    <w:rsid w:val="00E52300"/>
    <w:rsid w:val="00E526DC"/>
    <w:rsid w:val="00E52B19"/>
    <w:rsid w:val="00E52B44"/>
    <w:rsid w:val="00E52B4A"/>
    <w:rsid w:val="00E5396B"/>
    <w:rsid w:val="00E53C2B"/>
    <w:rsid w:val="00E5415A"/>
    <w:rsid w:val="00E54203"/>
    <w:rsid w:val="00E542EB"/>
    <w:rsid w:val="00E54491"/>
    <w:rsid w:val="00E545B7"/>
    <w:rsid w:val="00E54FF1"/>
    <w:rsid w:val="00E551C6"/>
    <w:rsid w:val="00E5522F"/>
    <w:rsid w:val="00E55CF2"/>
    <w:rsid w:val="00E56480"/>
    <w:rsid w:val="00E5697C"/>
    <w:rsid w:val="00E56CC3"/>
    <w:rsid w:val="00E56D64"/>
    <w:rsid w:val="00E56D66"/>
    <w:rsid w:val="00E578BC"/>
    <w:rsid w:val="00E57C9B"/>
    <w:rsid w:val="00E57DE5"/>
    <w:rsid w:val="00E57F6F"/>
    <w:rsid w:val="00E600D6"/>
    <w:rsid w:val="00E6064F"/>
    <w:rsid w:val="00E60932"/>
    <w:rsid w:val="00E60AE9"/>
    <w:rsid w:val="00E616FB"/>
    <w:rsid w:val="00E619AA"/>
    <w:rsid w:val="00E622C8"/>
    <w:rsid w:val="00E62A82"/>
    <w:rsid w:val="00E62B7B"/>
    <w:rsid w:val="00E63052"/>
    <w:rsid w:val="00E63439"/>
    <w:rsid w:val="00E63A40"/>
    <w:rsid w:val="00E63D17"/>
    <w:rsid w:val="00E63E9F"/>
    <w:rsid w:val="00E643D3"/>
    <w:rsid w:val="00E6456B"/>
    <w:rsid w:val="00E65060"/>
    <w:rsid w:val="00E6529C"/>
    <w:rsid w:val="00E656EA"/>
    <w:rsid w:val="00E65CAF"/>
    <w:rsid w:val="00E66158"/>
    <w:rsid w:val="00E66623"/>
    <w:rsid w:val="00E66739"/>
    <w:rsid w:val="00E66C50"/>
    <w:rsid w:val="00E673BA"/>
    <w:rsid w:val="00E675E3"/>
    <w:rsid w:val="00E67A89"/>
    <w:rsid w:val="00E707EE"/>
    <w:rsid w:val="00E70955"/>
    <w:rsid w:val="00E70ABB"/>
    <w:rsid w:val="00E70B18"/>
    <w:rsid w:val="00E71572"/>
    <w:rsid w:val="00E71946"/>
    <w:rsid w:val="00E71F8F"/>
    <w:rsid w:val="00E7200E"/>
    <w:rsid w:val="00E72187"/>
    <w:rsid w:val="00E727AA"/>
    <w:rsid w:val="00E72D3F"/>
    <w:rsid w:val="00E72D90"/>
    <w:rsid w:val="00E735A4"/>
    <w:rsid w:val="00E73DA3"/>
    <w:rsid w:val="00E744BC"/>
    <w:rsid w:val="00E74618"/>
    <w:rsid w:val="00E74E98"/>
    <w:rsid w:val="00E7595B"/>
    <w:rsid w:val="00E7605D"/>
    <w:rsid w:val="00E761BC"/>
    <w:rsid w:val="00E7639C"/>
    <w:rsid w:val="00E767ED"/>
    <w:rsid w:val="00E76AF6"/>
    <w:rsid w:val="00E76D8D"/>
    <w:rsid w:val="00E77053"/>
    <w:rsid w:val="00E773E7"/>
    <w:rsid w:val="00E775D0"/>
    <w:rsid w:val="00E77EF1"/>
    <w:rsid w:val="00E80025"/>
    <w:rsid w:val="00E8058E"/>
    <w:rsid w:val="00E805A4"/>
    <w:rsid w:val="00E805D2"/>
    <w:rsid w:val="00E80812"/>
    <w:rsid w:val="00E80C27"/>
    <w:rsid w:val="00E80FA1"/>
    <w:rsid w:val="00E811C8"/>
    <w:rsid w:val="00E81287"/>
    <w:rsid w:val="00E813C6"/>
    <w:rsid w:val="00E8156F"/>
    <w:rsid w:val="00E81596"/>
    <w:rsid w:val="00E81E45"/>
    <w:rsid w:val="00E825F5"/>
    <w:rsid w:val="00E827DB"/>
    <w:rsid w:val="00E82A62"/>
    <w:rsid w:val="00E82B4E"/>
    <w:rsid w:val="00E82E00"/>
    <w:rsid w:val="00E82F84"/>
    <w:rsid w:val="00E83997"/>
    <w:rsid w:val="00E83C1B"/>
    <w:rsid w:val="00E83F4B"/>
    <w:rsid w:val="00E842D6"/>
    <w:rsid w:val="00E84717"/>
    <w:rsid w:val="00E848E8"/>
    <w:rsid w:val="00E84D7E"/>
    <w:rsid w:val="00E8502C"/>
    <w:rsid w:val="00E85BFB"/>
    <w:rsid w:val="00E85DD4"/>
    <w:rsid w:val="00E85EEF"/>
    <w:rsid w:val="00E86BE0"/>
    <w:rsid w:val="00E86E1A"/>
    <w:rsid w:val="00E86E6D"/>
    <w:rsid w:val="00E87933"/>
    <w:rsid w:val="00E905C1"/>
    <w:rsid w:val="00E907CB"/>
    <w:rsid w:val="00E90E13"/>
    <w:rsid w:val="00E9124C"/>
    <w:rsid w:val="00E9173B"/>
    <w:rsid w:val="00E91B7B"/>
    <w:rsid w:val="00E921AF"/>
    <w:rsid w:val="00E92645"/>
    <w:rsid w:val="00E92AC5"/>
    <w:rsid w:val="00E92C9B"/>
    <w:rsid w:val="00E92CDD"/>
    <w:rsid w:val="00E92D2E"/>
    <w:rsid w:val="00E9303E"/>
    <w:rsid w:val="00E93C8E"/>
    <w:rsid w:val="00E94039"/>
    <w:rsid w:val="00E946FF"/>
    <w:rsid w:val="00E94E84"/>
    <w:rsid w:val="00E96003"/>
    <w:rsid w:val="00E960AB"/>
    <w:rsid w:val="00E96231"/>
    <w:rsid w:val="00E96684"/>
    <w:rsid w:val="00E96F8F"/>
    <w:rsid w:val="00E9711F"/>
    <w:rsid w:val="00E97333"/>
    <w:rsid w:val="00E9775D"/>
    <w:rsid w:val="00E9781F"/>
    <w:rsid w:val="00E97C62"/>
    <w:rsid w:val="00EA00A5"/>
    <w:rsid w:val="00EA04B7"/>
    <w:rsid w:val="00EA0623"/>
    <w:rsid w:val="00EA0687"/>
    <w:rsid w:val="00EA0C03"/>
    <w:rsid w:val="00EA1397"/>
    <w:rsid w:val="00EA192D"/>
    <w:rsid w:val="00EA1961"/>
    <w:rsid w:val="00EA1985"/>
    <w:rsid w:val="00EA198A"/>
    <w:rsid w:val="00EA26AB"/>
    <w:rsid w:val="00EA2781"/>
    <w:rsid w:val="00EA291D"/>
    <w:rsid w:val="00EA2A1E"/>
    <w:rsid w:val="00EA2A23"/>
    <w:rsid w:val="00EA2C67"/>
    <w:rsid w:val="00EA2C6C"/>
    <w:rsid w:val="00EA2E4D"/>
    <w:rsid w:val="00EA33AA"/>
    <w:rsid w:val="00EA3E34"/>
    <w:rsid w:val="00EA4047"/>
    <w:rsid w:val="00EA43AC"/>
    <w:rsid w:val="00EA4524"/>
    <w:rsid w:val="00EA5125"/>
    <w:rsid w:val="00EA5530"/>
    <w:rsid w:val="00EA56A4"/>
    <w:rsid w:val="00EA641C"/>
    <w:rsid w:val="00EA6750"/>
    <w:rsid w:val="00EA6D4C"/>
    <w:rsid w:val="00EA7257"/>
    <w:rsid w:val="00EA74FF"/>
    <w:rsid w:val="00EA7625"/>
    <w:rsid w:val="00EA7B56"/>
    <w:rsid w:val="00EB01AF"/>
    <w:rsid w:val="00EB0331"/>
    <w:rsid w:val="00EB055D"/>
    <w:rsid w:val="00EB0634"/>
    <w:rsid w:val="00EB0A44"/>
    <w:rsid w:val="00EB0FB4"/>
    <w:rsid w:val="00EB1275"/>
    <w:rsid w:val="00EB179F"/>
    <w:rsid w:val="00EB1EE8"/>
    <w:rsid w:val="00EB2967"/>
    <w:rsid w:val="00EB2EB2"/>
    <w:rsid w:val="00EB307E"/>
    <w:rsid w:val="00EB31EE"/>
    <w:rsid w:val="00EB336E"/>
    <w:rsid w:val="00EB3427"/>
    <w:rsid w:val="00EB34CD"/>
    <w:rsid w:val="00EB39F9"/>
    <w:rsid w:val="00EB3E3C"/>
    <w:rsid w:val="00EB3ECA"/>
    <w:rsid w:val="00EB4064"/>
    <w:rsid w:val="00EB458A"/>
    <w:rsid w:val="00EB4710"/>
    <w:rsid w:val="00EB475E"/>
    <w:rsid w:val="00EB48CE"/>
    <w:rsid w:val="00EB4C5C"/>
    <w:rsid w:val="00EB4C6C"/>
    <w:rsid w:val="00EB51C0"/>
    <w:rsid w:val="00EB531C"/>
    <w:rsid w:val="00EB5801"/>
    <w:rsid w:val="00EB5903"/>
    <w:rsid w:val="00EB5FBD"/>
    <w:rsid w:val="00EB5FD6"/>
    <w:rsid w:val="00EB60D4"/>
    <w:rsid w:val="00EB612D"/>
    <w:rsid w:val="00EB646A"/>
    <w:rsid w:val="00EB64F0"/>
    <w:rsid w:val="00EB6A99"/>
    <w:rsid w:val="00EB73A8"/>
    <w:rsid w:val="00EB7A2B"/>
    <w:rsid w:val="00EB7A6B"/>
    <w:rsid w:val="00EB7D7F"/>
    <w:rsid w:val="00EC0AB7"/>
    <w:rsid w:val="00EC0DF9"/>
    <w:rsid w:val="00EC1192"/>
    <w:rsid w:val="00EC12CE"/>
    <w:rsid w:val="00EC1466"/>
    <w:rsid w:val="00EC16A2"/>
    <w:rsid w:val="00EC18EA"/>
    <w:rsid w:val="00EC1B7F"/>
    <w:rsid w:val="00EC1F2B"/>
    <w:rsid w:val="00EC20FC"/>
    <w:rsid w:val="00EC2A72"/>
    <w:rsid w:val="00EC30AD"/>
    <w:rsid w:val="00EC3662"/>
    <w:rsid w:val="00EC366F"/>
    <w:rsid w:val="00EC3F25"/>
    <w:rsid w:val="00EC41A1"/>
    <w:rsid w:val="00EC48F8"/>
    <w:rsid w:val="00EC4CFA"/>
    <w:rsid w:val="00EC5287"/>
    <w:rsid w:val="00EC560C"/>
    <w:rsid w:val="00EC5A7F"/>
    <w:rsid w:val="00EC5DA5"/>
    <w:rsid w:val="00EC5EE4"/>
    <w:rsid w:val="00EC5F08"/>
    <w:rsid w:val="00EC61AA"/>
    <w:rsid w:val="00EC62D5"/>
    <w:rsid w:val="00EC62DD"/>
    <w:rsid w:val="00EC6484"/>
    <w:rsid w:val="00EC7214"/>
    <w:rsid w:val="00EC738E"/>
    <w:rsid w:val="00EC7466"/>
    <w:rsid w:val="00EC771A"/>
    <w:rsid w:val="00ED00D5"/>
    <w:rsid w:val="00ED03BE"/>
    <w:rsid w:val="00ED1081"/>
    <w:rsid w:val="00ED1808"/>
    <w:rsid w:val="00ED1B2C"/>
    <w:rsid w:val="00ED1D57"/>
    <w:rsid w:val="00ED24AA"/>
    <w:rsid w:val="00ED24FC"/>
    <w:rsid w:val="00ED2592"/>
    <w:rsid w:val="00ED2A2D"/>
    <w:rsid w:val="00ED2AA5"/>
    <w:rsid w:val="00ED2DE4"/>
    <w:rsid w:val="00ED3958"/>
    <w:rsid w:val="00ED4570"/>
    <w:rsid w:val="00ED4709"/>
    <w:rsid w:val="00ED4815"/>
    <w:rsid w:val="00ED48F4"/>
    <w:rsid w:val="00ED4C1E"/>
    <w:rsid w:val="00ED4D8C"/>
    <w:rsid w:val="00ED56B1"/>
    <w:rsid w:val="00ED5F64"/>
    <w:rsid w:val="00ED5FA6"/>
    <w:rsid w:val="00ED6034"/>
    <w:rsid w:val="00ED637F"/>
    <w:rsid w:val="00ED6687"/>
    <w:rsid w:val="00ED66FA"/>
    <w:rsid w:val="00ED6B25"/>
    <w:rsid w:val="00ED7384"/>
    <w:rsid w:val="00ED73A3"/>
    <w:rsid w:val="00ED73CD"/>
    <w:rsid w:val="00ED7849"/>
    <w:rsid w:val="00ED79D4"/>
    <w:rsid w:val="00ED7B28"/>
    <w:rsid w:val="00ED7BBB"/>
    <w:rsid w:val="00ED7CC2"/>
    <w:rsid w:val="00EE0492"/>
    <w:rsid w:val="00EE0959"/>
    <w:rsid w:val="00EE0C9E"/>
    <w:rsid w:val="00EE1415"/>
    <w:rsid w:val="00EE150C"/>
    <w:rsid w:val="00EE1649"/>
    <w:rsid w:val="00EE18A4"/>
    <w:rsid w:val="00EE1D82"/>
    <w:rsid w:val="00EE2B7F"/>
    <w:rsid w:val="00EE3CC4"/>
    <w:rsid w:val="00EE3D98"/>
    <w:rsid w:val="00EE457F"/>
    <w:rsid w:val="00EE471D"/>
    <w:rsid w:val="00EE4723"/>
    <w:rsid w:val="00EE4DF1"/>
    <w:rsid w:val="00EE5654"/>
    <w:rsid w:val="00EE5737"/>
    <w:rsid w:val="00EE5E85"/>
    <w:rsid w:val="00EE6BB7"/>
    <w:rsid w:val="00EE6D85"/>
    <w:rsid w:val="00EE7164"/>
    <w:rsid w:val="00EE72D7"/>
    <w:rsid w:val="00EE7906"/>
    <w:rsid w:val="00EE7B16"/>
    <w:rsid w:val="00EF02CE"/>
    <w:rsid w:val="00EF045E"/>
    <w:rsid w:val="00EF06FB"/>
    <w:rsid w:val="00EF0885"/>
    <w:rsid w:val="00EF1440"/>
    <w:rsid w:val="00EF241C"/>
    <w:rsid w:val="00EF2A7A"/>
    <w:rsid w:val="00EF2B29"/>
    <w:rsid w:val="00EF3058"/>
    <w:rsid w:val="00EF3403"/>
    <w:rsid w:val="00EF38CE"/>
    <w:rsid w:val="00EF3D8A"/>
    <w:rsid w:val="00EF4582"/>
    <w:rsid w:val="00EF4BCE"/>
    <w:rsid w:val="00EF4E26"/>
    <w:rsid w:val="00EF4FEF"/>
    <w:rsid w:val="00EF5A23"/>
    <w:rsid w:val="00EF6151"/>
    <w:rsid w:val="00EF6B02"/>
    <w:rsid w:val="00EF732F"/>
    <w:rsid w:val="00EF77CD"/>
    <w:rsid w:val="00EF7CE8"/>
    <w:rsid w:val="00F00117"/>
    <w:rsid w:val="00F00209"/>
    <w:rsid w:val="00F00DC9"/>
    <w:rsid w:val="00F0101B"/>
    <w:rsid w:val="00F016A8"/>
    <w:rsid w:val="00F01965"/>
    <w:rsid w:val="00F024E3"/>
    <w:rsid w:val="00F02F2A"/>
    <w:rsid w:val="00F02F77"/>
    <w:rsid w:val="00F03486"/>
    <w:rsid w:val="00F034F6"/>
    <w:rsid w:val="00F037BF"/>
    <w:rsid w:val="00F039B3"/>
    <w:rsid w:val="00F03A0B"/>
    <w:rsid w:val="00F0425B"/>
    <w:rsid w:val="00F044EB"/>
    <w:rsid w:val="00F048CE"/>
    <w:rsid w:val="00F049F3"/>
    <w:rsid w:val="00F04A53"/>
    <w:rsid w:val="00F04C86"/>
    <w:rsid w:val="00F04D47"/>
    <w:rsid w:val="00F04DC8"/>
    <w:rsid w:val="00F05373"/>
    <w:rsid w:val="00F054BD"/>
    <w:rsid w:val="00F0724F"/>
    <w:rsid w:val="00F0739B"/>
    <w:rsid w:val="00F078E1"/>
    <w:rsid w:val="00F07DA6"/>
    <w:rsid w:val="00F07EA5"/>
    <w:rsid w:val="00F1028C"/>
    <w:rsid w:val="00F10339"/>
    <w:rsid w:val="00F10663"/>
    <w:rsid w:val="00F10671"/>
    <w:rsid w:val="00F1177E"/>
    <w:rsid w:val="00F11A4F"/>
    <w:rsid w:val="00F11D70"/>
    <w:rsid w:val="00F11F4F"/>
    <w:rsid w:val="00F1291E"/>
    <w:rsid w:val="00F12A36"/>
    <w:rsid w:val="00F12B96"/>
    <w:rsid w:val="00F131C1"/>
    <w:rsid w:val="00F13B4E"/>
    <w:rsid w:val="00F1472A"/>
    <w:rsid w:val="00F148E3"/>
    <w:rsid w:val="00F14AAD"/>
    <w:rsid w:val="00F14C32"/>
    <w:rsid w:val="00F14F88"/>
    <w:rsid w:val="00F15E69"/>
    <w:rsid w:val="00F160B5"/>
    <w:rsid w:val="00F16303"/>
    <w:rsid w:val="00F16720"/>
    <w:rsid w:val="00F16823"/>
    <w:rsid w:val="00F171E1"/>
    <w:rsid w:val="00F1726A"/>
    <w:rsid w:val="00F173F9"/>
    <w:rsid w:val="00F1781A"/>
    <w:rsid w:val="00F17A01"/>
    <w:rsid w:val="00F2027D"/>
    <w:rsid w:val="00F202A3"/>
    <w:rsid w:val="00F2080D"/>
    <w:rsid w:val="00F20E5B"/>
    <w:rsid w:val="00F20F0C"/>
    <w:rsid w:val="00F21146"/>
    <w:rsid w:val="00F212F7"/>
    <w:rsid w:val="00F215A8"/>
    <w:rsid w:val="00F218A9"/>
    <w:rsid w:val="00F21FA5"/>
    <w:rsid w:val="00F22248"/>
    <w:rsid w:val="00F2262B"/>
    <w:rsid w:val="00F227CB"/>
    <w:rsid w:val="00F233FF"/>
    <w:rsid w:val="00F238DF"/>
    <w:rsid w:val="00F23971"/>
    <w:rsid w:val="00F24A6B"/>
    <w:rsid w:val="00F24B0F"/>
    <w:rsid w:val="00F24D92"/>
    <w:rsid w:val="00F24E74"/>
    <w:rsid w:val="00F25375"/>
    <w:rsid w:val="00F25906"/>
    <w:rsid w:val="00F26A63"/>
    <w:rsid w:val="00F26B98"/>
    <w:rsid w:val="00F26D48"/>
    <w:rsid w:val="00F26F7C"/>
    <w:rsid w:val="00F27855"/>
    <w:rsid w:val="00F27D2B"/>
    <w:rsid w:val="00F30246"/>
    <w:rsid w:val="00F30B1C"/>
    <w:rsid w:val="00F30D5C"/>
    <w:rsid w:val="00F30E4F"/>
    <w:rsid w:val="00F30E84"/>
    <w:rsid w:val="00F31176"/>
    <w:rsid w:val="00F311FC"/>
    <w:rsid w:val="00F3192C"/>
    <w:rsid w:val="00F319C4"/>
    <w:rsid w:val="00F31DAC"/>
    <w:rsid w:val="00F31E16"/>
    <w:rsid w:val="00F320D4"/>
    <w:rsid w:val="00F320E1"/>
    <w:rsid w:val="00F324ED"/>
    <w:rsid w:val="00F326FC"/>
    <w:rsid w:val="00F33161"/>
    <w:rsid w:val="00F3317C"/>
    <w:rsid w:val="00F3397D"/>
    <w:rsid w:val="00F34270"/>
    <w:rsid w:val="00F34325"/>
    <w:rsid w:val="00F343D1"/>
    <w:rsid w:val="00F344E1"/>
    <w:rsid w:val="00F34E45"/>
    <w:rsid w:val="00F34F38"/>
    <w:rsid w:val="00F35008"/>
    <w:rsid w:val="00F35031"/>
    <w:rsid w:val="00F350C6"/>
    <w:rsid w:val="00F3539A"/>
    <w:rsid w:val="00F3545F"/>
    <w:rsid w:val="00F3573A"/>
    <w:rsid w:val="00F35B17"/>
    <w:rsid w:val="00F3648A"/>
    <w:rsid w:val="00F36F0D"/>
    <w:rsid w:val="00F372A8"/>
    <w:rsid w:val="00F375AB"/>
    <w:rsid w:val="00F37738"/>
    <w:rsid w:val="00F377E6"/>
    <w:rsid w:val="00F378E2"/>
    <w:rsid w:val="00F37A16"/>
    <w:rsid w:val="00F37D1A"/>
    <w:rsid w:val="00F401BD"/>
    <w:rsid w:val="00F4082A"/>
    <w:rsid w:val="00F4082F"/>
    <w:rsid w:val="00F410A4"/>
    <w:rsid w:val="00F4162F"/>
    <w:rsid w:val="00F41AC5"/>
    <w:rsid w:val="00F41BB9"/>
    <w:rsid w:val="00F42728"/>
    <w:rsid w:val="00F429FB"/>
    <w:rsid w:val="00F43225"/>
    <w:rsid w:val="00F436D2"/>
    <w:rsid w:val="00F436E9"/>
    <w:rsid w:val="00F43CDB"/>
    <w:rsid w:val="00F43EEA"/>
    <w:rsid w:val="00F44816"/>
    <w:rsid w:val="00F4491B"/>
    <w:rsid w:val="00F44AA7"/>
    <w:rsid w:val="00F451ED"/>
    <w:rsid w:val="00F452D7"/>
    <w:rsid w:val="00F45817"/>
    <w:rsid w:val="00F45A94"/>
    <w:rsid w:val="00F461A2"/>
    <w:rsid w:val="00F46570"/>
    <w:rsid w:val="00F4686E"/>
    <w:rsid w:val="00F46FC7"/>
    <w:rsid w:val="00F474A1"/>
    <w:rsid w:val="00F475DF"/>
    <w:rsid w:val="00F47E16"/>
    <w:rsid w:val="00F5037F"/>
    <w:rsid w:val="00F50625"/>
    <w:rsid w:val="00F50AEA"/>
    <w:rsid w:val="00F5103F"/>
    <w:rsid w:val="00F51139"/>
    <w:rsid w:val="00F51802"/>
    <w:rsid w:val="00F51D8A"/>
    <w:rsid w:val="00F52583"/>
    <w:rsid w:val="00F5261C"/>
    <w:rsid w:val="00F52687"/>
    <w:rsid w:val="00F52DA0"/>
    <w:rsid w:val="00F53026"/>
    <w:rsid w:val="00F53381"/>
    <w:rsid w:val="00F5362D"/>
    <w:rsid w:val="00F53A20"/>
    <w:rsid w:val="00F54194"/>
    <w:rsid w:val="00F5430A"/>
    <w:rsid w:val="00F543F6"/>
    <w:rsid w:val="00F550E9"/>
    <w:rsid w:val="00F55116"/>
    <w:rsid w:val="00F55291"/>
    <w:rsid w:val="00F55520"/>
    <w:rsid w:val="00F55A67"/>
    <w:rsid w:val="00F55EF7"/>
    <w:rsid w:val="00F5649D"/>
    <w:rsid w:val="00F5678E"/>
    <w:rsid w:val="00F56A50"/>
    <w:rsid w:val="00F571C7"/>
    <w:rsid w:val="00F57727"/>
    <w:rsid w:val="00F60199"/>
    <w:rsid w:val="00F602F4"/>
    <w:rsid w:val="00F608E1"/>
    <w:rsid w:val="00F60CBF"/>
    <w:rsid w:val="00F60E4C"/>
    <w:rsid w:val="00F61646"/>
    <w:rsid w:val="00F61D45"/>
    <w:rsid w:val="00F62DB7"/>
    <w:rsid w:val="00F634D7"/>
    <w:rsid w:val="00F63AE7"/>
    <w:rsid w:val="00F63B54"/>
    <w:rsid w:val="00F6409C"/>
    <w:rsid w:val="00F641CA"/>
    <w:rsid w:val="00F6470D"/>
    <w:rsid w:val="00F649C6"/>
    <w:rsid w:val="00F64A15"/>
    <w:rsid w:val="00F64AE6"/>
    <w:rsid w:val="00F65456"/>
    <w:rsid w:val="00F657B1"/>
    <w:rsid w:val="00F6640A"/>
    <w:rsid w:val="00F66E41"/>
    <w:rsid w:val="00F66FC4"/>
    <w:rsid w:val="00F671BB"/>
    <w:rsid w:val="00F671D6"/>
    <w:rsid w:val="00F6756E"/>
    <w:rsid w:val="00F7005F"/>
    <w:rsid w:val="00F70610"/>
    <w:rsid w:val="00F70A57"/>
    <w:rsid w:val="00F711CB"/>
    <w:rsid w:val="00F71311"/>
    <w:rsid w:val="00F71553"/>
    <w:rsid w:val="00F71607"/>
    <w:rsid w:val="00F71C3B"/>
    <w:rsid w:val="00F71ECF"/>
    <w:rsid w:val="00F72717"/>
    <w:rsid w:val="00F72DDD"/>
    <w:rsid w:val="00F73859"/>
    <w:rsid w:val="00F73CE3"/>
    <w:rsid w:val="00F745D0"/>
    <w:rsid w:val="00F75475"/>
    <w:rsid w:val="00F7586B"/>
    <w:rsid w:val="00F759D3"/>
    <w:rsid w:val="00F75B3C"/>
    <w:rsid w:val="00F76603"/>
    <w:rsid w:val="00F76B7D"/>
    <w:rsid w:val="00F76CB6"/>
    <w:rsid w:val="00F77465"/>
    <w:rsid w:val="00F7791E"/>
    <w:rsid w:val="00F77BEA"/>
    <w:rsid w:val="00F77C18"/>
    <w:rsid w:val="00F77CE6"/>
    <w:rsid w:val="00F77DA1"/>
    <w:rsid w:val="00F77DB9"/>
    <w:rsid w:val="00F8005F"/>
    <w:rsid w:val="00F80ADF"/>
    <w:rsid w:val="00F80C15"/>
    <w:rsid w:val="00F816A6"/>
    <w:rsid w:val="00F816DB"/>
    <w:rsid w:val="00F8178F"/>
    <w:rsid w:val="00F81C22"/>
    <w:rsid w:val="00F81D45"/>
    <w:rsid w:val="00F81EE3"/>
    <w:rsid w:val="00F823C9"/>
    <w:rsid w:val="00F82807"/>
    <w:rsid w:val="00F82BBA"/>
    <w:rsid w:val="00F82CBC"/>
    <w:rsid w:val="00F832BB"/>
    <w:rsid w:val="00F83581"/>
    <w:rsid w:val="00F83D66"/>
    <w:rsid w:val="00F84487"/>
    <w:rsid w:val="00F8488D"/>
    <w:rsid w:val="00F84B45"/>
    <w:rsid w:val="00F84C06"/>
    <w:rsid w:val="00F851AA"/>
    <w:rsid w:val="00F8538B"/>
    <w:rsid w:val="00F856BE"/>
    <w:rsid w:val="00F8606A"/>
    <w:rsid w:val="00F862C6"/>
    <w:rsid w:val="00F87069"/>
    <w:rsid w:val="00F87216"/>
    <w:rsid w:val="00F87431"/>
    <w:rsid w:val="00F87577"/>
    <w:rsid w:val="00F877AE"/>
    <w:rsid w:val="00F87957"/>
    <w:rsid w:val="00F87E27"/>
    <w:rsid w:val="00F904D5"/>
    <w:rsid w:val="00F90ABE"/>
    <w:rsid w:val="00F90E43"/>
    <w:rsid w:val="00F90F03"/>
    <w:rsid w:val="00F91570"/>
    <w:rsid w:val="00F91B67"/>
    <w:rsid w:val="00F91D18"/>
    <w:rsid w:val="00F91DB1"/>
    <w:rsid w:val="00F9283B"/>
    <w:rsid w:val="00F92A22"/>
    <w:rsid w:val="00F9378D"/>
    <w:rsid w:val="00F93F2B"/>
    <w:rsid w:val="00F93FF7"/>
    <w:rsid w:val="00F94173"/>
    <w:rsid w:val="00F942C0"/>
    <w:rsid w:val="00F94ED4"/>
    <w:rsid w:val="00F94EEB"/>
    <w:rsid w:val="00F952D1"/>
    <w:rsid w:val="00F95559"/>
    <w:rsid w:val="00F957B6"/>
    <w:rsid w:val="00F95854"/>
    <w:rsid w:val="00F962F3"/>
    <w:rsid w:val="00F9667D"/>
    <w:rsid w:val="00F96700"/>
    <w:rsid w:val="00F9675E"/>
    <w:rsid w:val="00F96A83"/>
    <w:rsid w:val="00F9703B"/>
    <w:rsid w:val="00F97799"/>
    <w:rsid w:val="00F97945"/>
    <w:rsid w:val="00F97B8E"/>
    <w:rsid w:val="00FA0162"/>
    <w:rsid w:val="00FA02EA"/>
    <w:rsid w:val="00FA04B0"/>
    <w:rsid w:val="00FA07DC"/>
    <w:rsid w:val="00FA0940"/>
    <w:rsid w:val="00FA0C64"/>
    <w:rsid w:val="00FA1149"/>
    <w:rsid w:val="00FA135D"/>
    <w:rsid w:val="00FA1713"/>
    <w:rsid w:val="00FA1B16"/>
    <w:rsid w:val="00FA1DE7"/>
    <w:rsid w:val="00FA2279"/>
    <w:rsid w:val="00FA252C"/>
    <w:rsid w:val="00FA2A77"/>
    <w:rsid w:val="00FA2CBA"/>
    <w:rsid w:val="00FA3164"/>
    <w:rsid w:val="00FA37AA"/>
    <w:rsid w:val="00FA51E3"/>
    <w:rsid w:val="00FA560D"/>
    <w:rsid w:val="00FA5A3D"/>
    <w:rsid w:val="00FA5FCE"/>
    <w:rsid w:val="00FA6037"/>
    <w:rsid w:val="00FA60DF"/>
    <w:rsid w:val="00FA6D56"/>
    <w:rsid w:val="00FA6FB7"/>
    <w:rsid w:val="00FA7413"/>
    <w:rsid w:val="00FA786A"/>
    <w:rsid w:val="00FB04D9"/>
    <w:rsid w:val="00FB0D79"/>
    <w:rsid w:val="00FB1134"/>
    <w:rsid w:val="00FB12F1"/>
    <w:rsid w:val="00FB1602"/>
    <w:rsid w:val="00FB1761"/>
    <w:rsid w:val="00FB1E52"/>
    <w:rsid w:val="00FB21F3"/>
    <w:rsid w:val="00FB2436"/>
    <w:rsid w:val="00FB2A8F"/>
    <w:rsid w:val="00FB2DBE"/>
    <w:rsid w:val="00FB306D"/>
    <w:rsid w:val="00FB3550"/>
    <w:rsid w:val="00FB3B77"/>
    <w:rsid w:val="00FB3E45"/>
    <w:rsid w:val="00FB4856"/>
    <w:rsid w:val="00FB4AC5"/>
    <w:rsid w:val="00FB4B20"/>
    <w:rsid w:val="00FB5327"/>
    <w:rsid w:val="00FB5703"/>
    <w:rsid w:val="00FB608B"/>
    <w:rsid w:val="00FB61C1"/>
    <w:rsid w:val="00FB61E2"/>
    <w:rsid w:val="00FB6343"/>
    <w:rsid w:val="00FB6B48"/>
    <w:rsid w:val="00FB7850"/>
    <w:rsid w:val="00FB7FDA"/>
    <w:rsid w:val="00FC0049"/>
    <w:rsid w:val="00FC00EF"/>
    <w:rsid w:val="00FC010C"/>
    <w:rsid w:val="00FC053C"/>
    <w:rsid w:val="00FC09CC"/>
    <w:rsid w:val="00FC0A41"/>
    <w:rsid w:val="00FC100B"/>
    <w:rsid w:val="00FC11B8"/>
    <w:rsid w:val="00FC13E4"/>
    <w:rsid w:val="00FC1428"/>
    <w:rsid w:val="00FC284F"/>
    <w:rsid w:val="00FC291B"/>
    <w:rsid w:val="00FC2A2A"/>
    <w:rsid w:val="00FC2EE0"/>
    <w:rsid w:val="00FC3B32"/>
    <w:rsid w:val="00FC3F9B"/>
    <w:rsid w:val="00FC4755"/>
    <w:rsid w:val="00FC4995"/>
    <w:rsid w:val="00FC4E12"/>
    <w:rsid w:val="00FC5112"/>
    <w:rsid w:val="00FC5246"/>
    <w:rsid w:val="00FC5445"/>
    <w:rsid w:val="00FC604A"/>
    <w:rsid w:val="00FC6872"/>
    <w:rsid w:val="00FC68FF"/>
    <w:rsid w:val="00FC6E1C"/>
    <w:rsid w:val="00FC6F66"/>
    <w:rsid w:val="00FC7314"/>
    <w:rsid w:val="00FC7583"/>
    <w:rsid w:val="00FD0404"/>
    <w:rsid w:val="00FD0409"/>
    <w:rsid w:val="00FD0672"/>
    <w:rsid w:val="00FD080E"/>
    <w:rsid w:val="00FD0CA2"/>
    <w:rsid w:val="00FD1802"/>
    <w:rsid w:val="00FD1AA4"/>
    <w:rsid w:val="00FD1B97"/>
    <w:rsid w:val="00FD202F"/>
    <w:rsid w:val="00FD2C63"/>
    <w:rsid w:val="00FD35BC"/>
    <w:rsid w:val="00FD48AC"/>
    <w:rsid w:val="00FD4BD5"/>
    <w:rsid w:val="00FD522C"/>
    <w:rsid w:val="00FD5BD8"/>
    <w:rsid w:val="00FD648A"/>
    <w:rsid w:val="00FD676E"/>
    <w:rsid w:val="00FD6D98"/>
    <w:rsid w:val="00FD7310"/>
    <w:rsid w:val="00FD7FAE"/>
    <w:rsid w:val="00FE0014"/>
    <w:rsid w:val="00FE00E3"/>
    <w:rsid w:val="00FE02FA"/>
    <w:rsid w:val="00FE0788"/>
    <w:rsid w:val="00FE0901"/>
    <w:rsid w:val="00FE0A13"/>
    <w:rsid w:val="00FE0A1A"/>
    <w:rsid w:val="00FE10AA"/>
    <w:rsid w:val="00FE1E9F"/>
    <w:rsid w:val="00FE25F1"/>
    <w:rsid w:val="00FE2AF7"/>
    <w:rsid w:val="00FE2D92"/>
    <w:rsid w:val="00FE31A0"/>
    <w:rsid w:val="00FE3367"/>
    <w:rsid w:val="00FE3996"/>
    <w:rsid w:val="00FE3D65"/>
    <w:rsid w:val="00FE4195"/>
    <w:rsid w:val="00FE4ABB"/>
    <w:rsid w:val="00FE4FFE"/>
    <w:rsid w:val="00FE5398"/>
    <w:rsid w:val="00FE570F"/>
    <w:rsid w:val="00FE5719"/>
    <w:rsid w:val="00FE5A37"/>
    <w:rsid w:val="00FE5D98"/>
    <w:rsid w:val="00FE606B"/>
    <w:rsid w:val="00FE631F"/>
    <w:rsid w:val="00FE6370"/>
    <w:rsid w:val="00FE6E8F"/>
    <w:rsid w:val="00FE7210"/>
    <w:rsid w:val="00FE7A98"/>
    <w:rsid w:val="00FE7B08"/>
    <w:rsid w:val="00FE7FED"/>
    <w:rsid w:val="00FF0354"/>
    <w:rsid w:val="00FF0932"/>
    <w:rsid w:val="00FF0AF0"/>
    <w:rsid w:val="00FF0DBA"/>
    <w:rsid w:val="00FF1A55"/>
    <w:rsid w:val="00FF1C59"/>
    <w:rsid w:val="00FF1D88"/>
    <w:rsid w:val="00FF1FEB"/>
    <w:rsid w:val="00FF2EF2"/>
    <w:rsid w:val="00FF3177"/>
    <w:rsid w:val="00FF3686"/>
    <w:rsid w:val="00FF3896"/>
    <w:rsid w:val="00FF39D2"/>
    <w:rsid w:val="00FF3C5E"/>
    <w:rsid w:val="00FF3EA7"/>
    <w:rsid w:val="00FF5388"/>
    <w:rsid w:val="00FF5D7A"/>
    <w:rsid w:val="00FF5F64"/>
    <w:rsid w:val="00FF601F"/>
    <w:rsid w:val="00FF702E"/>
    <w:rsid w:val="00FF759C"/>
    <w:rsid w:val="00FF764D"/>
    <w:rsid w:val="00FF7674"/>
    <w:rsid w:val="01101EBA"/>
    <w:rsid w:val="01495DB8"/>
    <w:rsid w:val="01C1DC93"/>
    <w:rsid w:val="01C2ECA9"/>
    <w:rsid w:val="01F55341"/>
    <w:rsid w:val="021936F5"/>
    <w:rsid w:val="025FA155"/>
    <w:rsid w:val="028DB4F3"/>
    <w:rsid w:val="02FD8ACF"/>
    <w:rsid w:val="033DEEB8"/>
    <w:rsid w:val="03473D17"/>
    <w:rsid w:val="03873BC4"/>
    <w:rsid w:val="03B62C75"/>
    <w:rsid w:val="03B82BDC"/>
    <w:rsid w:val="03CABD04"/>
    <w:rsid w:val="03ECA1B5"/>
    <w:rsid w:val="045FE1E6"/>
    <w:rsid w:val="0471E6DC"/>
    <w:rsid w:val="04A76646"/>
    <w:rsid w:val="051FF19A"/>
    <w:rsid w:val="052ECDC9"/>
    <w:rsid w:val="0547E0D5"/>
    <w:rsid w:val="05679085"/>
    <w:rsid w:val="058CC780"/>
    <w:rsid w:val="0626C9D9"/>
    <w:rsid w:val="0679B666"/>
    <w:rsid w:val="06D039D7"/>
    <w:rsid w:val="06D086CF"/>
    <w:rsid w:val="06F2D812"/>
    <w:rsid w:val="071BE312"/>
    <w:rsid w:val="0726508D"/>
    <w:rsid w:val="077D5F24"/>
    <w:rsid w:val="08529155"/>
    <w:rsid w:val="086617D4"/>
    <w:rsid w:val="08F964EB"/>
    <w:rsid w:val="09000728"/>
    <w:rsid w:val="0946103A"/>
    <w:rsid w:val="097AD769"/>
    <w:rsid w:val="098349E8"/>
    <w:rsid w:val="09CE1E56"/>
    <w:rsid w:val="0A1C0ED4"/>
    <w:rsid w:val="0A58B8C6"/>
    <w:rsid w:val="0A6696D7"/>
    <w:rsid w:val="0AFF3FD0"/>
    <w:rsid w:val="0B16A7CA"/>
    <w:rsid w:val="0B43DF6B"/>
    <w:rsid w:val="0BD79BB2"/>
    <w:rsid w:val="0BE993C4"/>
    <w:rsid w:val="0BF9FFAF"/>
    <w:rsid w:val="0C140434"/>
    <w:rsid w:val="0C63D064"/>
    <w:rsid w:val="0CDB47C8"/>
    <w:rsid w:val="0D02C49E"/>
    <w:rsid w:val="0D63B797"/>
    <w:rsid w:val="0D856425"/>
    <w:rsid w:val="0D92A6A5"/>
    <w:rsid w:val="0D9E3799"/>
    <w:rsid w:val="0DB56749"/>
    <w:rsid w:val="0DB8474E"/>
    <w:rsid w:val="0DC14BC6"/>
    <w:rsid w:val="0E05AC7A"/>
    <w:rsid w:val="0E10DFE9"/>
    <w:rsid w:val="0E1C61E9"/>
    <w:rsid w:val="0E6770E9"/>
    <w:rsid w:val="0E96EE2E"/>
    <w:rsid w:val="0EDD39B6"/>
    <w:rsid w:val="0EE2D4A5"/>
    <w:rsid w:val="0F0C240C"/>
    <w:rsid w:val="0F2DBA75"/>
    <w:rsid w:val="0F986023"/>
    <w:rsid w:val="0FC8BBEB"/>
    <w:rsid w:val="0FF1F930"/>
    <w:rsid w:val="102B0866"/>
    <w:rsid w:val="10BF4F2A"/>
    <w:rsid w:val="10D0800F"/>
    <w:rsid w:val="10F00CA5"/>
    <w:rsid w:val="119F11AB"/>
    <w:rsid w:val="11AC550F"/>
    <w:rsid w:val="11FAA0E9"/>
    <w:rsid w:val="120EF31E"/>
    <w:rsid w:val="125A68DF"/>
    <w:rsid w:val="128B1A68"/>
    <w:rsid w:val="12AE138E"/>
    <w:rsid w:val="13147291"/>
    <w:rsid w:val="1333184A"/>
    <w:rsid w:val="13678FAF"/>
    <w:rsid w:val="13760F0E"/>
    <w:rsid w:val="137B042F"/>
    <w:rsid w:val="139B421D"/>
    <w:rsid w:val="143BFF25"/>
    <w:rsid w:val="1477764D"/>
    <w:rsid w:val="14802698"/>
    <w:rsid w:val="14CD348D"/>
    <w:rsid w:val="15510188"/>
    <w:rsid w:val="15AF3D4C"/>
    <w:rsid w:val="15F6CE21"/>
    <w:rsid w:val="16595A71"/>
    <w:rsid w:val="1673612D"/>
    <w:rsid w:val="1697FD4F"/>
    <w:rsid w:val="171F0D7C"/>
    <w:rsid w:val="17581ACF"/>
    <w:rsid w:val="17799D5F"/>
    <w:rsid w:val="177F888A"/>
    <w:rsid w:val="17820AB1"/>
    <w:rsid w:val="17D4CBD1"/>
    <w:rsid w:val="17D7EC47"/>
    <w:rsid w:val="17E2456A"/>
    <w:rsid w:val="180EA957"/>
    <w:rsid w:val="184BDEED"/>
    <w:rsid w:val="18CFC568"/>
    <w:rsid w:val="18E8217A"/>
    <w:rsid w:val="197E15CB"/>
    <w:rsid w:val="199C7D29"/>
    <w:rsid w:val="1A27EE23"/>
    <w:rsid w:val="1A2931CD"/>
    <w:rsid w:val="1A392A96"/>
    <w:rsid w:val="1A7CBAA1"/>
    <w:rsid w:val="1AABBDC4"/>
    <w:rsid w:val="1AB1FB53"/>
    <w:rsid w:val="1AE7AE69"/>
    <w:rsid w:val="1B28A104"/>
    <w:rsid w:val="1B4EB870"/>
    <w:rsid w:val="1B79231C"/>
    <w:rsid w:val="1B9173D6"/>
    <w:rsid w:val="1BAB1298"/>
    <w:rsid w:val="1BAD2A0B"/>
    <w:rsid w:val="1BC5022E"/>
    <w:rsid w:val="1BD3FA6B"/>
    <w:rsid w:val="1BE480C8"/>
    <w:rsid w:val="1C188B02"/>
    <w:rsid w:val="1C20E81E"/>
    <w:rsid w:val="1C232313"/>
    <w:rsid w:val="1C3AD25B"/>
    <w:rsid w:val="1C8B78F5"/>
    <w:rsid w:val="1C8FA6ED"/>
    <w:rsid w:val="1C9D6A66"/>
    <w:rsid w:val="1C9DF133"/>
    <w:rsid w:val="1CB6F57D"/>
    <w:rsid w:val="1CC951E6"/>
    <w:rsid w:val="1D07093A"/>
    <w:rsid w:val="1D6142CC"/>
    <w:rsid w:val="1D900C0C"/>
    <w:rsid w:val="1DAD70D5"/>
    <w:rsid w:val="1DBDEA19"/>
    <w:rsid w:val="1DC835A5"/>
    <w:rsid w:val="1E12A75F"/>
    <w:rsid w:val="1E4AFCDA"/>
    <w:rsid w:val="1E58906F"/>
    <w:rsid w:val="1E646C56"/>
    <w:rsid w:val="1E806CF0"/>
    <w:rsid w:val="1E8999DA"/>
    <w:rsid w:val="1EA2D99B"/>
    <w:rsid w:val="1EDFE429"/>
    <w:rsid w:val="1EE68429"/>
    <w:rsid w:val="1EFCA2F0"/>
    <w:rsid w:val="1F1B710C"/>
    <w:rsid w:val="1F2401BE"/>
    <w:rsid w:val="1F47A2D3"/>
    <w:rsid w:val="1F4B1845"/>
    <w:rsid w:val="1F62F50C"/>
    <w:rsid w:val="1F708D5D"/>
    <w:rsid w:val="1FB6EC66"/>
    <w:rsid w:val="20033904"/>
    <w:rsid w:val="2052BBF0"/>
    <w:rsid w:val="208E2206"/>
    <w:rsid w:val="209752BA"/>
    <w:rsid w:val="20987351"/>
    <w:rsid w:val="20A68FD6"/>
    <w:rsid w:val="20E7C88D"/>
    <w:rsid w:val="20F3335F"/>
    <w:rsid w:val="210C5DBE"/>
    <w:rsid w:val="2195AE70"/>
    <w:rsid w:val="219C0D18"/>
    <w:rsid w:val="21C8865C"/>
    <w:rsid w:val="21D0F3CE"/>
    <w:rsid w:val="21DA7A5D"/>
    <w:rsid w:val="21E53FC1"/>
    <w:rsid w:val="21ECA040"/>
    <w:rsid w:val="22232270"/>
    <w:rsid w:val="2247E24B"/>
    <w:rsid w:val="2267E06D"/>
    <w:rsid w:val="2284A725"/>
    <w:rsid w:val="22909A43"/>
    <w:rsid w:val="22A82E1F"/>
    <w:rsid w:val="22D408CA"/>
    <w:rsid w:val="22E3A556"/>
    <w:rsid w:val="22E4256A"/>
    <w:rsid w:val="22F31AEE"/>
    <w:rsid w:val="2364A08F"/>
    <w:rsid w:val="236A0522"/>
    <w:rsid w:val="23862D62"/>
    <w:rsid w:val="239FC56E"/>
    <w:rsid w:val="23C43DB1"/>
    <w:rsid w:val="23D6DB85"/>
    <w:rsid w:val="23D6DE31"/>
    <w:rsid w:val="23F2517A"/>
    <w:rsid w:val="240A748A"/>
    <w:rsid w:val="245B1DB1"/>
    <w:rsid w:val="24878488"/>
    <w:rsid w:val="24A8B8EF"/>
    <w:rsid w:val="25488428"/>
    <w:rsid w:val="25511A0A"/>
    <w:rsid w:val="25819A22"/>
    <w:rsid w:val="25A5451C"/>
    <w:rsid w:val="25AE4870"/>
    <w:rsid w:val="25C512BC"/>
    <w:rsid w:val="25C88A56"/>
    <w:rsid w:val="25E3634C"/>
    <w:rsid w:val="25FBEC67"/>
    <w:rsid w:val="263EE8E9"/>
    <w:rsid w:val="267C9358"/>
    <w:rsid w:val="26C9BF38"/>
    <w:rsid w:val="26D08861"/>
    <w:rsid w:val="26D28A69"/>
    <w:rsid w:val="26F27A8E"/>
    <w:rsid w:val="26F42D77"/>
    <w:rsid w:val="26FB710A"/>
    <w:rsid w:val="273A5B92"/>
    <w:rsid w:val="274A18D1"/>
    <w:rsid w:val="27A4DB62"/>
    <w:rsid w:val="27B2F507"/>
    <w:rsid w:val="27EA09A3"/>
    <w:rsid w:val="28224E2C"/>
    <w:rsid w:val="2853B540"/>
    <w:rsid w:val="285AEC4A"/>
    <w:rsid w:val="28B1C8F9"/>
    <w:rsid w:val="28F0AEF5"/>
    <w:rsid w:val="28F4A339"/>
    <w:rsid w:val="29CA6AC7"/>
    <w:rsid w:val="29E4E685"/>
    <w:rsid w:val="2A4BC2EB"/>
    <w:rsid w:val="2B66F87A"/>
    <w:rsid w:val="2BA53ED4"/>
    <w:rsid w:val="2BC55C2A"/>
    <w:rsid w:val="2BC685ED"/>
    <w:rsid w:val="2BCEE22D"/>
    <w:rsid w:val="2C21A342"/>
    <w:rsid w:val="2C284FB7"/>
    <w:rsid w:val="2C604C98"/>
    <w:rsid w:val="2C789E9F"/>
    <w:rsid w:val="2D027D2C"/>
    <w:rsid w:val="2D639459"/>
    <w:rsid w:val="2DB6AE56"/>
    <w:rsid w:val="2DD18037"/>
    <w:rsid w:val="2E767F9B"/>
    <w:rsid w:val="2EA85A06"/>
    <w:rsid w:val="2ECE8E84"/>
    <w:rsid w:val="2EEF9FA4"/>
    <w:rsid w:val="2EFB7058"/>
    <w:rsid w:val="2F0D8EC8"/>
    <w:rsid w:val="2F175941"/>
    <w:rsid w:val="2F56CA66"/>
    <w:rsid w:val="2FA88D00"/>
    <w:rsid w:val="303B19AB"/>
    <w:rsid w:val="30437B8B"/>
    <w:rsid w:val="30442A67"/>
    <w:rsid w:val="305E2FAD"/>
    <w:rsid w:val="306A5EE5"/>
    <w:rsid w:val="3083A54B"/>
    <w:rsid w:val="30DA97FC"/>
    <w:rsid w:val="314AFFAC"/>
    <w:rsid w:val="31D08153"/>
    <w:rsid w:val="31DFFAC8"/>
    <w:rsid w:val="3211FFF2"/>
    <w:rsid w:val="3229A747"/>
    <w:rsid w:val="3297913B"/>
    <w:rsid w:val="32B1F8FC"/>
    <w:rsid w:val="331B1E15"/>
    <w:rsid w:val="33418394"/>
    <w:rsid w:val="335CE412"/>
    <w:rsid w:val="3372BA6D"/>
    <w:rsid w:val="337FC220"/>
    <w:rsid w:val="33CA1B26"/>
    <w:rsid w:val="3433619C"/>
    <w:rsid w:val="3438169B"/>
    <w:rsid w:val="349161E4"/>
    <w:rsid w:val="34AA7429"/>
    <w:rsid w:val="34E771EE"/>
    <w:rsid w:val="350E8ACE"/>
    <w:rsid w:val="355AF2D2"/>
    <w:rsid w:val="35663655"/>
    <w:rsid w:val="3585224F"/>
    <w:rsid w:val="3594B8C2"/>
    <w:rsid w:val="359E49D8"/>
    <w:rsid w:val="35CF5BF2"/>
    <w:rsid w:val="35DFEB01"/>
    <w:rsid w:val="3601470D"/>
    <w:rsid w:val="361E37AD"/>
    <w:rsid w:val="3690DA63"/>
    <w:rsid w:val="36B3AFCF"/>
    <w:rsid w:val="36C42B4B"/>
    <w:rsid w:val="36D08D41"/>
    <w:rsid w:val="3760269C"/>
    <w:rsid w:val="37827935"/>
    <w:rsid w:val="379E1E22"/>
    <w:rsid w:val="37A6F253"/>
    <w:rsid w:val="37CB4E78"/>
    <w:rsid w:val="37FBDE20"/>
    <w:rsid w:val="3807A399"/>
    <w:rsid w:val="381FDF55"/>
    <w:rsid w:val="3853031F"/>
    <w:rsid w:val="38820548"/>
    <w:rsid w:val="38BC93C8"/>
    <w:rsid w:val="38C22CDC"/>
    <w:rsid w:val="38F3FBF7"/>
    <w:rsid w:val="392C2462"/>
    <w:rsid w:val="394F8854"/>
    <w:rsid w:val="39756F83"/>
    <w:rsid w:val="39A2C9E2"/>
    <w:rsid w:val="39B30360"/>
    <w:rsid w:val="3A51AFB9"/>
    <w:rsid w:val="3A8E5F7D"/>
    <w:rsid w:val="3ACF3EA2"/>
    <w:rsid w:val="3AD51909"/>
    <w:rsid w:val="3ADAB715"/>
    <w:rsid w:val="3B002CAD"/>
    <w:rsid w:val="3B2E0591"/>
    <w:rsid w:val="3B3C9CE5"/>
    <w:rsid w:val="3B4A408D"/>
    <w:rsid w:val="3B77029A"/>
    <w:rsid w:val="3BA03EE1"/>
    <w:rsid w:val="3BA94A26"/>
    <w:rsid w:val="3BAEE309"/>
    <w:rsid w:val="3BD68DBA"/>
    <w:rsid w:val="3C0F7D5F"/>
    <w:rsid w:val="3C30856A"/>
    <w:rsid w:val="3C4F2C85"/>
    <w:rsid w:val="3CE09EEA"/>
    <w:rsid w:val="3D23B54B"/>
    <w:rsid w:val="3D2CDB5B"/>
    <w:rsid w:val="3D342EB2"/>
    <w:rsid w:val="3D3D3CC7"/>
    <w:rsid w:val="3D9749E4"/>
    <w:rsid w:val="3DC2C21F"/>
    <w:rsid w:val="3DD76BA5"/>
    <w:rsid w:val="3E234BCF"/>
    <w:rsid w:val="3E6992F3"/>
    <w:rsid w:val="3E6D13F6"/>
    <w:rsid w:val="3EA4AB48"/>
    <w:rsid w:val="3EB7C8BD"/>
    <w:rsid w:val="3EC36B3D"/>
    <w:rsid w:val="3EC8ABBC"/>
    <w:rsid w:val="3ECE06D5"/>
    <w:rsid w:val="3EE12CCA"/>
    <w:rsid w:val="3F0E2139"/>
    <w:rsid w:val="3F0ED59C"/>
    <w:rsid w:val="3F8491F5"/>
    <w:rsid w:val="3FBFDE26"/>
    <w:rsid w:val="401D7005"/>
    <w:rsid w:val="4036F155"/>
    <w:rsid w:val="40AC0A03"/>
    <w:rsid w:val="40D48708"/>
    <w:rsid w:val="40DA2B4E"/>
    <w:rsid w:val="40DAEC2E"/>
    <w:rsid w:val="40EBCE58"/>
    <w:rsid w:val="411150BE"/>
    <w:rsid w:val="41229DA8"/>
    <w:rsid w:val="412610A5"/>
    <w:rsid w:val="41580210"/>
    <w:rsid w:val="418CC913"/>
    <w:rsid w:val="41C6133F"/>
    <w:rsid w:val="41CD00C4"/>
    <w:rsid w:val="4206EA6F"/>
    <w:rsid w:val="4210583E"/>
    <w:rsid w:val="421BCF65"/>
    <w:rsid w:val="42AADCC8"/>
    <w:rsid w:val="431BFAC1"/>
    <w:rsid w:val="435F97CF"/>
    <w:rsid w:val="4380F361"/>
    <w:rsid w:val="43C432FD"/>
    <w:rsid w:val="43CBDCE8"/>
    <w:rsid w:val="43D771F1"/>
    <w:rsid w:val="441C1A64"/>
    <w:rsid w:val="4464CFF6"/>
    <w:rsid w:val="44D07B64"/>
    <w:rsid w:val="44E380C0"/>
    <w:rsid w:val="44F605A9"/>
    <w:rsid w:val="44FA49A8"/>
    <w:rsid w:val="451DF039"/>
    <w:rsid w:val="4520B6C2"/>
    <w:rsid w:val="4534B469"/>
    <w:rsid w:val="4562419D"/>
    <w:rsid w:val="4567AD49"/>
    <w:rsid w:val="45734252"/>
    <w:rsid w:val="45A7F82B"/>
    <w:rsid w:val="45AE66F9"/>
    <w:rsid w:val="45CAD256"/>
    <w:rsid w:val="460859EA"/>
    <w:rsid w:val="4672A023"/>
    <w:rsid w:val="46BA3F2B"/>
    <w:rsid w:val="46BD0B4B"/>
    <w:rsid w:val="46C86C7F"/>
    <w:rsid w:val="46FA2F5F"/>
    <w:rsid w:val="47037DAA"/>
    <w:rsid w:val="472081EB"/>
    <w:rsid w:val="472B1ED8"/>
    <w:rsid w:val="47305900"/>
    <w:rsid w:val="47596772"/>
    <w:rsid w:val="4769FF93"/>
    <w:rsid w:val="47B36BA4"/>
    <w:rsid w:val="483047FD"/>
    <w:rsid w:val="485BC0BE"/>
    <w:rsid w:val="486F8E02"/>
    <w:rsid w:val="488029CC"/>
    <w:rsid w:val="4885A21F"/>
    <w:rsid w:val="48BB4D10"/>
    <w:rsid w:val="48D8360E"/>
    <w:rsid w:val="48DF10A4"/>
    <w:rsid w:val="48E93052"/>
    <w:rsid w:val="48FD9DF7"/>
    <w:rsid w:val="490231C2"/>
    <w:rsid w:val="49385824"/>
    <w:rsid w:val="494D9099"/>
    <w:rsid w:val="4964C49E"/>
    <w:rsid w:val="497646ED"/>
    <w:rsid w:val="4978D964"/>
    <w:rsid w:val="49A18792"/>
    <w:rsid w:val="49ABA250"/>
    <w:rsid w:val="49F3C14B"/>
    <w:rsid w:val="49F4B8E2"/>
    <w:rsid w:val="49FC6C41"/>
    <w:rsid w:val="49FED794"/>
    <w:rsid w:val="4A47E007"/>
    <w:rsid w:val="4A70398E"/>
    <w:rsid w:val="4A769282"/>
    <w:rsid w:val="4ACEACD7"/>
    <w:rsid w:val="4B007BBD"/>
    <w:rsid w:val="4B0E692C"/>
    <w:rsid w:val="4B4E2547"/>
    <w:rsid w:val="4B530439"/>
    <w:rsid w:val="4B5D92E7"/>
    <w:rsid w:val="4B6DA3E1"/>
    <w:rsid w:val="4B8FE288"/>
    <w:rsid w:val="4B917BE3"/>
    <w:rsid w:val="4BA1AE1B"/>
    <w:rsid w:val="4C4FFCBC"/>
    <w:rsid w:val="4C6D3DD5"/>
    <w:rsid w:val="4C98B803"/>
    <w:rsid w:val="4C9A9B9E"/>
    <w:rsid w:val="4CADFEBE"/>
    <w:rsid w:val="4CFF85A5"/>
    <w:rsid w:val="4D2C59A4"/>
    <w:rsid w:val="4D5362CB"/>
    <w:rsid w:val="4D555249"/>
    <w:rsid w:val="4D6A4D4F"/>
    <w:rsid w:val="4DA19BB2"/>
    <w:rsid w:val="4DBDDA83"/>
    <w:rsid w:val="4EB36C0D"/>
    <w:rsid w:val="4EBB97E5"/>
    <w:rsid w:val="4EBF4E38"/>
    <w:rsid w:val="4EC86CEB"/>
    <w:rsid w:val="4ECB0242"/>
    <w:rsid w:val="4F13AE08"/>
    <w:rsid w:val="4F64345B"/>
    <w:rsid w:val="4F6759E7"/>
    <w:rsid w:val="4F69484B"/>
    <w:rsid w:val="4F9613D3"/>
    <w:rsid w:val="4FC4E6A8"/>
    <w:rsid w:val="4FD1A8F3"/>
    <w:rsid w:val="5026110A"/>
    <w:rsid w:val="505B1E99"/>
    <w:rsid w:val="51D46184"/>
    <w:rsid w:val="52077DC4"/>
    <w:rsid w:val="521E564C"/>
    <w:rsid w:val="5234E5A3"/>
    <w:rsid w:val="52364A86"/>
    <w:rsid w:val="52478D5D"/>
    <w:rsid w:val="52C857C0"/>
    <w:rsid w:val="5309FEAE"/>
    <w:rsid w:val="530E9E62"/>
    <w:rsid w:val="534029C4"/>
    <w:rsid w:val="537EBF0C"/>
    <w:rsid w:val="538272CB"/>
    <w:rsid w:val="5392BF5B"/>
    <w:rsid w:val="53AD72FF"/>
    <w:rsid w:val="53EA1579"/>
    <w:rsid w:val="53F42C05"/>
    <w:rsid w:val="542A391A"/>
    <w:rsid w:val="5434826E"/>
    <w:rsid w:val="544199EA"/>
    <w:rsid w:val="547A5EE8"/>
    <w:rsid w:val="54A4AC4C"/>
    <w:rsid w:val="550A7BFC"/>
    <w:rsid w:val="551B4C33"/>
    <w:rsid w:val="55263BD0"/>
    <w:rsid w:val="553151E2"/>
    <w:rsid w:val="554346ED"/>
    <w:rsid w:val="55772BB3"/>
    <w:rsid w:val="55945BE5"/>
    <w:rsid w:val="55BA9B57"/>
    <w:rsid w:val="55D5516A"/>
    <w:rsid w:val="5624E265"/>
    <w:rsid w:val="56285587"/>
    <w:rsid w:val="5677AD9B"/>
    <w:rsid w:val="570793C6"/>
    <w:rsid w:val="573FA16F"/>
    <w:rsid w:val="5753E946"/>
    <w:rsid w:val="575FA0B4"/>
    <w:rsid w:val="578B75A5"/>
    <w:rsid w:val="57A125B8"/>
    <w:rsid w:val="57AF1697"/>
    <w:rsid w:val="57B702B5"/>
    <w:rsid w:val="57F43C0A"/>
    <w:rsid w:val="5811D2A7"/>
    <w:rsid w:val="58829D8C"/>
    <w:rsid w:val="588D9F52"/>
    <w:rsid w:val="58BE8748"/>
    <w:rsid w:val="5954FB40"/>
    <w:rsid w:val="595FF649"/>
    <w:rsid w:val="596F0C77"/>
    <w:rsid w:val="59865D41"/>
    <w:rsid w:val="59F1B44F"/>
    <w:rsid w:val="5A006259"/>
    <w:rsid w:val="5A296FB3"/>
    <w:rsid w:val="5A6090C7"/>
    <w:rsid w:val="5A7909FA"/>
    <w:rsid w:val="5AE12C74"/>
    <w:rsid w:val="5AE8F432"/>
    <w:rsid w:val="5AF0CBA1"/>
    <w:rsid w:val="5B0CAD68"/>
    <w:rsid w:val="5B21F423"/>
    <w:rsid w:val="5B2BDCCC"/>
    <w:rsid w:val="5B48C72C"/>
    <w:rsid w:val="5B4B5FAA"/>
    <w:rsid w:val="5B5AC8C9"/>
    <w:rsid w:val="5B655646"/>
    <w:rsid w:val="5B7C1A48"/>
    <w:rsid w:val="5B822B3B"/>
    <w:rsid w:val="5B831CF1"/>
    <w:rsid w:val="5BB172D0"/>
    <w:rsid w:val="5BBBEA6E"/>
    <w:rsid w:val="5BC54014"/>
    <w:rsid w:val="5C06D892"/>
    <w:rsid w:val="5C4380A4"/>
    <w:rsid w:val="5C5C7070"/>
    <w:rsid w:val="5C6CF793"/>
    <w:rsid w:val="5C6D426F"/>
    <w:rsid w:val="5C74DABF"/>
    <w:rsid w:val="5C8C9C02"/>
    <w:rsid w:val="5CA80583"/>
    <w:rsid w:val="5CBBBD07"/>
    <w:rsid w:val="5CBD0AC6"/>
    <w:rsid w:val="5CC87069"/>
    <w:rsid w:val="5CD05496"/>
    <w:rsid w:val="5CE29261"/>
    <w:rsid w:val="5CF43518"/>
    <w:rsid w:val="5CF7299B"/>
    <w:rsid w:val="5D301C3A"/>
    <w:rsid w:val="5D7E3DE1"/>
    <w:rsid w:val="5DCFA550"/>
    <w:rsid w:val="5E0323FA"/>
    <w:rsid w:val="5E15147F"/>
    <w:rsid w:val="5E25F913"/>
    <w:rsid w:val="5E5D91D0"/>
    <w:rsid w:val="5E743DF8"/>
    <w:rsid w:val="5E8F7D35"/>
    <w:rsid w:val="5EDE4DCF"/>
    <w:rsid w:val="5EE98509"/>
    <w:rsid w:val="5EF1DF10"/>
    <w:rsid w:val="5F0AA0C1"/>
    <w:rsid w:val="5F3D08A6"/>
    <w:rsid w:val="5F4E8B43"/>
    <w:rsid w:val="6008DD44"/>
    <w:rsid w:val="60408E8E"/>
    <w:rsid w:val="606CD3E3"/>
    <w:rsid w:val="606D6B8D"/>
    <w:rsid w:val="608547AD"/>
    <w:rsid w:val="608D0F66"/>
    <w:rsid w:val="6098F6D3"/>
    <w:rsid w:val="609986F8"/>
    <w:rsid w:val="60A12B71"/>
    <w:rsid w:val="614CB541"/>
    <w:rsid w:val="616FC96E"/>
    <w:rsid w:val="619DD8D9"/>
    <w:rsid w:val="61A37EFB"/>
    <w:rsid w:val="61A9203F"/>
    <w:rsid w:val="61E04C6D"/>
    <w:rsid w:val="61F4F8AA"/>
    <w:rsid w:val="620088F5"/>
    <w:rsid w:val="6273A0A6"/>
    <w:rsid w:val="62916664"/>
    <w:rsid w:val="63231DB0"/>
    <w:rsid w:val="63360FA2"/>
    <w:rsid w:val="63439C55"/>
    <w:rsid w:val="636CC3CA"/>
    <w:rsid w:val="638B4F77"/>
    <w:rsid w:val="63D6EC76"/>
    <w:rsid w:val="63FBFD6D"/>
    <w:rsid w:val="64013394"/>
    <w:rsid w:val="640F2A3D"/>
    <w:rsid w:val="64297969"/>
    <w:rsid w:val="64845603"/>
    <w:rsid w:val="64D2BF12"/>
    <w:rsid w:val="64D63A88"/>
    <w:rsid w:val="64E98330"/>
    <w:rsid w:val="6534D975"/>
    <w:rsid w:val="65825C9E"/>
    <w:rsid w:val="661D291A"/>
    <w:rsid w:val="66202664"/>
    <w:rsid w:val="6671C241"/>
    <w:rsid w:val="66A114B2"/>
    <w:rsid w:val="66A940EA"/>
    <w:rsid w:val="66B5FFF0"/>
    <w:rsid w:val="66CC62B2"/>
    <w:rsid w:val="66DFAF06"/>
    <w:rsid w:val="66E95FB4"/>
    <w:rsid w:val="66F8991F"/>
    <w:rsid w:val="67202D8A"/>
    <w:rsid w:val="672855A4"/>
    <w:rsid w:val="672B4C02"/>
    <w:rsid w:val="6749702D"/>
    <w:rsid w:val="67536A32"/>
    <w:rsid w:val="67974BFC"/>
    <w:rsid w:val="67B00905"/>
    <w:rsid w:val="67B9EDCE"/>
    <w:rsid w:val="67BBF6C5"/>
    <w:rsid w:val="6860F90B"/>
    <w:rsid w:val="68650EB6"/>
    <w:rsid w:val="686E3607"/>
    <w:rsid w:val="688E8499"/>
    <w:rsid w:val="68F4388E"/>
    <w:rsid w:val="6914EC2C"/>
    <w:rsid w:val="693FD1C8"/>
    <w:rsid w:val="695EFE60"/>
    <w:rsid w:val="69AD8D4B"/>
    <w:rsid w:val="69AE1DBB"/>
    <w:rsid w:val="69AFBF29"/>
    <w:rsid w:val="69E8C788"/>
    <w:rsid w:val="69F5E671"/>
    <w:rsid w:val="69F8CF28"/>
    <w:rsid w:val="6A0F9EE7"/>
    <w:rsid w:val="6A1FD724"/>
    <w:rsid w:val="6A3723DC"/>
    <w:rsid w:val="6A68F875"/>
    <w:rsid w:val="6AC6325C"/>
    <w:rsid w:val="6AC939D1"/>
    <w:rsid w:val="6AF2BF3F"/>
    <w:rsid w:val="6B40377D"/>
    <w:rsid w:val="6B49EE1C"/>
    <w:rsid w:val="6B87A782"/>
    <w:rsid w:val="6BB63A01"/>
    <w:rsid w:val="6BB9B23F"/>
    <w:rsid w:val="6BD84F9E"/>
    <w:rsid w:val="6C39732B"/>
    <w:rsid w:val="6C89DA0F"/>
    <w:rsid w:val="6CC21348"/>
    <w:rsid w:val="6CE29498"/>
    <w:rsid w:val="6CFF4C24"/>
    <w:rsid w:val="6D0BE09C"/>
    <w:rsid w:val="6D3F78DB"/>
    <w:rsid w:val="6D44A688"/>
    <w:rsid w:val="6D454670"/>
    <w:rsid w:val="6D83B2C0"/>
    <w:rsid w:val="6DC8467D"/>
    <w:rsid w:val="6DEE100F"/>
    <w:rsid w:val="6E2F9D0E"/>
    <w:rsid w:val="6E326F83"/>
    <w:rsid w:val="6E51CED5"/>
    <w:rsid w:val="6E89C3DA"/>
    <w:rsid w:val="6E8FBD04"/>
    <w:rsid w:val="6EB662C3"/>
    <w:rsid w:val="6EC1D9F1"/>
    <w:rsid w:val="6ECC4409"/>
    <w:rsid w:val="6EE869AE"/>
    <w:rsid w:val="6EF9A310"/>
    <w:rsid w:val="6F2C9B05"/>
    <w:rsid w:val="6F647CD4"/>
    <w:rsid w:val="6F8756BE"/>
    <w:rsid w:val="6F9932B6"/>
    <w:rsid w:val="6FA00C6A"/>
    <w:rsid w:val="6FCE3FE4"/>
    <w:rsid w:val="700DF660"/>
    <w:rsid w:val="70113777"/>
    <w:rsid w:val="7057FCAE"/>
    <w:rsid w:val="7061FB2C"/>
    <w:rsid w:val="70854A18"/>
    <w:rsid w:val="70ABC0C1"/>
    <w:rsid w:val="70C15818"/>
    <w:rsid w:val="70C29045"/>
    <w:rsid w:val="70DB75BD"/>
    <w:rsid w:val="711C34C9"/>
    <w:rsid w:val="7125EFDA"/>
    <w:rsid w:val="712BF839"/>
    <w:rsid w:val="713DB856"/>
    <w:rsid w:val="7162854F"/>
    <w:rsid w:val="716A1045"/>
    <w:rsid w:val="71A00743"/>
    <w:rsid w:val="71E8C9F1"/>
    <w:rsid w:val="71F97A82"/>
    <w:rsid w:val="72091738"/>
    <w:rsid w:val="72479122"/>
    <w:rsid w:val="72584A5F"/>
    <w:rsid w:val="7260C537"/>
    <w:rsid w:val="728760DF"/>
    <w:rsid w:val="7290CA22"/>
    <w:rsid w:val="7323620F"/>
    <w:rsid w:val="733D661C"/>
    <w:rsid w:val="734982D6"/>
    <w:rsid w:val="7387CB0F"/>
    <w:rsid w:val="73897615"/>
    <w:rsid w:val="73FF5E00"/>
    <w:rsid w:val="741BE120"/>
    <w:rsid w:val="74665FF8"/>
    <w:rsid w:val="7485ECF3"/>
    <w:rsid w:val="752E2EF3"/>
    <w:rsid w:val="75311B44"/>
    <w:rsid w:val="7588F805"/>
    <w:rsid w:val="75AD1044"/>
    <w:rsid w:val="75AD3302"/>
    <w:rsid w:val="763538B3"/>
    <w:rsid w:val="76521F8F"/>
    <w:rsid w:val="765AB2F4"/>
    <w:rsid w:val="76E10189"/>
    <w:rsid w:val="7724C866"/>
    <w:rsid w:val="7796A07D"/>
    <w:rsid w:val="77C67E02"/>
    <w:rsid w:val="77CB9D2E"/>
    <w:rsid w:val="77DA0815"/>
    <w:rsid w:val="77ECC25C"/>
    <w:rsid w:val="77F1F61C"/>
    <w:rsid w:val="781DE613"/>
    <w:rsid w:val="78287124"/>
    <w:rsid w:val="7829F76C"/>
    <w:rsid w:val="7844E42D"/>
    <w:rsid w:val="7857E891"/>
    <w:rsid w:val="7880D477"/>
    <w:rsid w:val="788E537F"/>
    <w:rsid w:val="78976F6D"/>
    <w:rsid w:val="789A4D74"/>
    <w:rsid w:val="78CDBD43"/>
    <w:rsid w:val="78F7A576"/>
    <w:rsid w:val="790B0D4E"/>
    <w:rsid w:val="79127A63"/>
    <w:rsid w:val="7997D3DE"/>
    <w:rsid w:val="79D7E6AE"/>
    <w:rsid w:val="7A055A2C"/>
    <w:rsid w:val="7A0BB202"/>
    <w:rsid w:val="7AEDD59C"/>
    <w:rsid w:val="7B58FE37"/>
    <w:rsid w:val="7B598882"/>
    <w:rsid w:val="7B6172AF"/>
    <w:rsid w:val="7BE7962A"/>
    <w:rsid w:val="7C96D0D3"/>
    <w:rsid w:val="7CDBA2F9"/>
    <w:rsid w:val="7CE6B4E6"/>
    <w:rsid w:val="7D0845DF"/>
    <w:rsid w:val="7D426825"/>
    <w:rsid w:val="7D58626C"/>
    <w:rsid w:val="7D5B6597"/>
    <w:rsid w:val="7D82D911"/>
    <w:rsid w:val="7D892233"/>
    <w:rsid w:val="7F9C90CE"/>
    <w:rsid w:val="7FBBA22C"/>
    <w:rsid w:val="7FCDA90B"/>
    <w:rsid w:val="7FFFA8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288B"/>
  <w15:chartTrackingRefBased/>
  <w15:docId w15:val="{8BB5C0F6-0E26-4713-85C1-D180DB19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B7"/>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376960"/>
    <w:pPr>
      <w:spacing w:before="360"/>
      <w:jc w:val="center"/>
      <w:outlineLvl w:val="0"/>
    </w:pPr>
    <w:rPr>
      <w:sz w:val="36"/>
      <w:szCs w:val="36"/>
    </w:rPr>
  </w:style>
  <w:style w:type="paragraph" w:styleId="Heading2">
    <w:name w:val="heading 2"/>
    <w:basedOn w:val="Normal"/>
    <w:next w:val="Normal"/>
    <w:link w:val="Heading2Char"/>
    <w:uiPriority w:val="9"/>
    <w:unhideWhenUsed/>
    <w:qFormat/>
    <w:rsid w:val="00376960"/>
    <w:pPr>
      <w:spacing w:line="276" w:lineRule="auto"/>
      <w:outlineLvl w:val="1"/>
    </w:pPr>
    <w:rPr>
      <w:rFonts w:cstheme="minorHAnsi"/>
      <w:b/>
      <w:bCs/>
    </w:rPr>
  </w:style>
  <w:style w:type="paragraph" w:styleId="Heading3">
    <w:name w:val="heading 3"/>
    <w:basedOn w:val="Normal"/>
    <w:next w:val="Normal"/>
    <w:link w:val="Heading3Char"/>
    <w:uiPriority w:val="9"/>
    <w:unhideWhenUsed/>
    <w:qFormat/>
    <w:rsid w:val="00376960"/>
    <w:pPr>
      <w:spacing w:after="200" w:line="276" w:lineRule="auto"/>
      <w:outlineLvl w:val="2"/>
    </w:pPr>
    <w:rPr>
      <w:rFonts w:cstheme="minorHAnsi"/>
      <w:b/>
      <w:bCs/>
      <w:i/>
      <w:iCs/>
    </w:rPr>
  </w:style>
  <w:style w:type="paragraph" w:styleId="Heading6">
    <w:name w:val="heading 6"/>
    <w:basedOn w:val="Normal"/>
    <w:next w:val="Normal"/>
    <w:link w:val="Heading6Char"/>
    <w:uiPriority w:val="9"/>
    <w:unhideWhenUsed/>
    <w:qFormat/>
    <w:rsid w:val="00376960"/>
    <w:pPr>
      <w:outlineLvl w:val="5"/>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376960"/>
    <w:rPr>
      <w:rFonts w:eastAsia="Times New Roman" w:cstheme="minorHAnsi"/>
      <w:b/>
      <w:bCs/>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F0446"/>
    <w:pPr>
      <w:ind w:left="720"/>
      <w:contextualSpacing/>
    </w:pPr>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49ABA250"/>
  </w:style>
  <w:style w:type="character" w:customStyle="1" w:styleId="eop">
    <w:name w:val="eop"/>
    <w:basedOn w:val="DefaultParagraphFont"/>
    <w:rsid w:val="0057148C"/>
  </w:style>
  <w:style w:type="paragraph" w:customStyle="1" w:styleId="paragraph">
    <w:name w:val="paragraph"/>
    <w:basedOn w:val="Normal"/>
    <w:rsid w:val="00B43423"/>
    <w:pPr>
      <w:spacing w:before="100" w:beforeAutospacing="1" w:after="100" w:afterAutospacing="1"/>
    </w:pPr>
    <w:rPr>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4937"/>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D4937"/>
  </w:style>
  <w:style w:type="character" w:customStyle="1" w:styleId="Heading1Char">
    <w:name w:val="Heading 1 Char"/>
    <w:basedOn w:val="DefaultParagraphFont"/>
    <w:link w:val="Heading1"/>
    <w:uiPriority w:val="9"/>
    <w:rsid w:val="00376960"/>
    <w:rPr>
      <w:rFonts w:eastAsia="Times New Roman"/>
      <w:sz w:val="36"/>
      <w:szCs w:val="36"/>
    </w:rPr>
  </w:style>
  <w:style w:type="character" w:customStyle="1" w:styleId="Heading2Char">
    <w:name w:val="Heading 2 Char"/>
    <w:basedOn w:val="DefaultParagraphFont"/>
    <w:link w:val="Heading2"/>
    <w:uiPriority w:val="9"/>
    <w:rsid w:val="00376960"/>
    <w:rPr>
      <w:rFonts w:eastAsia="Times New Roman" w:cstheme="minorHAnsi"/>
      <w:b/>
      <w:bCs/>
      <w:sz w:val="24"/>
      <w:szCs w:val="24"/>
    </w:rPr>
  </w:style>
  <w:style w:type="character" w:customStyle="1" w:styleId="Heading3Char">
    <w:name w:val="Heading 3 Char"/>
    <w:basedOn w:val="DefaultParagraphFont"/>
    <w:link w:val="Heading3"/>
    <w:uiPriority w:val="9"/>
    <w:rsid w:val="00376960"/>
    <w:rPr>
      <w:rFonts w:eastAsia="Times New Roman" w:cstheme="minorHAnsi"/>
      <w:b/>
      <w:bCs/>
      <w:i/>
      <w:iCs/>
      <w:sz w:val="24"/>
      <w:szCs w:val="24"/>
    </w:rPr>
  </w:style>
  <w:style w:type="paragraph" w:styleId="TOCHeading">
    <w:name w:val="TOC Heading"/>
    <w:basedOn w:val="Heading1"/>
    <w:next w:val="Normal"/>
    <w:uiPriority w:val="39"/>
    <w:unhideWhenUsed/>
    <w:qFormat/>
    <w:rsid w:val="00460810"/>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D06C3"/>
    <w:pPr>
      <w:tabs>
        <w:tab w:val="right" w:leader="dot" w:pos="9016"/>
      </w:tabs>
      <w:spacing w:after="100"/>
    </w:pPr>
  </w:style>
  <w:style w:type="paragraph" w:styleId="TOC2">
    <w:name w:val="toc 2"/>
    <w:basedOn w:val="Normal"/>
    <w:next w:val="Normal"/>
    <w:autoRedefine/>
    <w:uiPriority w:val="39"/>
    <w:unhideWhenUsed/>
    <w:rsid w:val="00E52300"/>
    <w:pPr>
      <w:tabs>
        <w:tab w:val="right" w:leader="dot" w:pos="9015"/>
      </w:tabs>
      <w:spacing w:after="100"/>
      <w:ind w:left="240"/>
    </w:pPr>
  </w:style>
  <w:style w:type="paragraph" w:styleId="TOC3">
    <w:name w:val="toc 3"/>
    <w:basedOn w:val="Normal"/>
    <w:next w:val="Normal"/>
    <w:autoRedefine/>
    <w:uiPriority w:val="39"/>
    <w:unhideWhenUsed/>
    <w:rsid w:val="00460810"/>
    <w:pPr>
      <w:spacing w:after="100"/>
      <w:ind w:left="480"/>
    </w:pPr>
  </w:style>
  <w:style w:type="paragraph" w:styleId="Footer">
    <w:name w:val="footer"/>
    <w:basedOn w:val="Normal"/>
    <w:link w:val="FooterChar"/>
    <w:uiPriority w:val="99"/>
    <w:unhideWhenUsed/>
    <w:rsid w:val="00855030"/>
    <w:pPr>
      <w:tabs>
        <w:tab w:val="center" w:pos="4513"/>
        <w:tab w:val="right" w:pos="9026"/>
      </w:tabs>
    </w:pPr>
  </w:style>
  <w:style w:type="character" w:customStyle="1" w:styleId="FooterChar">
    <w:name w:val="Footer Char"/>
    <w:basedOn w:val="DefaultParagraphFont"/>
    <w:link w:val="Footer"/>
    <w:uiPriority w:val="99"/>
    <w:rsid w:val="00855030"/>
    <w:rPr>
      <w:rFonts w:eastAsia="Times New Roman"/>
      <w:sz w:val="24"/>
      <w:szCs w:val="24"/>
    </w:rPr>
  </w:style>
  <w:style w:type="paragraph" w:styleId="FootnoteText">
    <w:name w:val="footnote text"/>
    <w:basedOn w:val="Normal"/>
    <w:link w:val="FootnoteTextChar"/>
    <w:uiPriority w:val="99"/>
    <w:unhideWhenUsed/>
    <w:rsid w:val="00873910"/>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873910"/>
    <w:rPr>
      <w:rFonts w:ascii="Calibri" w:hAnsi="Calibri" w:cs="Calibri"/>
      <w:sz w:val="20"/>
      <w:szCs w:val="20"/>
    </w:rPr>
  </w:style>
  <w:style w:type="character" w:styleId="FootnoteReference">
    <w:name w:val="footnote reference"/>
    <w:aliases w:val="fr"/>
    <w:basedOn w:val="DefaultParagraphFont"/>
    <w:uiPriority w:val="99"/>
    <w:unhideWhenUsed/>
    <w:rsid w:val="00873910"/>
    <w:rPr>
      <w:vertAlign w:val="superscript"/>
    </w:rPr>
  </w:style>
  <w:style w:type="paragraph" w:styleId="Revision">
    <w:name w:val="Revision"/>
    <w:hidden/>
    <w:uiPriority w:val="99"/>
    <w:semiHidden/>
    <w:rsid w:val="00D873C9"/>
    <w:pPr>
      <w:spacing w:after="0" w:line="240" w:lineRule="auto"/>
    </w:pPr>
    <w:rPr>
      <w:rFonts w:eastAsia="Times New Roman"/>
      <w:sz w:val="24"/>
      <w:szCs w:val="24"/>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7FE2"/>
    <w:rPr>
      <w:b/>
      <w:bCs/>
    </w:rPr>
  </w:style>
  <w:style w:type="character" w:customStyle="1" w:styleId="CommentSubjectChar">
    <w:name w:val="Comment Subject Char"/>
    <w:basedOn w:val="CommentTextChar"/>
    <w:link w:val="CommentSubject"/>
    <w:uiPriority w:val="99"/>
    <w:semiHidden/>
    <w:rsid w:val="00487FE2"/>
    <w:rPr>
      <w:rFonts w:eastAsia="Times New Roman"/>
      <w:b/>
      <w:bCs/>
      <w:sz w:val="20"/>
      <w:szCs w:val="20"/>
    </w:rPr>
  </w:style>
  <w:style w:type="character" w:customStyle="1" w:styleId="UnresolvedMention1">
    <w:name w:val="Unresolved Mention1"/>
    <w:basedOn w:val="DefaultParagraphFont"/>
    <w:uiPriority w:val="99"/>
    <w:rsid w:val="00E27B45"/>
    <w:rPr>
      <w:color w:val="605E5C"/>
      <w:shd w:val="clear" w:color="auto" w:fill="E1DFDD"/>
    </w:rPr>
  </w:style>
  <w:style w:type="paragraph" w:styleId="NormalWeb">
    <w:name w:val="Normal (Web)"/>
    <w:basedOn w:val="Normal"/>
    <w:uiPriority w:val="99"/>
    <w:unhideWhenUsed/>
    <w:rsid w:val="00FE02FA"/>
    <w:pPr>
      <w:spacing w:before="100" w:beforeAutospacing="1" w:after="100" w:afterAutospacing="1"/>
    </w:pPr>
    <w:rPr>
      <w:rFonts w:ascii="Times New Roman" w:hAnsi="Times New Roman" w:cs="Times New Roman"/>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444EE"/>
    <w:rPr>
      <w:rFonts w:eastAsia="Times New Roman"/>
      <w:sz w:val="20"/>
      <w:szCs w:val="20"/>
    </w:rPr>
  </w:style>
  <w:style w:type="character" w:customStyle="1" w:styleId="author-d-1gg9uz65z1iz85zgdz68zmqkz84zo2qowz81zriz80zsz77znz78zquxlmz87zbz78z7z122zz74zz76zz81zyxhz90zz89zz87zz84zgz88zz68z">
    <w:name w:val="author-d-1gg9uz65z1iz85zgdz68zmqkz84zo2qowz81zriz80zsz77znz78zquxlmz87zbz78z7z122zz74zz76zz81zyxhz90zz89zz87zz84zgz88zz68z"/>
    <w:basedOn w:val="DefaultParagraphFont"/>
    <w:rsid w:val="00D31D3E"/>
  </w:style>
  <w:style w:type="character" w:styleId="LineNumber">
    <w:name w:val="line number"/>
    <w:basedOn w:val="DefaultParagraphFont"/>
    <w:uiPriority w:val="99"/>
    <w:semiHidden/>
    <w:unhideWhenUsed/>
    <w:rsid w:val="00204A4D"/>
  </w:style>
  <w:style w:type="character" w:styleId="Emphasis">
    <w:name w:val="Emphasis"/>
    <w:basedOn w:val="DefaultParagraphFont"/>
    <w:uiPriority w:val="20"/>
    <w:qFormat/>
    <w:rsid w:val="00400E07"/>
    <w:rPr>
      <w:i/>
      <w:iCs/>
    </w:rPr>
  </w:style>
  <w:style w:type="character" w:styleId="Strong">
    <w:name w:val="Strong"/>
    <w:basedOn w:val="DefaultParagraphFont"/>
    <w:uiPriority w:val="22"/>
    <w:qFormat/>
    <w:rsid w:val="006041E5"/>
    <w:rPr>
      <w:b/>
      <w:bCs/>
    </w:rPr>
  </w:style>
  <w:style w:type="paragraph" w:customStyle="1" w:styleId="null">
    <w:name w:val="null"/>
    <w:basedOn w:val="Normal"/>
    <w:rsid w:val="00506AAF"/>
    <w:pPr>
      <w:spacing w:before="100" w:beforeAutospacing="1" w:after="100" w:afterAutospacing="1"/>
    </w:pPr>
    <w:rPr>
      <w:rFonts w:ascii="Calibri" w:eastAsiaTheme="minorHAnsi" w:hAnsi="Calibri" w:cs="Calibri"/>
      <w:sz w:val="22"/>
      <w:szCs w:val="22"/>
      <w:lang w:eastAsia="en-AU"/>
    </w:rPr>
  </w:style>
  <w:style w:type="character" w:customStyle="1" w:styleId="cf01">
    <w:name w:val="cf01"/>
    <w:basedOn w:val="DefaultParagraphFont"/>
    <w:rsid w:val="00057137"/>
    <w:rPr>
      <w:rFonts w:ascii="Segoe UI" w:hAnsi="Segoe UI" w:cs="Segoe UI" w:hint="default"/>
      <w:sz w:val="18"/>
      <w:szCs w:val="18"/>
    </w:rPr>
  </w:style>
  <w:style w:type="character" w:styleId="FollowedHyperlink">
    <w:name w:val="FollowedHyperlink"/>
    <w:basedOn w:val="DefaultParagraphFont"/>
    <w:uiPriority w:val="99"/>
    <w:semiHidden/>
    <w:unhideWhenUsed/>
    <w:rsid w:val="009A0EDE"/>
    <w:rPr>
      <w:color w:val="800080" w:themeColor="followedHyperlink"/>
      <w:u w:val="single"/>
    </w:rPr>
  </w:style>
  <w:style w:type="paragraph" w:styleId="BalloonText">
    <w:name w:val="Balloon Text"/>
    <w:basedOn w:val="Normal"/>
    <w:link w:val="BalloonTextChar"/>
    <w:uiPriority w:val="99"/>
    <w:semiHidden/>
    <w:unhideWhenUsed/>
    <w:rsid w:val="008E0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86"/>
    <w:rPr>
      <w:rFonts w:ascii="Segoe UI" w:eastAsia="Times New Roman" w:hAnsi="Segoe UI" w:cs="Segoe UI"/>
      <w:sz w:val="18"/>
      <w:szCs w:val="18"/>
    </w:rPr>
  </w:style>
  <w:style w:type="paragraph" w:customStyle="1" w:styleId="pf0">
    <w:name w:val="pf0"/>
    <w:basedOn w:val="Normal"/>
    <w:rsid w:val="001C4790"/>
    <w:pPr>
      <w:spacing w:before="100" w:beforeAutospacing="1" w:after="100" w:afterAutospacing="1"/>
    </w:pPr>
    <w:rPr>
      <w:rFonts w:ascii="Times New Roman" w:hAnsi="Times New Roman" w:cs="Times New Roman"/>
      <w:lang w:eastAsia="en-AU"/>
    </w:rPr>
  </w:style>
  <w:style w:type="character" w:customStyle="1" w:styleId="UnresolvedMention2">
    <w:name w:val="Unresolved Mention2"/>
    <w:basedOn w:val="DefaultParagraphFont"/>
    <w:uiPriority w:val="99"/>
    <w:semiHidden/>
    <w:unhideWhenUsed/>
    <w:rsid w:val="008B4D9F"/>
    <w:rPr>
      <w:color w:val="605E5C"/>
      <w:shd w:val="clear" w:color="auto" w:fill="E1DFDD"/>
    </w:rPr>
  </w:style>
  <w:style w:type="paragraph" w:customStyle="1" w:styleId="CAB-NumberedParagraph">
    <w:name w:val="CAB - Numbered Paragraph"/>
    <w:basedOn w:val="Normal"/>
    <w:uiPriority w:val="98"/>
    <w:rsid w:val="00855E42"/>
    <w:pPr>
      <w:spacing w:before="120" w:after="120"/>
      <w:ind w:left="567" w:hanging="567"/>
    </w:pPr>
    <w:rPr>
      <w:rFonts w:ascii="Arial" w:eastAsiaTheme="minorHAnsi" w:hAnsi="Arial"/>
      <w:sz w:val="22"/>
      <w:szCs w:val="22"/>
    </w:rPr>
  </w:style>
  <w:style w:type="paragraph" w:customStyle="1" w:styleId="CABNETParagraph">
    <w:name w:val="CABNET Paragraph."/>
    <w:basedOn w:val="Normal"/>
    <w:link w:val="CABNETParagraphChar"/>
    <w:uiPriority w:val="98"/>
    <w:qFormat/>
    <w:rsid w:val="00855E42"/>
    <w:pPr>
      <w:spacing w:before="120" w:after="120"/>
    </w:pPr>
    <w:rPr>
      <w:rFonts w:ascii="Arial" w:eastAsiaTheme="minorHAnsi" w:hAnsi="Arial" w:cstheme="minorHAnsi"/>
      <w:sz w:val="22"/>
      <w:szCs w:val="22"/>
    </w:rPr>
  </w:style>
  <w:style w:type="character" w:customStyle="1" w:styleId="CABNETParagraphChar">
    <w:name w:val="CABNET Paragraph. Char"/>
    <w:basedOn w:val="DefaultParagraphFont"/>
    <w:link w:val="CABNETParagraph"/>
    <w:uiPriority w:val="98"/>
    <w:rsid w:val="00855E42"/>
    <w:rPr>
      <w:rFonts w:ascii="Arial" w:hAnsi="Arial" w:cstheme="minorHAnsi"/>
    </w:rPr>
  </w:style>
  <w:style w:type="paragraph" w:customStyle="1" w:styleId="CABParagraph">
    <w:name w:val="CAB Paragraph"/>
    <w:basedOn w:val="BodyText"/>
    <w:link w:val="CABParagraphChar"/>
    <w:uiPriority w:val="98"/>
    <w:qFormat/>
    <w:rsid w:val="00825BAD"/>
    <w:pPr>
      <w:spacing w:before="120" w:after="0"/>
    </w:pPr>
    <w:rPr>
      <w:rFonts w:ascii="Arial" w:eastAsiaTheme="minorHAnsi" w:hAnsi="Arial"/>
      <w:sz w:val="22"/>
      <w:szCs w:val="22"/>
    </w:rPr>
  </w:style>
  <w:style w:type="character" w:customStyle="1" w:styleId="CABParagraphChar">
    <w:name w:val="CAB Paragraph Char"/>
    <w:basedOn w:val="DefaultParagraphFont"/>
    <w:link w:val="CABParagraph"/>
    <w:uiPriority w:val="98"/>
    <w:rsid w:val="00825BAD"/>
    <w:rPr>
      <w:rFonts w:ascii="Arial" w:hAnsi="Arial"/>
    </w:rPr>
  </w:style>
  <w:style w:type="paragraph" w:styleId="BodyText">
    <w:name w:val="Body Text"/>
    <w:basedOn w:val="Normal"/>
    <w:link w:val="BodyTextChar"/>
    <w:uiPriority w:val="99"/>
    <w:semiHidden/>
    <w:unhideWhenUsed/>
    <w:rsid w:val="00825BAD"/>
    <w:pPr>
      <w:spacing w:after="120"/>
    </w:pPr>
  </w:style>
  <w:style w:type="character" w:customStyle="1" w:styleId="BodyTextChar">
    <w:name w:val="Body Text Char"/>
    <w:basedOn w:val="DefaultParagraphFont"/>
    <w:link w:val="BodyText"/>
    <w:uiPriority w:val="99"/>
    <w:semiHidden/>
    <w:rsid w:val="00825BAD"/>
    <w:rPr>
      <w:rFonts w:eastAsia="Times New Roman"/>
      <w:sz w:val="24"/>
      <w:szCs w:val="24"/>
    </w:rPr>
  </w:style>
  <w:style w:type="character" w:styleId="UnresolvedMention">
    <w:name w:val="Unresolved Mention"/>
    <w:basedOn w:val="DefaultParagraphFont"/>
    <w:uiPriority w:val="99"/>
    <w:semiHidden/>
    <w:unhideWhenUsed/>
    <w:rsid w:val="004F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1124">
      <w:bodyDiv w:val="1"/>
      <w:marLeft w:val="0"/>
      <w:marRight w:val="0"/>
      <w:marTop w:val="0"/>
      <w:marBottom w:val="0"/>
      <w:divBdr>
        <w:top w:val="none" w:sz="0" w:space="0" w:color="auto"/>
        <w:left w:val="none" w:sz="0" w:space="0" w:color="auto"/>
        <w:bottom w:val="none" w:sz="0" w:space="0" w:color="auto"/>
        <w:right w:val="none" w:sz="0" w:space="0" w:color="auto"/>
      </w:divBdr>
    </w:div>
    <w:div w:id="83695923">
      <w:bodyDiv w:val="1"/>
      <w:marLeft w:val="0"/>
      <w:marRight w:val="0"/>
      <w:marTop w:val="0"/>
      <w:marBottom w:val="0"/>
      <w:divBdr>
        <w:top w:val="none" w:sz="0" w:space="0" w:color="auto"/>
        <w:left w:val="none" w:sz="0" w:space="0" w:color="auto"/>
        <w:bottom w:val="none" w:sz="0" w:space="0" w:color="auto"/>
        <w:right w:val="none" w:sz="0" w:space="0" w:color="auto"/>
      </w:divBdr>
    </w:div>
    <w:div w:id="86124884">
      <w:bodyDiv w:val="1"/>
      <w:marLeft w:val="0"/>
      <w:marRight w:val="0"/>
      <w:marTop w:val="0"/>
      <w:marBottom w:val="0"/>
      <w:divBdr>
        <w:top w:val="none" w:sz="0" w:space="0" w:color="auto"/>
        <w:left w:val="none" w:sz="0" w:space="0" w:color="auto"/>
        <w:bottom w:val="none" w:sz="0" w:space="0" w:color="auto"/>
        <w:right w:val="none" w:sz="0" w:space="0" w:color="auto"/>
      </w:divBdr>
    </w:div>
    <w:div w:id="122500664">
      <w:bodyDiv w:val="1"/>
      <w:marLeft w:val="0"/>
      <w:marRight w:val="0"/>
      <w:marTop w:val="0"/>
      <w:marBottom w:val="0"/>
      <w:divBdr>
        <w:top w:val="none" w:sz="0" w:space="0" w:color="auto"/>
        <w:left w:val="none" w:sz="0" w:space="0" w:color="auto"/>
        <w:bottom w:val="none" w:sz="0" w:space="0" w:color="auto"/>
        <w:right w:val="none" w:sz="0" w:space="0" w:color="auto"/>
      </w:divBdr>
    </w:div>
    <w:div w:id="135336847">
      <w:bodyDiv w:val="1"/>
      <w:marLeft w:val="0"/>
      <w:marRight w:val="0"/>
      <w:marTop w:val="0"/>
      <w:marBottom w:val="0"/>
      <w:divBdr>
        <w:top w:val="none" w:sz="0" w:space="0" w:color="auto"/>
        <w:left w:val="none" w:sz="0" w:space="0" w:color="auto"/>
        <w:bottom w:val="none" w:sz="0" w:space="0" w:color="auto"/>
        <w:right w:val="none" w:sz="0" w:space="0" w:color="auto"/>
      </w:divBdr>
    </w:div>
    <w:div w:id="138770318">
      <w:bodyDiv w:val="1"/>
      <w:marLeft w:val="0"/>
      <w:marRight w:val="0"/>
      <w:marTop w:val="0"/>
      <w:marBottom w:val="0"/>
      <w:divBdr>
        <w:top w:val="none" w:sz="0" w:space="0" w:color="auto"/>
        <w:left w:val="none" w:sz="0" w:space="0" w:color="auto"/>
        <w:bottom w:val="none" w:sz="0" w:space="0" w:color="auto"/>
        <w:right w:val="none" w:sz="0" w:space="0" w:color="auto"/>
      </w:divBdr>
    </w:div>
    <w:div w:id="208108331">
      <w:bodyDiv w:val="1"/>
      <w:marLeft w:val="0"/>
      <w:marRight w:val="0"/>
      <w:marTop w:val="0"/>
      <w:marBottom w:val="0"/>
      <w:divBdr>
        <w:top w:val="none" w:sz="0" w:space="0" w:color="auto"/>
        <w:left w:val="none" w:sz="0" w:space="0" w:color="auto"/>
        <w:bottom w:val="none" w:sz="0" w:space="0" w:color="auto"/>
        <w:right w:val="none" w:sz="0" w:space="0" w:color="auto"/>
      </w:divBdr>
    </w:div>
    <w:div w:id="222183462">
      <w:bodyDiv w:val="1"/>
      <w:marLeft w:val="0"/>
      <w:marRight w:val="0"/>
      <w:marTop w:val="0"/>
      <w:marBottom w:val="0"/>
      <w:divBdr>
        <w:top w:val="none" w:sz="0" w:space="0" w:color="auto"/>
        <w:left w:val="none" w:sz="0" w:space="0" w:color="auto"/>
        <w:bottom w:val="none" w:sz="0" w:space="0" w:color="auto"/>
        <w:right w:val="none" w:sz="0" w:space="0" w:color="auto"/>
      </w:divBdr>
    </w:div>
    <w:div w:id="265507371">
      <w:bodyDiv w:val="1"/>
      <w:marLeft w:val="0"/>
      <w:marRight w:val="0"/>
      <w:marTop w:val="0"/>
      <w:marBottom w:val="0"/>
      <w:divBdr>
        <w:top w:val="none" w:sz="0" w:space="0" w:color="auto"/>
        <w:left w:val="none" w:sz="0" w:space="0" w:color="auto"/>
        <w:bottom w:val="none" w:sz="0" w:space="0" w:color="auto"/>
        <w:right w:val="none" w:sz="0" w:space="0" w:color="auto"/>
      </w:divBdr>
    </w:div>
    <w:div w:id="279459108">
      <w:bodyDiv w:val="1"/>
      <w:marLeft w:val="0"/>
      <w:marRight w:val="0"/>
      <w:marTop w:val="0"/>
      <w:marBottom w:val="0"/>
      <w:divBdr>
        <w:top w:val="none" w:sz="0" w:space="0" w:color="auto"/>
        <w:left w:val="none" w:sz="0" w:space="0" w:color="auto"/>
        <w:bottom w:val="none" w:sz="0" w:space="0" w:color="auto"/>
        <w:right w:val="none" w:sz="0" w:space="0" w:color="auto"/>
      </w:divBdr>
    </w:div>
    <w:div w:id="348337644">
      <w:bodyDiv w:val="1"/>
      <w:marLeft w:val="0"/>
      <w:marRight w:val="0"/>
      <w:marTop w:val="0"/>
      <w:marBottom w:val="0"/>
      <w:divBdr>
        <w:top w:val="none" w:sz="0" w:space="0" w:color="auto"/>
        <w:left w:val="none" w:sz="0" w:space="0" w:color="auto"/>
        <w:bottom w:val="none" w:sz="0" w:space="0" w:color="auto"/>
        <w:right w:val="none" w:sz="0" w:space="0" w:color="auto"/>
      </w:divBdr>
    </w:div>
    <w:div w:id="372968000">
      <w:bodyDiv w:val="1"/>
      <w:marLeft w:val="0"/>
      <w:marRight w:val="0"/>
      <w:marTop w:val="0"/>
      <w:marBottom w:val="0"/>
      <w:divBdr>
        <w:top w:val="none" w:sz="0" w:space="0" w:color="auto"/>
        <w:left w:val="none" w:sz="0" w:space="0" w:color="auto"/>
        <w:bottom w:val="none" w:sz="0" w:space="0" w:color="auto"/>
        <w:right w:val="none" w:sz="0" w:space="0" w:color="auto"/>
      </w:divBdr>
    </w:div>
    <w:div w:id="491414697">
      <w:bodyDiv w:val="1"/>
      <w:marLeft w:val="0"/>
      <w:marRight w:val="0"/>
      <w:marTop w:val="0"/>
      <w:marBottom w:val="0"/>
      <w:divBdr>
        <w:top w:val="none" w:sz="0" w:space="0" w:color="auto"/>
        <w:left w:val="none" w:sz="0" w:space="0" w:color="auto"/>
        <w:bottom w:val="none" w:sz="0" w:space="0" w:color="auto"/>
        <w:right w:val="none" w:sz="0" w:space="0" w:color="auto"/>
      </w:divBdr>
      <w:divsChild>
        <w:div w:id="68698711">
          <w:marLeft w:val="0"/>
          <w:marRight w:val="0"/>
          <w:marTop w:val="0"/>
          <w:marBottom w:val="0"/>
          <w:divBdr>
            <w:top w:val="none" w:sz="0" w:space="0" w:color="auto"/>
            <w:left w:val="none" w:sz="0" w:space="0" w:color="auto"/>
            <w:bottom w:val="none" w:sz="0" w:space="0" w:color="auto"/>
            <w:right w:val="none" w:sz="0" w:space="0" w:color="auto"/>
          </w:divBdr>
        </w:div>
        <w:div w:id="123157152">
          <w:marLeft w:val="0"/>
          <w:marRight w:val="0"/>
          <w:marTop w:val="0"/>
          <w:marBottom w:val="0"/>
          <w:divBdr>
            <w:top w:val="none" w:sz="0" w:space="0" w:color="auto"/>
            <w:left w:val="none" w:sz="0" w:space="0" w:color="auto"/>
            <w:bottom w:val="none" w:sz="0" w:space="0" w:color="auto"/>
            <w:right w:val="none" w:sz="0" w:space="0" w:color="auto"/>
          </w:divBdr>
        </w:div>
        <w:div w:id="535042716">
          <w:marLeft w:val="0"/>
          <w:marRight w:val="0"/>
          <w:marTop w:val="0"/>
          <w:marBottom w:val="0"/>
          <w:divBdr>
            <w:top w:val="none" w:sz="0" w:space="0" w:color="auto"/>
            <w:left w:val="none" w:sz="0" w:space="0" w:color="auto"/>
            <w:bottom w:val="none" w:sz="0" w:space="0" w:color="auto"/>
            <w:right w:val="none" w:sz="0" w:space="0" w:color="auto"/>
          </w:divBdr>
        </w:div>
        <w:div w:id="1825122073">
          <w:marLeft w:val="0"/>
          <w:marRight w:val="0"/>
          <w:marTop w:val="0"/>
          <w:marBottom w:val="0"/>
          <w:divBdr>
            <w:top w:val="none" w:sz="0" w:space="0" w:color="auto"/>
            <w:left w:val="none" w:sz="0" w:space="0" w:color="auto"/>
            <w:bottom w:val="none" w:sz="0" w:space="0" w:color="auto"/>
            <w:right w:val="none" w:sz="0" w:space="0" w:color="auto"/>
          </w:divBdr>
        </w:div>
      </w:divsChild>
    </w:div>
    <w:div w:id="504246608">
      <w:bodyDiv w:val="1"/>
      <w:marLeft w:val="0"/>
      <w:marRight w:val="0"/>
      <w:marTop w:val="0"/>
      <w:marBottom w:val="0"/>
      <w:divBdr>
        <w:top w:val="none" w:sz="0" w:space="0" w:color="auto"/>
        <w:left w:val="none" w:sz="0" w:space="0" w:color="auto"/>
        <w:bottom w:val="none" w:sz="0" w:space="0" w:color="auto"/>
        <w:right w:val="none" w:sz="0" w:space="0" w:color="auto"/>
      </w:divBdr>
    </w:div>
    <w:div w:id="505946122">
      <w:bodyDiv w:val="1"/>
      <w:marLeft w:val="0"/>
      <w:marRight w:val="0"/>
      <w:marTop w:val="0"/>
      <w:marBottom w:val="0"/>
      <w:divBdr>
        <w:top w:val="none" w:sz="0" w:space="0" w:color="auto"/>
        <w:left w:val="none" w:sz="0" w:space="0" w:color="auto"/>
        <w:bottom w:val="none" w:sz="0" w:space="0" w:color="auto"/>
        <w:right w:val="none" w:sz="0" w:space="0" w:color="auto"/>
      </w:divBdr>
    </w:div>
    <w:div w:id="535002314">
      <w:bodyDiv w:val="1"/>
      <w:marLeft w:val="0"/>
      <w:marRight w:val="0"/>
      <w:marTop w:val="0"/>
      <w:marBottom w:val="0"/>
      <w:divBdr>
        <w:top w:val="none" w:sz="0" w:space="0" w:color="auto"/>
        <w:left w:val="none" w:sz="0" w:space="0" w:color="auto"/>
        <w:bottom w:val="none" w:sz="0" w:space="0" w:color="auto"/>
        <w:right w:val="none" w:sz="0" w:space="0" w:color="auto"/>
      </w:divBdr>
    </w:div>
    <w:div w:id="540023330">
      <w:bodyDiv w:val="1"/>
      <w:marLeft w:val="0"/>
      <w:marRight w:val="0"/>
      <w:marTop w:val="0"/>
      <w:marBottom w:val="0"/>
      <w:divBdr>
        <w:top w:val="none" w:sz="0" w:space="0" w:color="auto"/>
        <w:left w:val="none" w:sz="0" w:space="0" w:color="auto"/>
        <w:bottom w:val="none" w:sz="0" w:space="0" w:color="auto"/>
        <w:right w:val="none" w:sz="0" w:space="0" w:color="auto"/>
      </w:divBdr>
    </w:div>
    <w:div w:id="547911253">
      <w:bodyDiv w:val="1"/>
      <w:marLeft w:val="0"/>
      <w:marRight w:val="0"/>
      <w:marTop w:val="0"/>
      <w:marBottom w:val="0"/>
      <w:divBdr>
        <w:top w:val="none" w:sz="0" w:space="0" w:color="auto"/>
        <w:left w:val="none" w:sz="0" w:space="0" w:color="auto"/>
        <w:bottom w:val="none" w:sz="0" w:space="0" w:color="auto"/>
        <w:right w:val="none" w:sz="0" w:space="0" w:color="auto"/>
      </w:divBdr>
    </w:div>
    <w:div w:id="555361972">
      <w:bodyDiv w:val="1"/>
      <w:marLeft w:val="0"/>
      <w:marRight w:val="0"/>
      <w:marTop w:val="0"/>
      <w:marBottom w:val="0"/>
      <w:divBdr>
        <w:top w:val="none" w:sz="0" w:space="0" w:color="auto"/>
        <w:left w:val="none" w:sz="0" w:space="0" w:color="auto"/>
        <w:bottom w:val="none" w:sz="0" w:space="0" w:color="auto"/>
        <w:right w:val="none" w:sz="0" w:space="0" w:color="auto"/>
      </w:divBdr>
    </w:div>
    <w:div w:id="593241636">
      <w:bodyDiv w:val="1"/>
      <w:marLeft w:val="0"/>
      <w:marRight w:val="0"/>
      <w:marTop w:val="0"/>
      <w:marBottom w:val="0"/>
      <w:divBdr>
        <w:top w:val="none" w:sz="0" w:space="0" w:color="auto"/>
        <w:left w:val="none" w:sz="0" w:space="0" w:color="auto"/>
        <w:bottom w:val="none" w:sz="0" w:space="0" w:color="auto"/>
        <w:right w:val="none" w:sz="0" w:space="0" w:color="auto"/>
      </w:divBdr>
    </w:div>
    <w:div w:id="621807795">
      <w:bodyDiv w:val="1"/>
      <w:marLeft w:val="0"/>
      <w:marRight w:val="0"/>
      <w:marTop w:val="0"/>
      <w:marBottom w:val="0"/>
      <w:divBdr>
        <w:top w:val="none" w:sz="0" w:space="0" w:color="auto"/>
        <w:left w:val="none" w:sz="0" w:space="0" w:color="auto"/>
        <w:bottom w:val="none" w:sz="0" w:space="0" w:color="auto"/>
        <w:right w:val="none" w:sz="0" w:space="0" w:color="auto"/>
      </w:divBdr>
    </w:div>
    <w:div w:id="627585419">
      <w:bodyDiv w:val="1"/>
      <w:marLeft w:val="0"/>
      <w:marRight w:val="0"/>
      <w:marTop w:val="0"/>
      <w:marBottom w:val="0"/>
      <w:divBdr>
        <w:top w:val="none" w:sz="0" w:space="0" w:color="auto"/>
        <w:left w:val="none" w:sz="0" w:space="0" w:color="auto"/>
        <w:bottom w:val="none" w:sz="0" w:space="0" w:color="auto"/>
        <w:right w:val="none" w:sz="0" w:space="0" w:color="auto"/>
      </w:divBdr>
    </w:div>
    <w:div w:id="631910876">
      <w:bodyDiv w:val="1"/>
      <w:marLeft w:val="0"/>
      <w:marRight w:val="0"/>
      <w:marTop w:val="0"/>
      <w:marBottom w:val="0"/>
      <w:divBdr>
        <w:top w:val="none" w:sz="0" w:space="0" w:color="auto"/>
        <w:left w:val="none" w:sz="0" w:space="0" w:color="auto"/>
        <w:bottom w:val="none" w:sz="0" w:space="0" w:color="auto"/>
        <w:right w:val="none" w:sz="0" w:space="0" w:color="auto"/>
      </w:divBdr>
      <w:divsChild>
        <w:div w:id="812060727">
          <w:marLeft w:val="0"/>
          <w:marRight w:val="0"/>
          <w:marTop w:val="0"/>
          <w:marBottom w:val="0"/>
          <w:divBdr>
            <w:top w:val="none" w:sz="0" w:space="0" w:color="auto"/>
            <w:left w:val="none" w:sz="0" w:space="0" w:color="auto"/>
            <w:bottom w:val="none" w:sz="0" w:space="0" w:color="auto"/>
            <w:right w:val="none" w:sz="0" w:space="0" w:color="auto"/>
          </w:divBdr>
        </w:div>
        <w:div w:id="1774202291">
          <w:marLeft w:val="0"/>
          <w:marRight w:val="0"/>
          <w:marTop w:val="0"/>
          <w:marBottom w:val="0"/>
          <w:divBdr>
            <w:top w:val="none" w:sz="0" w:space="0" w:color="auto"/>
            <w:left w:val="none" w:sz="0" w:space="0" w:color="auto"/>
            <w:bottom w:val="none" w:sz="0" w:space="0" w:color="auto"/>
            <w:right w:val="none" w:sz="0" w:space="0" w:color="auto"/>
          </w:divBdr>
        </w:div>
      </w:divsChild>
    </w:div>
    <w:div w:id="637540065">
      <w:bodyDiv w:val="1"/>
      <w:marLeft w:val="0"/>
      <w:marRight w:val="0"/>
      <w:marTop w:val="0"/>
      <w:marBottom w:val="0"/>
      <w:divBdr>
        <w:top w:val="none" w:sz="0" w:space="0" w:color="auto"/>
        <w:left w:val="none" w:sz="0" w:space="0" w:color="auto"/>
        <w:bottom w:val="none" w:sz="0" w:space="0" w:color="auto"/>
        <w:right w:val="none" w:sz="0" w:space="0" w:color="auto"/>
      </w:divBdr>
    </w:div>
    <w:div w:id="641498921">
      <w:bodyDiv w:val="1"/>
      <w:marLeft w:val="0"/>
      <w:marRight w:val="0"/>
      <w:marTop w:val="0"/>
      <w:marBottom w:val="0"/>
      <w:divBdr>
        <w:top w:val="none" w:sz="0" w:space="0" w:color="auto"/>
        <w:left w:val="none" w:sz="0" w:space="0" w:color="auto"/>
        <w:bottom w:val="none" w:sz="0" w:space="0" w:color="auto"/>
        <w:right w:val="none" w:sz="0" w:space="0" w:color="auto"/>
      </w:divBdr>
    </w:div>
    <w:div w:id="690498777">
      <w:bodyDiv w:val="1"/>
      <w:marLeft w:val="0"/>
      <w:marRight w:val="0"/>
      <w:marTop w:val="0"/>
      <w:marBottom w:val="0"/>
      <w:divBdr>
        <w:top w:val="none" w:sz="0" w:space="0" w:color="auto"/>
        <w:left w:val="none" w:sz="0" w:space="0" w:color="auto"/>
        <w:bottom w:val="none" w:sz="0" w:space="0" w:color="auto"/>
        <w:right w:val="none" w:sz="0" w:space="0" w:color="auto"/>
      </w:divBdr>
    </w:div>
    <w:div w:id="697195442">
      <w:bodyDiv w:val="1"/>
      <w:marLeft w:val="0"/>
      <w:marRight w:val="0"/>
      <w:marTop w:val="0"/>
      <w:marBottom w:val="0"/>
      <w:divBdr>
        <w:top w:val="none" w:sz="0" w:space="0" w:color="auto"/>
        <w:left w:val="none" w:sz="0" w:space="0" w:color="auto"/>
        <w:bottom w:val="none" w:sz="0" w:space="0" w:color="auto"/>
        <w:right w:val="none" w:sz="0" w:space="0" w:color="auto"/>
      </w:divBdr>
    </w:div>
    <w:div w:id="709770094">
      <w:bodyDiv w:val="1"/>
      <w:marLeft w:val="0"/>
      <w:marRight w:val="0"/>
      <w:marTop w:val="0"/>
      <w:marBottom w:val="0"/>
      <w:divBdr>
        <w:top w:val="none" w:sz="0" w:space="0" w:color="auto"/>
        <w:left w:val="none" w:sz="0" w:space="0" w:color="auto"/>
        <w:bottom w:val="none" w:sz="0" w:space="0" w:color="auto"/>
        <w:right w:val="none" w:sz="0" w:space="0" w:color="auto"/>
      </w:divBdr>
    </w:div>
    <w:div w:id="725758290">
      <w:bodyDiv w:val="1"/>
      <w:marLeft w:val="0"/>
      <w:marRight w:val="0"/>
      <w:marTop w:val="0"/>
      <w:marBottom w:val="0"/>
      <w:divBdr>
        <w:top w:val="none" w:sz="0" w:space="0" w:color="auto"/>
        <w:left w:val="none" w:sz="0" w:space="0" w:color="auto"/>
        <w:bottom w:val="none" w:sz="0" w:space="0" w:color="auto"/>
        <w:right w:val="none" w:sz="0" w:space="0" w:color="auto"/>
      </w:divBdr>
    </w:div>
    <w:div w:id="728501337">
      <w:bodyDiv w:val="1"/>
      <w:marLeft w:val="0"/>
      <w:marRight w:val="0"/>
      <w:marTop w:val="0"/>
      <w:marBottom w:val="0"/>
      <w:divBdr>
        <w:top w:val="none" w:sz="0" w:space="0" w:color="auto"/>
        <w:left w:val="none" w:sz="0" w:space="0" w:color="auto"/>
        <w:bottom w:val="none" w:sz="0" w:space="0" w:color="auto"/>
        <w:right w:val="none" w:sz="0" w:space="0" w:color="auto"/>
      </w:divBdr>
      <w:divsChild>
        <w:div w:id="752242922">
          <w:marLeft w:val="0"/>
          <w:marRight w:val="0"/>
          <w:marTop w:val="0"/>
          <w:marBottom w:val="0"/>
          <w:divBdr>
            <w:top w:val="none" w:sz="0" w:space="0" w:color="auto"/>
            <w:left w:val="none" w:sz="0" w:space="0" w:color="auto"/>
            <w:bottom w:val="none" w:sz="0" w:space="0" w:color="auto"/>
            <w:right w:val="none" w:sz="0" w:space="0" w:color="auto"/>
          </w:divBdr>
        </w:div>
        <w:div w:id="794831103">
          <w:marLeft w:val="0"/>
          <w:marRight w:val="0"/>
          <w:marTop w:val="0"/>
          <w:marBottom w:val="0"/>
          <w:divBdr>
            <w:top w:val="none" w:sz="0" w:space="0" w:color="auto"/>
            <w:left w:val="none" w:sz="0" w:space="0" w:color="auto"/>
            <w:bottom w:val="none" w:sz="0" w:space="0" w:color="auto"/>
            <w:right w:val="none" w:sz="0" w:space="0" w:color="auto"/>
          </w:divBdr>
        </w:div>
        <w:div w:id="923950973">
          <w:marLeft w:val="0"/>
          <w:marRight w:val="0"/>
          <w:marTop w:val="0"/>
          <w:marBottom w:val="0"/>
          <w:divBdr>
            <w:top w:val="none" w:sz="0" w:space="0" w:color="auto"/>
            <w:left w:val="none" w:sz="0" w:space="0" w:color="auto"/>
            <w:bottom w:val="none" w:sz="0" w:space="0" w:color="auto"/>
            <w:right w:val="none" w:sz="0" w:space="0" w:color="auto"/>
          </w:divBdr>
        </w:div>
        <w:div w:id="1045717078">
          <w:marLeft w:val="0"/>
          <w:marRight w:val="0"/>
          <w:marTop w:val="0"/>
          <w:marBottom w:val="0"/>
          <w:divBdr>
            <w:top w:val="none" w:sz="0" w:space="0" w:color="auto"/>
            <w:left w:val="none" w:sz="0" w:space="0" w:color="auto"/>
            <w:bottom w:val="none" w:sz="0" w:space="0" w:color="auto"/>
            <w:right w:val="none" w:sz="0" w:space="0" w:color="auto"/>
          </w:divBdr>
        </w:div>
        <w:div w:id="1485589892">
          <w:marLeft w:val="0"/>
          <w:marRight w:val="0"/>
          <w:marTop w:val="0"/>
          <w:marBottom w:val="0"/>
          <w:divBdr>
            <w:top w:val="none" w:sz="0" w:space="0" w:color="auto"/>
            <w:left w:val="none" w:sz="0" w:space="0" w:color="auto"/>
            <w:bottom w:val="none" w:sz="0" w:space="0" w:color="auto"/>
            <w:right w:val="none" w:sz="0" w:space="0" w:color="auto"/>
          </w:divBdr>
        </w:div>
        <w:div w:id="1541017002">
          <w:marLeft w:val="0"/>
          <w:marRight w:val="0"/>
          <w:marTop w:val="0"/>
          <w:marBottom w:val="0"/>
          <w:divBdr>
            <w:top w:val="none" w:sz="0" w:space="0" w:color="auto"/>
            <w:left w:val="none" w:sz="0" w:space="0" w:color="auto"/>
            <w:bottom w:val="none" w:sz="0" w:space="0" w:color="auto"/>
            <w:right w:val="none" w:sz="0" w:space="0" w:color="auto"/>
          </w:divBdr>
        </w:div>
        <w:div w:id="1609462687">
          <w:marLeft w:val="0"/>
          <w:marRight w:val="0"/>
          <w:marTop w:val="0"/>
          <w:marBottom w:val="0"/>
          <w:divBdr>
            <w:top w:val="none" w:sz="0" w:space="0" w:color="auto"/>
            <w:left w:val="none" w:sz="0" w:space="0" w:color="auto"/>
            <w:bottom w:val="none" w:sz="0" w:space="0" w:color="auto"/>
            <w:right w:val="none" w:sz="0" w:space="0" w:color="auto"/>
          </w:divBdr>
        </w:div>
        <w:div w:id="1746416358">
          <w:marLeft w:val="0"/>
          <w:marRight w:val="0"/>
          <w:marTop w:val="0"/>
          <w:marBottom w:val="0"/>
          <w:divBdr>
            <w:top w:val="none" w:sz="0" w:space="0" w:color="auto"/>
            <w:left w:val="none" w:sz="0" w:space="0" w:color="auto"/>
            <w:bottom w:val="none" w:sz="0" w:space="0" w:color="auto"/>
            <w:right w:val="none" w:sz="0" w:space="0" w:color="auto"/>
          </w:divBdr>
        </w:div>
        <w:div w:id="2141068741">
          <w:marLeft w:val="0"/>
          <w:marRight w:val="0"/>
          <w:marTop w:val="0"/>
          <w:marBottom w:val="0"/>
          <w:divBdr>
            <w:top w:val="none" w:sz="0" w:space="0" w:color="auto"/>
            <w:left w:val="none" w:sz="0" w:space="0" w:color="auto"/>
            <w:bottom w:val="none" w:sz="0" w:space="0" w:color="auto"/>
            <w:right w:val="none" w:sz="0" w:space="0" w:color="auto"/>
          </w:divBdr>
        </w:div>
      </w:divsChild>
    </w:div>
    <w:div w:id="762535784">
      <w:bodyDiv w:val="1"/>
      <w:marLeft w:val="0"/>
      <w:marRight w:val="0"/>
      <w:marTop w:val="0"/>
      <w:marBottom w:val="0"/>
      <w:divBdr>
        <w:top w:val="none" w:sz="0" w:space="0" w:color="auto"/>
        <w:left w:val="none" w:sz="0" w:space="0" w:color="auto"/>
        <w:bottom w:val="none" w:sz="0" w:space="0" w:color="auto"/>
        <w:right w:val="none" w:sz="0" w:space="0" w:color="auto"/>
      </w:divBdr>
    </w:div>
    <w:div w:id="784664360">
      <w:bodyDiv w:val="1"/>
      <w:marLeft w:val="0"/>
      <w:marRight w:val="0"/>
      <w:marTop w:val="0"/>
      <w:marBottom w:val="0"/>
      <w:divBdr>
        <w:top w:val="none" w:sz="0" w:space="0" w:color="auto"/>
        <w:left w:val="none" w:sz="0" w:space="0" w:color="auto"/>
        <w:bottom w:val="none" w:sz="0" w:space="0" w:color="auto"/>
        <w:right w:val="none" w:sz="0" w:space="0" w:color="auto"/>
      </w:divBdr>
    </w:div>
    <w:div w:id="832598730">
      <w:bodyDiv w:val="1"/>
      <w:marLeft w:val="0"/>
      <w:marRight w:val="0"/>
      <w:marTop w:val="0"/>
      <w:marBottom w:val="0"/>
      <w:divBdr>
        <w:top w:val="none" w:sz="0" w:space="0" w:color="auto"/>
        <w:left w:val="none" w:sz="0" w:space="0" w:color="auto"/>
        <w:bottom w:val="none" w:sz="0" w:space="0" w:color="auto"/>
        <w:right w:val="none" w:sz="0" w:space="0" w:color="auto"/>
      </w:divBdr>
    </w:div>
    <w:div w:id="834535745">
      <w:bodyDiv w:val="1"/>
      <w:marLeft w:val="0"/>
      <w:marRight w:val="0"/>
      <w:marTop w:val="0"/>
      <w:marBottom w:val="0"/>
      <w:divBdr>
        <w:top w:val="none" w:sz="0" w:space="0" w:color="auto"/>
        <w:left w:val="none" w:sz="0" w:space="0" w:color="auto"/>
        <w:bottom w:val="none" w:sz="0" w:space="0" w:color="auto"/>
        <w:right w:val="none" w:sz="0" w:space="0" w:color="auto"/>
      </w:divBdr>
    </w:div>
    <w:div w:id="850072107">
      <w:bodyDiv w:val="1"/>
      <w:marLeft w:val="0"/>
      <w:marRight w:val="0"/>
      <w:marTop w:val="0"/>
      <w:marBottom w:val="0"/>
      <w:divBdr>
        <w:top w:val="none" w:sz="0" w:space="0" w:color="auto"/>
        <w:left w:val="none" w:sz="0" w:space="0" w:color="auto"/>
        <w:bottom w:val="none" w:sz="0" w:space="0" w:color="auto"/>
        <w:right w:val="none" w:sz="0" w:space="0" w:color="auto"/>
      </w:divBdr>
    </w:div>
    <w:div w:id="877355584">
      <w:bodyDiv w:val="1"/>
      <w:marLeft w:val="0"/>
      <w:marRight w:val="0"/>
      <w:marTop w:val="0"/>
      <w:marBottom w:val="0"/>
      <w:divBdr>
        <w:top w:val="none" w:sz="0" w:space="0" w:color="auto"/>
        <w:left w:val="none" w:sz="0" w:space="0" w:color="auto"/>
        <w:bottom w:val="none" w:sz="0" w:space="0" w:color="auto"/>
        <w:right w:val="none" w:sz="0" w:space="0" w:color="auto"/>
      </w:divBdr>
    </w:div>
    <w:div w:id="898781005">
      <w:bodyDiv w:val="1"/>
      <w:marLeft w:val="0"/>
      <w:marRight w:val="0"/>
      <w:marTop w:val="0"/>
      <w:marBottom w:val="0"/>
      <w:divBdr>
        <w:top w:val="none" w:sz="0" w:space="0" w:color="auto"/>
        <w:left w:val="none" w:sz="0" w:space="0" w:color="auto"/>
        <w:bottom w:val="none" w:sz="0" w:space="0" w:color="auto"/>
        <w:right w:val="none" w:sz="0" w:space="0" w:color="auto"/>
      </w:divBdr>
    </w:div>
    <w:div w:id="929389287">
      <w:bodyDiv w:val="1"/>
      <w:marLeft w:val="0"/>
      <w:marRight w:val="0"/>
      <w:marTop w:val="0"/>
      <w:marBottom w:val="0"/>
      <w:divBdr>
        <w:top w:val="none" w:sz="0" w:space="0" w:color="auto"/>
        <w:left w:val="none" w:sz="0" w:space="0" w:color="auto"/>
        <w:bottom w:val="none" w:sz="0" w:space="0" w:color="auto"/>
        <w:right w:val="none" w:sz="0" w:space="0" w:color="auto"/>
      </w:divBdr>
    </w:div>
    <w:div w:id="942497221">
      <w:bodyDiv w:val="1"/>
      <w:marLeft w:val="0"/>
      <w:marRight w:val="0"/>
      <w:marTop w:val="0"/>
      <w:marBottom w:val="0"/>
      <w:divBdr>
        <w:top w:val="none" w:sz="0" w:space="0" w:color="auto"/>
        <w:left w:val="none" w:sz="0" w:space="0" w:color="auto"/>
        <w:bottom w:val="none" w:sz="0" w:space="0" w:color="auto"/>
        <w:right w:val="none" w:sz="0" w:space="0" w:color="auto"/>
      </w:divBdr>
    </w:div>
    <w:div w:id="976644153">
      <w:bodyDiv w:val="1"/>
      <w:marLeft w:val="0"/>
      <w:marRight w:val="0"/>
      <w:marTop w:val="0"/>
      <w:marBottom w:val="0"/>
      <w:divBdr>
        <w:top w:val="none" w:sz="0" w:space="0" w:color="auto"/>
        <w:left w:val="none" w:sz="0" w:space="0" w:color="auto"/>
        <w:bottom w:val="none" w:sz="0" w:space="0" w:color="auto"/>
        <w:right w:val="none" w:sz="0" w:space="0" w:color="auto"/>
      </w:divBdr>
    </w:div>
    <w:div w:id="984163428">
      <w:bodyDiv w:val="1"/>
      <w:marLeft w:val="0"/>
      <w:marRight w:val="0"/>
      <w:marTop w:val="0"/>
      <w:marBottom w:val="0"/>
      <w:divBdr>
        <w:top w:val="none" w:sz="0" w:space="0" w:color="auto"/>
        <w:left w:val="none" w:sz="0" w:space="0" w:color="auto"/>
        <w:bottom w:val="none" w:sz="0" w:space="0" w:color="auto"/>
        <w:right w:val="none" w:sz="0" w:space="0" w:color="auto"/>
      </w:divBdr>
      <w:divsChild>
        <w:div w:id="124397657">
          <w:marLeft w:val="0"/>
          <w:marRight w:val="0"/>
          <w:marTop w:val="0"/>
          <w:marBottom w:val="0"/>
          <w:divBdr>
            <w:top w:val="none" w:sz="0" w:space="0" w:color="auto"/>
            <w:left w:val="none" w:sz="0" w:space="0" w:color="auto"/>
            <w:bottom w:val="none" w:sz="0" w:space="0" w:color="auto"/>
            <w:right w:val="none" w:sz="0" w:space="0" w:color="auto"/>
          </w:divBdr>
        </w:div>
        <w:div w:id="237180996">
          <w:marLeft w:val="0"/>
          <w:marRight w:val="0"/>
          <w:marTop w:val="0"/>
          <w:marBottom w:val="0"/>
          <w:divBdr>
            <w:top w:val="none" w:sz="0" w:space="0" w:color="auto"/>
            <w:left w:val="none" w:sz="0" w:space="0" w:color="auto"/>
            <w:bottom w:val="none" w:sz="0" w:space="0" w:color="auto"/>
            <w:right w:val="none" w:sz="0" w:space="0" w:color="auto"/>
          </w:divBdr>
        </w:div>
        <w:div w:id="2068605968">
          <w:marLeft w:val="0"/>
          <w:marRight w:val="0"/>
          <w:marTop w:val="0"/>
          <w:marBottom w:val="0"/>
          <w:divBdr>
            <w:top w:val="none" w:sz="0" w:space="0" w:color="auto"/>
            <w:left w:val="none" w:sz="0" w:space="0" w:color="auto"/>
            <w:bottom w:val="none" w:sz="0" w:space="0" w:color="auto"/>
            <w:right w:val="none" w:sz="0" w:space="0" w:color="auto"/>
          </w:divBdr>
        </w:div>
      </w:divsChild>
    </w:div>
    <w:div w:id="990215703">
      <w:bodyDiv w:val="1"/>
      <w:marLeft w:val="0"/>
      <w:marRight w:val="0"/>
      <w:marTop w:val="0"/>
      <w:marBottom w:val="0"/>
      <w:divBdr>
        <w:top w:val="none" w:sz="0" w:space="0" w:color="auto"/>
        <w:left w:val="none" w:sz="0" w:space="0" w:color="auto"/>
        <w:bottom w:val="none" w:sz="0" w:space="0" w:color="auto"/>
        <w:right w:val="none" w:sz="0" w:space="0" w:color="auto"/>
      </w:divBdr>
    </w:div>
    <w:div w:id="1001590262">
      <w:bodyDiv w:val="1"/>
      <w:marLeft w:val="0"/>
      <w:marRight w:val="0"/>
      <w:marTop w:val="0"/>
      <w:marBottom w:val="0"/>
      <w:divBdr>
        <w:top w:val="none" w:sz="0" w:space="0" w:color="auto"/>
        <w:left w:val="none" w:sz="0" w:space="0" w:color="auto"/>
        <w:bottom w:val="none" w:sz="0" w:space="0" w:color="auto"/>
        <w:right w:val="none" w:sz="0" w:space="0" w:color="auto"/>
      </w:divBdr>
      <w:divsChild>
        <w:div w:id="129325778">
          <w:marLeft w:val="0"/>
          <w:marRight w:val="0"/>
          <w:marTop w:val="0"/>
          <w:marBottom w:val="0"/>
          <w:divBdr>
            <w:top w:val="none" w:sz="0" w:space="0" w:color="auto"/>
            <w:left w:val="none" w:sz="0" w:space="0" w:color="auto"/>
            <w:bottom w:val="none" w:sz="0" w:space="0" w:color="auto"/>
            <w:right w:val="none" w:sz="0" w:space="0" w:color="auto"/>
          </w:divBdr>
        </w:div>
        <w:div w:id="710765526">
          <w:marLeft w:val="0"/>
          <w:marRight w:val="0"/>
          <w:marTop w:val="0"/>
          <w:marBottom w:val="0"/>
          <w:divBdr>
            <w:top w:val="none" w:sz="0" w:space="0" w:color="auto"/>
            <w:left w:val="none" w:sz="0" w:space="0" w:color="auto"/>
            <w:bottom w:val="none" w:sz="0" w:space="0" w:color="auto"/>
            <w:right w:val="none" w:sz="0" w:space="0" w:color="auto"/>
          </w:divBdr>
        </w:div>
        <w:div w:id="913055437">
          <w:marLeft w:val="0"/>
          <w:marRight w:val="0"/>
          <w:marTop w:val="0"/>
          <w:marBottom w:val="0"/>
          <w:divBdr>
            <w:top w:val="none" w:sz="0" w:space="0" w:color="auto"/>
            <w:left w:val="none" w:sz="0" w:space="0" w:color="auto"/>
            <w:bottom w:val="none" w:sz="0" w:space="0" w:color="auto"/>
            <w:right w:val="none" w:sz="0" w:space="0" w:color="auto"/>
          </w:divBdr>
        </w:div>
        <w:div w:id="1120490894">
          <w:marLeft w:val="0"/>
          <w:marRight w:val="0"/>
          <w:marTop w:val="0"/>
          <w:marBottom w:val="0"/>
          <w:divBdr>
            <w:top w:val="none" w:sz="0" w:space="0" w:color="auto"/>
            <w:left w:val="none" w:sz="0" w:space="0" w:color="auto"/>
            <w:bottom w:val="none" w:sz="0" w:space="0" w:color="auto"/>
            <w:right w:val="none" w:sz="0" w:space="0" w:color="auto"/>
          </w:divBdr>
        </w:div>
        <w:div w:id="1713261724">
          <w:marLeft w:val="0"/>
          <w:marRight w:val="0"/>
          <w:marTop w:val="0"/>
          <w:marBottom w:val="0"/>
          <w:divBdr>
            <w:top w:val="none" w:sz="0" w:space="0" w:color="auto"/>
            <w:left w:val="none" w:sz="0" w:space="0" w:color="auto"/>
            <w:bottom w:val="none" w:sz="0" w:space="0" w:color="auto"/>
            <w:right w:val="none" w:sz="0" w:space="0" w:color="auto"/>
          </w:divBdr>
        </w:div>
      </w:divsChild>
    </w:div>
    <w:div w:id="1072313304">
      <w:bodyDiv w:val="1"/>
      <w:marLeft w:val="0"/>
      <w:marRight w:val="0"/>
      <w:marTop w:val="0"/>
      <w:marBottom w:val="0"/>
      <w:divBdr>
        <w:top w:val="none" w:sz="0" w:space="0" w:color="auto"/>
        <w:left w:val="none" w:sz="0" w:space="0" w:color="auto"/>
        <w:bottom w:val="none" w:sz="0" w:space="0" w:color="auto"/>
        <w:right w:val="none" w:sz="0" w:space="0" w:color="auto"/>
      </w:divBdr>
    </w:div>
    <w:div w:id="1097361843">
      <w:bodyDiv w:val="1"/>
      <w:marLeft w:val="0"/>
      <w:marRight w:val="0"/>
      <w:marTop w:val="0"/>
      <w:marBottom w:val="0"/>
      <w:divBdr>
        <w:top w:val="none" w:sz="0" w:space="0" w:color="auto"/>
        <w:left w:val="none" w:sz="0" w:space="0" w:color="auto"/>
        <w:bottom w:val="none" w:sz="0" w:space="0" w:color="auto"/>
        <w:right w:val="none" w:sz="0" w:space="0" w:color="auto"/>
      </w:divBdr>
    </w:div>
    <w:div w:id="1141267193">
      <w:bodyDiv w:val="1"/>
      <w:marLeft w:val="0"/>
      <w:marRight w:val="0"/>
      <w:marTop w:val="0"/>
      <w:marBottom w:val="0"/>
      <w:divBdr>
        <w:top w:val="none" w:sz="0" w:space="0" w:color="auto"/>
        <w:left w:val="none" w:sz="0" w:space="0" w:color="auto"/>
        <w:bottom w:val="none" w:sz="0" w:space="0" w:color="auto"/>
        <w:right w:val="none" w:sz="0" w:space="0" w:color="auto"/>
      </w:divBdr>
    </w:div>
    <w:div w:id="1162238419">
      <w:bodyDiv w:val="1"/>
      <w:marLeft w:val="0"/>
      <w:marRight w:val="0"/>
      <w:marTop w:val="0"/>
      <w:marBottom w:val="0"/>
      <w:divBdr>
        <w:top w:val="none" w:sz="0" w:space="0" w:color="auto"/>
        <w:left w:val="none" w:sz="0" w:space="0" w:color="auto"/>
        <w:bottom w:val="none" w:sz="0" w:space="0" w:color="auto"/>
        <w:right w:val="none" w:sz="0" w:space="0" w:color="auto"/>
      </w:divBdr>
      <w:divsChild>
        <w:div w:id="294800254">
          <w:marLeft w:val="0"/>
          <w:marRight w:val="0"/>
          <w:marTop w:val="0"/>
          <w:marBottom w:val="0"/>
          <w:divBdr>
            <w:top w:val="none" w:sz="0" w:space="0" w:color="auto"/>
            <w:left w:val="none" w:sz="0" w:space="0" w:color="auto"/>
            <w:bottom w:val="none" w:sz="0" w:space="0" w:color="auto"/>
            <w:right w:val="none" w:sz="0" w:space="0" w:color="auto"/>
          </w:divBdr>
        </w:div>
        <w:div w:id="436484278">
          <w:marLeft w:val="0"/>
          <w:marRight w:val="0"/>
          <w:marTop w:val="0"/>
          <w:marBottom w:val="0"/>
          <w:divBdr>
            <w:top w:val="none" w:sz="0" w:space="0" w:color="auto"/>
            <w:left w:val="none" w:sz="0" w:space="0" w:color="auto"/>
            <w:bottom w:val="none" w:sz="0" w:space="0" w:color="auto"/>
            <w:right w:val="none" w:sz="0" w:space="0" w:color="auto"/>
          </w:divBdr>
        </w:div>
        <w:div w:id="769549520">
          <w:marLeft w:val="0"/>
          <w:marRight w:val="0"/>
          <w:marTop w:val="0"/>
          <w:marBottom w:val="0"/>
          <w:divBdr>
            <w:top w:val="none" w:sz="0" w:space="0" w:color="auto"/>
            <w:left w:val="none" w:sz="0" w:space="0" w:color="auto"/>
            <w:bottom w:val="none" w:sz="0" w:space="0" w:color="auto"/>
            <w:right w:val="none" w:sz="0" w:space="0" w:color="auto"/>
          </w:divBdr>
        </w:div>
        <w:div w:id="937712251">
          <w:marLeft w:val="0"/>
          <w:marRight w:val="0"/>
          <w:marTop w:val="0"/>
          <w:marBottom w:val="0"/>
          <w:divBdr>
            <w:top w:val="none" w:sz="0" w:space="0" w:color="auto"/>
            <w:left w:val="none" w:sz="0" w:space="0" w:color="auto"/>
            <w:bottom w:val="none" w:sz="0" w:space="0" w:color="auto"/>
            <w:right w:val="none" w:sz="0" w:space="0" w:color="auto"/>
          </w:divBdr>
        </w:div>
      </w:divsChild>
    </w:div>
    <w:div w:id="1173884823">
      <w:bodyDiv w:val="1"/>
      <w:marLeft w:val="0"/>
      <w:marRight w:val="0"/>
      <w:marTop w:val="0"/>
      <w:marBottom w:val="0"/>
      <w:divBdr>
        <w:top w:val="none" w:sz="0" w:space="0" w:color="auto"/>
        <w:left w:val="none" w:sz="0" w:space="0" w:color="auto"/>
        <w:bottom w:val="none" w:sz="0" w:space="0" w:color="auto"/>
        <w:right w:val="none" w:sz="0" w:space="0" w:color="auto"/>
      </w:divBdr>
    </w:div>
    <w:div w:id="1236819827">
      <w:bodyDiv w:val="1"/>
      <w:marLeft w:val="0"/>
      <w:marRight w:val="0"/>
      <w:marTop w:val="0"/>
      <w:marBottom w:val="0"/>
      <w:divBdr>
        <w:top w:val="none" w:sz="0" w:space="0" w:color="auto"/>
        <w:left w:val="none" w:sz="0" w:space="0" w:color="auto"/>
        <w:bottom w:val="none" w:sz="0" w:space="0" w:color="auto"/>
        <w:right w:val="none" w:sz="0" w:space="0" w:color="auto"/>
      </w:divBdr>
    </w:div>
    <w:div w:id="1258716255">
      <w:bodyDiv w:val="1"/>
      <w:marLeft w:val="0"/>
      <w:marRight w:val="0"/>
      <w:marTop w:val="0"/>
      <w:marBottom w:val="0"/>
      <w:divBdr>
        <w:top w:val="none" w:sz="0" w:space="0" w:color="auto"/>
        <w:left w:val="none" w:sz="0" w:space="0" w:color="auto"/>
        <w:bottom w:val="none" w:sz="0" w:space="0" w:color="auto"/>
        <w:right w:val="none" w:sz="0" w:space="0" w:color="auto"/>
      </w:divBdr>
    </w:div>
    <w:div w:id="1259748667">
      <w:bodyDiv w:val="1"/>
      <w:marLeft w:val="0"/>
      <w:marRight w:val="0"/>
      <w:marTop w:val="0"/>
      <w:marBottom w:val="0"/>
      <w:divBdr>
        <w:top w:val="none" w:sz="0" w:space="0" w:color="auto"/>
        <w:left w:val="none" w:sz="0" w:space="0" w:color="auto"/>
        <w:bottom w:val="none" w:sz="0" w:space="0" w:color="auto"/>
        <w:right w:val="none" w:sz="0" w:space="0" w:color="auto"/>
      </w:divBdr>
    </w:div>
    <w:div w:id="1308122293">
      <w:bodyDiv w:val="1"/>
      <w:marLeft w:val="0"/>
      <w:marRight w:val="0"/>
      <w:marTop w:val="0"/>
      <w:marBottom w:val="0"/>
      <w:divBdr>
        <w:top w:val="none" w:sz="0" w:space="0" w:color="auto"/>
        <w:left w:val="none" w:sz="0" w:space="0" w:color="auto"/>
        <w:bottom w:val="none" w:sz="0" w:space="0" w:color="auto"/>
        <w:right w:val="none" w:sz="0" w:space="0" w:color="auto"/>
      </w:divBdr>
    </w:div>
    <w:div w:id="1371804145">
      <w:bodyDiv w:val="1"/>
      <w:marLeft w:val="0"/>
      <w:marRight w:val="0"/>
      <w:marTop w:val="0"/>
      <w:marBottom w:val="0"/>
      <w:divBdr>
        <w:top w:val="none" w:sz="0" w:space="0" w:color="auto"/>
        <w:left w:val="none" w:sz="0" w:space="0" w:color="auto"/>
        <w:bottom w:val="none" w:sz="0" w:space="0" w:color="auto"/>
        <w:right w:val="none" w:sz="0" w:space="0" w:color="auto"/>
      </w:divBdr>
    </w:div>
    <w:div w:id="1402366526">
      <w:bodyDiv w:val="1"/>
      <w:marLeft w:val="0"/>
      <w:marRight w:val="0"/>
      <w:marTop w:val="0"/>
      <w:marBottom w:val="0"/>
      <w:divBdr>
        <w:top w:val="none" w:sz="0" w:space="0" w:color="auto"/>
        <w:left w:val="none" w:sz="0" w:space="0" w:color="auto"/>
        <w:bottom w:val="none" w:sz="0" w:space="0" w:color="auto"/>
        <w:right w:val="none" w:sz="0" w:space="0" w:color="auto"/>
      </w:divBdr>
    </w:div>
    <w:div w:id="1411275261">
      <w:bodyDiv w:val="1"/>
      <w:marLeft w:val="0"/>
      <w:marRight w:val="0"/>
      <w:marTop w:val="0"/>
      <w:marBottom w:val="0"/>
      <w:divBdr>
        <w:top w:val="none" w:sz="0" w:space="0" w:color="auto"/>
        <w:left w:val="none" w:sz="0" w:space="0" w:color="auto"/>
        <w:bottom w:val="none" w:sz="0" w:space="0" w:color="auto"/>
        <w:right w:val="none" w:sz="0" w:space="0" w:color="auto"/>
      </w:divBdr>
    </w:div>
    <w:div w:id="1435057601">
      <w:bodyDiv w:val="1"/>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
        <w:div w:id="877861175">
          <w:marLeft w:val="0"/>
          <w:marRight w:val="0"/>
          <w:marTop w:val="0"/>
          <w:marBottom w:val="0"/>
          <w:divBdr>
            <w:top w:val="none" w:sz="0" w:space="0" w:color="auto"/>
            <w:left w:val="none" w:sz="0" w:space="0" w:color="auto"/>
            <w:bottom w:val="none" w:sz="0" w:space="0" w:color="auto"/>
            <w:right w:val="none" w:sz="0" w:space="0" w:color="auto"/>
          </w:divBdr>
        </w:div>
        <w:div w:id="986935770">
          <w:marLeft w:val="0"/>
          <w:marRight w:val="0"/>
          <w:marTop w:val="0"/>
          <w:marBottom w:val="0"/>
          <w:divBdr>
            <w:top w:val="none" w:sz="0" w:space="0" w:color="auto"/>
            <w:left w:val="none" w:sz="0" w:space="0" w:color="auto"/>
            <w:bottom w:val="none" w:sz="0" w:space="0" w:color="auto"/>
            <w:right w:val="none" w:sz="0" w:space="0" w:color="auto"/>
          </w:divBdr>
        </w:div>
        <w:div w:id="1410423275">
          <w:marLeft w:val="0"/>
          <w:marRight w:val="0"/>
          <w:marTop w:val="0"/>
          <w:marBottom w:val="0"/>
          <w:divBdr>
            <w:top w:val="none" w:sz="0" w:space="0" w:color="auto"/>
            <w:left w:val="none" w:sz="0" w:space="0" w:color="auto"/>
            <w:bottom w:val="none" w:sz="0" w:space="0" w:color="auto"/>
            <w:right w:val="none" w:sz="0" w:space="0" w:color="auto"/>
          </w:divBdr>
        </w:div>
        <w:div w:id="1609388295">
          <w:marLeft w:val="0"/>
          <w:marRight w:val="0"/>
          <w:marTop w:val="0"/>
          <w:marBottom w:val="0"/>
          <w:divBdr>
            <w:top w:val="none" w:sz="0" w:space="0" w:color="auto"/>
            <w:left w:val="none" w:sz="0" w:space="0" w:color="auto"/>
            <w:bottom w:val="none" w:sz="0" w:space="0" w:color="auto"/>
            <w:right w:val="none" w:sz="0" w:space="0" w:color="auto"/>
          </w:divBdr>
        </w:div>
      </w:divsChild>
    </w:div>
    <w:div w:id="1447700246">
      <w:bodyDiv w:val="1"/>
      <w:marLeft w:val="0"/>
      <w:marRight w:val="0"/>
      <w:marTop w:val="0"/>
      <w:marBottom w:val="0"/>
      <w:divBdr>
        <w:top w:val="none" w:sz="0" w:space="0" w:color="auto"/>
        <w:left w:val="none" w:sz="0" w:space="0" w:color="auto"/>
        <w:bottom w:val="none" w:sz="0" w:space="0" w:color="auto"/>
        <w:right w:val="none" w:sz="0" w:space="0" w:color="auto"/>
      </w:divBdr>
    </w:div>
    <w:div w:id="1450858909">
      <w:bodyDiv w:val="1"/>
      <w:marLeft w:val="0"/>
      <w:marRight w:val="0"/>
      <w:marTop w:val="0"/>
      <w:marBottom w:val="0"/>
      <w:divBdr>
        <w:top w:val="none" w:sz="0" w:space="0" w:color="auto"/>
        <w:left w:val="none" w:sz="0" w:space="0" w:color="auto"/>
        <w:bottom w:val="none" w:sz="0" w:space="0" w:color="auto"/>
        <w:right w:val="none" w:sz="0" w:space="0" w:color="auto"/>
      </w:divBdr>
    </w:div>
    <w:div w:id="1457675905">
      <w:bodyDiv w:val="1"/>
      <w:marLeft w:val="0"/>
      <w:marRight w:val="0"/>
      <w:marTop w:val="0"/>
      <w:marBottom w:val="0"/>
      <w:divBdr>
        <w:top w:val="none" w:sz="0" w:space="0" w:color="auto"/>
        <w:left w:val="none" w:sz="0" w:space="0" w:color="auto"/>
        <w:bottom w:val="none" w:sz="0" w:space="0" w:color="auto"/>
        <w:right w:val="none" w:sz="0" w:space="0" w:color="auto"/>
      </w:divBdr>
    </w:div>
    <w:div w:id="1477532819">
      <w:bodyDiv w:val="1"/>
      <w:marLeft w:val="0"/>
      <w:marRight w:val="0"/>
      <w:marTop w:val="0"/>
      <w:marBottom w:val="0"/>
      <w:divBdr>
        <w:top w:val="none" w:sz="0" w:space="0" w:color="auto"/>
        <w:left w:val="none" w:sz="0" w:space="0" w:color="auto"/>
        <w:bottom w:val="none" w:sz="0" w:space="0" w:color="auto"/>
        <w:right w:val="none" w:sz="0" w:space="0" w:color="auto"/>
      </w:divBdr>
    </w:div>
    <w:div w:id="1499005561">
      <w:bodyDiv w:val="1"/>
      <w:marLeft w:val="0"/>
      <w:marRight w:val="0"/>
      <w:marTop w:val="0"/>
      <w:marBottom w:val="0"/>
      <w:divBdr>
        <w:top w:val="none" w:sz="0" w:space="0" w:color="auto"/>
        <w:left w:val="none" w:sz="0" w:space="0" w:color="auto"/>
        <w:bottom w:val="none" w:sz="0" w:space="0" w:color="auto"/>
        <w:right w:val="none" w:sz="0" w:space="0" w:color="auto"/>
      </w:divBdr>
    </w:div>
    <w:div w:id="1511212452">
      <w:bodyDiv w:val="1"/>
      <w:marLeft w:val="0"/>
      <w:marRight w:val="0"/>
      <w:marTop w:val="0"/>
      <w:marBottom w:val="0"/>
      <w:divBdr>
        <w:top w:val="none" w:sz="0" w:space="0" w:color="auto"/>
        <w:left w:val="none" w:sz="0" w:space="0" w:color="auto"/>
        <w:bottom w:val="none" w:sz="0" w:space="0" w:color="auto"/>
        <w:right w:val="none" w:sz="0" w:space="0" w:color="auto"/>
      </w:divBdr>
    </w:div>
    <w:div w:id="1547983215">
      <w:bodyDiv w:val="1"/>
      <w:marLeft w:val="0"/>
      <w:marRight w:val="0"/>
      <w:marTop w:val="0"/>
      <w:marBottom w:val="0"/>
      <w:divBdr>
        <w:top w:val="none" w:sz="0" w:space="0" w:color="auto"/>
        <w:left w:val="none" w:sz="0" w:space="0" w:color="auto"/>
        <w:bottom w:val="none" w:sz="0" w:space="0" w:color="auto"/>
        <w:right w:val="none" w:sz="0" w:space="0" w:color="auto"/>
      </w:divBdr>
      <w:divsChild>
        <w:div w:id="58795350">
          <w:marLeft w:val="0"/>
          <w:marRight w:val="0"/>
          <w:marTop w:val="0"/>
          <w:marBottom w:val="0"/>
          <w:divBdr>
            <w:top w:val="none" w:sz="0" w:space="0" w:color="auto"/>
            <w:left w:val="none" w:sz="0" w:space="0" w:color="auto"/>
            <w:bottom w:val="none" w:sz="0" w:space="0" w:color="auto"/>
            <w:right w:val="none" w:sz="0" w:space="0" w:color="auto"/>
          </w:divBdr>
        </w:div>
        <w:div w:id="119694335">
          <w:marLeft w:val="0"/>
          <w:marRight w:val="0"/>
          <w:marTop w:val="0"/>
          <w:marBottom w:val="0"/>
          <w:divBdr>
            <w:top w:val="none" w:sz="0" w:space="0" w:color="auto"/>
            <w:left w:val="none" w:sz="0" w:space="0" w:color="auto"/>
            <w:bottom w:val="none" w:sz="0" w:space="0" w:color="auto"/>
            <w:right w:val="none" w:sz="0" w:space="0" w:color="auto"/>
          </w:divBdr>
        </w:div>
        <w:div w:id="147598937">
          <w:marLeft w:val="0"/>
          <w:marRight w:val="0"/>
          <w:marTop w:val="0"/>
          <w:marBottom w:val="0"/>
          <w:divBdr>
            <w:top w:val="none" w:sz="0" w:space="0" w:color="auto"/>
            <w:left w:val="none" w:sz="0" w:space="0" w:color="auto"/>
            <w:bottom w:val="none" w:sz="0" w:space="0" w:color="auto"/>
            <w:right w:val="none" w:sz="0" w:space="0" w:color="auto"/>
          </w:divBdr>
        </w:div>
        <w:div w:id="280111735">
          <w:marLeft w:val="0"/>
          <w:marRight w:val="0"/>
          <w:marTop w:val="0"/>
          <w:marBottom w:val="0"/>
          <w:divBdr>
            <w:top w:val="none" w:sz="0" w:space="0" w:color="auto"/>
            <w:left w:val="none" w:sz="0" w:space="0" w:color="auto"/>
            <w:bottom w:val="none" w:sz="0" w:space="0" w:color="auto"/>
            <w:right w:val="none" w:sz="0" w:space="0" w:color="auto"/>
          </w:divBdr>
        </w:div>
        <w:div w:id="321588428">
          <w:marLeft w:val="0"/>
          <w:marRight w:val="0"/>
          <w:marTop w:val="0"/>
          <w:marBottom w:val="0"/>
          <w:divBdr>
            <w:top w:val="none" w:sz="0" w:space="0" w:color="auto"/>
            <w:left w:val="none" w:sz="0" w:space="0" w:color="auto"/>
            <w:bottom w:val="none" w:sz="0" w:space="0" w:color="auto"/>
            <w:right w:val="none" w:sz="0" w:space="0" w:color="auto"/>
          </w:divBdr>
        </w:div>
        <w:div w:id="402488998">
          <w:marLeft w:val="0"/>
          <w:marRight w:val="0"/>
          <w:marTop w:val="0"/>
          <w:marBottom w:val="0"/>
          <w:divBdr>
            <w:top w:val="none" w:sz="0" w:space="0" w:color="auto"/>
            <w:left w:val="none" w:sz="0" w:space="0" w:color="auto"/>
            <w:bottom w:val="none" w:sz="0" w:space="0" w:color="auto"/>
            <w:right w:val="none" w:sz="0" w:space="0" w:color="auto"/>
          </w:divBdr>
        </w:div>
        <w:div w:id="494029524">
          <w:marLeft w:val="0"/>
          <w:marRight w:val="0"/>
          <w:marTop w:val="0"/>
          <w:marBottom w:val="0"/>
          <w:divBdr>
            <w:top w:val="none" w:sz="0" w:space="0" w:color="auto"/>
            <w:left w:val="none" w:sz="0" w:space="0" w:color="auto"/>
            <w:bottom w:val="none" w:sz="0" w:space="0" w:color="auto"/>
            <w:right w:val="none" w:sz="0" w:space="0" w:color="auto"/>
          </w:divBdr>
        </w:div>
        <w:div w:id="495650631">
          <w:marLeft w:val="0"/>
          <w:marRight w:val="0"/>
          <w:marTop w:val="0"/>
          <w:marBottom w:val="0"/>
          <w:divBdr>
            <w:top w:val="none" w:sz="0" w:space="0" w:color="auto"/>
            <w:left w:val="none" w:sz="0" w:space="0" w:color="auto"/>
            <w:bottom w:val="none" w:sz="0" w:space="0" w:color="auto"/>
            <w:right w:val="none" w:sz="0" w:space="0" w:color="auto"/>
          </w:divBdr>
        </w:div>
        <w:div w:id="510098570">
          <w:marLeft w:val="0"/>
          <w:marRight w:val="0"/>
          <w:marTop w:val="0"/>
          <w:marBottom w:val="0"/>
          <w:divBdr>
            <w:top w:val="none" w:sz="0" w:space="0" w:color="auto"/>
            <w:left w:val="none" w:sz="0" w:space="0" w:color="auto"/>
            <w:bottom w:val="none" w:sz="0" w:space="0" w:color="auto"/>
            <w:right w:val="none" w:sz="0" w:space="0" w:color="auto"/>
          </w:divBdr>
        </w:div>
        <w:div w:id="722825317">
          <w:marLeft w:val="0"/>
          <w:marRight w:val="0"/>
          <w:marTop w:val="0"/>
          <w:marBottom w:val="0"/>
          <w:divBdr>
            <w:top w:val="none" w:sz="0" w:space="0" w:color="auto"/>
            <w:left w:val="none" w:sz="0" w:space="0" w:color="auto"/>
            <w:bottom w:val="none" w:sz="0" w:space="0" w:color="auto"/>
            <w:right w:val="none" w:sz="0" w:space="0" w:color="auto"/>
          </w:divBdr>
        </w:div>
        <w:div w:id="729771744">
          <w:marLeft w:val="0"/>
          <w:marRight w:val="0"/>
          <w:marTop w:val="0"/>
          <w:marBottom w:val="0"/>
          <w:divBdr>
            <w:top w:val="none" w:sz="0" w:space="0" w:color="auto"/>
            <w:left w:val="none" w:sz="0" w:space="0" w:color="auto"/>
            <w:bottom w:val="none" w:sz="0" w:space="0" w:color="auto"/>
            <w:right w:val="none" w:sz="0" w:space="0" w:color="auto"/>
          </w:divBdr>
        </w:div>
        <w:div w:id="967474860">
          <w:marLeft w:val="0"/>
          <w:marRight w:val="0"/>
          <w:marTop w:val="0"/>
          <w:marBottom w:val="0"/>
          <w:divBdr>
            <w:top w:val="none" w:sz="0" w:space="0" w:color="auto"/>
            <w:left w:val="none" w:sz="0" w:space="0" w:color="auto"/>
            <w:bottom w:val="none" w:sz="0" w:space="0" w:color="auto"/>
            <w:right w:val="none" w:sz="0" w:space="0" w:color="auto"/>
          </w:divBdr>
        </w:div>
        <w:div w:id="1045523434">
          <w:marLeft w:val="0"/>
          <w:marRight w:val="0"/>
          <w:marTop w:val="0"/>
          <w:marBottom w:val="0"/>
          <w:divBdr>
            <w:top w:val="none" w:sz="0" w:space="0" w:color="auto"/>
            <w:left w:val="none" w:sz="0" w:space="0" w:color="auto"/>
            <w:bottom w:val="none" w:sz="0" w:space="0" w:color="auto"/>
            <w:right w:val="none" w:sz="0" w:space="0" w:color="auto"/>
          </w:divBdr>
        </w:div>
        <w:div w:id="1150293781">
          <w:marLeft w:val="0"/>
          <w:marRight w:val="0"/>
          <w:marTop w:val="0"/>
          <w:marBottom w:val="0"/>
          <w:divBdr>
            <w:top w:val="none" w:sz="0" w:space="0" w:color="auto"/>
            <w:left w:val="none" w:sz="0" w:space="0" w:color="auto"/>
            <w:bottom w:val="none" w:sz="0" w:space="0" w:color="auto"/>
            <w:right w:val="none" w:sz="0" w:space="0" w:color="auto"/>
          </w:divBdr>
        </w:div>
        <w:div w:id="1174298344">
          <w:marLeft w:val="0"/>
          <w:marRight w:val="0"/>
          <w:marTop w:val="0"/>
          <w:marBottom w:val="0"/>
          <w:divBdr>
            <w:top w:val="none" w:sz="0" w:space="0" w:color="auto"/>
            <w:left w:val="none" w:sz="0" w:space="0" w:color="auto"/>
            <w:bottom w:val="none" w:sz="0" w:space="0" w:color="auto"/>
            <w:right w:val="none" w:sz="0" w:space="0" w:color="auto"/>
          </w:divBdr>
        </w:div>
        <w:div w:id="1283346473">
          <w:marLeft w:val="0"/>
          <w:marRight w:val="0"/>
          <w:marTop w:val="0"/>
          <w:marBottom w:val="0"/>
          <w:divBdr>
            <w:top w:val="none" w:sz="0" w:space="0" w:color="auto"/>
            <w:left w:val="none" w:sz="0" w:space="0" w:color="auto"/>
            <w:bottom w:val="none" w:sz="0" w:space="0" w:color="auto"/>
            <w:right w:val="none" w:sz="0" w:space="0" w:color="auto"/>
          </w:divBdr>
        </w:div>
        <w:div w:id="1847282281">
          <w:marLeft w:val="0"/>
          <w:marRight w:val="0"/>
          <w:marTop w:val="0"/>
          <w:marBottom w:val="0"/>
          <w:divBdr>
            <w:top w:val="none" w:sz="0" w:space="0" w:color="auto"/>
            <w:left w:val="none" w:sz="0" w:space="0" w:color="auto"/>
            <w:bottom w:val="none" w:sz="0" w:space="0" w:color="auto"/>
            <w:right w:val="none" w:sz="0" w:space="0" w:color="auto"/>
          </w:divBdr>
        </w:div>
        <w:div w:id="2048682422">
          <w:marLeft w:val="0"/>
          <w:marRight w:val="0"/>
          <w:marTop w:val="0"/>
          <w:marBottom w:val="0"/>
          <w:divBdr>
            <w:top w:val="none" w:sz="0" w:space="0" w:color="auto"/>
            <w:left w:val="none" w:sz="0" w:space="0" w:color="auto"/>
            <w:bottom w:val="none" w:sz="0" w:space="0" w:color="auto"/>
            <w:right w:val="none" w:sz="0" w:space="0" w:color="auto"/>
          </w:divBdr>
        </w:div>
      </w:divsChild>
    </w:div>
    <w:div w:id="1576354720">
      <w:bodyDiv w:val="1"/>
      <w:marLeft w:val="0"/>
      <w:marRight w:val="0"/>
      <w:marTop w:val="0"/>
      <w:marBottom w:val="0"/>
      <w:divBdr>
        <w:top w:val="none" w:sz="0" w:space="0" w:color="auto"/>
        <w:left w:val="none" w:sz="0" w:space="0" w:color="auto"/>
        <w:bottom w:val="none" w:sz="0" w:space="0" w:color="auto"/>
        <w:right w:val="none" w:sz="0" w:space="0" w:color="auto"/>
      </w:divBdr>
    </w:div>
    <w:div w:id="1600599681">
      <w:bodyDiv w:val="1"/>
      <w:marLeft w:val="0"/>
      <w:marRight w:val="0"/>
      <w:marTop w:val="0"/>
      <w:marBottom w:val="0"/>
      <w:divBdr>
        <w:top w:val="none" w:sz="0" w:space="0" w:color="auto"/>
        <w:left w:val="none" w:sz="0" w:space="0" w:color="auto"/>
        <w:bottom w:val="none" w:sz="0" w:space="0" w:color="auto"/>
        <w:right w:val="none" w:sz="0" w:space="0" w:color="auto"/>
      </w:divBdr>
      <w:divsChild>
        <w:div w:id="257258299">
          <w:marLeft w:val="0"/>
          <w:marRight w:val="0"/>
          <w:marTop w:val="0"/>
          <w:marBottom w:val="0"/>
          <w:divBdr>
            <w:top w:val="none" w:sz="0" w:space="0" w:color="auto"/>
            <w:left w:val="none" w:sz="0" w:space="0" w:color="auto"/>
            <w:bottom w:val="none" w:sz="0" w:space="0" w:color="auto"/>
            <w:right w:val="none" w:sz="0" w:space="0" w:color="auto"/>
          </w:divBdr>
        </w:div>
        <w:div w:id="955062361">
          <w:marLeft w:val="0"/>
          <w:marRight w:val="0"/>
          <w:marTop w:val="0"/>
          <w:marBottom w:val="0"/>
          <w:divBdr>
            <w:top w:val="none" w:sz="0" w:space="0" w:color="auto"/>
            <w:left w:val="none" w:sz="0" w:space="0" w:color="auto"/>
            <w:bottom w:val="none" w:sz="0" w:space="0" w:color="auto"/>
            <w:right w:val="none" w:sz="0" w:space="0" w:color="auto"/>
          </w:divBdr>
        </w:div>
        <w:div w:id="1342464379">
          <w:marLeft w:val="0"/>
          <w:marRight w:val="0"/>
          <w:marTop w:val="0"/>
          <w:marBottom w:val="0"/>
          <w:divBdr>
            <w:top w:val="none" w:sz="0" w:space="0" w:color="auto"/>
            <w:left w:val="none" w:sz="0" w:space="0" w:color="auto"/>
            <w:bottom w:val="none" w:sz="0" w:space="0" w:color="auto"/>
            <w:right w:val="none" w:sz="0" w:space="0" w:color="auto"/>
          </w:divBdr>
        </w:div>
      </w:divsChild>
    </w:div>
    <w:div w:id="1611399868">
      <w:bodyDiv w:val="1"/>
      <w:marLeft w:val="0"/>
      <w:marRight w:val="0"/>
      <w:marTop w:val="0"/>
      <w:marBottom w:val="0"/>
      <w:divBdr>
        <w:top w:val="none" w:sz="0" w:space="0" w:color="auto"/>
        <w:left w:val="none" w:sz="0" w:space="0" w:color="auto"/>
        <w:bottom w:val="none" w:sz="0" w:space="0" w:color="auto"/>
        <w:right w:val="none" w:sz="0" w:space="0" w:color="auto"/>
      </w:divBdr>
    </w:div>
    <w:div w:id="1638144394">
      <w:bodyDiv w:val="1"/>
      <w:marLeft w:val="0"/>
      <w:marRight w:val="0"/>
      <w:marTop w:val="0"/>
      <w:marBottom w:val="0"/>
      <w:divBdr>
        <w:top w:val="none" w:sz="0" w:space="0" w:color="auto"/>
        <w:left w:val="none" w:sz="0" w:space="0" w:color="auto"/>
        <w:bottom w:val="none" w:sz="0" w:space="0" w:color="auto"/>
        <w:right w:val="none" w:sz="0" w:space="0" w:color="auto"/>
      </w:divBdr>
    </w:div>
    <w:div w:id="1675762831">
      <w:bodyDiv w:val="1"/>
      <w:marLeft w:val="0"/>
      <w:marRight w:val="0"/>
      <w:marTop w:val="0"/>
      <w:marBottom w:val="0"/>
      <w:divBdr>
        <w:top w:val="none" w:sz="0" w:space="0" w:color="auto"/>
        <w:left w:val="none" w:sz="0" w:space="0" w:color="auto"/>
        <w:bottom w:val="none" w:sz="0" w:space="0" w:color="auto"/>
        <w:right w:val="none" w:sz="0" w:space="0" w:color="auto"/>
      </w:divBdr>
    </w:div>
    <w:div w:id="1680161897">
      <w:bodyDiv w:val="1"/>
      <w:marLeft w:val="0"/>
      <w:marRight w:val="0"/>
      <w:marTop w:val="0"/>
      <w:marBottom w:val="0"/>
      <w:divBdr>
        <w:top w:val="none" w:sz="0" w:space="0" w:color="auto"/>
        <w:left w:val="none" w:sz="0" w:space="0" w:color="auto"/>
        <w:bottom w:val="none" w:sz="0" w:space="0" w:color="auto"/>
        <w:right w:val="none" w:sz="0" w:space="0" w:color="auto"/>
      </w:divBdr>
      <w:divsChild>
        <w:div w:id="375160795">
          <w:marLeft w:val="0"/>
          <w:marRight w:val="0"/>
          <w:marTop w:val="0"/>
          <w:marBottom w:val="0"/>
          <w:divBdr>
            <w:top w:val="none" w:sz="0" w:space="0" w:color="auto"/>
            <w:left w:val="none" w:sz="0" w:space="0" w:color="auto"/>
            <w:bottom w:val="none" w:sz="0" w:space="0" w:color="auto"/>
            <w:right w:val="none" w:sz="0" w:space="0" w:color="auto"/>
          </w:divBdr>
        </w:div>
        <w:div w:id="738406756">
          <w:marLeft w:val="0"/>
          <w:marRight w:val="0"/>
          <w:marTop w:val="0"/>
          <w:marBottom w:val="0"/>
          <w:divBdr>
            <w:top w:val="none" w:sz="0" w:space="0" w:color="auto"/>
            <w:left w:val="none" w:sz="0" w:space="0" w:color="auto"/>
            <w:bottom w:val="none" w:sz="0" w:space="0" w:color="auto"/>
            <w:right w:val="none" w:sz="0" w:space="0" w:color="auto"/>
          </w:divBdr>
        </w:div>
        <w:div w:id="1610237235">
          <w:marLeft w:val="0"/>
          <w:marRight w:val="0"/>
          <w:marTop w:val="0"/>
          <w:marBottom w:val="0"/>
          <w:divBdr>
            <w:top w:val="none" w:sz="0" w:space="0" w:color="auto"/>
            <w:left w:val="none" w:sz="0" w:space="0" w:color="auto"/>
            <w:bottom w:val="none" w:sz="0" w:space="0" w:color="auto"/>
            <w:right w:val="none" w:sz="0" w:space="0" w:color="auto"/>
          </w:divBdr>
        </w:div>
      </w:divsChild>
    </w:div>
    <w:div w:id="1697657226">
      <w:bodyDiv w:val="1"/>
      <w:marLeft w:val="0"/>
      <w:marRight w:val="0"/>
      <w:marTop w:val="0"/>
      <w:marBottom w:val="0"/>
      <w:divBdr>
        <w:top w:val="none" w:sz="0" w:space="0" w:color="auto"/>
        <w:left w:val="none" w:sz="0" w:space="0" w:color="auto"/>
        <w:bottom w:val="none" w:sz="0" w:space="0" w:color="auto"/>
        <w:right w:val="none" w:sz="0" w:space="0" w:color="auto"/>
      </w:divBdr>
    </w:div>
    <w:div w:id="1705867202">
      <w:bodyDiv w:val="1"/>
      <w:marLeft w:val="0"/>
      <w:marRight w:val="0"/>
      <w:marTop w:val="0"/>
      <w:marBottom w:val="0"/>
      <w:divBdr>
        <w:top w:val="none" w:sz="0" w:space="0" w:color="auto"/>
        <w:left w:val="none" w:sz="0" w:space="0" w:color="auto"/>
        <w:bottom w:val="none" w:sz="0" w:space="0" w:color="auto"/>
        <w:right w:val="none" w:sz="0" w:space="0" w:color="auto"/>
      </w:divBdr>
    </w:div>
    <w:div w:id="1714115701">
      <w:bodyDiv w:val="1"/>
      <w:marLeft w:val="0"/>
      <w:marRight w:val="0"/>
      <w:marTop w:val="0"/>
      <w:marBottom w:val="0"/>
      <w:divBdr>
        <w:top w:val="none" w:sz="0" w:space="0" w:color="auto"/>
        <w:left w:val="none" w:sz="0" w:space="0" w:color="auto"/>
        <w:bottom w:val="none" w:sz="0" w:space="0" w:color="auto"/>
        <w:right w:val="none" w:sz="0" w:space="0" w:color="auto"/>
      </w:divBdr>
    </w:div>
    <w:div w:id="1785266639">
      <w:bodyDiv w:val="1"/>
      <w:marLeft w:val="0"/>
      <w:marRight w:val="0"/>
      <w:marTop w:val="0"/>
      <w:marBottom w:val="0"/>
      <w:divBdr>
        <w:top w:val="none" w:sz="0" w:space="0" w:color="auto"/>
        <w:left w:val="none" w:sz="0" w:space="0" w:color="auto"/>
        <w:bottom w:val="none" w:sz="0" w:space="0" w:color="auto"/>
        <w:right w:val="none" w:sz="0" w:space="0" w:color="auto"/>
      </w:divBdr>
      <w:divsChild>
        <w:div w:id="205263655">
          <w:marLeft w:val="0"/>
          <w:marRight w:val="0"/>
          <w:marTop w:val="0"/>
          <w:marBottom w:val="0"/>
          <w:divBdr>
            <w:top w:val="none" w:sz="0" w:space="0" w:color="auto"/>
            <w:left w:val="none" w:sz="0" w:space="0" w:color="auto"/>
            <w:bottom w:val="none" w:sz="0" w:space="0" w:color="auto"/>
            <w:right w:val="none" w:sz="0" w:space="0" w:color="auto"/>
          </w:divBdr>
        </w:div>
        <w:div w:id="1218590567">
          <w:marLeft w:val="0"/>
          <w:marRight w:val="0"/>
          <w:marTop w:val="0"/>
          <w:marBottom w:val="0"/>
          <w:divBdr>
            <w:top w:val="none" w:sz="0" w:space="0" w:color="auto"/>
            <w:left w:val="none" w:sz="0" w:space="0" w:color="auto"/>
            <w:bottom w:val="none" w:sz="0" w:space="0" w:color="auto"/>
            <w:right w:val="none" w:sz="0" w:space="0" w:color="auto"/>
          </w:divBdr>
        </w:div>
        <w:div w:id="1401292633">
          <w:marLeft w:val="0"/>
          <w:marRight w:val="0"/>
          <w:marTop w:val="0"/>
          <w:marBottom w:val="0"/>
          <w:divBdr>
            <w:top w:val="none" w:sz="0" w:space="0" w:color="auto"/>
            <w:left w:val="none" w:sz="0" w:space="0" w:color="auto"/>
            <w:bottom w:val="none" w:sz="0" w:space="0" w:color="auto"/>
            <w:right w:val="none" w:sz="0" w:space="0" w:color="auto"/>
          </w:divBdr>
        </w:div>
      </w:divsChild>
    </w:div>
    <w:div w:id="1797915865">
      <w:bodyDiv w:val="1"/>
      <w:marLeft w:val="0"/>
      <w:marRight w:val="0"/>
      <w:marTop w:val="0"/>
      <w:marBottom w:val="0"/>
      <w:divBdr>
        <w:top w:val="none" w:sz="0" w:space="0" w:color="auto"/>
        <w:left w:val="none" w:sz="0" w:space="0" w:color="auto"/>
        <w:bottom w:val="none" w:sz="0" w:space="0" w:color="auto"/>
        <w:right w:val="none" w:sz="0" w:space="0" w:color="auto"/>
      </w:divBdr>
    </w:div>
    <w:div w:id="1906605774">
      <w:bodyDiv w:val="1"/>
      <w:marLeft w:val="0"/>
      <w:marRight w:val="0"/>
      <w:marTop w:val="0"/>
      <w:marBottom w:val="0"/>
      <w:divBdr>
        <w:top w:val="none" w:sz="0" w:space="0" w:color="auto"/>
        <w:left w:val="none" w:sz="0" w:space="0" w:color="auto"/>
        <w:bottom w:val="none" w:sz="0" w:space="0" w:color="auto"/>
        <w:right w:val="none" w:sz="0" w:space="0" w:color="auto"/>
      </w:divBdr>
    </w:div>
    <w:div w:id="1922249249">
      <w:bodyDiv w:val="1"/>
      <w:marLeft w:val="0"/>
      <w:marRight w:val="0"/>
      <w:marTop w:val="0"/>
      <w:marBottom w:val="0"/>
      <w:divBdr>
        <w:top w:val="none" w:sz="0" w:space="0" w:color="auto"/>
        <w:left w:val="none" w:sz="0" w:space="0" w:color="auto"/>
        <w:bottom w:val="none" w:sz="0" w:space="0" w:color="auto"/>
        <w:right w:val="none" w:sz="0" w:space="0" w:color="auto"/>
      </w:divBdr>
    </w:div>
    <w:div w:id="1970627469">
      <w:bodyDiv w:val="1"/>
      <w:marLeft w:val="0"/>
      <w:marRight w:val="0"/>
      <w:marTop w:val="0"/>
      <w:marBottom w:val="0"/>
      <w:divBdr>
        <w:top w:val="none" w:sz="0" w:space="0" w:color="auto"/>
        <w:left w:val="none" w:sz="0" w:space="0" w:color="auto"/>
        <w:bottom w:val="none" w:sz="0" w:space="0" w:color="auto"/>
        <w:right w:val="none" w:sz="0" w:space="0" w:color="auto"/>
      </w:divBdr>
    </w:div>
    <w:div w:id="1980070944">
      <w:bodyDiv w:val="1"/>
      <w:marLeft w:val="0"/>
      <w:marRight w:val="0"/>
      <w:marTop w:val="0"/>
      <w:marBottom w:val="0"/>
      <w:divBdr>
        <w:top w:val="none" w:sz="0" w:space="0" w:color="auto"/>
        <w:left w:val="none" w:sz="0" w:space="0" w:color="auto"/>
        <w:bottom w:val="none" w:sz="0" w:space="0" w:color="auto"/>
        <w:right w:val="none" w:sz="0" w:space="0" w:color="auto"/>
      </w:divBdr>
    </w:div>
    <w:div w:id="2003505328">
      <w:bodyDiv w:val="1"/>
      <w:marLeft w:val="0"/>
      <w:marRight w:val="0"/>
      <w:marTop w:val="0"/>
      <w:marBottom w:val="0"/>
      <w:divBdr>
        <w:top w:val="none" w:sz="0" w:space="0" w:color="auto"/>
        <w:left w:val="none" w:sz="0" w:space="0" w:color="auto"/>
        <w:bottom w:val="none" w:sz="0" w:space="0" w:color="auto"/>
        <w:right w:val="none" w:sz="0" w:space="0" w:color="auto"/>
      </w:divBdr>
    </w:div>
    <w:div w:id="2070566648">
      <w:bodyDiv w:val="1"/>
      <w:marLeft w:val="0"/>
      <w:marRight w:val="0"/>
      <w:marTop w:val="0"/>
      <w:marBottom w:val="0"/>
      <w:divBdr>
        <w:top w:val="none" w:sz="0" w:space="0" w:color="auto"/>
        <w:left w:val="none" w:sz="0" w:space="0" w:color="auto"/>
        <w:bottom w:val="none" w:sz="0" w:space="0" w:color="auto"/>
        <w:right w:val="none" w:sz="0" w:space="0" w:color="auto"/>
      </w:divBdr>
      <w:divsChild>
        <w:div w:id="20790802">
          <w:marLeft w:val="0"/>
          <w:marRight w:val="0"/>
          <w:marTop w:val="0"/>
          <w:marBottom w:val="0"/>
          <w:divBdr>
            <w:top w:val="none" w:sz="0" w:space="0" w:color="auto"/>
            <w:left w:val="none" w:sz="0" w:space="0" w:color="auto"/>
            <w:bottom w:val="none" w:sz="0" w:space="0" w:color="auto"/>
            <w:right w:val="none" w:sz="0" w:space="0" w:color="auto"/>
          </w:divBdr>
        </w:div>
        <w:div w:id="1120495249">
          <w:marLeft w:val="0"/>
          <w:marRight w:val="0"/>
          <w:marTop w:val="0"/>
          <w:marBottom w:val="0"/>
          <w:divBdr>
            <w:top w:val="none" w:sz="0" w:space="0" w:color="auto"/>
            <w:left w:val="none" w:sz="0" w:space="0" w:color="auto"/>
            <w:bottom w:val="none" w:sz="0" w:space="0" w:color="auto"/>
            <w:right w:val="none" w:sz="0" w:space="0" w:color="auto"/>
          </w:divBdr>
        </w:div>
        <w:div w:id="1490174423">
          <w:marLeft w:val="0"/>
          <w:marRight w:val="0"/>
          <w:marTop w:val="0"/>
          <w:marBottom w:val="0"/>
          <w:divBdr>
            <w:top w:val="none" w:sz="0" w:space="0" w:color="auto"/>
            <w:left w:val="none" w:sz="0" w:space="0" w:color="auto"/>
            <w:bottom w:val="none" w:sz="0" w:space="0" w:color="auto"/>
            <w:right w:val="none" w:sz="0" w:space="0" w:color="auto"/>
          </w:divBdr>
        </w:div>
        <w:div w:id="181896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action-plan-for-the-health-and-wellbeing-of-lgbtiqa-people-2025-203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collections/pregnancy-care-guidelines-and-related-documents?utm_source=health.gov.au&amp;utm_medium=redirect&amp;utm_campaign=digital_transformation&amp;utm_content=pregnancycareguide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jeanhailes.org.au/research/womens-health-survey/australian-womens-attitudes-to-menstrual-and-menopause-leave" TargetMode="External"/><Relationship Id="rId3" Type="http://schemas.openxmlformats.org/officeDocument/2006/relationships/hyperlink" Target="https://www.acrrm.org.au/docs/default-source/all-files/rural-generalist-curriculum.pdf" TargetMode="External"/><Relationship Id="rId7" Type="http://schemas.openxmlformats.org/officeDocument/2006/relationships/hyperlink" Target="http://www.jeanhailes.org.au/research/womens-health-survey/menopause-in-australian-women" TargetMode="External"/><Relationship Id="rId2" Type="http://schemas.openxmlformats.org/officeDocument/2006/relationships/hyperlink" Target="https://ranzcog.edu.au/wp-content/uploads/2022/05/Long-Acting-Reversible-Contraception.pdf" TargetMode="External"/><Relationship Id="rId1" Type="http://schemas.openxmlformats.org/officeDocument/2006/relationships/hyperlink" Target="http://www.health.govt.nz/publication/long-acting-reversible-contraception-health-practitioner-training-principles-and-standards" TargetMode="External"/><Relationship Id="rId6" Type="http://schemas.openxmlformats.org/officeDocument/2006/relationships/hyperlink" Target="http://www.jeanhailes.org.au/research/womens-health-survey/pelvic-pain-in-australian-women" TargetMode="External"/><Relationship Id="rId5" Type="http://schemas.openxmlformats.org/officeDocument/2006/relationships/hyperlink" Target="file:///C:/Users/p_streec/AppData/Local/Microsoft/Windows/INetCache/Content.Outlook/7NZZEI4X/sharethedignity.org.au/end-period-poverty/indigenous-menstrual-health" TargetMode="External"/><Relationship Id="rId4" Type="http://schemas.openxmlformats.org/officeDocument/2006/relationships/hyperlink" Target="https://www.plan.org.au/news/stories/a-tough-period/" TargetMode="External"/><Relationship Id="rId9" Type="http://schemas.openxmlformats.org/officeDocument/2006/relationships/hyperlink" Target="http://www.alswh.org.au/projects/a785a-reproductive-events-and-workforce-participation-across-the-life-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OFFICIAL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6821906ffc48bddadedf910ffd77c3b5">
  <xsd:schema xmlns:xsd="http://www.w3.org/2001/XMLSchema" xmlns:xs="http://www.w3.org/2001/XMLSchema" xmlns:p="http://schemas.microsoft.com/office/2006/metadata/properties" xmlns:ns2="CF9931B6-DEB0-461C-AE35-6B4AA476256B" targetNamespace="http://schemas.microsoft.com/office/2006/metadata/properties" ma:root="true" ma:fieldsID="0d346ea8e47f0e04556ae882c15aa490"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079C-9770-417D-A72C-92DCF95A46AB}">
  <ds:schemaRefs>
    <ds:schemaRef ds:uri="http://schemas.microsoft.com/office/2006/metadata/properties"/>
    <ds:schemaRef ds:uri="http://schemas.microsoft.com/office/infopath/2007/PartnerControls"/>
    <ds:schemaRef ds:uri="CF9931B6-DEB0-461C-AE35-6B4AA476256B"/>
  </ds:schemaRefs>
</ds:datastoreItem>
</file>

<file path=customXml/itemProps2.xml><?xml version="1.0" encoding="utf-8"?>
<ds:datastoreItem xmlns:ds="http://schemas.openxmlformats.org/officeDocument/2006/customXml" ds:itemID="{EF70430C-B914-4809-ABCF-F8277A64F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A0DC3-7999-4F30-A990-DD4A1EB27B65}">
  <ds:schemaRefs>
    <ds:schemaRef ds:uri="http://schemas.microsoft.com/sharepoint/v3/contenttype/forms"/>
  </ds:schemaRefs>
</ds:datastoreItem>
</file>

<file path=customXml/itemProps4.xml><?xml version="1.0" encoding="utf-8"?>
<ds:datastoreItem xmlns:ds="http://schemas.openxmlformats.org/officeDocument/2006/customXml" ds:itemID="{3CB80E1C-E8A9-4D83-8080-D7B0EF691EFA}">
  <ds:schemaRefs>
    <ds:schemaRef ds:uri="http://schemas.openxmlformats.org/officeDocument/2006/bibliography"/>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52</Pages>
  <Words>15680</Words>
  <Characters>93927</Characters>
  <Application>Microsoft Office Word</Application>
  <DocSecurity>0</DocSecurity>
  <Lines>1591</Lines>
  <Paragraphs>509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Interim | AGR | Work and Care</dc:subject>
  <dc:creator>BORG,Amanda</dc:creator>
  <cp:keywords/>
  <cp:lastModifiedBy>Women's Health</cp:lastModifiedBy>
  <cp:revision>5</cp:revision>
  <cp:lastPrinted>2024-08-08T04:40:00Z</cp:lastPrinted>
  <dcterms:created xsi:type="dcterms:W3CDTF">2025-01-13T22:31:00Z</dcterms:created>
  <dcterms:modified xsi:type="dcterms:W3CDTF">2025-02-10T01:05:00Z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Attending">
    <vt:lpwstr/>
  </property>
  <property fmtid="{D5CDD505-2E9C-101B-9397-08002B2CF9AE}" pid="4" name="AgencyPosition">
    <vt:lpwstr/>
  </property>
  <property fmtid="{D5CDD505-2E9C-101B-9397-08002B2CF9AE}" pid="5" name="AgencyResponsibility">
    <vt:lpwstr>Lead</vt:lpwstr>
  </property>
  <property fmtid="{D5CDD505-2E9C-101B-9397-08002B2CF9AE}" pid="6" name="ClearanceDueDate">
    <vt:lpwstr/>
  </property>
  <property fmtid="{D5CDD505-2E9C-101B-9397-08002B2CF9AE}" pid="7" name="CommitteeDueDate">
    <vt:lpwstr/>
  </property>
  <property fmtid="{D5CDD505-2E9C-101B-9397-08002B2CF9AE}" pid="8" name="CommitteeName">
    <vt:lpwstr>Select Committee on Work and Care</vt:lpwstr>
  </property>
  <property fmtid="{D5CDD505-2E9C-101B-9397-08002B2CF9AE}" pid="9" name="CommitteeType">
    <vt:lpwstr>Senate</vt:lpwstr>
  </property>
  <property fmtid="{D5CDD505-2E9C-101B-9397-08002B2CF9AE}" pid="10" name="ContactOfficer">
    <vt:lpwstr/>
  </property>
  <property fmtid="{D5CDD505-2E9C-101B-9397-08002B2CF9AE}" pid="11" name="ContactOfficerPhone">
    <vt:lpwstr/>
  </property>
  <property fmtid="{D5CDD505-2E9C-101B-9397-08002B2CF9AE}" pid="12" name="ContentTypeId">
    <vt:lpwstr>0x010100266966F133664895A6EE3632470D45F5004EA927164838BD4BB90D0ABE7093D2DA</vt:lpwstr>
  </property>
  <property fmtid="{D5CDD505-2E9C-101B-9397-08002B2CF9AE}" pid="13" name="ContributingAgency">
    <vt:lpwstr/>
  </property>
  <property fmtid="{D5CDD505-2E9C-101B-9397-08002B2CF9AE}" pid="14" name="CriticalDate">
    <vt:lpwstr/>
  </property>
  <property fmtid="{D5CDD505-2E9C-101B-9397-08002B2CF9AE}" pid="15" name="CriticalDateReason">
    <vt:lpwstr/>
  </property>
  <property fmtid="{D5CDD505-2E9C-101B-9397-08002B2CF9AE}" pid="16" name="DateFirstSentToMO">
    <vt:lpwstr/>
  </property>
  <property fmtid="{D5CDD505-2E9C-101B-9397-08002B2CF9AE}" pid="17" name="DateReferred">
    <vt:lpwstr>03 August 2022</vt:lpwstr>
  </property>
  <property fmtid="{D5CDD505-2E9C-101B-9397-08002B2CF9AE}" pid="18" name="DateSentToCommittee">
    <vt:lpwstr/>
  </property>
  <property fmtid="{D5CDD505-2E9C-101B-9397-08002B2CF9AE}" pid="19" name="DateSentToMO">
    <vt:lpwstr/>
  </property>
  <property fmtid="{D5CDD505-2E9C-101B-9397-08002B2CF9AE}" pid="20" name="Electorates">
    <vt:lpwstr> </vt:lpwstr>
  </property>
  <property fmtid="{D5CDD505-2E9C-101B-9397-08002B2CF9AE}" pid="21" name="Executives">
    <vt:lpwstr/>
  </property>
  <property fmtid="{D5CDD505-2E9C-101B-9397-08002B2CF9AE}" pid="22" name="FinalReportTitle">
    <vt:lpwstr/>
  </property>
  <property fmtid="{D5CDD505-2E9C-101B-9397-08002B2CF9AE}" pid="23" name="FinancialYear">
    <vt:lpwstr>2022 - 2023</vt:lpwstr>
  </property>
  <property fmtid="{D5CDD505-2E9C-101B-9397-08002B2CF9AE}" pid="24" name="GroupResponsible">
    <vt:lpwstr>| WR | Employment Conditions</vt:lpwstr>
  </property>
  <property fmtid="{D5CDD505-2E9C-101B-9397-08002B2CF9AE}" pid="25" name="HandlingProtocol">
    <vt:lpwstr>Standard</vt:lpwstr>
  </property>
  <property fmtid="{D5CDD505-2E9C-101B-9397-08002B2CF9AE}" pid="26" name="HansardPage">
    <vt:lpwstr/>
  </property>
  <property fmtid="{D5CDD505-2E9C-101B-9397-08002B2CF9AE}" pid="27" name="HearingDate">
    <vt:lpwstr/>
  </property>
  <property fmtid="{D5CDD505-2E9C-101B-9397-08002B2CF9AE}" pid="28" name="HearingType">
    <vt:lpwstr/>
  </property>
  <property fmtid="{D5CDD505-2E9C-101B-9397-08002B2CF9AE}" pid="29" name="ImplementationDetails">
    <vt:lpwstr/>
  </property>
  <property fmtid="{D5CDD505-2E9C-101B-9397-08002B2CF9AE}" pid="30" name="ImplementationStatus">
    <vt:lpwstr/>
  </property>
  <property fmtid="{D5CDD505-2E9C-101B-9397-08002B2CF9AE}" pid="31" name="InformationExecutive">
    <vt:lpwstr> </vt:lpwstr>
  </property>
  <property fmtid="{D5CDD505-2E9C-101B-9397-08002B2CF9AE}" pid="32" name="InformationMinister">
    <vt:lpwstr> </vt:lpwstr>
  </property>
  <property fmtid="{D5CDD505-2E9C-101B-9397-08002B2CF9AE}" pid="33" name="InitiatorAddressBlock">
    <vt:lpwstr/>
  </property>
  <property fmtid="{D5CDD505-2E9C-101B-9397-08002B2CF9AE}" pid="34" name="InitiatorAddressLine1">
    <vt:lpwstr/>
  </property>
  <property fmtid="{D5CDD505-2E9C-101B-9397-08002B2CF9AE}" pid="35" name="InitiatorAddressLine1And2">
    <vt:lpwstr/>
  </property>
  <property fmtid="{D5CDD505-2E9C-101B-9397-08002B2CF9AE}" pid="36" name="InitiatorAddressLine2">
    <vt:lpwstr/>
  </property>
  <property fmtid="{D5CDD505-2E9C-101B-9397-08002B2CF9AE}" pid="37" name="InitiatorContactDate">
    <vt:lpwstr/>
  </property>
  <property fmtid="{D5CDD505-2E9C-101B-9397-08002B2CF9AE}" pid="38" name="InitiatorContactName">
    <vt:lpwstr/>
  </property>
  <property fmtid="{D5CDD505-2E9C-101B-9397-08002B2CF9AE}" pid="39" name="InitiatorContactPosition">
    <vt:lpwstr/>
  </property>
  <property fmtid="{D5CDD505-2E9C-101B-9397-08002B2CF9AE}" pid="40" name="InitiatorCountry">
    <vt:lpwstr/>
  </property>
  <property fmtid="{D5CDD505-2E9C-101B-9397-08002B2CF9AE}" pid="41" name="InitiatorEmail">
    <vt:lpwstr/>
  </property>
  <property fmtid="{D5CDD505-2E9C-101B-9397-08002B2CF9AE}" pid="42" name="InitiatorFax">
    <vt:lpwstr/>
  </property>
  <property fmtid="{D5CDD505-2E9C-101B-9397-08002B2CF9AE}" pid="43" name="InitiatorFirstName">
    <vt:lpwstr/>
  </property>
  <property fmtid="{D5CDD505-2E9C-101B-9397-08002B2CF9AE}" pid="44" name="InitiatorFormalTitle">
    <vt:lpwstr/>
  </property>
  <property fmtid="{D5CDD505-2E9C-101B-9397-08002B2CF9AE}" pid="45" name="InitiatorFullName">
    <vt:lpwstr/>
  </property>
  <property fmtid="{D5CDD505-2E9C-101B-9397-08002B2CF9AE}" pid="46" name="InitiatorLastName">
    <vt:lpwstr/>
  </property>
  <property fmtid="{D5CDD505-2E9C-101B-9397-08002B2CF9AE}" pid="47" name="InitiatorMobile">
    <vt:lpwstr/>
  </property>
  <property fmtid="{D5CDD505-2E9C-101B-9397-08002B2CF9AE}" pid="48" name="InitiatorMPElectorate">
    <vt:lpwstr/>
  </property>
  <property fmtid="{D5CDD505-2E9C-101B-9397-08002B2CF9AE}" pid="49" name="InitiatorMPState">
    <vt:lpwstr/>
  </property>
  <property fmtid="{D5CDD505-2E9C-101B-9397-08002B2CF9AE}" pid="50" name="InitiatorName">
    <vt:lpwstr/>
  </property>
  <property fmtid="{D5CDD505-2E9C-101B-9397-08002B2CF9AE}" pid="51" name="InitiatorOnBehalfVia">
    <vt:lpwstr/>
  </property>
  <property fmtid="{D5CDD505-2E9C-101B-9397-08002B2CF9AE}" pid="52" name="InitiatorOrganisation">
    <vt:lpwstr/>
  </property>
  <property fmtid="{D5CDD505-2E9C-101B-9397-08002B2CF9AE}" pid="53" name="InitiatorOrganisationContactInformation">
    <vt:lpwstr/>
  </property>
  <property fmtid="{D5CDD505-2E9C-101B-9397-08002B2CF9AE}" pid="54" name="InitiatorOrganisationType">
    <vt:lpwstr/>
  </property>
  <property fmtid="{D5CDD505-2E9C-101B-9397-08002B2CF9AE}" pid="55" name="InitiatorOrganisationWebsite">
    <vt:lpwstr/>
  </property>
  <property fmtid="{D5CDD505-2E9C-101B-9397-08002B2CF9AE}" pid="56" name="InitiatorParliamentaryTitle">
    <vt:lpwstr/>
  </property>
  <property fmtid="{D5CDD505-2E9C-101B-9397-08002B2CF9AE}" pid="57" name="InitiatorPhone">
    <vt:lpwstr/>
  </property>
  <property fmtid="{D5CDD505-2E9C-101B-9397-08002B2CF9AE}" pid="58" name="InitiatorPostCode">
    <vt:lpwstr/>
  </property>
  <property fmtid="{D5CDD505-2E9C-101B-9397-08002B2CF9AE}" pid="59" name="InitiatorPostNominal">
    <vt:lpwstr/>
  </property>
  <property fmtid="{D5CDD505-2E9C-101B-9397-08002B2CF9AE}" pid="60" name="InitiatorState">
    <vt:lpwstr/>
  </property>
  <property fmtid="{D5CDD505-2E9C-101B-9397-08002B2CF9AE}" pid="61" name="InitiatorSuburbOrCity">
    <vt:lpwstr/>
  </property>
  <property fmtid="{D5CDD505-2E9C-101B-9397-08002B2CF9AE}" pid="62" name="InitiatorSuburbStatePostcode">
    <vt:lpwstr/>
  </property>
  <property fmtid="{D5CDD505-2E9C-101B-9397-08002B2CF9AE}" pid="63" name="InitiatorTitle">
    <vt:lpwstr/>
  </property>
  <property fmtid="{D5CDD505-2E9C-101B-9397-08002B2CF9AE}" pid="64" name="InitiatorTitledFullName">
    <vt:lpwstr/>
  </property>
  <property fmtid="{D5CDD505-2E9C-101B-9397-08002B2CF9AE}" pid="65" name="InquiryName">
    <vt:lpwstr/>
  </property>
  <property fmtid="{D5CDD505-2E9C-101B-9397-08002B2CF9AE}" pid="66" name="InquiryStatus">
    <vt:lpwstr>Hearing</vt:lpwstr>
  </property>
  <property fmtid="{D5CDD505-2E9C-101B-9397-08002B2CF9AE}" pid="67" name="InquiryType">
    <vt:lpwstr>Bill</vt:lpwstr>
  </property>
  <property fmtid="{D5CDD505-2E9C-101B-9397-08002B2CF9AE}" pid="68" name="Location">
    <vt:lpwstr/>
  </property>
  <property fmtid="{D5CDD505-2E9C-101B-9397-08002B2CF9AE}" pid="69" name="Ministers">
    <vt:lpwstr>Tony Burke</vt:lpwstr>
  </property>
  <property fmtid="{D5CDD505-2E9C-101B-9397-08002B2CF9AE}" pid="70" name="MOActionActualDate">
    <vt:lpwstr/>
  </property>
  <property fmtid="{D5CDD505-2E9C-101B-9397-08002B2CF9AE}" pid="71" name="MOActionDueDate">
    <vt:lpwstr>18 January 2023</vt:lpwstr>
  </property>
  <property fmtid="{D5CDD505-2E9C-101B-9397-08002B2CF9AE}" pid="72" name="MSIP_Label_79d889eb-932f-4752-8739-64d25806ef64_ActionId">
    <vt:lpwstr>f5738bb4-59ba-4477-8be3-beb2db90cf70</vt:lpwstr>
  </property>
  <property fmtid="{D5CDD505-2E9C-101B-9397-08002B2CF9AE}" pid="73" name="MSIP_Label_79d889eb-932f-4752-8739-64d25806ef64_ContentBits">
    <vt:lpwstr>0</vt:lpwstr>
  </property>
  <property fmtid="{D5CDD505-2E9C-101B-9397-08002B2CF9AE}" pid="74" name="MSIP_Label_79d889eb-932f-4752-8739-64d25806ef64_Enabled">
    <vt:lpwstr>true</vt:lpwstr>
  </property>
  <property fmtid="{D5CDD505-2E9C-101B-9397-08002B2CF9AE}" pid="75" name="MSIP_Label_79d889eb-932f-4752-8739-64d25806ef64_Method">
    <vt:lpwstr>Privileged</vt:lpwstr>
  </property>
  <property fmtid="{D5CDD505-2E9C-101B-9397-08002B2CF9AE}" pid="76" name="MSIP_Label_79d889eb-932f-4752-8739-64d25806ef64_Name">
    <vt:lpwstr>79d889eb-932f-4752-8739-64d25806ef64</vt:lpwstr>
  </property>
  <property fmtid="{D5CDD505-2E9C-101B-9397-08002B2CF9AE}" pid="77" name="MSIP_Label_79d889eb-932f-4752-8739-64d25806ef64_SetDate">
    <vt:lpwstr>2022-07-14T06:54:01Z</vt:lpwstr>
  </property>
  <property fmtid="{D5CDD505-2E9C-101B-9397-08002B2CF9AE}" pid="78" name="MSIP_Label_79d889eb-932f-4752-8739-64d25806ef64_SiteId">
    <vt:lpwstr>dd0cfd15-4558-4b12-8bad-ea26984fc417</vt:lpwstr>
  </property>
  <property fmtid="{D5CDD505-2E9C-101B-9397-08002B2CF9AE}" pid="79" name="ParliamentaryCommitteeNumber">
    <vt:lpwstr>PC22-000017</vt:lpwstr>
  </property>
  <property fmtid="{D5CDD505-2E9C-101B-9397-08002B2CF9AE}" pid="80" name="PdrId">
    <vt:lpwstr>GR22-000103</vt:lpwstr>
  </property>
  <property fmtid="{D5CDD505-2E9C-101B-9397-08002B2CF9AE}" pid="81" name="PlannedDate">
    <vt:lpwstr/>
  </property>
  <property fmtid="{D5CDD505-2E9C-101B-9397-08002B2CF9AE}" pid="82" name="PMApprovalDate">
    <vt:lpwstr/>
  </property>
  <property fmtid="{D5CDD505-2E9C-101B-9397-08002B2CF9AE}" pid="83" name="PositionOnPage">
    <vt:lpwstr/>
  </property>
  <property fmtid="{D5CDD505-2E9C-101B-9397-08002B2CF9AE}" pid="84" name="Principal">
    <vt:lpwstr>Minister Burke</vt:lpwstr>
  </property>
  <property fmtid="{D5CDD505-2E9C-101B-9397-08002B2CF9AE}" pid="85" name="QoNNumber">
    <vt:lpwstr/>
  </property>
  <property fmtid="{D5CDD505-2E9C-101B-9397-08002B2CF9AE}" pid="86" name="QualityCheckActualDate">
    <vt:lpwstr/>
  </property>
  <property fmtid="{D5CDD505-2E9C-101B-9397-08002B2CF9AE}" pid="87" name="QualityCheckDueDate">
    <vt:lpwstr/>
  </property>
  <property fmtid="{D5CDD505-2E9C-101B-9397-08002B2CF9AE}" pid="88" name="QuestionDate">
    <vt:lpwstr/>
  </property>
  <property fmtid="{D5CDD505-2E9C-101B-9397-08002B2CF9AE}" pid="89" name="QuestionFormat">
    <vt:lpwstr/>
  </property>
  <property fmtid="{D5CDD505-2E9C-101B-9397-08002B2CF9AE}" pid="90" name="QuestionSubmittedBy">
    <vt:lpwstr/>
  </property>
  <property fmtid="{D5CDD505-2E9C-101B-9397-08002B2CF9AE}" pid="91" name="QuestionText">
    <vt:lpwstr/>
  </property>
  <property fmtid="{D5CDD505-2E9C-101B-9397-08002B2CF9AE}" pid="92" name="ReasonForSensitivity">
    <vt:lpwstr/>
  </property>
  <property fmtid="{D5CDD505-2E9C-101B-9397-08002B2CF9AE}" pid="93" name="RecommendationText">
    <vt:lpwstr/>
  </property>
  <property fmtid="{D5CDD505-2E9C-101B-9397-08002B2CF9AE}" pid="94" name="RegisteredDate">
    <vt:lpwstr>16 December 2022</vt:lpwstr>
  </property>
  <property fmtid="{D5CDD505-2E9C-101B-9397-08002B2CF9AE}" pid="95" name="ReportingDate">
    <vt:lpwstr>18 October 2022</vt:lpwstr>
  </property>
  <property fmtid="{D5CDD505-2E9C-101B-9397-08002B2CF9AE}" pid="96" name="ReportTabledDate">
    <vt:lpwstr>18 October 2022</vt:lpwstr>
  </property>
  <property fmtid="{D5CDD505-2E9C-101B-9397-08002B2CF9AE}" pid="97" name="ReportTitle">
    <vt:lpwstr>Interim Report</vt:lpwstr>
  </property>
  <property fmtid="{D5CDD505-2E9C-101B-9397-08002B2CF9AE}" pid="98" name="ReportType">
    <vt:lpwstr>Interim</vt:lpwstr>
  </property>
  <property fmtid="{D5CDD505-2E9C-101B-9397-08002B2CF9AE}" pid="99" name="RequestedAction">
    <vt:lpwstr/>
  </property>
  <property fmtid="{D5CDD505-2E9C-101B-9397-08002B2CF9AE}" pid="100" name="ResponseDetails">
    <vt:lpwstr/>
  </property>
  <property fmtid="{D5CDD505-2E9C-101B-9397-08002B2CF9AE}" pid="101" name="ResponseDueDate">
    <vt:lpwstr>18 January 2023</vt:lpwstr>
  </property>
  <property fmtid="{D5CDD505-2E9C-101B-9397-08002B2CF9AE}" pid="102" name="ResponseStatus">
    <vt:lpwstr/>
  </property>
  <property fmtid="{D5CDD505-2E9C-101B-9397-08002B2CF9AE}" pid="103" name="ResponsibleExecutive">
    <vt:lpwstr> </vt:lpwstr>
  </property>
  <property fmtid="{D5CDD505-2E9C-101B-9397-08002B2CF9AE}" pid="104" name="ResponsibleMinister">
    <vt:lpwstr>Tony Burke</vt:lpwstr>
  </property>
  <property fmtid="{D5CDD505-2E9C-101B-9397-08002B2CF9AE}" pid="105" name="SecurityClassification">
    <vt:lpwstr>OFFICIAL  </vt:lpwstr>
  </property>
  <property fmtid="{D5CDD505-2E9C-101B-9397-08002B2CF9AE}" pid="106" name="SignedDate">
    <vt:lpwstr/>
  </property>
  <property fmtid="{D5CDD505-2E9C-101B-9397-08002B2CF9AE}" pid="107" name="Subject">
    <vt:lpwstr>Interim | AGR | Work and Care</vt:lpwstr>
  </property>
  <property fmtid="{D5CDD505-2E9C-101B-9397-08002B2CF9AE}" pid="108" name="SubmissionClosingDate">
    <vt:lpwstr>22 September 2022</vt:lpwstr>
  </property>
  <property fmtid="{D5CDD505-2E9C-101B-9397-08002B2CF9AE}" pid="109" name="SubmissionProvidedBy">
    <vt:lpwstr/>
  </property>
  <property fmtid="{D5CDD505-2E9C-101B-9397-08002B2CF9AE}" pid="110" name="SubmissionType">
    <vt:lpwstr/>
  </property>
  <property fmtid="{D5CDD505-2E9C-101B-9397-08002B2CF9AE}" pid="111" name="TabledDate">
    <vt:lpwstr/>
  </property>
  <property fmtid="{D5CDD505-2E9C-101B-9397-08002B2CF9AE}" pid="112" name="TaskSeqNo">
    <vt:lpwstr>0</vt:lpwstr>
  </property>
  <property fmtid="{D5CDD505-2E9C-101B-9397-08002B2CF9AE}" pid="113" name="TemplateSubType">
    <vt:lpwstr>Standard</vt:lpwstr>
  </property>
  <property fmtid="{D5CDD505-2E9C-101B-9397-08002B2CF9AE}" pid="114" name="TemplateType">
    <vt:lpwstr>Information Submission</vt:lpwstr>
  </property>
  <property fmtid="{D5CDD505-2E9C-101B-9397-08002B2CF9AE}" pid="115" name="TrustedGroups">
    <vt:lpwstr>Business Administrator, DLO, Limited Distribution PC, Parliamentary Coordinator PC, Ministerial Staff - Labor 2022</vt:lpwstr>
  </property>
  <property fmtid="{D5CDD505-2E9C-101B-9397-08002B2CF9AE}" pid="116" name="Witnesses">
    <vt:lpwstr/>
  </property>
  <property fmtid="{D5CDD505-2E9C-101B-9397-08002B2CF9AE}" pid="117" name="MediaServiceImageTags">
    <vt:lpwstr/>
  </property>
  <property fmtid="{D5CDD505-2E9C-101B-9397-08002B2CF9AE}" pid="118" name="ClassificationContentMarkingHeaderShapeIds">
    <vt:lpwstr>2e306c0b,4011768,a9e8994</vt:lpwstr>
  </property>
  <property fmtid="{D5CDD505-2E9C-101B-9397-08002B2CF9AE}" pid="119" name="ClassificationContentMarkingHeaderFontProps">
    <vt:lpwstr>#ff0000,12,Calibri</vt:lpwstr>
  </property>
  <property fmtid="{D5CDD505-2E9C-101B-9397-08002B2CF9AE}" pid="120" name="ClassificationContentMarkingHeaderText">
    <vt:lpwstr>OFFICIAL</vt:lpwstr>
  </property>
  <property fmtid="{D5CDD505-2E9C-101B-9397-08002B2CF9AE}" pid="121" name="ClassificationContentMarkingFooterShapeIds">
    <vt:lpwstr>5f9d8d97,b4fd788,6489eeb7</vt:lpwstr>
  </property>
  <property fmtid="{D5CDD505-2E9C-101B-9397-08002B2CF9AE}" pid="122" name="ClassificationContentMarkingFooterFontProps">
    <vt:lpwstr>#ff0000,12,Calibri</vt:lpwstr>
  </property>
  <property fmtid="{D5CDD505-2E9C-101B-9397-08002B2CF9AE}" pid="123" name="ClassificationContentMarkingFooterText">
    <vt:lpwstr>OFFICIAL</vt:lpwstr>
  </property>
</Properties>
</file>