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91BA" w14:textId="21F99D52" w:rsidR="00F2289D" w:rsidRPr="00ED64EA" w:rsidRDefault="00F2289D" w:rsidP="006F4F40">
      <w:pPr>
        <w:pStyle w:val="Title"/>
      </w:pPr>
      <w:r w:rsidRPr="00ED64EA">
        <w:t>Technical supplement</w:t>
      </w:r>
      <w:r w:rsidR="00406D81">
        <w:t xml:space="preserve"> – </w:t>
      </w:r>
    </w:p>
    <w:p w14:paraId="5717B195" w14:textId="74A6B28D" w:rsidR="00AB07D5" w:rsidRPr="00ED64EA" w:rsidRDefault="00F2289D" w:rsidP="00ED64EA">
      <w:pPr>
        <w:pStyle w:val="Subtitle"/>
      </w:pPr>
      <w:r w:rsidRPr="00ED64EA">
        <w:t>Australian Respiratory Surveillance Report</w:t>
      </w:r>
    </w:p>
    <w:p w14:paraId="00C5DADE" w14:textId="72834256" w:rsidR="009F4231" w:rsidRPr="009F4231" w:rsidRDefault="009F4231" w:rsidP="00ED64EA">
      <w:pPr>
        <w:pStyle w:val="Subtitle"/>
      </w:pPr>
    </w:p>
    <w:p w14:paraId="416A2268" w14:textId="77777777" w:rsidR="009F4231" w:rsidRPr="009F4231" w:rsidRDefault="009F4231" w:rsidP="009F4231">
      <w:pPr>
        <w:sectPr w:rsidR="009F4231" w:rsidRPr="009F4231" w:rsidSect="00F57299">
          <w:headerReference w:type="first" r:id="rId11"/>
          <w:type w:val="continuous"/>
          <w:pgSz w:w="11906" w:h="16838"/>
          <w:pgMar w:top="1440" w:right="1080" w:bottom="1440" w:left="1080" w:header="850" w:footer="709" w:gutter="0"/>
          <w:cols w:space="708"/>
          <w:titlePg/>
          <w:docGrid w:linePitch="360"/>
        </w:sectPr>
      </w:pPr>
    </w:p>
    <w:p w14:paraId="36A3C4A3" w14:textId="77777777" w:rsidR="00553322" w:rsidRPr="001C58D4" w:rsidRDefault="00553322" w:rsidP="005C1C3A">
      <w:pPr>
        <w:pStyle w:val="Heading1"/>
      </w:pPr>
      <w:r>
        <w:lastRenderedPageBreak/>
        <w:t>Summary</w:t>
      </w:r>
    </w:p>
    <w:p w14:paraId="603A91F0" w14:textId="3A282163" w:rsidR="00625FBB" w:rsidRPr="00047A61" w:rsidRDefault="00553322" w:rsidP="000D3C06">
      <w:pPr>
        <w:rPr>
          <w:rFonts w:cs="Arial"/>
          <w:shd w:val="clear" w:color="auto" w:fill="FFFFFF"/>
        </w:rPr>
      </w:pPr>
      <w:r>
        <w:t>This supplement to the series of Australian Respiratory Surveillance Report</w:t>
      </w:r>
      <w:r w:rsidR="002911F2">
        <w:t>s</w:t>
      </w:r>
      <w:r>
        <w:t xml:space="preserve"> describes the technical background to </w:t>
      </w:r>
      <w:r w:rsidR="00C34CBA">
        <w:t xml:space="preserve">Australia’s </w:t>
      </w:r>
      <w:r>
        <w:t xml:space="preserve">surveillance </w:t>
      </w:r>
      <w:r w:rsidR="001838F6">
        <w:t>of</w:t>
      </w:r>
      <w:r w:rsidR="007D777E">
        <w:t xml:space="preserve"> acute respiratory illnesses</w:t>
      </w:r>
      <w:r w:rsidR="00C34CBA">
        <w:t>, including</w:t>
      </w:r>
      <w:r w:rsidR="001A771F">
        <w:t xml:space="preserve"> </w:t>
      </w:r>
      <w:r w:rsidR="00EA0BC9">
        <w:t>coronavirus disease 2019 (COVID-19)</w:t>
      </w:r>
      <w:r w:rsidR="001A771F">
        <w:t>, influenza</w:t>
      </w:r>
      <w:r w:rsidR="4F7F2433">
        <w:t>,</w:t>
      </w:r>
      <w:r w:rsidR="001A771F">
        <w:t xml:space="preserve"> and </w:t>
      </w:r>
      <w:r w:rsidR="008F3E3A">
        <w:t>respiratory syncytial virus (RSV)</w:t>
      </w:r>
      <w:r w:rsidR="001A771F">
        <w:t>.</w:t>
      </w:r>
      <w:r w:rsidR="009E2EC8">
        <w:t xml:space="preserve"> </w:t>
      </w:r>
      <w:r w:rsidR="00F935D2">
        <w:t xml:space="preserve">The </w:t>
      </w:r>
      <w:r w:rsidR="00565170">
        <w:t xml:space="preserve">technical </w:t>
      </w:r>
      <w:r w:rsidR="00E916C2">
        <w:t>supplement</w:t>
      </w:r>
      <w:r w:rsidR="00565170">
        <w:t xml:space="preserve"> </w:t>
      </w:r>
      <w:r w:rsidR="00B13A66">
        <w:t>describes</w:t>
      </w:r>
      <w:r w:rsidR="004A48D6">
        <w:t xml:space="preserve"> each of the data sources</w:t>
      </w:r>
      <w:r w:rsidR="00BE42A2">
        <w:t xml:space="preserve"> </w:t>
      </w:r>
      <w:r w:rsidR="00742660">
        <w:t>used</w:t>
      </w:r>
      <w:r w:rsidR="00BE42A2">
        <w:t xml:space="preserve"> and </w:t>
      </w:r>
      <w:r w:rsidR="006348DF">
        <w:t>any associated</w:t>
      </w:r>
      <w:r w:rsidR="00BE42A2">
        <w:t xml:space="preserve"> data considerations for </w:t>
      </w:r>
      <w:r w:rsidR="00E068B1">
        <w:t>the</w:t>
      </w:r>
      <w:r w:rsidR="00BE42A2">
        <w:t xml:space="preserve"> surveillance data</w:t>
      </w:r>
      <w:r w:rsidR="000548D5">
        <w:t>.</w:t>
      </w:r>
      <w:r w:rsidR="00565170">
        <w:t xml:space="preserve"> </w:t>
      </w:r>
      <w:r w:rsidR="009C00C0">
        <w:t>Further</w:t>
      </w:r>
      <w:r w:rsidR="00625FBB">
        <w:t xml:space="preserve"> information </w:t>
      </w:r>
      <w:r w:rsidR="14E8CAFE">
        <w:t xml:space="preserve">on </w:t>
      </w:r>
      <w:r w:rsidR="00B13FA9">
        <w:t xml:space="preserve">Australia’s </w:t>
      </w:r>
      <w:r w:rsidR="00625FBB">
        <w:t xml:space="preserve">national surveillance </w:t>
      </w:r>
      <w:r w:rsidR="005B1091">
        <w:t xml:space="preserve">of </w:t>
      </w:r>
      <w:r w:rsidR="00B13FA9">
        <w:t xml:space="preserve">these viruses </w:t>
      </w:r>
      <w:r w:rsidR="00E60532">
        <w:t xml:space="preserve">is detailed in </w:t>
      </w:r>
      <w:r w:rsidR="00D701D2">
        <w:t xml:space="preserve">the </w:t>
      </w:r>
      <w:hyperlink r:id="rId12">
        <w:r w:rsidR="006F4058" w:rsidRPr="39D224F4">
          <w:rPr>
            <w:rStyle w:val="Hyperlink"/>
          </w:rPr>
          <w:t>Australian National Surveillance Plan for COVID-19, Influenza and RSV</w:t>
        </w:r>
      </w:hyperlink>
      <w:r w:rsidR="006F4058">
        <w:t>.</w:t>
      </w:r>
      <w:r w:rsidR="006F4058" w:rsidRPr="39D224F4">
        <w:rPr>
          <w:vertAlign w:val="superscript"/>
        </w:rPr>
        <w:t>1</w:t>
      </w:r>
    </w:p>
    <w:p w14:paraId="073F1E5C" w14:textId="26B30A94" w:rsidR="00553322" w:rsidRPr="005C1C3A" w:rsidRDefault="00553322" w:rsidP="005C1C3A">
      <w:pPr>
        <w:pStyle w:val="Heading1"/>
      </w:pPr>
      <w:r w:rsidRPr="005C1C3A">
        <w:t>Background</w:t>
      </w:r>
    </w:p>
    <w:p w14:paraId="04D761FB" w14:textId="5E5CE849" w:rsidR="00A42514" w:rsidRPr="002D5389" w:rsidRDefault="008339C9" w:rsidP="00336616">
      <w:r w:rsidRPr="002D5389">
        <w:t xml:space="preserve">COVID-19, influenza, and RSV are acute </w:t>
      </w:r>
      <w:r w:rsidR="00372B83" w:rsidRPr="002D5389">
        <w:t xml:space="preserve">viral </w:t>
      </w:r>
      <w:r w:rsidRPr="002D5389">
        <w:t xml:space="preserve">respiratory </w:t>
      </w:r>
      <w:r w:rsidR="002774D1" w:rsidRPr="002D5389">
        <w:t>infections</w:t>
      </w:r>
      <w:r w:rsidR="00852079" w:rsidRPr="002D5389">
        <w:t xml:space="preserve"> </w:t>
      </w:r>
      <w:r w:rsidR="002F0382" w:rsidRPr="002D5389">
        <w:t xml:space="preserve">that spread from person to person by </w:t>
      </w:r>
      <w:r w:rsidR="009C48C3" w:rsidRPr="002D5389">
        <w:t xml:space="preserve">infectious </w:t>
      </w:r>
      <w:r w:rsidR="002F0382" w:rsidRPr="002D5389">
        <w:t xml:space="preserve">respiratory particles </w:t>
      </w:r>
      <w:r w:rsidR="00520E97" w:rsidRPr="002D5389">
        <w:t>that are transmitted through the air after</w:t>
      </w:r>
      <w:r w:rsidR="002F0382" w:rsidRPr="002D5389">
        <w:t xml:space="preserve"> an infected person </w:t>
      </w:r>
      <w:r w:rsidR="0057258E" w:rsidRPr="002D5389">
        <w:t>breath</w:t>
      </w:r>
      <w:r w:rsidR="7932C72D" w:rsidRPr="002D5389">
        <w:t>e</w:t>
      </w:r>
      <w:r w:rsidR="0057258E" w:rsidRPr="002D5389">
        <w:t xml:space="preserve">s, </w:t>
      </w:r>
      <w:r w:rsidR="002F0382" w:rsidRPr="002D5389">
        <w:t>coughs, sneezes</w:t>
      </w:r>
      <w:r w:rsidR="001C1DF1" w:rsidRPr="002D5389">
        <w:t>,</w:t>
      </w:r>
      <w:r w:rsidR="002F0382" w:rsidRPr="002D5389">
        <w:t xml:space="preserve"> or talks</w:t>
      </w:r>
      <w:r w:rsidR="008B695D" w:rsidRPr="002D5389">
        <w:t xml:space="preserve">. </w:t>
      </w:r>
      <w:r w:rsidR="00E90624" w:rsidRPr="002D5389">
        <w:t xml:space="preserve">Although there are similarities in </w:t>
      </w:r>
      <w:r w:rsidR="00AB7DD4" w:rsidRPr="002D5389">
        <w:t xml:space="preserve">the symptoms </w:t>
      </w:r>
      <w:r w:rsidR="002744EA" w:rsidRPr="002D5389">
        <w:t>of these infections</w:t>
      </w:r>
      <w:r w:rsidR="00D01513" w:rsidRPr="002D5389">
        <w:t xml:space="preserve">, </w:t>
      </w:r>
      <w:r w:rsidR="00111BB0" w:rsidRPr="002D5389">
        <w:t xml:space="preserve">they are </w:t>
      </w:r>
      <w:r w:rsidR="00462B73" w:rsidRPr="002D5389">
        <w:t xml:space="preserve">distinct viruses </w:t>
      </w:r>
      <w:r w:rsidR="00AB7693" w:rsidRPr="002D5389">
        <w:t xml:space="preserve">with </w:t>
      </w:r>
      <w:r w:rsidR="003F5347" w:rsidRPr="002D5389">
        <w:t xml:space="preserve">differences in their </w:t>
      </w:r>
      <w:r w:rsidR="00F83B03" w:rsidRPr="002D5389">
        <w:t>epidemiology</w:t>
      </w:r>
      <w:r w:rsidR="003057A9" w:rsidRPr="002D5389">
        <w:t>, including</w:t>
      </w:r>
      <w:r w:rsidR="00462B73" w:rsidRPr="002D5389">
        <w:t xml:space="preserve"> </w:t>
      </w:r>
      <w:r w:rsidR="007B0F2F" w:rsidRPr="002D5389">
        <w:t>who is most at risk for infection and severe disease.</w:t>
      </w:r>
      <w:r w:rsidR="00AE24A4" w:rsidRPr="002D5389">
        <w:rPr>
          <w:vertAlign w:val="superscript"/>
        </w:rPr>
        <w:t>2</w:t>
      </w:r>
    </w:p>
    <w:p w14:paraId="19C176C2" w14:textId="1DD8F5FD" w:rsidR="00336616" w:rsidRPr="00C85AAA" w:rsidRDefault="00347337" w:rsidP="00336616">
      <w:r w:rsidRPr="002D5389">
        <w:t>S</w:t>
      </w:r>
      <w:r w:rsidR="004B369F" w:rsidRPr="002D5389">
        <w:t xml:space="preserve">evere acute respiratory </w:t>
      </w:r>
      <w:r w:rsidR="009841CE" w:rsidRPr="002D5389">
        <w:t xml:space="preserve">syndrome coronavirus 2 (SARS-CoV-2), </w:t>
      </w:r>
      <w:r w:rsidR="00191706" w:rsidRPr="002D5389">
        <w:t xml:space="preserve">the virus </w:t>
      </w:r>
      <w:r w:rsidR="009841CE" w:rsidRPr="002D5389">
        <w:t>responsible for the COVID-19</w:t>
      </w:r>
      <w:r w:rsidR="005705AD" w:rsidRPr="002D5389">
        <w:t xml:space="preserve"> pandemic</w:t>
      </w:r>
      <w:r w:rsidRPr="002D5389">
        <w:t>, emerged in Wuhan, China, in late 2019.</w:t>
      </w:r>
      <w:r w:rsidR="005F0925" w:rsidRPr="002D5389">
        <w:rPr>
          <w:vertAlign w:val="superscript"/>
        </w:rPr>
        <w:t>3</w:t>
      </w:r>
      <w:r w:rsidR="00CD7651" w:rsidRPr="002D5389">
        <w:t xml:space="preserve"> </w:t>
      </w:r>
      <w:r w:rsidR="00C13EF0" w:rsidRPr="002D5389">
        <w:t>S</w:t>
      </w:r>
      <w:r w:rsidR="00A10BCE" w:rsidRPr="002D5389">
        <w:t>ince that time</w:t>
      </w:r>
      <w:r w:rsidR="004D2C60" w:rsidRPr="002D5389">
        <w:t>,</w:t>
      </w:r>
      <w:r w:rsidR="00A10BCE" w:rsidRPr="002D5389">
        <w:t xml:space="preserve"> COVID-19 transmission </w:t>
      </w:r>
      <w:r w:rsidR="00BA5CA8" w:rsidRPr="002D5389">
        <w:t>in Australia has occurred</w:t>
      </w:r>
      <w:r w:rsidR="006E3E27" w:rsidRPr="002D5389">
        <w:t xml:space="preserve"> in waves</w:t>
      </w:r>
      <w:r w:rsidR="00BA5CA8" w:rsidRPr="002D5389">
        <w:t>,</w:t>
      </w:r>
      <w:r w:rsidR="00B5118F" w:rsidRPr="002D5389">
        <w:t xml:space="preserve"> with no strong seasonal trend</w:t>
      </w:r>
      <w:r w:rsidR="006E3E27" w:rsidRPr="002D5389">
        <w:t>.</w:t>
      </w:r>
      <w:r w:rsidR="004337D5" w:rsidRPr="002D5389">
        <w:rPr>
          <w:vertAlign w:val="superscript"/>
        </w:rPr>
        <w:t>4</w:t>
      </w:r>
      <w:r w:rsidR="006A7FDC" w:rsidRPr="002D5389" w:rsidDel="002F0382">
        <w:t xml:space="preserve"> </w:t>
      </w:r>
      <w:r w:rsidR="006A36E9" w:rsidRPr="002D5389">
        <w:rPr>
          <w:szCs w:val="22"/>
        </w:rPr>
        <w:t xml:space="preserve">Usually, people experience </w:t>
      </w:r>
      <w:r w:rsidR="00CA27ED" w:rsidRPr="002D5389">
        <w:rPr>
          <w:szCs w:val="22"/>
        </w:rPr>
        <w:t xml:space="preserve">the onset of </w:t>
      </w:r>
      <w:r w:rsidR="006A36E9" w:rsidRPr="002D5389">
        <w:rPr>
          <w:szCs w:val="22"/>
        </w:rPr>
        <w:t xml:space="preserve">symptoms anywhere from two to five days, </w:t>
      </w:r>
      <w:r w:rsidR="001A3CE1" w:rsidRPr="002D5389">
        <w:rPr>
          <w:szCs w:val="22"/>
        </w:rPr>
        <w:t xml:space="preserve">but </w:t>
      </w:r>
      <w:r w:rsidR="00E61A56" w:rsidRPr="002D5389">
        <w:rPr>
          <w:szCs w:val="22"/>
        </w:rPr>
        <w:t>sometimes</w:t>
      </w:r>
      <w:r w:rsidR="006A36E9" w:rsidRPr="002D5389">
        <w:rPr>
          <w:szCs w:val="22"/>
        </w:rPr>
        <w:t xml:space="preserve"> up to 14 days</w:t>
      </w:r>
      <w:r w:rsidR="00457193" w:rsidRPr="002D5389">
        <w:rPr>
          <w:szCs w:val="22"/>
        </w:rPr>
        <w:t>,</w:t>
      </w:r>
      <w:r w:rsidR="006A36E9" w:rsidRPr="002D5389">
        <w:rPr>
          <w:szCs w:val="22"/>
        </w:rPr>
        <w:t xml:space="preserve"> after infection. </w:t>
      </w:r>
      <w:r w:rsidR="00BC7A3D" w:rsidRPr="002D5389">
        <w:rPr>
          <w:szCs w:val="22"/>
        </w:rPr>
        <w:t>The most</w:t>
      </w:r>
      <w:r w:rsidR="00A46B56" w:rsidRPr="002D5389">
        <w:rPr>
          <w:szCs w:val="22"/>
        </w:rPr>
        <w:t xml:space="preserve"> common</w:t>
      </w:r>
      <w:r w:rsidR="00402370" w:rsidRPr="002D5389">
        <w:rPr>
          <w:szCs w:val="22"/>
        </w:rPr>
        <w:t xml:space="preserve"> </w:t>
      </w:r>
      <w:r w:rsidR="00BC7A3D" w:rsidRPr="002D5389">
        <w:rPr>
          <w:szCs w:val="22"/>
        </w:rPr>
        <w:t>symptoms are feve</w:t>
      </w:r>
      <w:r w:rsidR="002B3250" w:rsidRPr="002D5389">
        <w:rPr>
          <w:szCs w:val="22"/>
        </w:rPr>
        <w:t>r,</w:t>
      </w:r>
      <w:r w:rsidR="00BC7A3D" w:rsidRPr="002D5389">
        <w:rPr>
          <w:szCs w:val="22"/>
        </w:rPr>
        <w:t xml:space="preserve"> chills</w:t>
      </w:r>
      <w:r w:rsidR="00D1366F" w:rsidRPr="002D5389">
        <w:rPr>
          <w:szCs w:val="22"/>
        </w:rPr>
        <w:t>,</w:t>
      </w:r>
      <w:r w:rsidR="002B3250" w:rsidRPr="002D5389">
        <w:rPr>
          <w:szCs w:val="22"/>
        </w:rPr>
        <w:t xml:space="preserve"> cough, </w:t>
      </w:r>
      <w:r w:rsidR="00134AF9" w:rsidRPr="002D5389">
        <w:rPr>
          <w:szCs w:val="22"/>
        </w:rPr>
        <w:t>loss of</w:t>
      </w:r>
      <w:r w:rsidR="003157F0" w:rsidRPr="002D5389">
        <w:rPr>
          <w:szCs w:val="22"/>
        </w:rPr>
        <w:t xml:space="preserve"> taste or smell,</w:t>
      </w:r>
      <w:r w:rsidR="002100C0" w:rsidRPr="002D5389">
        <w:t xml:space="preserve"> runny nose, </w:t>
      </w:r>
      <w:r w:rsidR="00D1366F" w:rsidRPr="002D5389">
        <w:rPr>
          <w:szCs w:val="22"/>
        </w:rPr>
        <w:t>sore throat</w:t>
      </w:r>
      <w:r w:rsidR="00F46AAC" w:rsidRPr="002D5389">
        <w:rPr>
          <w:szCs w:val="22"/>
        </w:rPr>
        <w:t xml:space="preserve"> and tiredness</w:t>
      </w:r>
      <w:r w:rsidR="00B541D6" w:rsidRPr="002D5389">
        <w:rPr>
          <w:szCs w:val="22"/>
        </w:rPr>
        <w:t>.</w:t>
      </w:r>
      <w:bookmarkStart w:id="0" w:name="_Hlk163474172"/>
      <w:r w:rsidR="008F5500" w:rsidRPr="002D5389">
        <w:rPr>
          <w:szCs w:val="22"/>
          <w:vertAlign w:val="superscript"/>
        </w:rPr>
        <w:t>5</w:t>
      </w:r>
      <w:bookmarkEnd w:id="0"/>
      <w:r w:rsidR="00C2172F" w:rsidRPr="002D5389">
        <w:rPr>
          <w:szCs w:val="22"/>
          <w:vertAlign w:val="superscript"/>
        </w:rPr>
        <w:t>,6</w:t>
      </w:r>
      <w:r w:rsidR="00141ABD" w:rsidRPr="002D5389">
        <w:rPr>
          <w:szCs w:val="22"/>
        </w:rPr>
        <w:t xml:space="preserve"> Some people</w:t>
      </w:r>
      <w:r w:rsidR="00812B0A" w:rsidRPr="002D5389">
        <w:rPr>
          <w:szCs w:val="22"/>
        </w:rPr>
        <w:t xml:space="preserve"> </w:t>
      </w:r>
      <w:r w:rsidR="00141ABD" w:rsidRPr="002D5389">
        <w:rPr>
          <w:szCs w:val="22"/>
        </w:rPr>
        <w:t>do not experience any symptoms</w:t>
      </w:r>
      <w:r w:rsidR="00812B0A" w:rsidRPr="002D5389">
        <w:rPr>
          <w:szCs w:val="22"/>
        </w:rPr>
        <w:t xml:space="preserve"> </w:t>
      </w:r>
      <w:r w:rsidR="00141ABD" w:rsidRPr="002D5389">
        <w:rPr>
          <w:szCs w:val="22"/>
        </w:rPr>
        <w:t xml:space="preserve">but can still </w:t>
      </w:r>
      <w:r w:rsidR="007A7981" w:rsidRPr="002D5389">
        <w:rPr>
          <w:szCs w:val="22"/>
        </w:rPr>
        <w:t>spread</w:t>
      </w:r>
      <w:r w:rsidR="00141ABD" w:rsidRPr="002D5389">
        <w:rPr>
          <w:szCs w:val="22"/>
        </w:rPr>
        <w:t xml:space="preserve"> </w:t>
      </w:r>
      <w:r w:rsidR="00483A9F" w:rsidRPr="002D5389">
        <w:rPr>
          <w:szCs w:val="22"/>
        </w:rPr>
        <w:t>SARS-CoV-2</w:t>
      </w:r>
      <w:r w:rsidR="002B0EBA" w:rsidRPr="002D5389">
        <w:rPr>
          <w:szCs w:val="22"/>
        </w:rPr>
        <w:t xml:space="preserve"> to other people</w:t>
      </w:r>
      <w:r w:rsidR="00141ABD" w:rsidRPr="002D5389">
        <w:rPr>
          <w:szCs w:val="22"/>
        </w:rPr>
        <w:t>.</w:t>
      </w:r>
      <w:r w:rsidR="00674930" w:rsidRPr="002D5389">
        <w:rPr>
          <w:szCs w:val="22"/>
          <w:vertAlign w:val="superscript"/>
        </w:rPr>
        <w:t>5</w:t>
      </w:r>
      <w:r w:rsidR="00674930" w:rsidRPr="002D5389">
        <w:rPr>
          <w:szCs w:val="22"/>
        </w:rPr>
        <w:t xml:space="preserve"> </w:t>
      </w:r>
      <w:r w:rsidR="00170E13" w:rsidRPr="002D5389">
        <w:rPr>
          <w:szCs w:val="22"/>
        </w:rPr>
        <w:t xml:space="preserve">Most people </w:t>
      </w:r>
      <w:r w:rsidR="009673D9" w:rsidRPr="002D5389">
        <w:rPr>
          <w:szCs w:val="22"/>
        </w:rPr>
        <w:t xml:space="preserve">experience a mild illness and </w:t>
      </w:r>
      <w:r w:rsidR="00170E13" w:rsidRPr="002D5389">
        <w:rPr>
          <w:szCs w:val="22"/>
        </w:rPr>
        <w:t xml:space="preserve">recover without </w:t>
      </w:r>
      <w:r w:rsidR="00055B29" w:rsidRPr="002D5389">
        <w:rPr>
          <w:szCs w:val="22"/>
        </w:rPr>
        <w:t xml:space="preserve">needing </w:t>
      </w:r>
      <w:r w:rsidR="00170E13" w:rsidRPr="002D5389">
        <w:rPr>
          <w:szCs w:val="22"/>
        </w:rPr>
        <w:t>treatment</w:t>
      </w:r>
      <w:r w:rsidR="00055B29" w:rsidRPr="002D5389">
        <w:rPr>
          <w:szCs w:val="22"/>
        </w:rPr>
        <w:t xml:space="preserve"> in a hospital</w:t>
      </w:r>
      <w:r w:rsidR="00170E13" w:rsidRPr="002D5389">
        <w:rPr>
          <w:szCs w:val="22"/>
        </w:rPr>
        <w:t>.</w:t>
      </w:r>
      <w:r w:rsidR="00830850" w:rsidRPr="002D5389">
        <w:rPr>
          <w:vertAlign w:val="superscript"/>
        </w:rPr>
        <w:t>2</w:t>
      </w:r>
      <w:r w:rsidR="00863BB0" w:rsidRPr="002D5389">
        <w:rPr>
          <w:vertAlign w:val="superscript"/>
        </w:rPr>
        <w:t>,5</w:t>
      </w:r>
      <w:r w:rsidR="00B1069C" w:rsidRPr="002D5389">
        <w:rPr>
          <w:vertAlign w:val="superscript"/>
        </w:rPr>
        <w:t>,6</w:t>
      </w:r>
      <w:r w:rsidR="00830850" w:rsidRPr="002D5389">
        <w:rPr>
          <w:szCs w:val="22"/>
        </w:rPr>
        <w:t xml:space="preserve"> </w:t>
      </w:r>
      <w:r w:rsidR="00E923C5" w:rsidRPr="002D5389">
        <w:t>S</w:t>
      </w:r>
      <w:r w:rsidR="009235AA" w:rsidRPr="002D5389">
        <w:t>ome</w:t>
      </w:r>
      <w:r w:rsidR="002F5035" w:rsidRPr="002D5389">
        <w:t xml:space="preserve"> </w:t>
      </w:r>
      <w:r w:rsidR="00604C8D" w:rsidRPr="002D5389">
        <w:t>people</w:t>
      </w:r>
      <w:r w:rsidR="002F5035" w:rsidRPr="002D5389">
        <w:t xml:space="preserve"> </w:t>
      </w:r>
      <w:r w:rsidR="009235AA" w:rsidRPr="002D5389">
        <w:t>experience</w:t>
      </w:r>
      <w:r w:rsidR="002F5035" w:rsidRPr="002D5389">
        <w:t xml:space="preserve"> more severe </w:t>
      </w:r>
      <w:r w:rsidR="00604C8D" w:rsidRPr="002D5389">
        <w:t>disease</w:t>
      </w:r>
      <w:r w:rsidR="002F5035" w:rsidRPr="002D5389">
        <w:t xml:space="preserve">, such as </w:t>
      </w:r>
      <w:r w:rsidR="00355006" w:rsidRPr="002D5389">
        <w:t xml:space="preserve">difficulty breathing </w:t>
      </w:r>
      <w:r w:rsidR="004A76AC" w:rsidRPr="002D5389">
        <w:t>or</w:t>
      </w:r>
      <w:r w:rsidR="002F5035" w:rsidRPr="002D5389">
        <w:t xml:space="preserve"> pneumonia</w:t>
      </w:r>
      <w:r w:rsidR="00AF475C" w:rsidRPr="002D5389">
        <w:t xml:space="preserve"> (an infection of the lungs)</w:t>
      </w:r>
      <w:r w:rsidR="002F5035" w:rsidRPr="002D5389">
        <w:t xml:space="preserve">, </w:t>
      </w:r>
      <w:r w:rsidR="004A76AC" w:rsidRPr="002D5389">
        <w:t>and will need</w:t>
      </w:r>
      <w:r w:rsidR="00441B30" w:rsidRPr="002D5389">
        <w:t xml:space="preserve"> treatment in hospital</w:t>
      </w:r>
      <w:r w:rsidR="00830850" w:rsidRPr="002D5389">
        <w:t>.</w:t>
      </w:r>
      <w:r w:rsidR="00830850" w:rsidRPr="002D5389">
        <w:rPr>
          <w:vertAlign w:val="superscript"/>
        </w:rPr>
        <w:t>2</w:t>
      </w:r>
      <w:r w:rsidR="00773DBE" w:rsidRPr="002D5389">
        <w:rPr>
          <w:vertAlign w:val="superscript"/>
        </w:rPr>
        <w:t>,5</w:t>
      </w:r>
      <w:r w:rsidR="00830850" w:rsidRPr="002D5389">
        <w:t xml:space="preserve"> </w:t>
      </w:r>
      <w:r w:rsidR="002F5035" w:rsidRPr="002D5389">
        <w:t>Severe</w:t>
      </w:r>
      <w:r w:rsidR="00C0509C" w:rsidRPr="002D5389">
        <w:t xml:space="preserve"> illness </w:t>
      </w:r>
      <w:r w:rsidR="00F130C2" w:rsidRPr="002D5389">
        <w:t xml:space="preserve">is </w:t>
      </w:r>
      <w:r w:rsidR="002F5035" w:rsidRPr="002D5389">
        <w:t xml:space="preserve">more common among </w:t>
      </w:r>
      <w:r w:rsidR="00C2532E" w:rsidRPr="002D5389">
        <w:rPr>
          <w:lang w:val="en-US"/>
        </w:rPr>
        <w:t>adults aged 70 years or older</w:t>
      </w:r>
      <w:r w:rsidR="00336616" w:rsidRPr="002D5389">
        <w:rPr>
          <w:lang w:val="en-US"/>
        </w:rPr>
        <w:t xml:space="preserve">, Aboriginal and Torres Strait Islander people, </w:t>
      </w:r>
      <w:r w:rsidR="0036008A" w:rsidRPr="002D5389">
        <w:rPr>
          <w:lang w:val="en-US"/>
        </w:rPr>
        <w:t>people who are not vaccinated against COVID-19,</w:t>
      </w:r>
      <w:r w:rsidR="00EE3037" w:rsidRPr="002D5389">
        <w:rPr>
          <w:lang w:val="en-US"/>
        </w:rPr>
        <w:t xml:space="preserve"> p</w:t>
      </w:r>
      <w:r w:rsidR="0033494C" w:rsidRPr="002D5389">
        <w:rPr>
          <w:lang w:val="en-US"/>
        </w:rPr>
        <w:t>eople who are p</w:t>
      </w:r>
      <w:r w:rsidR="00EE3037" w:rsidRPr="002D5389">
        <w:rPr>
          <w:lang w:val="en-US"/>
        </w:rPr>
        <w:t>regnant</w:t>
      </w:r>
      <w:r w:rsidR="009F5EAD" w:rsidRPr="002D5389">
        <w:rPr>
          <w:lang w:val="en-US"/>
        </w:rPr>
        <w:t>,</w:t>
      </w:r>
      <w:r w:rsidR="00F130C2" w:rsidRPr="002D5389">
        <w:rPr>
          <w:lang w:val="en-US"/>
        </w:rPr>
        <w:t xml:space="preserve"> and</w:t>
      </w:r>
      <w:r w:rsidR="0036008A" w:rsidRPr="002D5389">
        <w:rPr>
          <w:lang w:val="en-US"/>
        </w:rPr>
        <w:t xml:space="preserve"> </w:t>
      </w:r>
      <w:bookmarkStart w:id="1" w:name="_Hlk162286181"/>
      <w:r w:rsidR="00336616" w:rsidRPr="002D5389">
        <w:rPr>
          <w:lang w:val="en-US"/>
        </w:rPr>
        <w:t>people living with disability or chronic health conditions</w:t>
      </w:r>
      <w:bookmarkEnd w:id="1"/>
      <w:r w:rsidR="00336616" w:rsidRPr="002D5389">
        <w:rPr>
          <w:lang w:val="en-US"/>
        </w:rPr>
        <w:t>.</w:t>
      </w:r>
      <w:r w:rsidR="00571D8C" w:rsidRPr="002D5389">
        <w:rPr>
          <w:vertAlign w:val="superscript"/>
        </w:rPr>
        <w:t>2</w:t>
      </w:r>
      <w:r w:rsidR="00DD6567" w:rsidRPr="002D5389">
        <w:rPr>
          <w:vertAlign w:val="superscript"/>
        </w:rPr>
        <w:t>,6</w:t>
      </w:r>
      <w:r w:rsidR="002213E3" w:rsidRPr="002D5389">
        <w:rPr>
          <w:vertAlign w:val="superscript"/>
        </w:rPr>
        <w:t>,7</w:t>
      </w:r>
      <w:r w:rsidR="00571D8C" w:rsidRPr="002D5389">
        <w:rPr>
          <w:lang w:val="en-US"/>
        </w:rPr>
        <w:t xml:space="preserve"> </w:t>
      </w:r>
      <w:r w:rsidR="00CB57E3" w:rsidRPr="002D5389">
        <w:rPr>
          <w:lang w:val="en-US"/>
        </w:rPr>
        <w:t xml:space="preserve">People who have </w:t>
      </w:r>
      <w:r w:rsidR="00CB57E3" w:rsidRPr="002D5389">
        <w:t xml:space="preserve">had COVID-19, even if they were asymptomatic or their illness was mild, can </w:t>
      </w:r>
      <w:r w:rsidR="00A37942" w:rsidRPr="002D5389">
        <w:t xml:space="preserve">also </w:t>
      </w:r>
      <w:r w:rsidR="00CB57E3" w:rsidRPr="002D5389">
        <w:t>experience</w:t>
      </w:r>
      <w:r w:rsidR="00A37942" w:rsidRPr="002D5389">
        <w:t xml:space="preserve"> longer-term effects</w:t>
      </w:r>
      <w:r w:rsidR="00C37B8C" w:rsidRPr="002D5389">
        <w:t>, such as</w:t>
      </w:r>
      <w:r w:rsidR="00CB57E3" w:rsidRPr="002D5389">
        <w:t xml:space="preserve"> </w:t>
      </w:r>
      <w:r w:rsidR="00E37F50" w:rsidRPr="002D5389">
        <w:t>l</w:t>
      </w:r>
      <w:r w:rsidR="00391541" w:rsidRPr="002D5389">
        <w:t xml:space="preserve">ong </w:t>
      </w:r>
      <w:r w:rsidR="00CB57E3" w:rsidRPr="002D5389">
        <w:t>COVID.</w:t>
      </w:r>
      <w:r w:rsidR="00DD6567" w:rsidRPr="002D5389">
        <w:rPr>
          <w:vertAlign w:val="superscript"/>
        </w:rPr>
        <w:t>6</w:t>
      </w:r>
    </w:p>
    <w:p w14:paraId="41BF2D3C" w14:textId="6515D4BA" w:rsidR="00D70583" w:rsidRPr="002D5389" w:rsidRDefault="00D70583" w:rsidP="00DC4A4B">
      <w:r w:rsidRPr="002D5389">
        <w:t>Influenza is a</w:t>
      </w:r>
      <w:r w:rsidR="00163DF1" w:rsidRPr="002D5389">
        <w:t xml:space="preserve">n acute </w:t>
      </w:r>
      <w:r w:rsidRPr="002D5389">
        <w:t xml:space="preserve">respiratory </w:t>
      </w:r>
      <w:r w:rsidR="00163DF1" w:rsidRPr="002D5389">
        <w:t xml:space="preserve">infection </w:t>
      </w:r>
      <w:r w:rsidR="00A436F4" w:rsidRPr="002D5389">
        <w:t>caused by influenza viruses.</w:t>
      </w:r>
      <w:r w:rsidR="00611580" w:rsidRPr="002D5389">
        <w:rPr>
          <w:vertAlign w:val="superscript"/>
        </w:rPr>
        <w:t>8</w:t>
      </w:r>
      <w:r w:rsidR="00A436F4" w:rsidRPr="002D5389">
        <w:t xml:space="preserve"> </w:t>
      </w:r>
      <w:r w:rsidR="00B71EDC" w:rsidRPr="002D5389">
        <w:t xml:space="preserve">There are </w:t>
      </w:r>
      <w:r w:rsidR="006E4868" w:rsidRPr="002D5389">
        <w:t>three</w:t>
      </w:r>
      <w:r w:rsidR="00B71EDC" w:rsidRPr="002D5389">
        <w:t xml:space="preserve"> </w:t>
      </w:r>
      <w:r w:rsidR="00A15C4D" w:rsidRPr="002D5389">
        <w:t>sub</w:t>
      </w:r>
      <w:r w:rsidR="00B71EDC" w:rsidRPr="002D5389">
        <w:t>types of influenza viruses</w:t>
      </w:r>
      <w:r w:rsidR="005F2E3E" w:rsidRPr="002D5389">
        <w:t xml:space="preserve"> known to infect people:</w:t>
      </w:r>
      <w:r w:rsidR="00B71EDC" w:rsidRPr="002D5389">
        <w:t xml:space="preserve"> </w:t>
      </w:r>
      <w:r w:rsidR="00CD67DA" w:rsidRPr="002D5389">
        <w:t>sub</w:t>
      </w:r>
      <w:r w:rsidR="00B71EDC" w:rsidRPr="002D5389">
        <w:t>types A, B</w:t>
      </w:r>
      <w:r w:rsidR="006E4868" w:rsidRPr="002D5389">
        <w:t xml:space="preserve"> and</w:t>
      </w:r>
      <w:r w:rsidR="00B71EDC" w:rsidRPr="002D5389">
        <w:t xml:space="preserve"> C.</w:t>
      </w:r>
      <w:r w:rsidR="006015CE" w:rsidRPr="002D5389">
        <w:t xml:space="preserve"> </w:t>
      </w:r>
      <w:r w:rsidR="00232CC8" w:rsidRPr="00C85AAA">
        <w:rPr>
          <w:rFonts w:cs="Arial"/>
          <w:shd w:val="clear" w:color="auto" w:fill="FFFFFF"/>
        </w:rPr>
        <w:t>Currently</w:t>
      </w:r>
      <w:r w:rsidR="00BE4D4E" w:rsidRPr="002D5389">
        <w:rPr>
          <w:rFonts w:cs="Arial"/>
          <w:shd w:val="clear" w:color="auto" w:fill="FFFFFF"/>
        </w:rPr>
        <w:t>, i</w:t>
      </w:r>
      <w:r w:rsidR="00B71EDC" w:rsidRPr="002D5389">
        <w:t>nfluenza A and B viruses circulate</w:t>
      </w:r>
      <w:r w:rsidR="00BE4D4E" w:rsidRPr="002D5389">
        <w:t xml:space="preserve">, causing </w:t>
      </w:r>
      <w:r w:rsidR="00B71EDC" w:rsidRPr="002D5389">
        <w:t xml:space="preserve">seasonal epidemics </w:t>
      </w:r>
      <w:r w:rsidR="009B2EBC" w:rsidRPr="002D5389">
        <w:t xml:space="preserve">in Australia, </w:t>
      </w:r>
      <w:r w:rsidR="001215F8" w:rsidRPr="002D5389">
        <w:t xml:space="preserve">especially </w:t>
      </w:r>
      <w:r w:rsidR="00BE728C" w:rsidRPr="002D5389">
        <w:rPr>
          <w:rFonts w:cs="Arial"/>
          <w:shd w:val="clear" w:color="auto" w:fill="FFFFFF"/>
        </w:rPr>
        <w:t>during</w:t>
      </w:r>
      <w:r w:rsidR="00DD705E" w:rsidRPr="002D5389">
        <w:rPr>
          <w:rFonts w:cs="Arial"/>
          <w:shd w:val="clear" w:color="auto" w:fill="FFFFFF"/>
        </w:rPr>
        <w:t xml:space="preserve"> autumn and</w:t>
      </w:r>
      <w:r w:rsidR="00BE728C" w:rsidRPr="002D5389">
        <w:rPr>
          <w:rFonts w:cs="Arial"/>
          <w:shd w:val="clear" w:color="auto" w:fill="FFFFFF"/>
        </w:rPr>
        <w:t xml:space="preserve"> winter</w:t>
      </w:r>
      <w:r w:rsidR="000B094E" w:rsidRPr="002D5389">
        <w:rPr>
          <w:rFonts w:cs="Arial"/>
          <w:shd w:val="clear" w:color="auto" w:fill="FFFFFF"/>
        </w:rPr>
        <w:t>.</w:t>
      </w:r>
      <w:r w:rsidR="005A2578" w:rsidRPr="002D5389">
        <w:rPr>
          <w:vertAlign w:val="superscript"/>
        </w:rPr>
        <w:t>2</w:t>
      </w:r>
      <w:r w:rsidR="00CB7E74" w:rsidRPr="002D5389">
        <w:rPr>
          <w:vertAlign w:val="superscript"/>
        </w:rPr>
        <w:t>,8</w:t>
      </w:r>
      <w:r w:rsidR="005A2578" w:rsidRPr="002D5389">
        <w:rPr>
          <w:rFonts w:cs="Arial"/>
          <w:shd w:val="clear" w:color="auto" w:fill="FFFFFF"/>
        </w:rPr>
        <w:t xml:space="preserve"> </w:t>
      </w:r>
      <w:r w:rsidR="004E0DC2" w:rsidRPr="002D5389">
        <w:t xml:space="preserve">Usually, people experience </w:t>
      </w:r>
      <w:r w:rsidR="009B4155" w:rsidRPr="002D5389">
        <w:t xml:space="preserve">the onset of influenza </w:t>
      </w:r>
      <w:r w:rsidR="004E0DC2" w:rsidRPr="002D5389">
        <w:t>symptoms one to four days after infection.</w:t>
      </w:r>
      <w:r w:rsidR="00F85293" w:rsidRPr="002D5389">
        <w:rPr>
          <w:vertAlign w:val="superscript"/>
        </w:rPr>
        <w:t>2</w:t>
      </w:r>
      <w:r w:rsidR="004E0DC2" w:rsidRPr="002D5389">
        <w:t xml:space="preserve"> </w:t>
      </w:r>
      <w:r w:rsidRPr="002D5389">
        <w:t xml:space="preserve">Influenza symptoms include </w:t>
      </w:r>
      <w:r w:rsidR="0002489E" w:rsidRPr="002D5389">
        <w:t xml:space="preserve">aches, </w:t>
      </w:r>
      <w:r w:rsidR="007D12F5" w:rsidRPr="002D5389">
        <w:t xml:space="preserve">chills, </w:t>
      </w:r>
      <w:r w:rsidRPr="002D5389">
        <w:t>cough,</w:t>
      </w:r>
      <w:r w:rsidR="00F46AAC" w:rsidRPr="002D5389">
        <w:t xml:space="preserve"> fever</w:t>
      </w:r>
      <w:r w:rsidR="00614F2B" w:rsidRPr="002D5389">
        <w:t>,</w:t>
      </w:r>
      <w:r w:rsidR="00F46AAC" w:rsidRPr="002D5389">
        <w:t xml:space="preserve"> </w:t>
      </w:r>
      <w:r w:rsidR="00187244" w:rsidRPr="002D5389">
        <w:t>headache</w:t>
      </w:r>
      <w:r w:rsidR="007D12F5" w:rsidRPr="002D5389">
        <w:t>s</w:t>
      </w:r>
      <w:r w:rsidR="00187244" w:rsidRPr="002D5389">
        <w:t xml:space="preserve">, </w:t>
      </w:r>
      <w:r w:rsidR="007D12F5" w:rsidRPr="002D5389">
        <w:t xml:space="preserve">runny or stuffy nose, </w:t>
      </w:r>
      <w:r w:rsidR="00734053" w:rsidRPr="002D5389">
        <w:t>sore throat</w:t>
      </w:r>
      <w:r w:rsidRPr="002D5389">
        <w:t xml:space="preserve"> and </w:t>
      </w:r>
      <w:r w:rsidR="00614F2B" w:rsidRPr="002D5389">
        <w:t>tiredness</w:t>
      </w:r>
      <w:r w:rsidRPr="002D5389">
        <w:t>.</w:t>
      </w:r>
      <w:r w:rsidR="004D59FE" w:rsidRPr="002D5389">
        <w:t xml:space="preserve"> </w:t>
      </w:r>
      <w:r w:rsidR="00722924" w:rsidRPr="002D5389">
        <w:t>V</w:t>
      </w:r>
      <w:r w:rsidRPr="002D5389">
        <w:t xml:space="preserve">omiting and diarrhoea </w:t>
      </w:r>
      <w:r w:rsidR="00947831" w:rsidRPr="002D5389">
        <w:t>can occur</w:t>
      </w:r>
      <w:r w:rsidRPr="002D5389">
        <w:t xml:space="preserve">, </w:t>
      </w:r>
      <w:r w:rsidR="00EC6337" w:rsidRPr="002D5389">
        <w:t>particularly</w:t>
      </w:r>
      <w:r w:rsidRPr="002D5389">
        <w:t xml:space="preserve"> in children. </w:t>
      </w:r>
      <w:r w:rsidR="00A62FA6" w:rsidRPr="002D5389">
        <w:t>Most people experience a mild illness and recover within a week without requiring medical attention.</w:t>
      </w:r>
      <w:r w:rsidR="008A3CF9" w:rsidRPr="002D5389">
        <w:t xml:space="preserve"> </w:t>
      </w:r>
      <w:r w:rsidR="002504A0" w:rsidRPr="002D5389">
        <w:t>In some people, severe influenza can</w:t>
      </w:r>
      <w:r w:rsidR="00B5746B" w:rsidRPr="002D5389">
        <w:t xml:space="preserve"> worsen symptoms of other chronic diseases, or </w:t>
      </w:r>
      <w:r w:rsidR="002504A0" w:rsidRPr="002D5389">
        <w:t>lead to pneumonia and sepsis</w:t>
      </w:r>
      <w:r w:rsidR="0026515B" w:rsidRPr="002D5389">
        <w:t xml:space="preserve"> (</w:t>
      </w:r>
      <w:r w:rsidR="00D22CCC" w:rsidRPr="002D5389">
        <w:t xml:space="preserve">the immune system’s </w:t>
      </w:r>
      <w:r w:rsidR="00684AD6" w:rsidRPr="002D5389">
        <w:t>response to an infection</w:t>
      </w:r>
      <w:r w:rsidR="00D22CCC" w:rsidRPr="002D5389">
        <w:t xml:space="preserve"> which causes the body to</w:t>
      </w:r>
      <w:r w:rsidR="00684AD6" w:rsidRPr="002D5389">
        <w:t xml:space="preserve"> </w:t>
      </w:r>
      <w:r w:rsidR="00825E8B" w:rsidRPr="002D5389">
        <w:t>damage</w:t>
      </w:r>
      <w:r w:rsidR="00684AD6" w:rsidRPr="002D5389">
        <w:t xml:space="preserve"> its own tissues and organs</w:t>
      </w:r>
      <w:r w:rsidR="001C6B5A" w:rsidRPr="002D5389">
        <w:t>)</w:t>
      </w:r>
      <w:r w:rsidR="002504A0" w:rsidRPr="002D5389">
        <w:t>.</w:t>
      </w:r>
      <w:r w:rsidR="008A3CF9" w:rsidRPr="002D5389">
        <w:rPr>
          <w:vertAlign w:val="superscript"/>
        </w:rPr>
        <w:t>2</w:t>
      </w:r>
      <w:r w:rsidR="00BE0401" w:rsidRPr="002D5389">
        <w:rPr>
          <w:vertAlign w:val="superscript"/>
        </w:rPr>
        <w:t>,8</w:t>
      </w:r>
      <w:r w:rsidR="008A3CF9" w:rsidRPr="002D5389">
        <w:t xml:space="preserve"> </w:t>
      </w:r>
      <w:r w:rsidR="00C0509C" w:rsidRPr="002D5389">
        <w:t xml:space="preserve">Severe </w:t>
      </w:r>
      <w:r w:rsidR="0077121F" w:rsidRPr="002D5389">
        <w:t xml:space="preserve">diseases </w:t>
      </w:r>
      <w:r w:rsidR="005157CC" w:rsidRPr="002D5389">
        <w:t>or complications</w:t>
      </w:r>
      <w:r w:rsidR="00C0509C" w:rsidRPr="002D5389">
        <w:t xml:space="preserve"> associated with influenza </w:t>
      </w:r>
      <w:r w:rsidR="005157CC" w:rsidRPr="002D5389">
        <w:t>are</w:t>
      </w:r>
      <w:r w:rsidR="00C0509C" w:rsidRPr="002D5389">
        <w:t xml:space="preserve"> more common in a</w:t>
      </w:r>
      <w:r w:rsidR="00A032A5" w:rsidRPr="002D5389">
        <w:t xml:space="preserve">t-risk population groups </w:t>
      </w:r>
      <w:r w:rsidR="00A42454" w:rsidRPr="002D5389">
        <w:t>includ</w:t>
      </w:r>
      <w:r w:rsidR="00437482" w:rsidRPr="002D5389">
        <w:t>ing</w:t>
      </w:r>
      <w:r w:rsidR="00A42454" w:rsidRPr="002D5389">
        <w:t xml:space="preserve">, but not limited to, children aged under </w:t>
      </w:r>
      <w:r w:rsidR="008A3CF9" w:rsidRPr="002D5389">
        <w:t>five</w:t>
      </w:r>
      <w:r w:rsidR="00A42454" w:rsidRPr="002D5389">
        <w:t xml:space="preserve"> years</w:t>
      </w:r>
      <w:r w:rsidR="00437482" w:rsidRPr="002D5389">
        <w:t xml:space="preserve">, </w:t>
      </w:r>
      <w:r w:rsidRPr="002D5389">
        <w:t>adults aged over 65 years, p</w:t>
      </w:r>
      <w:r w:rsidR="0033494C" w:rsidRPr="002D5389">
        <w:t>eople who are p</w:t>
      </w:r>
      <w:r w:rsidRPr="002D5389">
        <w:t>regnant</w:t>
      </w:r>
      <w:r w:rsidR="00437482" w:rsidRPr="002D5389">
        <w:t>,</w:t>
      </w:r>
      <w:r w:rsidRPr="002D5389">
        <w:t xml:space="preserve"> and </w:t>
      </w:r>
      <w:r w:rsidR="00437482" w:rsidRPr="002D5389">
        <w:rPr>
          <w:lang w:val="en-US"/>
        </w:rPr>
        <w:t>people living with chronic health conditions</w:t>
      </w:r>
      <w:r w:rsidR="005157CC" w:rsidRPr="002D5389">
        <w:rPr>
          <w:lang w:val="en-US"/>
        </w:rPr>
        <w:t>.</w:t>
      </w:r>
      <w:r w:rsidR="008A3CF9" w:rsidRPr="002D5389">
        <w:rPr>
          <w:vertAlign w:val="superscript"/>
        </w:rPr>
        <w:t>2</w:t>
      </w:r>
      <w:r w:rsidR="00AB033A" w:rsidRPr="002D5389">
        <w:rPr>
          <w:vertAlign w:val="superscript"/>
        </w:rPr>
        <w:t>,8</w:t>
      </w:r>
      <w:r w:rsidR="0006695B" w:rsidRPr="002D5389">
        <w:rPr>
          <w:vertAlign w:val="superscript"/>
        </w:rPr>
        <w:t>,9</w:t>
      </w:r>
      <w:r w:rsidR="008A3CF9" w:rsidRPr="002D5389">
        <w:t xml:space="preserve"> </w:t>
      </w:r>
    </w:p>
    <w:p w14:paraId="45B98FD7" w14:textId="106D4DBD" w:rsidR="001A7001" w:rsidRDefault="00FD3FD7" w:rsidP="00DC4A4B">
      <w:r w:rsidRPr="002D5389">
        <w:t>RSV</w:t>
      </w:r>
      <w:r w:rsidR="00B93338" w:rsidRPr="002D5389">
        <w:t xml:space="preserve"> is one of the most </w:t>
      </w:r>
      <w:r w:rsidR="001C6B5A" w:rsidRPr="002D5389">
        <w:t>common</w:t>
      </w:r>
      <w:r w:rsidR="00B93338" w:rsidRPr="002D5389">
        <w:t xml:space="preserve"> </w:t>
      </w:r>
      <w:r w:rsidR="00932F5B" w:rsidRPr="002D5389">
        <w:t xml:space="preserve">viral infections in </w:t>
      </w:r>
      <w:r w:rsidR="00B93338" w:rsidRPr="002D5389">
        <w:t>children</w:t>
      </w:r>
      <w:r w:rsidR="00126C9F" w:rsidRPr="002D5389">
        <w:t>, part</w:t>
      </w:r>
      <w:r w:rsidR="008B5DFF" w:rsidRPr="002D5389">
        <w:t>ly due</w:t>
      </w:r>
      <w:r w:rsidR="00126C9F" w:rsidRPr="002D5389">
        <w:t xml:space="preserve"> to the lack of long-term immunity after infection, m</w:t>
      </w:r>
      <w:r w:rsidR="004C276E" w:rsidRPr="002D5389">
        <w:t xml:space="preserve">eaning </w:t>
      </w:r>
      <w:r w:rsidR="00126C9F" w:rsidRPr="002D5389">
        <w:t>re</w:t>
      </w:r>
      <w:r w:rsidR="001E6F8B" w:rsidRPr="002D5389">
        <w:t>-</w:t>
      </w:r>
      <w:r w:rsidR="00126C9F" w:rsidRPr="002D5389">
        <w:t>infection</w:t>
      </w:r>
      <w:r w:rsidR="004C276E" w:rsidRPr="002D5389">
        <w:t xml:space="preserve"> can be</w:t>
      </w:r>
      <w:r w:rsidR="00126C9F" w:rsidRPr="002D5389">
        <w:t xml:space="preserve"> frequent</w:t>
      </w:r>
      <w:r w:rsidR="00B93338" w:rsidRPr="002D5389">
        <w:t>.</w:t>
      </w:r>
      <w:r w:rsidR="00313050" w:rsidRPr="002D5389">
        <w:rPr>
          <w:vertAlign w:val="superscript"/>
        </w:rPr>
        <w:t>10</w:t>
      </w:r>
      <w:r w:rsidR="00832D2D" w:rsidRPr="002D5389">
        <w:rPr>
          <w:vertAlign w:val="superscript"/>
        </w:rPr>
        <w:t>,11</w:t>
      </w:r>
      <w:r w:rsidR="00853144" w:rsidRPr="002D5389">
        <w:rPr>
          <w:rFonts w:cs="Arial"/>
          <w:shd w:val="clear" w:color="auto" w:fill="FFFFFF"/>
        </w:rPr>
        <w:t xml:space="preserve"> </w:t>
      </w:r>
      <w:r w:rsidR="00932F5B" w:rsidRPr="002D5389">
        <w:rPr>
          <w:rFonts w:cs="Arial"/>
          <w:shd w:val="clear" w:color="auto" w:fill="FFFFFF"/>
        </w:rPr>
        <w:t xml:space="preserve">Almost all children will </w:t>
      </w:r>
      <w:r w:rsidR="00205790" w:rsidRPr="002D5389">
        <w:rPr>
          <w:rFonts w:cs="Arial"/>
          <w:shd w:val="clear" w:color="auto" w:fill="FFFFFF"/>
        </w:rPr>
        <w:t xml:space="preserve">have </w:t>
      </w:r>
      <w:r w:rsidR="002350E2" w:rsidRPr="002D5389">
        <w:rPr>
          <w:rFonts w:cs="Arial"/>
          <w:shd w:val="clear" w:color="auto" w:fill="FFFFFF"/>
        </w:rPr>
        <w:t>be</w:t>
      </w:r>
      <w:r w:rsidR="00205790" w:rsidRPr="002D5389">
        <w:rPr>
          <w:rFonts w:cs="Arial"/>
          <w:shd w:val="clear" w:color="auto" w:fill="FFFFFF"/>
        </w:rPr>
        <w:t>en</w:t>
      </w:r>
      <w:r w:rsidR="002350E2" w:rsidRPr="002D5389">
        <w:rPr>
          <w:rFonts w:cs="Arial"/>
          <w:shd w:val="clear" w:color="auto" w:fill="FFFFFF"/>
        </w:rPr>
        <w:t xml:space="preserve"> infected with </w:t>
      </w:r>
      <w:r w:rsidR="00932F5B" w:rsidRPr="002D5389">
        <w:rPr>
          <w:rFonts w:cs="Arial"/>
          <w:shd w:val="clear" w:color="auto" w:fill="FFFFFF"/>
        </w:rPr>
        <w:t>RSV within the first two years of life.</w:t>
      </w:r>
      <w:r w:rsidR="00EC0657" w:rsidRPr="002D5389">
        <w:rPr>
          <w:rFonts w:cs="Arial"/>
          <w:shd w:val="clear" w:color="auto" w:fill="FFFFFF"/>
          <w:vertAlign w:val="superscript"/>
        </w:rPr>
        <w:t>11</w:t>
      </w:r>
      <w:r w:rsidR="00932F5B" w:rsidRPr="002D5389">
        <w:rPr>
          <w:rFonts w:cs="Arial"/>
          <w:shd w:val="clear" w:color="auto" w:fill="FFFFFF"/>
        </w:rPr>
        <w:t xml:space="preserve"> </w:t>
      </w:r>
      <w:r w:rsidR="00524707" w:rsidRPr="002D5389">
        <w:rPr>
          <w:rFonts w:cs="Arial"/>
          <w:shd w:val="clear" w:color="auto" w:fill="FFFFFF"/>
        </w:rPr>
        <w:t xml:space="preserve">There is one serotype of RSV, classified into two </w:t>
      </w:r>
      <w:r w:rsidR="008D3904" w:rsidRPr="002D5389">
        <w:rPr>
          <w:rFonts w:cs="Arial"/>
          <w:shd w:val="clear" w:color="auto" w:fill="FFFFFF"/>
        </w:rPr>
        <w:t>subtypes</w:t>
      </w:r>
      <w:r w:rsidR="00524707" w:rsidRPr="002D5389">
        <w:rPr>
          <w:rFonts w:cs="Arial"/>
          <w:shd w:val="clear" w:color="auto" w:fill="FFFFFF"/>
        </w:rPr>
        <w:t>: A and B.</w:t>
      </w:r>
      <w:r w:rsidR="00282669" w:rsidRPr="002D5389">
        <w:rPr>
          <w:vertAlign w:val="superscript"/>
        </w:rPr>
        <w:t>10</w:t>
      </w:r>
      <w:r w:rsidR="00282669" w:rsidRPr="002D5389">
        <w:t xml:space="preserve"> </w:t>
      </w:r>
      <w:r w:rsidR="00874C05" w:rsidRPr="002D5389">
        <w:t xml:space="preserve">Usually, people experience </w:t>
      </w:r>
      <w:r w:rsidR="009B4155" w:rsidRPr="002D5389">
        <w:t xml:space="preserve">the onset of RSV </w:t>
      </w:r>
      <w:r w:rsidR="00874C05" w:rsidRPr="002D5389">
        <w:t>symptoms four to six days after infection.</w:t>
      </w:r>
      <w:r w:rsidR="00964BE4" w:rsidRPr="002D5389">
        <w:t xml:space="preserve"> </w:t>
      </w:r>
      <w:r w:rsidR="00B91111" w:rsidRPr="002D5389">
        <w:t xml:space="preserve">The most common </w:t>
      </w:r>
      <w:r w:rsidR="00D95FC8" w:rsidRPr="002D5389">
        <w:t xml:space="preserve">RSV </w:t>
      </w:r>
      <w:r w:rsidR="00E717AB" w:rsidRPr="002D5389">
        <w:t>symptoms</w:t>
      </w:r>
      <w:r w:rsidR="00964BE4" w:rsidRPr="002D5389">
        <w:t xml:space="preserve"> include </w:t>
      </w:r>
      <w:r w:rsidR="00734053" w:rsidRPr="002D5389">
        <w:t>cough,</w:t>
      </w:r>
      <w:r w:rsidR="00212D5B" w:rsidRPr="002D5389">
        <w:t xml:space="preserve"> </w:t>
      </w:r>
      <w:r w:rsidR="00987C3A" w:rsidRPr="002D5389">
        <w:t>fever</w:t>
      </w:r>
      <w:r w:rsidR="00F61B6D" w:rsidRPr="002D5389">
        <w:t>,</w:t>
      </w:r>
      <w:r w:rsidR="00734053" w:rsidRPr="002D5389">
        <w:t xml:space="preserve"> </w:t>
      </w:r>
      <w:r w:rsidR="00890EC7" w:rsidRPr="002D5389">
        <w:t>runny or stuffy nose</w:t>
      </w:r>
      <w:r w:rsidR="008C0B7F" w:rsidRPr="002D5389">
        <w:t xml:space="preserve">, </w:t>
      </w:r>
      <w:r w:rsidR="006A5BE5" w:rsidRPr="002D5389">
        <w:t xml:space="preserve">and </w:t>
      </w:r>
      <w:r w:rsidR="00774E87" w:rsidRPr="002D5389">
        <w:t>wheezing</w:t>
      </w:r>
      <w:r w:rsidR="00212D5B" w:rsidRPr="002D5389">
        <w:t xml:space="preserve"> or difficulty breathing</w:t>
      </w:r>
      <w:r w:rsidR="00987C3A" w:rsidRPr="002D5389">
        <w:t xml:space="preserve">. </w:t>
      </w:r>
      <w:r w:rsidR="00ED13E3" w:rsidRPr="002D5389">
        <w:rPr>
          <w:szCs w:val="22"/>
        </w:rPr>
        <w:t>Most people experience a mild illness and will recover in a week or two weeks</w:t>
      </w:r>
      <w:r w:rsidR="00090529" w:rsidRPr="002D5389">
        <w:rPr>
          <w:szCs w:val="22"/>
        </w:rPr>
        <w:t>.</w:t>
      </w:r>
      <w:r w:rsidR="00536DB7" w:rsidRPr="002D5389">
        <w:rPr>
          <w:vertAlign w:val="superscript"/>
        </w:rPr>
        <w:t>2</w:t>
      </w:r>
      <w:r w:rsidR="00BB1B8D" w:rsidRPr="002D5389">
        <w:rPr>
          <w:vertAlign w:val="superscript"/>
        </w:rPr>
        <w:t>,10</w:t>
      </w:r>
      <w:r w:rsidR="00C626CC" w:rsidRPr="002D5389">
        <w:rPr>
          <w:vertAlign w:val="superscript"/>
        </w:rPr>
        <w:t>,11</w:t>
      </w:r>
      <w:r w:rsidR="000B1FDB" w:rsidRPr="002D5389">
        <w:rPr>
          <w:szCs w:val="22"/>
        </w:rPr>
        <w:t xml:space="preserve"> </w:t>
      </w:r>
      <w:r w:rsidR="00756593" w:rsidRPr="002D5389">
        <w:rPr>
          <w:szCs w:val="22"/>
        </w:rPr>
        <w:t xml:space="preserve">Infants aged 12 months or under </w:t>
      </w:r>
      <w:r w:rsidR="0018629E" w:rsidRPr="002D5389">
        <w:rPr>
          <w:szCs w:val="22"/>
        </w:rPr>
        <w:t xml:space="preserve">are especially likely to experience </w:t>
      </w:r>
      <w:r w:rsidR="000B1FDB" w:rsidRPr="002D5389">
        <w:rPr>
          <w:szCs w:val="22"/>
        </w:rPr>
        <w:t>severe i</w:t>
      </w:r>
      <w:r w:rsidR="00C90079" w:rsidRPr="002D5389">
        <w:rPr>
          <w:szCs w:val="22"/>
        </w:rPr>
        <w:t>llness with complications</w:t>
      </w:r>
      <w:r w:rsidR="000B1FDB" w:rsidRPr="002D5389">
        <w:rPr>
          <w:szCs w:val="22"/>
        </w:rPr>
        <w:t xml:space="preserve"> such as bronchiolitis (</w:t>
      </w:r>
      <w:r w:rsidR="0018629E" w:rsidRPr="002D5389">
        <w:rPr>
          <w:szCs w:val="22"/>
        </w:rPr>
        <w:t>an inflammation of the small airways in the lung</w:t>
      </w:r>
      <w:r w:rsidR="00C46440" w:rsidRPr="002D5389">
        <w:rPr>
          <w:szCs w:val="22"/>
        </w:rPr>
        <w:t>s</w:t>
      </w:r>
      <w:r w:rsidR="0018629E" w:rsidRPr="002D5389">
        <w:rPr>
          <w:szCs w:val="22"/>
        </w:rPr>
        <w:t>) and pneumonia.</w:t>
      </w:r>
      <w:r w:rsidR="006C45A6" w:rsidRPr="002D5389">
        <w:rPr>
          <w:szCs w:val="22"/>
        </w:rPr>
        <w:t xml:space="preserve"> </w:t>
      </w:r>
      <w:r w:rsidR="00287F86" w:rsidRPr="002D5389">
        <w:rPr>
          <w:szCs w:val="22"/>
        </w:rPr>
        <w:t xml:space="preserve">RSV can worsen symptoms </w:t>
      </w:r>
      <w:r w:rsidR="009C6AB1" w:rsidRPr="002D5389">
        <w:rPr>
          <w:szCs w:val="22"/>
        </w:rPr>
        <w:t xml:space="preserve">of </w:t>
      </w:r>
      <w:r w:rsidR="00287F86" w:rsidRPr="002D5389">
        <w:rPr>
          <w:szCs w:val="22"/>
        </w:rPr>
        <w:t xml:space="preserve">chronic health </w:t>
      </w:r>
      <w:r w:rsidR="009C6AB1" w:rsidRPr="002D5389">
        <w:rPr>
          <w:szCs w:val="22"/>
        </w:rPr>
        <w:t>conditions like asthma.</w:t>
      </w:r>
      <w:r w:rsidR="006C45A6" w:rsidRPr="002D5389">
        <w:rPr>
          <w:szCs w:val="22"/>
          <w:vertAlign w:val="superscript"/>
        </w:rPr>
        <w:t>11</w:t>
      </w:r>
      <w:r w:rsidR="009C6AB1" w:rsidRPr="002D5389">
        <w:rPr>
          <w:szCs w:val="22"/>
        </w:rPr>
        <w:t xml:space="preserve"> </w:t>
      </w:r>
      <w:r w:rsidR="00FB28EA" w:rsidRPr="002D5389">
        <w:t xml:space="preserve">Severe </w:t>
      </w:r>
      <w:r w:rsidR="00DB303F" w:rsidRPr="002D5389">
        <w:t>illnesses</w:t>
      </w:r>
      <w:r w:rsidR="00FB28EA" w:rsidRPr="002D5389">
        <w:t xml:space="preserve"> are generally more common among infants</w:t>
      </w:r>
      <w:r w:rsidR="00F735A9" w:rsidRPr="002D5389">
        <w:t xml:space="preserve"> </w:t>
      </w:r>
      <w:r w:rsidR="00756593" w:rsidRPr="002D5389">
        <w:rPr>
          <w:szCs w:val="22"/>
        </w:rPr>
        <w:t>aged 12 months or under</w:t>
      </w:r>
      <w:r w:rsidR="00FB28EA" w:rsidRPr="002D5389">
        <w:t xml:space="preserve">, </w:t>
      </w:r>
      <w:r w:rsidR="00007E44" w:rsidRPr="002D5389">
        <w:t xml:space="preserve">and </w:t>
      </w:r>
      <w:r w:rsidR="00FB28EA" w:rsidRPr="002D5389">
        <w:t xml:space="preserve">young children </w:t>
      </w:r>
      <w:r w:rsidR="00007E44" w:rsidRPr="002D5389">
        <w:t>or</w:t>
      </w:r>
      <w:r w:rsidR="00FB28EA" w:rsidRPr="002D5389">
        <w:t xml:space="preserve"> older adults</w:t>
      </w:r>
      <w:r w:rsidR="00007E44" w:rsidRPr="002D5389">
        <w:t xml:space="preserve"> with </w:t>
      </w:r>
      <w:r w:rsidR="00007E44" w:rsidRPr="002D5389">
        <w:rPr>
          <w:lang w:val="en-US"/>
        </w:rPr>
        <w:t>chronic health conditions</w:t>
      </w:r>
      <w:r w:rsidR="00FB28EA" w:rsidRPr="002D5389">
        <w:t>.</w:t>
      </w:r>
      <w:r w:rsidR="009C5E50" w:rsidRPr="002D5389">
        <w:rPr>
          <w:vertAlign w:val="superscript"/>
        </w:rPr>
        <w:t>2</w:t>
      </w:r>
      <w:r w:rsidR="00BB1B8D" w:rsidRPr="002D5389">
        <w:rPr>
          <w:vertAlign w:val="superscript"/>
        </w:rPr>
        <w:t>,10</w:t>
      </w:r>
      <w:r w:rsidR="006C45A6" w:rsidRPr="002D5389">
        <w:rPr>
          <w:vertAlign w:val="superscript"/>
        </w:rPr>
        <w:t>,11</w:t>
      </w:r>
    </w:p>
    <w:p w14:paraId="1026E97E" w14:textId="118EBFF6" w:rsidR="00553322" w:rsidRDefault="00553322" w:rsidP="005C1C3A">
      <w:pPr>
        <w:pStyle w:val="Heading1"/>
      </w:pPr>
      <w:r>
        <w:lastRenderedPageBreak/>
        <w:t xml:space="preserve">Data </w:t>
      </w:r>
      <w:r w:rsidR="0042442B">
        <w:t>s</w:t>
      </w:r>
      <w:r>
        <w:t>ources</w:t>
      </w:r>
      <w:r w:rsidR="00003031">
        <w:t xml:space="preserve"> and considerations</w:t>
      </w:r>
    </w:p>
    <w:p w14:paraId="3FD851B4" w14:textId="27242524" w:rsidR="00553322" w:rsidRDefault="00553322" w:rsidP="00553322">
      <w:pPr>
        <w:jc w:val="both"/>
      </w:pPr>
      <w:bookmarkStart w:id="2" w:name="national-influenza-surveillance-system"/>
      <w:r w:rsidRPr="00DF70DD">
        <w:t xml:space="preserve">No one single system provides </w:t>
      </w:r>
      <w:r w:rsidR="00DF70DD">
        <w:t>a complete</w:t>
      </w:r>
      <w:r w:rsidRPr="00DF70DD">
        <w:t xml:space="preserve"> picture o</w:t>
      </w:r>
      <w:r w:rsidR="00DF70DD">
        <w:t>f</w:t>
      </w:r>
      <w:r w:rsidRPr="00DF70DD">
        <w:t xml:space="preserve"> the epidemiology of </w:t>
      </w:r>
      <w:r w:rsidR="0002442C" w:rsidRPr="006D6CC1">
        <w:t xml:space="preserve">acute respiratory </w:t>
      </w:r>
      <w:r w:rsidR="009E6AC0" w:rsidRPr="006D6CC1">
        <w:t>illnesses</w:t>
      </w:r>
      <w:r w:rsidR="0002442C" w:rsidRPr="006D6CC1">
        <w:t xml:space="preserve"> in Australia.</w:t>
      </w:r>
      <w:r w:rsidR="009E6AC0" w:rsidRPr="006D6CC1">
        <w:t xml:space="preserve"> </w:t>
      </w:r>
      <w:r w:rsidR="009B601E" w:rsidRPr="006D6CC1">
        <w:t xml:space="preserve">Instead, </w:t>
      </w:r>
      <w:r w:rsidR="00B4087C" w:rsidRPr="006D6CC1">
        <w:t xml:space="preserve">a number </w:t>
      </w:r>
      <w:r w:rsidR="000778E7" w:rsidRPr="006D6CC1">
        <w:t xml:space="preserve">of </w:t>
      </w:r>
      <w:r w:rsidR="009B601E" w:rsidRPr="006D6CC1">
        <w:t>a</w:t>
      </w:r>
      <w:r w:rsidR="009E6AC0" w:rsidRPr="006D6CC1">
        <w:t>cute respiratory illness surveillance system</w:t>
      </w:r>
      <w:r w:rsidR="004E5D6D" w:rsidRPr="006D6CC1">
        <w:t xml:space="preserve">s collect information that together build a picture of the </w:t>
      </w:r>
      <w:r w:rsidR="006E4884">
        <w:t xml:space="preserve">distribution and </w:t>
      </w:r>
      <w:r w:rsidR="004E5D6D" w:rsidRPr="006D6CC1">
        <w:t xml:space="preserve">burden of disease from acute respiratory illnesses in Australia. </w:t>
      </w:r>
      <w:r w:rsidR="00C30E19" w:rsidRPr="006D6CC1">
        <w:t>These s</w:t>
      </w:r>
      <w:r w:rsidR="00C86808" w:rsidRPr="006D6CC1">
        <w:t xml:space="preserve">urveillance systems are </w:t>
      </w:r>
      <w:r w:rsidRPr="00DF70DD">
        <w:t>based in the community, primary care, hospitals and laboratories</w:t>
      </w:r>
      <w:r w:rsidR="00F6389A">
        <w:t xml:space="preserve"> to capture </w:t>
      </w:r>
      <w:r w:rsidR="00277735">
        <w:t xml:space="preserve">information at different levels of </w:t>
      </w:r>
      <w:r w:rsidR="00C92562">
        <w:t>disease sever</w:t>
      </w:r>
      <w:r w:rsidR="00C92562" w:rsidRPr="00D20350">
        <w:t>ity</w:t>
      </w:r>
      <w:r w:rsidRPr="00D20350">
        <w:t>.</w:t>
      </w:r>
      <w:r w:rsidR="00631725" w:rsidRPr="006D6CC1">
        <w:t xml:space="preserve"> </w:t>
      </w:r>
      <w:r w:rsidR="00D20350">
        <w:t xml:space="preserve">In the </w:t>
      </w:r>
      <w:r w:rsidR="00CB6DD7" w:rsidRPr="00B874D1">
        <w:t>Australian Respiratory Surveillance Report</w:t>
      </w:r>
      <w:r w:rsidR="00D20350">
        <w:t>, n</w:t>
      </w:r>
      <w:r w:rsidR="00631725" w:rsidRPr="006D6CC1">
        <w:t xml:space="preserve">otifiable diseases data and civil </w:t>
      </w:r>
      <w:r w:rsidR="00CB6DD7">
        <w:t xml:space="preserve">registration </w:t>
      </w:r>
      <w:r w:rsidR="00631725" w:rsidRPr="006D6CC1">
        <w:t>systems</w:t>
      </w:r>
      <w:r w:rsidR="00CB6DD7">
        <w:t xml:space="preserve"> data</w:t>
      </w:r>
      <w:r w:rsidR="00631725" w:rsidRPr="006D6CC1">
        <w:t xml:space="preserve"> are used alongside </w:t>
      </w:r>
      <w:r w:rsidR="00D20350">
        <w:t xml:space="preserve">information from </w:t>
      </w:r>
      <w:r w:rsidR="00631725" w:rsidRPr="006D6CC1">
        <w:t>sentinel surveillance systems.</w:t>
      </w:r>
      <w:r w:rsidR="002C3936" w:rsidRPr="006D6CC1">
        <w:t xml:space="preserve"> </w:t>
      </w:r>
      <w:r w:rsidR="004C1229" w:rsidRPr="00F6389A">
        <w:t xml:space="preserve">All </w:t>
      </w:r>
      <w:r w:rsidR="00F6389A" w:rsidRPr="006D6CC1">
        <w:t>surveillance systems</w:t>
      </w:r>
      <w:r w:rsidR="004C1229" w:rsidRPr="00F6389A">
        <w:t xml:space="preserve"> have strengths and limitations, so they need to be used in combination to provide </w:t>
      </w:r>
      <w:r w:rsidR="00D51400" w:rsidRPr="00F6389A">
        <w:t>comprehensive</w:t>
      </w:r>
      <w:r w:rsidR="004C1229" w:rsidRPr="00F6389A">
        <w:t xml:space="preserve"> information for public health decision-making.</w:t>
      </w:r>
      <w:r w:rsidR="00963D22" w:rsidRPr="00F6389A">
        <w:rPr>
          <w:vertAlign w:val="superscript"/>
        </w:rPr>
        <w:t>1</w:t>
      </w:r>
      <w:r w:rsidR="004C1229" w:rsidRPr="006D6CC1">
        <w:t xml:space="preserve"> </w:t>
      </w:r>
    </w:p>
    <w:p w14:paraId="20FDBE85" w14:textId="2B3B019B" w:rsidR="00667DE5" w:rsidRPr="00667DE5" w:rsidRDefault="00A70839" w:rsidP="00667DE5">
      <w:pPr>
        <w:pStyle w:val="FigureTitle"/>
      </w:pPr>
      <w:r>
        <w:t xml:space="preserve">Figure 1. </w:t>
      </w:r>
      <w:r w:rsidR="00C32E5E">
        <w:t xml:space="preserve">Levels of acute respiratory illness disease severity </w:t>
      </w:r>
      <w:r>
        <w:t>and data sources used in Australia</w:t>
      </w:r>
      <w:r w:rsidR="008E3D39">
        <w:t xml:space="preserve"> adapted from </w:t>
      </w:r>
      <w:proofErr w:type="gramStart"/>
      <w:r w:rsidR="00667DE5" w:rsidRPr="00667DE5">
        <w:t>Technical</w:t>
      </w:r>
      <w:proofErr w:type="gramEnd"/>
      <w:r w:rsidR="00667DE5" w:rsidRPr="00667DE5">
        <w:t xml:space="preserve"> supplement – COVID-19 Australia: Epidemiology reporting</w:t>
      </w:r>
      <w:r w:rsidR="00E21F37" w:rsidRPr="00E21F37">
        <w:rPr>
          <w:vertAlign w:val="superscript"/>
        </w:rPr>
        <w:t>12</w:t>
      </w:r>
    </w:p>
    <w:p w14:paraId="4667F3B3" w14:textId="11B96217" w:rsidR="003608F9" w:rsidRDefault="003608F9" w:rsidP="00553322">
      <w:pPr>
        <w:jc w:val="both"/>
      </w:pPr>
    </w:p>
    <w:p w14:paraId="63C83696" w14:textId="06EF4781" w:rsidR="006A3041" w:rsidRDefault="00935A05" w:rsidP="00BE0DAA">
      <w:pPr>
        <w:pStyle w:val="ListBullet"/>
        <w:numPr>
          <w:ilvl w:val="0"/>
          <w:numId w:val="0"/>
        </w:numPr>
      </w:pPr>
      <w:r>
        <w:rPr>
          <w:noProof/>
        </w:rPr>
        <w:drawing>
          <wp:inline distT="0" distB="0" distL="0" distR="0" wp14:anchorId="7D75D3A4" wp14:editId="1EC9120C">
            <wp:extent cx="6210948" cy="3469980"/>
            <wp:effectExtent l="0" t="0" r="0" b="0"/>
            <wp:docPr id="11302161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16155"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8875" cy="3485583"/>
                    </a:xfrm>
                    <a:prstGeom prst="rect">
                      <a:avLst/>
                    </a:prstGeom>
                    <a:noFill/>
                  </pic:spPr>
                </pic:pic>
              </a:graphicData>
            </a:graphic>
          </wp:inline>
        </w:drawing>
      </w:r>
    </w:p>
    <w:p w14:paraId="0F669309" w14:textId="4FE0CD12" w:rsidR="005449F6" w:rsidRPr="00065DB9" w:rsidRDefault="003529A9" w:rsidP="005449F6">
      <w:pPr>
        <w:pStyle w:val="ListBullet"/>
        <w:numPr>
          <w:ilvl w:val="0"/>
          <w:numId w:val="0"/>
        </w:numPr>
      </w:pPr>
      <w:r w:rsidRPr="00DB1622">
        <w:t>The COVID-19 p</w:t>
      </w:r>
      <w:r w:rsidR="00AF2BCA" w:rsidRPr="00DB1622">
        <w:t xml:space="preserve">andemic </w:t>
      </w:r>
      <w:r w:rsidR="00AF2BCA" w:rsidRPr="006A3041">
        <w:t xml:space="preserve">had </w:t>
      </w:r>
      <w:r w:rsidR="00B43400" w:rsidRPr="006A3041">
        <w:t>considerable</w:t>
      </w:r>
      <w:r w:rsidR="00AF2BCA" w:rsidRPr="006A3041">
        <w:t xml:space="preserve"> impacts on</w:t>
      </w:r>
      <w:r w:rsidR="006A3041">
        <w:t xml:space="preserve"> circulating</w:t>
      </w:r>
      <w:r w:rsidR="00AF2BCA" w:rsidRPr="006A3041">
        <w:t xml:space="preserve"> acute respiratory i</w:t>
      </w:r>
      <w:r w:rsidR="00B43400" w:rsidRPr="006A3041">
        <w:t>nfections and acute respiratory i</w:t>
      </w:r>
      <w:r w:rsidR="00576CA3" w:rsidRPr="006A3041">
        <w:t>llness surveillance systems.</w:t>
      </w:r>
      <w:r w:rsidR="00576CA3">
        <w:t xml:space="preserve"> </w:t>
      </w:r>
      <w:r w:rsidR="005449F6">
        <w:t xml:space="preserve">Therefore, the data reported from various surveillance systems may not accurately represent </w:t>
      </w:r>
      <w:r w:rsidR="00322B30">
        <w:t xml:space="preserve">the distribution of </w:t>
      </w:r>
      <w:r w:rsidR="00322B30" w:rsidRPr="006A3041">
        <w:t>acute respiratory infections</w:t>
      </w:r>
      <w:r w:rsidR="00322B30">
        <w:t xml:space="preserve"> during this time. </w:t>
      </w:r>
    </w:p>
    <w:p w14:paraId="6246896C" w14:textId="15563A75" w:rsidR="00221027" w:rsidRPr="00DB1622" w:rsidRDefault="00221027" w:rsidP="00DB1622">
      <w:pPr>
        <w:pStyle w:val="ListBullet"/>
        <w:numPr>
          <w:ilvl w:val="0"/>
          <w:numId w:val="0"/>
        </w:numPr>
      </w:pPr>
      <w:r w:rsidRPr="00DB1622">
        <w:t xml:space="preserve">Some COVID-19 related public health and social measures (border restrictions, social distancing measures, and face mask use) likely resulted in a true decrease in </w:t>
      </w:r>
      <w:r w:rsidR="006A3041" w:rsidRPr="006A3041">
        <w:t xml:space="preserve">acute respiratory </w:t>
      </w:r>
      <w:r w:rsidR="00DE3DE4">
        <w:t>illnesses</w:t>
      </w:r>
      <w:r w:rsidR="006A3041" w:rsidRPr="00DB1622">
        <w:t xml:space="preserve"> across</w:t>
      </w:r>
      <w:r w:rsidRPr="00DB1622">
        <w:t xml:space="preserve"> 2020 and 2021. </w:t>
      </w:r>
      <w:r w:rsidR="00DE3DE4">
        <w:t>In addition</w:t>
      </w:r>
      <w:r w:rsidRPr="00DB1622">
        <w:t>, there were likely changes in health seeking behaviour in the Australian community, including but not limited to, the introduction of respiratory clinics and focused testing for COVID-19, access to alternative streams of acute respiratory infection specific health services and</w:t>
      </w:r>
      <w:r w:rsidR="00182332" w:rsidRPr="00DB1622">
        <w:t xml:space="preserve"> increased utilisation of</w:t>
      </w:r>
      <w:r w:rsidRPr="00DB1622">
        <w:t xml:space="preserve"> telehealth</w:t>
      </w:r>
      <w:r w:rsidR="00182332" w:rsidRPr="00DB1622">
        <w:t xml:space="preserve"> services</w:t>
      </w:r>
      <w:r w:rsidRPr="00DB1622">
        <w:t xml:space="preserve">. In this context, </w:t>
      </w:r>
      <w:r w:rsidR="00182332" w:rsidRPr="00182332">
        <w:t xml:space="preserve">acute respiratory </w:t>
      </w:r>
      <w:r w:rsidR="00DE3DE4">
        <w:t>illness</w:t>
      </w:r>
      <w:r w:rsidRPr="00DB1622">
        <w:t xml:space="preserve"> data should be interpreted with caution, especially where comparisons are made to previous seasons.</w:t>
      </w:r>
    </w:p>
    <w:p w14:paraId="646DD76D" w14:textId="24C4D640" w:rsidR="00221027" w:rsidRDefault="00221027" w:rsidP="00C85AAA">
      <w:pPr>
        <w:pStyle w:val="ListBullet"/>
        <w:numPr>
          <w:ilvl w:val="0"/>
          <w:numId w:val="0"/>
        </w:numPr>
      </w:pPr>
      <w:r w:rsidRPr="00DB1622">
        <w:t xml:space="preserve">Due to the reduction in </w:t>
      </w:r>
      <w:r w:rsidR="00EE766E" w:rsidRPr="005449F6">
        <w:t xml:space="preserve">circulating </w:t>
      </w:r>
      <w:r w:rsidR="00182332" w:rsidRPr="005449F6">
        <w:t>acute respiratory i</w:t>
      </w:r>
      <w:r w:rsidR="00DE3DE4">
        <w:t>llnesses</w:t>
      </w:r>
      <w:r w:rsidR="00182332" w:rsidRPr="005449F6">
        <w:t xml:space="preserve"> </w:t>
      </w:r>
      <w:r w:rsidRPr="00DB1622">
        <w:t xml:space="preserve">in 2020 and 2021, data from these years may reduce five-year </w:t>
      </w:r>
      <w:r w:rsidR="00EE766E" w:rsidRPr="00DB1622">
        <w:t>averages</w:t>
      </w:r>
      <w:r w:rsidRPr="00DB1622">
        <w:t xml:space="preserve"> and affect analyses of usual seasonal trends. Therefore, the years 2020 and 2021 are excluded when comparing the current </w:t>
      </w:r>
      <w:r w:rsidR="00876214" w:rsidRPr="00DB1622">
        <w:t>respiratory</w:t>
      </w:r>
      <w:r w:rsidRPr="00DB1622">
        <w:t xml:space="preserve"> season to historical periods when </w:t>
      </w:r>
      <w:r w:rsidR="00876214" w:rsidRPr="005449F6">
        <w:t>acute respiratory infections</w:t>
      </w:r>
      <w:r w:rsidRPr="00DB1622">
        <w:t xml:space="preserve"> circulated without public health restrictions. Where referenced</w:t>
      </w:r>
      <w:r w:rsidR="00346DF3">
        <w:t xml:space="preserve"> in the Australian Respiratory Surveillance Report</w:t>
      </w:r>
      <w:r w:rsidRPr="00DB1622">
        <w:t xml:space="preserve">, the five-year </w:t>
      </w:r>
      <w:r w:rsidR="00876214" w:rsidRPr="00DB1622">
        <w:t>average</w:t>
      </w:r>
      <w:r w:rsidRPr="00DB1622">
        <w:t xml:space="preserve"> refers to the average of data from the years 2018, 2019, </w:t>
      </w:r>
      <w:r w:rsidR="00876214" w:rsidRPr="00DB1622">
        <w:t xml:space="preserve">and </w:t>
      </w:r>
      <w:r w:rsidRPr="00DB1622">
        <w:t xml:space="preserve">2022, </w:t>
      </w:r>
      <w:r w:rsidR="00876214" w:rsidRPr="00DB1622">
        <w:t xml:space="preserve">2023 </w:t>
      </w:r>
      <w:r w:rsidRPr="00DB1622">
        <w:t>and 202</w:t>
      </w:r>
      <w:r w:rsidR="00876214" w:rsidRPr="00DB1622">
        <w:t>4</w:t>
      </w:r>
      <w:r w:rsidRPr="00DB1622">
        <w:t>.</w:t>
      </w:r>
      <w:r>
        <w:br w:type="page"/>
      </w:r>
    </w:p>
    <w:p w14:paraId="151B8768" w14:textId="05C0D3B9" w:rsidR="00B13A66" w:rsidRDefault="00B13A66" w:rsidP="00B13A66">
      <w:pPr>
        <w:pStyle w:val="Heading2"/>
      </w:pPr>
      <w:r>
        <w:lastRenderedPageBreak/>
        <w:t xml:space="preserve">Community surveillance </w:t>
      </w:r>
    </w:p>
    <w:p w14:paraId="1A1B68DC" w14:textId="22BBC78A" w:rsidR="00B13A66" w:rsidRPr="00B13A66" w:rsidRDefault="00B13A66" w:rsidP="00C85AAA">
      <w:pPr>
        <w:pStyle w:val="Heading4"/>
      </w:pPr>
      <w:r>
        <w:t>National Notifiable Diseases Surveillance System (NNDSS)</w:t>
      </w:r>
    </w:p>
    <w:p w14:paraId="56E47FB9" w14:textId="4534E247" w:rsidR="005226F3" w:rsidRPr="006D6CC1" w:rsidRDefault="00553322" w:rsidP="005226F3">
      <w:pPr>
        <w:pStyle w:val="ListBullet"/>
        <w:numPr>
          <w:ilvl w:val="0"/>
          <w:numId w:val="0"/>
        </w:numPr>
      </w:pPr>
      <w:r w:rsidRPr="003C418C">
        <w:t xml:space="preserve">The </w:t>
      </w:r>
      <w:bookmarkStart w:id="3" w:name="_Hlk159410567"/>
      <w:r w:rsidRPr="00C85AAA">
        <w:t>NNDSS</w:t>
      </w:r>
      <w:r w:rsidRPr="003C418C">
        <w:t xml:space="preserve"> </w:t>
      </w:r>
      <w:bookmarkEnd w:id="3"/>
      <w:r w:rsidRPr="003C418C">
        <w:t>coordinates the national surveillance of more than 70 communicable diseases</w:t>
      </w:r>
      <w:r w:rsidR="00872C55" w:rsidRPr="006D6CC1">
        <w:t xml:space="preserve"> which </w:t>
      </w:r>
      <w:r w:rsidR="00D27A3A" w:rsidRPr="003C418C">
        <w:t>are notifiable under public health legislation in all states and territories.</w:t>
      </w:r>
      <w:r w:rsidR="00A70839" w:rsidRPr="003C418C">
        <w:t xml:space="preserve"> Accordingly, </w:t>
      </w:r>
      <w:r w:rsidR="00242519" w:rsidRPr="003C418C">
        <w:t>state and territor</w:t>
      </w:r>
      <w:r w:rsidR="00C42DBD" w:rsidRPr="003C418C">
        <w:t>y health authorities</w:t>
      </w:r>
      <w:r w:rsidR="00242519" w:rsidRPr="003C418C">
        <w:t xml:space="preserve"> report </w:t>
      </w:r>
      <w:r w:rsidR="003E0DAE" w:rsidRPr="003C418C">
        <w:t xml:space="preserve">notified cases </w:t>
      </w:r>
      <w:r w:rsidR="00526F2E" w:rsidRPr="003C418C">
        <w:t>to the Australian Government Department of Health and Aged Care via the NNDSS</w:t>
      </w:r>
      <w:r w:rsidR="00E45829" w:rsidRPr="003C418C">
        <w:t xml:space="preserve"> for </w:t>
      </w:r>
      <w:r w:rsidR="00F3490D" w:rsidRPr="003C418C">
        <w:t xml:space="preserve">national </w:t>
      </w:r>
      <w:r w:rsidR="00E45829" w:rsidRPr="003C418C">
        <w:t>collation, analysis and to assist in the coordination of public health responses.</w:t>
      </w:r>
      <w:r w:rsidR="0063432C" w:rsidRPr="003C418C">
        <w:rPr>
          <w:vertAlign w:val="superscript"/>
        </w:rPr>
        <w:t>13</w:t>
      </w:r>
      <w:r w:rsidR="00E45829" w:rsidRPr="003C418C">
        <w:t xml:space="preserve"> </w:t>
      </w:r>
      <w:r w:rsidR="005226F3" w:rsidRPr="006D6CC1">
        <w:t>Data from the NNDSS are analysed and reported based on diagnosis date, which is the true onset date of a case if known, otherwise it is the earliest of the specimen date, the notification date, or the notification received date.</w:t>
      </w:r>
      <w:r w:rsidR="005226F3" w:rsidRPr="006D6CC1">
        <w:rPr>
          <w:vertAlign w:val="superscript"/>
        </w:rPr>
        <w:t>13</w:t>
      </w:r>
      <w:r w:rsidR="005226F3" w:rsidRPr="006D6CC1">
        <w:t xml:space="preserve"> In the NNDSS:</w:t>
      </w:r>
    </w:p>
    <w:p w14:paraId="1704C230" w14:textId="77777777" w:rsidR="005226F3" w:rsidRPr="006D6CC1" w:rsidRDefault="005226F3" w:rsidP="005226F3">
      <w:pPr>
        <w:pStyle w:val="ListBullet"/>
        <w:numPr>
          <w:ilvl w:val="0"/>
          <w:numId w:val="10"/>
        </w:numPr>
        <w:tabs>
          <w:tab w:val="clear" w:pos="680"/>
          <w:tab w:val="num" w:pos="360"/>
        </w:tabs>
      </w:pPr>
      <w:r w:rsidRPr="006D6CC1">
        <w:t>True onset date (previously “date of illness onset”) represents the earliest date the case exhibited symptoms</w:t>
      </w:r>
    </w:p>
    <w:p w14:paraId="2C9A6715" w14:textId="77777777" w:rsidR="005226F3" w:rsidRPr="006D6CC1" w:rsidRDefault="005226F3" w:rsidP="005226F3">
      <w:pPr>
        <w:pStyle w:val="ListBullet"/>
        <w:numPr>
          <w:ilvl w:val="0"/>
          <w:numId w:val="10"/>
        </w:numPr>
        <w:tabs>
          <w:tab w:val="clear" w:pos="680"/>
          <w:tab w:val="num" w:pos="360"/>
        </w:tabs>
      </w:pPr>
      <w:r w:rsidRPr="006D6CC1">
        <w:t xml:space="preserve">Specimen date represents the date when the first laboratory specimen was taken </w:t>
      </w:r>
    </w:p>
    <w:p w14:paraId="3A715A95" w14:textId="77777777" w:rsidR="005226F3" w:rsidRPr="006D6CC1" w:rsidRDefault="005226F3" w:rsidP="005226F3">
      <w:pPr>
        <w:pStyle w:val="ListBullet"/>
        <w:numPr>
          <w:ilvl w:val="0"/>
          <w:numId w:val="10"/>
        </w:numPr>
        <w:tabs>
          <w:tab w:val="clear" w:pos="680"/>
          <w:tab w:val="num" w:pos="360"/>
        </w:tabs>
      </w:pPr>
      <w:r w:rsidRPr="006D6CC1">
        <w:t xml:space="preserve">Notification date represents the date when health professional signed the notification </w:t>
      </w:r>
      <w:r w:rsidRPr="006D6CC1" w:rsidDel="00F26365">
        <w:t>form</w:t>
      </w:r>
      <w:r w:rsidRPr="006D6CC1">
        <w:t>, or the laboratory issued the results</w:t>
      </w:r>
    </w:p>
    <w:p w14:paraId="29ACEAAF" w14:textId="77777777" w:rsidR="005226F3" w:rsidRPr="006D6CC1" w:rsidRDefault="005226F3" w:rsidP="005226F3">
      <w:pPr>
        <w:pStyle w:val="ListBullet"/>
        <w:numPr>
          <w:ilvl w:val="0"/>
          <w:numId w:val="10"/>
        </w:numPr>
        <w:tabs>
          <w:tab w:val="clear" w:pos="680"/>
          <w:tab w:val="num" w:pos="360"/>
        </w:tabs>
      </w:pPr>
      <w:r w:rsidRPr="006D6CC1">
        <w:t>Notification received date represents the date the notification of the disease was first received by the communicable disease section of the health authority.</w:t>
      </w:r>
      <w:r w:rsidRPr="006D6CC1">
        <w:rPr>
          <w:vertAlign w:val="superscript"/>
        </w:rPr>
        <w:t>13</w:t>
      </w:r>
    </w:p>
    <w:p w14:paraId="3FED5598" w14:textId="371FEE5D" w:rsidR="008D7BFF" w:rsidRPr="008D7BFF" w:rsidRDefault="008D7BFF" w:rsidP="009A2178">
      <w:pPr>
        <w:rPr>
          <w:highlight w:val="yellow"/>
        </w:rPr>
      </w:pPr>
      <w:r w:rsidRPr="00EC1A38">
        <w:t xml:space="preserve">When interpreting </w:t>
      </w:r>
      <w:r w:rsidRPr="002F3CB9">
        <w:t>notifiable diseases data from the NNDSS</w:t>
      </w:r>
      <w:r w:rsidRPr="00EC1A38">
        <w:t>, it is important to note that changes in notifications over time may not solely reflect changes in disease prevalence or incidence. Depending on the disease, the number of notifications may be influenced by</w:t>
      </w:r>
      <w:r w:rsidR="00902BFB" w:rsidRPr="00EC1A38">
        <w:t xml:space="preserve"> changes in case definitions;</w:t>
      </w:r>
      <w:r w:rsidR="00540A05" w:rsidRPr="00EC1A38">
        <w:t xml:space="preserve"> </w:t>
      </w:r>
      <w:r w:rsidR="00540A05" w:rsidRPr="009A2178">
        <w:t>changes in reporting practices;</w:t>
      </w:r>
      <w:r w:rsidRPr="009A2178">
        <w:t xml:space="preserve"> changes in testing practices and screening programs; the use of less invasive and more sensitive diagnostic tests; periodic awareness campaigns; and the use of other public health and social measures. </w:t>
      </w:r>
    </w:p>
    <w:p w14:paraId="081A7678" w14:textId="154A67BC" w:rsidR="009A18CE" w:rsidRPr="00EC1A38" w:rsidRDefault="005120D7" w:rsidP="009A18CE">
      <w:pPr>
        <w:pStyle w:val="ListBullet"/>
        <w:numPr>
          <w:ilvl w:val="0"/>
          <w:numId w:val="0"/>
        </w:numPr>
      </w:pPr>
      <w:r>
        <w:t xml:space="preserve">Changes to </w:t>
      </w:r>
      <w:hyperlink r:id="rId14">
        <w:r w:rsidRPr="003C418C">
          <w:rPr>
            <w:rStyle w:val="Hyperlink"/>
          </w:rPr>
          <w:t>Australian national surveillance case definitions</w:t>
        </w:r>
      </w:hyperlink>
      <w:r w:rsidRPr="003C418C">
        <w:rPr>
          <w:vertAlign w:val="superscript"/>
        </w:rPr>
        <w:t>14</w:t>
      </w:r>
      <w:r>
        <w:rPr>
          <w:vertAlign w:val="superscript"/>
        </w:rPr>
        <w:t xml:space="preserve"> </w:t>
      </w:r>
      <w:r w:rsidR="00113115">
        <w:t xml:space="preserve">which may impact the number of notifications over time include: </w:t>
      </w:r>
    </w:p>
    <w:p w14:paraId="375FCC02" w14:textId="2CF3BF80" w:rsidR="00AB143E" w:rsidRPr="00EC1A38" w:rsidRDefault="00AB143E" w:rsidP="00AB143E">
      <w:pPr>
        <w:pStyle w:val="ListBullet"/>
        <w:numPr>
          <w:ilvl w:val="0"/>
          <w:numId w:val="26"/>
        </w:numPr>
      </w:pPr>
      <w:r w:rsidRPr="00EC1A38">
        <w:t xml:space="preserve">The </w:t>
      </w:r>
      <w:r w:rsidR="005120D7">
        <w:t xml:space="preserve">removal of the </w:t>
      </w:r>
      <w:r w:rsidRPr="00EC1A38">
        <w:t xml:space="preserve">requirement to report probable COVID-19 cases (those positive by rapid antigen test) from the Australian </w:t>
      </w:r>
      <w:hyperlink r:id="rId15" w:history="1">
        <w:r w:rsidRPr="00EC1A38">
          <w:rPr>
            <w:rStyle w:val="Hyperlink"/>
          </w:rPr>
          <w:t>COVID-19 surveillance case definition</w:t>
        </w:r>
      </w:hyperlink>
      <w:r w:rsidRPr="00EC1A38">
        <w:t xml:space="preserve"> in July 2024.</w:t>
      </w:r>
      <w:r w:rsidRPr="00EC1A38">
        <w:rPr>
          <w:vertAlign w:val="superscript"/>
        </w:rPr>
        <w:t xml:space="preserve">14 </w:t>
      </w:r>
      <w:r w:rsidRPr="00EC1A38">
        <w:t xml:space="preserve">Accordingly, only laboratory-confirmed COVID-19 cases are described in the Australian Respiratory Surveillance Report, unless otherwise stated. </w:t>
      </w:r>
    </w:p>
    <w:p w14:paraId="6B6CC44D" w14:textId="6CEBD54E" w:rsidR="00AB143E" w:rsidRPr="00EC1A38" w:rsidRDefault="002268EF" w:rsidP="002268EF">
      <w:pPr>
        <w:pStyle w:val="ListBullet"/>
        <w:numPr>
          <w:ilvl w:val="0"/>
          <w:numId w:val="26"/>
        </w:numPr>
        <w:rPr>
          <w:rStyle w:val="Hyperlink"/>
          <w:color w:val="033636" w:themeColor="text1"/>
          <w:u w:val="none"/>
        </w:rPr>
      </w:pPr>
      <w:r w:rsidRPr="00EB3C56">
        <w:t xml:space="preserve">On 1 January 2022, the </w:t>
      </w:r>
      <w:hyperlink r:id="rId16">
        <w:hyperlink r:id="rId17" w:history="1">
          <w:r w:rsidRPr="00EB3C56">
            <w:rPr>
              <w:rStyle w:val="Hyperlink"/>
            </w:rPr>
            <w:t>influenza surveillance case definition</w:t>
          </w:r>
        </w:hyperlink>
      </w:hyperlink>
      <w:r w:rsidRPr="00EB3C56">
        <w:t xml:space="preserve"> was updated to remove: ‘</w:t>
      </w:r>
      <w:r w:rsidRPr="006A3CB0">
        <w:rPr>
          <w:i/>
          <w:iCs/>
        </w:rPr>
        <w:t>Single high titre by complement fixation test (CFT) or haemagglutination inhibition (HAI) to influenza virus</w:t>
      </w:r>
      <w:r w:rsidRPr="00EB3C56">
        <w:t xml:space="preserve">’ from the list of laboratory definitive evidence. This change has had minimal impact on the interpretation of influenza notification trends, with the change ensuring consistency with the </w:t>
      </w:r>
      <w:r w:rsidRPr="00EB3C56">
        <w:rPr>
          <w:rStyle w:val="Hyperlink"/>
        </w:rPr>
        <w:t xml:space="preserve">influenza laboratory case </w:t>
      </w:r>
      <w:hyperlink r:id="rId18" w:history="1">
        <w:r w:rsidRPr="00EB3C56">
          <w:rPr>
            <w:rStyle w:val="Hyperlink"/>
          </w:rPr>
          <w:t>definition</w:t>
        </w:r>
      </w:hyperlink>
      <w:r w:rsidRPr="00EB3C56">
        <w:rPr>
          <w:rStyle w:val="Hyperlink"/>
        </w:rPr>
        <w:t>.</w:t>
      </w:r>
      <w:r w:rsidRPr="00EB3C56">
        <w:t xml:space="preserve"> For further information, please refer to the </w:t>
      </w:r>
      <w:hyperlink r:id="rId19" w:history="1">
        <w:r w:rsidR="006F5C28">
          <w:rPr>
            <w:rStyle w:val="Hyperlink"/>
          </w:rPr>
          <w:t>update to NNDSS laboratory-confirmed influenza case definition</w:t>
        </w:r>
      </w:hyperlink>
      <w:r w:rsidR="00871D87" w:rsidRPr="00EB3C56">
        <w:rPr>
          <w:rStyle w:val="Hyperlink"/>
        </w:rPr>
        <w:t>.</w:t>
      </w:r>
      <w:r w:rsidR="006F5C28" w:rsidRPr="006A3CB0">
        <w:rPr>
          <w:rStyle w:val="Hyperlink"/>
          <w:u w:val="none"/>
          <w:vertAlign w:val="superscript"/>
        </w:rPr>
        <w:t>15</w:t>
      </w:r>
    </w:p>
    <w:p w14:paraId="3E211D7E" w14:textId="54D82219" w:rsidR="008B768C" w:rsidRPr="009A2178" w:rsidRDefault="00B235C4" w:rsidP="00EC1A38">
      <w:pPr>
        <w:pStyle w:val="ListBullet"/>
        <w:numPr>
          <w:ilvl w:val="0"/>
          <w:numId w:val="0"/>
        </w:numPr>
        <w:rPr>
          <w:rStyle w:val="Hyperlink"/>
          <w:color w:val="033636" w:themeColor="text1"/>
          <w:u w:val="none"/>
        </w:rPr>
      </w:pPr>
      <w:r>
        <w:rPr>
          <w:rStyle w:val="Hyperlink"/>
          <w:color w:val="033636" w:themeColor="text1"/>
          <w:u w:val="none"/>
        </w:rPr>
        <w:t>Changes to reporting</w:t>
      </w:r>
      <w:r w:rsidR="00075DDA">
        <w:rPr>
          <w:rStyle w:val="Hyperlink"/>
          <w:color w:val="033636" w:themeColor="text1"/>
          <w:u w:val="none"/>
        </w:rPr>
        <w:t xml:space="preserve"> or testing</w:t>
      </w:r>
      <w:r>
        <w:rPr>
          <w:rStyle w:val="Hyperlink"/>
          <w:color w:val="033636" w:themeColor="text1"/>
          <w:u w:val="none"/>
        </w:rPr>
        <w:t xml:space="preserve"> </w:t>
      </w:r>
      <w:r w:rsidR="009A7381">
        <w:rPr>
          <w:rStyle w:val="Hyperlink"/>
          <w:color w:val="033636" w:themeColor="text1"/>
          <w:u w:val="none"/>
        </w:rPr>
        <w:t xml:space="preserve">practices which may impact the number of notifications, or the way in which notifications are interpreted include: </w:t>
      </w:r>
    </w:p>
    <w:p w14:paraId="43789C25" w14:textId="513CA70B" w:rsidR="009829FB" w:rsidRPr="00EC1A38" w:rsidRDefault="00075DDA" w:rsidP="009829FB">
      <w:pPr>
        <w:pStyle w:val="ListParagraph"/>
        <w:numPr>
          <w:ilvl w:val="0"/>
          <w:numId w:val="22"/>
        </w:numPr>
      </w:pPr>
      <w:r w:rsidRPr="00075DDA">
        <w:t>As the COVID-19 pandemic has progressed in Australia, the proportion of cases reported through traditional surveillance has decreased.</w:t>
      </w:r>
      <w:r>
        <w:t xml:space="preserve"> </w:t>
      </w:r>
      <w:r w:rsidRPr="00EC1A38">
        <w:t>From late 2021 onwards, there was a transition away from test, trace, isolate and quarantine practices to supress transmission of COVID-19</w:t>
      </w:r>
      <w:r w:rsidR="002001AD">
        <w:t xml:space="preserve">. Consequently, </w:t>
      </w:r>
      <w:r w:rsidRPr="00EC1A38">
        <w:t xml:space="preserve">case ascertainment was reduced across Australia. COVID-19 case notifications are </w:t>
      </w:r>
      <w:r w:rsidR="002001AD">
        <w:t xml:space="preserve">likely to be </w:t>
      </w:r>
      <w:r w:rsidRPr="00EC1A38">
        <w:t>considerable underestimate of the true incidence of COVID-19 in Australia.</w:t>
      </w:r>
      <w:r w:rsidRPr="00EC1A38">
        <w:rPr>
          <w:vertAlign w:val="superscript"/>
        </w:rPr>
        <w:t>4</w:t>
      </w:r>
      <w:r w:rsidR="009829FB">
        <w:rPr>
          <w:vertAlign w:val="superscript"/>
        </w:rPr>
        <w:t xml:space="preserve"> </w:t>
      </w:r>
      <w:r w:rsidR="009829FB" w:rsidRPr="00EC1A38">
        <w:t xml:space="preserve">For this reason, COVID-19 </w:t>
      </w:r>
      <w:r w:rsidR="0013473D" w:rsidRPr="00EC1A38">
        <w:t xml:space="preserve">notification trends </w:t>
      </w:r>
      <w:r w:rsidR="009829FB" w:rsidRPr="00EC1A38">
        <w:t>should be interpreted with caution, especially where comparisons are made to previous transmission waves when ascertainment and reporting was higher.</w:t>
      </w:r>
    </w:p>
    <w:p w14:paraId="06228A8D" w14:textId="57410AC0" w:rsidR="00127849" w:rsidRPr="00EC1A38" w:rsidRDefault="00840E6D" w:rsidP="00714CA5">
      <w:pPr>
        <w:pStyle w:val="ListParagraph"/>
        <w:numPr>
          <w:ilvl w:val="0"/>
          <w:numId w:val="22"/>
        </w:numPr>
      </w:pPr>
      <w:r w:rsidRPr="00EC1A38">
        <w:t xml:space="preserve">The completeness and reliability of particular indicators such as </w:t>
      </w:r>
      <w:r w:rsidR="00EE14B1" w:rsidRPr="00EC1A38">
        <w:t xml:space="preserve">Indigenous status, </w:t>
      </w:r>
      <w:r w:rsidRPr="00EC1A38">
        <w:t xml:space="preserve">hospitalisations, intensive care admissions or deaths associated with </w:t>
      </w:r>
      <w:r w:rsidR="00594BA1">
        <w:t>acute respiratory infections</w:t>
      </w:r>
      <w:r w:rsidRPr="00EC1A38">
        <w:t xml:space="preserve"> </w:t>
      </w:r>
      <w:r w:rsidR="00EE14B1" w:rsidRPr="00EC1A38">
        <w:t xml:space="preserve">has varied </w:t>
      </w:r>
      <w:r w:rsidR="00594BA1">
        <w:t xml:space="preserve">prior to and </w:t>
      </w:r>
      <w:r w:rsidR="00EE14B1" w:rsidRPr="00EC1A38">
        <w:t>throughout the pandemic</w:t>
      </w:r>
      <w:r w:rsidR="0022177F" w:rsidRPr="00EC1A38">
        <w:t xml:space="preserve">. This is because these indicators </w:t>
      </w:r>
      <w:r w:rsidRPr="00EC1A38">
        <w:t xml:space="preserve">are sourced in different ways by state and territories based on their local surveillance system capabilities, definitions, priorities, and needs. </w:t>
      </w:r>
      <w:r w:rsidR="00DB2C31" w:rsidRPr="00EC1A38">
        <w:t>The</w:t>
      </w:r>
      <w:r w:rsidRPr="00EC1A38">
        <w:t xml:space="preserve"> </w:t>
      </w:r>
      <w:r w:rsidR="00DB2C31" w:rsidRPr="00EC1A38">
        <w:lastRenderedPageBreak/>
        <w:t>completeness and reliability of the</w:t>
      </w:r>
      <w:r w:rsidR="00714CA5" w:rsidRPr="00EC1A38">
        <w:t xml:space="preserve">se </w:t>
      </w:r>
      <w:r w:rsidR="00DB2C31" w:rsidRPr="00EC1A38">
        <w:t xml:space="preserve">indicators has decreased over time and </w:t>
      </w:r>
      <w:r w:rsidR="005958C9">
        <w:t>are</w:t>
      </w:r>
      <w:r w:rsidR="005958C9" w:rsidRPr="00EC1A38">
        <w:t xml:space="preserve"> </w:t>
      </w:r>
      <w:r w:rsidR="00DB2C31" w:rsidRPr="00EC1A38">
        <w:t xml:space="preserve">now </w:t>
      </w:r>
      <w:r w:rsidR="005958C9" w:rsidRPr="00EC1A38">
        <w:t>inadequate</w:t>
      </w:r>
      <w:r w:rsidR="00DB2C31" w:rsidRPr="00EC1A38">
        <w:t xml:space="preserve"> for </w:t>
      </w:r>
      <w:r w:rsidR="006016A9">
        <w:t>meaningful interpretation</w:t>
      </w:r>
      <w:r w:rsidR="00DB2C31" w:rsidRPr="00EC1A38">
        <w:t>.</w:t>
      </w:r>
      <w:r w:rsidR="00127849" w:rsidRPr="00EC1A38">
        <w:t xml:space="preserve"> </w:t>
      </w:r>
      <w:r w:rsidR="003F6058" w:rsidRPr="00EC1A38">
        <w:t xml:space="preserve">This is due to a number of factors, including: </w:t>
      </w:r>
    </w:p>
    <w:p w14:paraId="0BB2DE74" w14:textId="5014D8EF" w:rsidR="00127849" w:rsidRPr="00EC1A38" w:rsidRDefault="003F6058" w:rsidP="00127849">
      <w:pPr>
        <w:pStyle w:val="ListParagraph"/>
        <w:numPr>
          <w:ilvl w:val="0"/>
          <w:numId w:val="27"/>
        </w:numPr>
        <w:tabs>
          <w:tab w:val="num" w:pos="1080"/>
        </w:tabs>
        <w:ind w:left="1440"/>
      </w:pPr>
      <w:r w:rsidRPr="00EC1A38">
        <w:t xml:space="preserve">most laboratory notifications do not include </w:t>
      </w:r>
      <w:r w:rsidR="00594BA1" w:rsidRPr="00EC1A38">
        <w:t>these indicators</w:t>
      </w:r>
      <w:r w:rsidRPr="00EC1A38">
        <w:t xml:space="preserve"> </w:t>
      </w:r>
    </w:p>
    <w:p w14:paraId="57A0FC69" w14:textId="75465E23" w:rsidR="00127849" w:rsidRPr="00770B64" w:rsidRDefault="003F6058" w:rsidP="00594BA1">
      <w:pPr>
        <w:pStyle w:val="ListParagraph"/>
        <w:numPr>
          <w:ilvl w:val="0"/>
          <w:numId w:val="27"/>
        </w:numPr>
        <w:tabs>
          <w:tab w:val="num" w:pos="1080"/>
        </w:tabs>
        <w:ind w:left="1440"/>
      </w:pPr>
      <w:r w:rsidRPr="00EC1A38">
        <w:t>case follow-up</w:t>
      </w:r>
      <w:r w:rsidR="00594BA1" w:rsidRPr="00EC1A38">
        <w:t xml:space="preserve"> for these acute respiratory infections </w:t>
      </w:r>
      <w:proofErr w:type="gramStart"/>
      <w:r w:rsidRPr="00EC1A38">
        <w:t>are</w:t>
      </w:r>
      <w:proofErr w:type="gramEnd"/>
      <w:r w:rsidRPr="00EC1A38">
        <w:t xml:space="preserve"> not routinely conducted </w:t>
      </w:r>
      <w:r w:rsidR="00594BA1" w:rsidRPr="00EC1A38">
        <w:t xml:space="preserve">and not </w:t>
      </w:r>
      <w:r w:rsidRPr="00EC1A38">
        <w:t xml:space="preserve">a requirement of notification </w:t>
      </w:r>
    </w:p>
    <w:p w14:paraId="74AF002B" w14:textId="1762A12C" w:rsidR="00594BA1" w:rsidRPr="00C024EB" w:rsidRDefault="00594BA1" w:rsidP="00594BA1">
      <w:pPr>
        <w:pStyle w:val="ListParagraph"/>
        <w:numPr>
          <w:ilvl w:val="0"/>
          <w:numId w:val="27"/>
        </w:numPr>
        <w:tabs>
          <w:tab w:val="num" w:pos="1080"/>
        </w:tabs>
        <w:ind w:left="1440"/>
      </w:pPr>
      <w:r>
        <w:t>these indicators are not a requirement of notification</w:t>
      </w:r>
    </w:p>
    <w:p w14:paraId="14B60E60" w14:textId="5333905B" w:rsidR="00840E6D" w:rsidRPr="00B06E2E" w:rsidRDefault="003F6058" w:rsidP="00C024EB">
      <w:pPr>
        <w:pStyle w:val="ListParagraph"/>
        <w:numPr>
          <w:ilvl w:val="0"/>
          <w:numId w:val="27"/>
        </w:numPr>
        <w:tabs>
          <w:tab w:val="num" w:pos="1080"/>
        </w:tabs>
        <w:ind w:left="1440"/>
      </w:pPr>
      <w:r w:rsidRPr="00C024EB">
        <w:t xml:space="preserve">data linkage systems that have been used to help capture </w:t>
      </w:r>
      <w:r w:rsidR="004D4835" w:rsidRPr="00C024EB">
        <w:t xml:space="preserve">these indicators </w:t>
      </w:r>
      <w:r w:rsidRPr="00C024EB">
        <w:t>for COVID-19 have not been extended in the post emergency climate</w:t>
      </w:r>
      <w:r w:rsidR="00937710" w:rsidRPr="00C024EB">
        <w:t xml:space="preserve"> or to other </w:t>
      </w:r>
      <w:r w:rsidR="00937710" w:rsidRPr="00937710">
        <w:t>acute respiratory infections</w:t>
      </w:r>
    </w:p>
    <w:p w14:paraId="190B0421" w14:textId="36A467DD" w:rsidR="003F6058" w:rsidRPr="00B06E2E" w:rsidRDefault="003F6058" w:rsidP="000E0AED">
      <w:pPr>
        <w:pStyle w:val="ListParagraph"/>
        <w:numPr>
          <w:ilvl w:val="0"/>
          <w:numId w:val="26"/>
        </w:numPr>
      </w:pPr>
      <w:r w:rsidRPr="00B06E2E">
        <w:t xml:space="preserve">Therefore, </w:t>
      </w:r>
      <w:r w:rsidR="000E0AED" w:rsidRPr="00B06E2E">
        <w:t xml:space="preserve">notification data are no longer reported on for </w:t>
      </w:r>
      <w:r w:rsidR="000E0AED" w:rsidRPr="00937710">
        <w:t>Indigenous status, hospitalisations, intensive care admissions or deaths.</w:t>
      </w:r>
    </w:p>
    <w:p w14:paraId="4915BC48" w14:textId="27965542" w:rsidR="00871D87" w:rsidRPr="00B06E2E" w:rsidRDefault="00871D87" w:rsidP="00B11921">
      <w:pPr>
        <w:pStyle w:val="ListBullet"/>
        <w:numPr>
          <w:ilvl w:val="0"/>
          <w:numId w:val="26"/>
        </w:numPr>
      </w:pPr>
      <w:r w:rsidRPr="00B06E2E">
        <w:t xml:space="preserve">The </w:t>
      </w:r>
      <w:hyperlink r:id="rId20" w:history="1">
        <w:r w:rsidRPr="00B06E2E">
          <w:rPr>
            <w:rStyle w:val="Hyperlink"/>
          </w:rPr>
          <w:t>RSV surveillance case definition</w:t>
        </w:r>
      </w:hyperlink>
      <w:r w:rsidRPr="00B06E2E">
        <w:t xml:space="preserve"> was first published in July 2021</w:t>
      </w:r>
      <w:r w:rsidR="00B11921" w:rsidRPr="00B06E2E">
        <w:t xml:space="preserve"> when RSV was</w:t>
      </w:r>
      <w:r w:rsidRPr="00B06E2E">
        <w:t xml:space="preserve"> added to the </w:t>
      </w:r>
      <w:r w:rsidRPr="00B06E2E">
        <w:rPr>
          <w:i/>
        </w:rPr>
        <w:t xml:space="preserve">National </w:t>
      </w:r>
      <w:r w:rsidRPr="00B06E2E">
        <w:rPr>
          <w:i/>
          <w:iCs/>
        </w:rPr>
        <w:t xml:space="preserve">Health Security (National </w:t>
      </w:r>
      <w:r w:rsidRPr="00B06E2E">
        <w:rPr>
          <w:i/>
        </w:rPr>
        <w:t>Notifiable Disease List</w:t>
      </w:r>
      <w:r w:rsidRPr="00B06E2E">
        <w:rPr>
          <w:i/>
          <w:iCs/>
        </w:rPr>
        <w:t>)</w:t>
      </w:r>
      <w:r w:rsidRPr="00B06E2E">
        <w:rPr>
          <w:i/>
        </w:rPr>
        <w:t xml:space="preserve"> Instrument </w:t>
      </w:r>
      <w:r w:rsidRPr="00B06E2E">
        <w:rPr>
          <w:i/>
          <w:iCs/>
        </w:rPr>
        <w:t>2018</w:t>
      </w:r>
      <w:r w:rsidR="00B11921" w:rsidRPr="00B06E2E">
        <w:t xml:space="preserve">. However, RSV </w:t>
      </w:r>
      <w:r w:rsidR="002F3CB9" w:rsidRPr="00B06E2E">
        <w:t>only b</w:t>
      </w:r>
      <w:r w:rsidRPr="00B06E2E" w:rsidDel="00E8312E">
        <w:t>ecame notifiable in all states and territories on 1 September 2022</w:t>
      </w:r>
      <w:r w:rsidR="00FC6C89">
        <w:t xml:space="preserve"> and c</w:t>
      </w:r>
      <w:r w:rsidRPr="00B06E2E">
        <w:t>omprehensive national</w:t>
      </w:r>
      <w:r w:rsidR="00FC6C89">
        <w:t xml:space="preserve"> notification</w:t>
      </w:r>
      <w:r w:rsidRPr="00B06E2E">
        <w:t xml:space="preserve"> data</w:t>
      </w:r>
      <w:r w:rsidR="00FC6C89">
        <w:t xml:space="preserve"> became available after this point. For this </w:t>
      </w:r>
      <w:r w:rsidR="00C22C6F">
        <w:t>reason,</w:t>
      </w:r>
      <w:r w:rsidR="00FC6C89">
        <w:t xml:space="preserve"> RSV notification trends</w:t>
      </w:r>
      <w:r w:rsidRPr="00B06E2E">
        <w:t xml:space="preserve"> are only </w:t>
      </w:r>
      <w:r w:rsidR="00FC6C89">
        <w:t>presented</w:t>
      </w:r>
      <w:r w:rsidR="00FC6C89" w:rsidRPr="00B06E2E">
        <w:t xml:space="preserve"> </w:t>
      </w:r>
      <w:r w:rsidRPr="00B06E2E">
        <w:t xml:space="preserve">from </w:t>
      </w:r>
      <w:r w:rsidR="00EB3C56" w:rsidRPr="00B06E2E">
        <w:t xml:space="preserve">1 January </w:t>
      </w:r>
      <w:r w:rsidRPr="00B06E2E">
        <w:t xml:space="preserve">2023. </w:t>
      </w:r>
    </w:p>
    <w:p w14:paraId="4684633D" w14:textId="77777777" w:rsidR="00A91E56" w:rsidRPr="00B06E2E" w:rsidRDefault="00A91E56" w:rsidP="00A91E56">
      <w:pPr>
        <w:pStyle w:val="ListBullet"/>
        <w:numPr>
          <w:ilvl w:val="0"/>
          <w:numId w:val="0"/>
        </w:numPr>
        <w:ind w:left="360"/>
        <w:rPr>
          <w:rFonts w:eastAsia="Arial"/>
          <w:highlight w:val="yellow"/>
        </w:rPr>
      </w:pPr>
    </w:p>
    <w:p w14:paraId="66477940" w14:textId="019B8FA8" w:rsidR="00B13A66" w:rsidRPr="00602782" w:rsidRDefault="00B13A66" w:rsidP="00602782">
      <w:pPr>
        <w:pStyle w:val="Heading4"/>
      </w:pPr>
      <w:r w:rsidRPr="00602782">
        <w:t>Flu</w:t>
      </w:r>
      <w:r w:rsidR="00AC2709" w:rsidRPr="00602782">
        <w:t>T</w:t>
      </w:r>
      <w:r w:rsidRPr="00602782">
        <w:t>racking</w:t>
      </w:r>
    </w:p>
    <w:p w14:paraId="43258E32" w14:textId="09DCB2B0" w:rsidR="009B6D65" w:rsidRDefault="009A0B59" w:rsidP="009B6D65">
      <w:pPr>
        <w:pStyle w:val="ListBullet"/>
        <w:numPr>
          <w:ilvl w:val="0"/>
          <w:numId w:val="0"/>
        </w:numPr>
      </w:pPr>
      <w:r>
        <w:t>FluTracking was launched in Australia in 2006, the system</w:t>
      </w:r>
      <w:r w:rsidR="00553322">
        <w:t xml:space="preserve"> </w:t>
      </w:r>
      <w:r w:rsidR="00EB64F9">
        <w:t>relies on voluntary participation by the public to self-report illness in an online weekly survey</w:t>
      </w:r>
      <w:r w:rsidR="00A12DE8">
        <w:t xml:space="preserve">. </w:t>
      </w:r>
      <w:r>
        <w:t>FluTracking</w:t>
      </w:r>
      <w:r w:rsidR="00F656DB">
        <w:t xml:space="preserve"> is used to moni</w:t>
      </w:r>
      <w:r w:rsidR="00F656DB" w:rsidRPr="001C6024">
        <w:t>tor</w:t>
      </w:r>
      <w:r w:rsidR="00553322" w:rsidRPr="001C6024">
        <w:t xml:space="preserve"> respiratory illness activity, including influenza-like</w:t>
      </w:r>
      <w:r w:rsidR="00FF394A">
        <w:t>-illness</w:t>
      </w:r>
      <w:r w:rsidR="00553322" w:rsidRPr="001C6024">
        <w:t xml:space="preserve"> and COVID-19-like illness in the community. FluTracking provides consistent </w:t>
      </w:r>
      <w:r w:rsidR="001A485F" w:rsidRPr="001C6024">
        <w:t xml:space="preserve">community level </w:t>
      </w:r>
      <w:r w:rsidR="00553322" w:rsidRPr="001C6024">
        <w:t xml:space="preserve">surveillance of respiratory illness activity </w:t>
      </w:r>
      <w:r w:rsidR="0087773F" w:rsidRPr="001C6024">
        <w:t>in</w:t>
      </w:r>
      <w:r w:rsidR="00553322" w:rsidRPr="001C6024">
        <w:t xml:space="preserve"> all jurisdictions and over time. </w:t>
      </w:r>
      <w:r w:rsidR="00E776B7">
        <w:t>F</w:t>
      </w:r>
      <w:r w:rsidR="00553322" w:rsidRPr="001C6024">
        <w:t xml:space="preserve">luTracking enables year-to-year comparisons of trends in the incidence and </w:t>
      </w:r>
      <w:r w:rsidR="001A485F" w:rsidRPr="001C6024">
        <w:t xml:space="preserve">severity </w:t>
      </w:r>
      <w:r w:rsidR="00553322" w:rsidRPr="001C6024">
        <w:t>of COVID-19 and influenza in the community.</w:t>
      </w:r>
      <w:r w:rsidR="001C6024">
        <w:t xml:space="preserve"> </w:t>
      </w:r>
      <w:r w:rsidR="009B6D65">
        <w:t>In 2024, approximately 50,000 people completed a FluTracking survey each week</w:t>
      </w:r>
      <w:r w:rsidR="007B69DB">
        <w:t xml:space="preserve"> in Australia</w:t>
      </w:r>
      <w:r w:rsidR="009B6D65" w:rsidRPr="00DE43EA">
        <w:t>. Participants are given the option to opt-out over the summer period and as a result there is a reduced sample size from October to April of the following year.</w:t>
      </w:r>
    </w:p>
    <w:p w14:paraId="73186D2E" w14:textId="7C834D61" w:rsidR="00640B9D" w:rsidRDefault="00A74F2C" w:rsidP="00B06E2E">
      <w:pPr>
        <w:pStyle w:val="ListBullet"/>
        <w:numPr>
          <w:ilvl w:val="0"/>
          <w:numId w:val="0"/>
        </w:numPr>
      </w:pPr>
      <w:r>
        <w:t>Participants</w:t>
      </w:r>
      <w:r w:rsidR="002F484B">
        <w:t xml:space="preserve"> who r</w:t>
      </w:r>
      <w:r w:rsidR="00640B9D">
        <w:t>eport they</w:t>
      </w:r>
      <w:r w:rsidR="002F484B">
        <w:t xml:space="preserve"> experience</w:t>
      </w:r>
      <w:r w:rsidR="00640B9D">
        <w:t>d</w:t>
      </w:r>
      <w:r w:rsidR="002F484B">
        <w:t xml:space="preserve"> a fever and cough are said to experience ‘influenza-like-illness’. </w:t>
      </w:r>
      <w:r w:rsidR="00FE63C1" w:rsidRPr="00FE63C1">
        <w:t>For fever and cough percentage calculations, the numerator includes all participants who completed a survey for the current week and reported new fever and cough symptoms, and the denominator includes all participants who completed a survey for that week.</w:t>
      </w:r>
      <w:r w:rsidR="00FE63C1">
        <w:t xml:space="preserve"> </w:t>
      </w:r>
      <w:r w:rsidR="00640B9D">
        <w:t xml:space="preserve">Those who </w:t>
      </w:r>
      <w:r w:rsidR="00640B9D" w:rsidRPr="00640B9D">
        <w:t xml:space="preserve">report time off work or normal duties at any time during an </w:t>
      </w:r>
      <w:r w:rsidR="009B6D65">
        <w:t>influenza-like-illness</w:t>
      </w:r>
      <w:r w:rsidR="00640B9D" w:rsidRPr="00640B9D">
        <w:t xml:space="preserve"> is </w:t>
      </w:r>
      <w:r w:rsidR="002D7FA8" w:rsidRPr="00640B9D">
        <w:t>captured and</w:t>
      </w:r>
      <w:r w:rsidR="00640B9D" w:rsidRPr="00640B9D">
        <w:t xml:space="preserve"> recorded in the same survey week of the new </w:t>
      </w:r>
      <w:r w:rsidR="009B6D65">
        <w:t>influenza-like-illness</w:t>
      </w:r>
      <w:r w:rsidR="00640B9D" w:rsidRPr="00640B9D">
        <w:t xml:space="preserve">. This is captured even if the time off work was reported in the </w:t>
      </w:r>
      <w:r>
        <w:t>second</w:t>
      </w:r>
      <w:r w:rsidR="00640B9D" w:rsidRPr="00640B9D">
        <w:t xml:space="preserve">, </w:t>
      </w:r>
      <w:r>
        <w:t>third</w:t>
      </w:r>
      <w:r w:rsidR="00640B9D" w:rsidRPr="00640B9D">
        <w:t xml:space="preserve"> or </w:t>
      </w:r>
      <w:r>
        <w:t>four</w:t>
      </w:r>
      <w:r w:rsidR="00640B9D" w:rsidRPr="00640B9D">
        <w:t>th week of illness.</w:t>
      </w:r>
      <w:r>
        <w:t xml:space="preserve"> Similarly, p</w:t>
      </w:r>
      <w:r w:rsidRPr="00A74F2C">
        <w:t>articipant</w:t>
      </w:r>
      <w:r>
        <w:t>s who</w:t>
      </w:r>
      <w:r w:rsidRPr="00A74F2C">
        <w:t xml:space="preserve"> report</w:t>
      </w:r>
      <w:r>
        <w:t xml:space="preserve"> </w:t>
      </w:r>
      <w:r w:rsidRPr="00A74F2C">
        <w:t xml:space="preserve">seeking medical advice at any time during an </w:t>
      </w:r>
      <w:r w:rsidR="009B6D65">
        <w:t>influenza-like-illness</w:t>
      </w:r>
      <w:r w:rsidRPr="00A74F2C">
        <w:t xml:space="preserve"> is captured and recorded in the same survey week of the new </w:t>
      </w:r>
      <w:r w:rsidR="009B6D65">
        <w:t>influenza-like-illness</w:t>
      </w:r>
      <w:r w:rsidRPr="00A74F2C">
        <w:t xml:space="preserve"> (even if the medical advice was sought in the </w:t>
      </w:r>
      <w:r w:rsidR="009B6D65">
        <w:t>second</w:t>
      </w:r>
      <w:r w:rsidR="009B6D65" w:rsidRPr="00640B9D">
        <w:t xml:space="preserve">, </w:t>
      </w:r>
      <w:r w:rsidR="009B6D65">
        <w:t>third</w:t>
      </w:r>
      <w:r w:rsidR="009B6D65" w:rsidRPr="00640B9D">
        <w:t xml:space="preserve"> or </w:t>
      </w:r>
      <w:r w:rsidR="009B6D65">
        <w:t>four</w:t>
      </w:r>
      <w:r w:rsidR="009B6D65" w:rsidRPr="00640B9D">
        <w:t>th</w:t>
      </w:r>
      <w:r w:rsidRPr="00A74F2C">
        <w:t xml:space="preserve"> week of illness). </w:t>
      </w:r>
    </w:p>
    <w:p w14:paraId="73A90947" w14:textId="4571793C" w:rsidR="00B13A66" w:rsidRDefault="00BE3005">
      <w:pPr>
        <w:pStyle w:val="ListBullet"/>
        <w:numPr>
          <w:ilvl w:val="0"/>
          <w:numId w:val="0"/>
        </w:numPr>
      </w:pPr>
      <w:r>
        <w:t>More information about FluTracking</w:t>
      </w:r>
      <w:r w:rsidR="00A369BD">
        <w:t>, including how to join,</w:t>
      </w:r>
      <w:r>
        <w:t xml:space="preserve"> is available </w:t>
      </w:r>
      <w:hyperlink r:id="rId21" w:history="1">
        <w:r w:rsidRPr="00BE3005">
          <w:rPr>
            <w:rStyle w:val="Hyperlink"/>
          </w:rPr>
          <w:t>here</w:t>
        </w:r>
      </w:hyperlink>
      <w:r>
        <w:t>.</w:t>
      </w:r>
      <w:r w:rsidR="00842751">
        <w:t xml:space="preserve"> </w:t>
      </w:r>
      <w:r w:rsidR="00BB4EF8">
        <w:br/>
      </w:r>
    </w:p>
    <w:p w14:paraId="6454DF63" w14:textId="4CBB25AC" w:rsidR="00636856" w:rsidRDefault="00BD23F2" w:rsidP="00C85AAA">
      <w:pPr>
        <w:pStyle w:val="Heading4"/>
      </w:pPr>
      <w:r w:rsidRPr="00147D75">
        <w:t>Healthdirect</w:t>
      </w:r>
      <w:r w:rsidR="00636856" w:rsidRPr="00147D75">
        <w:t xml:space="preserve"> </w:t>
      </w:r>
      <w:r w:rsidRPr="00147D75">
        <w:t>Australia</w:t>
      </w:r>
    </w:p>
    <w:p w14:paraId="77DCDDD3" w14:textId="30DF26E8" w:rsidR="00AE0197" w:rsidRPr="00AE0197" w:rsidRDefault="009C508E" w:rsidP="00C85AAA">
      <w:pPr>
        <w:pStyle w:val="ListBullet"/>
        <w:numPr>
          <w:ilvl w:val="0"/>
          <w:numId w:val="0"/>
        </w:numPr>
        <w:rPr>
          <w:lang w:val="en-GB"/>
        </w:rPr>
      </w:pPr>
      <w:r>
        <w:t>Healthdirect</w:t>
      </w:r>
      <w:r w:rsidR="00686D95" w:rsidRPr="00686D95">
        <w:t xml:space="preserve"> is t</w:t>
      </w:r>
      <w:r w:rsidR="00BD23F2">
        <w:t>he</w:t>
      </w:r>
      <w:r w:rsidR="00686D95" w:rsidRPr="00686D95">
        <w:t xml:space="preserve"> national virtual public health information service</w:t>
      </w:r>
      <w:r w:rsidR="00001EF2">
        <w:t xml:space="preserve"> </w:t>
      </w:r>
      <w:r w:rsidR="00001EF2" w:rsidRPr="00C24B48">
        <w:t>that provides access to health advice and information via a website, app and telephone helpline to help people manage their health and connect them to the right care at the right time</w:t>
      </w:r>
      <w:r w:rsidR="008F021B">
        <w:t xml:space="preserve">. </w:t>
      </w:r>
      <w:r w:rsidR="00D11DE6" w:rsidRPr="00D11DE6">
        <w:t>The</w:t>
      </w:r>
      <w:r w:rsidR="00A878D1">
        <w:t xml:space="preserve"> </w:t>
      </w:r>
      <w:hyperlink r:id="rId22" w:history="1">
        <w:r w:rsidR="00D11DE6" w:rsidRPr="00147D75">
          <w:rPr>
            <w:rStyle w:val="Hyperlink"/>
          </w:rPr>
          <w:t>healthdirect helpline</w:t>
        </w:r>
      </w:hyperlink>
      <w:r w:rsidR="00B47441">
        <w:t xml:space="preserve"> </w:t>
      </w:r>
      <w:r w:rsidR="00D11DE6" w:rsidRPr="00D11DE6">
        <w:t>provides 24/7 access to registered nurses for triage, health information and advice.</w:t>
      </w:r>
      <w:r w:rsidR="002642CF">
        <w:t xml:space="preserve"> The h</w:t>
      </w:r>
      <w:r w:rsidR="002642CF" w:rsidRPr="002642CF">
        <w:t xml:space="preserve">ealthdirect </w:t>
      </w:r>
      <w:r w:rsidR="002642CF">
        <w:t>helpline</w:t>
      </w:r>
      <w:r w:rsidR="002642CF" w:rsidRPr="002642CF">
        <w:t xml:space="preserve"> became operational in 2007 in all states and territories except Victoria and Queensland. Healthdirect Australia assumed management of Victoria's triage helpline in July 2021. Queensland continues to operate its own nurse triage helpline; therefore, healthdirect helpline data will not be representative of Queensland.</w:t>
      </w:r>
      <w:r w:rsidR="00C85AAA">
        <w:rPr>
          <w:lang w:val="en-GB"/>
        </w:rPr>
        <w:t xml:space="preserve"> </w:t>
      </w:r>
      <w:r w:rsidR="00AE0197" w:rsidRPr="00AE0197">
        <w:rPr>
          <w:lang w:val="en-GB"/>
        </w:rPr>
        <w:t>The</w:t>
      </w:r>
      <w:r w:rsidR="00B47441">
        <w:rPr>
          <w:lang w:val="en-GB"/>
        </w:rPr>
        <w:t xml:space="preserve"> </w:t>
      </w:r>
      <w:hyperlink r:id="rId23" w:history="1">
        <w:r w:rsidR="00AE0197" w:rsidRPr="00AE0197">
          <w:rPr>
            <w:rStyle w:val="Hyperlink"/>
            <w:lang w:val="en-GB"/>
          </w:rPr>
          <w:t>healthdirect Symptom Checker</w:t>
        </w:r>
      </w:hyperlink>
      <w:r w:rsidR="00B47441">
        <w:rPr>
          <w:lang w:val="en-GB"/>
        </w:rPr>
        <w:t xml:space="preserve"> is </w:t>
      </w:r>
      <w:r w:rsidR="00BF112D" w:rsidRPr="00BF112D">
        <w:t>an online self-guided triage tool, allows people to check their symptoms and get advice about what to do next</w:t>
      </w:r>
      <w:r w:rsidR="00AE0197" w:rsidRPr="00AE0197">
        <w:rPr>
          <w:lang w:val="en-GB"/>
        </w:rPr>
        <w:t xml:space="preserve">. This might include self-care at home, seeing a </w:t>
      </w:r>
      <w:r w:rsidR="00FE47E2">
        <w:t>general practitioner</w:t>
      </w:r>
      <w:r w:rsidR="00AE0197" w:rsidRPr="00AE0197">
        <w:rPr>
          <w:lang w:val="en-GB"/>
        </w:rPr>
        <w:t>, going to an emergency department or calling triple zero (000).</w:t>
      </w:r>
    </w:p>
    <w:p w14:paraId="54394024" w14:textId="5AB1A9EE" w:rsidR="00AE0197" w:rsidRDefault="00BB4EF8" w:rsidP="00B13A66">
      <w:pPr>
        <w:pStyle w:val="ListBullet"/>
        <w:numPr>
          <w:ilvl w:val="0"/>
          <w:numId w:val="0"/>
        </w:numPr>
        <w:ind w:left="360" w:hanging="360"/>
      </w:pPr>
      <w:r>
        <w:t xml:space="preserve">More information about healthdirect </w:t>
      </w:r>
      <w:r w:rsidR="002548C9">
        <w:t xml:space="preserve">is available </w:t>
      </w:r>
      <w:hyperlink r:id="rId24" w:history="1">
        <w:r w:rsidR="002548C9" w:rsidRPr="002548C9">
          <w:rPr>
            <w:rStyle w:val="Hyperlink"/>
          </w:rPr>
          <w:t>here</w:t>
        </w:r>
      </w:hyperlink>
      <w:r w:rsidR="002548C9">
        <w:t>.</w:t>
      </w:r>
    </w:p>
    <w:p w14:paraId="2331FA03" w14:textId="6B1A7F76" w:rsidR="00B13A66" w:rsidRDefault="00B13A66" w:rsidP="00B13A66">
      <w:pPr>
        <w:pStyle w:val="Heading2"/>
      </w:pPr>
      <w:r>
        <w:lastRenderedPageBreak/>
        <w:t xml:space="preserve">General practice surveillance </w:t>
      </w:r>
    </w:p>
    <w:p w14:paraId="10C045EE" w14:textId="78B0F7CA" w:rsidR="00B13A66" w:rsidRDefault="005C205F" w:rsidP="00C85AAA">
      <w:pPr>
        <w:pStyle w:val="Heading4"/>
      </w:pPr>
      <w:r>
        <w:t>Australian Sentinel Practices Research Network (ASPREN)</w:t>
      </w:r>
    </w:p>
    <w:p w14:paraId="4CA5053E" w14:textId="49484D10" w:rsidR="0004327B" w:rsidRDefault="00553322" w:rsidP="00C80617">
      <w:pPr>
        <w:pStyle w:val="ListBullet"/>
        <w:numPr>
          <w:ilvl w:val="0"/>
          <w:numId w:val="0"/>
        </w:numPr>
      </w:pPr>
      <w:r w:rsidRPr="004D4518">
        <w:t>ASPREN</w:t>
      </w:r>
      <w:r w:rsidRPr="00C80617">
        <w:t xml:space="preserve"> is a year-round </w:t>
      </w:r>
      <w:r w:rsidR="006E2499" w:rsidRPr="00C80617">
        <w:t xml:space="preserve">network of </w:t>
      </w:r>
      <w:r w:rsidRPr="00C80617">
        <w:t>sentinel general practice</w:t>
      </w:r>
      <w:r w:rsidR="006E2499" w:rsidRPr="00C80617">
        <w:t>s</w:t>
      </w:r>
      <w:r w:rsidR="004D7C79">
        <w:t xml:space="preserve"> sites</w:t>
      </w:r>
      <w:r w:rsidRPr="00C80617">
        <w:t xml:space="preserve"> in which general </w:t>
      </w:r>
      <w:r w:rsidR="00E774F4" w:rsidRPr="00C80617">
        <w:t xml:space="preserve">practitioners </w:t>
      </w:r>
      <w:r w:rsidRPr="00C80617">
        <w:t xml:space="preserve">and nurse practitioners report de-identified information </w:t>
      </w:r>
      <w:r w:rsidR="004D7C79" w:rsidRPr="004D7C79">
        <w:t>on selected conditions, including influenza-like</w:t>
      </w:r>
      <w:r w:rsidR="004D7C79">
        <w:t>-</w:t>
      </w:r>
      <w:r w:rsidR="004D7C79" w:rsidRPr="004D7C79">
        <w:t>illness</w:t>
      </w:r>
      <w:r w:rsidR="004D7C79">
        <w:t>,</w:t>
      </w:r>
      <w:r w:rsidR="00C80617" w:rsidRPr="00163F60">
        <w:t xml:space="preserve"> </w:t>
      </w:r>
      <w:r w:rsidRPr="00C80617">
        <w:t xml:space="preserve">seen in participating </w:t>
      </w:r>
      <w:r w:rsidR="004D7C79">
        <w:t>sites</w:t>
      </w:r>
      <w:r w:rsidR="004D7C79" w:rsidRPr="00C80617">
        <w:t xml:space="preserve"> </w:t>
      </w:r>
      <w:r w:rsidRPr="00C80617">
        <w:t xml:space="preserve">each week. </w:t>
      </w:r>
      <w:r w:rsidR="004D7C79" w:rsidRPr="004D7C79">
        <w:t xml:space="preserve">ASPREN has been collecting data from sentinel </w:t>
      </w:r>
      <w:r w:rsidR="004D7C79">
        <w:t>general practice sites</w:t>
      </w:r>
      <w:r w:rsidR="004D7C79" w:rsidRPr="004D7C79">
        <w:t xml:space="preserve"> since 1991 to inform communicable disease activity in the commu</w:t>
      </w:r>
      <w:r w:rsidR="004D7C79" w:rsidRPr="007B55AA">
        <w:t>nity.</w:t>
      </w:r>
      <w:r w:rsidR="007B55AA" w:rsidRPr="007B55AA">
        <w:t xml:space="preserve"> </w:t>
      </w:r>
      <w:r w:rsidR="007B55AA" w:rsidRPr="00163F60">
        <w:t>ASPREN data are used for acute respiratory infection surveillance and general practice research, including providing annual vaccine effectiveness estimates to the Global Influenza Vaccine Effectiveness Collaboration.</w:t>
      </w:r>
    </w:p>
    <w:p w14:paraId="3C3E5F1A" w14:textId="7F42615B" w:rsidR="007B55AA" w:rsidRPr="00946462" w:rsidRDefault="005E7A40" w:rsidP="00C80617">
      <w:pPr>
        <w:pStyle w:val="ListBullet"/>
        <w:numPr>
          <w:ilvl w:val="0"/>
          <w:numId w:val="0"/>
        </w:numPr>
      </w:pPr>
      <w:r w:rsidRPr="00946462">
        <w:t xml:space="preserve">ASPREN uses the </w:t>
      </w:r>
      <w:hyperlink r:id="rId25" w:history="1">
        <w:r w:rsidRPr="00946462">
          <w:rPr>
            <w:rStyle w:val="Hyperlink"/>
          </w:rPr>
          <w:t>W</w:t>
        </w:r>
        <w:r w:rsidR="00CD7AE7" w:rsidRPr="00946462">
          <w:rPr>
            <w:rStyle w:val="Hyperlink"/>
          </w:rPr>
          <w:t>orld Health Organization</w:t>
        </w:r>
        <w:r w:rsidR="00A45DFD">
          <w:rPr>
            <w:rStyle w:val="Hyperlink"/>
          </w:rPr>
          <w:t xml:space="preserve"> (WHO)</w:t>
        </w:r>
        <w:r w:rsidR="00CD7AE7" w:rsidRPr="00946462">
          <w:rPr>
            <w:rStyle w:val="Hyperlink"/>
          </w:rPr>
          <w:t xml:space="preserve"> influenza-like-illness</w:t>
        </w:r>
        <w:r w:rsidR="001968F1" w:rsidRPr="00946462">
          <w:rPr>
            <w:rStyle w:val="Hyperlink"/>
          </w:rPr>
          <w:t xml:space="preserve"> surveillance</w:t>
        </w:r>
        <w:r w:rsidRPr="00946462">
          <w:rPr>
            <w:rStyle w:val="Hyperlink"/>
          </w:rPr>
          <w:t xml:space="preserve"> case definition</w:t>
        </w:r>
      </w:hyperlink>
      <w:r w:rsidR="005F480F" w:rsidRPr="00946462">
        <w:t xml:space="preserve"> which</w:t>
      </w:r>
      <w:r w:rsidR="00851CFE" w:rsidRPr="00946462">
        <w:t xml:space="preserve"> is defined as an acute respiratory infection with measured fever of </w:t>
      </w:r>
      <w:r w:rsidR="00851CFE" w:rsidRPr="00946462">
        <w:rPr>
          <w:rFonts w:cs="Arial"/>
        </w:rPr>
        <w:t>≥</w:t>
      </w:r>
      <w:r w:rsidR="00851CFE" w:rsidRPr="00946462">
        <w:t xml:space="preserve"> 38</w:t>
      </w:r>
      <w:r w:rsidR="00963A41" w:rsidRPr="00946462">
        <w:rPr>
          <w:rFonts w:cs="Arial"/>
          <w:color w:val="033636"/>
          <w:szCs w:val="22"/>
        </w:rPr>
        <w:t>°C</w:t>
      </w:r>
      <w:r w:rsidR="00402E0F" w:rsidRPr="00946462">
        <w:rPr>
          <w:rFonts w:cs="Arial"/>
          <w:color w:val="033636"/>
          <w:szCs w:val="22"/>
        </w:rPr>
        <w:t xml:space="preserve"> and cough</w:t>
      </w:r>
      <w:r w:rsidR="00C2521D" w:rsidRPr="00946462">
        <w:rPr>
          <w:rFonts w:cs="Arial"/>
          <w:color w:val="033636"/>
          <w:szCs w:val="22"/>
        </w:rPr>
        <w:t xml:space="preserve"> with an onset within the last 10 days.</w:t>
      </w:r>
      <w:r w:rsidR="00AE4DF0" w:rsidRPr="00946462">
        <w:rPr>
          <w:rFonts w:cs="Arial"/>
          <w:color w:val="033636"/>
          <w:szCs w:val="22"/>
          <w:vertAlign w:val="superscript"/>
        </w:rPr>
        <w:t>16</w:t>
      </w:r>
      <w:r w:rsidR="00C2521D" w:rsidRPr="00946462">
        <w:rPr>
          <w:rFonts w:cs="Arial"/>
          <w:color w:val="040C28"/>
          <w:szCs w:val="22"/>
        </w:rPr>
        <w:t xml:space="preserve"> </w:t>
      </w:r>
    </w:p>
    <w:p w14:paraId="0DF66E52" w14:textId="121A16AA" w:rsidR="00553322" w:rsidRPr="0042707B" w:rsidRDefault="00820CEA" w:rsidP="00163F60">
      <w:pPr>
        <w:pStyle w:val="ListBullet"/>
        <w:numPr>
          <w:ilvl w:val="0"/>
          <w:numId w:val="0"/>
        </w:numPr>
      </w:pPr>
      <w:r w:rsidRPr="0042707B">
        <w:t>In</w:t>
      </w:r>
      <w:r w:rsidR="00553322" w:rsidRPr="0042707B">
        <w:t xml:space="preserve"> addition to the overarching impacts of COVID-19 on influenza surveillance systems, interpretation of ASPREN data from 2020 onwards should consider the following COVID-19 impacts:</w:t>
      </w:r>
    </w:p>
    <w:p w14:paraId="41F2EF72" w14:textId="04C5F533" w:rsidR="00553322" w:rsidRPr="0042707B" w:rsidRDefault="00553322" w:rsidP="004D4518">
      <w:pPr>
        <w:pStyle w:val="ListBullet"/>
        <w:numPr>
          <w:ilvl w:val="0"/>
          <w:numId w:val="31"/>
        </w:numPr>
        <w:tabs>
          <w:tab w:val="clear" w:pos="680"/>
        </w:tabs>
      </w:pPr>
      <w:r w:rsidRPr="0042707B">
        <w:t xml:space="preserve">Changes in the health seeking behaviour at sentinel </w:t>
      </w:r>
      <w:r w:rsidR="00820CEA" w:rsidRPr="0042707B">
        <w:t xml:space="preserve">general practices </w:t>
      </w:r>
      <w:r w:rsidRPr="0042707B">
        <w:t xml:space="preserve">sites due to the availability of telehealth and respiratory clinics may result in fewer presentations to </w:t>
      </w:r>
      <w:r w:rsidR="0099179B" w:rsidRPr="0042707B">
        <w:t>g</w:t>
      </w:r>
      <w:r w:rsidRPr="0042707B">
        <w:t xml:space="preserve">eneral </w:t>
      </w:r>
      <w:r w:rsidR="0099179B" w:rsidRPr="0042707B">
        <w:t>p</w:t>
      </w:r>
      <w:r w:rsidRPr="0042707B">
        <w:t>ractice</w:t>
      </w:r>
    </w:p>
    <w:p w14:paraId="1FD8AFF9" w14:textId="395C48AB" w:rsidR="00553322" w:rsidRPr="0042707B" w:rsidRDefault="00553322" w:rsidP="001A5CB1">
      <w:pPr>
        <w:pStyle w:val="ListBullet"/>
        <w:numPr>
          <w:ilvl w:val="0"/>
          <w:numId w:val="31"/>
        </w:numPr>
        <w:tabs>
          <w:tab w:val="clear" w:pos="680"/>
        </w:tabs>
      </w:pPr>
      <w:r w:rsidRPr="0042707B">
        <w:t>Changes to</w:t>
      </w:r>
      <w:r w:rsidRPr="0042707B" w:rsidDel="0039151E">
        <w:t xml:space="preserve"> </w:t>
      </w:r>
      <w:r w:rsidRPr="0042707B">
        <w:t>swabbing</w:t>
      </w:r>
      <w:r w:rsidR="0039151E" w:rsidRPr="0042707B">
        <w:t xml:space="preserve"> practices</w:t>
      </w:r>
      <w:r w:rsidRPr="0042707B">
        <w:t xml:space="preserve"> at sentinel </w:t>
      </w:r>
      <w:r w:rsidR="00882B9A" w:rsidRPr="0042707B">
        <w:t xml:space="preserve">general practice </w:t>
      </w:r>
      <w:r w:rsidRPr="0042707B">
        <w:t>sites, due to the availability of telehealth and respiratory clinics, may result in a lower number of swabs being taken.</w:t>
      </w:r>
    </w:p>
    <w:p w14:paraId="1E5D2F66" w14:textId="47D45163" w:rsidR="00882B9A" w:rsidRPr="0042707B" w:rsidRDefault="0089693C" w:rsidP="0042707B">
      <w:pPr>
        <w:pStyle w:val="ListBullet"/>
        <w:numPr>
          <w:ilvl w:val="0"/>
          <w:numId w:val="0"/>
        </w:numPr>
        <w:tabs>
          <w:tab w:val="clear" w:pos="680"/>
        </w:tabs>
      </w:pPr>
      <w:r w:rsidRPr="0042707B">
        <w:t>Therefore,</w:t>
      </w:r>
      <w:r w:rsidR="00882B9A" w:rsidRPr="0042707B">
        <w:t xml:space="preserve"> </w:t>
      </w:r>
      <w:r w:rsidR="004A5F78" w:rsidRPr="0042707B">
        <w:t xml:space="preserve">ASPREN data </w:t>
      </w:r>
      <w:r w:rsidRPr="0042707B">
        <w:t xml:space="preserve">may </w:t>
      </w:r>
      <w:r w:rsidR="0042707B" w:rsidRPr="0042707B">
        <w:t xml:space="preserve">underestimate the presence of acute respiratory infections causing illness in the community in early pandemic years. </w:t>
      </w:r>
    </w:p>
    <w:p w14:paraId="1AB5F7E8" w14:textId="184D3B79" w:rsidR="005C205F" w:rsidRDefault="00261F70" w:rsidP="005C205F">
      <w:pPr>
        <w:pStyle w:val="ListBullet"/>
        <w:numPr>
          <w:ilvl w:val="0"/>
          <w:numId w:val="0"/>
        </w:numPr>
        <w:tabs>
          <w:tab w:val="clear" w:pos="680"/>
        </w:tabs>
        <w:ind w:left="360" w:hanging="360"/>
      </w:pPr>
      <w:r>
        <w:t xml:space="preserve">More information about ASPREN is available </w:t>
      </w:r>
      <w:hyperlink r:id="rId26" w:history="1">
        <w:r w:rsidRPr="00261F70">
          <w:rPr>
            <w:rStyle w:val="Hyperlink"/>
          </w:rPr>
          <w:t>here</w:t>
        </w:r>
      </w:hyperlink>
      <w:r>
        <w:t>.</w:t>
      </w:r>
    </w:p>
    <w:p w14:paraId="7372B808" w14:textId="77777777" w:rsidR="002A2922" w:rsidRDefault="002A2922" w:rsidP="005C205F">
      <w:pPr>
        <w:pStyle w:val="ListBullet"/>
        <w:numPr>
          <w:ilvl w:val="0"/>
          <w:numId w:val="0"/>
        </w:numPr>
        <w:tabs>
          <w:tab w:val="clear" w:pos="680"/>
        </w:tabs>
        <w:ind w:left="360" w:hanging="360"/>
      </w:pPr>
    </w:p>
    <w:p w14:paraId="4DFAE49A" w14:textId="7A32B61A" w:rsidR="005C205F" w:rsidRDefault="005C205F" w:rsidP="005C205F">
      <w:pPr>
        <w:pStyle w:val="Heading2"/>
      </w:pPr>
      <w:r>
        <w:t xml:space="preserve">Hospital surveillance </w:t>
      </w:r>
    </w:p>
    <w:p w14:paraId="7CD9FD73" w14:textId="2D4FF344" w:rsidR="005C205F" w:rsidRDefault="005C205F" w:rsidP="00F71320">
      <w:pPr>
        <w:pStyle w:val="Heading4"/>
      </w:pPr>
      <w:r>
        <w:t>Influenza Complications Alert Network (FluCAN)</w:t>
      </w:r>
    </w:p>
    <w:p w14:paraId="47DF06BA" w14:textId="5B09E3AD" w:rsidR="000B2178" w:rsidRPr="00423804" w:rsidRDefault="00553322" w:rsidP="00F71320">
      <w:pPr>
        <w:pStyle w:val="ListBullet"/>
        <w:numPr>
          <w:ilvl w:val="0"/>
          <w:numId w:val="0"/>
        </w:numPr>
        <w:rPr>
          <w:highlight w:val="yellow"/>
        </w:rPr>
      </w:pPr>
      <w:r w:rsidRPr="00F71320">
        <w:t>FluCAN</w:t>
      </w:r>
      <w:r w:rsidRPr="00A268CC">
        <w:t xml:space="preserve"> </w:t>
      </w:r>
      <w:r w:rsidR="2886C146" w:rsidRPr="00A268CC">
        <w:t>is a real-time</w:t>
      </w:r>
      <w:r w:rsidR="00962B75" w:rsidRPr="00A268CC">
        <w:t>,</w:t>
      </w:r>
      <w:r w:rsidR="2886C146" w:rsidRPr="00A268CC">
        <w:t xml:space="preserve"> </w:t>
      </w:r>
      <w:r w:rsidR="00962B75" w:rsidRPr="00A268CC">
        <w:t xml:space="preserve">hospital-based </w:t>
      </w:r>
      <w:r w:rsidR="2886C146" w:rsidRPr="00A268CC">
        <w:t xml:space="preserve">surveillance system for </w:t>
      </w:r>
      <w:r w:rsidR="00962B75" w:rsidRPr="00A268CC">
        <w:t xml:space="preserve">severe </w:t>
      </w:r>
      <w:r w:rsidR="2886C146" w:rsidRPr="00A268CC">
        <w:t xml:space="preserve">acute respiratory </w:t>
      </w:r>
      <w:r w:rsidR="00C0260E" w:rsidRPr="00A268CC">
        <w:t>infections</w:t>
      </w:r>
      <w:r w:rsidR="2886C146" w:rsidRPr="00A268CC">
        <w:t>. F</w:t>
      </w:r>
      <w:r w:rsidR="009E4B94" w:rsidRPr="00A268CC">
        <w:t>l</w:t>
      </w:r>
      <w:r w:rsidR="2886C146" w:rsidRPr="00A268CC">
        <w:t>uCAN wa</w:t>
      </w:r>
      <w:r w:rsidR="2978582F" w:rsidRPr="00A268CC">
        <w:t xml:space="preserve">s </w:t>
      </w:r>
      <w:r w:rsidR="00934468" w:rsidRPr="00A268CC">
        <w:t>initially</w:t>
      </w:r>
      <w:r w:rsidR="2978582F" w:rsidRPr="00A268CC">
        <w:t xml:space="preserve"> established to monitor seasonal influenza</w:t>
      </w:r>
      <w:r w:rsidR="78298F5B" w:rsidRPr="00A268CC">
        <w:t xml:space="preserve"> </w:t>
      </w:r>
      <w:r w:rsidR="00962B75" w:rsidRPr="00A268CC">
        <w:t>hospitalisations</w:t>
      </w:r>
      <w:r w:rsidR="00A82B01" w:rsidRPr="00A268CC">
        <w:t xml:space="preserve">. </w:t>
      </w:r>
      <w:r w:rsidR="00701062" w:rsidRPr="00A268CC">
        <w:t>In 2020, FluCAN was</w:t>
      </w:r>
      <w:r w:rsidR="78298F5B" w:rsidRPr="00A268CC">
        <w:t xml:space="preserve"> modified to </w:t>
      </w:r>
      <w:r w:rsidR="00701062" w:rsidRPr="00A268CC">
        <w:t xml:space="preserve">capture </w:t>
      </w:r>
      <w:r w:rsidR="76AAAF9A" w:rsidRPr="00A268CC">
        <w:t>COVID-19</w:t>
      </w:r>
      <w:r w:rsidR="78298F5B" w:rsidRPr="00A268CC">
        <w:t xml:space="preserve"> </w:t>
      </w:r>
      <w:r w:rsidR="00701062" w:rsidRPr="00A268CC">
        <w:t>hospitalisations</w:t>
      </w:r>
      <w:r w:rsidR="00A913D7" w:rsidRPr="00A268CC">
        <w:t xml:space="preserve">. </w:t>
      </w:r>
      <w:r w:rsidR="00701062" w:rsidRPr="00A268CC">
        <w:t>I</w:t>
      </w:r>
      <w:r w:rsidR="004F079C" w:rsidRPr="00A268CC">
        <w:t>n</w:t>
      </w:r>
      <w:r w:rsidR="00E44A40" w:rsidRPr="00A268CC">
        <w:t xml:space="preserve"> </w:t>
      </w:r>
      <w:r w:rsidR="00930DF0" w:rsidRPr="00A268CC">
        <w:t>2024</w:t>
      </w:r>
      <w:r w:rsidR="00701062" w:rsidRPr="00A268CC">
        <w:t>,</w:t>
      </w:r>
      <w:r w:rsidR="00930DF0" w:rsidRPr="00A268CC">
        <w:t xml:space="preserve"> </w:t>
      </w:r>
      <w:r w:rsidR="00E44A40" w:rsidRPr="00A268CC">
        <w:t xml:space="preserve">FluCAN commenced surveillance </w:t>
      </w:r>
      <w:r w:rsidR="006B1D47" w:rsidRPr="00A268CC">
        <w:t xml:space="preserve">for </w:t>
      </w:r>
      <w:r w:rsidR="00E44A40" w:rsidRPr="00A268CC">
        <w:t>RSV</w:t>
      </w:r>
      <w:r w:rsidR="006B1D47" w:rsidRPr="00A268CC">
        <w:t xml:space="preserve"> hospitalisations</w:t>
      </w:r>
      <w:r w:rsidR="00E44A40" w:rsidRPr="00A268CC">
        <w:t xml:space="preserve">. </w:t>
      </w:r>
      <w:r w:rsidR="00853991" w:rsidRPr="00A268CC">
        <w:t xml:space="preserve">Participating </w:t>
      </w:r>
      <w:r w:rsidR="006B1D47" w:rsidRPr="00A268CC">
        <w:t xml:space="preserve">sentinel hospital </w:t>
      </w:r>
      <w:r w:rsidR="00853991" w:rsidRPr="00A268CC">
        <w:t xml:space="preserve">sites collect detailed clinical and laboratory information from all hospitalised patients with a </w:t>
      </w:r>
      <w:r w:rsidR="003B1B77">
        <w:t xml:space="preserve">laboratory </w:t>
      </w:r>
      <w:r w:rsidR="00853991" w:rsidRPr="00A268CC">
        <w:t>confirmed diagnosis of COVID-19, influenza or RSV</w:t>
      </w:r>
      <w:r w:rsidR="003D5700" w:rsidRPr="00A268CC">
        <w:t>.</w:t>
      </w:r>
      <w:r w:rsidRPr="00A268CC">
        <w:t xml:space="preserve"> </w:t>
      </w:r>
      <w:r w:rsidR="006B1D47" w:rsidRPr="00A268CC">
        <w:t xml:space="preserve">FluCAN also </w:t>
      </w:r>
      <w:r w:rsidR="006B1D47" w:rsidRPr="00B937CC">
        <w:t>provide</w:t>
      </w:r>
      <w:r w:rsidR="006B1D47" w:rsidRPr="00163F60">
        <w:t xml:space="preserve"> annual vaccine effectiveness estimates to the Global Influenza Vaccine Effectiveness Collaboration.</w:t>
      </w:r>
      <w:r w:rsidR="00AF6226">
        <w:t xml:space="preserve"> </w:t>
      </w:r>
      <w:r w:rsidR="0016525F">
        <w:t>D</w:t>
      </w:r>
      <w:r w:rsidR="00AF6226" w:rsidRPr="00AF6226">
        <w:t>ate of admission is used for all patient</w:t>
      </w:r>
      <w:r w:rsidR="0016525F">
        <w:t xml:space="preserve"> analyse</w:t>
      </w:r>
      <w:r w:rsidR="00AF6226" w:rsidRPr="00AF6226">
        <w:t>s, except where the patient acquired their infection in hospital. For patients who acquired their infection in hospital, date of onset is used.</w:t>
      </w:r>
    </w:p>
    <w:p w14:paraId="4F0FCD85" w14:textId="5EBED1D0" w:rsidR="000216BB" w:rsidRPr="00F420E7" w:rsidRDefault="000216BB" w:rsidP="00F71320">
      <w:pPr>
        <w:pStyle w:val="ListBullet"/>
        <w:numPr>
          <w:ilvl w:val="0"/>
          <w:numId w:val="0"/>
        </w:numPr>
        <w:tabs>
          <w:tab w:val="clear" w:pos="680"/>
        </w:tabs>
      </w:pPr>
      <w:r w:rsidRPr="00A268CC">
        <w:t xml:space="preserve">When interpreting </w:t>
      </w:r>
      <w:r w:rsidR="003B1B77" w:rsidRPr="00A268CC">
        <w:t xml:space="preserve">FluCAN </w:t>
      </w:r>
      <w:r w:rsidRPr="00A268CC">
        <w:t xml:space="preserve">data it is important to note these data reflect the patients with severe acute respiratory illnesses who are hospitalised or admitted to intensive care; data are therefore not generalisable to all cases or patients in hospital. </w:t>
      </w:r>
      <w:r w:rsidR="0099254C">
        <w:t>Approximately 20 sentinel hospital</w:t>
      </w:r>
      <w:r w:rsidR="00E25FAA">
        <w:t xml:space="preserve"> </w:t>
      </w:r>
      <w:r w:rsidR="0099254C">
        <w:t>s</w:t>
      </w:r>
      <w:r w:rsidR="00E25FAA">
        <w:t>ites</w:t>
      </w:r>
      <w:r w:rsidR="0099254C">
        <w:t xml:space="preserve"> across Australia contribute data. S</w:t>
      </w:r>
      <w:r w:rsidR="00AA580D" w:rsidRPr="00AA580D">
        <w:t>ome jurisdictions</w:t>
      </w:r>
      <w:r w:rsidR="00AA580D">
        <w:t xml:space="preserve"> (Victoria)</w:t>
      </w:r>
      <w:r w:rsidR="00AA580D" w:rsidRPr="00AA580D">
        <w:t xml:space="preserve"> are overrepresented amongst participating sites, and the majority of sites are in major cities, thereby underrepresenting activity in regional and remote areas.</w:t>
      </w:r>
    </w:p>
    <w:p w14:paraId="1055FDB8" w14:textId="63417206" w:rsidR="00C0260E" w:rsidRPr="00377376" w:rsidRDefault="00C0260E" w:rsidP="00C0260E">
      <w:pPr>
        <w:pStyle w:val="ListBullet"/>
        <w:numPr>
          <w:ilvl w:val="0"/>
          <w:numId w:val="0"/>
        </w:numPr>
        <w:tabs>
          <w:tab w:val="clear" w:pos="680"/>
        </w:tabs>
      </w:pPr>
      <w:r w:rsidRPr="00377376">
        <w:t xml:space="preserve">Since 2014, the Paediatric Active Enhanced Disease Surveillance (PAEDS) network has partnered with FluCAN to contribute data on paediatric </w:t>
      </w:r>
      <w:r w:rsidR="00AC4371">
        <w:t xml:space="preserve">(those aged 16 years or under) </w:t>
      </w:r>
      <w:r w:rsidRPr="00377376">
        <w:t xml:space="preserve">admissions with </w:t>
      </w:r>
      <w:r w:rsidR="00AC4371">
        <w:t xml:space="preserve">COVID-19, </w:t>
      </w:r>
      <w:r w:rsidRPr="00377376">
        <w:t>influenza</w:t>
      </w:r>
      <w:r w:rsidR="00AC4371">
        <w:t xml:space="preserve"> or RSV</w:t>
      </w:r>
      <w:r w:rsidRPr="00377376">
        <w:t xml:space="preserve"> at sentinel hospital sites.</w:t>
      </w:r>
      <w:r w:rsidR="00AC4371">
        <w:t xml:space="preserve"> This provides enhanced surveillance of these at-risk populations. Consequently, </w:t>
      </w:r>
      <w:r w:rsidR="00B80C44">
        <w:t xml:space="preserve">children are over-represented in the dataset and the age distribution may not reflect the age distribution of hospitalisations nationally. For this reason, </w:t>
      </w:r>
      <w:r w:rsidR="006E134A">
        <w:t xml:space="preserve">children and adults are reported on separately in the Australia Respiratory Surveillance Reports. </w:t>
      </w:r>
    </w:p>
    <w:p w14:paraId="6C7C3A1A" w14:textId="250FC6B2" w:rsidR="005C205F" w:rsidRDefault="00D16641" w:rsidP="005C205F">
      <w:pPr>
        <w:pStyle w:val="ListBullet"/>
        <w:numPr>
          <w:ilvl w:val="0"/>
          <w:numId w:val="0"/>
        </w:numPr>
        <w:tabs>
          <w:tab w:val="clear" w:pos="680"/>
        </w:tabs>
        <w:ind w:left="360" w:hanging="360"/>
      </w:pPr>
      <w:r w:rsidRPr="00C0260E">
        <w:t>M</w:t>
      </w:r>
      <w:r>
        <w:t xml:space="preserve">ore information about FluCAN is available </w:t>
      </w:r>
      <w:hyperlink r:id="rId27" w:history="1">
        <w:r w:rsidRPr="0087580E">
          <w:rPr>
            <w:rStyle w:val="Hyperlink"/>
          </w:rPr>
          <w:t>here</w:t>
        </w:r>
      </w:hyperlink>
      <w:r>
        <w:t xml:space="preserve">. </w:t>
      </w:r>
      <w:r w:rsidR="00C0260E" w:rsidRPr="004E6A61">
        <w:t>More information about PAEDS is available</w:t>
      </w:r>
      <w:hyperlink r:id="rId28" w:history="1">
        <w:r w:rsidR="00C0260E" w:rsidRPr="004E6A61">
          <w:rPr>
            <w:rStyle w:val="Hyperlink"/>
          </w:rPr>
          <w:t xml:space="preserve"> here</w:t>
        </w:r>
      </w:hyperlink>
      <w:r w:rsidR="00C0260E" w:rsidRPr="004E6A61">
        <w:t>.</w:t>
      </w:r>
    </w:p>
    <w:p w14:paraId="68C2E6ED" w14:textId="083C05F1" w:rsidR="005C205F" w:rsidRDefault="005C205F">
      <w:pPr>
        <w:pStyle w:val="ListBullet"/>
        <w:numPr>
          <w:ilvl w:val="0"/>
          <w:numId w:val="0"/>
        </w:numPr>
        <w:tabs>
          <w:tab w:val="clear" w:pos="680"/>
        </w:tabs>
      </w:pPr>
    </w:p>
    <w:p w14:paraId="3DEDC629" w14:textId="2E71FCC9" w:rsidR="005C205F" w:rsidRDefault="005C205F" w:rsidP="00602782">
      <w:pPr>
        <w:pStyle w:val="Heading4"/>
      </w:pPr>
      <w:r w:rsidRPr="00623A3B">
        <w:lastRenderedPageBreak/>
        <w:t>Short Period Incidence Study of Severe Acute Respiratory Infection (SPRINT-SARI) Australia</w:t>
      </w:r>
    </w:p>
    <w:p w14:paraId="04534AF4" w14:textId="01BCB044" w:rsidR="00FB1216" w:rsidRDefault="00553322" w:rsidP="001B0939">
      <w:pPr>
        <w:pStyle w:val="ListBullet"/>
        <w:numPr>
          <w:ilvl w:val="0"/>
          <w:numId w:val="0"/>
        </w:numPr>
        <w:rPr>
          <w:highlight w:val="yellow"/>
        </w:rPr>
      </w:pPr>
      <w:r w:rsidRPr="00F0069C">
        <w:rPr>
          <w:szCs w:val="22"/>
        </w:rPr>
        <w:t xml:space="preserve">SPRINT-SARI Australia </w:t>
      </w:r>
      <w:r w:rsidRPr="00722589">
        <w:rPr>
          <w:szCs w:val="22"/>
        </w:rPr>
        <w:t>is a</w:t>
      </w:r>
      <w:r w:rsidR="00861008" w:rsidRPr="00722589">
        <w:rPr>
          <w:szCs w:val="22"/>
        </w:rPr>
        <w:t xml:space="preserve"> national</w:t>
      </w:r>
      <w:r w:rsidRPr="00722589">
        <w:rPr>
          <w:szCs w:val="22"/>
        </w:rPr>
        <w:t xml:space="preserve">, multi-centre, observational study that collects </w:t>
      </w:r>
      <w:r w:rsidR="00535DBA" w:rsidRPr="00722589">
        <w:rPr>
          <w:szCs w:val="22"/>
        </w:rPr>
        <w:t>near real time</w:t>
      </w:r>
      <w:r w:rsidR="00485A7E" w:rsidRPr="00722589">
        <w:rPr>
          <w:szCs w:val="22"/>
        </w:rPr>
        <w:t xml:space="preserve"> </w:t>
      </w:r>
      <w:r w:rsidRPr="00722589">
        <w:rPr>
          <w:szCs w:val="22"/>
        </w:rPr>
        <w:t>data on the characteristics</w:t>
      </w:r>
      <w:r w:rsidR="004606D1" w:rsidRPr="00722589">
        <w:rPr>
          <w:szCs w:val="22"/>
        </w:rPr>
        <w:t>,</w:t>
      </w:r>
      <w:r w:rsidRPr="00722589">
        <w:rPr>
          <w:szCs w:val="22"/>
        </w:rPr>
        <w:t xml:space="preserve"> outcomes</w:t>
      </w:r>
      <w:r w:rsidR="003A1DC9" w:rsidRPr="00722589">
        <w:rPr>
          <w:szCs w:val="22"/>
        </w:rPr>
        <w:t>,</w:t>
      </w:r>
      <w:r w:rsidRPr="00722589">
        <w:rPr>
          <w:szCs w:val="22"/>
        </w:rPr>
        <w:t xml:space="preserve"> and interventions for patients admitted to participating </w:t>
      </w:r>
      <w:r w:rsidR="004606D1" w:rsidRPr="00722589">
        <w:rPr>
          <w:szCs w:val="22"/>
        </w:rPr>
        <w:t>i</w:t>
      </w:r>
      <w:r w:rsidRPr="00722589">
        <w:rPr>
          <w:szCs w:val="22"/>
        </w:rPr>
        <w:t xml:space="preserve">ntensive </w:t>
      </w:r>
      <w:r w:rsidR="004606D1" w:rsidRPr="00722589">
        <w:rPr>
          <w:szCs w:val="22"/>
        </w:rPr>
        <w:t>c</w:t>
      </w:r>
      <w:r w:rsidRPr="00722589">
        <w:rPr>
          <w:szCs w:val="22"/>
        </w:rPr>
        <w:t xml:space="preserve">are </w:t>
      </w:r>
      <w:r w:rsidR="004606D1" w:rsidRPr="00722589">
        <w:rPr>
          <w:szCs w:val="22"/>
        </w:rPr>
        <w:t>u</w:t>
      </w:r>
      <w:r w:rsidRPr="00722589">
        <w:rPr>
          <w:szCs w:val="22"/>
        </w:rPr>
        <w:t xml:space="preserve">nits or </w:t>
      </w:r>
      <w:r w:rsidR="004606D1" w:rsidRPr="00722589">
        <w:rPr>
          <w:szCs w:val="22"/>
        </w:rPr>
        <w:t>h</w:t>
      </w:r>
      <w:r w:rsidRPr="00722589">
        <w:rPr>
          <w:szCs w:val="22"/>
        </w:rPr>
        <w:t xml:space="preserve">igh </w:t>
      </w:r>
      <w:r w:rsidR="004606D1" w:rsidRPr="00722589">
        <w:rPr>
          <w:szCs w:val="22"/>
        </w:rPr>
        <w:t>d</w:t>
      </w:r>
      <w:r w:rsidRPr="00722589">
        <w:rPr>
          <w:szCs w:val="22"/>
        </w:rPr>
        <w:t xml:space="preserve">ependency </w:t>
      </w:r>
      <w:r w:rsidR="004606D1" w:rsidRPr="00722589">
        <w:rPr>
          <w:szCs w:val="22"/>
        </w:rPr>
        <w:t>u</w:t>
      </w:r>
      <w:r w:rsidRPr="00722589">
        <w:rPr>
          <w:szCs w:val="22"/>
        </w:rPr>
        <w:t>nits with severe acute respiratory infections.</w:t>
      </w:r>
      <w:r w:rsidR="00F54634" w:rsidRPr="00722589">
        <w:rPr>
          <w:szCs w:val="22"/>
        </w:rPr>
        <w:t xml:space="preserve"> </w:t>
      </w:r>
      <w:r w:rsidR="00FB1216">
        <w:rPr>
          <w:szCs w:val="22"/>
        </w:rPr>
        <w:t xml:space="preserve">In early 2020, </w:t>
      </w:r>
      <w:r w:rsidR="00F54634" w:rsidRPr="00FB1216">
        <w:rPr>
          <w:szCs w:val="22"/>
        </w:rPr>
        <w:t>SPRINT-SARI Australia was launched</w:t>
      </w:r>
      <w:r w:rsidRPr="00FB1216">
        <w:rPr>
          <w:szCs w:val="22"/>
        </w:rPr>
        <w:t xml:space="preserve"> </w:t>
      </w:r>
      <w:r w:rsidR="00F54634" w:rsidRPr="00FB1216">
        <w:rPr>
          <w:szCs w:val="22"/>
        </w:rPr>
        <w:t>in response to the COVID-19</w:t>
      </w:r>
      <w:r w:rsidR="007563D6" w:rsidRPr="00FB1216">
        <w:rPr>
          <w:szCs w:val="22"/>
        </w:rPr>
        <w:t xml:space="preserve"> pandemic by the Australian and New Zealand Intensive Care Society Clinical Trials Group (ANIZCS-CTG), the Australian and New Zealand Intensive Care Research </w:t>
      </w:r>
      <w:r w:rsidR="00EA1532" w:rsidRPr="00FB1216">
        <w:rPr>
          <w:szCs w:val="22"/>
        </w:rPr>
        <w:t>Centre</w:t>
      </w:r>
      <w:r w:rsidR="007563D6" w:rsidRPr="00FB1216">
        <w:rPr>
          <w:szCs w:val="22"/>
        </w:rPr>
        <w:t xml:space="preserve"> (ANZIC-RC), Mona</w:t>
      </w:r>
      <w:r w:rsidR="007563D6" w:rsidRPr="00FF79CE">
        <w:rPr>
          <w:szCs w:val="22"/>
        </w:rPr>
        <w:t>sh University</w:t>
      </w:r>
      <w:r w:rsidR="00535DBA" w:rsidRPr="00FF79CE">
        <w:rPr>
          <w:szCs w:val="22"/>
        </w:rPr>
        <w:t>, and with international collaborators in Oxford.</w:t>
      </w:r>
      <w:r w:rsidR="007563D6" w:rsidRPr="00FF79CE">
        <w:rPr>
          <w:szCs w:val="22"/>
        </w:rPr>
        <w:t xml:space="preserve"> </w:t>
      </w:r>
      <w:r w:rsidRPr="00FF79CE">
        <w:rPr>
          <w:szCs w:val="22"/>
        </w:rPr>
        <w:t>From March 2020 to May 2022</w:t>
      </w:r>
      <w:r w:rsidR="00A15EEA" w:rsidRPr="00FF79CE">
        <w:rPr>
          <w:szCs w:val="22"/>
        </w:rPr>
        <w:t>,</w:t>
      </w:r>
      <w:r w:rsidRPr="00FF79CE">
        <w:rPr>
          <w:szCs w:val="22"/>
        </w:rPr>
        <w:t xml:space="preserve"> data were collected only on patients with an admission to intensive care associated with </w:t>
      </w:r>
      <w:r w:rsidR="00FB1216" w:rsidRPr="00F0069C">
        <w:rPr>
          <w:szCs w:val="22"/>
        </w:rPr>
        <w:t xml:space="preserve">suspected or confirmed </w:t>
      </w:r>
      <w:r w:rsidRPr="00FF79CE">
        <w:rPr>
          <w:szCs w:val="22"/>
        </w:rPr>
        <w:t xml:space="preserve">COVID-19. From June 2022 onwards, data collection began for other </w:t>
      </w:r>
      <w:r w:rsidR="005223FB" w:rsidRPr="00FF79CE">
        <w:rPr>
          <w:szCs w:val="22"/>
        </w:rPr>
        <w:t xml:space="preserve">severe acute respiratory infection </w:t>
      </w:r>
      <w:r w:rsidRPr="00FF79CE">
        <w:rPr>
          <w:szCs w:val="22"/>
        </w:rPr>
        <w:t xml:space="preserve">patients with an admission to intensive care for the management of acute respiratory failure or a complication and who were positive for </w:t>
      </w:r>
      <w:r w:rsidR="00A209DF" w:rsidRPr="00FF79CE">
        <w:rPr>
          <w:szCs w:val="22"/>
        </w:rPr>
        <w:t xml:space="preserve">a </w:t>
      </w:r>
      <w:r w:rsidR="006B71C3" w:rsidRPr="00FF79CE">
        <w:rPr>
          <w:szCs w:val="22"/>
        </w:rPr>
        <w:t xml:space="preserve">viral </w:t>
      </w:r>
      <w:r w:rsidR="00A209DF" w:rsidRPr="00FF79CE">
        <w:rPr>
          <w:szCs w:val="22"/>
        </w:rPr>
        <w:t>respiratory</w:t>
      </w:r>
      <w:r w:rsidR="006B71C3" w:rsidRPr="00FF79CE">
        <w:rPr>
          <w:szCs w:val="22"/>
        </w:rPr>
        <w:t xml:space="preserve"> pathogen</w:t>
      </w:r>
      <w:r w:rsidRPr="00FF79CE">
        <w:rPr>
          <w:szCs w:val="22"/>
        </w:rPr>
        <w:t>.</w:t>
      </w:r>
      <w:r w:rsidR="00261A80" w:rsidRPr="00FF79CE">
        <w:t xml:space="preserve"> </w:t>
      </w:r>
      <w:r w:rsidR="00825093" w:rsidRPr="00F0069C">
        <w:t xml:space="preserve">These viral pathogens included, but are not limited to, human metapneumovirus, influenza, parainfluenza, rhinovirus and RSV. </w:t>
      </w:r>
    </w:p>
    <w:p w14:paraId="09D213D8" w14:textId="450EFF87" w:rsidR="00035DC9" w:rsidRPr="00FB1216" w:rsidRDefault="00E3659C" w:rsidP="00F0069C">
      <w:r w:rsidRPr="00613723">
        <w:t xml:space="preserve">When interpreting </w:t>
      </w:r>
      <w:r w:rsidRPr="004E6A61">
        <w:t xml:space="preserve">SPRINT-SARI </w:t>
      </w:r>
      <w:r w:rsidRPr="00613723">
        <w:t xml:space="preserve">data it is important to note these data reflect the sickest patients with severe acute respiratory </w:t>
      </w:r>
      <w:r>
        <w:t>infections</w:t>
      </w:r>
      <w:r w:rsidRPr="00613723">
        <w:t xml:space="preserve"> who are admitted to intensive care; data are therefore not generalisable to all cases or patients in general hospital wards or intensive care. </w:t>
      </w:r>
      <w:r w:rsidR="0099254C">
        <w:t>A</w:t>
      </w:r>
      <w:r w:rsidR="00FB2E8E">
        <w:t>pproximately</w:t>
      </w:r>
      <w:r w:rsidR="00FB1216" w:rsidRPr="00F0069C">
        <w:t xml:space="preserve"> 70 </w:t>
      </w:r>
      <w:r w:rsidR="00E25FAA">
        <w:t>sentinel intensive care s</w:t>
      </w:r>
      <w:r w:rsidR="000D4D63">
        <w:t>ites</w:t>
      </w:r>
      <w:r w:rsidR="00FB1216" w:rsidRPr="00F0069C">
        <w:t xml:space="preserve"> across Australia </w:t>
      </w:r>
      <w:r w:rsidR="00FB2E8E" w:rsidRPr="00FB2E8E">
        <w:t>contribute</w:t>
      </w:r>
      <w:r w:rsidR="00FB1216" w:rsidRPr="00F0069C">
        <w:t xml:space="preserve"> data.</w:t>
      </w:r>
      <w:r w:rsidR="000D4D63">
        <w:t xml:space="preserve"> These intensive care sites include intensive care units and high dependency units managed by an intensive care team.</w:t>
      </w:r>
      <w:r w:rsidR="00FB1216" w:rsidRPr="00F0069C">
        <w:t xml:space="preserve"> </w:t>
      </w:r>
      <w:r w:rsidR="00F15188" w:rsidRPr="00FB1216">
        <w:t xml:space="preserve">SPRINT-SARI Australia </w:t>
      </w:r>
      <w:r w:rsidR="005A700D" w:rsidRPr="00FB1216">
        <w:t xml:space="preserve">continues to be </w:t>
      </w:r>
      <w:r w:rsidR="003C184E" w:rsidRPr="00FB1216">
        <w:t xml:space="preserve">managed </w:t>
      </w:r>
      <w:r w:rsidR="00E22803" w:rsidRPr="00FB1216">
        <w:t xml:space="preserve">by </w:t>
      </w:r>
      <w:r w:rsidR="00F15188" w:rsidRPr="00FB1216">
        <w:t xml:space="preserve">the </w:t>
      </w:r>
      <w:r w:rsidR="003C184E" w:rsidRPr="00FB1216">
        <w:t>ANZIC-RC</w:t>
      </w:r>
      <w:r w:rsidR="00F15188" w:rsidRPr="00FB1216">
        <w:t xml:space="preserve"> and Monash University.</w:t>
      </w:r>
    </w:p>
    <w:p w14:paraId="67F47787" w14:textId="28CA7364" w:rsidR="00DE70DC" w:rsidRPr="00F0069C" w:rsidRDefault="001C763D" w:rsidP="00DE70DC">
      <w:r w:rsidRPr="00F0069C">
        <w:t xml:space="preserve">More information about SPRINT-SARI Australia is available </w:t>
      </w:r>
      <w:hyperlink r:id="rId29" w:history="1">
        <w:r w:rsidRPr="00F0069C">
          <w:rPr>
            <w:rStyle w:val="Hyperlink"/>
          </w:rPr>
          <w:t>here</w:t>
        </w:r>
      </w:hyperlink>
      <w:r w:rsidRPr="00F0069C">
        <w:t>.</w:t>
      </w:r>
    </w:p>
    <w:p w14:paraId="67AAF33B" w14:textId="77777777" w:rsidR="00F0069C" w:rsidRPr="00DE70DC" w:rsidRDefault="00F0069C" w:rsidP="00C85AAA">
      <w:pPr>
        <w:pStyle w:val="ListBullet"/>
        <w:numPr>
          <w:ilvl w:val="0"/>
          <w:numId w:val="0"/>
        </w:numPr>
        <w:rPr>
          <w:highlight w:val="yellow"/>
        </w:rPr>
      </w:pPr>
    </w:p>
    <w:p w14:paraId="267E9B4E" w14:textId="4778128F" w:rsidR="007C1756" w:rsidRPr="00B52905" w:rsidRDefault="005C205F" w:rsidP="00602782">
      <w:pPr>
        <w:pStyle w:val="Heading4"/>
      </w:pPr>
      <w:r w:rsidRPr="00B52905">
        <w:t>Critical Health Resource Information System (CHRIS)</w:t>
      </w:r>
    </w:p>
    <w:p w14:paraId="4ACF3D06" w14:textId="59765FCF" w:rsidR="00603375" w:rsidRPr="00B52905" w:rsidRDefault="00553322" w:rsidP="00A4247A">
      <w:pPr>
        <w:pStyle w:val="ListBullet"/>
        <w:numPr>
          <w:ilvl w:val="0"/>
          <w:numId w:val="0"/>
        </w:numPr>
      </w:pPr>
      <w:r w:rsidRPr="00A4247A">
        <w:t>CHRIS</w:t>
      </w:r>
      <w:r w:rsidRPr="00B52905">
        <w:rPr>
          <w:b/>
          <w:bCs/>
        </w:rPr>
        <w:t xml:space="preserve"> </w:t>
      </w:r>
      <w:r w:rsidRPr="00B52905">
        <w:t xml:space="preserve">is a </w:t>
      </w:r>
      <w:r w:rsidR="00A47162" w:rsidRPr="00B52905">
        <w:t xml:space="preserve">real-time </w:t>
      </w:r>
      <w:r w:rsidRPr="00B52905">
        <w:t xml:space="preserve">national system </w:t>
      </w:r>
      <w:r w:rsidR="004F6B9B" w:rsidRPr="00B52905">
        <w:t xml:space="preserve">which provides data </w:t>
      </w:r>
      <w:r w:rsidR="00DB55D2" w:rsidRPr="00B52905">
        <w:t xml:space="preserve">to </w:t>
      </w:r>
      <w:r w:rsidRPr="00B52905">
        <w:t>monitor intensive care</w:t>
      </w:r>
      <w:r w:rsidRPr="00B52905" w:rsidDel="00104B6B">
        <w:t xml:space="preserve"> </w:t>
      </w:r>
      <w:r w:rsidR="00A47162" w:rsidRPr="00B52905">
        <w:t>activity</w:t>
      </w:r>
      <w:r w:rsidR="003C171F" w:rsidRPr="00B52905">
        <w:t xml:space="preserve">, capacity, and </w:t>
      </w:r>
      <w:r w:rsidR="009D6580" w:rsidRPr="00B52905">
        <w:t>resourcing</w:t>
      </w:r>
      <w:r w:rsidRPr="00B52905">
        <w:t>.</w:t>
      </w:r>
      <w:r w:rsidR="00B00891" w:rsidRPr="00B52905">
        <w:t xml:space="preserve"> </w:t>
      </w:r>
      <w:r w:rsidR="009A29D4">
        <w:t>In March 2020, i</w:t>
      </w:r>
      <w:r w:rsidR="004B0556" w:rsidRPr="00B52905">
        <w:t>n response to rising numbers of COVID-19 associated intensive care</w:t>
      </w:r>
      <w:r w:rsidR="005B05F2" w:rsidRPr="00B52905">
        <w:t xml:space="preserve"> admissions</w:t>
      </w:r>
      <w:r w:rsidR="00C840B5" w:rsidRPr="00B52905">
        <w:t>, CHRIS was developed as a collaboration between the Australian and New Zealand Intensive Care Society (ANZICS) and Ambulance Victoria</w:t>
      </w:r>
      <w:r w:rsidR="000E29FB" w:rsidRPr="00B52905">
        <w:t xml:space="preserve">, </w:t>
      </w:r>
      <w:r w:rsidR="00C840B5" w:rsidRPr="00B52905">
        <w:t xml:space="preserve">funded by the Australian Government Department of Health. </w:t>
      </w:r>
      <w:r w:rsidR="00850CF7" w:rsidRPr="00B52905">
        <w:t>CHRIS</w:t>
      </w:r>
      <w:r w:rsidR="00B85C79" w:rsidRPr="00B52905">
        <w:t xml:space="preserve">, which has been in use since 1 May 2020, </w:t>
      </w:r>
      <w:r w:rsidR="00673740" w:rsidRPr="00B52905">
        <w:t>receives</w:t>
      </w:r>
      <w:r w:rsidR="00583824" w:rsidRPr="00B52905">
        <w:t xml:space="preserve"> </w:t>
      </w:r>
      <w:r w:rsidR="00E33987" w:rsidRPr="00B52905">
        <w:t xml:space="preserve">data from </w:t>
      </w:r>
      <w:r w:rsidR="008A58C3" w:rsidRPr="00B52905">
        <w:t>all</w:t>
      </w:r>
      <w:r w:rsidR="00E33987" w:rsidRPr="00B52905">
        <w:t xml:space="preserve"> </w:t>
      </w:r>
      <w:r w:rsidR="00583824" w:rsidRPr="00B52905">
        <w:t xml:space="preserve">191 adult and paediatric intensive care </w:t>
      </w:r>
      <w:r w:rsidR="00E33987" w:rsidRPr="00B52905">
        <w:t>units (</w:t>
      </w:r>
      <w:r w:rsidR="00583824" w:rsidRPr="00B52905">
        <w:t>over 2</w:t>
      </w:r>
      <w:r w:rsidR="00E33987" w:rsidRPr="00B52905">
        <w:t>,</w:t>
      </w:r>
      <w:r w:rsidR="00583824" w:rsidRPr="00B52905">
        <w:t xml:space="preserve">300 </w:t>
      </w:r>
      <w:r w:rsidR="00E33987" w:rsidRPr="00B52905">
        <w:t>intensive care</w:t>
      </w:r>
      <w:r w:rsidR="00583824" w:rsidRPr="00B52905">
        <w:t xml:space="preserve"> beds</w:t>
      </w:r>
      <w:r w:rsidR="00E33987" w:rsidRPr="00B52905">
        <w:t xml:space="preserve">) </w:t>
      </w:r>
      <w:r w:rsidR="00DB55D2" w:rsidRPr="00B52905">
        <w:t>across Australia</w:t>
      </w:r>
      <w:r w:rsidR="00673740" w:rsidRPr="00B52905">
        <w:t xml:space="preserve"> twice daily</w:t>
      </w:r>
      <w:r w:rsidR="00DB55D2" w:rsidRPr="00B52905">
        <w:t>.</w:t>
      </w:r>
      <w:r w:rsidR="00D94262" w:rsidRPr="00B52905">
        <w:t xml:space="preserve"> </w:t>
      </w:r>
      <w:r w:rsidR="0008378E" w:rsidRPr="00B52905">
        <w:t xml:space="preserve">Throughout the COVID-19 pandemic, </w:t>
      </w:r>
      <w:r w:rsidR="0030306B" w:rsidRPr="00B52905">
        <w:t xml:space="preserve">CHRIS was used to </w:t>
      </w:r>
      <w:r w:rsidR="00940CE5" w:rsidRPr="00B52905">
        <w:t xml:space="preserve">facilitate the transfer of critically ill patients and enable early diversion of ambulance presentations to hospitals with intensive care capacity. </w:t>
      </w:r>
    </w:p>
    <w:p w14:paraId="16764297" w14:textId="17C533FB" w:rsidR="000501BF" w:rsidRDefault="001450A5" w:rsidP="000501BF">
      <w:pPr>
        <w:pStyle w:val="ListBullet"/>
        <w:numPr>
          <w:ilvl w:val="0"/>
          <w:numId w:val="0"/>
        </w:numPr>
        <w:ind w:left="360" w:hanging="360"/>
      </w:pPr>
      <w:r>
        <w:t>More information about CHRIS is available</w:t>
      </w:r>
      <w:hyperlink r:id="rId30" w:anchor="!/portal/home" w:history="1">
        <w:r w:rsidRPr="001450A5">
          <w:rPr>
            <w:rStyle w:val="Hyperlink"/>
          </w:rPr>
          <w:t xml:space="preserve"> here</w:t>
        </w:r>
      </w:hyperlink>
      <w:r>
        <w:t>.</w:t>
      </w:r>
    </w:p>
    <w:p w14:paraId="43F647E8" w14:textId="77777777" w:rsidR="00AE5653" w:rsidRDefault="00AE5653" w:rsidP="000501BF">
      <w:pPr>
        <w:pStyle w:val="ListBullet"/>
        <w:numPr>
          <w:ilvl w:val="0"/>
          <w:numId w:val="0"/>
        </w:numPr>
        <w:ind w:left="360" w:hanging="360"/>
      </w:pPr>
    </w:p>
    <w:p w14:paraId="3F47E9E5" w14:textId="2F68232A" w:rsidR="005C205F" w:rsidRDefault="00A4247A" w:rsidP="00C85AAA">
      <w:pPr>
        <w:pStyle w:val="Heading2"/>
      </w:pPr>
      <w:r>
        <w:t>Mortality</w:t>
      </w:r>
      <w:r w:rsidR="005C205F">
        <w:t xml:space="preserve"> surveillance</w:t>
      </w:r>
    </w:p>
    <w:p w14:paraId="250BE066" w14:textId="121A1AC7" w:rsidR="005C205F" w:rsidRPr="00A4247A" w:rsidRDefault="00C30C46" w:rsidP="00C85AAA">
      <w:pPr>
        <w:pStyle w:val="Heading4"/>
      </w:pPr>
      <w:r w:rsidRPr="00A4247A">
        <w:t>Australian Bureau of Statistics</w:t>
      </w:r>
      <w:r w:rsidR="001E2DCF">
        <w:t xml:space="preserve"> (ABS)</w:t>
      </w:r>
      <w:r w:rsidRPr="00A4247A">
        <w:t xml:space="preserve"> </w:t>
      </w:r>
      <w:r w:rsidR="005C205F" w:rsidRPr="00A4247A">
        <w:t xml:space="preserve">Provisional Mortality </w:t>
      </w:r>
      <w:r w:rsidR="000113BF" w:rsidRPr="00A4247A">
        <w:t>S</w:t>
      </w:r>
      <w:r w:rsidR="005C205F" w:rsidRPr="00A4247A">
        <w:t>tatistics</w:t>
      </w:r>
    </w:p>
    <w:p w14:paraId="53AC7615" w14:textId="69C1BFA2" w:rsidR="005C205F" w:rsidRDefault="00083EF9" w:rsidP="005C205F">
      <w:pPr>
        <w:rPr>
          <w:szCs w:val="20"/>
        </w:rPr>
      </w:pPr>
      <w:r>
        <w:rPr>
          <w:szCs w:val="20"/>
        </w:rPr>
        <w:t>D</w:t>
      </w:r>
      <w:r w:rsidRPr="00A51E1F">
        <w:rPr>
          <w:szCs w:val="20"/>
        </w:rPr>
        <w:t xml:space="preserve">eaths </w:t>
      </w:r>
      <w:r w:rsidRPr="00A51E1F">
        <w:rPr>
          <w:i/>
          <w:iCs/>
          <w:szCs w:val="20"/>
        </w:rPr>
        <w:t xml:space="preserve">involving </w:t>
      </w:r>
      <w:r w:rsidRPr="00A51E1F">
        <w:rPr>
          <w:szCs w:val="20"/>
        </w:rPr>
        <w:t>acute respiratory infections</w:t>
      </w:r>
      <w:r>
        <w:rPr>
          <w:szCs w:val="20"/>
        </w:rPr>
        <w:t xml:space="preserve"> are presented in the </w:t>
      </w:r>
      <w:r w:rsidR="00BB503C">
        <w:rPr>
          <w:szCs w:val="20"/>
        </w:rPr>
        <w:t>Australian Respiratory Surveillance Reports</w:t>
      </w:r>
      <w:r>
        <w:rPr>
          <w:szCs w:val="20"/>
        </w:rPr>
        <w:t xml:space="preserve"> </w:t>
      </w:r>
      <w:r w:rsidRPr="00A4247A">
        <w:rPr>
          <w:szCs w:val="20"/>
        </w:rPr>
        <w:t xml:space="preserve">as the primary data source for </w:t>
      </w:r>
      <w:r>
        <w:rPr>
          <w:szCs w:val="20"/>
        </w:rPr>
        <w:t>monitoring</w:t>
      </w:r>
      <w:r w:rsidRPr="00A4247A">
        <w:rPr>
          <w:szCs w:val="20"/>
        </w:rPr>
        <w:t xml:space="preserve"> acute respiratory infection associated deaths</w:t>
      </w:r>
      <w:r>
        <w:rPr>
          <w:szCs w:val="20"/>
        </w:rPr>
        <w:t>. These data are sourced from the ABS Provisional Mortality Statistics</w:t>
      </w:r>
      <w:r w:rsidR="005C205F" w:rsidRPr="00A4247A">
        <w:rPr>
          <w:szCs w:val="20"/>
        </w:rPr>
        <w:t xml:space="preserve">. The number of deaths </w:t>
      </w:r>
      <w:r w:rsidR="00AC2826" w:rsidRPr="00A4247A">
        <w:rPr>
          <w:szCs w:val="20"/>
        </w:rPr>
        <w:t>source</w:t>
      </w:r>
      <w:r w:rsidR="00EF04C7">
        <w:rPr>
          <w:szCs w:val="20"/>
        </w:rPr>
        <w:t>d</w:t>
      </w:r>
      <w:r w:rsidR="00AC2826" w:rsidRPr="00A4247A">
        <w:rPr>
          <w:szCs w:val="20"/>
        </w:rPr>
        <w:t xml:space="preserve"> </w:t>
      </w:r>
      <w:r w:rsidR="005C205F" w:rsidRPr="00A4247A">
        <w:rPr>
          <w:szCs w:val="20"/>
        </w:rPr>
        <w:t xml:space="preserve">from notification data </w:t>
      </w:r>
      <w:r w:rsidR="00AC2826" w:rsidRPr="00A4247A">
        <w:rPr>
          <w:szCs w:val="20"/>
        </w:rPr>
        <w:t>are</w:t>
      </w:r>
      <w:r w:rsidR="005C205F" w:rsidRPr="00A4247A">
        <w:rPr>
          <w:szCs w:val="20"/>
        </w:rPr>
        <w:t xml:space="preserve"> no longer recommended to </w:t>
      </w:r>
      <w:r w:rsidR="000D164A" w:rsidRPr="00A4247A">
        <w:rPr>
          <w:szCs w:val="20"/>
        </w:rPr>
        <w:t xml:space="preserve">routinely </w:t>
      </w:r>
      <w:r w:rsidR="005C205F" w:rsidRPr="00A4247A">
        <w:rPr>
          <w:szCs w:val="20"/>
        </w:rPr>
        <w:t>monitor acute respiratory infection associated deaths</w:t>
      </w:r>
      <w:r w:rsidR="008805EA" w:rsidRPr="00A4247A">
        <w:rPr>
          <w:szCs w:val="20"/>
        </w:rPr>
        <w:t xml:space="preserve"> due to issues with reliability and </w:t>
      </w:r>
      <w:r w:rsidR="00FC48EF" w:rsidRPr="00A4247A">
        <w:rPr>
          <w:szCs w:val="20"/>
        </w:rPr>
        <w:t>completeness</w:t>
      </w:r>
      <w:r w:rsidR="005C205F" w:rsidRPr="00A4247A">
        <w:rPr>
          <w:szCs w:val="20"/>
        </w:rPr>
        <w:t>.</w:t>
      </w:r>
      <w:r w:rsidR="005C205F" w:rsidRPr="00B910AC">
        <w:rPr>
          <w:szCs w:val="20"/>
        </w:rPr>
        <w:t xml:space="preserve"> </w:t>
      </w:r>
      <w:r w:rsidR="005C205F" w:rsidRPr="00A4247A">
        <w:rPr>
          <w:szCs w:val="20"/>
        </w:rPr>
        <w:t xml:space="preserve">In times of public health emergency response, the data source for </w:t>
      </w:r>
      <w:r w:rsidR="00EF04C7">
        <w:rPr>
          <w:szCs w:val="20"/>
        </w:rPr>
        <w:t>mortality</w:t>
      </w:r>
      <w:r w:rsidR="00480957" w:rsidRPr="00A4247A">
        <w:rPr>
          <w:szCs w:val="20"/>
        </w:rPr>
        <w:t xml:space="preserve"> surveillance </w:t>
      </w:r>
      <w:r w:rsidR="005C205F" w:rsidRPr="00A4247A">
        <w:rPr>
          <w:szCs w:val="20"/>
        </w:rPr>
        <w:t>will be reviewed for</w:t>
      </w:r>
      <w:r w:rsidR="00FF20B8" w:rsidRPr="00A4247A">
        <w:rPr>
          <w:szCs w:val="20"/>
        </w:rPr>
        <w:t xml:space="preserve"> accuracy,</w:t>
      </w:r>
      <w:r w:rsidR="005C205F" w:rsidRPr="00A4247A">
        <w:rPr>
          <w:szCs w:val="20"/>
        </w:rPr>
        <w:t xml:space="preserve"> completeness, reliability and </w:t>
      </w:r>
      <w:r w:rsidR="00FF20B8" w:rsidRPr="00A4247A">
        <w:rPr>
          <w:szCs w:val="20"/>
        </w:rPr>
        <w:t>timeliness</w:t>
      </w:r>
      <w:r w:rsidR="005C205F" w:rsidRPr="00A4247A">
        <w:rPr>
          <w:szCs w:val="20"/>
        </w:rPr>
        <w:t>.</w:t>
      </w:r>
    </w:p>
    <w:p w14:paraId="7822CCEB" w14:textId="0518CF05" w:rsidR="003D1EB4" w:rsidRDefault="003D1EB4" w:rsidP="003D1EB4">
      <w:pPr>
        <w:rPr>
          <w:szCs w:val="20"/>
        </w:rPr>
      </w:pPr>
      <w:r>
        <w:rPr>
          <w:szCs w:val="20"/>
        </w:rPr>
        <w:t xml:space="preserve">The </w:t>
      </w:r>
      <w:r w:rsidRPr="00A4247A">
        <w:rPr>
          <w:szCs w:val="20"/>
        </w:rPr>
        <w:t>ABS Provisional Mortality Statistics</w:t>
      </w:r>
      <w:r>
        <w:rPr>
          <w:szCs w:val="20"/>
        </w:rPr>
        <w:t xml:space="preserve"> (where deaths </w:t>
      </w:r>
      <w:r w:rsidRPr="00A51E1F">
        <w:rPr>
          <w:i/>
          <w:iCs/>
          <w:szCs w:val="20"/>
        </w:rPr>
        <w:t xml:space="preserve">involving </w:t>
      </w:r>
      <w:r w:rsidRPr="00A51E1F">
        <w:rPr>
          <w:szCs w:val="20"/>
        </w:rPr>
        <w:t>acute respiratory infections</w:t>
      </w:r>
      <w:r>
        <w:rPr>
          <w:szCs w:val="20"/>
        </w:rPr>
        <w:t xml:space="preserve"> are sourced from) </w:t>
      </w:r>
      <w:r w:rsidRPr="00846EDE">
        <w:rPr>
          <w:szCs w:val="20"/>
        </w:rPr>
        <w:t>provides an early indication of the pattern of mortality</w:t>
      </w:r>
      <w:r>
        <w:rPr>
          <w:szCs w:val="20"/>
        </w:rPr>
        <w:t xml:space="preserve">. The </w:t>
      </w:r>
      <w:r w:rsidRPr="00A4247A">
        <w:rPr>
          <w:szCs w:val="20"/>
        </w:rPr>
        <w:t>Provisional Mortality Statistics</w:t>
      </w:r>
      <w:r>
        <w:rPr>
          <w:szCs w:val="20"/>
        </w:rPr>
        <w:t xml:space="preserve"> are nationally representative and </w:t>
      </w:r>
      <w:r w:rsidRPr="000B5599">
        <w:rPr>
          <w:szCs w:val="20"/>
        </w:rPr>
        <w:t>there is standardisation in the collection, processing, classification, and presentation of causes of death statistics</w:t>
      </w:r>
      <w:r>
        <w:rPr>
          <w:szCs w:val="20"/>
        </w:rPr>
        <w:t>.</w:t>
      </w:r>
    </w:p>
    <w:p w14:paraId="5D17B3AB" w14:textId="6382E7E1" w:rsidR="003E51D0" w:rsidRDefault="00C7129A" w:rsidP="00841DD2">
      <w:pPr>
        <w:rPr>
          <w:szCs w:val="20"/>
        </w:rPr>
      </w:pPr>
      <w:r w:rsidRPr="00C7129A">
        <w:rPr>
          <w:szCs w:val="20"/>
        </w:rPr>
        <w:lastRenderedPageBreak/>
        <w:t>The registration of deaths is the responsibility of state and territory Registrars of Births, Deaths and Marriages.</w:t>
      </w:r>
      <w:r w:rsidR="004F0F38">
        <w:rPr>
          <w:szCs w:val="20"/>
        </w:rPr>
        <w:t xml:space="preserve"> </w:t>
      </w:r>
      <w:r w:rsidR="00C20617" w:rsidRPr="00C7129A">
        <w:rPr>
          <w:szCs w:val="20"/>
        </w:rPr>
        <w:t xml:space="preserve">Registrars </w:t>
      </w:r>
      <w:r w:rsidR="00C20617">
        <w:rPr>
          <w:szCs w:val="20"/>
        </w:rPr>
        <w:t>then provide t</w:t>
      </w:r>
      <w:r w:rsidR="00521121">
        <w:rPr>
          <w:szCs w:val="20"/>
        </w:rPr>
        <w:t>his information t</w:t>
      </w:r>
      <w:r w:rsidR="004F0F38" w:rsidRPr="004F0F38">
        <w:rPr>
          <w:szCs w:val="20"/>
        </w:rPr>
        <w:t xml:space="preserve">o the ABS for processing, coding and compilation into aggregate statistics. </w:t>
      </w:r>
      <w:r w:rsidR="00122914" w:rsidRPr="00122914">
        <w:rPr>
          <w:szCs w:val="20"/>
        </w:rPr>
        <w:t>Registrars report all deaths that were registered in a month at the start of the following month.</w:t>
      </w:r>
      <w:r w:rsidR="00122914">
        <w:rPr>
          <w:szCs w:val="20"/>
        </w:rPr>
        <w:t xml:space="preserve"> </w:t>
      </w:r>
      <w:r w:rsidR="00A9171C">
        <w:rPr>
          <w:szCs w:val="20"/>
        </w:rPr>
        <w:t>Generally, w</w:t>
      </w:r>
      <w:r w:rsidR="00841DD2" w:rsidRPr="00841DD2">
        <w:rPr>
          <w:szCs w:val="20"/>
        </w:rPr>
        <w:t>hen data is received each month, the lag between the date of death and the date of registration means that approximately 40</w:t>
      </w:r>
      <w:r w:rsidR="00A9171C">
        <w:rPr>
          <w:szCs w:val="20"/>
        </w:rPr>
        <w:t>–</w:t>
      </w:r>
      <w:r w:rsidR="00841DD2" w:rsidRPr="00841DD2">
        <w:rPr>
          <w:szCs w:val="20"/>
        </w:rPr>
        <w:t>50% of reported registrations are of deaths that occurred in the month being reported. The remainder are deaths that occurred in earlier months. For deaths which are doctor certified, approximately 95% of registrations are received after a second month. This is considered sufficiently complete to enable meaningful comparison with historical counts, noting that the level of completeness will be higher for the start of any given month than the end of that month.</w:t>
      </w:r>
      <w:r w:rsidR="009250A0" w:rsidRPr="00C85AAA">
        <w:rPr>
          <w:szCs w:val="20"/>
          <w:vertAlign w:val="superscript"/>
        </w:rPr>
        <w:t>17</w:t>
      </w:r>
      <w:r w:rsidR="00795063">
        <w:rPr>
          <w:szCs w:val="20"/>
        </w:rPr>
        <w:t xml:space="preserve"> </w:t>
      </w:r>
    </w:p>
    <w:p w14:paraId="2F66A5B4" w14:textId="669C8E1E" w:rsidR="00795063" w:rsidRDefault="00795063" w:rsidP="00841DD2">
      <w:pPr>
        <w:rPr>
          <w:szCs w:val="20"/>
        </w:rPr>
      </w:pPr>
      <w:r>
        <w:rPr>
          <w:szCs w:val="20"/>
        </w:rPr>
        <w:t xml:space="preserve">More information about the </w:t>
      </w:r>
      <w:r w:rsidR="00586CB6">
        <w:rPr>
          <w:szCs w:val="20"/>
        </w:rPr>
        <w:t xml:space="preserve">ABS </w:t>
      </w:r>
      <w:r>
        <w:rPr>
          <w:szCs w:val="20"/>
        </w:rPr>
        <w:t xml:space="preserve">Provisional Mortality Statistics methodology is available </w:t>
      </w:r>
      <w:hyperlink r:id="rId31" w:history="1">
        <w:r w:rsidRPr="00CF0633">
          <w:rPr>
            <w:rStyle w:val="Hyperlink"/>
            <w:szCs w:val="20"/>
          </w:rPr>
          <w:t>here</w:t>
        </w:r>
      </w:hyperlink>
      <w:r>
        <w:rPr>
          <w:szCs w:val="20"/>
        </w:rPr>
        <w:t>.</w:t>
      </w:r>
    </w:p>
    <w:p w14:paraId="0C835219" w14:textId="2547A0B4" w:rsidR="006312BF" w:rsidRPr="005A2E0E" w:rsidRDefault="00536F5B" w:rsidP="006312BF">
      <w:pPr>
        <w:rPr>
          <w:szCs w:val="20"/>
        </w:rPr>
      </w:pPr>
      <w:r w:rsidRPr="00C85AAA">
        <w:rPr>
          <w:szCs w:val="20"/>
        </w:rPr>
        <w:t xml:space="preserve">Deaths </w:t>
      </w:r>
      <w:r w:rsidRPr="00A51E1F">
        <w:rPr>
          <w:i/>
          <w:iCs/>
          <w:szCs w:val="20"/>
        </w:rPr>
        <w:t xml:space="preserve">involving </w:t>
      </w:r>
      <w:r w:rsidRPr="00A51E1F">
        <w:rPr>
          <w:szCs w:val="20"/>
        </w:rPr>
        <w:t>acute respiratory infections</w:t>
      </w:r>
      <w:r>
        <w:rPr>
          <w:szCs w:val="20"/>
        </w:rPr>
        <w:t xml:space="preserve"> </w:t>
      </w:r>
      <w:r w:rsidR="00DE411D">
        <w:rPr>
          <w:szCs w:val="20"/>
        </w:rPr>
        <w:t xml:space="preserve">data </w:t>
      </w:r>
      <w:r w:rsidRPr="00C85AAA">
        <w:rPr>
          <w:szCs w:val="20"/>
        </w:rPr>
        <w:t xml:space="preserve">focus on all deaths registered and reported with </w:t>
      </w:r>
      <w:r w:rsidR="00180249" w:rsidRPr="00180249">
        <w:rPr>
          <w:szCs w:val="20"/>
        </w:rPr>
        <w:t xml:space="preserve">COVID-19, influenza </w:t>
      </w:r>
      <w:r w:rsidR="00180249">
        <w:rPr>
          <w:szCs w:val="20"/>
        </w:rPr>
        <w:t>or</w:t>
      </w:r>
      <w:r w:rsidR="00180249" w:rsidRPr="00180249">
        <w:rPr>
          <w:szCs w:val="20"/>
        </w:rPr>
        <w:t xml:space="preserve"> RSV</w:t>
      </w:r>
      <w:r w:rsidRPr="00C85AAA">
        <w:rPr>
          <w:szCs w:val="20"/>
        </w:rPr>
        <w:t xml:space="preserve"> written on the death certificate up until a specified time. These </w:t>
      </w:r>
      <w:r w:rsidR="00180249">
        <w:rPr>
          <w:szCs w:val="20"/>
        </w:rPr>
        <w:t>data</w:t>
      </w:r>
      <w:r w:rsidRPr="00C85AAA">
        <w:rPr>
          <w:szCs w:val="20"/>
        </w:rPr>
        <w:t xml:space="preserve"> include important information about these acute respiratory infection deaths, including demographic details. While it is recognised data will be incomplete, it can still indicate emerging trends or changes among these deaths.</w:t>
      </w:r>
      <w:r w:rsidR="00CD37CF">
        <w:rPr>
          <w:szCs w:val="20"/>
        </w:rPr>
        <w:t xml:space="preserve"> </w:t>
      </w:r>
      <w:r w:rsidR="00705C3A" w:rsidRPr="00705C3A">
        <w:rPr>
          <w:szCs w:val="20"/>
        </w:rPr>
        <w:t xml:space="preserve">It is expected that numbers of deaths </w:t>
      </w:r>
      <w:r w:rsidR="00493F3F" w:rsidRPr="00A51E1F">
        <w:rPr>
          <w:i/>
          <w:iCs/>
          <w:szCs w:val="20"/>
        </w:rPr>
        <w:t xml:space="preserve">involving </w:t>
      </w:r>
      <w:r w:rsidR="00493F3F" w:rsidRPr="00A51E1F">
        <w:rPr>
          <w:szCs w:val="20"/>
        </w:rPr>
        <w:t>acute respiratory infections</w:t>
      </w:r>
      <w:r w:rsidR="00705C3A" w:rsidRPr="00705C3A">
        <w:rPr>
          <w:szCs w:val="20"/>
        </w:rPr>
        <w:t xml:space="preserve"> will increase for more recent time periods as more death registrations are received</w:t>
      </w:r>
      <w:r w:rsidR="00493F3F">
        <w:rPr>
          <w:szCs w:val="20"/>
        </w:rPr>
        <w:t xml:space="preserve"> and processed</w:t>
      </w:r>
      <w:r w:rsidR="00705C3A" w:rsidRPr="00705C3A">
        <w:rPr>
          <w:szCs w:val="20"/>
        </w:rPr>
        <w:t xml:space="preserve"> by the ABS.</w:t>
      </w:r>
      <w:r w:rsidR="00CE290A" w:rsidRPr="00C85AAA">
        <w:rPr>
          <w:szCs w:val="20"/>
          <w:vertAlign w:val="superscript"/>
        </w:rPr>
        <w:t>18</w:t>
      </w:r>
      <w:r w:rsidR="00CE290A">
        <w:rPr>
          <w:szCs w:val="20"/>
        </w:rPr>
        <w:t xml:space="preserve"> </w:t>
      </w:r>
      <w:r w:rsidR="003E4D7E">
        <w:rPr>
          <w:szCs w:val="20"/>
        </w:rPr>
        <w:t xml:space="preserve">In particular, the most recent two months are considered </w:t>
      </w:r>
      <w:r w:rsidR="00F61D29">
        <w:rPr>
          <w:szCs w:val="20"/>
        </w:rPr>
        <w:t xml:space="preserve">incomplete due to the time taken </w:t>
      </w:r>
      <w:r w:rsidR="002649B1">
        <w:rPr>
          <w:szCs w:val="20"/>
        </w:rPr>
        <w:t xml:space="preserve">for death registrations </w:t>
      </w:r>
      <w:r w:rsidR="002649B1" w:rsidRPr="002649B1">
        <w:rPr>
          <w:szCs w:val="20"/>
        </w:rPr>
        <w:t>to be received</w:t>
      </w:r>
      <w:r w:rsidR="002649B1">
        <w:rPr>
          <w:szCs w:val="20"/>
        </w:rPr>
        <w:t xml:space="preserve">, </w:t>
      </w:r>
      <w:r w:rsidR="002649B1" w:rsidRPr="002649B1">
        <w:rPr>
          <w:szCs w:val="20"/>
        </w:rPr>
        <w:t xml:space="preserve">processed and </w:t>
      </w:r>
      <w:r w:rsidR="002649B1">
        <w:rPr>
          <w:szCs w:val="20"/>
        </w:rPr>
        <w:t>Provisional M</w:t>
      </w:r>
      <w:r w:rsidR="002649B1" w:rsidRPr="002649B1">
        <w:rPr>
          <w:szCs w:val="20"/>
        </w:rPr>
        <w:t xml:space="preserve">ortality </w:t>
      </w:r>
      <w:r w:rsidR="002649B1">
        <w:rPr>
          <w:szCs w:val="20"/>
        </w:rPr>
        <w:t>S</w:t>
      </w:r>
      <w:r w:rsidR="002649B1" w:rsidRPr="002649B1">
        <w:rPr>
          <w:szCs w:val="20"/>
        </w:rPr>
        <w:t>tatistics reported</w:t>
      </w:r>
      <w:r w:rsidR="002649B1">
        <w:rPr>
          <w:szCs w:val="20"/>
        </w:rPr>
        <w:t>.</w:t>
      </w:r>
      <w:r w:rsidR="00CF0633">
        <w:rPr>
          <w:szCs w:val="20"/>
        </w:rPr>
        <w:t xml:space="preserve"> For this reason, d</w:t>
      </w:r>
      <w:r w:rsidR="00CF0633" w:rsidRPr="00A51E1F">
        <w:rPr>
          <w:szCs w:val="20"/>
        </w:rPr>
        <w:t xml:space="preserve">eaths </w:t>
      </w:r>
      <w:r w:rsidR="00CF0633" w:rsidRPr="00A51E1F">
        <w:rPr>
          <w:i/>
          <w:iCs/>
          <w:szCs w:val="20"/>
        </w:rPr>
        <w:t xml:space="preserve">involving </w:t>
      </w:r>
      <w:r w:rsidR="00CF0633" w:rsidRPr="00A51E1F">
        <w:rPr>
          <w:szCs w:val="20"/>
        </w:rPr>
        <w:t>acute respiratory infections</w:t>
      </w:r>
      <w:r w:rsidR="00CF0633">
        <w:rPr>
          <w:szCs w:val="20"/>
        </w:rPr>
        <w:t xml:space="preserve"> are presented in the Australian Respiratory Surveillance Reports will lag behind the standard reporting period by at least two months.</w:t>
      </w:r>
    </w:p>
    <w:p w14:paraId="78BE63B7" w14:textId="209E5CFE" w:rsidR="0058087B" w:rsidRDefault="0058087B" w:rsidP="005A2E0E">
      <w:pPr>
        <w:pStyle w:val="BodyText"/>
      </w:pPr>
      <w:r>
        <w:t xml:space="preserve">People are more likely to die </w:t>
      </w:r>
      <w:r>
        <w:rPr>
          <w:i/>
          <w:iCs/>
        </w:rPr>
        <w:t>du</w:t>
      </w:r>
      <w:r w:rsidRPr="009F1128">
        <w:rPr>
          <w:i/>
          <w:iCs/>
        </w:rPr>
        <w:t>e</w:t>
      </w:r>
      <w:r w:rsidRPr="004E6A61">
        <w:rPr>
          <w:i/>
          <w:iCs/>
        </w:rPr>
        <w:t xml:space="preserve"> to</w:t>
      </w:r>
      <w:r>
        <w:t xml:space="preserve"> COVID-19 or influenza rather than </w:t>
      </w:r>
      <w:r>
        <w:rPr>
          <w:i/>
          <w:iCs/>
        </w:rPr>
        <w:t>with</w:t>
      </w:r>
      <w:r>
        <w:t xml:space="preserve"> COVID-19 or influenza, while the opposite is true for RSV – people are more likely to die </w:t>
      </w:r>
      <w:r>
        <w:rPr>
          <w:i/>
          <w:iCs/>
        </w:rPr>
        <w:t>with</w:t>
      </w:r>
      <w:r>
        <w:t xml:space="preserve"> RSV. Therefore, to fully monitor the effects of acute respiratory infections on mortality in Australia, deaths involving (both </w:t>
      </w:r>
      <w:r>
        <w:rPr>
          <w:i/>
          <w:iCs/>
        </w:rPr>
        <w:t>due</w:t>
      </w:r>
      <w:r w:rsidRPr="004E6A61">
        <w:rPr>
          <w:i/>
          <w:iCs/>
        </w:rPr>
        <w:t xml:space="preserve"> to</w:t>
      </w:r>
      <w:r>
        <w:t xml:space="preserve"> and </w:t>
      </w:r>
      <w:r>
        <w:rPr>
          <w:i/>
          <w:iCs/>
        </w:rPr>
        <w:t>with</w:t>
      </w:r>
      <w:r>
        <w:t xml:space="preserve">) acute respiratory infections are presented in the </w:t>
      </w:r>
      <w:r>
        <w:rPr>
          <w:szCs w:val="20"/>
        </w:rPr>
        <w:t>Australian Respiratory Surveillance Reports</w:t>
      </w:r>
      <w:r>
        <w:t xml:space="preserve">. For disaggregation of acute respiratory infection deaths </w:t>
      </w:r>
      <w:r>
        <w:rPr>
          <w:i/>
          <w:iCs/>
        </w:rPr>
        <w:t>due</w:t>
      </w:r>
      <w:r>
        <w:t xml:space="preserve"> </w:t>
      </w:r>
      <w:r w:rsidRPr="004E6A61">
        <w:rPr>
          <w:i/>
          <w:iCs/>
        </w:rPr>
        <w:t>to</w:t>
      </w:r>
      <w:r>
        <w:t xml:space="preserve"> and </w:t>
      </w:r>
      <w:r>
        <w:rPr>
          <w:i/>
          <w:iCs/>
        </w:rPr>
        <w:t>with</w:t>
      </w:r>
      <w:r>
        <w:t xml:space="preserve"> refer to </w:t>
      </w:r>
      <w:hyperlink r:id="rId32">
        <w:r>
          <w:rPr>
            <w:rStyle w:val="Hyperlink"/>
          </w:rPr>
          <w:t>Deaths due to COVID-19, influenza and RSV in Australia</w:t>
        </w:r>
      </w:hyperlink>
      <w:r>
        <w:t>.</w:t>
      </w:r>
      <w:r w:rsidR="00E26009" w:rsidRPr="00C85AAA">
        <w:rPr>
          <w:vertAlign w:val="superscript"/>
        </w:rPr>
        <w:t>19</w:t>
      </w:r>
    </w:p>
    <w:p w14:paraId="53254D28" w14:textId="5D5E3032" w:rsidR="009059F4" w:rsidRDefault="009059F4" w:rsidP="005C205F">
      <w:pPr>
        <w:rPr>
          <w:szCs w:val="20"/>
        </w:rPr>
      </w:pPr>
      <w:r>
        <w:rPr>
          <w:szCs w:val="20"/>
        </w:rPr>
        <w:t xml:space="preserve">The </w:t>
      </w:r>
      <w:r w:rsidRPr="00A4247A">
        <w:rPr>
          <w:szCs w:val="20"/>
        </w:rPr>
        <w:t>Provisional Mortality Statistics</w:t>
      </w:r>
      <w:r w:rsidRPr="009059F4">
        <w:rPr>
          <w:szCs w:val="20"/>
        </w:rPr>
        <w:t xml:space="preserve"> will not be comparable with those reported in</w:t>
      </w:r>
      <w:r w:rsidR="006B763C">
        <w:rPr>
          <w:szCs w:val="20"/>
        </w:rPr>
        <w:t xml:space="preserve"> </w:t>
      </w:r>
      <w:hyperlink r:id="rId33" w:history="1">
        <w:r w:rsidRPr="009059F4">
          <w:rPr>
            <w:rStyle w:val="Hyperlink"/>
            <w:szCs w:val="20"/>
          </w:rPr>
          <w:t>Deaths, Australia</w:t>
        </w:r>
      </w:hyperlink>
      <w:r w:rsidR="006B763C">
        <w:rPr>
          <w:szCs w:val="20"/>
        </w:rPr>
        <w:t xml:space="preserve"> </w:t>
      </w:r>
      <w:r w:rsidRPr="009059F4">
        <w:rPr>
          <w:szCs w:val="20"/>
        </w:rPr>
        <w:t>or</w:t>
      </w:r>
      <w:r w:rsidR="006B763C">
        <w:rPr>
          <w:szCs w:val="20"/>
        </w:rPr>
        <w:t xml:space="preserve"> </w:t>
      </w:r>
      <w:hyperlink r:id="rId34" w:anchor="key-statistics" w:history="1">
        <w:r w:rsidRPr="009059F4">
          <w:rPr>
            <w:rStyle w:val="Hyperlink"/>
            <w:szCs w:val="20"/>
          </w:rPr>
          <w:t>Causes of Death, Australia</w:t>
        </w:r>
      </w:hyperlink>
      <w:r w:rsidRPr="009059F4">
        <w:rPr>
          <w:szCs w:val="20"/>
        </w:rPr>
        <w:t xml:space="preserve">. </w:t>
      </w:r>
      <w:r w:rsidR="00BE67C4">
        <w:rPr>
          <w:szCs w:val="20"/>
        </w:rPr>
        <w:t>Similarly,</w:t>
      </w:r>
      <w:r w:rsidR="000625A4">
        <w:rPr>
          <w:szCs w:val="20"/>
        </w:rPr>
        <w:t xml:space="preserve"> the Provisional Mortality Statistics will not provide official estimates of excess mortality.</w:t>
      </w:r>
      <w:r w:rsidR="00BE67C4">
        <w:rPr>
          <w:szCs w:val="20"/>
        </w:rPr>
        <w:t xml:space="preserve"> </w:t>
      </w:r>
      <w:r w:rsidRPr="009059F4">
        <w:rPr>
          <w:szCs w:val="20"/>
        </w:rPr>
        <w:t xml:space="preserve">Differences are explained in more detail throughout the </w:t>
      </w:r>
      <w:hyperlink r:id="rId35" w:history="1">
        <w:r w:rsidR="006B763C" w:rsidRPr="00D00AC3">
          <w:rPr>
            <w:rStyle w:val="Hyperlink"/>
            <w:szCs w:val="20"/>
          </w:rPr>
          <w:t xml:space="preserve">Provisional Mortality Statistics </w:t>
        </w:r>
        <w:r w:rsidRPr="00D00AC3">
          <w:rPr>
            <w:rStyle w:val="Hyperlink"/>
            <w:szCs w:val="20"/>
          </w:rPr>
          <w:t>methodology</w:t>
        </w:r>
      </w:hyperlink>
      <w:r w:rsidRPr="009059F4">
        <w:rPr>
          <w:szCs w:val="20"/>
        </w:rPr>
        <w:t>.</w:t>
      </w:r>
      <w:r w:rsidR="00D00AC3" w:rsidRPr="00D00AC3">
        <w:rPr>
          <w:szCs w:val="20"/>
        </w:rPr>
        <w:t xml:space="preserve"> </w:t>
      </w:r>
      <w:r w:rsidR="00D00AC3">
        <w:rPr>
          <w:szCs w:val="20"/>
        </w:rPr>
        <w:t xml:space="preserve">The </w:t>
      </w:r>
      <w:r w:rsidR="00D00AC3" w:rsidRPr="00A4247A">
        <w:rPr>
          <w:szCs w:val="20"/>
        </w:rPr>
        <w:t>Provisional Mortality Statistics</w:t>
      </w:r>
      <w:r w:rsidRPr="009059F4">
        <w:rPr>
          <w:szCs w:val="20"/>
        </w:rPr>
        <w:t xml:space="preserve"> may also not be comparable with other data sources. </w:t>
      </w:r>
    </w:p>
    <w:p w14:paraId="19792A06" w14:textId="2000A0CB" w:rsidR="00DC70B1" w:rsidRDefault="007F645C" w:rsidP="005C205F">
      <w:pPr>
        <w:rPr>
          <w:szCs w:val="20"/>
        </w:rPr>
      </w:pPr>
      <w:r>
        <w:rPr>
          <w:szCs w:val="20"/>
        </w:rPr>
        <w:t>More</w:t>
      </w:r>
      <w:r w:rsidR="006A3D74">
        <w:rPr>
          <w:szCs w:val="20"/>
        </w:rPr>
        <w:t xml:space="preserve"> information about the ABS Provisional Mortality Statistics </w:t>
      </w:r>
      <w:r>
        <w:rPr>
          <w:szCs w:val="20"/>
        </w:rPr>
        <w:t xml:space="preserve">is available </w:t>
      </w:r>
      <w:hyperlink r:id="rId36" w:history="1">
        <w:r w:rsidRPr="007F645C">
          <w:rPr>
            <w:rStyle w:val="Hyperlink"/>
            <w:szCs w:val="20"/>
          </w:rPr>
          <w:t>here</w:t>
        </w:r>
      </w:hyperlink>
      <w:r>
        <w:rPr>
          <w:szCs w:val="20"/>
        </w:rPr>
        <w:t>.</w:t>
      </w:r>
      <w:r w:rsidR="007F42CA">
        <w:rPr>
          <w:szCs w:val="20"/>
        </w:rPr>
        <w:t xml:space="preserve"> More information about acute respiratory infection mortality in Australia is available </w:t>
      </w:r>
      <w:hyperlink r:id="rId37" w:history="1">
        <w:r w:rsidR="007F42CA" w:rsidRPr="003257B8">
          <w:rPr>
            <w:rStyle w:val="Hyperlink"/>
            <w:szCs w:val="20"/>
          </w:rPr>
          <w:t>here</w:t>
        </w:r>
      </w:hyperlink>
      <w:r w:rsidR="007F42CA">
        <w:rPr>
          <w:szCs w:val="20"/>
        </w:rPr>
        <w:t>.</w:t>
      </w:r>
    </w:p>
    <w:p w14:paraId="5E23A360" w14:textId="77777777" w:rsidR="00DC1B65" w:rsidRPr="00B910AC" w:rsidRDefault="00DC1B65" w:rsidP="005C205F">
      <w:pPr>
        <w:rPr>
          <w:szCs w:val="20"/>
        </w:rPr>
      </w:pPr>
    </w:p>
    <w:p w14:paraId="7CABF9FA" w14:textId="21D1214F" w:rsidR="000501BF" w:rsidRDefault="000501BF" w:rsidP="005C205F">
      <w:pPr>
        <w:pStyle w:val="Heading2"/>
      </w:pPr>
      <w:r>
        <w:t>Laboratory surveillance</w:t>
      </w:r>
    </w:p>
    <w:p w14:paraId="7A7698AD" w14:textId="01F10C98" w:rsidR="005C205F" w:rsidRDefault="005C205F" w:rsidP="00C85AAA">
      <w:pPr>
        <w:pStyle w:val="Heading4"/>
      </w:pPr>
      <w:r w:rsidRPr="00F0455D">
        <w:t>AusTrakka</w:t>
      </w:r>
    </w:p>
    <w:p w14:paraId="4DD0AAE8" w14:textId="0F3CF17A" w:rsidR="00553322" w:rsidRPr="000D6F0F" w:rsidRDefault="00AF3794" w:rsidP="00F20349">
      <w:pPr>
        <w:pStyle w:val="ListBullet"/>
        <w:numPr>
          <w:ilvl w:val="0"/>
          <w:numId w:val="0"/>
        </w:numPr>
      </w:pPr>
      <w:r>
        <w:rPr>
          <w:bCs/>
        </w:rPr>
        <w:t>In 2020, AusTrakka was developed t</w:t>
      </w:r>
      <w:r w:rsidR="004B22E9">
        <w:rPr>
          <w:bCs/>
        </w:rPr>
        <w:t xml:space="preserve">o better facilitate public health genomics data sharing and analysis. </w:t>
      </w:r>
      <w:r w:rsidR="00553322" w:rsidRPr="008324FA">
        <w:rPr>
          <w:bCs/>
        </w:rPr>
        <w:t>AusTrakka</w:t>
      </w:r>
      <w:r w:rsidR="00553322" w:rsidRPr="000D6F0F">
        <w:rPr>
          <w:b/>
          <w:bCs/>
        </w:rPr>
        <w:t xml:space="preserve"> </w:t>
      </w:r>
      <w:r w:rsidR="000D6F0F" w:rsidRPr="008324FA">
        <w:t>is</w:t>
      </w:r>
      <w:r w:rsidR="00553322" w:rsidRPr="000D6F0F">
        <w:t xml:space="preserve"> Australia’s national </w:t>
      </w:r>
      <w:r w:rsidR="004751F8" w:rsidRPr="000D6F0F">
        <w:t xml:space="preserve">pathogen </w:t>
      </w:r>
      <w:r w:rsidR="00553322" w:rsidRPr="000D6F0F">
        <w:t>genomic</w:t>
      </w:r>
      <w:r w:rsidR="00DE05DA" w:rsidRPr="000D6F0F">
        <w:t xml:space="preserve"> sequence and analysis </w:t>
      </w:r>
      <w:r w:rsidR="00553322" w:rsidRPr="000D6F0F">
        <w:t>platform for SARS-CoV-2 and coordinator of genomics outbreak investigations across jurisdictions.</w:t>
      </w:r>
      <w:r w:rsidR="0060130B" w:rsidRPr="000D6F0F">
        <w:t xml:space="preserve"> </w:t>
      </w:r>
      <w:r w:rsidR="00AD6C87">
        <w:t xml:space="preserve">AusTrakka is </w:t>
      </w:r>
      <w:r w:rsidR="00AD6C87" w:rsidRPr="00AD7392">
        <w:t xml:space="preserve">overseen by the </w:t>
      </w:r>
      <w:hyperlink r:id="rId38" w:history="1">
        <w:r w:rsidR="00AD6C87" w:rsidRPr="00AD7392">
          <w:rPr>
            <w:rStyle w:val="Hyperlink"/>
          </w:rPr>
          <w:t xml:space="preserve">Communicable Diseases Genomics Network </w:t>
        </w:r>
      </w:hyperlink>
      <w:r w:rsidR="00AD6C87" w:rsidRPr="00AD7392">
        <w:t xml:space="preserve">and the </w:t>
      </w:r>
      <w:hyperlink r:id="rId39" w:history="1">
        <w:r w:rsidR="00AD6C87" w:rsidRPr="0058328A">
          <w:rPr>
            <w:rStyle w:val="Hyperlink"/>
          </w:rPr>
          <w:t>Public Health Laboratory Network</w:t>
        </w:r>
      </w:hyperlink>
      <w:r w:rsidR="00AD6C87">
        <w:t xml:space="preserve">. </w:t>
      </w:r>
      <w:r w:rsidR="0060130B" w:rsidRPr="000D6F0F">
        <w:t>Most state and territory public health laboratories upload genomic sequences and agreed epidemiological metadata</w:t>
      </w:r>
      <w:r w:rsidR="00564C8D" w:rsidRPr="000D6F0F">
        <w:t xml:space="preserve">; however, </w:t>
      </w:r>
      <w:r w:rsidR="000457E6" w:rsidRPr="000D6F0F">
        <w:t xml:space="preserve">data </w:t>
      </w:r>
      <w:r w:rsidR="0039272E" w:rsidRPr="000D6F0F">
        <w:t>should be interpreted with caution as sequencing strategies and the representativeness of sequences uploaded to AusTrakka have changed significantly over time:</w:t>
      </w:r>
    </w:p>
    <w:p w14:paraId="5A1CC50D" w14:textId="51A6B85A" w:rsidR="0039272E" w:rsidRPr="00564C8D" w:rsidRDefault="00564C8D" w:rsidP="0039272E">
      <w:pPr>
        <w:pStyle w:val="ListParagraph"/>
        <w:numPr>
          <w:ilvl w:val="0"/>
          <w:numId w:val="16"/>
        </w:numPr>
        <w:ind w:left="360"/>
        <w:rPr>
          <w:rFonts w:eastAsia="Arial"/>
        </w:rPr>
      </w:pPr>
      <w:r>
        <w:rPr>
          <w:rFonts w:eastAsia="Arial"/>
        </w:rPr>
        <w:t xml:space="preserve">From </w:t>
      </w:r>
      <w:r w:rsidR="0039272E" w:rsidRPr="00564C8D">
        <w:rPr>
          <w:rFonts w:eastAsia="Arial"/>
        </w:rPr>
        <w:t>late 2022, the rates of quantitative reverse transcription polymerase chain reaction (RT-qPCR) testing and referrals of positive samples to sequencing laboratories decreased significantly, resulting in changes to sequencing strategies across Australia.</w:t>
      </w:r>
      <w:r w:rsidR="0039272E" w:rsidRPr="00564C8D">
        <w:rPr>
          <w:rFonts w:eastAsia="Arial"/>
          <w:vertAlign w:val="superscript"/>
        </w:rPr>
        <w:t>4</w:t>
      </w:r>
    </w:p>
    <w:p w14:paraId="1CC0582B" w14:textId="08431870" w:rsidR="0039272E" w:rsidRDefault="0039272E" w:rsidP="0039272E">
      <w:pPr>
        <w:pStyle w:val="ListBullet"/>
        <w:numPr>
          <w:ilvl w:val="1"/>
          <w:numId w:val="9"/>
        </w:numPr>
        <w:ind w:left="360"/>
        <w:rPr>
          <w:rFonts w:eastAsia="Arial"/>
        </w:rPr>
      </w:pPr>
      <w:r w:rsidRPr="009B267C">
        <w:rPr>
          <w:rFonts w:eastAsia="Arial"/>
        </w:rPr>
        <w:lastRenderedPageBreak/>
        <w:t xml:space="preserve">From July 2023, </w:t>
      </w:r>
      <w:r w:rsidR="002528D7" w:rsidRPr="009B267C">
        <w:rPr>
          <w:rFonts w:eastAsia="Arial"/>
        </w:rPr>
        <w:t>s</w:t>
      </w:r>
      <w:r w:rsidRPr="009B267C">
        <w:rPr>
          <w:rFonts w:eastAsia="Arial"/>
        </w:rPr>
        <w:t>ome jurisdictions ceased SARS-CoV-2 sequencing, while other jurisdictions reduced the number of SARS-CoV-2 samples being sequenced. For jurisdictions that are continuing SARS-CoV-2 genomic surveillance, SARS-CoV-2 samples which are likely to be prioritised for sequencing include those from cases who are hospitalised</w:t>
      </w:r>
      <w:r w:rsidR="00B63EBA" w:rsidRPr="009B267C">
        <w:rPr>
          <w:rFonts w:eastAsia="Arial"/>
        </w:rPr>
        <w:t>,</w:t>
      </w:r>
      <w:r w:rsidRPr="009B267C">
        <w:rPr>
          <w:rFonts w:eastAsia="Arial"/>
        </w:rPr>
        <w:t xml:space="preserve"> admitted to intensive care, or cases of clinical significance. As a result, these changes are likely to affect the representativeness of sequenced SARS-CoV-2 lineages across Australia. </w:t>
      </w:r>
    </w:p>
    <w:p w14:paraId="2BC426BD" w14:textId="0FFBAA03" w:rsidR="009C23B3" w:rsidRPr="009C23B3" w:rsidRDefault="009C23B3" w:rsidP="0039272E">
      <w:pPr>
        <w:pStyle w:val="ListBullet"/>
        <w:numPr>
          <w:ilvl w:val="1"/>
          <w:numId w:val="9"/>
        </w:numPr>
        <w:ind w:left="360"/>
        <w:rPr>
          <w:rFonts w:eastAsia="Arial"/>
        </w:rPr>
      </w:pPr>
      <w:r w:rsidRPr="00E92E80">
        <w:t>In addition, sequencing methodology and protocols vary between jurisdictions</w:t>
      </w:r>
      <w:r>
        <w:t>.</w:t>
      </w:r>
    </w:p>
    <w:p w14:paraId="61CE658E" w14:textId="77777777" w:rsidR="005C6E91" w:rsidRDefault="005C6E91" w:rsidP="00FC0F2F">
      <w:r w:rsidRPr="00DC15F0">
        <w:t>There are several additional data considerations that should be noted when interpreting SARS-CoV-2 genomic surveillance data.</w:t>
      </w:r>
    </w:p>
    <w:p w14:paraId="1B25E066" w14:textId="2092719B" w:rsidR="00AD6C87" w:rsidRDefault="00AD6C87" w:rsidP="00391E60">
      <w:pPr>
        <w:pStyle w:val="ListBullet"/>
        <w:numPr>
          <w:ilvl w:val="0"/>
          <w:numId w:val="9"/>
        </w:numPr>
      </w:pPr>
      <w:r w:rsidRPr="009C23B3">
        <w:t>The number of sequences presented in the AusTrakka data are not equivalent to the number of reported cases, as not all cases are sequenced and there may be duplicates in the AusTrakka data.</w:t>
      </w:r>
    </w:p>
    <w:p w14:paraId="7CE7BC4F" w14:textId="46BB512C" w:rsidR="000B10D3" w:rsidRPr="00C9067E" w:rsidRDefault="000B10D3" w:rsidP="00391E60">
      <w:pPr>
        <w:pStyle w:val="ListBullet"/>
        <w:numPr>
          <w:ilvl w:val="0"/>
          <w:numId w:val="9"/>
        </w:numPr>
      </w:pPr>
      <w:r w:rsidRPr="00A47CBA">
        <w:t xml:space="preserve">Only samples with laboratory-definitive evidence of </w:t>
      </w:r>
      <w:r w:rsidRPr="00A47CBA">
        <w:rPr>
          <w:rFonts w:eastAsia="Arial"/>
        </w:rPr>
        <w:t xml:space="preserve">SARS-CoV-2 </w:t>
      </w:r>
      <w:r w:rsidRPr="00A47CBA">
        <w:t xml:space="preserve">are eligible for sequencing. Not all samples will be suitable for sequencing, especially those samples with low amounts of viral nucleic acid (i.e., high RT-qPCR cycle thresholds) such as those collected from cases late in their disease episode (common in returned travellers) or those subjected to storage at suboptimal conditions, causing viral </w:t>
      </w:r>
      <w:r w:rsidRPr="00C9067E">
        <w:t>nucleic acid degradation.</w:t>
      </w:r>
      <w:r w:rsidRPr="00C9067E">
        <w:rPr>
          <w:vertAlign w:val="superscript"/>
        </w:rPr>
        <w:t>12</w:t>
      </w:r>
      <w:r w:rsidR="0067099E" w:rsidRPr="00C9067E">
        <w:rPr>
          <w:vertAlign w:val="superscript"/>
        </w:rPr>
        <w:t xml:space="preserve"> </w:t>
      </w:r>
      <w:r w:rsidR="0067099E" w:rsidRPr="00C9067E">
        <w:t>This may affect the representativeness of samples.</w:t>
      </w:r>
    </w:p>
    <w:p w14:paraId="724DD626" w14:textId="0D0E6414" w:rsidR="000B10D3" w:rsidRPr="00C9067E" w:rsidRDefault="000B10D3" w:rsidP="00935BBA">
      <w:pPr>
        <w:pStyle w:val="ListBullet"/>
        <w:numPr>
          <w:ilvl w:val="0"/>
          <w:numId w:val="23"/>
        </w:numPr>
      </w:pPr>
      <w:r w:rsidRPr="00C9067E">
        <w:t>AusTrakka defines SARS-CoV-2 genomic lineages using the Phylogenetic Assignment of Named Global Outbreak (</w:t>
      </w:r>
      <w:proofErr w:type="spellStart"/>
      <w:r w:rsidRPr="00C9067E">
        <w:t>Pango</w:t>
      </w:r>
      <w:proofErr w:type="spellEnd"/>
      <w:r w:rsidRPr="00C9067E">
        <w:t>) lineage nomenclature.</w:t>
      </w:r>
      <w:r w:rsidR="00E941FC">
        <w:rPr>
          <w:vertAlign w:val="superscript"/>
        </w:rPr>
        <w:t>20</w:t>
      </w:r>
      <w:r w:rsidR="00E941FC" w:rsidRPr="00C9067E">
        <w:t xml:space="preserve"> </w:t>
      </w:r>
      <w:r w:rsidRPr="00C9067E">
        <w:t xml:space="preserve">Lineages and sub-lineage classifications are continuously defined, and lineage classification may change retrospectively as new sequences are added and lineages diversify over time. </w:t>
      </w:r>
      <w:r w:rsidRPr="00935BBA">
        <w:rPr>
          <w:lang w:val="en-GB"/>
        </w:rPr>
        <w:t xml:space="preserve">Sub-sub lineage designations may change with updates to Pangolin, USHER, and </w:t>
      </w:r>
      <w:proofErr w:type="spellStart"/>
      <w:r w:rsidRPr="00935BBA">
        <w:rPr>
          <w:lang w:val="en-GB"/>
        </w:rPr>
        <w:t>NextClade</w:t>
      </w:r>
      <w:proofErr w:type="spellEnd"/>
      <w:r w:rsidRPr="00935BBA">
        <w:rPr>
          <w:lang w:val="en-GB"/>
        </w:rPr>
        <w:t xml:space="preserve"> lineage calling software used by AusTrakka.</w:t>
      </w:r>
      <w:r w:rsidRPr="00C9067E">
        <w:t xml:space="preserve"> For this reason, </w:t>
      </w:r>
      <w:r w:rsidRPr="00935BBA">
        <w:rPr>
          <w:lang w:val="en-GB"/>
        </w:rPr>
        <w:t xml:space="preserve">numbers and proportions of sub-lineages may be adjusted in future </w:t>
      </w:r>
      <w:r w:rsidR="00C9067E" w:rsidRPr="00935BBA">
        <w:rPr>
          <w:lang w:val="en-GB"/>
        </w:rPr>
        <w:t>Australian Respiratory Surveillance Reports</w:t>
      </w:r>
      <w:r w:rsidRPr="00935BBA">
        <w:rPr>
          <w:lang w:val="en-GB"/>
        </w:rPr>
        <w:t>.</w:t>
      </w:r>
    </w:p>
    <w:p w14:paraId="27D2849E" w14:textId="28882BA7" w:rsidR="000B10D3" w:rsidRPr="00A92DC2" w:rsidRDefault="00C87F2A" w:rsidP="00CE7970">
      <w:pPr>
        <w:pStyle w:val="ListBullet"/>
        <w:numPr>
          <w:ilvl w:val="0"/>
          <w:numId w:val="34"/>
        </w:numPr>
        <w:rPr>
          <w:b/>
        </w:rPr>
      </w:pPr>
      <w:r>
        <w:t>From</w:t>
      </w:r>
      <w:r w:rsidRPr="00C87F2A">
        <w:t xml:space="preserve"> </w:t>
      </w:r>
      <w:r w:rsidR="000B10D3" w:rsidRPr="00C87F2A">
        <w:t xml:space="preserve">July 2023, AusTrakka has used the </w:t>
      </w:r>
      <w:hyperlink r:id="rId40" w:history="1">
        <w:r w:rsidR="000B10D3" w:rsidRPr="00C87F2A">
          <w:rPr>
            <w:rStyle w:val="Hyperlink"/>
          </w:rPr>
          <w:t>World Health Organization designations</w:t>
        </w:r>
      </w:hyperlink>
      <w:r w:rsidR="000B10D3" w:rsidRPr="00C87F2A">
        <w:t xml:space="preserve"> for any variant of concern, variant of interest, or variant under monitoring designations.</w:t>
      </w:r>
      <w:r w:rsidR="00651CFB" w:rsidRPr="00A92DC2">
        <w:rPr>
          <w:vertAlign w:val="superscript"/>
        </w:rPr>
        <w:t>2</w:t>
      </w:r>
      <w:r w:rsidR="00CE7970">
        <w:rPr>
          <w:vertAlign w:val="superscript"/>
        </w:rPr>
        <w:t>1</w:t>
      </w:r>
      <w:r w:rsidR="000B10D3" w:rsidRPr="00C87F2A">
        <w:t xml:space="preserve"> </w:t>
      </w:r>
      <w:r w:rsidR="000B10D3" w:rsidRPr="00A92DC2">
        <w:rPr>
          <w:szCs w:val="22"/>
        </w:rPr>
        <w:t xml:space="preserve">Currently, in AusTrakka variants of concern are determined from a viral sequence by using the </w:t>
      </w:r>
      <w:proofErr w:type="spellStart"/>
      <w:r w:rsidR="000B10D3" w:rsidRPr="00A92DC2">
        <w:rPr>
          <w:szCs w:val="22"/>
        </w:rPr>
        <w:t>NextClade</w:t>
      </w:r>
      <w:proofErr w:type="spellEnd"/>
      <w:r w:rsidR="000B10D3" w:rsidRPr="00A92DC2">
        <w:rPr>
          <w:szCs w:val="22"/>
        </w:rPr>
        <w:t xml:space="preserve"> Pangolin software and </w:t>
      </w:r>
      <w:proofErr w:type="spellStart"/>
      <w:r w:rsidR="000B10D3" w:rsidRPr="00A92DC2">
        <w:rPr>
          <w:szCs w:val="22"/>
        </w:rPr>
        <w:t>scorpio</w:t>
      </w:r>
      <w:proofErr w:type="spellEnd"/>
      <w:r w:rsidR="000B10D3" w:rsidRPr="00A92DC2">
        <w:rPr>
          <w:szCs w:val="22"/>
        </w:rPr>
        <w:t xml:space="preserve"> algorithm, which assigns a sequence to a Pangolin constellation (the presence of a set of characteristic mutations for each variant of concern lineage). Non-variant of concern lineages </w:t>
      </w:r>
      <w:proofErr w:type="gramStart"/>
      <w:r w:rsidR="000B10D3" w:rsidRPr="00A92DC2">
        <w:rPr>
          <w:szCs w:val="22"/>
        </w:rPr>
        <w:t>are</w:t>
      </w:r>
      <w:proofErr w:type="gramEnd"/>
      <w:r w:rsidR="000B10D3" w:rsidRPr="00A92DC2">
        <w:rPr>
          <w:szCs w:val="22"/>
        </w:rPr>
        <w:t xml:space="preserve"> determined using the Pangolin software </w:t>
      </w:r>
      <w:proofErr w:type="spellStart"/>
      <w:r w:rsidR="000B10D3" w:rsidRPr="00A92DC2">
        <w:rPr>
          <w:szCs w:val="22"/>
        </w:rPr>
        <w:t>PangoLEARN</w:t>
      </w:r>
      <w:proofErr w:type="spellEnd"/>
      <w:r w:rsidR="000B10D3" w:rsidRPr="00A92DC2">
        <w:rPr>
          <w:szCs w:val="22"/>
        </w:rPr>
        <w:t>. This approach is aligned with the World Health Organization position on variant of concern classification and interpretation.</w:t>
      </w:r>
    </w:p>
    <w:p w14:paraId="05462B44" w14:textId="4D79C50D" w:rsidR="00AD7392" w:rsidRDefault="00AD7392">
      <w:pPr>
        <w:pStyle w:val="ListBullet"/>
        <w:numPr>
          <w:ilvl w:val="0"/>
          <w:numId w:val="0"/>
        </w:numPr>
      </w:pPr>
      <w:r>
        <w:t xml:space="preserve">More information about AusTrakka is available </w:t>
      </w:r>
      <w:hyperlink r:id="rId41" w:history="1">
        <w:r w:rsidRPr="00AD7392">
          <w:rPr>
            <w:rStyle w:val="Hyperlink"/>
          </w:rPr>
          <w:t>here</w:t>
        </w:r>
      </w:hyperlink>
      <w:r>
        <w:t xml:space="preserve">. </w:t>
      </w:r>
    </w:p>
    <w:p w14:paraId="6E9136B0" w14:textId="77777777" w:rsidR="005C205F" w:rsidRDefault="005C205F" w:rsidP="005C205F">
      <w:pPr>
        <w:pStyle w:val="ListBullet"/>
        <w:numPr>
          <w:ilvl w:val="0"/>
          <w:numId w:val="0"/>
        </w:numPr>
        <w:rPr>
          <w:b/>
        </w:rPr>
      </w:pPr>
    </w:p>
    <w:p w14:paraId="21D0E09D" w14:textId="77777777" w:rsidR="00C16E7D" w:rsidRPr="005C205F" w:rsidRDefault="00C16E7D" w:rsidP="00C16E7D">
      <w:pPr>
        <w:pStyle w:val="Heading4"/>
      </w:pPr>
      <w:r>
        <w:t>Sentinel laboratories</w:t>
      </w:r>
    </w:p>
    <w:p w14:paraId="65459B68" w14:textId="77777777" w:rsidR="00C16E7D" w:rsidRPr="00F70B4A" w:rsidRDefault="00C16E7D" w:rsidP="00C16E7D">
      <w:pPr>
        <w:pStyle w:val="ListBullet"/>
        <w:numPr>
          <w:ilvl w:val="0"/>
          <w:numId w:val="0"/>
        </w:numPr>
      </w:pPr>
      <w:r w:rsidRPr="00F70B4A">
        <w:t xml:space="preserve">Sentinel laboratories are a surveillance network of laboratories that collect data on diagnostic respiratory pathogen testing. This includes the number of tests undertaken, the number of positive results, and the detected viruses. Sentinel laboratories are not intended to capture all diagnostic testing occurring, rather, sentinel laboratories aim to provide a representative sample of people tested for respiratory viruses in Australia. </w:t>
      </w:r>
    </w:p>
    <w:p w14:paraId="3A67E3B6" w14:textId="77777777" w:rsidR="00C16E7D" w:rsidRPr="00F70B4A" w:rsidRDefault="00C16E7D" w:rsidP="00C16E7D">
      <w:pPr>
        <w:pStyle w:val="ListBullet"/>
        <w:numPr>
          <w:ilvl w:val="0"/>
          <w:numId w:val="0"/>
        </w:numPr>
      </w:pPr>
      <w:r w:rsidRPr="00F70B4A">
        <w:t xml:space="preserve">Sentinel laboratory site testing data are influenced by jurisdictional and laboratory testing practices and should be interpreted with caution. Sentinel laboratories include laboratory networks in South Australia and Tasmania, and the National Influenza Centres. In Australia, the National Influenza Centres are: </w:t>
      </w:r>
    </w:p>
    <w:p w14:paraId="3E978B6B" w14:textId="77777777" w:rsidR="00C16E7D" w:rsidRPr="00F70B4A" w:rsidRDefault="00C16E7D" w:rsidP="00C16E7D">
      <w:pPr>
        <w:pStyle w:val="ListBullet"/>
        <w:numPr>
          <w:ilvl w:val="0"/>
          <w:numId w:val="33"/>
        </w:numPr>
        <w:tabs>
          <w:tab w:val="clear" w:pos="680"/>
        </w:tabs>
      </w:pPr>
      <w:r w:rsidRPr="00F70B4A">
        <w:t xml:space="preserve">Institute of Clinical Pathology and Medical Research in New South Wales </w:t>
      </w:r>
    </w:p>
    <w:p w14:paraId="56CC5A97" w14:textId="77777777" w:rsidR="00C16E7D" w:rsidRPr="00F70B4A" w:rsidRDefault="00C16E7D" w:rsidP="00C16E7D">
      <w:pPr>
        <w:pStyle w:val="ListBullet"/>
        <w:numPr>
          <w:ilvl w:val="0"/>
          <w:numId w:val="33"/>
        </w:numPr>
        <w:tabs>
          <w:tab w:val="clear" w:pos="680"/>
        </w:tabs>
      </w:pPr>
      <w:proofErr w:type="spellStart"/>
      <w:r w:rsidRPr="00F70B4A">
        <w:t>PathWest</w:t>
      </w:r>
      <w:proofErr w:type="spellEnd"/>
      <w:r w:rsidRPr="00F70B4A">
        <w:t xml:space="preserve"> Laboratory Medicine in Western Australia </w:t>
      </w:r>
    </w:p>
    <w:p w14:paraId="78BC4112" w14:textId="77777777" w:rsidR="00C16E7D" w:rsidRPr="00F70B4A" w:rsidRDefault="00C16E7D" w:rsidP="00C16E7D">
      <w:pPr>
        <w:pStyle w:val="ListBullet"/>
        <w:numPr>
          <w:ilvl w:val="0"/>
          <w:numId w:val="33"/>
        </w:numPr>
        <w:tabs>
          <w:tab w:val="clear" w:pos="680"/>
        </w:tabs>
      </w:pPr>
      <w:r w:rsidRPr="00F70B4A">
        <w:t>Victorian Infectious Diseases Reference Laboratory in Victoria.</w:t>
      </w:r>
    </w:p>
    <w:p w14:paraId="69195728" w14:textId="0F73D2A6" w:rsidR="00C16E7D" w:rsidRDefault="00C16E7D" w:rsidP="00C16E7D">
      <w:pPr>
        <w:pStyle w:val="ListBullet"/>
        <w:numPr>
          <w:ilvl w:val="0"/>
          <w:numId w:val="0"/>
        </w:numPr>
        <w:tabs>
          <w:tab w:val="clear" w:pos="680"/>
        </w:tabs>
      </w:pPr>
      <w:r w:rsidRPr="00F70B4A">
        <w:t>The National Influenza Centres are part of the WHO Global Influenza Surveillance and Response System (</w:t>
      </w:r>
      <w:r w:rsidR="008E4151" w:rsidRPr="00F70B4A">
        <w:t>GISRS</w:t>
      </w:r>
      <w:r w:rsidRPr="00F70B4A">
        <w:t xml:space="preserve">), contributing testing data and sending representative clinical specimens and isolated viruses to the </w:t>
      </w:r>
      <w:r w:rsidR="008E4151" w:rsidRPr="00F70B4A">
        <w:t>WHO</w:t>
      </w:r>
      <w:r w:rsidRPr="00F70B4A">
        <w:t xml:space="preserve"> Collaborating Centre  for Reference and Research on Influenza for advanced analysis.</w:t>
      </w:r>
    </w:p>
    <w:p w14:paraId="3E9D1C20" w14:textId="6C45E137" w:rsidR="00D85E59" w:rsidRDefault="00D85E59" w:rsidP="00C16E7D">
      <w:pPr>
        <w:pStyle w:val="ListBullet"/>
        <w:numPr>
          <w:ilvl w:val="0"/>
          <w:numId w:val="0"/>
        </w:numPr>
        <w:tabs>
          <w:tab w:val="clear" w:pos="680"/>
        </w:tabs>
      </w:pPr>
      <w:r>
        <w:t>More information about National Influenza Cent</w:t>
      </w:r>
      <w:r w:rsidR="008E4151">
        <w:t xml:space="preserve">res is available </w:t>
      </w:r>
      <w:hyperlink r:id="rId42" w:history="1">
        <w:r w:rsidR="008E4151" w:rsidRPr="008E4151">
          <w:rPr>
            <w:rStyle w:val="Hyperlink"/>
          </w:rPr>
          <w:t>here</w:t>
        </w:r>
      </w:hyperlink>
      <w:r w:rsidR="008E4151">
        <w:t xml:space="preserve">. </w:t>
      </w:r>
    </w:p>
    <w:p w14:paraId="78014C1F" w14:textId="77777777" w:rsidR="00C16E7D" w:rsidRDefault="00C16E7D" w:rsidP="005C205F">
      <w:pPr>
        <w:pStyle w:val="ListBullet"/>
        <w:numPr>
          <w:ilvl w:val="0"/>
          <w:numId w:val="0"/>
        </w:numPr>
        <w:rPr>
          <w:b/>
        </w:rPr>
      </w:pPr>
    </w:p>
    <w:p w14:paraId="14B149F1" w14:textId="5D18D947" w:rsidR="005C205F" w:rsidRPr="00F0455D" w:rsidRDefault="006C77C5" w:rsidP="004D4518">
      <w:pPr>
        <w:pStyle w:val="Heading4"/>
      </w:pPr>
      <w:r>
        <w:t>WHO</w:t>
      </w:r>
      <w:r w:rsidR="005C205F" w:rsidRPr="00FF6461">
        <w:t xml:space="preserve"> Collaborating Centre for Reference and Research on Influenza</w:t>
      </w:r>
    </w:p>
    <w:p w14:paraId="141E773F" w14:textId="1EE81CBD" w:rsidR="002D287A" w:rsidRDefault="00117123" w:rsidP="00240D7A">
      <w:pPr>
        <w:pStyle w:val="ListBullet"/>
        <w:numPr>
          <w:ilvl w:val="0"/>
          <w:numId w:val="0"/>
        </w:numPr>
      </w:pPr>
      <w:r w:rsidRPr="007637F6">
        <w:t>In Australia, t</w:t>
      </w:r>
      <w:r w:rsidR="0077052E" w:rsidRPr="007637F6">
        <w:t xml:space="preserve">he </w:t>
      </w:r>
      <w:r w:rsidR="0077052E" w:rsidRPr="00C85AAA">
        <w:t>WHO</w:t>
      </w:r>
      <w:r w:rsidR="006C77C5" w:rsidRPr="004D4518">
        <w:t xml:space="preserve"> </w:t>
      </w:r>
      <w:r w:rsidR="0077052E" w:rsidRPr="004D4518">
        <w:t>C</w:t>
      </w:r>
      <w:r w:rsidR="006C77C5" w:rsidRPr="004D4518">
        <w:t xml:space="preserve">ollaborating </w:t>
      </w:r>
      <w:r w:rsidR="0077052E" w:rsidRPr="004D4518">
        <w:t>C</w:t>
      </w:r>
      <w:r w:rsidR="006C77C5" w:rsidRPr="004D4518">
        <w:t>entre</w:t>
      </w:r>
      <w:r w:rsidR="0077052E" w:rsidRPr="00C85AAA">
        <w:t xml:space="preserve"> for Reference and Research on Influenza</w:t>
      </w:r>
      <w:r w:rsidR="00087E59">
        <w:t xml:space="preserve"> (the Centre)</w:t>
      </w:r>
      <w:r w:rsidRPr="007637F6">
        <w:t xml:space="preserve"> is hosted </w:t>
      </w:r>
      <w:r w:rsidR="00081971" w:rsidRPr="007637F6">
        <w:t>by the Victorian Infectious Diseases Reference Laboratory</w:t>
      </w:r>
      <w:r w:rsidR="006C77C5" w:rsidRPr="004D4518">
        <w:t xml:space="preserve"> and </w:t>
      </w:r>
      <w:r w:rsidR="00713AE3" w:rsidRPr="007637F6">
        <w:t xml:space="preserve">is part of the </w:t>
      </w:r>
      <w:r w:rsidR="00F137DD" w:rsidRPr="007637F6">
        <w:t>WHO</w:t>
      </w:r>
      <w:r w:rsidR="00713AE3" w:rsidRPr="007637F6">
        <w:t xml:space="preserve"> </w:t>
      </w:r>
      <w:r w:rsidR="0010073F" w:rsidRPr="004D4518">
        <w:t xml:space="preserve">GISRS. GISRS </w:t>
      </w:r>
      <w:r w:rsidR="00B129CA" w:rsidRPr="000545DD">
        <w:t xml:space="preserve">was established </w:t>
      </w:r>
      <w:r w:rsidR="0010073F" w:rsidRPr="004D4518">
        <w:t xml:space="preserve">in 1952 </w:t>
      </w:r>
      <w:r w:rsidR="00B129CA" w:rsidRPr="000545DD">
        <w:t>to monitor the changes in influenza</w:t>
      </w:r>
      <w:r w:rsidR="0010073F" w:rsidRPr="004D4518">
        <w:t xml:space="preserve"> viruses with the aim of</w:t>
      </w:r>
      <w:r w:rsidR="00B129CA" w:rsidRPr="000545DD">
        <w:t xml:space="preserve"> reduc</w:t>
      </w:r>
      <w:r w:rsidR="006C77C5" w:rsidRPr="004D4518">
        <w:t>ing</w:t>
      </w:r>
      <w:r w:rsidR="00B129CA" w:rsidRPr="000545DD">
        <w:t xml:space="preserve"> the impact of influenza</w:t>
      </w:r>
      <w:r w:rsidR="006C77C5" w:rsidRPr="004D4518">
        <w:t xml:space="preserve"> through the use of vaccines containing currently circulating influenza</w:t>
      </w:r>
      <w:r w:rsidR="00B129CA" w:rsidRPr="000545DD">
        <w:t xml:space="preserve"> viruses.</w:t>
      </w:r>
      <w:r w:rsidR="00F137DD" w:rsidRPr="000545DD">
        <w:t xml:space="preserve"> Together with other </w:t>
      </w:r>
      <w:r w:rsidR="007637F6" w:rsidRPr="000545DD">
        <w:t>WHO Collaborating Centre</w:t>
      </w:r>
      <w:r w:rsidR="007637F6" w:rsidRPr="004D4518">
        <w:t>s</w:t>
      </w:r>
      <w:r w:rsidR="0046228E" w:rsidRPr="000545DD">
        <w:t>, the Centre is responsible for</w:t>
      </w:r>
      <w:r w:rsidR="0077052E" w:rsidRPr="000545DD">
        <w:t xml:space="preserve"> analys</w:t>
      </w:r>
      <w:r w:rsidR="0046228E" w:rsidRPr="000545DD">
        <w:t>ing</w:t>
      </w:r>
      <w:r w:rsidR="00FC089E">
        <w:t xml:space="preserve"> the antigenic (immune response), </w:t>
      </w:r>
      <w:r w:rsidR="00087E59">
        <w:t xml:space="preserve">antiviral drug sensitivity, </w:t>
      </w:r>
      <w:r w:rsidR="00FC089E">
        <w:t>epidemiological and genetic characteristics of</w:t>
      </w:r>
      <w:r w:rsidR="0077052E" w:rsidRPr="000545DD">
        <w:t xml:space="preserve"> influenza viruses currently circulating in the human population</w:t>
      </w:r>
      <w:r w:rsidR="00696CCB" w:rsidRPr="000545DD">
        <w:t xml:space="preserve">. </w:t>
      </w:r>
      <w:r w:rsidR="00087E59">
        <w:t xml:space="preserve">The Centre </w:t>
      </w:r>
    </w:p>
    <w:p w14:paraId="27F3D261" w14:textId="38A602E3" w:rsidR="0077052E" w:rsidRDefault="00696CCB" w:rsidP="00240D7A">
      <w:pPr>
        <w:pStyle w:val="ListBullet"/>
        <w:numPr>
          <w:ilvl w:val="0"/>
          <w:numId w:val="0"/>
        </w:numPr>
        <w:rPr>
          <w:highlight w:val="yellow"/>
        </w:rPr>
      </w:pPr>
      <w:r w:rsidRPr="000545DD">
        <w:t>These data are used by the WHO</w:t>
      </w:r>
      <w:r w:rsidR="0077052E" w:rsidRPr="000545DD">
        <w:t xml:space="preserve"> to </w:t>
      </w:r>
      <w:r w:rsidR="0016571D" w:rsidRPr="000545DD">
        <w:t xml:space="preserve">make recommendations </w:t>
      </w:r>
      <w:r w:rsidR="00CC35DD" w:rsidRPr="000545DD">
        <w:t xml:space="preserve">on appropriate influenza subtypes to be included in annual seasonal influenza vaccines </w:t>
      </w:r>
      <w:r w:rsidR="0077052E" w:rsidRPr="000545DD">
        <w:t xml:space="preserve">for the </w:t>
      </w:r>
      <w:r w:rsidR="00664DF8" w:rsidRPr="000545DD">
        <w:t xml:space="preserve">northern </w:t>
      </w:r>
      <w:r w:rsidR="0077052E" w:rsidRPr="000545DD">
        <w:t xml:space="preserve">and </w:t>
      </w:r>
      <w:r w:rsidR="00664DF8" w:rsidRPr="000545DD">
        <w:t>southern hemispheres</w:t>
      </w:r>
      <w:r w:rsidR="0077052E" w:rsidRPr="000545DD">
        <w:t>.</w:t>
      </w:r>
      <w:r w:rsidR="007637F6" w:rsidRPr="004D4518">
        <w:t xml:space="preserve"> </w:t>
      </w:r>
      <w:r w:rsidR="007637F6" w:rsidRPr="000545DD">
        <w:t xml:space="preserve">The Centre </w:t>
      </w:r>
      <w:r w:rsidR="000545DD" w:rsidRPr="000545DD">
        <w:t>also undertakes research, training and regional capacity building activities related to influenza.</w:t>
      </w:r>
    </w:p>
    <w:p w14:paraId="25B17FCA" w14:textId="1221642E" w:rsidR="00F660CE" w:rsidRPr="00F660CE" w:rsidRDefault="00F660CE" w:rsidP="004D4518">
      <w:pPr>
        <w:pStyle w:val="ListBullet"/>
        <w:numPr>
          <w:ilvl w:val="0"/>
          <w:numId w:val="0"/>
        </w:numPr>
      </w:pPr>
      <w:r w:rsidRPr="004D4518">
        <w:t xml:space="preserve">More information about </w:t>
      </w:r>
      <w:r w:rsidR="00AD25CA">
        <w:t xml:space="preserve">the </w:t>
      </w:r>
      <w:r w:rsidRPr="004D4518">
        <w:t>C</w:t>
      </w:r>
      <w:r w:rsidR="00AD25CA">
        <w:t>entre</w:t>
      </w:r>
      <w:r w:rsidRPr="004D4518">
        <w:t xml:space="preserve"> is available </w:t>
      </w:r>
      <w:hyperlink r:id="rId43" w:history="1">
        <w:r w:rsidRPr="004D4518">
          <w:rPr>
            <w:rStyle w:val="Hyperlink"/>
          </w:rPr>
          <w:t>here</w:t>
        </w:r>
      </w:hyperlink>
      <w:r w:rsidRPr="004D4518">
        <w:t xml:space="preserve">. </w:t>
      </w:r>
    </w:p>
    <w:p w14:paraId="01C45C70" w14:textId="4D749628" w:rsidR="006E2310" w:rsidRDefault="006E2310">
      <w:pPr>
        <w:spacing w:before="0" w:after="0" w:line="240" w:lineRule="auto"/>
      </w:pPr>
      <w:r>
        <w:br w:type="page"/>
      </w:r>
    </w:p>
    <w:bookmarkEnd w:id="2"/>
    <w:p w14:paraId="1D90FC56" w14:textId="5A164BA0" w:rsidR="00423804" w:rsidRDefault="00423804" w:rsidP="00423804">
      <w:pPr>
        <w:pStyle w:val="Heading1"/>
      </w:pPr>
      <w:r>
        <w:lastRenderedPageBreak/>
        <w:t xml:space="preserve">Vaccination </w:t>
      </w:r>
    </w:p>
    <w:p w14:paraId="5E2D3A05" w14:textId="77777777" w:rsidR="00423804" w:rsidRPr="004D4518" w:rsidRDefault="00423804" w:rsidP="00423804">
      <w:pPr>
        <w:pStyle w:val="Heading2"/>
        <w:rPr>
          <w:rFonts w:eastAsiaTheme="majorEastAsia"/>
        </w:rPr>
      </w:pPr>
      <w:r w:rsidRPr="004D4518">
        <w:rPr>
          <w:rFonts w:eastAsiaTheme="majorEastAsia"/>
        </w:rPr>
        <w:t>Vaccine coverage</w:t>
      </w:r>
    </w:p>
    <w:p w14:paraId="0817B64D" w14:textId="3A866399" w:rsidR="00423804" w:rsidRPr="004D4518" w:rsidRDefault="00423804" w:rsidP="00423804">
      <w:pPr>
        <w:rPr>
          <w:rFonts w:eastAsiaTheme="majorEastAsia"/>
        </w:rPr>
      </w:pPr>
      <w:r w:rsidRPr="004D4518">
        <w:rPr>
          <w:rFonts w:eastAsiaTheme="majorEastAsia"/>
        </w:rPr>
        <w:t>Vaccine coverage refers to the proportion or prevalence of complete immunisation in a population.</w:t>
      </w:r>
      <w:r w:rsidR="00332A52">
        <w:rPr>
          <w:rFonts w:eastAsiaTheme="majorEastAsia"/>
          <w:vertAlign w:val="superscript"/>
        </w:rPr>
        <w:t>22</w:t>
      </w:r>
      <w:r w:rsidR="00332A52" w:rsidRPr="004D4518">
        <w:rPr>
          <w:rFonts w:eastAsiaTheme="majorEastAsia"/>
        </w:rPr>
        <w:t xml:space="preserve"> </w:t>
      </w:r>
      <w:r w:rsidRPr="004D4518">
        <w:rPr>
          <w:rFonts w:eastAsiaTheme="majorEastAsia"/>
        </w:rPr>
        <w:t>Vaccine coverage is a widely used indicator to determine</w:t>
      </w:r>
      <w:r w:rsidR="004F478D" w:rsidRPr="004D4518">
        <w:rPr>
          <w:rFonts w:eastAsiaTheme="majorEastAsia"/>
        </w:rPr>
        <w:t xml:space="preserve"> if a </w:t>
      </w:r>
      <w:r w:rsidRPr="004D4518">
        <w:rPr>
          <w:rFonts w:eastAsiaTheme="majorEastAsia"/>
        </w:rPr>
        <w:t>vaccine program</w:t>
      </w:r>
      <w:r w:rsidR="004F478D" w:rsidRPr="004D4518">
        <w:rPr>
          <w:rFonts w:eastAsiaTheme="majorEastAsia"/>
        </w:rPr>
        <w:t xml:space="preserve"> is being utilised, that is, are people actually being vaccinated</w:t>
      </w:r>
      <w:r w:rsidRPr="004D4518">
        <w:rPr>
          <w:rFonts w:eastAsiaTheme="majorEastAsia"/>
        </w:rPr>
        <w:t>.</w:t>
      </w:r>
      <w:r w:rsidR="000A53F8" w:rsidRPr="004D4518">
        <w:rPr>
          <w:rFonts w:eastAsiaTheme="majorEastAsia"/>
        </w:rPr>
        <w:t xml:space="preserve"> In addition, vaccine</w:t>
      </w:r>
      <w:r w:rsidRPr="004D4518">
        <w:rPr>
          <w:rFonts w:eastAsiaTheme="majorEastAsia"/>
        </w:rPr>
        <w:t xml:space="preserve"> coverage can </w:t>
      </w:r>
      <w:r w:rsidR="000A53F8" w:rsidRPr="004D4518">
        <w:rPr>
          <w:rFonts w:eastAsiaTheme="majorEastAsia"/>
        </w:rPr>
        <w:t xml:space="preserve">allow us to </w:t>
      </w:r>
      <w:r w:rsidRPr="004D4518">
        <w:rPr>
          <w:rFonts w:eastAsiaTheme="majorEastAsia"/>
        </w:rPr>
        <w:t>establish if enough people are being vaccinated so that the spread</w:t>
      </w:r>
      <w:r w:rsidR="00751D2E" w:rsidRPr="004D4518">
        <w:rPr>
          <w:rFonts w:eastAsiaTheme="majorEastAsia"/>
        </w:rPr>
        <w:t>, or transmission,</w:t>
      </w:r>
      <w:r w:rsidRPr="004D4518">
        <w:rPr>
          <w:rFonts w:eastAsiaTheme="majorEastAsia"/>
        </w:rPr>
        <w:t xml:space="preserve"> of diseases will be interrupted. In addition, assessing vaccine coverage in population sub-groups (such as age groups) or local areas can identify specific areas of low coverage so that measures to improve coverage can be appropriately targeted. Vaccine coverage is measured through registries (like the Australian Immunisation Register), routine administrative reports or community-based surveys. </w:t>
      </w:r>
    </w:p>
    <w:p w14:paraId="49D265E8" w14:textId="03E6D967" w:rsidR="006E2310" w:rsidRPr="005D32BB" w:rsidRDefault="006E2310" w:rsidP="004D4518">
      <w:pPr>
        <w:pStyle w:val="Heading4"/>
        <w:rPr>
          <w:rFonts w:eastAsiaTheme="majorEastAsia"/>
        </w:rPr>
      </w:pPr>
      <w:r w:rsidRPr="004D4518">
        <w:rPr>
          <w:rFonts w:eastAsiaTheme="majorEastAsia"/>
        </w:rPr>
        <w:t>Australian Immunisation Register</w:t>
      </w:r>
      <w:r w:rsidR="00970CFB">
        <w:rPr>
          <w:rFonts w:eastAsiaTheme="majorEastAsia"/>
        </w:rPr>
        <w:t xml:space="preserve"> (AIR)</w:t>
      </w:r>
    </w:p>
    <w:p w14:paraId="5C988067" w14:textId="43209687" w:rsidR="00C92B43" w:rsidRPr="005D32BB" w:rsidRDefault="00C92B43" w:rsidP="00C92B43">
      <w:pPr>
        <w:rPr>
          <w:rFonts w:eastAsiaTheme="majorEastAsia"/>
          <w:lang w:val="en-GB"/>
        </w:rPr>
      </w:pPr>
      <w:r w:rsidRPr="005D32BB">
        <w:rPr>
          <w:rFonts w:eastAsiaTheme="majorEastAsia"/>
        </w:rPr>
        <w:t xml:space="preserve">The AIR is a national register that records vaccines given to people of all ages in Australia. </w:t>
      </w:r>
      <w:r w:rsidRPr="005D32BB">
        <w:rPr>
          <w:rFonts w:eastAsiaTheme="majorEastAsia"/>
          <w:lang w:val="en-GB"/>
        </w:rPr>
        <w:t>The AIR includes vaccines given:</w:t>
      </w:r>
    </w:p>
    <w:p w14:paraId="74527969" w14:textId="77777777" w:rsidR="00C92B43" w:rsidRPr="005D32BB" w:rsidRDefault="00C92B43" w:rsidP="00C92B43">
      <w:pPr>
        <w:numPr>
          <w:ilvl w:val="0"/>
          <w:numId w:val="35"/>
        </w:numPr>
        <w:rPr>
          <w:rFonts w:eastAsiaTheme="majorEastAsia"/>
          <w:lang w:val="en-GB"/>
        </w:rPr>
      </w:pPr>
      <w:r w:rsidRPr="005D32BB">
        <w:rPr>
          <w:rFonts w:eastAsiaTheme="majorEastAsia"/>
          <w:lang w:val="en-GB"/>
        </w:rPr>
        <w:t xml:space="preserve">under the </w:t>
      </w:r>
      <w:hyperlink r:id="rId44" w:history="1">
        <w:r w:rsidRPr="005D32BB">
          <w:rPr>
            <w:rStyle w:val="Hyperlink"/>
            <w:rFonts w:eastAsiaTheme="majorEastAsia"/>
            <w:lang w:val="en-GB"/>
          </w:rPr>
          <w:t>National Immunisation Program</w:t>
        </w:r>
      </w:hyperlink>
    </w:p>
    <w:p w14:paraId="1B089999" w14:textId="77777777" w:rsidR="00C92B43" w:rsidRPr="005D32BB" w:rsidRDefault="00C92B43" w:rsidP="00C92B43">
      <w:pPr>
        <w:numPr>
          <w:ilvl w:val="0"/>
          <w:numId w:val="35"/>
        </w:numPr>
        <w:rPr>
          <w:rFonts w:eastAsiaTheme="majorEastAsia"/>
          <w:lang w:val="en-GB"/>
        </w:rPr>
      </w:pPr>
      <w:r w:rsidRPr="005D32BB">
        <w:rPr>
          <w:rFonts w:eastAsiaTheme="majorEastAsia"/>
          <w:lang w:val="en-GB"/>
        </w:rPr>
        <w:t>through school programs</w:t>
      </w:r>
    </w:p>
    <w:p w14:paraId="33F93E27" w14:textId="77777777" w:rsidR="00C92B43" w:rsidRPr="005D32BB" w:rsidRDefault="00C92B43" w:rsidP="00C92B43">
      <w:pPr>
        <w:numPr>
          <w:ilvl w:val="0"/>
          <w:numId w:val="35"/>
        </w:numPr>
        <w:rPr>
          <w:rFonts w:eastAsiaTheme="majorEastAsia"/>
          <w:lang w:val="en-GB"/>
        </w:rPr>
      </w:pPr>
      <w:r w:rsidRPr="005D32BB">
        <w:rPr>
          <w:rFonts w:eastAsiaTheme="majorEastAsia"/>
          <w:lang w:val="en-GB"/>
        </w:rPr>
        <w:t>privately, such as for seasonal influenza or travel.</w:t>
      </w:r>
    </w:p>
    <w:p w14:paraId="5046E8E2" w14:textId="5FFAC51F" w:rsidR="00C61FA0" w:rsidRPr="005D32BB" w:rsidRDefault="00C92B43" w:rsidP="00C92B43">
      <w:pPr>
        <w:rPr>
          <w:rFonts w:eastAsiaTheme="majorEastAsia"/>
          <w:lang w:val="en-GB"/>
        </w:rPr>
      </w:pPr>
      <w:r w:rsidRPr="005D32BB">
        <w:rPr>
          <w:rFonts w:eastAsiaTheme="majorEastAsia"/>
        </w:rPr>
        <w:t>Under the</w:t>
      </w:r>
      <w:r w:rsidR="00C61FA0" w:rsidRPr="005D32BB">
        <w:rPr>
          <w:rFonts w:eastAsiaTheme="majorEastAsia"/>
        </w:rPr>
        <w:t xml:space="preserve"> </w:t>
      </w:r>
      <w:r w:rsidR="00C61FA0" w:rsidRPr="005D32BB">
        <w:rPr>
          <w:rFonts w:eastAsiaTheme="majorEastAsia"/>
          <w:i/>
          <w:iCs/>
        </w:rPr>
        <w:t>Australian Immunisation Register Act</w:t>
      </w:r>
      <w:r w:rsidRPr="005D32BB">
        <w:rPr>
          <w:rFonts w:eastAsiaTheme="majorEastAsia"/>
        </w:rPr>
        <w:t xml:space="preserve"> it is mandatory for recognised vaccination providers to report COVID-19 vaccinations administered on or after 20 February 2021 and influenza vaccinations administered on or after 1 March 2021.</w:t>
      </w:r>
      <w:r w:rsidR="00804333" w:rsidRPr="00C85AAA">
        <w:rPr>
          <w:rFonts w:eastAsiaTheme="majorEastAsia"/>
          <w:vertAlign w:val="superscript"/>
        </w:rPr>
        <w:t>23</w:t>
      </w:r>
      <w:r w:rsidR="00804333">
        <w:rPr>
          <w:rFonts w:eastAsiaTheme="majorEastAsia"/>
        </w:rPr>
        <w:t xml:space="preserve"> </w:t>
      </w:r>
      <w:r w:rsidRPr="005D32BB">
        <w:rPr>
          <w:rFonts w:eastAsiaTheme="majorEastAsia"/>
        </w:rPr>
        <w:t xml:space="preserve">For this reason, vaccinations reported to the AIR are substantially more comprehensive and complete in the most recent years. There is a reporting lag for the AIR data, </w:t>
      </w:r>
      <w:r w:rsidRPr="005D32BB">
        <w:rPr>
          <w:rFonts w:eastAsiaTheme="majorEastAsia"/>
          <w:lang w:val="en-GB"/>
        </w:rPr>
        <w:t xml:space="preserve">as vaccine providers can upload the immunisation encounter days or weeks after the actual encounter occurs. Therefore, vaccination data particularly for the most recent weeks is subject to revisions and may appear lower than actual vaccine coverage. </w:t>
      </w:r>
    </w:p>
    <w:p w14:paraId="7BD22127" w14:textId="62FAF2F1" w:rsidR="00C92B43" w:rsidRPr="005D32BB" w:rsidRDefault="00C92B43" w:rsidP="00C92B43">
      <w:pPr>
        <w:rPr>
          <w:rFonts w:eastAsiaTheme="majorEastAsia"/>
        </w:rPr>
      </w:pPr>
      <w:r w:rsidRPr="005D32BB">
        <w:rPr>
          <w:rFonts w:eastAsiaTheme="majorEastAsia"/>
        </w:rPr>
        <w:t>In addition, any individuals who are no longer active in the AIR (e.g. deceased or permanently left Australia) are excluded from reports on time since last vaccination; however, these vaccinations are still counted in the overall doses administered. Therefore, vaccine coverage data based on time since last vaccination in this report may vary from data reported in other national reports and reports by states and territories.</w:t>
      </w:r>
    </w:p>
    <w:p w14:paraId="2D81BF0F" w14:textId="59B0B576" w:rsidR="00C61FA0" w:rsidRPr="005D32BB" w:rsidRDefault="00F46352" w:rsidP="00C92B43">
      <w:pPr>
        <w:rPr>
          <w:rFonts w:eastAsiaTheme="majorEastAsia"/>
        </w:rPr>
      </w:pPr>
      <w:r w:rsidRPr="005D32BB">
        <w:rPr>
          <w:rFonts w:eastAsiaTheme="majorEastAsia"/>
        </w:rPr>
        <w:t xml:space="preserve">More information about the AIR is available </w:t>
      </w:r>
      <w:hyperlink r:id="rId45" w:history="1">
        <w:r w:rsidRPr="005D32BB">
          <w:rPr>
            <w:rStyle w:val="Hyperlink"/>
            <w:rFonts w:eastAsiaTheme="majorEastAsia"/>
          </w:rPr>
          <w:t>here</w:t>
        </w:r>
      </w:hyperlink>
      <w:r w:rsidRPr="005D32BB">
        <w:rPr>
          <w:rFonts w:eastAsiaTheme="majorEastAsia"/>
        </w:rPr>
        <w:t>.</w:t>
      </w:r>
    </w:p>
    <w:p w14:paraId="10B94B58" w14:textId="77777777" w:rsidR="00423804" w:rsidRPr="004D4518" w:rsidRDefault="00423804" w:rsidP="00423804">
      <w:pPr>
        <w:pStyle w:val="Heading2"/>
      </w:pPr>
      <w:r w:rsidRPr="004D4518">
        <w:t>Vaccine efficacy</w:t>
      </w:r>
    </w:p>
    <w:p w14:paraId="2F8C1841" w14:textId="3FF54C13" w:rsidR="00423804" w:rsidRPr="00C85AAA" w:rsidRDefault="00FA3AE4" w:rsidP="00423804">
      <w:pPr>
        <w:rPr>
          <w:b/>
          <w:bCs/>
        </w:rPr>
      </w:pPr>
      <w:r w:rsidRPr="00FD1EA2">
        <w:t xml:space="preserve">A vaccine’s efficacy </w:t>
      </w:r>
      <w:r w:rsidR="00350696" w:rsidRPr="00FD1EA2">
        <w:t xml:space="preserve">is a measure of how much </w:t>
      </w:r>
      <w:r w:rsidR="00FD1EA2" w:rsidRPr="00FD1EA2">
        <w:t>a</w:t>
      </w:r>
      <w:r w:rsidR="00350696" w:rsidRPr="00FD1EA2">
        <w:t xml:space="preserve"> vaccine lowered the risk of</w:t>
      </w:r>
      <w:r w:rsidR="00012E15" w:rsidRPr="00FD1EA2">
        <w:t xml:space="preserve"> a person </w:t>
      </w:r>
      <w:r w:rsidRPr="00FD1EA2">
        <w:t>in a controlled clinical trial</w:t>
      </w:r>
      <w:r w:rsidR="00012E15" w:rsidRPr="00FD1EA2">
        <w:t xml:space="preserve"> getting sick</w:t>
      </w:r>
      <w:r w:rsidR="00131F9E" w:rsidRPr="00FD1EA2">
        <w:t>. Vaccine efficacy</w:t>
      </w:r>
      <w:r w:rsidRPr="00FD1EA2">
        <w:t xml:space="preserve"> is based on how many people who got vaccinated developed the ‘outcome of interest’ (usually disease) compared with how many people who got the placebo (dummy vaccine) developed the same outcome</w:t>
      </w:r>
      <w:r w:rsidR="00192080" w:rsidRPr="00FD1EA2">
        <w:t xml:space="preserve"> (disease)</w:t>
      </w:r>
      <w:r w:rsidR="00653870" w:rsidRPr="00FD1EA2">
        <w:t>. To cal</w:t>
      </w:r>
      <w:r w:rsidR="00A519EB" w:rsidRPr="00FD1EA2">
        <w:t xml:space="preserve">culate a vaccine’s efficacy, </w:t>
      </w:r>
      <w:r w:rsidR="00653870" w:rsidRPr="00FD1EA2">
        <w:t xml:space="preserve">the numbers of sick people in each </w:t>
      </w:r>
      <w:r w:rsidR="00FB5C3A">
        <w:t xml:space="preserve">trial </w:t>
      </w:r>
      <w:r w:rsidR="00653870" w:rsidRPr="00FD1EA2">
        <w:t xml:space="preserve">group are compared, in order to calculate the relative risk of getting sick depending on whether or not the </w:t>
      </w:r>
      <w:r w:rsidR="005E0C92">
        <w:t>trial participants</w:t>
      </w:r>
      <w:r w:rsidR="00653870" w:rsidRPr="00FD1EA2">
        <w:t xml:space="preserve"> received the vaccine.</w:t>
      </w:r>
      <w:r w:rsidR="009644EE">
        <w:t xml:space="preserve"> Vaccine</w:t>
      </w:r>
      <w:r w:rsidR="009644EE" w:rsidRPr="009644EE">
        <w:t xml:space="preserve"> efficacy seen in clinical trials applies to specific </w:t>
      </w:r>
      <w:r w:rsidR="009644EE">
        <w:t>‘</w:t>
      </w:r>
      <w:r w:rsidR="009644EE" w:rsidRPr="009644EE">
        <w:t>outcome</w:t>
      </w:r>
      <w:r w:rsidR="009644EE">
        <w:t xml:space="preserve"> of interest’</w:t>
      </w:r>
      <w:r w:rsidR="009644EE" w:rsidRPr="009644EE">
        <w:t xml:space="preserve"> in a clinical trial</w:t>
      </w:r>
      <w:r w:rsidR="009644EE">
        <w:t xml:space="preserve"> only</w:t>
      </w:r>
      <w:r w:rsidR="009644EE" w:rsidRPr="009644EE">
        <w:t>.</w:t>
      </w:r>
      <w:r w:rsidR="00423804" w:rsidRPr="00C85AAA">
        <w:rPr>
          <w:vertAlign w:val="superscript"/>
        </w:rPr>
        <w:t>2</w:t>
      </w:r>
      <w:r w:rsidR="00E514FA">
        <w:rPr>
          <w:vertAlign w:val="superscript"/>
        </w:rPr>
        <w:t>4</w:t>
      </w:r>
      <w:r w:rsidR="00423804" w:rsidRPr="00C85AAA">
        <w:t xml:space="preserve"> </w:t>
      </w:r>
      <w:r w:rsidR="00FD1EA2" w:rsidRPr="00C85AAA">
        <w:t>Vaccine efficacy is not reported in the Australian Respiratory Surveillance Report.</w:t>
      </w:r>
    </w:p>
    <w:p w14:paraId="2C8B52AD" w14:textId="77777777" w:rsidR="00423804" w:rsidRPr="00C85AAA" w:rsidRDefault="00423804" w:rsidP="00423804">
      <w:pPr>
        <w:pStyle w:val="Heading2"/>
      </w:pPr>
      <w:r w:rsidRPr="00C85AAA">
        <w:t>Vaccine effectiveness</w:t>
      </w:r>
    </w:p>
    <w:p w14:paraId="1812E088" w14:textId="70B1B7C3" w:rsidR="009512E2" w:rsidRDefault="006160AF" w:rsidP="00423804">
      <w:r w:rsidRPr="006160AF">
        <w:t xml:space="preserve">Vaccine effectiveness is a measure of how well </w:t>
      </w:r>
      <w:r>
        <w:t xml:space="preserve">a </w:t>
      </w:r>
      <w:r w:rsidRPr="006160AF">
        <w:t>vaccine work</w:t>
      </w:r>
      <w:r>
        <w:t>s</w:t>
      </w:r>
      <w:r w:rsidRPr="006160AF">
        <w:t xml:space="preserve"> in the real world</w:t>
      </w:r>
      <w:r w:rsidR="00A9700F">
        <w:t xml:space="preserve">. </w:t>
      </w:r>
      <w:r w:rsidR="00A9700F" w:rsidRPr="00A9700F">
        <w:t xml:space="preserve">Effectiveness is measured by observing how well the vaccines work to protect communities as a whole. </w:t>
      </w:r>
      <w:r w:rsidR="009512E2">
        <w:t>Vaccine e</w:t>
      </w:r>
      <w:r w:rsidR="00A9700F" w:rsidRPr="00A9700F">
        <w:t xml:space="preserve">ffectiveness in the real world can differ from the </w:t>
      </w:r>
      <w:r w:rsidR="00A9700F">
        <w:t xml:space="preserve">vaccine </w:t>
      </w:r>
      <w:r w:rsidR="00A9700F" w:rsidRPr="00A9700F">
        <w:t xml:space="preserve">efficacy measured in a trial, because we can’t predict exactly how effective </w:t>
      </w:r>
      <w:r w:rsidR="00A9700F" w:rsidRPr="00A9700F">
        <w:lastRenderedPageBreak/>
        <w:t>vaccination will be for a much bigger and more variable population getting vaccinated in more real life conditions</w:t>
      </w:r>
      <w:r w:rsidR="00423804" w:rsidRPr="00C85AAA">
        <w:t>. Vaccine effectiveness is often lower than vaccine efficacy, because it includes people in whom the immune responses to vaccines may not be as strong as healthy people in clinical trials, and because adherence to vaccine schedules may not be as good as in clinical trials</w:t>
      </w:r>
      <w:r w:rsidR="00852550" w:rsidRPr="004E6A61">
        <w:t>.</w:t>
      </w:r>
      <w:r w:rsidR="00852550" w:rsidRPr="004E6A61">
        <w:rPr>
          <w:vertAlign w:val="superscript"/>
        </w:rPr>
        <w:t>2</w:t>
      </w:r>
      <w:r w:rsidR="00E514FA">
        <w:rPr>
          <w:vertAlign w:val="superscript"/>
        </w:rPr>
        <w:t>4</w:t>
      </w:r>
      <w:r w:rsidR="00423804" w:rsidRPr="00C85AAA">
        <w:t xml:space="preserve"> </w:t>
      </w:r>
    </w:p>
    <w:p w14:paraId="77EF8140" w14:textId="43AF8056" w:rsidR="00423804" w:rsidRPr="00C85AAA" w:rsidRDefault="00423804" w:rsidP="00423804">
      <w:r w:rsidRPr="00C85AAA">
        <w:t xml:space="preserve">Vaccine effectiveness is monitored by several sentinel surveillance systems in Australia or estimated from observational studies. </w:t>
      </w:r>
      <w:r w:rsidR="009512E2" w:rsidRPr="00C85AAA">
        <w:t xml:space="preserve">Outcomes may include disease incidence, or other measures such as general practice attendance with disease, or hospital admission with disease. </w:t>
      </w:r>
      <w:r w:rsidRPr="00C85AAA">
        <w:t xml:space="preserve">In addition, for </w:t>
      </w:r>
      <w:r w:rsidR="00C01E56">
        <w:t xml:space="preserve">seasonal </w:t>
      </w:r>
      <w:r w:rsidRPr="00C85AAA">
        <w:t>influenza vaccines, the effectiveness will depend on the match between the vaccine influenza strains and influenza strains circulating in the community and is likely to vary from season to season.</w:t>
      </w:r>
    </w:p>
    <w:p w14:paraId="3A3E5C40" w14:textId="6CE39877" w:rsidR="00423804" w:rsidRPr="00C85AAA" w:rsidRDefault="00423804" w:rsidP="00423804">
      <w:pPr>
        <w:pStyle w:val="Heading4"/>
      </w:pPr>
      <w:r w:rsidRPr="00C85AAA">
        <w:t>Global Influenza Vaccine Effectiveness (GIVE) Collaboration</w:t>
      </w:r>
    </w:p>
    <w:p w14:paraId="0CD64C1F" w14:textId="77777777" w:rsidR="00601375" w:rsidRDefault="00423804" w:rsidP="00601375">
      <w:r w:rsidRPr="00C85AAA">
        <w:t xml:space="preserve">The GIVE Collaboration provides information on vaccine performance in previous influenza seasons and interim reports on the current season. The GIVE Collaboration is made up of many different studies conducted in countries in both the northern and southern hemispheres. In Australia, the vaccine effectiveness estimates from the GIVE Collaboration are from ASPREN and FluCAN. </w:t>
      </w:r>
      <w:r w:rsidR="00601375">
        <w:t xml:space="preserve">Vaccine effectiveness estimates for seasonal influenza from the GIVE Collaboration are included in the Australian Respiratory Surveillance Reports in the latter part of each year. </w:t>
      </w:r>
    </w:p>
    <w:p w14:paraId="06B2F060" w14:textId="02C7217C" w:rsidR="00423804" w:rsidRDefault="00423804" w:rsidP="00423804">
      <w:r w:rsidRPr="00C85AAA">
        <w:t>To estimate vaccine effectiveness against general practice attendance with influenza, data on patients presenting with influenza-like-illness and who were tested for respiratory pathogens at participating ASPREN sentinel general practice sites are used in a test-negative observational study. In this design, vaccine effectiveness is estimates as 1 minus the odds ratio of vaccination. To estimate vaccine effectiveness against hospitalisation with influenza, data from all participating FluCAN sentinel hospital sites are used in a test-negative incidence density observational study. In this design, vaccine effectiveness is estimated as 1 minus the odds ratio of vaccination in case patients compared to test negative control patients.</w:t>
      </w:r>
    </w:p>
    <w:p w14:paraId="3FA035AF" w14:textId="77777777" w:rsidR="00423804" w:rsidRPr="00C85AAA" w:rsidRDefault="00423804" w:rsidP="00423804">
      <w:pPr>
        <w:pStyle w:val="Heading2"/>
      </w:pPr>
      <w:r w:rsidRPr="00C85AAA">
        <w:t>Vaccine match</w:t>
      </w:r>
    </w:p>
    <w:p w14:paraId="003858C3" w14:textId="5E79C7A7" w:rsidR="00423804" w:rsidRPr="00C85AAA" w:rsidRDefault="00423804" w:rsidP="00423804">
      <w:pPr>
        <w:rPr>
          <w:rFonts w:eastAsiaTheme="majorEastAsia"/>
        </w:rPr>
      </w:pPr>
      <w:r w:rsidRPr="00C85AAA">
        <w:rPr>
          <w:rFonts w:eastAsiaTheme="majorEastAsia"/>
        </w:rPr>
        <w:t>Vaccine match refers to the similarity or match between the virus strains in a vaccine and the virus strains circulating in the community.</w:t>
      </w:r>
      <w:r w:rsidR="00E514FA">
        <w:rPr>
          <w:rFonts w:eastAsiaTheme="majorEastAsia"/>
          <w:vertAlign w:val="superscript"/>
        </w:rPr>
        <w:t>25</w:t>
      </w:r>
      <w:r w:rsidR="00E514FA" w:rsidRPr="00C85AAA">
        <w:rPr>
          <w:rFonts w:eastAsiaTheme="majorEastAsia"/>
        </w:rPr>
        <w:t xml:space="preserve"> </w:t>
      </w:r>
      <w:r w:rsidRPr="00C85AAA">
        <w:rPr>
          <w:rFonts w:eastAsiaTheme="majorEastAsia"/>
        </w:rPr>
        <w:t>If the vaccine match to circulating strains is good, there is usually a lower burden of severe illness and severe disease outcomes at a population level. Each year, strains of influenza circulating in the community change, and influenza vaccines are reformulated to match circulating influenza strains as closely as possible. This is why an influenza vaccine is recommended for people aged six months and over each year. Virological surveillance of circulating influenza virus strains during the season can provide an assessment of vaccine match.</w:t>
      </w:r>
    </w:p>
    <w:p w14:paraId="0CB1F0AF" w14:textId="2AB871B4" w:rsidR="00423804" w:rsidRPr="00E41A56" w:rsidRDefault="00423804" w:rsidP="00423804">
      <w:pPr>
        <w:pStyle w:val="Heading4"/>
      </w:pPr>
      <w:r w:rsidRPr="00E41A56">
        <w:t xml:space="preserve">Australian Influenza Vaccines Composition </w:t>
      </w:r>
      <w:r w:rsidR="00D92F5F" w:rsidRPr="00E41A56">
        <w:t>2025</w:t>
      </w:r>
    </w:p>
    <w:p w14:paraId="00647F75" w14:textId="70B0B8B9" w:rsidR="00516B51" w:rsidRDefault="00D92F5F" w:rsidP="00E41A56">
      <w:r w:rsidRPr="00E41A56">
        <w:t xml:space="preserve">Australia is transitioning from using </w:t>
      </w:r>
      <w:r w:rsidR="00D91433">
        <w:t xml:space="preserve">a </w:t>
      </w:r>
      <w:r w:rsidRPr="00E41A56">
        <w:t>quadrivalent influenza vaccine to</w:t>
      </w:r>
      <w:r w:rsidR="00D91433">
        <w:t xml:space="preserve"> a</w:t>
      </w:r>
      <w:r w:rsidRPr="00E41A56">
        <w:t xml:space="preserve"> trivalent influenza vaccine for influenza immunisation. During the transition period, the use of either </w:t>
      </w:r>
      <w:r w:rsidR="00E41A56" w:rsidRPr="00E41A56">
        <w:t>the quadrivalent or trivalent influenza vaccine</w:t>
      </w:r>
      <w:r w:rsidR="00D91433">
        <w:t xml:space="preserve"> is supported</w:t>
      </w:r>
      <w:r w:rsidRPr="00E41A56">
        <w:t>.</w:t>
      </w:r>
      <w:r w:rsidR="00BA2D53" w:rsidRPr="00C85AAA">
        <w:rPr>
          <w:vertAlign w:val="superscript"/>
        </w:rPr>
        <w:t>26</w:t>
      </w:r>
      <w:r w:rsidR="00147EAD">
        <w:t xml:space="preserve"> </w:t>
      </w:r>
      <w:r w:rsidR="00D91433">
        <w:t xml:space="preserve">This transition is because the </w:t>
      </w:r>
      <w:r w:rsidRPr="00855DAB">
        <w:t xml:space="preserve">WHO and the Australian Influenza Vaccine Committee recommended that </w:t>
      </w:r>
      <w:r w:rsidR="00C602BE" w:rsidRPr="00855DAB">
        <w:t>the</w:t>
      </w:r>
      <w:r w:rsidR="00D91433">
        <w:t xml:space="preserve"> influenza</w:t>
      </w:r>
      <w:r w:rsidR="00C602BE" w:rsidRPr="00855DAB">
        <w:t xml:space="preserve"> </w:t>
      </w:r>
      <w:r w:rsidRPr="00855DAB">
        <w:t>B</w:t>
      </w:r>
      <w:r w:rsidR="00D91433">
        <w:t xml:space="preserve"> </w:t>
      </w:r>
      <w:r w:rsidRPr="00855DAB">
        <w:t>Yamagata</w:t>
      </w:r>
      <w:r w:rsidR="004D07EE">
        <w:t xml:space="preserve"> (</w:t>
      </w:r>
      <w:r w:rsidR="004D07EE" w:rsidRPr="0081533A">
        <w:t>B/Yamagata</w:t>
      </w:r>
      <w:r w:rsidR="004D07EE">
        <w:t>)</w:t>
      </w:r>
      <w:r w:rsidRPr="00855DAB">
        <w:t xml:space="preserve"> </w:t>
      </w:r>
      <w:r w:rsidR="00C602BE" w:rsidRPr="00855DAB">
        <w:t>antigen</w:t>
      </w:r>
      <w:r w:rsidRPr="00855DAB">
        <w:t xml:space="preserve"> </w:t>
      </w:r>
      <w:r w:rsidR="00D91433">
        <w:t xml:space="preserve">no longer be included </w:t>
      </w:r>
      <w:r w:rsidRPr="00855DAB">
        <w:t xml:space="preserve">in seasonal influenza vaccines. </w:t>
      </w:r>
      <w:r w:rsidR="00D91433">
        <w:t>T</w:t>
      </w:r>
      <w:r w:rsidRPr="00855DAB">
        <w:t xml:space="preserve">he </w:t>
      </w:r>
      <w:r w:rsidR="004D07EE" w:rsidRPr="0081533A">
        <w:t>B/Yamagata</w:t>
      </w:r>
      <w:r w:rsidRPr="00855DAB">
        <w:t xml:space="preserve"> lineage has not circulated for several years</w:t>
      </w:r>
      <w:r w:rsidR="00233114">
        <w:t xml:space="preserve">, indicating </w:t>
      </w:r>
      <w:r w:rsidR="0081533A" w:rsidRPr="0081533A">
        <w:t>a very low risk of infection by B/Yamagata lineage viruses.</w:t>
      </w:r>
      <w:r w:rsidR="006D03F4" w:rsidRPr="004E6A61">
        <w:rPr>
          <w:vertAlign w:val="superscript"/>
        </w:rPr>
        <w:t>26</w:t>
      </w:r>
      <w:r w:rsidR="006D03F4">
        <w:rPr>
          <w:vertAlign w:val="superscript"/>
        </w:rPr>
        <w:t>,27</w:t>
      </w:r>
    </w:p>
    <w:p w14:paraId="6569BAC1" w14:textId="4D58B5E9" w:rsidR="004F5E95" w:rsidRPr="00182B05" w:rsidRDefault="00E81BA7" w:rsidP="004F5E95">
      <w:pPr>
        <w:rPr>
          <w:lang w:val="en-GB"/>
        </w:rPr>
      </w:pPr>
      <w:r w:rsidRPr="00E81BA7">
        <w:t xml:space="preserve">The southern hemisphere 2025 vaccine will contain one new strain for the </w:t>
      </w:r>
      <w:r>
        <w:t>i</w:t>
      </w:r>
      <w:r w:rsidRPr="00E81BA7">
        <w:t>nfluenza A(H3N2) subtype virus component.</w:t>
      </w:r>
      <w:r>
        <w:t xml:space="preserve"> </w:t>
      </w:r>
      <w:r w:rsidR="004F5E95" w:rsidRPr="00182B05">
        <w:rPr>
          <w:lang w:val="en-GB"/>
        </w:rPr>
        <w:t xml:space="preserve">The </w:t>
      </w:r>
      <w:r w:rsidR="004F5E95" w:rsidRPr="00182B05">
        <w:t>Australian Influenza Vaccine Committee has</w:t>
      </w:r>
      <w:r w:rsidR="004F5E95" w:rsidRPr="00182B05">
        <w:rPr>
          <w:lang w:val="en-GB"/>
        </w:rPr>
        <w:t xml:space="preserve"> recommended the following viruses for vaccines used in the 2025 southern hemisphere trivalent influenza vaccines in Australia:</w:t>
      </w:r>
    </w:p>
    <w:p w14:paraId="242E6B23" w14:textId="77777777" w:rsidR="004F5E95" w:rsidRPr="00147EAD" w:rsidRDefault="004F5E95" w:rsidP="004F5E95">
      <w:pPr>
        <w:rPr>
          <w:b/>
          <w:bCs/>
          <w:lang w:val="en-GB"/>
        </w:rPr>
      </w:pPr>
      <w:r w:rsidRPr="00147EAD">
        <w:rPr>
          <w:b/>
          <w:bCs/>
          <w:lang w:val="en-GB"/>
        </w:rPr>
        <w:t>Egg-based influenza vaccines:</w:t>
      </w:r>
    </w:p>
    <w:p w14:paraId="23D0DC35" w14:textId="77777777" w:rsidR="004F5E95" w:rsidRPr="00147EAD" w:rsidRDefault="004F5E95" w:rsidP="004F5E95">
      <w:pPr>
        <w:numPr>
          <w:ilvl w:val="0"/>
          <w:numId w:val="28"/>
        </w:numPr>
        <w:rPr>
          <w:lang w:val="en-GB"/>
        </w:rPr>
      </w:pPr>
      <w:r w:rsidRPr="00147EAD">
        <w:rPr>
          <w:lang w:val="en-GB"/>
        </w:rPr>
        <w:t>an A/Victoria/4897/2022 (H1N</w:t>
      </w:r>
      <w:proofErr w:type="gramStart"/>
      <w:r w:rsidRPr="00147EAD">
        <w:rPr>
          <w:lang w:val="en-GB"/>
        </w:rPr>
        <w:t>1)pdm</w:t>
      </w:r>
      <w:proofErr w:type="gramEnd"/>
      <w:r w:rsidRPr="00147EAD">
        <w:rPr>
          <w:lang w:val="en-GB"/>
        </w:rPr>
        <w:t>09-like virus;</w:t>
      </w:r>
    </w:p>
    <w:p w14:paraId="1E9CA377" w14:textId="77777777" w:rsidR="004F5E95" w:rsidRPr="00147EAD" w:rsidRDefault="004F5E95" w:rsidP="004F5E95">
      <w:pPr>
        <w:numPr>
          <w:ilvl w:val="0"/>
          <w:numId w:val="28"/>
        </w:numPr>
        <w:rPr>
          <w:lang w:val="en-GB"/>
        </w:rPr>
      </w:pPr>
      <w:r w:rsidRPr="00147EAD">
        <w:rPr>
          <w:lang w:val="en-GB"/>
        </w:rPr>
        <w:t>an A/Croatia/10136RV/2023 (H3N2)-like virus; and</w:t>
      </w:r>
    </w:p>
    <w:p w14:paraId="7A37C745" w14:textId="77777777" w:rsidR="004F5E95" w:rsidRPr="00147EAD" w:rsidRDefault="004F5E95" w:rsidP="004F5E95">
      <w:pPr>
        <w:numPr>
          <w:ilvl w:val="0"/>
          <w:numId w:val="28"/>
        </w:numPr>
        <w:rPr>
          <w:lang w:val="en-GB"/>
        </w:rPr>
      </w:pPr>
      <w:r w:rsidRPr="00147EAD">
        <w:rPr>
          <w:lang w:val="en-GB"/>
        </w:rPr>
        <w:t>a B/Austria/1359417/2021 (B/Victoria lineage)-like virus;</w:t>
      </w:r>
    </w:p>
    <w:p w14:paraId="48E4A75D" w14:textId="77777777" w:rsidR="004F5E95" w:rsidRPr="00147EAD" w:rsidRDefault="004F5E95" w:rsidP="004F5E95">
      <w:pPr>
        <w:rPr>
          <w:b/>
          <w:bCs/>
          <w:lang w:val="en-GB"/>
        </w:rPr>
      </w:pPr>
      <w:r w:rsidRPr="00147EAD">
        <w:rPr>
          <w:b/>
          <w:bCs/>
          <w:lang w:val="en-GB"/>
        </w:rPr>
        <w:lastRenderedPageBreak/>
        <w:t>Cell-based influenza vaccines:</w:t>
      </w:r>
    </w:p>
    <w:p w14:paraId="06F57A06" w14:textId="77777777" w:rsidR="004F5E95" w:rsidRPr="00147EAD" w:rsidRDefault="004F5E95" w:rsidP="004F5E95">
      <w:pPr>
        <w:numPr>
          <w:ilvl w:val="0"/>
          <w:numId w:val="29"/>
        </w:numPr>
        <w:rPr>
          <w:lang w:val="en-GB"/>
        </w:rPr>
      </w:pPr>
      <w:r w:rsidRPr="00147EAD">
        <w:rPr>
          <w:lang w:val="en-GB"/>
        </w:rPr>
        <w:t>an A/Wisconsin/67/2022 (H1N</w:t>
      </w:r>
      <w:proofErr w:type="gramStart"/>
      <w:r w:rsidRPr="00147EAD">
        <w:rPr>
          <w:lang w:val="en-GB"/>
        </w:rPr>
        <w:t>1)pdm</w:t>
      </w:r>
      <w:proofErr w:type="gramEnd"/>
      <w:r w:rsidRPr="00147EAD">
        <w:rPr>
          <w:lang w:val="en-GB"/>
        </w:rPr>
        <w:t>09-like virus;</w:t>
      </w:r>
    </w:p>
    <w:p w14:paraId="1256E67D" w14:textId="77777777" w:rsidR="004F5E95" w:rsidRPr="00147EAD" w:rsidRDefault="004F5E95" w:rsidP="004F5E95">
      <w:pPr>
        <w:numPr>
          <w:ilvl w:val="0"/>
          <w:numId w:val="29"/>
        </w:numPr>
        <w:rPr>
          <w:lang w:val="en-GB"/>
        </w:rPr>
      </w:pPr>
      <w:r w:rsidRPr="00147EAD">
        <w:rPr>
          <w:lang w:val="en-GB"/>
        </w:rPr>
        <w:t>an A//District of Columbia/27/2023 (H3N2)-like virus; and</w:t>
      </w:r>
    </w:p>
    <w:p w14:paraId="2AD506A1" w14:textId="77777777" w:rsidR="004F5E95" w:rsidRPr="00147EAD" w:rsidRDefault="004F5E95" w:rsidP="004F5E95">
      <w:pPr>
        <w:numPr>
          <w:ilvl w:val="0"/>
          <w:numId w:val="29"/>
        </w:numPr>
        <w:rPr>
          <w:lang w:val="en-GB"/>
        </w:rPr>
      </w:pPr>
      <w:r w:rsidRPr="00147EAD">
        <w:rPr>
          <w:lang w:val="en-GB"/>
        </w:rPr>
        <w:t>a B/Austria/1359417/2021 (B/Victoria lineage)-like virus;</w:t>
      </w:r>
    </w:p>
    <w:p w14:paraId="496C1153" w14:textId="77777777" w:rsidR="004F5E95" w:rsidRPr="00147EAD" w:rsidRDefault="004F5E95" w:rsidP="004F5E95">
      <w:pPr>
        <w:rPr>
          <w:lang w:val="en-GB"/>
        </w:rPr>
      </w:pPr>
      <w:r w:rsidRPr="00147EAD">
        <w:rPr>
          <w:lang w:val="en-GB"/>
        </w:rPr>
        <w:t>The recommendation for the B/Yamagata lineage component of quadrivalent influenza vaccines remains unchanged from previous recommendations:</w:t>
      </w:r>
    </w:p>
    <w:p w14:paraId="51E177E4" w14:textId="5D1CFB0E" w:rsidR="004F5E95" w:rsidRPr="00147EAD" w:rsidRDefault="004F5E95" w:rsidP="004F5E95">
      <w:pPr>
        <w:numPr>
          <w:ilvl w:val="0"/>
          <w:numId w:val="30"/>
        </w:numPr>
        <w:rPr>
          <w:lang w:val="en-GB"/>
        </w:rPr>
      </w:pPr>
      <w:r w:rsidRPr="00147EAD">
        <w:rPr>
          <w:lang w:val="en-GB"/>
        </w:rPr>
        <w:t>a B/Phuket/3073/2013 (B/Yamagata lineage)-like virus.</w:t>
      </w:r>
      <w:r w:rsidR="006D03F4" w:rsidRPr="00C85AAA">
        <w:rPr>
          <w:vertAlign w:val="superscript"/>
          <w:lang w:val="en-GB"/>
        </w:rPr>
        <w:t>27</w:t>
      </w:r>
    </w:p>
    <w:p w14:paraId="21CF73BE" w14:textId="48141951" w:rsidR="004F5E95" w:rsidRDefault="004F5E95" w:rsidP="00E41A56"/>
    <w:p w14:paraId="757E74A3" w14:textId="22B260CD" w:rsidR="00CD485E" w:rsidRPr="00147EAD" w:rsidRDefault="00CD485E" w:rsidP="00E41A56">
      <w:r>
        <w:t xml:space="preserve">More information about </w:t>
      </w:r>
      <w:r w:rsidR="00F74BBB">
        <w:t>vaccination in Australia</w:t>
      </w:r>
      <w:r w:rsidR="002E6F4D">
        <w:t xml:space="preserve"> is available in the </w:t>
      </w:r>
      <w:hyperlink r:id="rId46" w:history="1">
        <w:r w:rsidR="002E6F4D" w:rsidRPr="002E6F4D">
          <w:rPr>
            <w:rStyle w:val="Hyperlink"/>
          </w:rPr>
          <w:t>Australian Immunisation Handbook</w:t>
        </w:r>
      </w:hyperlink>
      <w:r w:rsidR="002E6F4D">
        <w:t>.</w:t>
      </w:r>
      <w:r w:rsidR="00F74BBB">
        <w:t xml:space="preserve"> </w:t>
      </w:r>
    </w:p>
    <w:p w14:paraId="48DCC75E" w14:textId="44029ADA" w:rsidR="006160CF" w:rsidRDefault="006160CF">
      <w:pPr>
        <w:spacing w:before="0" w:after="0" w:line="240" w:lineRule="auto"/>
        <w:rPr>
          <w:rFonts w:cs="Arial"/>
          <w:b/>
          <w:bCs/>
          <w:kern w:val="28"/>
          <w:sz w:val="44"/>
          <w:szCs w:val="36"/>
        </w:rPr>
      </w:pPr>
      <w:r>
        <w:rPr>
          <w:rFonts w:cs="Arial"/>
          <w:b/>
          <w:bCs/>
          <w:kern w:val="28"/>
          <w:sz w:val="44"/>
          <w:szCs w:val="36"/>
        </w:rPr>
        <w:br w:type="page"/>
      </w:r>
    </w:p>
    <w:p w14:paraId="1A3500FF" w14:textId="10066C7A" w:rsidR="004E596C" w:rsidRDefault="004E596C" w:rsidP="005C1C3A">
      <w:pPr>
        <w:pStyle w:val="Heading1"/>
      </w:pPr>
      <w:r>
        <w:lastRenderedPageBreak/>
        <w:t>References</w:t>
      </w:r>
    </w:p>
    <w:p w14:paraId="75921D7C" w14:textId="77777777" w:rsidR="00AD79EE" w:rsidRDefault="00AD79EE" w:rsidP="00AD79EE">
      <w:pPr>
        <w:spacing w:before="0" w:after="0" w:line="240" w:lineRule="auto"/>
      </w:pPr>
    </w:p>
    <w:p w14:paraId="1247D64A" w14:textId="4952A1E6" w:rsidR="004E596C" w:rsidRPr="004C21CD" w:rsidRDefault="005E7635" w:rsidP="00966917">
      <w:pPr>
        <w:pStyle w:val="ListParagraph"/>
        <w:numPr>
          <w:ilvl w:val="0"/>
          <w:numId w:val="24"/>
        </w:numPr>
        <w:spacing w:before="60" w:after="60"/>
        <w:ind w:left="867" w:hanging="510"/>
        <w:contextualSpacing w:val="0"/>
      </w:pPr>
      <w:r w:rsidRPr="004C21CD">
        <w:t xml:space="preserve">Interim Australian Centre for Disease Control (CDC) (2024) </w:t>
      </w:r>
      <w:hyperlink r:id="rId47" w:history="1">
        <w:r w:rsidR="00BB46D8" w:rsidRPr="004C21CD">
          <w:rPr>
            <w:rStyle w:val="Hyperlink"/>
            <w:i/>
          </w:rPr>
          <w:t>Australian National Surveillance Plan for COVID-19, Influenza and RSV</w:t>
        </w:r>
      </w:hyperlink>
      <w:r w:rsidRPr="004C21CD">
        <w:t xml:space="preserve">, </w:t>
      </w:r>
      <w:r w:rsidR="00E769D6" w:rsidRPr="004C21CD">
        <w:t>Department of Health and Aged Care website</w:t>
      </w:r>
      <w:r w:rsidRPr="004C21CD">
        <w:t xml:space="preserve">, </w:t>
      </w:r>
      <w:r w:rsidR="004F08E1" w:rsidRPr="004C21CD">
        <w:t>accessed 12 April 2024.</w:t>
      </w:r>
    </w:p>
    <w:p w14:paraId="63AE2177" w14:textId="2377D0B5" w:rsidR="00BB46D8" w:rsidRDefault="0048144E" w:rsidP="00966917">
      <w:pPr>
        <w:pStyle w:val="ListParagraph"/>
        <w:numPr>
          <w:ilvl w:val="0"/>
          <w:numId w:val="24"/>
        </w:numPr>
        <w:spacing w:before="60" w:after="60"/>
        <w:ind w:left="867" w:hanging="510"/>
        <w:contextualSpacing w:val="0"/>
      </w:pPr>
      <w:r w:rsidRPr="0048144E">
        <w:t>Pan American Health Organization</w:t>
      </w:r>
      <w:r w:rsidR="00AE1B10">
        <w:t xml:space="preserve"> </w:t>
      </w:r>
      <w:r w:rsidR="00CE1CF0">
        <w:t xml:space="preserve">(PAHO) </w:t>
      </w:r>
      <w:r w:rsidR="00AE1B10" w:rsidRPr="00AE1B10">
        <w:t>Regional Office for the Americas of the World Health Organization</w:t>
      </w:r>
      <w:r w:rsidR="009D7F34">
        <w:t xml:space="preserve"> (WHO)</w:t>
      </w:r>
      <w:r w:rsidR="00AE1B10">
        <w:t xml:space="preserve"> (2024) </w:t>
      </w:r>
      <w:hyperlink r:id="rId48" w:history="1">
        <w:r w:rsidR="00CE1CF0" w:rsidRPr="00CE1CF0">
          <w:rPr>
            <w:rStyle w:val="Hyperlink"/>
            <w:i/>
            <w:iCs/>
          </w:rPr>
          <w:t>Influenza, SARS-CoV-2, RSV and other respiratory viruses</w:t>
        </w:r>
      </w:hyperlink>
      <w:r w:rsidR="00CE1CF0">
        <w:rPr>
          <w:i/>
          <w:iCs/>
        </w:rPr>
        <w:t xml:space="preserve">, </w:t>
      </w:r>
      <w:r w:rsidR="009D7F34">
        <w:t>PAHO WHO</w:t>
      </w:r>
      <w:r w:rsidR="00E769D6">
        <w:t xml:space="preserve"> website</w:t>
      </w:r>
      <w:r w:rsidR="009D7F34">
        <w:t>, accessed</w:t>
      </w:r>
      <w:r w:rsidR="008A7E3B">
        <w:t xml:space="preserve"> 2 April 2024.</w:t>
      </w:r>
    </w:p>
    <w:p w14:paraId="6C0F068C" w14:textId="0E92EB46" w:rsidR="005F0925" w:rsidRPr="005F0925" w:rsidRDefault="005F0925" w:rsidP="00966917">
      <w:pPr>
        <w:pStyle w:val="ListParagraph"/>
        <w:numPr>
          <w:ilvl w:val="0"/>
          <w:numId w:val="24"/>
        </w:numPr>
        <w:spacing w:before="60" w:after="60"/>
        <w:ind w:left="867" w:hanging="510"/>
        <w:contextualSpacing w:val="0"/>
      </w:pPr>
      <w:r w:rsidRPr="005F0925">
        <w:t>World Health Organization (WHO)</w:t>
      </w:r>
      <w:r w:rsidR="00E275C6">
        <w:t xml:space="preserve"> (2020)</w:t>
      </w:r>
      <w:r w:rsidRPr="005F0925">
        <w:t xml:space="preserve"> </w:t>
      </w:r>
      <w:hyperlink r:id="rId49" w:history="1">
        <w:r w:rsidRPr="007C392C">
          <w:rPr>
            <w:rStyle w:val="Hyperlink"/>
            <w:i/>
            <w:iCs/>
          </w:rPr>
          <w:t xml:space="preserve">Speeches detail: WHO Director-General’s opening remarks at the media briefing on COVID-19 </w:t>
        </w:r>
        <w:r w:rsidR="00517FEC">
          <w:rPr>
            <w:rStyle w:val="Hyperlink"/>
            <w:i/>
            <w:iCs/>
          </w:rPr>
          <w:t>–</w:t>
        </w:r>
        <w:r w:rsidRPr="007C392C">
          <w:rPr>
            <w:rStyle w:val="Hyperlink"/>
            <w:i/>
            <w:iCs/>
          </w:rPr>
          <w:t xml:space="preserve"> 11 March 2020</w:t>
        </w:r>
      </w:hyperlink>
      <w:r w:rsidR="00C7421C">
        <w:t>,</w:t>
      </w:r>
      <w:r w:rsidRPr="005F0925">
        <w:t xml:space="preserve"> WHO</w:t>
      </w:r>
      <w:r w:rsidR="00E769D6">
        <w:t xml:space="preserve"> website</w:t>
      </w:r>
      <w:r w:rsidRPr="005F0925">
        <w:t>;</w:t>
      </w:r>
      <w:r w:rsidR="00865A92">
        <w:t xml:space="preserve"> accessed 2 April 2024</w:t>
      </w:r>
      <w:r w:rsidRPr="005F0925">
        <w:t xml:space="preserve">. </w:t>
      </w:r>
    </w:p>
    <w:p w14:paraId="08FF8B01" w14:textId="1CA6A051" w:rsidR="005F0925" w:rsidRDefault="0017227E" w:rsidP="00966917">
      <w:pPr>
        <w:pStyle w:val="ListParagraph"/>
        <w:numPr>
          <w:ilvl w:val="0"/>
          <w:numId w:val="24"/>
        </w:numPr>
        <w:spacing w:before="60" w:after="60"/>
        <w:ind w:left="867" w:hanging="510"/>
        <w:contextualSpacing w:val="0"/>
      </w:pPr>
      <w:r w:rsidRPr="0017227E">
        <w:t>Viral Respiratory Diseases Epidemiology and Surveillance Section</w:t>
      </w:r>
      <w:r w:rsidR="00885D3D">
        <w:t xml:space="preserve"> </w:t>
      </w:r>
      <w:r w:rsidR="00E275C6">
        <w:t>(2024)</w:t>
      </w:r>
      <w:r w:rsidR="00452C6E" w:rsidRPr="00452C6E">
        <w:t xml:space="preserve"> </w:t>
      </w:r>
      <w:r w:rsidR="00881647" w:rsidRPr="00881647">
        <w:t>‘</w:t>
      </w:r>
      <w:r w:rsidR="00452C6E" w:rsidRPr="00452C6E">
        <w:t xml:space="preserve">COVID-19 Australia: Epidemiology Report </w:t>
      </w:r>
      <w:r w:rsidR="00694DF9">
        <w:t>82</w:t>
      </w:r>
      <w:r w:rsidR="00452C6E" w:rsidRPr="00452C6E">
        <w:t xml:space="preserve"> Reporting period </w:t>
      </w:r>
      <w:r w:rsidRPr="0017227E">
        <w:t>17 December 2023</w:t>
      </w:r>
      <w:r w:rsidR="00881647" w:rsidRPr="00881647">
        <w:t>’</w:t>
      </w:r>
      <w:r w:rsidR="00B26703">
        <w:t>,</w:t>
      </w:r>
      <w:r w:rsidR="00452C6E" w:rsidRPr="00452C6E">
        <w:t xml:space="preserve"> </w:t>
      </w:r>
      <w:r w:rsidR="00452C6E" w:rsidRPr="00881647">
        <w:rPr>
          <w:i/>
          <w:iCs/>
        </w:rPr>
        <w:t>Commun</w:t>
      </w:r>
      <w:r w:rsidR="00881647" w:rsidRPr="00881647">
        <w:rPr>
          <w:i/>
          <w:iCs/>
        </w:rPr>
        <w:t>icable Diseases Intelligence</w:t>
      </w:r>
      <w:r w:rsidR="00881647">
        <w:t xml:space="preserve">, </w:t>
      </w:r>
      <w:r w:rsidR="00B860A9">
        <w:t xml:space="preserve">48, </w:t>
      </w:r>
      <w:proofErr w:type="spellStart"/>
      <w:r w:rsidR="00B860A9">
        <w:t>doi</w:t>
      </w:r>
      <w:proofErr w:type="spellEnd"/>
      <w:r w:rsidR="00B860A9">
        <w:t xml:space="preserve">: </w:t>
      </w:r>
      <w:r w:rsidR="00B860A9" w:rsidRPr="007D2B16">
        <w:t>10.33321/cdi.2024.48.5</w:t>
      </w:r>
    </w:p>
    <w:p w14:paraId="71124053" w14:textId="262ED7C2" w:rsidR="00674930" w:rsidRDefault="00A717B8" w:rsidP="00966917">
      <w:pPr>
        <w:pStyle w:val="ListParagraph"/>
        <w:numPr>
          <w:ilvl w:val="0"/>
          <w:numId w:val="24"/>
        </w:numPr>
        <w:spacing w:before="60" w:after="60"/>
        <w:ind w:left="867" w:hanging="510"/>
        <w:contextualSpacing w:val="0"/>
      </w:pPr>
      <w:proofErr w:type="spellStart"/>
      <w:r w:rsidRPr="00A717B8">
        <w:t>Wiersinga</w:t>
      </w:r>
      <w:proofErr w:type="spellEnd"/>
      <w:r w:rsidRPr="00A717B8">
        <w:t xml:space="preserve"> WJ, Rhodes A, Cheng AC, Peacock SJ, Prescott HC</w:t>
      </w:r>
      <w:r w:rsidR="00B26703">
        <w:t xml:space="preserve"> (2020)</w:t>
      </w:r>
      <w:r w:rsidRPr="00A717B8">
        <w:t xml:space="preserve"> </w:t>
      </w:r>
      <w:r>
        <w:t>‘</w:t>
      </w:r>
      <w:r w:rsidRPr="00A717B8">
        <w:t>Pathophysiology, Transmission, Diagnosis, and Treatment of Coronavirus Disease 2019 (COVID-19): A Review</w:t>
      </w:r>
      <w:r>
        <w:t>’</w:t>
      </w:r>
      <w:r w:rsidR="00B26703">
        <w:t>,</w:t>
      </w:r>
      <w:r w:rsidRPr="00A717B8">
        <w:t xml:space="preserve"> </w:t>
      </w:r>
      <w:r w:rsidRPr="00660C6C">
        <w:rPr>
          <w:i/>
          <w:iCs/>
        </w:rPr>
        <w:t>J</w:t>
      </w:r>
      <w:r w:rsidR="00660C6C">
        <w:rPr>
          <w:i/>
          <w:iCs/>
        </w:rPr>
        <w:t xml:space="preserve">ournal of the </w:t>
      </w:r>
      <w:r w:rsidRPr="00660C6C">
        <w:rPr>
          <w:i/>
          <w:iCs/>
        </w:rPr>
        <w:t>A</w:t>
      </w:r>
      <w:r w:rsidR="00660C6C">
        <w:rPr>
          <w:i/>
          <w:iCs/>
        </w:rPr>
        <w:t xml:space="preserve">merican </w:t>
      </w:r>
      <w:r w:rsidRPr="00660C6C">
        <w:rPr>
          <w:i/>
          <w:iCs/>
        </w:rPr>
        <w:t>M</w:t>
      </w:r>
      <w:r w:rsidR="00660C6C">
        <w:rPr>
          <w:i/>
          <w:iCs/>
        </w:rPr>
        <w:t xml:space="preserve">edical </w:t>
      </w:r>
      <w:r w:rsidR="00B81FAC" w:rsidRPr="00660C6C">
        <w:rPr>
          <w:i/>
          <w:iCs/>
        </w:rPr>
        <w:t>A</w:t>
      </w:r>
      <w:r w:rsidR="00B81FAC">
        <w:rPr>
          <w:i/>
          <w:iCs/>
        </w:rPr>
        <w:t>ssociation</w:t>
      </w:r>
      <w:r w:rsidR="00B334F1">
        <w:t>,</w:t>
      </w:r>
      <w:r w:rsidRPr="00A717B8">
        <w:t xml:space="preserve"> 324(8):782-93</w:t>
      </w:r>
      <w:r w:rsidR="00A00A12">
        <w:t>,</w:t>
      </w:r>
      <w:r w:rsidRPr="00A717B8">
        <w:t xml:space="preserve"> </w:t>
      </w:r>
      <w:proofErr w:type="spellStart"/>
      <w:r w:rsidRPr="00A717B8">
        <w:t>doi</w:t>
      </w:r>
      <w:proofErr w:type="spellEnd"/>
      <w:r w:rsidRPr="00A717B8">
        <w:t>: 10.1001/jama.2020.12839</w:t>
      </w:r>
    </w:p>
    <w:p w14:paraId="2E7DBE1F" w14:textId="6BEB445F" w:rsidR="00B1069C" w:rsidRPr="005F0925" w:rsidRDefault="00236712" w:rsidP="00966917">
      <w:pPr>
        <w:pStyle w:val="ListParagraph"/>
        <w:numPr>
          <w:ilvl w:val="0"/>
          <w:numId w:val="24"/>
        </w:numPr>
        <w:spacing w:before="60" w:after="60"/>
        <w:ind w:left="867" w:hanging="510"/>
        <w:contextualSpacing w:val="0"/>
      </w:pPr>
      <w:r w:rsidRPr="005F0925">
        <w:t>World Health Organization (WHO)</w:t>
      </w:r>
      <w:r>
        <w:t xml:space="preserve"> (2024) </w:t>
      </w:r>
      <w:hyperlink r:id="rId50" w:history="1">
        <w:r w:rsidR="0096058A" w:rsidRPr="0096058A">
          <w:rPr>
            <w:rStyle w:val="Hyperlink"/>
            <w:i/>
            <w:iCs/>
          </w:rPr>
          <w:t>Coronavirus disease (COVID-19)</w:t>
        </w:r>
      </w:hyperlink>
      <w:r w:rsidR="00C7421C">
        <w:rPr>
          <w:i/>
          <w:iCs/>
        </w:rPr>
        <w:t>,</w:t>
      </w:r>
      <w:r w:rsidR="00B1069C">
        <w:t xml:space="preserve"> WHO</w:t>
      </w:r>
      <w:r w:rsidR="00E769D6">
        <w:t xml:space="preserve"> website</w:t>
      </w:r>
      <w:r w:rsidR="00B1069C">
        <w:t>, accessed 2 April 2024</w:t>
      </w:r>
      <w:r w:rsidR="00B1069C" w:rsidRPr="005F0925">
        <w:t xml:space="preserve">. </w:t>
      </w:r>
    </w:p>
    <w:p w14:paraId="3B9D1417" w14:textId="720CACF8" w:rsidR="00AE4263" w:rsidRPr="005F0925" w:rsidRDefault="00066906" w:rsidP="00966917">
      <w:pPr>
        <w:pStyle w:val="ListParagraph"/>
        <w:numPr>
          <w:ilvl w:val="0"/>
          <w:numId w:val="24"/>
        </w:numPr>
        <w:spacing w:before="60" w:after="60"/>
        <w:ind w:left="867" w:hanging="510"/>
        <w:contextualSpacing w:val="0"/>
      </w:pPr>
      <w:r>
        <w:t>Australian Government Department of Health and Aged Care (202</w:t>
      </w:r>
      <w:r w:rsidR="00AE4263">
        <w:t>3</w:t>
      </w:r>
      <w:r>
        <w:t>)</w:t>
      </w:r>
      <w:r w:rsidR="00AE4263">
        <w:t xml:space="preserve"> </w:t>
      </w:r>
      <w:hyperlink r:id="rId51" w:history="1">
        <w:r w:rsidR="00AE4263" w:rsidRPr="00AE4263">
          <w:rPr>
            <w:rStyle w:val="Hyperlink"/>
            <w:i/>
            <w:iCs/>
          </w:rPr>
          <w:t>Groups at higher risk from COVID-19</w:t>
        </w:r>
      </w:hyperlink>
      <w:r w:rsidR="00AE4263">
        <w:rPr>
          <w:i/>
          <w:iCs/>
        </w:rPr>
        <w:t>,</w:t>
      </w:r>
      <w:r w:rsidR="00AE4263" w:rsidRPr="00AE4263">
        <w:t xml:space="preserve"> </w:t>
      </w:r>
      <w:r w:rsidR="00AE4263">
        <w:t>Department of Health and Aged Care</w:t>
      </w:r>
      <w:r w:rsidR="00E769D6">
        <w:t xml:space="preserve"> website</w:t>
      </w:r>
      <w:r w:rsidR="00AE4263">
        <w:t>, accessed 2 April 2024</w:t>
      </w:r>
      <w:r w:rsidR="00AE4263" w:rsidRPr="005F0925">
        <w:t xml:space="preserve">. </w:t>
      </w:r>
    </w:p>
    <w:p w14:paraId="444F7DE1" w14:textId="0D76EE95" w:rsidR="00CB7E74" w:rsidRPr="00CB7E74" w:rsidRDefault="00CB7E74" w:rsidP="00966917">
      <w:pPr>
        <w:pStyle w:val="ListParagraph"/>
        <w:numPr>
          <w:ilvl w:val="0"/>
          <w:numId w:val="24"/>
        </w:numPr>
        <w:spacing w:before="60" w:after="60"/>
        <w:ind w:left="867" w:hanging="510"/>
        <w:contextualSpacing w:val="0"/>
      </w:pPr>
      <w:r w:rsidRPr="00CB7E74">
        <w:t xml:space="preserve">World Health Organization (WHO) (2024) </w:t>
      </w:r>
      <w:hyperlink r:id="rId52" w:history="1">
        <w:r w:rsidR="00873E19" w:rsidRPr="00873E19">
          <w:rPr>
            <w:rStyle w:val="Hyperlink"/>
            <w:i/>
            <w:iCs/>
          </w:rPr>
          <w:t>Influenza seasonal</w:t>
        </w:r>
      </w:hyperlink>
      <w:r w:rsidR="00873E19">
        <w:t xml:space="preserve">, </w:t>
      </w:r>
      <w:r w:rsidRPr="00CB7E74">
        <w:t>WHO</w:t>
      </w:r>
      <w:r w:rsidR="00E769D6">
        <w:t xml:space="preserve"> website</w:t>
      </w:r>
      <w:r w:rsidRPr="00CB7E74">
        <w:t xml:space="preserve">, accessed 2 April 2024. </w:t>
      </w:r>
    </w:p>
    <w:p w14:paraId="1A274AAB" w14:textId="564936EA" w:rsidR="00313050" w:rsidRDefault="0006695B" w:rsidP="00966917">
      <w:pPr>
        <w:pStyle w:val="ListParagraph"/>
        <w:numPr>
          <w:ilvl w:val="0"/>
          <w:numId w:val="24"/>
        </w:numPr>
        <w:spacing w:before="60" w:after="60"/>
        <w:ind w:left="867" w:hanging="510"/>
        <w:contextualSpacing w:val="0"/>
      </w:pPr>
      <w:r>
        <w:t xml:space="preserve">Australian Government Department of Health and Aged Care (2022) </w:t>
      </w:r>
      <w:hyperlink r:id="rId53" w:history="1">
        <w:r w:rsidRPr="00C23542">
          <w:rPr>
            <w:rStyle w:val="Hyperlink"/>
            <w:i/>
            <w:iCs/>
          </w:rPr>
          <w:t>Influenza (flu)</w:t>
        </w:r>
      </w:hyperlink>
      <w:r w:rsidR="00C23542">
        <w:rPr>
          <w:i/>
          <w:iCs/>
        </w:rPr>
        <w:t>,</w:t>
      </w:r>
      <w:r w:rsidR="00C23542" w:rsidRPr="00C23542">
        <w:t xml:space="preserve"> </w:t>
      </w:r>
      <w:r w:rsidR="00C23542">
        <w:t>Department of Health and Aged Care</w:t>
      </w:r>
      <w:r w:rsidR="00E769D6">
        <w:t xml:space="preserve"> website</w:t>
      </w:r>
      <w:r w:rsidR="00C23542">
        <w:t>, accessed 2 April 2024</w:t>
      </w:r>
      <w:r w:rsidR="00C23542" w:rsidRPr="005F0925">
        <w:t>.</w:t>
      </w:r>
    </w:p>
    <w:p w14:paraId="7422A25C" w14:textId="07F6EC67" w:rsidR="00D71302" w:rsidRPr="005F0925" w:rsidRDefault="00C23542" w:rsidP="00966917">
      <w:pPr>
        <w:pStyle w:val="ListParagraph"/>
        <w:numPr>
          <w:ilvl w:val="0"/>
          <w:numId w:val="24"/>
        </w:numPr>
        <w:spacing w:before="60" w:after="60"/>
        <w:ind w:left="867" w:hanging="510"/>
        <w:contextualSpacing w:val="0"/>
      </w:pPr>
      <w:r>
        <w:rPr>
          <w:i/>
          <w:iCs/>
        </w:rPr>
        <w:t xml:space="preserve"> </w:t>
      </w:r>
      <w:r w:rsidR="0088348F" w:rsidRPr="005F0925">
        <w:t>World Health Organization (WHO)</w:t>
      </w:r>
      <w:r w:rsidR="0088348F">
        <w:t xml:space="preserve"> (2024) </w:t>
      </w:r>
      <w:hyperlink r:id="rId54" w:history="1">
        <w:r w:rsidR="00457A7C" w:rsidRPr="00D71302">
          <w:rPr>
            <w:rStyle w:val="Hyperlink"/>
            <w:i/>
            <w:iCs/>
          </w:rPr>
          <w:t>Respiratory Syncytial Virus (RSV) disease</w:t>
        </w:r>
      </w:hyperlink>
      <w:r w:rsidR="00457A7C">
        <w:t>,</w:t>
      </w:r>
      <w:r w:rsidR="00D71302" w:rsidRPr="00D71302">
        <w:t xml:space="preserve"> </w:t>
      </w:r>
      <w:r w:rsidR="00D71302">
        <w:t>WHO</w:t>
      </w:r>
      <w:r w:rsidR="00E769D6">
        <w:t xml:space="preserve"> website</w:t>
      </w:r>
      <w:r w:rsidR="00D71302">
        <w:t>, accessed 2 April 2024</w:t>
      </w:r>
      <w:r w:rsidR="00D71302" w:rsidRPr="005F0925">
        <w:t xml:space="preserve">. </w:t>
      </w:r>
    </w:p>
    <w:p w14:paraId="52D2DC58" w14:textId="187E66C6" w:rsidR="008D160E" w:rsidRPr="00DC2503" w:rsidRDefault="00DF2C23" w:rsidP="00966917">
      <w:pPr>
        <w:pStyle w:val="ListParagraph"/>
        <w:numPr>
          <w:ilvl w:val="0"/>
          <w:numId w:val="24"/>
        </w:numPr>
        <w:spacing w:before="60" w:after="60"/>
        <w:ind w:left="867" w:hanging="510"/>
        <w:contextualSpacing w:val="0"/>
      </w:pPr>
      <w:r w:rsidRPr="00DC2503">
        <w:t>The Royal Children’s Hospital (</w:t>
      </w:r>
      <w:r w:rsidR="00251FF6" w:rsidRPr="00DC2503">
        <w:t>2018</w:t>
      </w:r>
      <w:r w:rsidRPr="00DC2503">
        <w:t>)</w:t>
      </w:r>
      <w:r w:rsidR="001711E4" w:rsidRPr="00DC2503">
        <w:t xml:space="preserve"> </w:t>
      </w:r>
      <w:hyperlink r:id="rId55" w:history="1">
        <w:r w:rsidR="009C5E10" w:rsidRPr="00DC2503">
          <w:rPr>
            <w:rStyle w:val="Hyperlink"/>
            <w:i/>
            <w:iCs/>
          </w:rPr>
          <w:t>Respiratory syncytial virus (RSV)</w:t>
        </w:r>
      </w:hyperlink>
      <w:r w:rsidR="009C5E10" w:rsidRPr="00DC2503">
        <w:t>,</w:t>
      </w:r>
      <w:r w:rsidR="008D160E" w:rsidRPr="00DC2503">
        <w:t xml:space="preserve"> The Royal Children’s Hospital Melbourne</w:t>
      </w:r>
      <w:r w:rsidR="00E769D6" w:rsidRPr="00DC2503">
        <w:t xml:space="preserve"> website</w:t>
      </w:r>
      <w:r w:rsidR="008D160E" w:rsidRPr="00DC2503">
        <w:t>, accessed 2 April 2024.</w:t>
      </w:r>
    </w:p>
    <w:p w14:paraId="79242EF2" w14:textId="5FDCD066" w:rsidR="00C2172F" w:rsidRDefault="008C1E47" w:rsidP="00966917">
      <w:pPr>
        <w:pStyle w:val="ListParagraph"/>
        <w:numPr>
          <w:ilvl w:val="0"/>
          <w:numId w:val="24"/>
        </w:numPr>
        <w:spacing w:before="60" w:after="60"/>
        <w:ind w:left="867" w:hanging="510"/>
        <w:contextualSpacing w:val="0"/>
      </w:pPr>
      <w:r w:rsidRPr="008C1E47">
        <w:t xml:space="preserve">COVID-19 </w:t>
      </w:r>
      <w:r>
        <w:t xml:space="preserve">Epidemiology and </w:t>
      </w:r>
      <w:r w:rsidRPr="008C1E47">
        <w:t>Surveillance Team</w:t>
      </w:r>
      <w:r w:rsidR="00B334F1">
        <w:t xml:space="preserve"> (2021)</w:t>
      </w:r>
      <w:r w:rsidRPr="008C1E47">
        <w:t xml:space="preserve"> </w:t>
      </w:r>
      <w:r w:rsidR="001C46F0" w:rsidRPr="001C46F0">
        <w:t>Technical supplement – COVID-19 Australia: Epidemiology reporting</w:t>
      </w:r>
      <w:r w:rsidRPr="008C1E47">
        <w:t xml:space="preserve">. </w:t>
      </w:r>
      <w:r w:rsidR="00B334F1" w:rsidRPr="00881647">
        <w:rPr>
          <w:i/>
          <w:iCs/>
        </w:rPr>
        <w:t>Communicable Diseases Intelligence</w:t>
      </w:r>
      <w:r w:rsidR="00B334F1">
        <w:rPr>
          <w:i/>
          <w:iCs/>
        </w:rPr>
        <w:t>,</w:t>
      </w:r>
      <w:r w:rsidR="009254CF">
        <w:rPr>
          <w:i/>
          <w:iCs/>
        </w:rPr>
        <w:t xml:space="preserve"> </w:t>
      </w:r>
      <w:r w:rsidRPr="008C1E47">
        <w:t>45</w:t>
      </w:r>
      <w:r w:rsidR="009254CF">
        <w:t xml:space="preserve">, </w:t>
      </w:r>
      <w:proofErr w:type="spellStart"/>
      <w:r w:rsidR="009254CF">
        <w:t>doi</w:t>
      </w:r>
      <w:proofErr w:type="spellEnd"/>
      <w:r w:rsidR="009254CF">
        <w:t xml:space="preserve">: </w:t>
      </w:r>
      <w:r w:rsidR="009254CF" w:rsidRPr="009254CF">
        <w:t>10.33321/cdi.2021.45.2</w:t>
      </w:r>
    </w:p>
    <w:p w14:paraId="22D75348" w14:textId="6714E544" w:rsidR="00886404" w:rsidRPr="00ED0CC8" w:rsidRDefault="00FA785A" w:rsidP="00966917">
      <w:pPr>
        <w:pStyle w:val="ListParagraph"/>
        <w:numPr>
          <w:ilvl w:val="0"/>
          <w:numId w:val="24"/>
        </w:numPr>
        <w:spacing w:before="60" w:after="60"/>
        <w:ind w:left="867" w:hanging="510"/>
        <w:contextualSpacing w:val="0"/>
        <w:rPr>
          <w:b/>
          <w:bCs/>
          <w:lang w:val="en-GB"/>
        </w:rPr>
      </w:pPr>
      <w:r>
        <w:t>Australian Government Department of Health and Aged Care (202</w:t>
      </w:r>
      <w:r w:rsidR="0023171D">
        <w:t>4</w:t>
      </w:r>
      <w:r>
        <w:t>)</w:t>
      </w:r>
      <w:r w:rsidR="0023171D">
        <w:t xml:space="preserve"> </w:t>
      </w:r>
      <w:hyperlink r:id="rId56" w:history="1">
        <w:r w:rsidR="00886404" w:rsidRPr="006C7CEC">
          <w:rPr>
            <w:rStyle w:val="Hyperlink"/>
            <w:i/>
            <w:iCs/>
            <w:lang w:val="en-GB"/>
          </w:rPr>
          <w:t>National Notifiable Diseases Surveillance System (NNDSS)</w:t>
        </w:r>
      </w:hyperlink>
      <w:r w:rsidR="00886404">
        <w:rPr>
          <w:lang w:val="en-GB"/>
        </w:rPr>
        <w:t xml:space="preserve">, </w:t>
      </w:r>
      <w:r w:rsidR="00886404">
        <w:t>Department of Health and Aged Care</w:t>
      </w:r>
      <w:r w:rsidR="00E769D6">
        <w:t xml:space="preserve"> website</w:t>
      </w:r>
      <w:r w:rsidR="00886404">
        <w:t xml:space="preserve">, accessed 14 March </w:t>
      </w:r>
      <w:r w:rsidR="00886404" w:rsidRPr="00ED0CC8">
        <w:t>2024.</w:t>
      </w:r>
    </w:p>
    <w:p w14:paraId="5D03FD7C" w14:textId="6D29B493" w:rsidR="00CF7604" w:rsidRPr="00ED0CC8" w:rsidRDefault="00330D5F" w:rsidP="00966917">
      <w:pPr>
        <w:pStyle w:val="ListParagraph"/>
        <w:numPr>
          <w:ilvl w:val="0"/>
          <w:numId w:val="24"/>
        </w:numPr>
        <w:spacing w:before="60" w:after="60"/>
        <w:ind w:left="867" w:hanging="510"/>
        <w:contextualSpacing w:val="0"/>
        <w:rPr>
          <w:b/>
          <w:bCs/>
          <w:lang w:val="en-GB"/>
        </w:rPr>
      </w:pPr>
      <w:r w:rsidRPr="00ED0CC8">
        <w:t>Australian Government Department of Health and Aged Care (202</w:t>
      </w:r>
      <w:r w:rsidR="00A72EC9" w:rsidRPr="00ED0CC8">
        <w:t>2</w:t>
      </w:r>
      <w:r w:rsidRPr="00ED0CC8">
        <w:t xml:space="preserve">) </w:t>
      </w:r>
      <w:hyperlink r:id="rId57" w:history="1">
        <w:r w:rsidR="00CF7604" w:rsidRPr="00ED0CC8">
          <w:rPr>
            <w:rStyle w:val="Hyperlink"/>
            <w:i/>
            <w:iCs/>
          </w:rPr>
          <w:t>CDNA surveillance case definitions</w:t>
        </w:r>
      </w:hyperlink>
      <w:r w:rsidR="00CF7604" w:rsidRPr="00ED0CC8">
        <w:t>, Department of Health and Aged Care</w:t>
      </w:r>
      <w:r w:rsidR="00E769D6" w:rsidRPr="00ED0CC8">
        <w:t xml:space="preserve"> website</w:t>
      </w:r>
      <w:r w:rsidR="00CF7604" w:rsidRPr="00ED0CC8">
        <w:t xml:space="preserve">, </w:t>
      </w:r>
      <w:r w:rsidR="00A0781A" w:rsidRPr="00ED0CC8">
        <w:t xml:space="preserve">last updated 21 June 2024, </w:t>
      </w:r>
      <w:r w:rsidR="00CF7604" w:rsidRPr="00ED0CC8">
        <w:t xml:space="preserve">accessed </w:t>
      </w:r>
      <w:r w:rsidR="001B5856" w:rsidRPr="00ED0CC8">
        <w:t>9 July</w:t>
      </w:r>
      <w:r w:rsidR="00CF7604" w:rsidRPr="00ED0CC8">
        <w:t xml:space="preserve"> 2024.</w:t>
      </w:r>
    </w:p>
    <w:p w14:paraId="257F6735" w14:textId="3F44CFA3" w:rsidR="00FA785A" w:rsidRPr="006F5C28" w:rsidRDefault="006F5C28" w:rsidP="00966917">
      <w:pPr>
        <w:pStyle w:val="ListParagraph"/>
        <w:numPr>
          <w:ilvl w:val="0"/>
          <w:numId w:val="24"/>
        </w:numPr>
        <w:spacing w:before="60" w:after="60"/>
        <w:ind w:left="867" w:hanging="510"/>
      </w:pPr>
      <w:r>
        <w:t xml:space="preserve">Australian Government Department of Health and Aged Care (2022) </w:t>
      </w:r>
      <w:hyperlink r:id="rId58" w:history="1">
        <w:r w:rsidRPr="006F5C28">
          <w:rPr>
            <w:rStyle w:val="Hyperlink"/>
          </w:rPr>
          <w:t>Technical supplement – 2022 update to NNDSS laboratory-confirmed influenza case definition</w:t>
        </w:r>
      </w:hyperlink>
      <w:r>
        <w:t xml:space="preserve">, Department of Health and Aged Care website, last updated 20 April 2022, accessed </w:t>
      </w:r>
      <w:r w:rsidR="001A4CFD">
        <w:t>2</w:t>
      </w:r>
      <w:r>
        <w:t xml:space="preserve"> March 2024.</w:t>
      </w:r>
    </w:p>
    <w:p w14:paraId="4AD2B00A" w14:textId="67FB3443" w:rsidR="00AE4DF0" w:rsidRPr="006F5C28" w:rsidRDefault="00AE4DF0" w:rsidP="00966917">
      <w:pPr>
        <w:pStyle w:val="ListParagraph"/>
        <w:numPr>
          <w:ilvl w:val="0"/>
          <w:numId w:val="24"/>
        </w:numPr>
        <w:spacing w:before="60" w:after="60"/>
        <w:ind w:left="867" w:hanging="510"/>
      </w:pPr>
      <w:r w:rsidRPr="006F5C28">
        <w:t xml:space="preserve">World Health Organization (WHO) (2014) </w:t>
      </w:r>
      <w:hyperlink r:id="rId59" w:history="1">
        <w:r w:rsidRPr="006F5C28">
          <w:rPr>
            <w:rStyle w:val="Hyperlink"/>
            <w:i/>
            <w:iCs/>
          </w:rPr>
          <w:t>WHO surveillance case definitions for ILI and SARI</w:t>
        </w:r>
      </w:hyperlink>
      <w:r w:rsidRPr="006F5C28">
        <w:t>, WHO</w:t>
      </w:r>
      <w:r w:rsidR="00A14B3D" w:rsidRPr="006F5C28">
        <w:t xml:space="preserve"> website</w:t>
      </w:r>
      <w:r w:rsidRPr="006F5C28">
        <w:t xml:space="preserve">, accessed </w:t>
      </w:r>
      <w:r w:rsidR="000B0609" w:rsidRPr="006F5C28">
        <w:t>6 March</w:t>
      </w:r>
      <w:r w:rsidRPr="006F5C28">
        <w:t xml:space="preserve"> 2024.</w:t>
      </w:r>
    </w:p>
    <w:p w14:paraId="6BA0584E" w14:textId="59264960" w:rsidR="009250A0" w:rsidRPr="009250A0" w:rsidRDefault="009250A0" w:rsidP="009250A0">
      <w:pPr>
        <w:pStyle w:val="ListParagraph"/>
        <w:numPr>
          <w:ilvl w:val="0"/>
          <w:numId w:val="24"/>
        </w:numPr>
        <w:spacing w:before="60" w:after="60"/>
        <w:ind w:left="867" w:hanging="510"/>
        <w:rPr>
          <w:lang w:val="en-GB"/>
        </w:rPr>
      </w:pPr>
      <w:r w:rsidRPr="009250A0">
        <w:rPr>
          <w:lang w:val="en-GB"/>
        </w:rPr>
        <w:t>Australian Bureau of Statistics (</w:t>
      </w:r>
      <w:proofErr w:type="spellStart"/>
      <w:r w:rsidRPr="009250A0">
        <w:rPr>
          <w:lang w:val="en-GB"/>
        </w:rPr>
        <w:t>jan</w:t>
      </w:r>
      <w:proofErr w:type="spellEnd"/>
      <w:r w:rsidRPr="009250A0">
        <w:rPr>
          <w:lang w:val="en-GB"/>
        </w:rPr>
        <w:t xml:space="preserve">---sep-2024), </w:t>
      </w:r>
      <w:hyperlink r:id="rId60" w:history="1">
        <w:r w:rsidRPr="009250A0">
          <w:rPr>
            <w:rStyle w:val="Hyperlink"/>
            <w:lang w:val="en-GB"/>
          </w:rPr>
          <w:t>Provisional Mortality Statistics methodology</w:t>
        </w:r>
      </w:hyperlink>
      <w:r w:rsidRPr="009250A0">
        <w:rPr>
          <w:lang w:val="en-GB"/>
        </w:rPr>
        <w:t xml:space="preserve">, ABS Website, accessed </w:t>
      </w:r>
      <w:r>
        <w:rPr>
          <w:lang w:val="en-GB"/>
        </w:rPr>
        <w:t>20</w:t>
      </w:r>
      <w:r w:rsidRPr="009250A0">
        <w:rPr>
          <w:lang w:val="en-GB"/>
        </w:rPr>
        <w:t xml:space="preserve"> January 2025.</w:t>
      </w:r>
    </w:p>
    <w:p w14:paraId="542554FC" w14:textId="4642662E" w:rsidR="00CE290A" w:rsidRPr="00CE290A" w:rsidRDefault="00CE290A" w:rsidP="00CE290A">
      <w:pPr>
        <w:pStyle w:val="ListParagraph"/>
        <w:numPr>
          <w:ilvl w:val="0"/>
          <w:numId w:val="24"/>
        </w:numPr>
        <w:spacing w:before="60" w:after="60"/>
        <w:ind w:left="867" w:hanging="510"/>
        <w:rPr>
          <w:lang w:val="en-GB"/>
        </w:rPr>
      </w:pPr>
      <w:r w:rsidRPr="00CE290A">
        <w:rPr>
          <w:lang w:val="en-GB"/>
        </w:rPr>
        <w:t>Australian Bureau of Statistics (</w:t>
      </w:r>
      <w:proofErr w:type="spellStart"/>
      <w:r w:rsidRPr="00CE290A">
        <w:rPr>
          <w:lang w:val="en-GB"/>
        </w:rPr>
        <w:t>jan</w:t>
      </w:r>
      <w:proofErr w:type="spellEnd"/>
      <w:r w:rsidRPr="00CE290A">
        <w:rPr>
          <w:lang w:val="en-GB"/>
        </w:rPr>
        <w:t xml:space="preserve">---sep-2024), </w:t>
      </w:r>
      <w:hyperlink r:id="rId61" w:history="1">
        <w:r w:rsidRPr="00CE290A">
          <w:rPr>
            <w:rStyle w:val="Hyperlink"/>
            <w:lang w:val="en-GB"/>
          </w:rPr>
          <w:t>Provisional Mortality Statistics</w:t>
        </w:r>
      </w:hyperlink>
      <w:r w:rsidRPr="00CE290A">
        <w:rPr>
          <w:lang w:val="en-GB"/>
        </w:rPr>
        <w:t xml:space="preserve">, ABS Website, accessed </w:t>
      </w:r>
      <w:r>
        <w:rPr>
          <w:lang w:val="en-GB"/>
        </w:rPr>
        <w:t>2</w:t>
      </w:r>
      <w:r w:rsidRPr="00CE290A">
        <w:rPr>
          <w:lang w:val="en-GB"/>
        </w:rPr>
        <w:t>0 January 2025.</w:t>
      </w:r>
    </w:p>
    <w:p w14:paraId="554A28EE" w14:textId="0546C296" w:rsidR="00E26009" w:rsidRPr="00E26009" w:rsidRDefault="00E26009" w:rsidP="00E26009">
      <w:pPr>
        <w:pStyle w:val="ListParagraph"/>
        <w:numPr>
          <w:ilvl w:val="0"/>
          <w:numId w:val="24"/>
        </w:numPr>
        <w:spacing w:before="60" w:after="60"/>
        <w:ind w:left="867" w:hanging="510"/>
        <w:rPr>
          <w:lang w:val="en-GB"/>
        </w:rPr>
      </w:pPr>
      <w:r w:rsidRPr="00E26009">
        <w:rPr>
          <w:lang w:val="en-GB"/>
        </w:rPr>
        <w:t xml:space="preserve">Australian Bureau of Statistics (18 December 2024), </w:t>
      </w:r>
      <w:hyperlink r:id="rId62" w:history="1">
        <w:r w:rsidRPr="00E26009">
          <w:rPr>
            <w:rStyle w:val="Hyperlink"/>
            <w:lang w:val="en-GB"/>
          </w:rPr>
          <w:t>Deaths due to COVID-19, influenza and RSV in Australia - 2022 - November 2024</w:t>
        </w:r>
      </w:hyperlink>
      <w:r w:rsidRPr="00E26009">
        <w:rPr>
          <w:lang w:val="en-GB"/>
        </w:rPr>
        <w:t xml:space="preserve">, ABS Website, accessed </w:t>
      </w:r>
      <w:r>
        <w:rPr>
          <w:lang w:val="en-GB"/>
        </w:rPr>
        <w:t>2</w:t>
      </w:r>
      <w:r w:rsidRPr="00E26009">
        <w:rPr>
          <w:lang w:val="en-GB"/>
        </w:rPr>
        <w:t>0 January 2025.</w:t>
      </w:r>
    </w:p>
    <w:p w14:paraId="136BE540" w14:textId="77777777" w:rsidR="00685445" w:rsidRPr="006F5C28" w:rsidRDefault="00BA1C53" w:rsidP="00966917">
      <w:pPr>
        <w:pStyle w:val="ListParagraph"/>
        <w:numPr>
          <w:ilvl w:val="0"/>
          <w:numId w:val="24"/>
        </w:numPr>
        <w:spacing w:before="60" w:after="60"/>
        <w:ind w:left="867" w:hanging="510"/>
        <w:rPr>
          <w:lang w:val="en-GB"/>
        </w:rPr>
      </w:pPr>
      <w:r w:rsidRPr="00BA1C53">
        <w:rPr>
          <w:lang w:val="en-GB"/>
        </w:rPr>
        <w:lastRenderedPageBreak/>
        <w:t xml:space="preserve">Rambaut A, Homles EC, O’Toole Á, Hill V, McCrone JT, Ruis C, du Plessis L, Pybus OG (2020) 'A dynamic nomenclature proposal for SARS-CoV-2 lineages to assist genomic epidemiology', </w:t>
      </w:r>
      <w:r w:rsidRPr="00BA1C53">
        <w:rPr>
          <w:i/>
          <w:iCs/>
          <w:lang w:val="en-GB"/>
        </w:rPr>
        <w:t xml:space="preserve">Nature </w:t>
      </w:r>
      <w:r w:rsidRPr="006F5C28">
        <w:rPr>
          <w:i/>
          <w:iCs/>
          <w:lang w:val="en-GB"/>
        </w:rPr>
        <w:t>Microbiology</w:t>
      </w:r>
      <w:r w:rsidRPr="006F5C28">
        <w:rPr>
          <w:lang w:val="en-GB"/>
        </w:rPr>
        <w:t>, 5:1403–7. doi:10.1038/s41564-020-0770-5.</w:t>
      </w:r>
    </w:p>
    <w:p w14:paraId="04EA4181" w14:textId="3BB5D180" w:rsidR="00797A4B" w:rsidRPr="00290371" w:rsidRDefault="00797A4B" w:rsidP="00966917">
      <w:pPr>
        <w:pStyle w:val="ListParagraph"/>
        <w:numPr>
          <w:ilvl w:val="0"/>
          <w:numId w:val="24"/>
        </w:numPr>
        <w:spacing w:before="60" w:after="60"/>
        <w:ind w:left="867" w:hanging="510"/>
        <w:rPr>
          <w:lang w:val="en-GB"/>
        </w:rPr>
      </w:pPr>
      <w:r w:rsidRPr="00797A4B">
        <w:t>World Health Organization (WHO) (</w:t>
      </w:r>
      <w:r w:rsidR="005E6466" w:rsidRPr="00797A4B">
        <w:t>202</w:t>
      </w:r>
      <w:r w:rsidR="005E6466">
        <w:t>5</w:t>
      </w:r>
      <w:r w:rsidRPr="00797A4B">
        <w:t>)</w:t>
      </w:r>
      <w:r w:rsidR="00B055BF">
        <w:t xml:space="preserve"> </w:t>
      </w:r>
      <w:hyperlink r:id="rId63" w:history="1">
        <w:r w:rsidR="00631A71" w:rsidRPr="00303E45">
          <w:rPr>
            <w:rStyle w:val="Hyperlink"/>
            <w:i/>
            <w:iCs/>
          </w:rPr>
          <w:t>Tracking SARS-CoV-2 variants</w:t>
        </w:r>
      </w:hyperlink>
      <w:r w:rsidR="00303E45">
        <w:t xml:space="preserve">, WHO website, last updated </w:t>
      </w:r>
      <w:r w:rsidR="00E941FC">
        <w:t xml:space="preserve">24 January </w:t>
      </w:r>
      <w:r w:rsidR="00303E45">
        <w:t>202</w:t>
      </w:r>
      <w:r w:rsidR="00E941FC">
        <w:t>5</w:t>
      </w:r>
      <w:r w:rsidR="00303E45">
        <w:t>, accessed 2</w:t>
      </w:r>
      <w:r w:rsidR="00E941FC">
        <w:t>4</w:t>
      </w:r>
      <w:r w:rsidR="00303E45">
        <w:t xml:space="preserve"> </w:t>
      </w:r>
      <w:r w:rsidR="00E941FC">
        <w:t xml:space="preserve">January </w:t>
      </w:r>
      <w:r w:rsidR="00303E45">
        <w:t>202</w:t>
      </w:r>
      <w:r w:rsidR="00E941FC">
        <w:t>5</w:t>
      </w:r>
      <w:r w:rsidR="00303E45">
        <w:t>.</w:t>
      </w:r>
    </w:p>
    <w:p w14:paraId="317FB563" w14:textId="1EF0F0BF" w:rsidR="007E4485" w:rsidRPr="00250AC1" w:rsidRDefault="007E4485" w:rsidP="00966917">
      <w:pPr>
        <w:pStyle w:val="ListParagraph"/>
        <w:numPr>
          <w:ilvl w:val="0"/>
          <w:numId w:val="24"/>
        </w:numPr>
        <w:spacing w:before="60" w:after="60"/>
        <w:ind w:left="867" w:hanging="510"/>
        <w:rPr>
          <w:lang w:val="en-GB"/>
        </w:rPr>
      </w:pPr>
      <w:r w:rsidRPr="007E4485">
        <w:t xml:space="preserve">National Centre for Immunisation Research and Surveillance (NCIRS) (2024) </w:t>
      </w:r>
      <w:hyperlink r:id="rId64" w:history="1">
        <w:r w:rsidRPr="007E4485">
          <w:rPr>
            <w:rStyle w:val="Hyperlink"/>
            <w:i/>
            <w:iCs/>
          </w:rPr>
          <w:t>Vaccine coverage</w:t>
        </w:r>
      </w:hyperlink>
      <w:r w:rsidRPr="007E4485">
        <w:t>, NCIRS</w:t>
      </w:r>
      <w:r>
        <w:t xml:space="preserve"> website</w:t>
      </w:r>
      <w:r w:rsidRPr="007E4485">
        <w:t>, accessed 10 April 2024.</w:t>
      </w:r>
    </w:p>
    <w:p w14:paraId="63E26627" w14:textId="37986451" w:rsidR="00804333" w:rsidRPr="006F7262" w:rsidRDefault="00804333" w:rsidP="00966917">
      <w:pPr>
        <w:pStyle w:val="ListParagraph"/>
        <w:numPr>
          <w:ilvl w:val="0"/>
          <w:numId w:val="24"/>
        </w:numPr>
        <w:spacing w:before="60" w:after="60"/>
        <w:ind w:left="867" w:hanging="510"/>
        <w:rPr>
          <w:lang w:val="en-GB"/>
        </w:rPr>
      </w:pPr>
      <w:r>
        <w:t xml:space="preserve">Australian Government Department of Health and Aged Care (2024) </w:t>
      </w:r>
      <w:hyperlink r:id="rId65" w:history="1">
        <w:r w:rsidRPr="00804333">
          <w:rPr>
            <w:rStyle w:val="Hyperlink"/>
          </w:rPr>
          <w:t>Using the Australian Immunisation Register</w:t>
        </w:r>
      </w:hyperlink>
      <w:r>
        <w:t>,</w:t>
      </w:r>
      <w:r w:rsidRPr="00804333">
        <w:t xml:space="preserve"> </w:t>
      </w:r>
      <w:r>
        <w:t>Department of Health and Aged Care website, last updated 4 March 2024, accessed 2 April 2024.</w:t>
      </w:r>
    </w:p>
    <w:p w14:paraId="4FDB22BC" w14:textId="77777777" w:rsidR="00E514FA" w:rsidRPr="00BA1C53" w:rsidRDefault="00E514FA" w:rsidP="00E514FA">
      <w:pPr>
        <w:pStyle w:val="ListParagraph"/>
        <w:numPr>
          <w:ilvl w:val="0"/>
          <w:numId w:val="24"/>
        </w:numPr>
        <w:spacing w:before="60" w:after="60"/>
        <w:ind w:left="867" w:hanging="510"/>
        <w:rPr>
          <w:lang w:val="en-GB"/>
        </w:rPr>
      </w:pPr>
      <w:r w:rsidRPr="00CD72C3">
        <w:t xml:space="preserve">World Health Organization (WHO) (2021) </w:t>
      </w:r>
      <w:hyperlink r:id="rId66" w:history="1">
        <w:r w:rsidRPr="00CD72C3">
          <w:rPr>
            <w:rStyle w:val="Hyperlink"/>
            <w:i/>
            <w:iCs/>
          </w:rPr>
          <w:t>Vaccine efficacy, effectiveness and protection</w:t>
        </w:r>
      </w:hyperlink>
      <w:r w:rsidRPr="00CD72C3">
        <w:t>, WHO</w:t>
      </w:r>
      <w:r>
        <w:t xml:space="preserve"> website</w:t>
      </w:r>
      <w:r w:rsidRPr="00CD72C3">
        <w:t>, accessed 10 April 2024.</w:t>
      </w:r>
    </w:p>
    <w:p w14:paraId="7BBAE0F9" w14:textId="1525BD78" w:rsidR="00E5037B" w:rsidRPr="00C85AAA" w:rsidRDefault="00E5037B" w:rsidP="00966917">
      <w:pPr>
        <w:pStyle w:val="ListParagraph"/>
        <w:numPr>
          <w:ilvl w:val="0"/>
          <w:numId w:val="24"/>
        </w:numPr>
        <w:spacing w:before="60" w:after="60"/>
        <w:ind w:left="867" w:hanging="510"/>
        <w:rPr>
          <w:lang w:val="en-GB"/>
        </w:rPr>
      </w:pPr>
      <w:r>
        <w:t xml:space="preserve">United States </w:t>
      </w:r>
      <w:proofErr w:type="spellStart"/>
      <w:r>
        <w:t>Centers</w:t>
      </w:r>
      <w:proofErr w:type="spellEnd"/>
      <w:r>
        <w:t xml:space="preserve"> for Disease Control and Prevention</w:t>
      </w:r>
      <w:r w:rsidR="005557B8">
        <w:t xml:space="preserve"> (CDC) (2024) </w:t>
      </w:r>
      <w:hyperlink r:id="rId67" w:history="1">
        <w:r w:rsidR="005557B8" w:rsidRPr="00250AC1">
          <w:rPr>
            <w:rStyle w:val="Hyperlink"/>
            <w:i/>
            <w:iCs/>
          </w:rPr>
          <w:t>Seasonal Flu Vaccines</w:t>
        </w:r>
      </w:hyperlink>
      <w:r w:rsidR="005557B8">
        <w:t>, United States CDC website, last updated 12 March 2024, accessed 10 April 2024.</w:t>
      </w:r>
    </w:p>
    <w:p w14:paraId="6AEFF5C2" w14:textId="097697A0" w:rsidR="00BA2D53" w:rsidRPr="006F7262" w:rsidRDefault="00BA2D53" w:rsidP="00BA2D53">
      <w:pPr>
        <w:pStyle w:val="ListParagraph"/>
        <w:numPr>
          <w:ilvl w:val="0"/>
          <w:numId w:val="24"/>
        </w:numPr>
        <w:spacing w:before="60" w:after="60"/>
        <w:ind w:left="867" w:hanging="510"/>
        <w:rPr>
          <w:lang w:val="en-GB"/>
        </w:rPr>
      </w:pPr>
      <w:r>
        <w:t xml:space="preserve">Australian Government Department of Health and Aged Care (2024) </w:t>
      </w:r>
      <w:hyperlink r:id="rId68" w:history="1">
        <w:r w:rsidRPr="00C85AAA">
          <w:rPr>
            <w:rStyle w:val="Hyperlink"/>
          </w:rPr>
          <w:t>ATAGI statement on the transition from quadrivalent to trivalent seasonal influenza vaccines in Australia</w:t>
        </w:r>
      </w:hyperlink>
      <w:r>
        <w:rPr>
          <w:lang w:val="en-GB"/>
        </w:rPr>
        <w:t xml:space="preserve">, </w:t>
      </w:r>
      <w:r>
        <w:t>Department of Health and Aged Care website, last updated 29 August 2024, accessed 18 January 2025.</w:t>
      </w:r>
    </w:p>
    <w:p w14:paraId="7E23FF01" w14:textId="545FCA9B" w:rsidR="00BA2D53" w:rsidRPr="00294E92" w:rsidRDefault="007A14FE" w:rsidP="00966917">
      <w:pPr>
        <w:pStyle w:val="ListParagraph"/>
        <w:numPr>
          <w:ilvl w:val="0"/>
          <w:numId w:val="24"/>
        </w:numPr>
        <w:spacing w:before="60" w:after="60"/>
        <w:ind w:left="867" w:hanging="510"/>
        <w:rPr>
          <w:lang w:val="en-GB"/>
        </w:rPr>
      </w:pPr>
      <w:r>
        <w:t xml:space="preserve">Australian Government Department of Health and Aged Care Therapeutic Goods Administration (2024) </w:t>
      </w:r>
      <w:hyperlink r:id="rId69" w:history="1">
        <w:r w:rsidRPr="007A14FE">
          <w:rPr>
            <w:rStyle w:val="Hyperlink"/>
          </w:rPr>
          <w:t>AIVC Recommendations for the Composition of Influenza Vaccines for Australia in 2025</w:t>
        </w:r>
      </w:hyperlink>
      <w:r>
        <w:t>,</w:t>
      </w:r>
      <w:r w:rsidRPr="007A14FE">
        <w:t xml:space="preserve"> </w:t>
      </w:r>
      <w:r>
        <w:t>Department of Health and Aged Care website, last updated 16 October 2024, accessed 18 January 2025.</w:t>
      </w:r>
    </w:p>
    <w:p w14:paraId="215467DF" w14:textId="77777777" w:rsidR="004E596C" w:rsidRDefault="004E596C">
      <w:pPr>
        <w:spacing w:before="0" w:after="0" w:line="240" w:lineRule="auto"/>
      </w:pPr>
    </w:p>
    <w:p w14:paraId="24E54D9A" w14:textId="24567E85" w:rsidR="004E596C" w:rsidRDefault="004E596C">
      <w:pPr>
        <w:spacing w:before="0" w:after="0" w:line="240" w:lineRule="auto"/>
      </w:pPr>
    </w:p>
    <w:p w14:paraId="36674A62" w14:textId="5D4E87C2" w:rsidR="001175E6" w:rsidRPr="00C21F84" w:rsidRDefault="001175E6" w:rsidP="00C21F84">
      <w:pPr>
        <w:rPr>
          <w:rFonts w:eastAsiaTheme="majorEastAsia"/>
        </w:rPr>
      </w:pPr>
    </w:p>
    <w:sectPr w:rsidR="001175E6" w:rsidRPr="00C21F84" w:rsidSect="005C1C3A">
      <w:headerReference w:type="default" r:id="rId70"/>
      <w:footerReference w:type="default" r:id="rId71"/>
      <w:pgSz w:w="11906" w:h="16838"/>
      <w:pgMar w:top="1440" w:right="1080" w:bottom="1440"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4D86" w14:textId="77777777" w:rsidR="0067451D" w:rsidRDefault="0067451D" w:rsidP="00934368">
      <w:r>
        <w:separator/>
      </w:r>
    </w:p>
    <w:p w14:paraId="4E2BCC3F" w14:textId="77777777" w:rsidR="0067451D" w:rsidRDefault="0067451D" w:rsidP="00934368"/>
  </w:endnote>
  <w:endnote w:type="continuationSeparator" w:id="0">
    <w:p w14:paraId="2956F51A" w14:textId="77777777" w:rsidR="0067451D" w:rsidRDefault="0067451D" w:rsidP="00934368">
      <w:r>
        <w:continuationSeparator/>
      </w:r>
    </w:p>
    <w:p w14:paraId="08059F65" w14:textId="77777777" w:rsidR="0067451D" w:rsidRDefault="0067451D" w:rsidP="00934368"/>
  </w:endnote>
  <w:endnote w:type="continuationNotice" w:id="1">
    <w:p w14:paraId="2BBF1157" w14:textId="77777777" w:rsidR="0067451D" w:rsidRDefault="0067451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DF21" w14:textId="77777777" w:rsidR="00751A23" w:rsidRPr="000F2711" w:rsidRDefault="009F4231" w:rsidP="00934368">
    <w:pPr>
      <w:pStyle w:val="Footer"/>
      <w:rPr>
        <w:sz w:val="16"/>
        <w:szCs w:val="20"/>
      </w:rPr>
    </w:pPr>
    <w:r w:rsidRPr="000F2711">
      <w:rPr>
        <w:sz w:val="16"/>
        <w:szCs w:val="20"/>
      </w:rPr>
      <w:t xml:space="preserve">Interim Australian Centre for Disease Control </w:t>
    </w:r>
    <w:sdt>
      <w:sdtPr>
        <w:rPr>
          <w:sz w:val="16"/>
          <w:szCs w:val="20"/>
        </w:rPr>
        <w:id w:val="-443848716"/>
        <w:docPartObj>
          <w:docPartGallery w:val="Page Numbers (Bottom of Page)"/>
          <w:docPartUnique/>
        </w:docPartObj>
      </w:sdtPr>
      <w:sdtEndPr>
        <w:rPr>
          <w:noProof/>
        </w:rPr>
      </w:sdtEndPr>
      <w:sdtContent>
        <w:r w:rsidR="00751A23" w:rsidRPr="000F2711">
          <w:rPr>
            <w:sz w:val="16"/>
            <w:szCs w:val="20"/>
          </w:rPr>
          <w:tab/>
        </w:r>
        <w:r w:rsidR="00751A23" w:rsidRPr="000F2711">
          <w:rPr>
            <w:sz w:val="16"/>
            <w:szCs w:val="20"/>
          </w:rPr>
          <w:fldChar w:fldCharType="begin"/>
        </w:r>
        <w:r w:rsidR="00751A23" w:rsidRPr="000F2711">
          <w:rPr>
            <w:sz w:val="16"/>
            <w:szCs w:val="20"/>
          </w:rPr>
          <w:instrText xml:space="preserve"> PAGE   \* MERGEFORMAT </w:instrText>
        </w:r>
        <w:r w:rsidR="00751A23" w:rsidRPr="000F2711">
          <w:rPr>
            <w:sz w:val="16"/>
            <w:szCs w:val="20"/>
          </w:rPr>
          <w:fldChar w:fldCharType="separate"/>
        </w:r>
        <w:r w:rsidR="007B3D03" w:rsidRPr="000F2711">
          <w:rPr>
            <w:noProof/>
            <w:sz w:val="16"/>
            <w:szCs w:val="20"/>
          </w:rPr>
          <w:t>2</w:t>
        </w:r>
        <w:r w:rsidR="00751A23" w:rsidRPr="000F2711">
          <w:rPr>
            <w:noProof/>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DE86" w14:textId="77777777" w:rsidR="0067451D" w:rsidRDefault="0067451D" w:rsidP="00934368">
      <w:r>
        <w:separator/>
      </w:r>
    </w:p>
    <w:p w14:paraId="77BE6D8E" w14:textId="77777777" w:rsidR="0067451D" w:rsidRDefault="0067451D" w:rsidP="00934368"/>
  </w:footnote>
  <w:footnote w:type="continuationSeparator" w:id="0">
    <w:p w14:paraId="7751434D" w14:textId="77777777" w:rsidR="0067451D" w:rsidRDefault="0067451D" w:rsidP="00934368">
      <w:r>
        <w:continuationSeparator/>
      </w:r>
    </w:p>
    <w:p w14:paraId="038FE081" w14:textId="77777777" w:rsidR="0067451D" w:rsidRDefault="0067451D" w:rsidP="00934368"/>
  </w:footnote>
  <w:footnote w:type="continuationNotice" w:id="1">
    <w:p w14:paraId="5C2998EE" w14:textId="77777777" w:rsidR="0067451D" w:rsidRDefault="0067451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B2F3" w14:textId="77777777" w:rsidR="00751A23" w:rsidRDefault="00751A23" w:rsidP="00934368">
    <w:pPr>
      <w:pStyle w:val="Header"/>
    </w:pPr>
    <w:r>
      <w:rPr>
        <w:noProof/>
        <w:lang w:eastAsia="en-AU"/>
      </w:rPr>
      <w:drawing>
        <wp:anchor distT="0" distB="0" distL="114300" distR="114300" simplePos="0" relativeHeight="251658240" behindDoc="1" locked="1" layoutInCell="1" allowOverlap="1" wp14:anchorId="3AF61AA8" wp14:editId="0E697919">
          <wp:simplePos x="0" y="0"/>
          <wp:positionH relativeFrom="page">
            <wp:posOffset>0</wp:posOffset>
          </wp:positionH>
          <wp:positionV relativeFrom="page">
            <wp:align>top</wp:align>
          </wp:positionV>
          <wp:extent cx="7563600" cy="10692000"/>
          <wp:effectExtent l="0" t="0" r="5715" b="1905"/>
          <wp:wrapNone/>
          <wp:docPr id="1085129899" name="Picture 1085129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92BB" w14:textId="77777777" w:rsidR="008E0C77" w:rsidRPr="000F2711" w:rsidRDefault="008E0C77" w:rsidP="00073156">
    <w:pPr>
      <w:pStyle w:val="Header"/>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84F3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A991"/>
    <w:multiLevelType w:val="multilevel"/>
    <w:tmpl w:val="F8961F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D39E8"/>
    <w:multiLevelType w:val="hybridMultilevel"/>
    <w:tmpl w:val="961A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132EF"/>
    <w:multiLevelType w:val="hybridMultilevel"/>
    <w:tmpl w:val="16C26474"/>
    <w:lvl w:ilvl="0" w:tplc="FFFFFFFF">
      <w:start w:val="1"/>
      <w:numFmt w:val="bullet"/>
      <w:lvlText w:val=""/>
      <w:lvlJc w:val="left"/>
      <w:pPr>
        <w:ind w:left="360" w:hanging="360"/>
      </w:pPr>
      <w:rPr>
        <w:rFonts w:ascii="Symbol" w:hAnsi="Symbol" w:hint="default"/>
        <w:color w:val="033636" w:themeColor="text1"/>
      </w:rPr>
    </w:lvl>
    <w:lvl w:ilvl="1" w:tplc="4AC252F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9F75CA"/>
    <w:multiLevelType w:val="singleLevel"/>
    <w:tmpl w:val="4AC252FA"/>
    <w:lvl w:ilvl="0">
      <w:start w:val="1"/>
      <w:numFmt w:val="bullet"/>
      <w:lvlText w:val=""/>
      <w:lvlJc w:val="left"/>
      <w:pPr>
        <w:ind w:left="720" w:hanging="360"/>
      </w:pPr>
      <w:rPr>
        <w:rFonts w:ascii="Symbol" w:hAnsi="Symbol" w:hint="default"/>
      </w:rPr>
    </w:lvl>
  </w:abstractNum>
  <w:abstractNum w:abstractNumId="6" w15:restartNumberingAfterBreak="0">
    <w:nsid w:val="15AD3105"/>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940DD"/>
    <w:multiLevelType w:val="multilevel"/>
    <w:tmpl w:val="4A1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D62BC"/>
    <w:multiLevelType w:val="singleLevel"/>
    <w:tmpl w:val="4AC252FA"/>
    <w:lvl w:ilvl="0">
      <w:start w:val="1"/>
      <w:numFmt w:val="bullet"/>
      <w:lvlText w:val=""/>
      <w:lvlJc w:val="left"/>
      <w:pPr>
        <w:ind w:left="720" w:hanging="360"/>
      </w:pPr>
      <w:rPr>
        <w:rFonts w:ascii="Symbol" w:hAnsi="Symbol" w:hint="default"/>
      </w:rPr>
    </w:lvl>
  </w:abstractNum>
  <w:abstractNum w:abstractNumId="9" w15:restartNumberingAfterBreak="0">
    <w:nsid w:val="1B734281"/>
    <w:multiLevelType w:val="hybridMultilevel"/>
    <w:tmpl w:val="17268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250B"/>
    <w:multiLevelType w:val="hybridMultilevel"/>
    <w:tmpl w:val="8C5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63EBA"/>
    <w:multiLevelType w:val="hybridMultilevel"/>
    <w:tmpl w:val="33C8CF82"/>
    <w:lvl w:ilvl="0" w:tplc="FFFFFFFF">
      <w:start w:val="1"/>
      <w:numFmt w:val="bullet"/>
      <w:lvlText w:val=""/>
      <w:lvlJc w:val="left"/>
      <w:pPr>
        <w:ind w:left="360" w:hanging="360"/>
      </w:pPr>
      <w:rPr>
        <w:rFonts w:ascii="Symbol" w:hAnsi="Symbol" w:hint="default"/>
        <w:color w:val="03363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E31B1"/>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9117FDB"/>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A6AFE"/>
    <w:multiLevelType w:val="singleLevel"/>
    <w:tmpl w:val="7694A19A"/>
    <w:lvl w:ilvl="0">
      <w:start w:val="1"/>
      <w:numFmt w:val="bullet"/>
      <w:lvlText w:val=""/>
      <w:lvlJc w:val="left"/>
      <w:pPr>
        <w:ind w:left="720" w:hanging="360"/>
      </w:pPr>
      <w:rPr>
        <w:rFonts w:ascii="Symbol" w:hAnsi="Symbol" w:hint="default"/>
      </w:rPr>
    </w:lvl>
  </w:abstractNum>
  <w:abstractNum w:abstractNumId="16" w15:restartNumberingAfterBreak="0">
    <w:nsid w:val="3C831D5C"/>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747653"/>
    <w:multiLevelType w:val="hybridMultilevel"/>
    <w:tmpl w:val="70B09356"/>
    <w:lvl w:ilvl="0" w:tplc="B1A0CA70">
      <w:start w:val="1"/>
      <w:numFmt w:val="bullet"/>
      <w:lvlText w:val=""/>
      <w:lvlJc w:val="left"/>
      <w:pPr>
        <w:ind w:left="360" w:hanging="360"/>
      </w:pPr>
      <w:rPr>
        <w:rFonts w:ascii="Symbol" w:hAnsi="Symbol" w:hint="default"/>
        <w:color w:val="033636" w:themeColor="text1"/>
      </w:rPr>
    </w:lvl>
    <w:lvl w:ilvl="1" w:tplc="7694A19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D048FF"/>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1240BB"/>
    <w:multiLevelType w:val="multilevel"/>
    <w:tmpl w:val="18F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3482B"/>
    <w:multiLevelType w:val="multilevel"/>
    <w:tmpl w:val="98E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33B4F"/>
    <w:multiLevelType w:val="singleLevel"/>
    <w:tmpl w:val="4AC252FA"/>
    <w:lvl w:ilvl="0">
      <w:start w:val="1"/>
      <w:numFmt w:val="bullet"/>
      <w:lvlText w:val=""/>
      <w:lvlJc w:val="left"/>
      <w:pPr>
        <w:ind w:left="720" w:hanging="360"/>
      </w:pPr>
      <w:rPr>
        <w:rFonts w:ascii="Symbol" w:hAnsi="Symbol" w:hint="default"/>
      </w:rPr>
    </w:lvl>
  </w:abstractNum>
  <w:abstractNum w:abstractNumId="23" w15:restartNumberingAfterBreak="0">
    <w:nsid w:val="5AF24CAE"/>
    <w:multiLevelType w:val="hybridMultilevel"/>
    <w:tmpl w:val="98DCD1CE"/>
    <w:lvl w:ilvl="0" w:tplc="57E8B00A">
      <w:start w:val="1"/>
      <w:numFmt w:val="bullet"/>
      <w:lvlText w:val=""/>
      <w:lvlJc w:val="left"/>
      <w:pPr>
        <w:ind w:left="720" w:hanging="360"/>
      </w:pPr>
      <w:rPr>
        <w:rFonts w:ascii="Symbol" w:hAnsi="Symbol" w:hint="default"/>
      </w:rPr>
    </w:lvl>
    <w:lvl w:ilvl="1" w:tplc="085E5E4A">
      <w:start w:val="1"/>
      <w:numFmt w:val="bullet"/>
      <w:lvlText w:val="o"/>
      <w:lvlJc w:val="left"/>
      <w:pPr>
        <w:ind w:left="1440" w:hanging="360"/>
      </w:pPr>
      <w:rPr>
        <w:rFonts w:ascii="Courier New" w:hAnsi="Courier New" w:hint="default"/>
      </w:rPr>
    </w:lvl>
    <w:lvl w:ilvl="2" w:tplc="B448DC2A">
      <w:start w:val="1"/>
      <w:numFmt w:val="bullet"/>
      <w:lvlText w:val=""/>
      <w:lvlJc w:val="left"/>
      <w:pPr>
        <w:ind w:left="2160" w:hanging="360"/>
      </w:pPr>
      <w:rPr>
        <w:rFonts w:ascii="Wingdings" w:hAnsi="Wingdings" w:hint="default"/>
      </w:rPr>
    </w:lvl>
    <w:lvl w:ilvl="3" w:tplc="ED965B84">
      <w:start w:val="1"/>
      <w:numFmt w:val="bullet"/>
      <w:lvlText w:val=""/>
      <w:lvlJc w:val="left"/>
      <w:pPr>
        <w:ind w:left="2880" w:hanging="360"/>
      </w:pPr>
      <w:rPr>
        <w:rFonts w:ascii="Symbol" w:hAnsi="Symbol" w:hint="default"/>
      </w:rPr>
    </w:lvl>
    <w:lvl w:ilvl="4" w:tplc="557CC67A">
      <w:start w:val="1"/>
      <w:numFmt w:val="bullet"/>
      <w:lvlText w:val="o"/>
      <w:lvlJc w:val="left"/>
      <w:pPr>
        <w:ind w:left="3600" w:hanging="360"/>
      </w:pPr>
      <w:rPr>
        <w:rFonts w:ascii="Courier New" w:hAnsi="Courier New" w:hint="default"/>
      </w:rPr>
    </w:lvl>
    <w:lvl w:ilvl="5" w:tplc="D186A00E">
      <w:start w:val="1"/>
      <w:numFmt w:val="bullet"/>
      <w:lvlText w:val=""/>
      <w:lvlJc w:val="left"/>
      <w:pPr>
        <w:ind w:left="4320" w:hanging="360"/>
      </w:pPr>
      <w:rPr>
        <w:rFonts w:ascii="Wingdings" w:hAnsi="Wingdings" w:hint="default"/>
      </w:rPr>
    </w:lvl>
    <w:lvl w:ilvl="6" w:tplc="B5203A06">
      <w:start w:val="1"/>
      <w:numFmt w:val="bullet"/>
      <w:lvlText w:val=""/>
      <w:lvlJc w:val="left"/>
      <w:pPr>
        <w:ind w:left="5040" w:hanging="360"/>
      </w:pPr>
      <w:rPr>
        <w:rFonts w:ascii="Symbol" w:hAnsi="Symbol" w:hint="default"/>
      </w:rPr>
    </w:lvl>
    <w:lvl w:ilvl="7" w:tplc="46C2159C">
      <w:start w:val="1"/>
      <w:numFmt w:val="bullet"/>
      <w:lvlText w:val="o"/>
      <w:lvlJc w:val="left"/>
      <w:pPr>
        <w:ind w:left="5760" w:hanging="360"/>
      </w:pPr>
      <w:rPr>
        <w:rFonts w:ascii="Courier New" w:hAnsi="Courier New" w:hint="default"/>
      </w:rPr>
    </w:lvl>
    <w:lvl w:ilvl="8" w:tplc="45B6E6C2">
      <w:start w:val="1"/>
      <w:numFmt w:val="bullet"/>
      <w:lvlText w:val=""/>
      <w:lvlJc w:val="left"/>
      <w:pPr>
        <w:ind w:left="6480" w:hanging="360"/>
      </w:pPr>
      <w:rPr>
        <w:rFonts w:ascii="Wingdings" w:hAnsi="Wingdings" w:hint="default"/>
      </w:rPr>
    </w:lvl>
  </w:abstractNum>
  <w:abstractNum w:abstractNumId="24" w15:restartNumberingAfterBreak="0">
    <w:nsid w:val="60DB0B84"/>
    <w:multiLevelType w:val="hybridMultilevel"/>
    <w:tmpl w:val="CB5049FE"/>
    <w:lvl w:ilvl="0" w:tplc="7694A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57DC8"/>
    <w:multiLevelType w:val="singleLevel"/>
    <w:tmpl w:val="4AC252FA"/>
    <w:lvl w:ilvl="0">
      <w:start w:val="1"/>
      <w:numFmt w:val="bullet"/>
      <w:lvlText w:val=""/>
      <w:lvlJc w:val="left"/>
      <w:pPr>
        <w:ind w:left="720" w:hanging="360"/>
      </w:pPr>
      <w:rPr>
        <w:rFonts w:ascii="Symbol" w:hAnsi="Symbol" w:hint="default"/>
      </w:rPr>
    </w:lvl>
  </w:abstractNum>
  <w:abstractNum w:abstractNumId="26" w15:restartNumberingAfterBreak="0">
    <w:nsid w:val="690247F1"/>
    <w:multiLevelType w:val="singleLevel"/>
    <w:tmpl w:val="7694A19A"/>
    <w:lvl w:ilvl="0">
      <w:start w:val="1"/>
      <w:numFmt w:val="bullet"/>
      <w:lvlText w:val=""/>
      <w:lvlJc w:val="left"/>
      <w:pPr>
        <w:ind w:left="720" w:hanging="360"/>
      </w:pPr>
      <w:rPr>
        <w:rFonts w:ascii="Symbol" w:hAnsi="Symbol" w:hint="default"/>
      </w:rPr>
    </w:lvl>
  </w:abstractNum>
  <w:abstractNum w:abstractNumId="27" w15:restartNumberingAfterBreak="0">
    <w:nsid w:val="69EA04EF"/>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022FE5"/>
    <w:multiLevelType w:val="hybridMultilevel"/>
    <w:tmpl w:val="A73668F8"/>
    <w:lvl w:ilvl="0" w:tplc="8F76465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7291F"/>
    <w:multiLevelType w:val="hybridMultilevel"/>
    <w:tmpl w:val="606EC8F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7799F"/>
    <w:multiLevelType w:val="multilevel"/>
    <w:tmpl w:val="368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B402DE"/>
    <w:multiLevelType w:val="hybridMultilevel"/>
    <w:tmpl w:val="52EA2FAA"/>
    <w:lvl w:ilvl="0" w:tplc="FFFFFFFF">
      <w:start w:val="1"/>
      <w:numFmt w:val="bullet"/>
      <w:lvlText w:val=""/>
      <w:lvlJc w:val="left"/>
      <w:pPr>
        <w:ind w:left="360" w:hanging="360"/>
      </w:pPr>
      <w:rPr>
        <w:rFonts w:ascii="Symbol" w:hAnsi="Symbol" w:hint="default"/>
        <w:color w:val="03363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F53F2"/>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99254D"/>
    <w:multiLevelType w:val="hybridMultilevel"/>
    <w:tmpl w:val="6D48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721013"/>
    <w:multiLevelType w:val="singleLevel"/>
    <w:tmpl w:val="7694A19A"/>
    <w:lvl w:ilvl="0">
      <w:start w:val="1"/>
      <w:numFmt w:val="bullet"/>
      <w:lvlText w:val=""/>
      <w:lvlJc w:val="left"/>
      <w:pPr>
        <w:tabs>
          <w:tab w:val="num" w:pos="360"/>
        </w:tabs>
        <w:ind w:left="360" w:hanging="360"/>
      </w:pPr>
      <w:rPr>
        <w:rFonts w:ascii="Symbol" w:hAnsi="Symbol" w:hint="default"/>
      </w:rPr>
    </w:lvl>
  </w:abstractNum>
  <w:num w:numId="1" w16cid:durableId="157581051">
    <w:abstractNumId w:val="23"/>
  </w:num>
  <w:num w:numId="2" w16cid:durableId="528762181">
    <w:abstractNumId w:val="0"/>
  </w:num>
  <w:num w:numId="3" w16cid:durableId="1097212103">
    <w:abstractNumId w:val="13"/>
  </w:num>
  <w:num w:numId="4" w16cid:durableId="1504319644">
    <w:abstractNumId w:val="35"/>
  </w:num>
  <w:num w:numId="5" w16cid:durableId="1823959635">
    <w:abstractNumId w:val="19"/>
  </w:num>
  <w:num w:numId="6" w16cid:durableId="1449813617">
    <w:abstractNumId w:val="30"/>
  </w:num>
  <w:num w:numId="7" w16cid:durableId="1444181194">
    <w:abstractNumId w:val="2"/>
  </w:num>
  <w:num w:numId="8" w16cid:durableId="1610508824">
    <w:abstractNumId w:val="36"/>
  </w:num>
  <w:num w:numId="9" w16cid:durableId="682708934">
    <w:abstractNumId w:val="17"/>
  </w:num>
  <w:num w:numId="10" w16cid:durableId="84805772">
    <w:abstractNumId w:val="22"/>
  </w:num>
  <w:num w:numId="11" w16cid:durableId="1963536759">
    <w:abstractNumId w:val="27"/>
  </w:num>
  <w:num w:numId="12" w16cid:durableId="573974474">
    <w:abstractNumId w:val="33"/>
  </w:num>
  <w:num w:numId="13" w16cid:durableId="1233278209">
    <w:abstractNumId w:val="6"/>
  </w:num>
  <w:num w:numId="14" w16cid:durableId="673846570">
    <w:abstractNumId w:val="18"/>
  </w:num>
  <w:num w:numId="15" w16cid:durableId="989091953">
    <w:abstractNumId w:val="26"/>
  </w:num>
  <w:num w:numId="16" w16cid:durableId="287973239">
    <w:abstractNumId w:val="24"/>
  </w:num>
  <w:num w:numId="17" w16cid:durableId="2074354311">
    <w:abstractNumId w:val="16"/>
  </w:num>
  <w:num w:numId="18" w16cid:durableId="1485389833">
    <w:abstractNumId w:val="15"/>
  </w:num>
  <w:num w:numId="19" w16cid:durableId="2131589194">
    <w:abstractNumId w:val="8"/>
  </w:num>
  <w:num w:numId="20" w16cid:durableId="928345466">
    <w:abstractNumId w:val="14"/>
  </w:num>
  <w:num w:numId="21" w16cid:durableId="349264300">
    <w:abstractNumId w:val="5"/>
  </w:num>
  <w:num w:numId="22" w16cid:durableId="2137135410">
    <w:abstractNumId w:val="12"/>
  </w:num>
  <w:num w:numId="23" w16cid:durableId="1122916542">
    <w:abstractNumId w:val="4"/>
  </w:num>
  <w:num w:numId="24" w16cid:durableId="167720892">
    <w:abstractNumId w:val="28"/>
  </w:num>
  <w:num w:numId="25" w16cid:durableId="1307928551">
    <w:abstractNumId w:val="1"/>
  </w:num>
  <w:num w:numId="26" w16cid:durableId="1819497054">
    <w:abstractNumId w:val="9"/>
  </w:num>
  <w:num w:numId="27" w16cid:durableId="1164010425">
    <w:abstractNumId w:val="25"/>
  </w:num>
  <w:num w:numId="28" w16cid:durableId="259917939">
    <w:abstractNumId w:val="7"/>
  </w:num>
  <w:num w:numId="29" w16cid:durableId="224684057">
    <w:abstractNumId w:val="20"/>
  </w:num>
  <w:num w:numId="30" w16cid:durableId="612176723">
    <w:abstractNumId w:val="21"/>
  </w:num>
  <w:num w:numId="31" w16cid:durableId="1358581247">
    <w:abstractNumId w:val="34"/>
  </w:num>
  <w:num w:numId="32" w16cid:durableId="1721585672">
    <w:abstractNumId w:val="3"/>
  </w:num>
  <w:num w:numId="33" w16cid:durableId="1986205280">
    <w:abstractNumId w:val="10"/>
  </w:num>
  <w:num w:numId="34" w16cid:durableId="678896950">
    <w:abstractNumId w:val="11"/>
  </w:num>
  <w:num w:numId="35" w16cid:durableId="1264267683">
    <w:abstractNumId w:val="31"/>
  </w:num>
  <w:num w:numId="36" w16cid:durableId="1446189993">
    <w:abstractNumId w:val="29"/>
  </w:num>
  <w:num w:numId="37" w16cid:durableId="2030717545">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1C"/>
    <w:rsid w:val="00000C1B"/>
    <w:rsid w:val="00000D01"/>
    <w:rsid w:val="000012D7"/>
    <w:rsid w:val="00001EF2"/>
    <w:rsid w:val="00001F41"/>
    <w:rsid w:val="00002B3D"/>
    <w:rsid w:val="00003031"/>
    <w:rsid w:val="00003743"/>
    <w:rsid w:val="00003D9E"/>
    <w:rsid w:val="000047B4"/>
    <w:rsid w:val="00004A54"/>
    <w:rsid w:val="000053CE"/>
    <w:rsid w:val="00005712"/>
    <w:rsid w:val="000059E1"/>
    <w:rsid w:val="00006B00"/>
    <w:rsid w:val="00006EA0"/>
    <w:rsid w:val="000073A5"/>
    <w:rsid w:val="000074B0"/>
    <w:rsid w:val="00007E44"/>
    <w:rsid w:val="00007FD8"/>
    <w:rsid w:val="00010E3C"/>
    <w:rsid w:val="00010E95"/>
    <w:rsid w:val="000113BF"/>
    <w:rsid w:val="000117F8"/>
    <w:rsid w:val="00012E15"/>
    <w:rsid w:val="00015B33"/>
    <w:rsid w:val="00015D09"/>
    <w:rsid w:val="00017427"/>
    <w:rsid w:val="000201D4"/>
    <w:rsid w:val="0002124A"/>
    <w:rsid w:val="000216BB"/>
    <w:rsid w:val="000220E8"/>
    <w:rsid w:val="000228C5"/>
    <w:rsid w:val="000233F5"/>
    <w:rsid w:val="000236C3"/>
    <w:rsid w:val="00023863"/>
    <w:rsid w:val="00023E57"/>
    <w:rsid w:val="0002442C"/>
    <w:rsid w:val="0002489E"/>
    <w:rsid w:val="00024F10"/>
    <w:rsid w:val="00026139"/>
    <w:rsid w:val="00026534"/>
    <w:rsid w:val="0002689D"/>
    <w:rsid w:val="00027071"/>
    <w:rsid w:val="00027601"/>
    <w:rsid w:val="000300A5"/>
    <w:rsid w:val="00030286"/>
    <w:rsid w:val="00030322"/>
    <w:rsid w:val="00030357"/>
    <w:rsid w:val="00030886"/>
    <w:rsid w:val="00030915"/>
    <w:rsid w:val="00031558"/>
    <w:rsid w:val="000317A7"/>
    <w:rsid w:val="00033321"/>
    <w:rsid w:val="000338E5"/>
    <w:rsid w:val="00033ECC"/>
    <w:rsid w:val="0003422F"/>
    <w:rsid w:val="00035DC9"/>
    <w:rsid w:val="0003689C"/>
    <w:rsid w:val="00036904"/>
    <w:rsid w:val="00037EF1"/>
    <w:rsid w:val="00040227"/>
    <w:rsid w:val="00041612"/>
    <w:rsid w:val="000421AC"/>
    <w:rsid w:val="000422F5"/>
    <w:rsid w:val="000422FB"/>
    <w:rsid w:val="00043067"/>
    <w:rsid w:val="0004327B"/>
    <w:rsid w:val="000457E6"/>
    <w:rsid w:val="000458FB"/>
    <w:rsid w:val="000469A1"/>
    <w:rsid w:val="00046D22"/>
    <w:rsid w:val="00046FF0"/>
    <w:rsid w:val="00047A61"/>
    <w:rsid w:val="00047B37"/>
    <w:rsid w:val="00050176"/>
    <w:rsid w:val="000501BF"/>
    <w:rsid w:val="00050ABE"/>
    <w:rsid w:val="00051800"/>
    <w:rsid w:val="00051F0F"/>
    <w:rsid w:val="000526D9"/>
    <w:rsid w:val="0005408B"/>
    <w:rsid w:val="00054329"/>
    <w:rsid w:val="000545DD"/>
    <w:rsid w:val="000548D5"/>
    <w:rsid w:val="00055405"/>
    <w:rsid w:val="00055B29"/>
    <w:rsid w:val="00055B64"/>
    <w:rsid w:val="00055BF2"/>
    <w:rsid w:val="0005611A"/>
    <w:rsid w:val="00056B72"/>
    <w:rsid w:val="000609D0"/>
    <w:rsid w:val="000610D9"/>
    <w:rsid w:val="000610E9"/>
    <w:rsid w:val="0006139B"/>
    <w:rsid w:val="00061CCD"/>
    <w:rsid w:val="00061E04"/>
    <w:rsid w:val="0006232C"/>
    <w:rsid w:val="000625A4"/>
    <w:rsid w:val="00062636"/>
    <w:rsid w:val="00062B65"/>
    <w:rsid w:val="00063595"/>
    <w:rsid w:val="0006469F"/>
    <w:rsid w:val="00064B00"/>
    <w:rsid w:val="00064B61"/>
    <w:rsid w:val="000659AE"/>
    <w:rsid w:val="00066906"/>
    <w:rsid w:val="00066942"/>
    <w:rsid w:val="0006695B"/>
    <w:rsid w:val="00066A2A"/>
    <w:rsid w:val="00066E4E"/>
    <w:rsid w:val="00067456"/>
    <w:rsid w:val="00071506"/>
    <w:rsid w:val="0007154F"/>
    <w:rsid w:val="00071E4B"/>
    <w:rsid w:val="00073156"/>
    <w:rsid w:val="000733CB"/>
    <w:rsid w:val="00074A49"/>
    <w:rsid w:val="00075C02"/>
    <w:rsid w:val="00075DDA"/>
    <w:rsid w:val="000762C5"/>
    <w:rsid w:val="00076A91"/>
    <w:rsid w:val="00076E9C"/>
    <w:rsid w:val="00076EA6"/>
    <w:rsid w:val="000778E7"/>
    <w:rsid w:val="00077B1C"/>
    <w:rsid w:val="000810FE"/>
    <w:rsid w:val="00081192"/>
    <w:rsid w:val="00081697"/>
    <w:rsid w:val="00081971"/>
    <w:rsid w:val="00081A61"/>
    <w:rsid w:val="00081AB1"/>
    <w:rsid w:val="0008256A"/>
    <w:rsid w:val="0008378E"/>
    <w:rsid w:val="000838E4"/>
    <w:rsid w:val="00083B49"/>
    <w:rsid w:val="00083DF3"/>
    <w:rsid w:val="00083EF9"/>
    <w:rsid w:val="00084530"/>
    <w:rsid w:val="00086BF7"/>
    <w:rsid w:val="00087821"/>
    <w:rsid w:val="00087E59"/>
    <w:rsid w:val="00090008"/>
    <w:rsid w:val="00090316"/>
    <w:rsid w:val="0009037B"/>
    <w:rsid w:val="00090529"/>
    <w:rsid w:val="000921BF"/>
    <w:rsid w:val="00093981"/>
    <w:rsid w:val="00093CD9"/>
    <w:rsid w:val="00095076"/>
    <w:rsid w:val="00095295"/>
    <w:rsid w:val="00095A02"/>
    <w:rsid w:val="00095D22"/>
    <w:rsid w:val="000960C1"/>
    <w:rsid w:val="0009642B"/>
    <w:rsid w:val="00096DB9"/>
    <w:rsid w:val="000A0797"/>
    <w:rsid w:val="000A1C65"/>
    <w:rsid w:val="000A4681"/>
    <w:rsid w:val="000A53F8"/>
    <w:rsid w:val="000A6C9C"/>
    <w:rsid w:val="000A748F"/>
    <w:rsid w:val="000A7B2E"/>
    <w:rsid w:val="000B0609"/>
    <w:rsid w:val="000B067A"/>
    <w:rsid w:val="000B094E"/>
    <w:rsid w:val="000B10D3"/>
    <w:rsid w:val="000B1540"/>
    <w:rsid w:val="000B1EF9"/>
    <w:rsid w:val="000B1FDB"/>
    <w:rsid w:val="000B2178"/>
    <w:rsid w:val="000B319A"/>
    <w:rsid w:val="000B33FD"/>
    <w:rsid w:val="000B402F"/>
    <w:rsid w:val="000B4052"/>
    <w:rsid w:val="000B4ABA"/>
    <w:rsid w:val="000B5599"/>
    <w:rsid w:val="000B75F5"/>
    <w:rsid w:val="000C12E8"/>
    <w:rsid w:val="000C1644"/>
    <w:rsid w:val="000C1D9F"/>
    <w:rsid w:val="000C4A74"/>
    <w:rsid w:val="000C4B16"/>
    <w:rsid w:val="000C50C3"/>
    <w:rsid w:val="000C5496"/>
    <w:rsid w:val="000C5864"/>
    <w:rsid w:val="000C64CE"/>
    <w:rsid w:val="000C6C06"/>
    <w:rsid w:val="000C7917"/>
    <w:rsid w:val="000C7974"/>
    <w:rsid w:val="000D0C15"/>
    <w:rsid w:val="000D164A"/>
    <w:rsid w:val="000D19AB"/>
    <w:rsid w:val="000D21F6"/>
    <w:rsid w:val="000D348D"/>
    <w:rsid w:val="000D3AF4"/>
    <w:rsid w:val="000D3C06"/>
    <w:rsid w:val="000D3CB6"/>
    <w:rsid w:val="000D42C3"/>
    <w:rsid w:val="000D4500"/>
    <w:rsid w:val="000D458C"/>
    <w:rsid w:val="000D4D63"/>
    <w:rsid w:val="000D580F"/>
    <w:rsid w:val="000D6281"/>
    <w:rsid w:val="000D68B9"/>
    <w:rsid w:val="000D6F0F"/>
    <w:rsid w:val="000D7415"/>
    <w:rsid w:val="000D7975"/>
    <w:rsid w:val="000D7AEA"/>
    <w:rsid w:val="000D7B0B"/>
    <w:rsid w:val="000E01A9"/>
    <w:rsid w:val="000E02EA"/>
    <w:rsid w:val="000E05D7"/>
    <w:rsid w:val="000E0AED"/>
    <w:rsid w:val="000E29FB"/>
    <w:rsid w:val="000E2C66"/>
    <w:rsid w:val="000E2E3E"/>
    <w:rsid w:val="000E38DD"/>
    <w:rsid w:val="000E3BA5"/>
    <w:rsid w:val="000E4302"/>
    <w:rsid w:val="000E4A41"/>
    <w:rsid w:val="000E50F3"/>
    <w:rsid w:val="000E56C4"/>
    <w:rsid w:val="000E5AEC"/>
    <w:rsid w:val="000E5E42"/>
    <w:rsid w:val="000E65E8"/>
    <w:rsid w:val="000E6B59"/>
    <w:rsid w:val="000E6CEE"/>
    <w:rsid w:val="000E6E7D"/>
    <w:rsid w:val="000E719A"/>
    <w:rsid w:val="000F0465"/>
    <w:rsid w:val="000F123C"/>
    <w:rsid w:val="000F1D6A"/>
    <w:rsid w:val="000F2711"/>
    <w:rsid w:val="000F2DE7"/>
    <w:rsid w:val="000F2FED"/>
    <w:rsid w:val="000F3648"/>
    <w:rsid w:val="000F3FE2"/>
    <w:rsid w:val="000F4933"/>
    <w:rsid w:val="000F4AC7"/>
    <w:rsid w:val="000F4E74"/>
    <w:rsid w:val="000F5C04"/>
    <w:rsid w:val="000F6784"/>
    <w:rsid w:val="000F723F"/>
    <w:rsid w:val="0010073F"/>
    <w:rsid w:val="001015C8"/>
    <w:rsid w:val="0010381E"/>
    <w:rsid w:val="00104978"/>
    <w:rsid w:val="00104B6B"/>
    <w:rsid w:val="0010610A"/>
    <w:rsid w:val="0010616D"/>
    <w:rsid w:val="001064D2"/>
    <w:rsid w:val="00106B99"/>
    <w:rsid w:val="001070E0"/>
    <w:rsid w:val="00107640"/>
    <w:rsid w:val="001077CE"/>
    <w:rsid w:val="00107F08"/>
    <w:rsid w:val="00110478"/>
    <w:rsid w:val="001108C0"/>
    <w:rsid w:val="00111BB0"/>
    <w:rsid w:val="00112249"/>
    <w:rsid w:val="00113115"/>
    <w:rsid w:val="00114931"/>
    <w:rsid w:val="001164C8"/>
    <w:rsid w:val="0011711B"/>
    <w:rsid w:val="00117123"/>
    <w:rsid w:val="0011735D"/>
    <w:rsid w:val="00117459"/>
    <w:rsid w:val="001175E6"/>
    <w:rsid w:val="00117F8A"/>
    <w:rsid w:val="0012156B"/>
    <w:rsid w:val="001215F8"/>
    <w:rsid w:val="0012193B"/>
    <w:rsid w:val="00121B9B"/>
    <w:rsid w:val="001225C8"/>
    <w:rsid w:val="00122914"/>
    <w:rsid w:val="00122ADC"/>
    <w:rsid w:val="00123DE6"/>
    <w:rsid w:val="00124862"/>
    <w:rsid w:val="00124BBA"/>
    <w:rsid w:val="00125364"/>
    <w:rsid w:val="0012631C"/>
    <w:rsid w:val="00126C9F"/>
    <w:rsid w:val="001272CD"/>
    <w:rsid w:val="00127849"/>
    <w:rsid w:val="00130F59"/>
    <w:rsid w:val="001317DB"/>
    <w:rsid w:val="00131F47"/>
    <w:rsid w:val="00131F9E"/>
    <w:rsid w:val="001321F0"/>
    <w:rsid w:val="00133DBB"/>
    <w:rsid w:val="00133EC0"/>
    <w:rsid w:val="0013473D"/>
    <w:rsid w:val="00134AF9"/>
    <w:rsid w:val="00134B61"/>
    <w:rsid w:val="001352DA"/>
    <w:rsid w:val="00135EF9"/>
    <w:rsid w:val="00137CEA"/>
    <w:rsid w:val="001406B2"/>
    <w:rsid w:val="00141071"/>
    <w:rsid w:val="00141ABD"/>
    <w:rsid w:val="00141CE5"/>
    <w:rsid w:val="00141DB4"/>
    <w:rsid w:val="00144908"/>
    <w:rsid w:val="001450A5"/>
    <w:rsid w:val="00145B34"/>
    <w:rsid w:val="00146358"/>
    <w:rsid w:val="0014667D"/>
    <w:rsid w:val="00146FDE"/>
    <w:rsid w:val="001470D9"/>
    <w:rsid w:val="00147D75"/>
    <w:rsid w:val="00147EAD"/>
    <w:rsid w:val="00150303"/>
    <w:rsid w:val="001504DF"/>
    <w:rsid w:val="00150E7E"/>
    <w:rsid w:val="00151184"/>
    <w:rsid w:val="00151869"/>
    <w:rsid w:val="00151E90"/>
    <w:rsid w:val="00151F50"/>
    <w:rsid w:val="00153734"/>
    <w:rsid w:val="0015412D"/>
    <w:rsid w:val="00155150"/>
    <w:rsid w:val="00155669"/>
    <w:rsid w:val="0015660F"/>
    <w:rsid w:val="001571C7"/>
    <w:rsid w:val="00160B55"/>
    <w:rsid w:val="00161094"/>
    <w:rsid w:val="00161DC0"/>
    <w:rsid w:val="001638C1"/>
    <w:rsid w:val="00163DF1"/>
    <w:rsid w:val="00163F60"/>
    <w:rsid w:val="0016525F"/>
    <w:rsid w:val="0016571D"/>
    <w:rsid w:val="001658C0"/>
    <w:rsid w:val="00165CF8"/>
    <w:rsid w:val="00165DE3"/>
    <w:rsid w:val="00165EBF"/>
    <w:rsid w:val="001668A4"/>
    <w:rsid w:val="001668A7"/>
    <w:rsid w:val="00166974"/>
    <w:rsid w:val="00167613"/>
    <w:rsid w:val="001676B1"/>
    <w:rsid w:val="00167BB3"/>
    <w:rsid w:val="00167E7F"/>
    <w:rsid w:val="00170680"/>
    <w:rsid w:val="00170B4E"/>
    <w:rsid w:val="00170CB5"/>
    <w:rsid w:val="00170E13"/>
    <w:rsid w:val="001711E4"/>
    <w:rsid w:val="00171B73"/>
    <w:rsid w:val="0017227E"/>
    <w:rsid w:val="00172A55"/>
    <w:rsid w:val="00173798"/>
    <w:rsid w:val="00174B12"/>
    <w:rsid w:val="001758CD"/>
    <w:rsid w:val="00175D30"/>
    <w:rsid w:val="0017665C"/>
    <w:rsid w:val="00176814"/>
    <w:rsid w:val="00177236"/>
    <w:rsid w:val="00177AD2"/>
    <w:rsid w:val="00177E11"/>
    <w:rsid w:val="00180228"/>
    <w:rsid w:val="00180249"/>
    <w:rsid w:val="001805FA"/>
    <w:rsid w:val="001813B5"/>
    <w:rsid w:val="0018156A"/>
    <w:rsid w:val="001815A8"/>
    <w:rsid w:val="00181851"/>
    <w:rsid w:val="00181A48"/>
    <w:rsid w:val="00182332"/>
    <w:rsid w:val="001824EB"/>
    <w:rsid w:val="00182966"/>
    <w:rsid w:val="00182B05"/>
    <w:rsid w:val="001838F6"/>
    <w:rsid w:val="001840FA"/>
    <w:rsid w:val="00184181"/>
    <w:rsid w:val="001846DD"/>
    <w:rsid w:val="001851E4"/>
    <w:rsid w:val="00185256"/>
    <w:rsid w:val="00185391"/>
    <w:rsid w:val="001856B9"/>
    <w:rsid w:val="00185D3C"/>
    <w:rsid w:val="00185FDA"/>
    <w:rsid w:val="0018629E"/>
    <w:rsid w:val="00186F79"/>
    <w:rsid w:val="00187244"/>
    <w:rsid w:val="0018758A"/>
    <w:rsid w:val="001875CB"/>
    <w:rsid w:val="00190079"/>
    <w:rsid w:val="001911F0"/>
    <w:rsid w:val="00191706"/>
    <w:rsid w:val="001918C1"/>
    <w:rsid w:val="001918F6"/>
    <w:rsid w:val="00192080"/>
    <w:rsid w:val="00192608"/>
    <w:rsid w:val="00192A0D"/>
    <w:rsid w:val="0019622E"/>
    <w:rsid w:val="001966A7"/>
    <w:rsid w:val="001968F1"/>
    <w:rsid w:val="0019757C"/>
    <w:rsid w:val="00197872"/>
    <w:rsid w:val="001A02FB"/>
    <w:rsid w:val="001A0453"/>
    <w:rsid w:val="001A113A"/>
    <w:rsid w:val="001A3432"/>
    <w:rsid w:val="001A3C2F"/>
    <w:rsid w:val="001A3CE1"/>
    <w:rsid w:val="001A4458"/>
    <w:rsid w:val="001A4627"/>
    <w:rsid w:val="001A485F"/>
    <w:rsid w:val="001A4979"/>
    <w:rsid w:val="001A4CFD"/>
    <w:rsid w:val="001A5BAE"/>
    <w:rsid w:val="001A5CB1"/>
    <w:rsid w:val="001A5F1E"/>
    <w:rsid w:val="001A64C4"/>
    <w:rsid w:val="001A65D0"/>
    <w:rsid w:val="001A7001"/>
    <w:rsid w:val="001A7149"/>
    <w:rsid w:val="001A74F0"/>
    <w:rsid w:val="001A771F"/>
    <w:rsid w:val="001A7A5A"/>
    <w:rsid w:val="001B0939"/>
    <w:rsid w:val="001B15D3"/>
    <w:rsid w:val="001B18D4"/>
    <w:rsid w:val="001B22A5"/>
    <w:rsid w:val="001B25B7"/>
    <w:rsid w:val="001B2714"/>
    <w:rsid w:val="001B3443"/>
    <w:rsid w:val="001B5856"/>
    <w:rsid w:val="001B5DB9"/>
    <w:rsid w:val="001B5FD9"/>
    <w:rsid w:val="001B778B"/>
    <w:rsid w:val="001C0326"/>
    <w:rsid w:val="001C192F"/>
    <w:rsid w:val="001C1CEC"/>
    <w:rsid w:val="001C1DF1"/>
    <w:rsid w:val="001C230D"/>
    <w:rsid w:val="001C2F5E"/>
    <w:rsid w:val="001C35B4"/>
    <w:rsid w:val="001C3C42"/>
    <w:rsid w:val="001C46F0"/>
    <w:rsid w:val="001C49DF"/>
    <w:rsid w:val="001C593F"/>
    <w:rsid w:val="001C6024"/>
    <w:rsid w:val="001C6B27"/>
    <w:rsid w:val="001C6B5A"/>
    <w:rsid w:val="001C6DF5"/>
    <w:rsid w:val="001C6E6A"/>
    <w:rsid w:val="001C72DB"/>
    <w:rsid w:val="001C763D"/>
    <w:rsid w:val="001C7C34"/>
    <w:rsid w:val="001D05F2"/>
    <w:rsid w:val="001D0D6A"/>
    <w:rsid w:val="001D0E8A"/>
    <w:rsid w:val="001D10BE"/>
    <w:rsid w:val="001D124E"/>
    <w:rsid w:val="001D18EE"/>
    <w:rsid w:val="001D241A"/>
    <w:rsid w:val="001D3596"/>
    <w:rsid w:val="001D3AF4"/>
    <w:rsid w:val="001D4681"/>
    <w:rsid w:val="001D4A4F"/>
    <w:rsid w:val="001D5114"/>
    <w:rsid w:val="001D5DBC"/>
    <w:rsid w:val="001D5DCB"/>
    <w:rsid w:val="001D5F0A"/>
    <w:rsid w:val="001D6631"/>
    <w:rsid w:val="001D694A"/>
    <w:rsid w:val="001D6AF5"/>
    <w:rsid w:val="001D7869"/>
    <w:rsid w:val="001D791C"/>
    <w:rsid w:val="001D7921"/>
    <w:rsid w:val="001D7FBA"/>
    <w:rsid w:val="001E059D"/>
    <w:rsid w:val="001E0FD0"/>
    <w:rsid w:val="001E1716"/>
    <w:rsid w:val="001E209A"/>
    <w:rsid w:val="001E2DCF"/>
    <w:rsid w:val="001E49A5"/>
    <w:rsid w:val="001E5C9E"/>
    <w:rsid w:val="001E6339"/>
    <w:rsid w:val="001E6D46"/>
    <w:rsid w:val="001E6F8B"/>
    <w:rsid w:val="001E7397"/>
    <w:rsid w:val="001E7927"/>
    <w:rsid w:val="001E7CB6"/>
    <w:rsid w:val="001F1AC7"/>
    <w:rsid w:val="001F2069"/>
    <w:rsid w:val="001F2F78"/>
    <w:rsid w:val="001F3CAC"/>
    <w:rsid w:val="001F4C8C"/>
    <w:rsid w:val="001F6658"/>
    <w:rsid w:val="001F76A3"/>
    <w:rsid w:val="002001AD"/>
    <w:rsid w:val="00200D91"/>
    <w:rsid w:val="00200E90"/>
    <w:rsid w:val="00201449"/>
    <w:rsid w:val="00201C49"/>
    <w:rsid w:val="00201EA9"/>
    <w:rsid w:val="00201EE7"/>
    <w:rsid w:val="002023FD"/>
    <w:rsid w:val="002026CD"/>
    <w:rsid w:val="00202775"/>
    <w:rsid w:val="002033FC"/>
    <w:rsid w:val="0020366F"/>
    <w:rsid w:val="002044BB"/>
    <w:rsid w:val="00204C36"/>
    <w:rsid w:val="00205790"/>
    <w:rsid w:val="00206EAA"/>
    <w:rsid w:val="0020720C"/>
    <w:rsid w:val="0020739B"/>
    <w:rsid w:val="002075C1"/>
    <w:rsid w:val="002076E6"/>
    <w:rsid w:val="002100C0"/>
    <w:rsid w:val="00210B09"/>
    <w:rsid w:val="00210B8A"/>
    <w:rsid w:val="00210C9E"/>
    <w:rsid w:val="002110A2"/>
    <w:rsid w:val="00211840"/>
    <w:rsid w:val="00211F46"/>
    <w:rsid w:val="00212D5B"/>
    <w:rsid w:val="00212F3C"/>
    <w:rsid w:val="0021471B"/>
    <w:rsid w:val="00214FF5"/>
    <w:rsid w:val="002151F5"/>
    <w:rsid w:val="002204BC"/>
    <w:rsid w:val="00220E5F"/>
    <w:rsid w:val="00221027"/>
    <w:rsid w:val="002212A4"/>
    <w:rsid w:val="002212B5"/>
    <w:rsid w:val="002213E3"/>
    <w:rsid w:val="0022177F"/>
    <w:rsid w:val="00223483"/>
    <w:rsid w:val="00223C57"/>
    <w:rsid w:val="00224F0C"/>
    <w:rsid w:val="002253C7"/>
    <w:rsid w:val="00225690"/>
    <w:rsid w:val="00226668"/>
    <w:rsid w:val="002268EF"/>
    <w:rsid w:val="00226CC3"/>
    <w:rsid w:val="00227C62"/>
    <w:rsid w:val="0023171D"/>
    <w:rsid w:val="002323F0"/>
    <w:rsid w:val="0023270A"/>
    <w:rsid w:val="00232A4D"/>
    <w:rsid w:val="00232CC8"/>
    <w:rsid w:val="00232E5F"/>
    <w:rsid w:val="00232E9A"/>
    <w:rsid w:val="00233114"/>
    <w:rsid w:val="00233750"/>
    <w:rsid w:val="002337E9"/>
    <w:rsid w:val="00233809"/>
    <w:rsid w:val="002344A4"/>
    <w:rsid w:val="002346B3"/>
    <w:rsid w:val="002350E2"/>
    <w:rsid w:val="002351E9"/>
    <w:rsid w:val="00235878"/>
    <w:rsid w:val="00236712"/>
    <w:rsid w:val="00237B17"/>
    <w:rsid w:val="00237EE1"/>
    <w:rsid w:val="00240046"/>
    <w:rsid w:val="00240D7A"/>
    <w:rsid w:val="002410AF"/>
    <w:rsid w:val="00241B71"/>
    <w:rsid w:val="00241E24"/>
    <w:rsid w:val="00241E35"/>
    <w:rsid w:val="0024224E"/>
    <w:rsid w:val="00242519"/>
    <w:rsid w:val="002427EB"/>
    <w:rsid w:val="00242A3B"/>
    <w:rsid w:val="00242B59"/>
    <w:rsid w:val="00242D28"/>
    <w:rsid w:val="002435D3"/>
    <w:rsid w:val="00243D3F"/>
    <w:rsid w:val="002451CB"/>
    <w:rsid w:val="00245527"/>
    <w:rsid w:val="002455D0"/>
    <w:rsid w:val="00245A75"/>
    <w:rsid w:val="00245BB3"/>
    <w:rsid w:val="00246376"/>
    <w:rsid w:val="0024646E"/>
    <w:rsid w:val="002465E0"/>
    <w:rsid w:val="00247327"/>
    <w:rsid w:val="0024797F"/>
    <w:rsid w:val="00247999"/>
    <w:rsid w:val="002502D0"/>
    <w:rsid w:val="002504A0"/>
    <w:rsid w:val="0025083C"/>
    <w:rsid w:val="00250AC1"/>
    <w:rsid w:val="0025119E"/>
    <w:rsid w:val="00251269"/>
    <w:rsid w:val="0025129E"/>
    <w:rsid w:val="00251FF6"/>
    <w:rsid w:val="00252607"/>
    <w:rsid w:val="002528D7"/>
    <w:rsid w:val="00253322"/>
    <w:rsid w:val="002535C0"/>
    <w:rsid w:val="00253FE1"/>
    <w:rsid w:val="002548C9"/>
    <w:rsid w:val="0025620E"/>
    <w:rsid w:val="0025694E"/>
    <w:rsid w:val="00257103"/>
    <w:rsid w:val="002574E3"/>
    <w:rsid w:val="002579FE"/>
    <w:rsid w:val="0026093B"/>
    <w:rsid w:val="0026146E"/>
    <w:rsid w:val="002617B5"/>
    <w:rsid w:val="002619B1"/>
    <w:rsid w:val="00261A80"/>
    <w:rsid w:val="00261F70"/>
    <w:rsid w:val="00261FEA"/>
    <w:rsid w:val="00262F90"/>
    <w:rsid w:val="0026311C"/>
    <w:rsid w:val="00263A3F"/>
    <w:rsid w:val="002642C3"/>
    <w:rsid w:val="002642CF"/>
    <w:rsid w:val="002649B1"/>
    <w:rsid w:val="0026515B"/>
    <w:rsid w:val="002653D7"/>
    <w:rsid w:val="00266143"/>
    <w:rsid w:val="0026668C"/>
    <w:rsid w:val="00266AC1"/>
    <w:rsid w:val="00270A6C"/>
    <w:rsid w:val="0027178C"/>
    <w:rsid w:val="002719E1"/>
    <w:rsid w:val="002719FA"/>
    <w:rsid w:val="00272668"/>
    <w:rsid w:val="002727AD"/>
    <w:rsid w:val="0027330B"/>
    <w:rsid w:val="002733E9"/>
    <w:rsid w:val="00273674"/>
    <w:rsid w:val="00273E96"/>
    <w:rsid w:val="002744EA"/>
    <w:rsid w:val="00274917"/>
    <w:rsid w:val="002752FC"/>
    <w:rsid w:val="002774D1"/>
    <w:rsid w:val="00277735"/>
    <w:rsid w:val="002803AD"/>
    <w:rsid w:val="002816F1"/>
    <w:rsid w:val="00281F5F"/>
    <w:rsid w:val="00282052"/>
    <w:rsid w:val="00282669"/>
    <w:rsid w:val="00282F86"/>
    <w:rsid w:val="0028381D"/>
    <w:rsid w:val="002838D7"/>
    <w:rsid w:val="002844FF"/>
    <w:rsid w:val="0028466A"/>
    <w:rsid w:val="00284CA4"/>
    <w:rsid w:val="00284E86"/>
    <w:rsid w:val="00285009"/>
    <w:rsid w:val="0028519E"/>
    <w:rsid w:val="002856A5"/>
    <w:rsid w:val="00285D56"/>
    <w:rsid w:val="0028644B"/>
    <w:rsid w:val="002872ED"/>
    <w:rsid w:val="00287349"/>
    <w:rsid w:val="00287C0F"/>
    <w:rsid w:val="00287F86"/>
    <w:rsid w:val="00290371"/>
    <w:rsid w:val="002905C2"/>
    <w:rsid w:val="002911F2"/>
    <w:rsid w:val="00291848"/>
    <w:rsid w:val="00292BE5"/>
    <w:rsid w:val="0029342D"/>
    <w:rsid w:val="00294D97"/>
    <w:rsid w:val="00294E92"/>
    <w:rsid w:val="002959FF"/>
    <w:rsid w:val="00295AF2"/>
    <w:rsid w:val="00295C91"/>
    <w:rsid w:val="002962CB"/>
    <w:rsid w:val="0029651C"/>
    <w:rsid w:val="00296A27"/>
    <w:rsid w:val="00297151"/>
    <w:rsid w:val="002976D0"/>
    <w:rsid w:val="002A0088"/>
    <w:rsid w:val="002A04DD"/>
    <w:rsid w:val="002A0522"/>
    <w:rsid w:val="002A05DB"/>
    <w:rsid w:val="002A0910"/>
    <w:rsid w:val="002A16F0"/>
    <w:rsid w:val="002A19A2"/>
    <w:rsid w:val="002A2922"/>
    <w:rsid w:val="002A350F"/>
    <w:rsid w:val="002A3DBC"/>
    <w:rsid w:val="002A3EB6"/>
    <w:rsid w:val="002A5179"/>
    <w:rsid w:val="002A6E2B"/>
    <w:rsid w:val="002A70DA"/>
    <w:rsid w:val="002A747B"/>
    <w:rsid w:val="002A7B13"/>
    <w:rsid w:val="002B0A1E"/>
    <w:rsid w:val="002B0EBA"/>
    <w:rsid w:val="002B20E6"/>
    <w:rsid w:val="002B2A83"/>
    <w:rsid w:val="002B2F98"/>
    <w:rsid w:val="002B3250"/>
    <w:rsid w:val="002B3765"/>
    <w:rsid w:val="002B3D8F"/>
    <w:rsid w:val="002B42A3"/>
    <w:rsid w:val="002B435A"/>
    <w:rsid w:val="002B5456"/>
    <w:rsid w:val="002B5709"/>
    <w:rsid w:val="002B692A"/>
    <w:rsid w:val="002C0217"/>
    <w:rsid w:val="002C0BC9"/>
    <w:rsid w:val="002C0CDD"/>
    <w:rsid w:val="002C0DEC"/>
    <w:rsid w:val="002C1654"/>
    <w:rsid w:val="002C2164"/>
    <w:rsid w:val="002C2800"/>
    <w:rsid w:val="002C2866"/>
    <w:rsid w:val="002C2BE3"/>
    <w:rsid w:val="002C3936"/>
    <w:rsid w:val="002C4367"/>
    <w:rsid w:val="002C46A7"/>
    <w:rsid w:val="002C5DD7"/>
    <w:rsid w:val="002C6B26"/>
    <w:rsid w:val="002C7CD2"/>
    <w:rsid w:val="002D01FE"/>
    <w:rsid w:val="002D142C"/>
    <w:rsid w:val="002D1BC3"/>
    <w:rsid w:val="002D287A"/>
    <w:rsid w:val="002D2CCB"/>
    <w:rsid w:val="002D3181"/>
    <w:rsid w:val="002D5389"/>
    <w:rsid w:val="002D7FA8"/>
    <w:rsid w:val="002E03E2"/>
    <w:rsid w:val="002E0C94"/>
    <w:rsid w:val="002E172C"/>
    <w:rsid w:val="002E1A1D"/>
    <w:rsid w:val="002E2467"/>
    <w:rsid w:val="002E26E3"/>
    <w:rsid w:val="002E3237"/>
    <w:rsid w:val="002E4081"/>
    <w:rsid w:val="002E46F1"/>
    <w:rsid w:val="002E4D51"/>
    <w:rsid w:val="002E5B55"/>
    <w:rsid w:val="002E5B78"/>
    <w:rsid w:val="002E6F4D"/>
    <w:rsid w:val="002F0382"/>
    <w:rsid w:val="002F0F25"/>
    <w:rsid w:val="002F12E2"/>
    <w:rsid w:val="002F16A6"/>
    <w:rsid w:val="002F2154"/>
    <w:rsid w:val="002F256C"/>
    <w:rsid w:val="002F3AE3"/>
    <w:rsid w:val="002F3CB9"/>
    <w:rsid w:val="002F3F04"/>
    <w:rsid w:val="002F484B"/>
    <w:rsid w:val="002F5035"/>
    <w:rsid w:val="002F69E6"/>
    <w:rsid w:val="00301217"/>
    <w:rsid w:val="00302450"/>
    <w:rsid w:val="00302789"/>
    <w:rsid w:val="0030306B"/>
    <w:rsid w:val="00303A77"/>
    <w:rsid w:val="00303E45"/>
    <w:rsid w:val="003041BB"/>
    <w:rsid w:val="0030464B"/>
    <w:rsid w:val="00304942"/>
    <w:rsid w:val="003057A8"/>
    <w:rsid w:val="003057A9"/>
    <w:rsid w:val="00305C3A"/>
    <w:rsid w:val="003060B8"/>
    <w:rsid w:val="00306452"/>
    <w:rsid w:val="00306A24"/>
    <w:rsid w:val="00306DA3"/>
    <w:rsid w:val="0030762A"/>
    <w:rsid w:val="00307662"/>
    <w:rsid w:val="0030786C"/>
    <w:rsid w:val="0030792F"/>
    <w:rsid w:val="00307DC7"/>
    <w:rsid w:val="0031051B"/>
    <w:rsid w:val="00310BCA"/>
    <w:rsid w:val="003110B7"/>
    <w:rsid w:val="0031119B"/>
    <w:rsid w:val="00311D70"/>
    <w:rsid w:val="00312B99"/>
    <w:rsid w:val="00313050"/>
    <w:rsid w:val="00313545"/>
    <w:rsid w:val="0031368C"/>
    <w:rsid w:val="003144D7"/>
    <w:rsid w:val="003157F0"/>
    <w:rsid w:val="0031593E"/>
    <w:rsid w:val="0031639E"/>
    <w:rsid w:val="003170D2"/>
    <w:rsid w:val="00317210"/>
    <w:rsid w:val="0031731E"/>
    <w:rsid w:val="00317927"/>
    <w:rsid w:val="003204E0"/>
    <w:rsid w:val="00321497"/>
    <w:rsid w:val="003217B4"/>
    <w:rsid w:val="00322B30"/>
    <w:rsid w:val="003233DE"/>
    <w:rsid w:val="003243D7"/>
    <w:rsid w:val="0032466B"/>
    <w:rsid w:val="00324DE2"/>
    <w:rsid w:val="003257A8"/>
    <w:rsid w:val="003257B8"/>
    <w:rsid w:val="00325D2A"/>
    <w:rsid w:val="00325D8B"/>
    <w:rsid w:val="00326251"/>
    <w:rsid w:val="003264C8"/>
    <w:rsid w:val="00327B44"/>
    <w:rsid w:val="00327D33"/>
    <w:rsid w:val="003306EA"/>
    <w:rsid w:val="00330C34"/>
    <w:rsid w:val="00330D5F"/>
    <w:rsid w:val="00331684"/>
    <w:rsid w:val="00331C87"/>
    <w:rsid w:val="00332A52"/>
    <w:rsid w:val="003330EB"/>
    <w:rsid w:val="003339CE"/>
    <w:rsid w:val="00333A95"/>
    <w:rsid w:val="0033412D"/>
    <w:rsid w:val="003341AF"/>
    <w:rsid w:val="0033494C"/>
    <w:rsid w:val="00334B07"/>
    <w:rsid w:val="00336605"/>
    <w:rsid w:val="00336616"/>
    <w:rsid w:val="00336AD6"/>
    <w:rsid w:val="00337837"/>
    <w:rsid w:val="00337C35"/>
    <w:rsid w:val="00340CB2"/>
    <w:rsid w:val="003412A6"/>
    <w:rsid w:val="003415FD"/>
    <w:rsid w:val="003429F0"/>
    <w:rsid w:val="00342ECC"/>
    <w:rsid w:val="0034360D"/>
    <w:rsid w:val="00343A04"/>
    <w:rsid w:val="003448CF"/>
    <w:rsid w:val="00345AD0"/>
    <w:rsid w:val="00346B20"/>
    <w:rsid w:val="00346C48"/>
    <w:rsid w:val="00346DF3"/>
    <w:rsid w:val="00347337"/>
    <w:rsid w:val="003479F8"/>
    <w:rsid w:val="00350696"/>
    <w:rsid w:val="0035097A"/>
    <w:rsid w:val="00350DFF"/>
    <w:rsid w:val="003529A9"/>
    <w:rsid w:val="003540A4"/>
    <w:rsid w:val="00354AD4"/>
    <w:rsid w:val="00355006"/>
    <w:rsid w:val="00355436"/>
    <w:rsid w:val="00357DAD"/>
    <w:rsid w:val="0036008A"/>
    <w:rsid w:val="003608F9"/>
    <w:rsid w:val="00360E4E"/>
    <w:rsid w:val="00360F13"/>
    <w:rsid w:val="00361868"/>
    <w:rsid w:val="00361BCB"/>
    <w:rsid w:val="00361F49"/>
    <w:rsid w:val="0036228B"/>
    <w:rsid w:val="00362DB9"/>
    <w:rsid w:val="003633C8"/>
    <w:rsid w:val="00364115"/>
    <w:rsid w:val="003656D7"/>
    <w:rsid w:val="003656EA"/>
    <w:rsid w:val="00365896"/>
    <w:rsid w:val="00365D44"/>
    <w:rsid w:val="00367665"/>
    <w:rsid w:val="00370AAA"/>
    <w:rsid w:val="00372B83"/>
    <w:rsid w:val="003748AD"/>
    <w:rsid w:val="0037561C"/>
    <w:rsid w:val="003758B4"/>
    <w:rsid w:val="00375F77"/>
    <w:rsid w:val="00376C67"/>
    <w:rsid w:val="00377376"/>
    <w:rsid w:val="0037757F"/>
    <w:rsid w:val="00377A78"/>
    <w:rsid w:val="00377C9C"/>
    <w:rsid w:val="003800C5"/>
    <w:rsid w:val="00380115"/>
    <w:rsid w:val="00380171"/>
    <w:rsid w:val="00381479"/>
    <w:rsid w:val="00381727"/>
    <w:rsid w:val="00381BBE"/>
    <w:rsid w:val="00381F7E"/>
    <w:rsid w:val="00382903"/>
    <w:rsid w:val="0038409F"/>
    <w:rsid w:val="003846CB"/>
    <w:rsid w:val="003846FF"/>
    <w:rsid w:val="00384804"/>
    <w:rsid w:val="00384EE7"/>
    <w:rsid w:val="00385AD4"/>
    <w:rsid w:val="00385B53"/>
    <w:rsid w:val="003865CE"/>
    <w:rsid w:val="00387761"/>
    <w:rsid w:val="00387924"/>
    <w:rsid w:val="003902AF"/>
    <w:rsid w:val="0039110A"/>
    <w:rsid w:val="0039151E"/>
    <w:rsid w:val="00391541"/>
    <w:rsid w:val="00391E60"/>
    <w:rsid w:val="00391E8D"/>
    <w:rsid w:val="0039272E"/>
    <w:rsid w:val="0039384D"/>
    <w:rsid w:val="00393B97"/>
    <w:rsid w:val="003941A5"/>
    <w:rsid w:val="003959CB"/>
    <w:rsid w:val="00395C23"/>
    <w:rsid w:val="0039708D"/>
    <w:rsid w:val="0039727F"/>
    <w:rsid w:val="00397857"/>
    <w:rsid w:val="00397E5F"/>
    <w:rsid w:val="003A0641"/>
    <w:rsid w:val="003A0E2A"/>
    <w:rsid w:val="003A1DC9"/>
    <w:rsid w:val="003A1F9B"/>
    <w:rsid w:val="003A21E7"/>
    <w:rsid w:val="003A240E"/>
    <w:rsid w:val="003A2E4F"/>
    <w:rsid w:val="003A33A4"/>
    <w:rsid w:val="003A3FB4"/>
    <w:rsid w:val="003A4438"/>
    <w:rsid w:val="003A4BFC"/>
    <w:rsid w:val="003A4CEE"/>
    <w:rsid w:val="003A4FA0"/>
    <w:rsid w:val="003A5013"/>
    <w:rsid w:val="003A5078"/>
    <w:rsid w:val="003A5BE4"/>
    <w:rsid w:val="003A6285"/>
    <w:rsid w:val="003A62DD"/>
    <w:rsid w:val="003A6474"/>
    <w:rsid w:val="003A679C"/>
    <w:rsid w:val="003A775A"/>
    <w:rsid w:val="003A7FBE"/>
    <w:rsid w:val="003B01C0"/>
    <w:rsid w:val="003B0B72"/>
    <w:rsid w:val="003B0DAB"/>
    <w:rsid w:val="003B1261"/>
    <w:rsid w:val="003B18AF"/>
    <w:rsid w:val="003B1AAE"/>
    <w:rsid w:val="003B1B77"/>
    <w:rsid w:val="003B213A"/>
    <w:rsid w:val="003B2150"/>
    <w:rsid w:val="003B274C"/>
    <w:rsid w:val="003B38F9"/>
    <w:rsid w:val="003B3A49"/>
    <w:rsid w:val="003B43AD"/>
    <w:rsid w:val="003B49B9"/>
    <w:rsid w:val="003B57C5"/>
    <w:rsid w:val="003B5932"/>
    <w:rsid w:val="003B5A62"/>
    <w:rsid w:val="003B5B79"/>
    <w:rsid w:val="003B6026"/>
    <w:rsid w:val="003B62A4"/>
    <w:rsid w:val="003B70DC"/>
    <w:rsid w:val="003B7925"/>
    <w:rsid w:val="003C0570"/>
    <w:rsid w:val="003C0665"/>
    <w:rsid w:val="003C0FEC"/>
    <w:rsid w:val="003C15B8"/>
    <w:rsid w:val="003C171F"/>
    <w:rsid w:val="003C184E"/>
    <w:rsid w:val="003C22A0"/>
    <w:rsid w:val="003C26ED"/>
    <w:rsid w:val="003C2AC8"/>
    <w:rsid w:val="003C3B8F"/>
    <w:rsid w:val="003C418C"/>
    <w:rsid w:val="003C46A6"/>
    <w:rsid w:val="003C46CD"/>
    <w:rsid w:val="003C493A"/>
    <w:rsid w:val="003C5844"/>
    <w:rsid w:val="003C5A46"/>
    <w:rsid w:val="003D05BE"/>
    <w:rsid w:val="003D111A"/>
    <w:rsid w:val="003D1547"/>
    <w:rsid w:val="003D17F9"/>
    <w:rsid w:val="003D1A50"/>
    <w:rsid w:val="003D1EB4"/>
    <w:rsid w:val="003D2192"/>
    <w:rsid w:val="003D2465"/>
    <w:rsid w:val="003D2894"/>
    <w:rsid w:val="003D2D88"/>
    <w:rsid w:val="003D3669"/>
    <w:rsid w:val="003D41EA"/>
    <w:rsid w:val="003D4271"/>
    <w:rsid w:val="003D4850"/>
    <w:rsid w:val="003D4C36"/>
    <w:rsid w:val="003D4EEB"/>
    <w:rsid w:val="003D529D"/>
    <w:rsid w:val="003D535A"/>
    <w:rsid w:val="003D5700"/>
    <w:rsid w:val="003D5911"/>
    <w:rsid w:val="003D5CEF"/>
    <w:rsid w:val="003D709C"/>
    <w:rsid w:val="003E00B5"/>
    <w:rsid w:val="003E017D"/>
    <w:rsid w:val="003E09A1"/>
    <w:rsid w:val="003E0B5C"/>
    <w:rsid w:val="003E0D7C"/>
    <w:rsid w:val="003E0DAE"/>
    <w:rsid w:val="003E111B"/>
    <w:rsid w:val="003E120B"/>
    <w:rsid w:val="003E2A27"/>
    <w:rsid w:val="003E3361"/>
    <w:rsid w:val="003E3A1A"/>
    <w:rsid w:val="003E3B7C"/>
    <w:rsid w:val="003E432F"/>
    <w:rsid w:val="003E4580"/>
    <w:rsid w:val="003E4D7E"/>
    <w:rsid w:val="003E510F"/>
    <w:rsid w:val="003E51D0"/>
    <w:rsid w:val="003E5265"/>
    <w:rsid w:val="003E66EC"/>
    <w:rsid w:val="003E6855"/>
    <w:rsid w:val="003F0880"/>
    <w:rsid w:val="003F0955"/>
    <w:rsid w:val="003F0AF6"/>
    <w:rsid w:val="003F2771"/>
    <w:rsid w:val="003F334F"/>
    <w:rsid w:val="003F37CF"/>
    <w:rsid w:val="003F4343"/>
    <w:rsid w:val="003F43B5"/>
    <w:rsid w:val="003F5347"/>
    <w:rsid w:val="003F6058"/>
    <w:rsid w:val="003F6FE1"/>
    <w:rsid w:val="003F7A1B"/>
    <w:rsid w:val="0040010D"/>
    <w:rsid w:val="00400584"/>
    <w:rsid w:val="00400F00"/>
    <w:rsid w:val="00401303"/>
    <w:rsid w:val="00402370"/>
    <w:rsid w:val="00402A23"/>
    <w:rsid w:val="00402E0F"/>
    <w:rsid w:val="004034F4"/>
    <w:rsid w:val="00404F8B"/>
    <w:rsid w:val="00405256"/>
    <w:rsid w:val="00406864"/>
    <w:rsid w:val="00406D81"/>
    <w:rsid w:val="00406D84"/>
    <w:rsid w:val="00406EFC"/>
    <w:rsid w:val="0040702A"/>
    <w:rsid w:val="004074DA"/>
    <w:rsid w:val="00407BC5"/>
    <w:rsid w:val="00410031"/>
    <w:rsid w:val="0041055F"/>
    <w:rsid w:val="00411504"/>
    <w:rsid w:val="004115A2"/>
    <w:rsid w:val="00414C10"/>
    <w:rsid w:val="00415469"/>
    <w:rsid w:val="00415C81"/>
    <w:rsid w:val="00416282"/>
    <w:rsid w:val="004166B8"/>
    <w:rsid w:val="004166BD"/>
    <w:rsid w:val="00416731"/>
    <w:rsid w:val="00417096"/>
    <w:rsid w:val="00417180"/>
    <w:rsid w:val="004173A2"/>
    <w:rsid w:val="0041761E"/>
    <w:rsid w:val="00417A60"/>
    <w:rsid w:val="0042053D"/>
    <w:rsid w:val="00421928"/>
    <w:rsid w:val="004222FD"/>
    <w:rsid w:val="00423804"/>
    <w:rsid w:val="004240C3"/>
    <w:rsid w:val="0042417D"/>
    <w:rsid w:val="0042442B"/>
    <w:rsid w:val="00425F52"/>
    <w:rsid w:val="004265FF"/>
    <w:rsid w:val="004269B2"/>
    <w:rsid w:val="0042707B"/>
    <w:rsid w:val="00427955"/>
    <w:rsid w:val="00427F6D"/>
    <w:rsid w:val="004319A7"/>
    <w:rsid w:val="00432378"/>
    <w:rsid w:val="00432AF9"/>
    <w:rsid w:val="00432D4D"/>
    <w:rsid w:val="00432D8F"/>
    <w:rsid w:val="004337D5"/>
    <w:rsid w:val="00433D36"/>
    <w:rsid w:val="004341F8"/>
    <w:rsid w:val="004342A8"/>
    <w:rsid w:val="004346E9"/>
    <w:rsid w:val="00435107"/>
    <w:rsid w:val="0043618D"/>
    <w:rsid w:val="004370F3"/>
    <w:rsid w:val="00437482"/>
    <w:rsid w:val="00440D65"/>
    <w:rsid w:val="004412FE"/>
    <w:rsid w:val="00441B30"/>
    <w:rsid w:val="00442B48"/>
    <w:rsid w:val="00442FCA"/>
    <w:rsid w:val="0044319D"/>
    <w:rsid w:val="004435E6"/>
    <w:rsid w:val="0044399D"/>
    <w:rsid w:val="00443D1C"/>
    <w:rsid w:val="00443ECE"/>
    <w:rsid w:val="00444710"/>
    <w:rsid w:val="004462C7"/>
    <w:rsid w:val="004479A6"/>
    <w:rsid w:val="00447E31"/>
    <w:rsid w:val="00450297"/>
    <w:rsid w:val="004502B6"/>
    <w:rsid w:val="004507F1"/>
    <w:rsid w:val="00450A74"/>
    <w:rsid w:val="0045189F"/>
    <w:rsid w:val="00451DC5"/>
    <w:rsid w:val="00452C6E"/>
    <w:rsid w:val="004531B1"/>
    <w:rsid w:val="00453923"/>
    <w:rsid w:val="00454B9B"/>
    <w:rsid w:val="0045515A"/>
    <w:rsid w:val="0045578C"/>
    <w:rsid w:val="00456169"/>
    <w:rsid w:val="0045640F"/>
    <w:rsid w:val="00456413"/>
    <w:rsid w:val="0045706B"/>
    <w:rsid w:val="00457193"/>
    <w:rsid w:val="00457364"/>
    <w:rsid w:val="00457858"/>
    <w:rsid w:val="00457A7C"/>
    <w:rsid w:val="00457FD9"/>
    <w:rsid w:val="004606D1"/>
    <w:rsid w:val="0046080C"/>
    <w:rsid w:val="00460B0B"/>
    <w:rsid w:val="00461023"/>
    <w:rsid w:val="00461C3D"/>
    <w:rsid w:val="0046228E"/>
    <w:rsid w:val="00462B73"/>
    <w:rsid w:val="00462F10"/>
    <w:rsid w:val="00462FAC"/>
    <w:rsid w:val="004637C4"/>
    <w:rsid w:val="00464452"/>
    <w:rsid w:val="00464631"/>
    <w:rsid w:val="00464B79"/>
    <w:rsid w:val="00464F65"/>
    <w:rsid w:val="0046527B"/>
    <w:rsid w:val="00465D57"/>
    <w:rsid w:val="00466DAE"/>
    <w:rsid w:val="00467B56"/>
    <w:rsid w:val="00467BBF"/>
    <w:rsid w:val="0047049D"/>
    <w:rsid w:val="00470D41"/>
    <w:rsid w:val="00470DAB"/>
    <w:rsid w:val="0047192D"/>
    <w:rsid w:val="004748AE"/>
    <w:rsid w:val="004751F8"/>
    <w:rsid w:val="004757BE"/>
    <w:rsid w:val="0047628F"/>
    <w:rsid w:val="00476426"/>
    <w:rsid w:val="00476F99"/>
    <w:rsid w:val="004779FD"/>
    <w:rsid w:val="00477CF9"/>
    <w:rsid w:val="00480957"/>
    <w:rsid w:val="004809FD"/>
    <w:rsid w:val="00481410"/>
    <w:rsid w:val="0048144E"/>
    <w:rsid w:val="004830F5"/>
    <w:rsid w:val="004832AA"/>
    <w:rsid w:val="00483A9F"/>
    <w:rsid w:val="004847D0"/>
    <w:rsid w:val="004855A4"/>
    <w:rsid w:val="00485A7E"/>
    <w:rsid w:val="004862C7"/>
    <w:rsid w:val="004867E2"/>
    <w:rsid w:val="0048690F"/>
    <w:rsid w:val="00486D77"/>
    <w:rsid w:val="0048731E"/>
    <w:rsid w:val="00490BF7"/>
    <w:rsid w:val="004929A9"/>
    <w:rsid w:val="00493F3F"/>
    <w:rsid w:val="00494506"/>
    <w:rsid w:val="0049465C"/>
    <w:rsid w:val="00495785"/>
    <w:rsid w:val="0049589F"/>
    <w:rsid w:val="00497A25"/>
    <w:rsid w:val="00497B8A"/>
    <w:rsid w:val="004A0FC7"/>
    <w:rsid w:val="004A1782"/>
    <w:rsid w:val="004A2048"/>
    <w:rsid w:val="004A218E"/>
    <w:rsid w:val="004A2801"/>
    <w:rsid w:val="004A4629"/>
    <w:rsid w:val="004A464F"/>
    <w:rsid w:val="004A4735"/>
    <w:rsid w:val="004A48D6"/>
    <w:rsid w:val="004A4EC1"/>
    <w:rsid w:val="004A51AF"/>
    <w:rsid w:val="004A56A0"/>
    <w:rsid w:val="004A5F78"/>
    <w:rsid w:val="004A764F"/>
    <w:rsid w:val="004A76AC"/>
    <w:rsid w:val="004A7BB9"/>
    <w:rsid w:val="004A7EBE"/>
    <w:rsid w:val="004B0556"/>
    <w:rsid w:val="004B22E9"/>
    <w:rsid w:val="004B2699"/>
    <w:rsid w:val="004B282F"/>
    <w:rsid w:val="004B369F"/>
    <w:rsid w:val="004B414B"/>
    <w:rsid w:val="004B5133"/>
    <w:rsid w:val="004B59C8"/>
    <w:rsid w:val="004B6861"/>
    <w:rsid w:val="004B6E48"/>
    <w:rsid w:val="004B7272"/>
    <w:rsid w:val="004C1105"/>
    <w:rsid w:val="004C1229"/>
    <w:rsid w:val="004C21CD"/>
    <w:rsid w:val="004C276E"/>
    <w:rsid w:val="004C2FEC"/>
    <w:rsid w:val="004C3795"/>
    <w:rsid w:val="004C44BA"/>
    <w:rsid w:val="004C5379"/>
    <w:rsid w:val="004C5F9F"/>
    <w:rsid w:val="004C629B"/>
    <w:rsid w:val="004C6BCF"/>
    <w:rsid w:val="004D044B"/>
    <w:rsid w:val="004D07EE"/>
    <w:rsid w:val="004D0984"/>
    <w:rsid w:val="004D0D40"/>
    <w:rsid w:val="004D203A"/>
    <w:rsid w:val="004D211C"/>
    <w:rsid w:val="004D24AF"/>
    <w:rsid w:val="004D2C60"/>
    <w:rsid w:val="004D2D7A"/>
    <w:rsid w:val="004D388A"/>
    <w:rsid w:val="004D4518"/>
    <w:rsid w:val="004D4835"/>
    <w:rsid w:val="004D48BC"/>
    <w:rsid w:val="004D4BCA"/>
    <w:rsid w:val="004D51F1"/>
    <w:rsid w:val="004D58BF"/>
    <w:rsid w:val="004D59FE"/>
    <w:rsid w:val="004D6074"/>
    <w:rsid w:val="004D6B2C"/>
    <w:rsid w:val="004D727C"/>
    <w:rsid w:val="004D7312"/>
    <w:rsid w:val="004D79A9"/>
    <w:rsid w:val="004D7B26"/>
    <w:rsid w:val="004D7C79"/>
    <w:rsid w:val="004D7EFC"/>
    <w:rsid w:val="004E03E8"/>
    <w:rsid w:val="004E0DC2"/>
    <w:rsid w:val="004E0E80"/>
    <w:rsid w:val="004E1BB5"/>
    <w:rsid w:val="004E2BF0"/>
    <w:rsid w:val="004E4335"/>
    <w:rsid w:val="004E4407"/>
    <w:rsid w:val="004E4627"/>
    <w:rsid w:val="004E57DC"/>
    <w:rsid w:val="004E596C"/>
    <w:rsid w:val="004E5ACF"/>
    <w:rsid w:val="004E5D6D"/>
    <w:rsid w:val="004E71BB"/>
    <w:rsid w:val="004F051A"/>
    <w:rsid w:val="004F079C"/>
    <w:rsid w:val="004F08E1"/>
    <w:rsid w:val="004F0D49"/>
    <w:rsid w:val="004F0F38"/>
    <w:rsid w:val="004F13EE"/>
    <w:rsid w:val="004F1916"/>
    <w:rsid w:val="004F2022"/>
    <w:rsid w:val="004F20E3"/>
    <w:rsid w:val="004F2852"/>
    <w:rsid w:val="004F2A15"/>
    <w:rsid w:val="004F2C95"/>
    <w:rsid w:val="004F2ED6"/>
    <w:rsid w:val="004F3906"/>
    <w:rsid w:val="004F3921"/>
    <w:rsid w:val="004F3F4B"/>
    <w:rsid w:val="004F460B"/>
    <w:rsid w:val="004F478D"/>
    <w:rsid w:val="004F4C85"/>
    <w:rsid w:val="004F5E95"/>
    <w:rsid w:val="004F6B9B"/>
    <w:rsid w:val="004F7C05"/>
    <w:rsid w:val="00500CE3"/>
    <w:rsid w:val="00500FA5"/>
    <w:rsid w:val="005014F9"/>
    <w:rsid w:val="00501C94"/>
    <w:rsid w:val="00501E1E"/>
    <w:rsid w:val="00503620"/>
    <w:rsid w:val="00503781"/>
    <w:rsid w:val="005038CF"/>
    <w:rsid w:val="005038F0"/>
    <w:rsid w:val="00503F78"/>
    <w:rsid w:val="005045AF"/>
    <w:rsid w:val="00504ADB"/>
    <w:rsid w:val="005052BE"/>
    <w:rsid w:val="00505E84"/>
    <w:rsid w:val="00505FB6"/>
    <w:rsid w:val="00506432"/>
    <w:rsid w:val="00506659"/>
    <w:rsid w:val="005066AF"/>
    <w:rsid w:val="005074E6"/>
    <w:rsid w:val="00510DB3"/>
    <w:rsid w:val="005120D7"/>
    <w:rsid w:val="0051215F"/>
    <w:rsid w:val="0051242B"/>
    <w:rsid w:val="005140D6"/>
    <w:rsid w:val="00514251"/>
    <w:rsid w:val="0051521E"/>
    <w:rsid w:val="005157CC"/>
    <w:rsid w:val="0051645C"/>
    <w:rsid w:val="00516B51"/>
    <w:rsid w:val="00516C6F"/>
    <w:rsid w:val="00516E4C"/>
    <w:rsid w:val="0051728D"/>
    <w:rsid w:val="00517FEC"/>
    <w:rsid w:val="0052051D"/>
    <w:rsid w:val="00520820"/>
    <w:rsid w:val="00520E97"/>
    <w:rsid w:val="00521121"/>
    <w:rsid w:val="005223FB"/>
    <w:rsid w:val="005226F3"/>
    <w:rsid w:val="0052287C"/>
    <w:rsid w:val="0052366C"/>
    <w:rsid w:val="00524160"/>
    <w:rsid w:val="00524707"/>
    <w:rsid w:val="0052525E"/>
    <w:rsid w:val="00525B10"/>
    <w:rsid w:val="00525BB1"/>
    <w:rsid w:val="00526F2E"/>
    <w:rsid w:val="00526FDF"/>
    <w:rsid w:val="00527106"/>
    <w:rsid w:val="0052799C"/>
    <w:rsid w:val="005320E9"/>
    <w:rsid w:val="00533241"/>
    <w:rsid w:val="005336E7"/>
    <w:rsid w:val="005352FA"/>
    <w:rsid w:val="005359F5"/>
    <w:rsid w:val="00535DBA"/>
    <w:rsid w:val="00536DB7"/>
    <w:rsid w:val="00536E4A"/>
    <w:rsid w:val="00536F5B"/>
    <w:rsid w:val="0053754A"/>
    <w:rsid w:val="00537B6B"/>
    <w:rsid w:val="00540120"/>
    <w:rsid w:val="005405D6"/>
    <w:rsid w:val="00540979"/>
    <w:rsid w:val="00540A05"/>
    <w:rsid w:val="00543ED4"/>
    <w:rsid w:val="0054471B"/>
    <w:rsid w:val="005449F6"/>
    <w:rsid w:val="00544EFD"/>
    <w:rsid w:val="005458B3"/>
    <w:rsid w:val="00545EE6"/>
    <w:rsid w:val="0054651D"/>
    <w:rsid w:val="00546F60"/>
    <w:rsid w:val="00547101"/>
    <w:rsid w:val="00547AA6"/>
    <w:rsid w:val="00553322"/>
    <w:rsid w:val="0055431F"/>
    <w:rsid w:val="005544CF"/>
    <w:rsid w:val="005550E7"/>
    <w:rsid w:val="005552B3"/>
    <w:rsid w:val="005557B8"/>
    <w:rsid w:val="005558B2"/>
    <w:rsid w:val="005564FB"/>
    <w:rsid w:val="00556BC2"/>
    <w:rsid w:val="005572C7"/>
    <w:rsid w:val="0055745E"/>
    <w:rsid w:val="005609CA"/>
    <w:rsid w:val="005612EB"/>
    <w:rsid w:val="00562769"/>
    <w:rsid w:val="005628A7"/>
    <w:rsid w:val="00562D71"/>
    <w:rsid w:val="00563658"/>
    <w:rsid w:val="00564C8D"/>
    <w:rsid w:val="005650ED"/>
    <w:rsid w:val="00565170"/>
    <w:rsid w:val="005652DE"/>
    <w:rsid w:val="005674C1"/>
    <w:rsid w:val="00570255"/>
    <w:rsid w:val="005705AD"/>
    <w:rsid w:val="0057087A"/>
    <w:rsid w:val="005715AB"/>
    <w:rsid w:val="005716B7"/>
    <w:rsid w:val="00571D8C"/>
    <w:rsid w:val="00571F80"/>
    <w:rsid w:val="0057258E"/>
    <w:rsid w:val="005727A3"/>
    <w:rsid w:val="00573808"/>
    <w:rsid w:val="00574329"/>
    <w:rsid w:val="0057527A"/>
    <w:rsid w:val="00575708"/>
    <w:rsid w:val="00575754"/>
    <w:rsid w:val="00576CA3"/>
    <w:rsid w:val="005805A1"/>
    <w:rsid w:val="0058087B"/>
    <w:rsid w:val="00581875"/>
    <w:rsid w:val="0058328A"/>
    <w:rsid w:val="005835EA"/>
    <w:rsid w:val="00583824"/>
    <w:rsid w:val="005860E1"/>
    <w:rsid w:val="00586CB6"/>
    <w:rsid w:val="00591375"/>
    <w:rsid w:val="00591E20"/>
    <w:rsid w:val="00592D19"/>
    <w:rsid w:val="00593421"/>
    <w:rsid w:val="00594BA1"/>
    <w:rsid w:val="00595408"/>
    <w:rsid w:val="005958C9"/>
    <w:rsid w:val="00595B46"/>
    <w:rsid w:val="00595E84"/>
    <w:rsid w:val="00596593"/>
    <w:rsid w:val="00596966"/>
    <w:rsid w:val="00597D79"/>
    <w:rsid w:val="005A0924"/>
    <w:rsid w:val="005A0C59"/>
    <w:rsid w:val="005A0EF3"/>
    <w:rsid w:val="005A2578"/>
    <w:rsid w:val="005A2627"/>
    <w:rsid w:val="005A2883"/>
    <w:rsid w:val="005A2E0E"/>
    <w:rsid w:val="005A309B"/>
    <w:rsid w:val="005A47C4"/>
    <w:rsid w:val="005A48EB"/>
    <w:rsid w:val="005A5466"/>
    <w:rsid w:val="005A5CED"/>
    <w:rsid w:val="005A68C1"/>
    <w:rsid w:val="005A6CFB"/>
    <w:rsid w:val="005A6D17"/>
    <w:rsid w:val="005A700D"/>
    <w:rsid w:val="005A72DB"/>
    <w:rsid w:val="005A757E"/>
    <w:rsid w:val="005A7879"/>
    <w:rsid w:val="005B05F2"/>
    <w:rsid w:val="005B1091"/>
    <w:rsid w:val="005B1DC9"/>
    <w:rsid w:val="005B2446"/>
    <w:rsid w:val="005B4C6D"/>
    <w:rsid w:val="005B57AD"/>
    <w:rsid w:val="005B5B5E"/>
    <w:rsid w:val="005B5C2C"/>
    <w:rsid w:val="005B6E32"/>
    <w:rsid w:val="005C0204"/>
    <w:rsid w:val="005C05B5"/>
    <w:rsid w:val="005C1027"/>
    <w:rsid w:val="005C1C3A"/>
    <w:rsid w:val="005C1D97"/>
    <w:rsid w:val="005C205F"/>
    <w:rsid w:val="005C2744"/>
    <w:rsid w:val="005C2F85"/>
    <w:rsid w:val="005C390B"/>
    <w:rsid w:val="005C40B1"/>
    <w:rsid w:val="005C56A5"/>
    <w:rsid w:val="005C5AEB"/>
    <w:rsid w:val="005C5DAC"/>
    <w:rsid w:val="005C5EFD"/>
    <w:rsid w:val="005C6E91"/>
    <w:rsid w:val="005C71EE"/>
    <w:rsid w:val="005D15A3"/>
    <w:rsid w:val="005D1A6E"/>
    <w:rsid w:val="005D32BB"/>
    <w:rsid w:val="005D3509"/>
    <w:rsid w:val="005D406E"/>
    <w:rsid w:val="005D424B"/>
    <w:rsid w:val="005D4B7C"/>
    <w:rsid w:val="005D543E"/>
    <w:rsid w:val="005D7ACA"/>
    <w:rsid w:val="005E01B4"/>
    <w:rsid w:val="005E0522"/>
    <w:rsid w:val="005E0A3F"/>
    <w:rsid w:val="005E0B5D"/>
    <w:rsid w:val="005E0C92"/>
    <w:rsid w:val="005E101A"/>
    <w:rsid w:val="005E1BAA"/>
    <w:rsid w:val="005E1C46"/>
    <w:rsid w:val="005E2B61"/>
    <w:rsid w:val="005E347A"/>
    <w:rsid w:val="005E3DD1"/>
    <w:rsid w:val="005E4C88"/>
    <w:rsid w:val="005E52CF"/>
    <w:rsid w:val="005E58CC"/>
    <w:rsid w:val="005E6466"/>
    <w:rsid w:val="005E6840"/>
    <w:rsid w:val="005E6883"/>
    <w:rsid w:val="005E7400"/>
    <w:rsid w:val="005E7635"/>
    <w:rsid w:val="005E772F"/>
    <w:rsid w:val="005E7A40"/>
    <w:rsid w:val="005F0925"/>
    <w:rsid w:val="005F16E6"/>
    <w:rsid w:val="005F1B6A"/>
    <w:rsid w:val="005F1F78"/>
    <w:rsid w:val="005F2CF0"/>
    <w:rsid w:val="005F2E3E"/>
    <w:rsid w:val="005F2FD1"/>
    <w:rsid w:val="005F2FDC"/>
    <w:rsid w:val="005F3954"/>
    <w:rsid w:val="005F480F"/>
    <w:rsid w:val="005F4ECA"/>
    <w:rsid w:val="005F59C8"/>
    <w:rsid w:val="005F5CF9"/>
    <w:rsid w:val="005F678B"/>
    <w:rsid w:val="005F67F4"/>
    <w:rsid w:val="005F7673"/>
    <w:rsid w:val="00600E89"/>
    <w:rsid w:val="0060130B"/>
    <w:rsid w:val="00601375"/>
    <w:rsid w:val="006015CE"/>
    <w:rsid w:val="006016A9"/>
    <w:rsid w:val="006025E0"/>
    <w:rsid w:val="00602782"/>
    <w:rsid w:val="00603375"/>
    <w:rsid w:val="006034D2"/>
    <w:rsid w:val="006035F0"/>
    <w:rsid w:val="0060365E"/>
    <w:rsid w:val="00603B87"/>
    <w:rsid w:val="006041BE"/>
    <w:rsid w:val="006043C7"/>
    <w:rsid w:val="00604C8D"/>
    <w:rsid w:val="006053D5"/>
    <w:rsid w:val="00607033"/>
    <w:rsid w:val="00607578"/>
    <w:rsid w:val="00610579"/>
    <w:rsid w:val="0061111C"/>
    <w:rsid w:val="00611580"/>
    <w:rsid w:val="00612FA3"/>
    <w:rsid w:val="006134AF"/>
    <w:rsid w:val="00613723"/>
    <w:rsid w:val="0061456C"/>
    <w:rsid w:val="00614939"/>
    <w:rsid w:val="00614F2B"/>
    <w:rsid w:val="0061568B"/>
    <w:rsid w:val="006160AF"/>
    <w:rsid w:val="006160CF"/>
    <w:rsid w:val="006165A2"/>
    <w:rsid w:val="00617B2E"/>
    <w:rsid w:val="00617D58"/>
    <w:rsid w:val="00620468"/>
    <w:rsid w:val="006205B7"/>
    <w:rsid w:val="00622BEE"/>
    <w:rsid w:val="00622CBF"/>
    <w:rsid w:val="00623255"/>
    <w:rsid w:val="00623A3B"/>
    <w:rsid w:val="00624B52"/>
    <w:rsid w:val="0062510E"/>
    <w:rsid w:val="00625B28"/>
    <w:rsid w:val="00625B92"/>
    <w:rsid w:val="00625FBB"/>
    <w:rsid w:val="00626AEA"/>
    <w:rsid w:val="00627977"/>
    <w:rsid w:val="00627B88"/>
    <w:rsid w:val="00627FCE"/>
    <w:rsid w:val="00630A9C"/>
    <w:rsid w:val="006312BF"/>
    <w:rsid w:val="00631725"/>
    <w:rsid w:val="00631A71"/>
    <w:rsid w:val="00631CCD"/>
    <w:rsid w:val="00631DF4"/>
    <w:rsid w:val="00632A28"/>
    <w:rsid w:val="00632B69"/>
    <w:rsid w:val="00632B78"/>
    <w:rsid w:val="00634175"/>
    <w:rsid w:val="0063432C"/>
    <w:rsid w:val="0063454E"/>
    <w:rsid w:val="006348DF"/>
    <w:rsid w:val="006359E7"/>
    <w:rsid w:val="00636575"/>
    <w:rsid w:val="00636856"/>
    <w:rsid w:val="00636A52"/>
    <w:rsid w:val="00636BE5"/>
    <w:rsid w:val="006374B0"/>
    <w:rsid w:val="006408AC"/>
    <w:rsid w:val="0064099D"/>
    <w:rsid w:val="00640B9D"/>
    <w:rsid w:val="00640DD2"/>
    <w:rsid w:val="00641AAF"/>
    <w:rsid w:val="00644811"/>
    <w:rsid w:val="00644FA2"/>
    <w:rsid w:val="0064542B"/>
    <w:rsid w:val="00645A72"/>
    <w:rsid w:val="00646171"/>
    <w:rsid w:val="00646B40"/>
    <w:rsid w:val="006474E8"/>
    <w:rsid w:val="00651160"/>
    <w:rsid w:val="006511B6"/>
    <w:rsid w:val="00651AF3"/>
    <w:rsid w:val="00651CFB"/>
    <w:rsid w:val="00652305"/>
    <w:rsid w:val="00652742"/>
    <w:rsid w:val="00652F94"/>
    <w:rsid w:val="00653870"/>
    <w:rsid w:val="00653DF8"/>
    <w:rsid w:val="006548C1"/>
    <w:rsid w:val="006555AD"/>
    <w:rsid w:val="00656AEC"/>
    <w:rsid w:val="006571B2"/>
    <w:rsid w:val="00657D06"/>
    <w:rsid w:val="00657D7C"/>
    <w:rsid w:val="00657FF8"/>
    <w:rsid w:val="006606F4"/>
    <w:rsid w:val="00660C6C"/>
    <w:rsid w:val="00660C94"/>
    <w:rsid w:val="00660ED4"/>
    <w:rsid w:val="006610DB"/>
    <w:rsid w:val="006633BB"/>
    <w:rsid w:val="0066375B"/>
    <w:rsid w:val="00663DD2"/>
    <w:rsid w:val="00664741"/>
    <w:rsid w:val="00664DF8"/>
    <w:rsid w:val="00665508"/>
    <w:rsid w:val="00665EAA"/>
    <w:rsid w:val="0066751C"/>
    <w:rsid w:val="006676EC"/>
    <w:rsid w:val="00667DE5"/>
    <w:rsid w:val="0067099E"/>
    <w:rsid w:val="00670D99"/>
    <w:rsid w:val="00670E2B"/>
    <w:rsid w:val="00672743"/>
    <w:rsid w:val="00672C71"/>
    <w:rsid w:val="006734BB"/>
    <w:rsid w:val="00673740"/>
    <w:rsid w:val="0067451D"/>
    <w:rsid w:val="00674930"/>
    <w:rsid w:val="006755F2"/>
    <w:rsid w:val="0067579F"/>
    <w:rsid w:val="00675EF7"/>
    <w:rsid w:val="006775BC"/>
    <w:rsid w:val="00677698"/>
    <w:rsid w:val="00677AB3"/>
    <w:rsid w:val="00677ECB"/>
    <w:rsid w:val="00680063"/>
    <w:rsid w:val="00680FF6"/>
    <w:rsid w:val="00681A34"/>
    <w:rsid w:val="00681C6E"/>
    <w:rsid w:val="00681CF6"/>
    <w:rsid w:val="006821EB"/>
    <w:rsid w:val="006822EE"/>
    <w:rsid w:val="0068461C"/>
    <w:rsid w:val="00684AD6"/>
    <w:rsid w:val="00684D07"/>
    <w:rsid w:val="00684EE3"/>
    <w:rsid w:val="00684F56"/>
    <w:rsid w:val="00685445"/>
    <w:rsid w:val="00686D95"/>
    <w:rsid w:val="006874D2"/>
    <w:rsid w:val="006874F9"/>
    <w:rsid w:val="006909B4"/>
    <w:rsid w:val="006909CC"/>
    <w:rsid w:val="00690C21"/>
    <w:rsid w:val="00690DFB"/>
    <w:rsid w:val="00691E46"/>
    <w:rsid w:val="0069200A"/>
    <w:rsid w:val="00692119"/>
    <w:rsid w:val="00693E06"/>
    <w:rsid w:val="006948A7"/>
    <w:rsid w:val="00694C29"/>
    <w:rsid w:val="00694DF9"/>
    <w:rsid w:val="00694F3D"/>
    <w:rsid w:val="00694FB6"/>
    <w:rsid w:val="0069616D"/>
    <w:rsid w:val="00696CCB"/>
    <w:rsid w:val="006974B4"/>
    <w:rsid w:val="006975D4"/>
    <w:rsid w:val="006977ED"/>
    <w:rsid w:val="006A09EF"/>
    <w:rsid w:val="006A0B77"/>
    <w:rsid w:val="006A0BA8"/>
    <w:rsid w:val="006A0E1C"/>
    <w:rsid w:val="006A0F51"/>
    <w:rsid w:val="006A15E9"/>
    <w:rsid w:val="006A1DCD"/>
    <w:rsid w:val="006A2DC7"/>
    <w:rsid w:val="006A3041"/>
    <w:rsid w:val="006A36E9"/>
    <w:rsid w:val="006A383C"/>
    <w:rsid w:val="006A3CB0"/>
    <w:rsid w:val="006A3D74"/>
    <w:rsid w:val="006A44D7"/>
    <w:rsid w:val="006A45A5"/>
    <w:rsid w:val="006A4A4D"/>
    <w:rsid w:val="006A4BCA"/>
    <w:rsid w:val="006A4C35"/>
    <w:rsid w:val="006A5520"/>
    <w:rsid w:val="006A5787"/>
    <w:rsid w:val="006A5BE5"/>
    <w:rsid w:val="006A608D"/>
    <w:rsid w:val="006A66B9"/>
    <w:rsid w:val="006A6F2E"/>
    <w:rsid w:val="006A7F45"/>
    <w:rsid w:val="006A7FDC"/>
    <w:rsid w:val="006B0756"/>
    <w:rsid w:val="006B077D"/>
    <w:rsid w:val="006B1D47"/>
    <w:rsid w:val="006B226C"/>
    <w:rsid w:val="006B2286"/>
    <w:rsid w:val="006B28A5"/>
    <w:rsid w:val="006B29B0"/>
    <w:rsid w:val="006B29B8"/>
    <w:rsid w:val="006B29E9"/>
    <w:rsid w:val="006B2C6C"/>
    <w:rsid w:val="006B2D12"/>
    <w:rsid w:val="006B2EFB"/>
    <w:rsid w:val="006B50DD"/>
    <w:rsid w:val="006B56BB"/>
    <w:rsid w:val="006B6A5A"/>
    <w:rsid w:val="006B71C3"/>
    <w:rsid w:val="006B74B9"/>
    <w:rsid w:val="006B763C"/>
    <w:rsid w:val="006B7B64"/>
    <w:rsid w:val="006C10D8"/>
    <w:rsid w:val="006C1507"/>
    <w:rsid w:val="006C3654"/>
    <w:rsid w:val="006C3770"/>
    <w:rsid w:val="006C38BA"/>
    <w:rsid w:val="006C414D"/>
    <w:rsid w:val="006C45A6"/>
    <w:rsid w:val="006C5BE7"/>
    <w:rsid w:val="006C66F1"/>
    <w:rsid w:val="006C77A8"/>
    <w:rsid w:val="006C77C5"/>
    <w:rsid w:val="006C7CEC"/>
    <w:rsid w:val="006D01DE"/>
    <w:rsid w:val="006D03F4"/>
    <w:rsid w:val="006D0F0C"/>
    <w:rsid w:val="006D12DF"/>
    <w:rsid w:val="006D2203"/>
    <w:rsid w:val="006D24EF"/>
    <w:rsid w:val="006D2F23"/>
    <w:rsid w:val="006D2F63"/>
    <w:rsid w:val="006D4098"/>
    <w:rsid w:val="006D5A63"/>
    <w:rsid w:val="006D5D68"/>
    <w:rsid w:val="006D6888"/>
    <w:rsid w:val="006D6CC1"/>
    <w:rsid w:val="006D6DED"/>
    <w:rsid w:val="006D7681"/>
    <w:rsid w:val="006D783E"/>
    <w:rsid w:val="006D7B2E"/>
    <w:rsid w:val="006D7EAC"/>
    <w:rsid w:val="006E01D2"/>
    <w:rsid w:val="006E02EA"/>
    <w:rsid w:val="006E0855"/>
    <w:rsid w:val="006E0968"/>
    <w:rsid w:val="006E134A"/>
    <w:rsid w:val="006E16C9"/>
    <w:rsid w:val="006E16E3"/>
    <w:rsid w:val="006E1B90"/>
    <w:rsid w:val="006E2268"/>
    <w:rsid w:val="006E2310"/>
    <w:rsid w:val="006E241B"/>
    <w:rsid w:val="006E2499"/>
    <w:rsid w:val="006E254E"/>
    <w:rsid w:val="006E2AF6"/>
    <w:rsid w:val="006E357E"/>
    <w:rsid w:val="006E3E27"/>
    <w:rsid w:val="006E4868"/>
    <w:rsid w:val="006E4884"/>
    <w:rsid w:val="006E4DD0"/>
    <w:rsid w:val="006E4EF5"/>
    <w:rsid w:val="006E6408"/>
    <w:rsid w:val="006E68D1"/>
    <w:rsid w:val="006E7807"/>
    <w:rsid w:val="006E7DA6"/>
    <w:rsid w:val="006F00A1"/>
    <w:rsid w:val="006F01E2"/>
    <w:rsid w:val="006F097B"/>
    <w:rsid w:val="006F1E3C"/>
    <w:rsid w:val="006F2F7D"/>
    <w:rsid w:val="006F36AF"/>
    <w:rsid w:val="006F4058"/>
    <w:rsid w:val="006F41A5"/>
    <w:rsid w:val="006F4592"/>
    <w:rsid w:val="006F4C25"/>
    <w:rsid w:val="006F4F40"/>
    <w:rsid w:val="006F5C28"/>
    <w:rsid w:val="006F7262"/>
    <w:rsid w:val="006F79C1"/>
    <w:rsid w:val="007001CE"/>
    <w:rsid w:val="00700E95"/>
    <w:rsid w:val="00701062"/>
    <w:rsid w:val="00701275"/>
    <w:rsid w:val="00702016"/>
    <w:rsid w:val="00702221"/>
    <w:rsid w:val="00702C43"/>
    <w:rsid w:val="00703784"/>
    <w:rsid w:val="00703BD5"/>
    <w:rsid w:val="00703E69"/>
    <w:rsid w:val="007040CD"/>
    <w:rsid w:val="00705C3A"/>
    <w:rsid w:val="00705F96"/>
    <w:rsid w:val="007069B8"/>
    <w:rsid w:val="00707F56"/>
    <w:rsid w:val="007100F6"/>
    <w:rsid w:val="0071136C"/>
    <w:rsid w:val="00711530"/>
    <w:rsid w:val="007116BC"/>
    <w:rsid w:val="00711CD3"/>
    <w:rsid w:val="00712DBD"/>
    <w:rsid w:val="00713494"/>
    <w:rsid w:val="00713558"/>
    <w:rsid w:val="00713AE3"/>
    <w:rsid w:val="00713FB4"/>
    <w:rsid w:val="007148AD"/>
    <w:rsid w:val="00714CA5"/>
    <w:rsid w:val="007157C7"/>
    <w:rsid w:val="00715C9B"/>
    <w:rsid w:val="00720BDA"/>
    <w:rsid w:val="00720D08"/>
    <w:rsid w:val="007211E9"/>
    <w:rsid w:val="00721D4D"/>
    <w:rsid w:val="00722589"/>
    <w:rsid w:val="00722924"/>
    <w:rsid w:val="00724042"/>
    <w:rsid w:val="0072487A"/>
    <w:rsid w:val="00724BFF"/>
    <w:rsid w:val="00724E39"/>
    <w:rsid w:val="00725A0F"/>
    <w:rsid w:val="00725D3F"/>
    <w:rsid w:val="007263B9"/>
    <w:rsid w:val="007267BF"/>
    <w:rsid w:val="00726CA9"/>
    <w:rsid w:val="007273A3"/>
    <w:rsid w:val="00727643"/>
    <w:rsid w:val="00727EC9"/>
    <w:rsid w:val="007334F8"/>
    <w:rsid w:val="007339CD"/>
    <w:rsid w:val="00734053"/>
    <w:rsid w:val="007346DD"/>
    <w:rsid w:val="007359D8"/>
    <w:rsid w:val="007362D4"/>
    <w:rsid w:val="0073691D"/>
    <w:rsid w:val="00737CEC"/>
    <w:rsid w:val="007413A6"/>
    <w:rsid w:val="007423EE"/>
    <w:rsid w:val="00742660"/>
    <w:rsid w:val="00742CAF"/>
    <w:rsid w:val="007434CC"/>
    <w:rsid w:val="007434D7"/>
    <w:rsid w:val="007437A1"/>
    <w:rsid w:val="00743949"/>
    <w:rsid w:val="00744EBC"/>
    <w:rsid w:val="0074594B"/>
    <w:rsid w:val="00746B3D"/>
    <w:rsid w:val="007473B9"/>
    <w:rsid w:val="00747EA9"/>
    <w:rsid w:val="00750462"/>
    <w:rsid w:val="0075048C"/>
    <w:rsid w:val="00750701"/>
    <w:rsid w:val="00750728"/>
    <w:rsid w:val="00751A23"/>
    <w:rsid w:val="00751D2E"/>
    <w:rsid w:val="00752670"/>
    <w:rsid w:val="00753DAC"/>
    <w:rsid w:val="00754C6D"/>
    <w:rsid w:val="007563D6"/>
    <w:rsid w:val="00756593"/>
    <w:rsid w:val="00760021"/>
    <w:rsid w:val="00760C3A"/>
    <w:rsid w:val="00761DD8"/>
    <w:rsid w:val="00761F49"/>
    <w:rsid w:val="00762CF3"/>
    <w:rsid w:val="00763155"/>
    <w:rsid w:val="007637F6"/>
    <w:rsid w:val="0076672A"/>
    <w:rsid w:val="00766780"/>
    <w:rsid w:val="00767725"/>
    <w:rsid w:val="00767B80"/>
    <w:rsid w:val="00767DFD"/>
    <w:rsid w:val="007700F6"/>
    <w:rsid w:val="0077052E"/>
    <w:rsid w:val="0077055F"/>
    <w:rsid w:val="00770ABA"/>
    <w:rsid w:val="00770B3E"/>
    <w:rsid w:val="00770B64"/>
    <w:rsid w:val="00770C69"/>
    <w:rsid w:val="0077121F"/>
    <w:rsid w:val="00772727"/>
    <w:rsid w:val="007729FE"/>
    <w:rsid w:val="0077303E"/>
    <w:rsid w:val="0077336D"/>
    <w:rsid w:val="00773DBE"/>
    <w:rsid w:val="007740D4"/>
    <w:rsid w:val="00774E87"/>
    <w:rsid w:val="00774F59"/>
    <w:rsid w:val="00775E45"/>
    <w:rsid w:val="00775FC1"/>
    <w:rsid w:val="00776564"/>
    <w:rsid w:val="00776AA9"/>
    <w:rsid w:val="00776ADA"/>
    <w:rsid w:val="00776E74"/>
    <w:rsid w:val="00776EDB"/>
    <w:rsid w:val="007770E2"/>
    <w:rsid w:val="007775DF"/>
    <w:rsid w:val="00777770"/>
    <w:rsid w:val="007778FA"/>
    <w:rsid w:val="00777B84"/>
    <w:rsid w:val="00777F6A"/>
    <w:rsid w:val="00780DCA"/>
    <w:rsid w:val="00781508"/>
    <w:rsid w:val="007816F2"/>
    <w:rsid w:val="00781B69"/>
    <w:rsid w:val="00781D40"/>
    <w:rsid w:val="00782B67"/>
    <w:rsid w:val="00783C5F"/>
    <w:rsid w:val="00783CC2"/>
    <w:rsid w:val="00785169"/>
    <w:rsid w:val="007853F8"/>
    <w:rsid w:val="00786650"/>
    <w:rsid w:val="0078755E"/>
    <w:rsid w:val="00787BDD"/>
    <w:rsid w:val="00787E18"/>
    <w:rsid w:val="00790312"/>
    <w:rsid w:val="00790954"/>
    <w:rsid w:val="007912CC"/>
    <w:rsid w:val="007928D2"/>
    <w:rsid w:val="007930B4"/>
    <w:rsid w:val="00793403"/>
    <w:rsid w:val="007944E3"/>
    <w:rsid w:val="00794A68"/>
    <w:rsid w:val="00795063"/>
    <w:rsid w:val="007951C3"/>
    <w:rsid w:val="00795230"/>
    <w:rsid w:val="007954AB"/>
    <w:rsid w:val="00795641"/>
    <w:rsid w:val="00795A61"/>
    <w:rsid w:val="007969F4"/>
    <w:rsid w:val="00796C15"/>
    <w:rsid w:val="00797A4B"/>
    <w:rsid w:val="007A0F1E"/>
    <w:rsid w:val="007A13EF"/>
    <w:rsid w:val="007A14C5"/>
    <w:rsid w:val="007A14FE"/>
    <w:rsid w:val="007A2E0B"/>
    <w:rsid w:val="007A3354"/>
    <w:rsid w:val="007A36BE"/>
    <w:rsid w:val="007A3AFA"/>
    <w:rsid w:val="007A3E38"/>
    <w:rsid w:val="007A4A10"/>
    <w:rsid w:val="007A7374"/>
    <w:rsid w:val="007A7981"/>
    <w:rsid w:val="007A7A09"/>
    <w:rsid w:val="007B0F2F"/>
    <w:rsid w:val="007B1671"/>
    <w:rsid w:val="007B1760"/>
    <w:rsid w:val="007B17A8"/>
    <w:rsid w:val="007B33CF"/>
    <w:rsid w:val="007B3D03"/>
    <w:rsid w:val="007B400B"/>
    <w:rsid w:val="007B404C"/>
    <w:rsid w:val="007B53D7"/>
    <w:rsid w:val="007B55AA"/>
    <w:rsid w:val="007B5CC5"/>
    <w:rsid w:val="007B69DB"/>
    <w:rsid w:val="007B6DD4"/>
    <w:rsid w:val="007B77ED"/>
    <w:rsid w:val="007B79EA"/>
    <w:rsid w:val="007B7F6A"/>
    <w:rsid w:val="007C0285"/>
    <w:rsid w:val="007C0A69"/>
    <w:rsid w:val="007C1562"/>
    <w:rsid w:val="007C1756"/>
    <w:rsid w:val="007C392C"/>
    <w:rsid w:val="007C3DC2"/>
    <w:rsid w:val="007C5DF2"/>
    <w:rsid w:val="007C6D9C"/>
    <w:rsid w:val="007C6DEB"/>
    <w:rsid w:val="007C7DDB"/>
    <w:rsid w:val="007D0C95"/>
    <w:rsid w:val="007D12F5"/>
    <w:rsid w:val="007D1E7C"/>
    <w:rsid w:val="007D25C9"/>
    <w:rsid w:val="007D27EC"/>
    <w:rsid w:val="007D2B16"/>
    <w:rsid w:val="007D2B4F"/>
    <w:rsid w:val="007D2CC7"/>
    <w:rsid w:val="007D3562"/>
    <w:rsid w:val="007D4338"/>
    <w:rsid w:val="007D43A1"/>
    <w:rsid w:val="007D4FAF"/>
    <w:rsid w:val="007D673D"/>
    <w:rsid w:val="007D6971"/>
    <w:rsid w:val="007D6CA3"/>
    <w:rsid w:val="007D777E"/>
    <w:rsid w:val="007E038D"/>
    <w:rsid w:val="007E075C"/>
    <w:rsid w:val="007E0E1C"/>
    <w:rsid w:val="007E202A"/>
    <w:rsid w:val="007E2D79"/>
    <w:rsid w:val="007E3148"/>
    <w:rsid w:val="007E3F3F"/>
    <w:rsid w:val="007E4485"/>
    <w:rsid w:val="007E55D6"/>
    <w:rsid w:val="007E6473"/>
    <w:rsid w:val="007E70AA"/>
    <w:rsid w:val="007E74C3"/>
    <w:rsid w:val="007E7EDF"/>
    <w:rsid w:val="007F1066"/>
    <w:rsid w:val="007F2126"/>
    <w:rsid w:val="007F2220"/>
    <w:rsid w:val="007F42CA"/>
    <w:rsid w:val="007F455B"/>
    <w:rsid w:val="007F4710"/>
    <w:rsid w:val="007F4B3E"/>
    <w:rsid w:val="007F588A"/>
    <w:rsid w:val="007F6061"/>
    <w:rsid w:val="007F6082"/>
    <w:rsid w:val="007F645C"/>
    <w:rsid w:val="007F649A"/>
    <w:rsid w:val="007F7358"/>
    <w:rsid w:val="00800047"/>
    <w:rsid w:val="0080019C"/>
    <w:rsid w:val="008012EA"/>
    <w:rsid w:val="00802A1B"/>
    <w:rsid w:val="00802D34"/>
    <w:rsid w:val="008032B3"/>
    <w:rsid w:val="00803753"/>
    <w:rsid w:val="008037E7"/>
    <w:rsid w:val="00803BC2"/>
    <w:rsid w:val="00803EE4"/>
    <w:rsid w:val="00804333"/>
    <w:rsid w:val="008048B6"/>
    <w:rsid w:val="0080616D"/>
    <w:rsid w:val="00806875"/>
    <w:rsid w:val="008115FE"/>
    <w:rsid w:val="008116CA"/>
    <w:rsid w:val="008126D5"/>
    <w:rsid w:val="008127AF"/>
    <w:rsid w:val="00812B0A"/>
    <w:rsid w:val="00812B46"/>
    <w:rsid w:val="00812DDE"/>
    <w:rsid w:val="00813160"/>
    <w:rsid w:val="0081391E"/>
    <w:rsid w:val="00814719"/>
    <w:rsid w:val="00814F75"/>
    <w:rsid w:val="0081533A"/>
    <w:rsid w:val="00815700"/>
    <w:rsid w:val="00815C07"/>
    <w:rsid w:val="00816664"/>
    <w:rsid w:val="0081666E"/>
    <w:rsid w:val="00816961"/>
    <w:rsid w:val="00816AE6"/>
    <w:rsid w:val="00817925"/>
    <w:rsid w:val="00817B70"/>
    <w:rsid w:val="00820CEA"/>
    <w:rsid w:val="008210D6"/>
    <w:rsid w:val="00821823"/>
    <w:rsid w:val="00822986"/>
    <w:rsid w:val="008240CE"/>
    <w:rsid w:val="00824C96"/>
    <w:rsid w:val="00825093"/>
    <w:rsid w:val="0082569D"/>
    <w:rsid w:val="00825E8B"/>
    <w:rsid w:val="008264EB"/>
    <w:rsid w:val="00826B8F"/>
    <w:rsid w:val="00827B4D"/>
    <w:rsid w:val="0083032A"/>
    <w:rsid w:val="00830850"/>
    <w:rsid w:val="00831E8A"/>
    <w:rsid w:val="008321C1"/>
    <w:rsid w:val="008324FA"/>
    <w:rsid w:val="008327A0"/>
    <w:rsid w:val="00832AED"/>
    <w:rsid w:val="00832C15"/>
    <w:rsid w:val="00832D2D"/>
    <w:rsid w:val="00833935"/>
    <w:rsid w:val="008339C9"/>
    <w:rsid w:val="00835331"/>
    <w:rsid w:val="0083564C"/>
    <w:rsid w:val="00835C76"/>
    <w:rsid w:val="00836A43"/>
    <w:rsid w:val="00836CEC"/>
    <w:rsid w:val="00837F30"/>
    <w:rsid w:val="00840E6D"/>
    <w:rsid w:val="00841DD2"/>
    <w:rsid w:val="00841F96"/>
    <w:rsid w:val="00842595"/>
    <w:rsid w:val="00842751"/>
    <w:rsid w:val="00842C7F"/>
    <w:rsid w:val="00842E0D"/>
    <w:rsid w:val="00843049"/>
    <w:rsid w:val="00843E1B"/>
    <w:rsid w:val="00844095"/>
    <w:rsid w:val="008448BA"/>
    <w:rsid w:val="00844F81"/>
    <w:rsid w:val="0084566D"/>
    <w:rsid w:val="00846EDE"/>
    <w:rsid w:val="008472A6"/>
    <w:rsid w:val="008479A9"/>
    <w:rsid w:val="00847A0B"/>
    <w:rsid w:val="00847DF3"/>
    <w:rsid w:val="00847F03"/>
    <w:rsid w:val="008508DA"/>
    <w:rsid w:val="00850CF7"/>
    <w:rsid w:val="00850DA6"/>
    <w:rsid w:val="00850DD7"/>
    <w:rsid w:val="00851CFE"/>
    <w:rsid w:val="00852079"/>
    <w:rsid w:val="0085209B"/>
    <w:rsid w:val="00852550"/>
    <w:rsid w:val="00852CB3"/>
    <w:rsid w:val="00853144"/>
    <w:rsid w:val="00853991"/>
    <w:rsid w:val="00854C8A"/>
    <w:rsid w:val="008556DC"/>
    <w:rsid w:val="00855877"/>
    <w:rsid w:val="00855DAB"/>
    <w:rsid w:val="008565ED"/>
    <w:rsid w:val="00856B66"/>
    <w:rsid w:val="0085729B"/>
    <w:rsid w:val="00857633"/>
    <w:rsid w:val="00857635"/>
    <w:rsid w:val="0085768A"/>
    <w:rsid w:val="00860442"/>
    <w:rsid w:val="00860465"/>
    <w:rsid w:val="00861008"/>
    <w:rsid w:val="008615C9"/>
    <w:rsid w:val="00861A5F"/>
    <w:rsid w:val="00861DC5"/>
    <w:rsid w:val="00862010"/>
    <w:rsid w:val="008628ED"/>
    <w:rsid w:val="00863132"/>
    <w:rsid w:val="0086322F"/>
    <w:rsid w:val="00863763"/>
    <w:rsid w:val="00863BB0"/>
    <w:rsid w:val="008644AD"/>
    <w:rsid w:val="00864FBB"/>
    <w:rsid w:val="00865735"/>
    <w:rsid w:val="008658B8"/>
    <w:rsid w:val="00865926"/>
    <w:rsid w:val="00865A92"/>
    <w:rsid w:val="00865DDB"/>
    <w:rsid w:val="008664F4"/>
    <w:rsid w:val="008669EC"/>
    <w:rsid w:val="00866B65"/>
    <w:rsid w:val="008670C7"/>
    <w:rsid w:val="00867538"/>
    <w:rsid w:val="008678C4"/>
    <w:rsid w:val="00870A3F"/>
    <w:rsid w:val="00870BFF"/>
    <w:rsid w:val="00870DB2"/>
    <w:rsid w:val="008710EC"/>
    <w:rsid w:val="008716AB"/>
    <w:rsid w:val="00871AAA"/>
    <w:rsid w:val="00871D87"/>
    <w:rsid w:val="00872403"/>
    <w:rsid w:val="00872C55"/>
    <w:rsid w:val="008733C9"/>
    <w:rsid w:val="008735AD"/>
    <w:rsid w:val="00873707"/>
    <w:rsid w:val="00873863"/>
    <w:rsid w:val="00873A6B"/>
    <w:rsid w:val="00873C49"/>
    <w:rsid w:val="00873D90"/>
    <w:rsid w:val="00873E19"/>
    <w:rsid w:val="00873FC8"/>
    <w:rsid w:val="008749D6"/>
    <w:rsid w:val="00874C05"/>
    <w:rsid w:val="0087580E"/>
    <w:rsid w:val="00876214"/>
    <w:rsid w:val="0087773F"/>
    <w:rsid w:val="00877A26"/>
    <w:rsid w:val="008805EA"/>
    <w:rsid w:val="00880FE5"/>
    <w:rsid w:val="00881035"/>
    <w:rsid w:val="00881647"/>
    <w:rsid w:val="0088185D"/>
    <w:rsid w:val="00882B9A"/>
    <w:rsid w:val="0088348F"/>
    <w:rsid w:val="00883835"/>
    <w:rsid w:val="0088469C"/>
    <w:rsid w:val="00884C63"/>
    <w:rsid w:val="00884C71"/>
    <w:rsid w:val="00885908"/>
    <w:rsid w:val="00885D3D"/>
    <w:rsid w:val="00886404"/>
    <w:rsid w:val="008864B7"/>
    <w:rsid w:val="00887F35"/>
    <w:rsid w:val="00890493"/>
    <w:rsid w:val="00890EC7"/>
    <w:rsid w:val="0089129A"/>
    <w:rsid w:val="0089224B"/>
    <w:rsid w:val="00892AF6"/>
    <w:rsid w:val="00892E66"/>
    <w:rsid w:val="0089362B"/>
    <w:rsid w:val="0089367B"/>
    <w:rsid w:val="008938E8"/>
    <w:rsid w:val="00893CF5"/>
    <w:rsid w:val="00893F18"/>
    <w:rsid w:val="0089498A"/>
    <w:rsid w:val="00894D03"/>
    <w:rsid w:val="0089677E"/>
    <w:rsid w:val="0089693C"/>
    <w:rsid w:val="00896D68"/>
    <w:rsid w:val="00896E8C"/>
    <w:rsid w:val="00896F68"/>
    <w:rsid w:val="00897230"/>
    <w:rsid w:val="00897559"/>
    <w:rsid w:val="008978B4"/>
    <w:rsid w:val="008A047A"/>
    <w:rsid w:val="008A0B60"/>
    <w:rsid w:val="008A1052"/>
    <w:rsid w:val="008A1F72"/>
    <w:rsid w:val="008A34B8"/>
    <w:rsid w:val="008A387D"/>
    <w:rsid w:val="008A3A18"/>
    <w:rsid w:val="008A3CF9"/>
    <w:rsid w:val="008A4662"/>
    <w:rsid w:val="008A4880"/>
    <w:rsid w:val="008A4F6A"/>
    <w:rsid w:val="008A51D7"/>
    <w:rsid w:val="008A54A4"/>
    <w:rsid w:val="008A58C3"/>
    <w:rsid w:val="008A5BE2"/>
    <w:rsid w:val="008A5D00"/>
    <w:rsid w:val="008A5D4F"/>
    <w:rsid w:val="008A72F8"/>
    <w:rsid w:val="008A7438"/>
    <w:rsid w:val="008A7E3B"/>
    <w:rsid w:val="008B0587"/>
    <w:rsid w:val="008B0944"/>
    <w:rsid w:val="008B11EA"/>
    <w:rsid w:val="008B1334"/>
    <w:rsid w:val="008B1B43"/>
    <w:rsid w:val="008B2D36"/>
    <w:rsid w:val="008B2ED4"/>
    <w:rsid w:val="008B3161"/>
    <w:rsid w:val="008B3641"/>
    <w:rsid w:val="008B4982"/>
    <w:rsid w:val="008B5DFF"/>
    <w:rsid w:val="008B5FE8"/>
    <w:rsid w:val="008B6606"/>
    <w:rsid w:val="008B6674"/>
    <w:rsid w:val="008B695D"/>
    <w:rsid w:val="008B6C63"/>
    <w:rsid w:val="008B74ED"/>
    <w:rsid w:val="008B7612"/>
    <w:rsid w:val="008B768C"/>
    <w:rsid w:val="008C0278"/>
    <w:rsid w:val="008C0B7F"/>
    <w:rsid w:val="008C0F6E"/>
    <w:rsid w:val="008C1826"/>
    <w:rsid w:val="008C1BA0"/>
    <w:rsid w:val="008C1E47"/>
    <w:rsid w:val="008C24E9"/>
    <w:rsid w:val="008C2937"/>
    <w:rsid w:val="008C3837"/>
    <w:rsid w:val="008C53EE"/>
    <w:rsid w:val="008C74B6"/>
    <w:rsid w:val="008D0533"/>
    <w:rsid w:val="008D05DB"/>
    <w:rsid w:val="008D0A52"/>
    <w:rsid w:val="008D0CF5"/>
    <w:rsid w:val="008D160E"/>
    <w:rsid w:val="008D19B7"/>
    <w:rsid w:val="008D21FC"/>
    <w:rsid w:val="008D2560"/>
    <w:rsid w:val="008D2AD3"/>
    <w:rsid w:val="008D3904"/>
    <w:rsid w:val="008D42CB"/>
    <w:rsid w:val="008D48C9"/>
    <w:rsid w:val="008D5B79"/>
    <w:rsid w:val="008D5C32"/>
    <w:rsid w:val="008D5DA6"/>
    <w:rsid w:val="008D6381"/>
    <w:rsid w:val="008D69D8"/>
    <w:rsid w:val="008D7482"/>
    <w:rsid w:val="008D79D5"/>
    <w:rsid w:val="008D7BFF"/>
    <w:rsid w:val="008E039B"/>
    <w:rsid w:val="008E0C77"/>
    <w:rsid w:val="008E20BF"/>
    <w:rsid w:val="008E3161"/>
    <w:rsid w:val="008E33E0"/>
    <w:rsid w:val="008E35C3"/>
    <w:rsid w:val="008E38D6"/>
    <w:rsid w:val="008E3BCC"/>
    <w:rsid w:val="008E3D39"/>
    <w:rsid w:val="008E4151"/>
    <w:rsid w:val="008E625F"/>
    <w:rsid w:val="008E7466"/>
    <w:rsid w:val="008E7FAF"/>
    <w:rsid w:val="008F0093"/>
    <w:rsid w:val="008F021B"/>
    <w:rsid w:val="008F0CDE"/>
    <w:rsid w:val="008F0DDA"/>
    <w:rsid w:val="008F264D"/>
    <w:rsid w:val="008F2B2E"/>
    <w:rsid w:val="008F2BFD"/>
    <w:rsid w:val="008F31D9"/>
    <w:rsid w:val="008F3C53"/>
    <w:rsid w:val="008F3E3A"/>
    <w:rsid w:val="008F3F88"/>
    <w:rsid w:val="008F4309"/>
    <w:rsid w:val="008F4849"/>
    <w:rsid w:val="008F49BE"/>
    <w:rsid w:val="008F5500"/>
    <w:rsid w:val="008F7357"/>
    <w:rsid w:val="009006DB"/>
    <w:rsid w:val="009022BC"/>
    <w:rsid w:val="00902BFB"/>
    <w:rsid w:val="0090339B"/>
    <w:rsid w:val="009040A0"/>
    <w:rsid w:val="009045D5"/>
    <w:rsid w:val="00904B66"/>
    <w:rsid w:val="009059F4"/>
    <w:rsid w:val="009068DB"/>
    <w:rsid w:val="00907080"/>
    <w:rsid w:val="009074A3"/>
    <w:rsid w:val="009074E1"/>
    <w:rsid w:val="00910026"/>
    <w:rsid w:val="0091025E"/>
    <w:rsid w:val="009112F7"/>
    <w:rsid w:val="0091194A"/>
    <w:rsid w:val="00911DA4"/>
    <w:rsid w:val="009122AF"/>
    <w:rsid w:val="00912684"/>
    <w:rsid w:val="009127BC"/>
    <w:rsid w:val="0091286C"/>
    <w:rsid w:val="00912D54"/>
    <w:rsid w:val="00913137"/>
    <w:rsid w:val="00913710"/>
    <w:rsid w:val="0091389F"/>
    <w:rsid w:val="009139B4"/>
    <w:rsid w:val="009208F7"/>
    <w:rsid w:val="00921040"/>
    <w:rsid w:val="00921259"/>
    <w:rsid w:val="009215C1"/>
    <w:rsid w:val="0092200E"/>
    <w:rsid w:val="00922235"/>
    <w:rsid w:val="00922517"/>
    <w:rsid w:val="00922722"/>
    <w:rsid w:val="00922899"/>
    <w:rsid w:val="009235AA"/>
    <w:rsid w:val="009250A0"/>
    <w:rsid w:val="009251CA"/>
    <w:rsid w:val="00925437"/>
    <w:rsid w:val="009254CF"/>
    <w:rsid w:val="00925B70"/>
    <w:rsid w:val="00925C0B"/>
    <w:rsid w:val="009261E6"/>
    <w:rsid w:val="0092685D"/>
    <w:rsid w:val="009268E1"/>
    <w:rsid w:val="00926FD6"/>
    <w:rsid w:val="0093018D"/>
    <w:rsid w:val="00930DF0"/>
    <w:rsid w:val="00931DF0"/>
    <w:rsid w:val="009327B6"/>
    <w:rsid w:val="00932F5B"/>
    <w:rsid w:val="00933D37"/>
    <w:rsid w:val="00933E25"/>
    <w:rsid w:val="00934368"/>
    <w:rsid w:val="00934468"/>
    <w:rsid w:val="00934DF6"/>
    <w:rsid w:val="00935A05"/>
    <w:rsid w:val="00935BBA"/>
    <w:rsid w:val="00935CE5"/>
    <w:rsid w:val="00935ED9"/>
    <w:rsid w:val="009360BE"/>
    <w:rsid w:val="0093633D"/>
    <w:rsid w:val="0093738F"/>
    <w:rsid w:val="00937710"/>
    <w:rsid w:val="00937878"/>
    <w:rsid w:val="00940CE5"/>
    <w:rsid w:val="00942829"/>
    <w:rsid w:val="0094347D"/>
    <w:rsid w:val="00944498"/>
    <w:rsid w:val="009446CB"/>
    <w:rsid w:val="00945E7F"/>
    <w:rsid w:val="009462C7"/>
    <w:rsid w:val="00946462"/>
    <w:rsid w:val="00946916"/>
    <w:rsid w:val="00947831"/>
    <w:rsid w:val="009505CF"/>
    <w:rsid w:val="00950E70"/>
    <w:rsid w:val="009512E2"/>
    <w:rsid w:val="009513AC"/>
    <w:rsid w:val="009518E5"/>
    <w:rsid w:val="00952235"/>
    <w:rsid w:val="00952EB0"/>
    <w:rsid w:val="009546EF"/>
    <w:rsid w:val="009557C1"/>
    <w:rsid w:val="0096058A"/>
    <w:rsid w:val="0096066E"/>
    <w:rsid w:val="00960D6E"/>
    <w:rsid w:val="009617AC"/>
    <w:rsid w:val="009620DA"/>
    <w:rsid w:val="00962B75"/>
    <w:rsid w:val="009632B7"/>
    <w:rsid w:val="00963A41"/>
    <w:rsid w:val="00963AE4"/>
    <w:rsid w:val="00963D22"/>
    <w:rsid w:val="009644EE"/>
    <w:rsid w:val="00964587"/>
    <w:rsid w:val="00964749"/>
    <w:rsid w:val="00964BE4"/>
    <w:rsid w:val="009655ED"/>
    <w:rsid w:val="00965FE2"/>
    <w:rsid w:val="00966902"/>
    <w:rsid w:val="00966917"/>
    <w:rsid w:val="009673D9"/>
    <w:rsid w:val="00967698"/>
    <w:rsid w:val="009701F0"/>
    <w:rsid w:val="009709A4"/>
    <w:rsid w:val="00970CFB"/>
    <w:rsid w:val="00972063"/>
    <w:rsid w:val="00972BC1"/>
    <w:rsid w:val="009731C0"/>
    <w:rsid w:val="0097349A"/>
    <w:rsid w:val="00973B25"/>
    <w:rsid w:val="00973C42"/>
    <w:rsid w:val="00974B59"/>
    <w:rsid w:val="00974D8B"/>
    <w:rsid w:val="009759EA"/>
    <w:rsid w:val="00975DBE"/>
    <w:rsid w:val="00976FDF"/>
    <w:rsid w:val="00977E34"/>
    <w:rsid w:val="00980471"/>
    <w:rsid w:val="00981A8B"/>
    <w:rsid w:val="00982403"/>
    <w:rsid w:val="00982783"/>
    <w:rsid w:val="009829FB"/>
    <w:rsid w:val="0098340B"/>
    <w:rsid w:val="009841CE"/>
    <w:rsid w:val="0098567C"/>
    <w:rsid w:val="00986830"/>
    <w:rsid w:val="009874BD"/>
    <w:rsid w:val="00987C3A"/>
    <w:rsid w:val="009910EB"/>
    <w:rsid w:val="0099179B"/>
    <w:rsid w:val="009924C3"/>
    <w:rsid w:val="0099254C"/>
    <w:rsid w:val="00992DF4"/>
    <w:rsid w:val="00993102"/>
    <w:rsid w:val="00993A70"/>
    <w:rsid w:val="00993B08"/>
    <w:rsid w:val="0099498B"/>
    <w:rsid w:val="00995150"/>
    <w:rsid w:val="009951F4"/>
    <w:rsid w:val="00996F21"/>
    <w:rsid w:val="009976A6"/>
    <w:rsid w:val="009A001C"/>
    <w:rsid w:val="009A0B59"/>
    <w:rsid w:val="009A1346"/>
    <w:rsid w:val="009A146E"/>
    <w:rsid w:val="009A18CE"/>
    <w:rsid w:val="009A1932"/>
    <w:rsid w:val="009A2178"/>
    <w:rsid w:val="009A2882"/>
    <w:rsid w:val="009A29D4"/>
    <w:rsid w:val="009A2BCB"/>
    <w:rsid w:val="009A307A"/>
    <w:rsid w:val="009A3C27"/>
    <w:rsid w:val="009A46B0"/>
    <w:rsid w:val="009A4F1F"/>
    <w:rsid w:val="009A6B04"/>
    <w:rsid w:val="009A70EB"/>
    <w:rsid w:val="009A7381"/>
    <w:rsid w:val="009A78EE"/>
    <w:rsid w:val="009B0957"/>
    <w:rsid w:val="009B1655"/>
    <w:rsid w:val="009B1E52"/>
    <w:rsid w:val="009B236D"/>
    <w:rsid w:val="009B267C"/>
    <w:rsid w:val="009B2C23"/>
    <w:rsid w:val="009B2EBC"/>
    <w:rsid w:val="009B3054"/>
    <w:rsid w:val="009B3364"/>
    <w:rsid w:val="009B3DCD"/>
    <w:rsid w:val="009B4155"/>
    <w:rsid w:val="009B5490"/>
    <w:rsid w:val="009B601E"/>
    <w:rsid w:val="009B6908"/>
    <w:rsid w:val="009B6D65"/>
    <w:rsid w:val="009B700D"/>
    <w:rsid w:val="009B7AD3"/>
    <w:rsid w:val="009B7CC8"/>
    <w:rsid w:val="009B7F9C"/>
    <w:rsid w:val="009C00C0"/>
    <w:rsid w:val="009C08EC"/>
    <w:rsid w:val="009C0E50"/>
    <w:rsid w:val="009C14AB"/>
    <w:rsid w:val="009C23B3"/>
    <w:rsid w:val="009C29A3"/>
    <w:rsid w:val="009C2D98"/>
    <w:rsid w:val="009C3222"/>
    <w:rsid w:val="009C48C3"/>
    <w:rsid w:val="009C4A39"/>
    <w:rsid w:val="009C4C12"/>
    <w:rsid w:val="009C508E"/>
    <w:rsid w:val="009C5273"/>
    <w:rsid w:val="009C58F5"/>
    <w:rsid w:val="009C5E10"/>
    <w:rsid w:val="009C5E50"/>
    <w:rsid w:val="009C6325"/>
    <w:rsid w:val="009C6AB1"/>
    <w:rsid w:val="009C6AE2"/>
    <w:rsid w:val="009C6F10"/>
    <w:rsid w:val="009C7F70"/>
    <w:rsid w:val="009D0000"/>
    <w:rsid w:val="009D146C"/>
    <w:rsid w:val="009D148F"/>
    <w:rsid w:val="009D1AB2"/>
    <w:rsid w:val="009D2282"/>
    <w:rsid w:val="009D2988"/>
    <w:rsid w:val="009D3ACE"/>
    <w:rsid w:val="009D3D70"/>
    <w:rsid w:val="009D413E"/>
    <w:rsid w:val="009D6580"/>
    <w:rsid w:val="009D69F0"/>
    <w:rsid w:val="009D6D16"/>
    <w:rsid w:val="009D73D3"/>
    <w:rsid w:val="009D79FA"/>
    <w:rsid w:val="009D7D0E"/>
    <w:rsid w:val="009D7F34"/>
    <w:rsid w:val="009E07FE"/>
    <w:rsid w:val="009E28A7"/>
    <w:rsid w:val="009E2EC8"/>
    <w:rsid w:val="009E3470"/>
    <w:rsid w:val="009E4A1E"/>
    <w:rsid w:val="009E4B94"/>
    <w:rsid w:val="009E6AC0"/>
    <w:rsid w:val="009E6C4B"/>
    <w:rsid w:val="009E6F7E"/>
    <w:rsid w:val="009E73D6"/>
    <w:rsid w:val="009E7987"/>
    <w:rsid w:val="009E7A57"/>
    <w:rsid w:val="009F1128"/>
    <w:rsid w:val="009F1B20"/>
    <w:rsid w:val="009F24E0"/>
    <w:rsid w:val="009F255D"/>
    <w:rsid w:val="009F2933"/>
    <w:rsid w:val="009F4231"/>
    <w:rsid w:val="009F4F6A"/>
    <w:rsid w:val="009F511B"/>
    <w:rsid w:val="009F5EAD"/>
    <w:rsid w:val="009F642A"/>
    <w:rsid w:val="009F6F1E"/>
    <w:rsid w:val="00A00A12"/>
    <w:rsid w:val="00A00C6B"/>
    <w:rsid w:val="00A01E95"/>
    <w:rsid w:val="00A02210"/>
    <w:rsid w:val="00A0291B"/>
    <w:rsid w:val="00A032A5"/>
    <w:rsid w:val="00A04084"/>
    <w:rsid w:val="00A04A52"/>
    <w:rsid w:val="00A061A2"/>
    <w:rsid w:val="00A0781A"/>
    <w:rsid w:val="00A07884"/>
    <w:rsid w:val="00A10363"/>
    <w:rsid w:val="00A10A75"/>
    <w:rsid w:val="00A10BCE"/>
    <w:rsid w:val="00A10C94"/>
    <w:rsid w:val="00A11F01"/>
    <w:rsid w:val="00A12C73"/>
    <w:rsid w:val="00A12DE8"/>
    <w:rsid w:val="00A13AF0"/>
    <w:rsid w:val="00A13E7B"/>
    <w:rsid w:val="00A14B3D"/>
    <w:rsid w:val="00A1506E"/>
    <w:rsid w:val="00A15C4D"/>
    <w:rsid w:val="00A15D64"/>
    <w:rsid w:val="00A15EEA"/>
    <w:rsid w:val="00A1640D"/>
    <w:rsid w:val="00A16E36"/>
    <w:rsid w:val="00A17438"/>
    <w:rsid w:val="00A17468"/>
    <w:rsid w:val="00A1780F"/>
    <w:rsid w:val="00A209DF"/>
    <w:rsid w:val="00A20FE7"/>
    <w:rsid w:val="00A2327D"/>
    <w:rsid w:val="00A2354C"/>
    <w:rsid w:val="00A23679"/>
    <w:rsid w:val="00A240CA"/>
    <w:rsid w:val="00A24961"/>
    <w:rsid w:val="00A24B10"/>
    <w:rsid w:val="00A24BFB"/>
    <w:rsid w:val="00A24EB5"/>
    <w:rsid w:val="00A25001"/>
    <w:rsid w:val="00A25656"/>
    <w:rsid w:val="00A2643A"/>
    <w:rsid w:val="00A268CC"/>
    <w:rsid w:val="00A26D42"/>
    <w:rsid w:val="00A279BF"/>
    <w:rsid w:val="00A27FE8"/>
    <w:rsid w:val="00A30992"/>
    <w:rsid w:val="00A30E9B"/>
    <w:rsid w:val="00A31A49"/>
    <w:rsid w:val="00A31E89"/>
    <w:rsid w:val="00A320C2"/>
    <w:rsid w:val="00A3226E"/>
    <w:rsid w:val="00A326F4"/>
    <w:rsid w:val="00A32A8A"/>
    <w:rsid w:val="00A33F5C"/>
    <w:rsid w:val="00A3552B"/>
    <w:rsid w:val="00A35B3B"/>
    <w:rsid w:val="00A369BD"/>
    <w:rsid w:val="00A37743"/>
    <w:rsid w:val="00A37942"/>
    <w:rsid w:val="00A405F3"/>
    <w:rsid w:val="00A4094E"/>
    <w:rsid w:val="00A410C3"/>
    <w:rsid w:val="00A416AD"/>
    <w:rsid w:val="00A41955"/>
    <w:rsid w:val="00A42002"/>
    <w:rsid w:val="00A42454"/>
    <w:rsid w:val="00A4247A"/>
    <w:rsid w:val="00A42514"/>
    <w:rsid w:val="00A429F8"/>
    <w:rsid w:val="00A42B8D"/>
    <w:rsid w:val="00A436F4"/>
    <w:rsid w:val="00A442E7"/>
    <w:rsid w:val="00A44691"/>
    <w:rsid w:val="00A44E7A"/>
    <w:rsid w:val="00A4512D"/>
    <w:rsid w:val="00A45DFD"/>
    <w:rsid w:val="00A46162"/>
    <w:rsid w:val="00A46B56"/>
    <w:rsid w:val="00A46D36"/>
    <w:rsid w:val="00A47162"/>
    <w:rsid w:val="00A47BE0"/>
    <w:rsid w:val="00A47CBA"/>
    <w:rsid w:val="00A50244"/>
    <w:rsid w:val="00A50AEC"/>
    <w:rsid w:val="00A50D30"/>
    <w:rsid w:val="00A512EF"/>
    <w:rsid w:val="00A519EB"/>
    <w:rsid w:val="00A51E1F"/>
    <w:rsid w:val="00A53D8A"/>
    <w:rsid w:val="00A549E7"/>
    <w:rsid w:val="00A54B56"/>
    <w:rsid w:val="00A54F3A"/>
    <w:rsid w:val="00A567A6"/>
    <w:rsid w:val="00A56B2E"/>
    <w:rsid w:val="00A56D84"/>
    <w:rsid w:val="00A56F17"/>
    <w:rsid w:val="00A578C8"/>
    <w:rsid w:val="00A60326"/>
    <w:rsid w:val="00A604C1"/>
    <w:rsid w:val="00A61495"/>
    <w:rsid w:val="00A617AB"/>
    <w:rsid w:val="00A61892"/>
    <w:rsid w:val="00A6197E"/>
    <w:rsid w:val="00A62204"/>
    <w:rsid w:val="00A623FC"/>
    <w:rsid w:val="00A627D7"/>
    <w:rsid w:val="00A62FA6"/>
    <w:rsid w:val="00A63006"/>
    <w:rsid w:val="00A63341"/>
    <w:rsid w:val="00A64DD7"/>
    <w:rsid w:val="00A64F75"/>
    <w:rsid w:val="00A652DC"/>
    <w:rsid w:val="00A6537A"/>
    <w:rsid w:val="00A6544E"/>
    <w:rsid w:val="00A656C7"/>
    <w:rsid w:val="00A672E1"/>
    <w:rsid w:val="00A679E4"/>
    <w:rsid w:val="00A705AF"/>
    <w:rsid w:val="00A70839"/>
    <w:rsid w:val="00A717B8"/>
    <w:rsid w:val="00A71A21"/>
    <w:rsid w:val="00A72454"/>
    <w:rsid w:val="00A72C91"/>
    <w:rsid w:val="00A72EC9"/>
    <w:rsid w:val="00A72F98"/>
    <w:rsid w:val="00A73037"/>
    <w:rsid w:val="00A7348C"/>
    <w:rsid w:val="00A74345"/>
    <w:rsid w:val="00A74390"/>
    <w:rsid w:val="00A74513"/>
    <w:rsid w:val="00A74F2C"/>
    <w:rsid w:val="00A77243"/>
    <w:rsid w:val="00A77372"/>
    <w:rsid w:val="00A77696"/>
    <w:rsid w:val="00A7797E"/>
    <w:rsid w:val="00A80557"/>
    <w:rsid w:val="00A80BF0"/>
    <w:rsid w:val="00A80F81"/>
    <w:rsid w:val="00A810D3"/>
    <w:rsid w:val="00A81888"/>
    <w:rsid w:val="00A81D33"/>
    <w:rsid w:val="00A82500"/>
    <w:rsid w:val="00A8287B"/>
    <w:rsid w:val="00A82B01"/>
    <w:rsid w:val="00A84A61"/>
    <w:rsid w:val="00A851EC"/>
    <w:rsid w:val="00A868C3"/>
    <w:rsid w:val="00A878D1"/>
    <w:rsid w:val="00A9010B"/>
    <w:rsid w:val="00A90E77"/>
    <w:rsid w:val="00A913D7"/>
    <w:rsid w:val="00A9171C"/>
    <w:rsid w:val="00A91E56"/>
    <w:rsid w:val="00A9265C"/>
    <w:rsid w:val="00A9270A"/>
    <w:rsid w:val="00A92DC2"/>
    <w:rsid w:val="00A92EBC"/>
    <w:rsid w:val="00A930AE"/>
    <w:rsid w:val="00A93B74"/>
    <w:rsid w:val="00A94229"/>
    <w:rsid w:val="00A953BB"/>
    <w:rsid w:val="00A95A99"/>
    <w:rsid w:val="00A96090"/>
    <w:rsid w:val="00A968D4"/>
    <w:rsid w:val="00A96A1A"/>
    <w:rsid w:val="00A96B82"/>
    <w:rsid w:val="00A96D75"/>
    <w:rsid w:val="00A9700F"/>
    <w:rsid w:val="00A97AD2"/>
    <w:rsid w:val="00AA0012"/>
    <w:rsid w:val="00AA140B"/>
    <w:rsid w:val="00AA1A95"/>
    <w:rsid w:val="00AA260F"/>
    <w:rsid w:val="00AA3093"/>
    <w:rsid w:val="00AA3B9A"/>
    <w:rsid w:val="00AA580D"/>
    <w:rsid w:val="00AA6485"/>
    <w:rsid w:val="00AA678A"/>
    <w:rsid w:val="00AA688B"/>
    <w:rsid w:val="00AA72FC"/>
    <w:rsid w:val="00AB033A"/>
    <w:rsid w:val="00AB07D5"/>
    <w:rsid w:val="00AB0830"/>
    <w:rsid w:val="00AB143E"/>
    <w:rsid w:val="00AB1EE7"/>
    <w:rsid w:val="00AB2AF8"/>
    <w:rsid w:val="00AB35ED"/>
    <w:rsid w:val="00AB3611"/>
    <w:rsid w:val="00AB41AA"/>
    <w:rsid w:val="00AB45EB"/>
    <w:rsid w:val="00AB4B37"/>
    <w:rsid w:val="00AB4CA1"/>
    <w:rsid w:val="00AB5762"/>
    <w:rsid w:val="00AB6D2B"/>
    <w:rsid w:val="00AB7693"/>
    <w:rsid w:val="00AB7718"/>
    <w:rsid w:val="00AB7DD4"/>
    <w:rsid w:val="00AB7EB2"/>
    <w:rsid w:val="00AC0521"/>
    <w:rsid w:val="00AC0929"/>
    <w:rsid w:val="00AC0E3D"/>
    <w:rsid w:val="00AC103A"/>
    <w:rsid w:val="00AC1ED9"/>
    <w:rsid w:val="00AC2679"/>
    <w:rsid w:val="00AC2709"/>
    <w:rsid w:val="00AC2826"/>
    <w:rsid w:val="00AC3278"/>
    <w:rsid w:val="00AC367D"/>
    <w:rsid w:val="00AC4371"/>
    <w:rsid w:val="00AC47BA"/>
    <w:rsid w:val="00AC4BE4"/>
    <w:rsid w:val="00AC66F3"/>
    <w:rsid w:val="00AC6BF9"/>
    <w:rsid w:val="00AD05E6"/>
    <w:rsid w:val="00AD0645"/>
    <w:rsid w:val="00AD0D3F"/>
    <w:rsid w:val="00AD0F42"/>
    <w:rsid w:val="00AD188C"/>
    <w:rsid w:val="00AD1943"/>
    <w:rsid w:val="00AD1A88"/>
    <w:rsid w:val="00AD1C5A"/>
    <w:rsid w:val="00AD215B"/>
    <w:rsid w:val="00AD21C0"/>
    <w:rsid w:val="00AD25CA"/>
    <w:rsid w:val="00AD284E"/>
    <w:rsid w:val="00AD2A2A"/>
    <w:rsid w:val="00AD4C50"/>
    <w:rsid w:val="00AD4E00"/>
    <w:rsid w:val="00AD4EE9"/>
    <w:rsid w:val="00AD59D2"/>
    <w:rsid w:val="00AD5C5F"/>
    <w:rsid w:val="00AD6A39"/>
    <w:rsid w:val="00AD6C87"/>
    <w:rsid w:val="00AD7392"/>
    <w:rsid w:val="00AD79EE"/>
    <w:rsid w:val="00AE0197"/>
    <w:rsid w:val="00AE01EF"/>
    <w:rsid w:val="00AE021B"/>
    <w:rsid w:val="00AE0699"/>
    <w:rsid w:val="00AE1B10"/>
    <w:rsid w:val="00AE1D7D"/>
    <w:rsid w:val="00AE2374"/>
    <w:rsid w:val="00AE24A4"/>
    <w:rsid w:val="00AE258C"/>
    <w:rsid w:val="00AE2A8B"/>
    <w:rsid w:val="00AE2B2B"/>
    <w:rsid w:val="00AE2BB2"/>
    <w:rsid w:val="00AE2CAB"/>
    <w:rsid w:val="00AE2CC7"/>
    <w:rsid w:val="00AE2D29"/>
    <w:rsid w:val="00AE3058"/>
    <w:rsid w:val="00AE3203"/>
    <w:rsid w:val="00AE3277"/>
    <w:rsid w:val="00AE3EE3"/>
    <w:rsid w:val="00AE3F64"/>
    <w:rsid w:val="00AE3FC4"/>
    <w:rsid w:val="00AE413E"/>
    <w:rsid w:val="00AE4263"/>
    <w:rsid w:val="00AE4B1C"/>
    <w:rsid w:val="00AE4DF0"/>
    <w:rsid w:val="00AE4FD6"/>
    <w:rsid w:val="00AE5653"/>
    <w:rsid w:val="00AE5843"/>
    <w:rsid w:val="00AE5859"/>
    <w:rsid w:val="00AE6FBC"/>
    <w:rsid w:val="00AF0F95"/>
    <w:rsid w:val="00AF25F0"/>
    <w:rsid w:val="00AF2BCA"/>
    <w:rsid w:val="00AF2E52"/>
    <w:rsid w:val="00AF3794"/>
    <w:rsid w:val="00AF4737"/>
    <w:rsid w:val="00AF475C"/>
    <w:rsid w:val="00AF4AF4"/>
    <w:rsid w:val="00AF4AF8"/>
    <w:rsid w:val="00AF5554"/>
    <w:rsid w:val="00AF55B6"/>
    <w:rsid w:val="00AF5808"/>
    <w:rsid w:val="00AF5BF7"/>
    <w:rsid w:val="00AF6226"/>
    <w:rsid w:val="00AF6E18"/>
    <w:rsid w:val="00AF7386"/>
    <w:rsid w:val="00AF7934"/>
    <w:rsid w:val="00B00891"/>
    <w:rsid w:val="00B00B81"/>
    <w:rsid w:val="00B00E75"/>
    <w:rsid w:val="00B013BA"/>
    <w:rsid w:val="00B01555"/>
    <w:rsid w:val="00B0218D"/>
    <w:rsid w:val="00B022F8"/>
    <w:rsid w:val="00B02409"/>
    <w:rsid w:val="00B02D5F"/>
    <w:rsid w:val="00B0311C"/>
    <w:rsid w:val="00B034BF"/>
    <w:rsid w:val="00B04580"/>
    <w:rsid w:val="00B04940"/>
    <w:rsid w:val="00B04B09"/>
    <w:rsid w:val="00B04C25"/>
    <w:rsid w:val="00B055BF"/>
    <w:rsid w:val="00B062DC"/>
    <w:rsid w:val="00B06E2E"/>
    <w:rsid w:val="00B0767A"/>
    <w:rsid w:val="00B07E28"/>
    <w:rsid w:val="00B1069C"/>
    <w:rsid w:val="00B1087D"/>
    <w:rsid w:val="00B1171C"/>
    <w:rsid w:val="00B118D0"/>
    <w:rsid w:val="00B11921"/>
    <w:rsid w:val="00B129CA"/>
    <w:rsid w:val="00B12DBE"/>
    <w:rsid w:val="00B13A66"/>
    <w:rsid w:val="00B13F61"/>
    <w:rsid w:val="00B13FA9"/>
    <w:rsid w:val="00B151FC"/>
    <w:rsid w:val="00B1540E"/>
    <w:rsid w:val="00B159F8"/>
    <w:rsid w:val="00B163E2"/>
    <w:rsid w:val="00B16A51"/>
    <w:rsid w:val="00B17324"/>
    <w:rsid w:val="00B173F0"/>
    <w:rsid w:val="00B1750A"/>
    <w:rsid w:val="00B1760C"/>
    <w:rsid w:val="00B20107"/>
    <w:rsid w:val="00B2021B"/>
    <w:rsid w:val="00B20C41"/>
    <w:rsid w:val="00B20E35"/>
    <w:rsid w:val="00B21F10"/>
    <w:rsid w:val="00B2276E"/>
    <w:rsid w:val="00B22AD0"/>
    <w:rsid w:val="00B23277"/>
    <w:rsid w:val="00B2350F"/>
    <w:rsid w:val="00B235AE"/>
    <w:rsid w:val="00B235C4"/>
    <w:rsid w:val="00B24117"/>
    <w:rsid w:val="00B24520"/>
    <w:rsid w:val="00B24BE2"/>
    <w:rsid w:val="00B25440"/>
    <w:rsid w:val="00B25450"/>
    <w:rsid w:val="00B26421"/>
    <w:rsid w:val="00B26703"/>
    <w:rsid w:val="00B26A4D"/>
    <w:rsid w:val="00B27C4F"/>
    <w:rsid w:val="00B32222"/>
    <w:rsid w:val="00B32876"/>
    <w:rsid w:val="00B329B9"/>
    <w:rsid w:val="00B334F1"/>
    <w:rsid w:val="00B33AB1"/>
    <w:rsid w:val="00B34F62"/>
    <w:rsid w:val="00B350D3"/>
    <w:rsid w:val="00B35D05"/>
    <w:rsid w:val="00B35E5D"/>
    <w:rsid w:val="00B3618D"/>
    <w:rsid w:val="00B36233"/>
    <w:rsid w:val="00B37863"/>
    <w:rsid w:val="00B37BFD"/>
    <w:rsid w:val="00B4064C"/>
    <w:rsid w:val="00B4087C"/>
    <w:rsid w:val="00B41451"/>
    <w:rsid w:val="00B42449"/>
    <w:rsid w:val="00B42851"/>
    <w:rsid w:val="00B43400"/>
    <w:rsid w:val="00B43DC9"/>
    <w:rsid w:val="00B44090"/>
    <w:rsid w:val="00B44B67"/>
    <w:rsid w:val="00B459F2"/>
    <w:rsid w:val="00B45AC7"/>
    <w:rsid w:val="00B45E0A"/>
    <w:rsid w:val="00B4644D"/>
    <w:rsid w:val="00B46FE6"/>
    <w:rsid w:val="00B47441"/>
    <w:rsid w:val="00B50490"/>
    <w:rsid w:val="00B5118F"/>
    <w:rsid w:val="00B513BA"/>
    <w:rsid w:val="00B5192C"/>
    <w:rsid w:val="00B52905"/>
    <w:rsid w:val="00B5372F"/>
    <w:rsid w:val="00B538DC"/>
    <w:rsid w:val="00B541D6"/>
    <w:rsid w:val="00B568AB"/>
    <w:rsid w:val="00B57106"/>
    <w:rsid w:val="00B5746B"/>
    <w:rsid w:val="00B5795E"/>
    <w:rsid w:val="00B57C33"/>
    <w:rsid w:val="00B57C97"/>
    <w:rsid w:val="00B60137"/>
    <w:rsid w:val="00B6085A"/>
    <w:rsid w:val="00B60F0D"/>
    <w:rsid w:val="00B61129"/>
    <w:rsid w:val="00B61AA8"/>
    <w:rsid w:val="00B63EBA"/>
    <w:rsid w:val="00B64FC3"/>
    <w:rsid w:val="00B6501E"/>
    <w:rsid w:val="00B650E3"/>
    <w:rsid w:val="00B657A3"/>
    <w:rsid w:val="00B65C4A"/>
    <w:rsid w:val="00B65E66"/>
    <w:rsid w:val="00B6678C"/>
    <w:rsid w:val="00B66EDC"/>
    <w:rsid w:val="00B673BC"/>
    <w:rsid w:val="00B675E9"/>
    <w:rsid w:val="00B6782B"/>
    <w:rsid w:val="00B67E7F"/>
    <w:rsid w:val="00B71EDC"/>
    <w:rsid w:val="00B72D88"/>
    <w:rsid w:val="00B73D3F"/>
    <w:rsid w:val="00B73D63"/>
    <w:rsid w:val="00B75574"/>
    <w:rsid w:val="00B75A04"/>
    <w:rsid w:val="00B76125"/>
    <w:rsid w:val="00B765AE"/>
    <w:rsid w:val="00B80B73"/>
    <w:rsid w:val="00B80C44"/>
    <w:rsid w:val="00B81234"/>
    <w:rsid w:val="00B81FAC"/>
    <w:rsid w:val="00B822AC"/>
    <w:rsid w:val="00B82ACA"/>
    <w:rsid w:val="00B839B2"/>
    <w:rsid w:val="00B83EBD"/>
    <w:rsid w:val="00B84F33"/>
    <w:rsid w:val="00B8591A"/>
    <w:rsid w:val="00B85C79"/>
    <w:rsid w:val="00B860A9"/>
    <w:rsid w:val="00B874D1"/>
    <w:rsid w:val="00B87935"/>
    <w:rsid w:val="00B87B5C"/>
    <w:rsid w:val="00B9093A"/>
    <w:rsid w:val="00B90BFA"/>
    <w:rsid w:val="00B910AC"/>
    <w:rsid w:val="00B91111"/>
    <w:rsid w:val="00B915DE"/>
    <w:rsid w:val="00B9209D"/>
    <w:rsid w:val="00B9216F"/>
    <w:rsid w:val="00B92572"/>
    <w:rsid w:val="00B93338"/>
    <w:rsid w:val="00B937CC"/>
    <w:rsid w:val="00B93AC0"/>
    <w:rsid w:val="00B9415F"/>
    <w:rsid w:val="00B94252"/>
    <w:rsid w:val="00B94BF5"/>
    <w:rsid w:val="00B94D19"/>
    <w:rsid w:val="00B95A06"/>
    <w:rsid w:val="00B95ECB"/>
    <w:rsid w:val="00B962D5"/>
    <w:rsid w:val="00B96615"/>
    <w:rsid w:val="00B9703A"/>
    <w:rsid w:val="00B9715A"/>
    <w:rsid w:val="00B9750B"/>
    <w:rsid w:val="00B976F1"/>
    <w:rsid w:val="00BA014C"/>
    <w:rsid w:val="00BA0DE1"/>
    <w:rsid w:val="00BA1171"/>
    <w:rsid w:val="00BA14BE"/>
    <w:rsid w:val="00BA1C53"/>
    <w:rsid w:val="00BA2732"/>
    <w:rsid w:val="00BA293D"/>
    <w:rsid w:val="00BA2B3E"/>
    <w:rsid w:val="00BA2D53"/>
    <w:rsid w:val="00BA3B0F"/>
    <w:rsid w:val="00BA49BC"/>
    <w:rsid w:val="00BA52FC"/>
    <w:rsid w:val="00BA56B7"/>
    <w:rsid w:val="00BA5758"/>
    <w:rsid w:val="00BA5BFA"/>
    <w:rsid w:val="00BA5CA8"/>
    <w:rsid w:val="00BA6DA7"/>
    <w:rsid w:val="00BA739F"/>
    <w:rsid w:val="00BA7A1E"/>
    <w:rsid w:val="00BA7CA9"/>
    <w:rsid w:val="00BA7D9B"/>
    <w:rsid w:val="00BA7F26"/>
    <w:rsid w:val="00BB1322"/>
    <w:rsid w:val="00BB1B8D"/>
    <w:rsid w:val="00BB1D8C"/>
    <w:rsid w:val="00BB28B4"/>
    <w:rsid w:val="00BB2F6C"/>
    <w:rsid w:val="00BB3875"/>
    <w:rsid w:val="00BB46D8"/>
    <w:rsid w:val="00BB4AF0"/>
    <w:rsid w:val="00BB4EF8"/>
    <w:rsid w:val="00BB503C"/>
    <w:rsid w:val="00BB5587"/>
    <w:rsid w:val="00BB5860"/>
    <w:rsid w:val="00BB60D3"/>
    <w:rsid w:val="00BB6AAD"/>
    <w:rsid w:val="00BC17EA"/>
    <w:rsid w:val="00BC28E3"/>
    <w:rsid w:val="00BC2C2C"/>
    <w:rsid w:val="00BC3124"/>
    <w:rsid w:val="00BC3266"/>
    <w:rsid w:val="00BC36C3"/>
    <w:rsid w:val="00BC3B41"/>
    <w:rsid w:val="00BC3CDC"/>
    <w:rsid w:val="00BC4A19"/>
    <w:rsid w:val="00BC4B4D"/>
    <w:rsid w:val="00BC4C13"/>
    <w:rsid w:val="00BC4E6D"/>
    <w:rsid w:val="00BC5D52"/>
    <w:rsid w:val="00BC6046"/>
    <w:rsid w:val="00BC6064"/>
    <w:rsid w:val="00BC6186"/>
    <w:rsid w:val="00BC6AAB"/>
    <w:rsid w:val="00BC7A3D"/>
    <w:rsid w:val="00BD0617"/>
    <w:rsid w:val="00BD23F2"/>
    <w:rsid w:val="00BD2404"/>
    <w:rsid w:val="00BD2E9B"/>
    <w:rsid w:val="00BD345C"/>
    <w:rsid w:val="00BD366B"/>
    <w:rsid w:val="00BD3887"/>
    <w:rsid w:val="00BD3C1C"/>
    <w:rsid w:val="00BD3E16"/>
    <w:rsid w:val="00BD50DB"/>
    <w:rsid w:val="00BD5191"/>
    <w:rsid w:val="00BE0401"/>
    <w:rsid w:val="00BE059B"/>
    <w:rsid w:val="00BE0DAA"/>
    <w:rsid w:val="00BE1BB2"/>
    <w:rsid w:val="00BE3005"/>
    <w:rsid w:val="00BE32D4"/>
    <w:rsid w:val="00BE421E"/>
    <w:rsid w:val="00BE42A2"/>
    <w:rsid w:val="00BE4A43"/>
    <w:rsid w:val="00BE4B7E"/>
    <w:rsid w:val="00BE4D4E"/>
    <w:rsid w:val="00BE54F4"/>
    <w:rsid w:val="00BE6164"/>
    <w:rsid w:val="00BE67C4"/>
    <w:rsid w:val="00BE6E0A"/>
    <w:rsid w:val="00BE728C"/>
    <w:rsid w:val="00BE7E5D"/>
    <w:rsid w:val="00BF0141"/>
    <w:rsid w:val="00BF112D"/>
    <w:rsid w:val="00BF12CD"/>
    <w:rsid w:val="00BF375B"/>
    <w:rsid w:val="00BF399A"/>
    <w:rsid w:val="00BF4076"/>
    <w:rsid w:val="00BF6221"/>
    <w:rsid w:val="00BF6365"/>
    <w:rsid w:val="00BF66E2"/>
    <w:rsid w:val="00BF6BA1"/>
    <w:rsid w:val="00BF7275"/>
    <w:rsid w:val="00BF7802"/>
    <w:rsid w:val="00BF7AD7"/>
    <w:rsid w:val="00C0000A"/>
    <w:rsid w:val="00C00930"/>
    <w:rsid w:val="00C01E56"/>
    <w:rsid w:val="00C024EB"/>
    <w:rsid w:val="00C0260E"/>
    <w:rsid w:val="00C033C0"/>
    <w:rsid w:val="00C0461D"/>
    <w:rsid w:val="00C0509C"/>
    <w:rsid w:val="00C05B73"/>
    <w:rsid w:val="00C060AD"/>
    <w:rsid w:val="00C0670D"/>
    <w:rsid w:val="00C11347"/>
    <w:rsid w:val="00C113BF"/>
    <w:rsid w:val="00C118B2"/>
    <w:rsid w:val="00C1225D"/>
    <w:rsid w:val="00C12D18"/>
    <w:rsid w:val="00C13322"/>
    <w:rsid w:val="00C13C07"/>
    <w:rsid w:val="00C13C46"/>
    <w:rsid w:val="00C13EF0"/>
    <w:rsid w:val="00C141D2"/>
    <w:rsid w:val="00C14615"/>
    <w:rsid w:val="00C14B28"/>
    <w:rsid w:val="00C14FDF"/>
    <w:rsid w:val="00C15593"/>
    <w:rsid w:val="00C15DC5"/>
    <w:rsid w:val="00C16743"/>
    <w:rsid w:val="00C16B3E"/>
    <w:rsid w:val="00C16E7D"/>
    <w:rsid w:val="00C17081"/>
    <w:rsid w:val="00C17567"/>
    <w:rsid w:val="00C17BE2"/>
    <w:rsid w:val="00C17DBB"/>
    <w:rsid w:val="00C20617"/>
    <w:rsid w:val="00C20BAE"/>
    <w:rsid w:val="00C2172F"/>
    <w:rsid w:val="00C2176E"/>
    <w:rsid w:val="00C21F84"/>
    <w:rsid w:val="00C2224B"/>
    <w:rsid w:val="00C22706"/>
    <w:rsid w:val="00C22C6F"/>
    <w:rsid w:val="00C23142"/>
    <w:rsid w:val="00C23430"/>
    <w:rsid w:val="00C2344F"/>
    <w:rsid w:val="00C234F2"/>
    <w:rsid w:val="00C23542"/>
    <w:rsid w:val="00C23C7E"/>
    <w:rsid w:val="00C23C97"/>
    <w:rsid w:val="00C24B48"/>
    <w:rsid w:val="00C24DE2"/>
    <w:rsid w:val="00C2508A"/>
    <w:rsid w:val="00C2521D"/>
    <w:rsid w:val="00C2532E"/>
    <w:rsid w:val="00C25BCE"/>
    <w:rsid w:val="00C2622D"/>
    <w:rsid w:val="00C26322"/>
    <w:rsid w:val="00C27D67"/>
    <w:rsid w:val="00C30C46"/>
    <w:rsid w:val="00C30E19"/>
    <w:rsid w:val="00C3176B"/>
    <w:rsid w:val="00C320A2"/>
    <w:rsid w:val="00C32E5E"/>
    <w:rsid w:val="00C33154"/>
    <w:rsid w:val="00C347CD"/>
    <w:rsid w:val="00C34BD6"/>
    <w:rsid w:val="00C34CBA"/>
    <w:rsid w:val="00C37B8C"/>
    <w:rsid w:val="00C41D1F"/>
    <w:rsid w:val="00C42DBD"/>
    <w:rsid w:val="00C43AC7"/>
    <w:rsid w:val="00C44D50"/>
    <w:rsid w:val="00C45295"/>
    <w:rsid w:val="00C45FBF"/>
    <w:rsid w:val="00C4631F"/>
    <w:rsid w:val="00C46440"/>
    <w:rsid w:val="00C468AE"/>
    <w:rsid w:val="00C472FF"/>
    <w:rsid w:val="00C4760A"/>
    <w:rsid w:val="00C5017A"/>
    <w:rsid w:val="00C5057B"/>
    <w:rsid w:val="00C50CAA"/>
    <w:rsid w:val="00C50E16"/>
    <w:rsid w:val="00C51D51"/>
    <w:rsid w:val="00C5211B"/>
    <w:rsid w:val="00C53A72"/>
    <w:rsid w:val="00C55258"/>
    <w:rsid w:val="00C57049"/>
    <w:rsid w:val="00C57559"/>
    <w:rsid w:val="00C57E4B"/>
    <w:rsid w:val="00C6028C"/>
    <w:rsid w:val="00C602BE"/>
    <w:rsid w:val="00C61FA0"/>
    <w:rsid w:val="00C626CC"/>
    <w:rsid w:val="00C63C16"/>
    <w:rsid w:val="00C63C1C"/>
    <w:rsid w:val="00C64C09"/>
    <w:rsid w:val="00C65088"/>
    <w:rsid w:val="00C6532D"/>
    <w:rsid w:val="00C66913"/>
    <w:rsid w:val="00C67438"/>
    <w:rsid w:val="00C7027B"/>
    <w:rsid w:val="00C70EB7"/>
    <w:rsid w:val="00C7129A"/>
    <w:rsid w:val="00C71D00"/>
    <w:rsid w:val="00C725A1"/>
    <w:rsid w:val="00C72B37"/>
    <w:rsid w:val="00C72B92"/>
    <w:rsid w:val="00C72CC6"/>
    <w:rsid w:val="00C72D6E"/>
    <w:rsid w:val="00C72E1E"/>
    <w:rsid w:val="00C73818"/>
    <w:rsid w:val="00C73BC6"/>
    <w:rsid w:val="00C7421C"/>
    <w:rsid w:val="00C758E3"/>
    <w:rsid w:val="00C774DA"/>
    <w:rsid w:val="00C80617"/>
    <w:rsid w:val="00C80DFA"/>
    <w:rsid w:val="00C8129E"/>
    <w:rsid w:val="00C81CE0"/>
    <w:rsid w:val="00C82CD3"/>
    <w:rsid w:val="00C82EEB"/>
    <w:rsid w:val="00C83267"/>
    <w:rsid w:val="00C83D00"/>
    <w:rsid w:val="00C840B5"/>
    <w:rsid w:val="00C840F3"/>
    <w:rsid w:val="00C84422"/>
    <w:rsid w:val="00C84855"/>
    <w:rsid w:val="00C848BA"/>
    <w:rsid w:val="00C85AAA"/>
    <w:rsid w:val="00C85D11"/>
    <w:rsid w:val="00C86507"/>
    <w:rsid w:val="00C866DD"/>
    <w:rsid w:val="00C86808"/>
    <w:rsid w:val="00C86F6E"/>
    <w:rsid w:val="00C8714C"/>
    <w:rsid w:val="00C87C1D"/>
    <w:rsid w:val="00C87F2A"/>
    <w:rsid w:val="00C90079"/>
    <w:rsid w:val="00C90409"/>
    <w:rsid w:val="00C9067E"/>
    <w:rsid w:val="00C906F4"/>
    <w:rsid w:val="00C907A2"/>
    <w:rsid w:val="00C90BA1"/>
    <w:rsid w:val="00C918BC"/>
    <w:rsid w:val="00C91C29"/>
    <w:rsid w:val="00C91E6A"/>
    <w:rsid w:val="00C92562"/>
    <w:rsid w:val="00C92B43"/>
    <w:rsid w:val="00C93995"/>
    <w:rsid w:val="00C9568D"/>
    <w:rsid w:val="00C96004"/>
    <w:rsid w:val="00C96BF9"/>
    <w:rsid w:val="00C971DC"/>
    <w:rsid w:val="00C97526"/>
    <w:rsid w:val="00CA014A"/>
    <w:rsid w:val="00CA16B7"/>
    <w:rsid w:val="00CA1737"/>
    <w:rsid w:val="00CA186B"/>
    <w:rsid w:val="00CA27ED"/>
    <w:rsid w:val="00CA4B61"/>
    <w:rsid w:val="00CA4BE3"/>
    <w:rsid w:val="00CA5581"/>
    <w:rsid w:val="00CA6052"/>
    <w:rsid w:val="00CA62AE"/>
    <w:rsid w:val="00CA6A98"/>
    <w:rsid w:val="00CA6D3C"/>
    <w:rsid w:val="00CA7C72"/>
    <w:rsid w:val="00CB0176"/>
    <w:rsid w:val="00CB079A"/>
    <w:rsid w:val="00CB1229"/>
    <w:rsid w:val="00CB2276"/>
    <w:rsid w:val="00CB28A1"/>
    <w:rsid w:val="00CB2D0F"/>
    <w:rsid w:val="00CB4188"/>
    <w:rsid w:val="00CB4A19"/>
    <w:rsid w:val="00CB4B45"/>
    <w:rsid w:val="00CB4F5D"/>
    <w:rsid w:val="00CB4F97"/>
    <w:rsid w:val="00CB5606"/>
    <w:rsid w:val="00CB57E3"/>
    <w:rsid w:val="00CB5B1A"/>
    <w:rsid w:val="00CB5E9F"/>
    <w:rsid w:val="00CB6221"/>
    <w:rsid w:val="00CB649C"/>
    <w:rsid w:val="00CB6DD7"/>
    <w:rsid w:val="00CB6E8F"/>
    <w:rsid w:val="00CB7E74"/>
    <w:rsid w:val="00CC220B"/>
    <w:rsid w:val="00CC2D3F"/>
    <w:rsid w:val="00CC35DD"/>
    <w:rsid w:val="00CC370A"/>
    <w:rsid w:val="00CC3D51"/>
    <w:rsid w:val="00CC5504"/>
    <w:rsid w:val="00CC5C43"/>
    <w:rsid w:val="00CC6063"/>
    <w:rsid w:val="00CC61B4"/>
    <w:rsid w:val="00CC733F"/>
    <w:rsid w:val="00CC7BD4"/>
    <w:rsid w:val="00CC7DF0"/>
    <w:rsid w:val="00CD02AE"/>
    <w:rsid w:val="00CD0582"/>
    <w:rsid w:val="00CD0FF1"/>
    <w:rsid w:val="00CD151B"/>
    <w:rsid w:val="00CD19FA"/>
    <w:rsid w:val="00CD2534"/>
    <w:rsid w:val="00CD2964"/>
    <w:rsid w:val="00CD298A"/>
    <w:rsid w:val="00CD2A4F"/>
    <w:rsid w:val="00CD3591"/>
    <w:rsid w:val="00CD37CF"/>
    <w:rsid w:val="00CD39C4"/>
    <w:rsid w:val="00CD4312"/>
    <w:rsid w:val="00CD4397"/>
    <w:rsid w:val="00CD485E"/>
    <w:rsid w:val="00CD4AB7"/>
    <w:rsid w:val="00CD5BD0"/>
    <w:rsid w:val="00CD67DA"/>
    <w:rsid w:val="00CD72C3"/>
    <w:rsid w:val="00CD7651"/>
    <w:rsid w:val="00CD7AE7"/>
    <w:rsid w:val="00CE03CA"/>
    <w:rsid w:val="00CE14A5"/>
    <w:rsid w:val="00CE18EA"/>
    <w:rsid w:val="00CE1CF0"/>
    <w:rsid w:val="00CE22F1"/>
    <w:rsid w:val="00CE290A"/>
    <w:rsid w:val="00CE47EE"/>
    <w:rsid w:val="00CE50F2"/>
    <w:rsid w:val="00CE5DBB"/>
    <w:rsid w:val="00CE6502"/>
    <w:rsid w:val="00CE7970"/>
    <w:rsid w:val="00CE79C1"/>
    <w:rsid w:val="00CF03E9"/>
    <w:rsid w:val="00CF0633"/>
    <w:rsid w:val="00CF0F94"/>
    <w:rsid w:val="00CF3076"/>
    <w:rsid w:val="00CF4285"/>
    <w:rsid w:val="00CF47EF"/>
    <w:rsid w:val="00CF5979"/>
    <w:rsid w:val="00CF7604"/>
    <w:rsid w:val="00CF7D3C"/>
    <w:rsid w:val="00D00AC3"/>
    <w:rsid w:val="00D01513"/>
    <w:rsid w:val="00D01C36"/>
    <w:rsid w:val="00D01D7D"/>
    <w:rsid w:val="00D01E23"/>
    <w:rsid w:val="00D01F85"/>
    <w:rsid w:val="00D020B3"/>
    <w:rsid w:val="00D022EE"/>
    <w:rsid w:val="00D023A5"/>
    <w:rsid w:val="00D02A94"/>
    <w:rsid w:val="00D02E54"/>
    <w:rsid w:val="00D03933"/>
    <w:rsid w:val="00D0454D"/>
    <w:rsid w:val="00D046DC"/>
    <w:rsid w:val="00D06107"/>
    <w:rsid w:val="00D1007F"/>
    <w:rsid w:val="00D10D98"/>
    <w:rsid w:val="00D11DE6"/>
    <w:rsid w:val="00D134A4"/>
    <w:rsid w:val="00D1366F"/>
    <w:rsid w:val="00D138D1"/>
    <w:rsid w:val="00D13BF3"/>
    <w:rsid w:val="00D147EB"/>
    <w:rsid w:val="00D14832"/>
    <w:rsid w:val="00D15375"/>
    <w:rsid w:val="00D1539E"/>
    <w:rsid w:val="00D16641"/>
    <w:rsid w:val="00D16D5B"/>
    <w:rsid w:val="00D176A8"/>
    <w:rsid w:val="00D17E25"/>
    <w:rsid w:val="00D20350"/>
    <w:rsid w:val="00D20445"/>
    <w:rsid w:val="00D20887"/>
    <w:rsid w:val="00D20F54"/>
    <w:rsid w:val="00D21151"/>
    <w:rsid w:val="00D22CCC"/>
    <w:rsid w:val="00D237D2"/>
    <w:rsid w:val="00D238EB"/>
    <w:rsid w:val="00D2498B"/>
    <w:rsid w:val="00D25F86"/>
    <w:rsid w:val="00D26AFC"/>
    <w:rsid w:val="00D26DC5"/>
    <w:rsid w:val="00D2727C"/>
    <w:rsid w:val="00D2792A"/>
    <w:rsid w:val="00D27A3A"/>
    <w:rsid w:val="00D27DD7"/>
    <w:rsid w:val="00D31F39"/>
    <w:rsid w:val="00D320E2"/>
    <w:rsid w:val="00D3263A"/>
    <w:rsid w:val="00D329B0"/>
    <w:rsid w:val="00D33C90"/>
    <w:rsid w:val="00D33F98"/>
    <w:rsid w:val="00D34667"/>
    <w:rsid w:val="00D35BCF"/>
    <w:rsid w:val="00D361B3"/>
    <w:rsid w:val="00D3658A"/>
    <w:rsid w:val="00D3661E"/>
    <w:rsid w:val="00D36B57"/>
    <w:rsid w:val="00D37143"/>
    <w:rsid w:val="00D401E1"/>
    <w:rsid w:val="00D408B4"/>
    <w:rsid w:val="00D41658"/>
    <w:rsid w:val="00D423B1"/>
    <w:rsid w:val="00D42858"/>
    <w:rsid w:val="00D42E94"/>
    <w:rsid w:val="00D449DA"/>
    <w:rsid w:val="00D44C79"/>
    <w:rsid w:val="00D44E9C"/>
    <w:rsid w:val="00D44EB5"/>
    <w:rsid w:val="00D44F14"/>
    <w:rsid w:val="00D45AFD"/>
    <w:rsid w:val="00D45D94"/>
    <w:rsid w:val="00D47234"/>
    <w:rsid w:val="00D4797B"/>
    <w:rsid w:val="00D506E7"/>
    <w:rsid w:val="00D5112E"/>
    <w:rsid w:val="00D51400"/>
    <w:rsid w:val="00D51CE1"/>
    <w:rsid w:val="00D524C8"/>
    <w:rsid w:val="00D527D3"/>
    <w:rsid w:val="00D52812"/>
    <w:rsid w:val="00D529D2"/>
    <w:rsid w:val="00D5488B"/>
    <w:rsid w:val="00D550E6"/>
    <w:rsid w:val="00D5662E"/>
    <w:rsid w:val="00D571D5"/>
    <w:rsid w:val="00D5728C"/>
    <w:rsid w:val="00D6014C"/>
    <w:rsid w:val="00D60962"/>
    <w:rsid w:val="00D60E25"/>
    <w:rsid w:val="00D61D1A"/>
    <w:rsid w:val="00D6339D"/>
    <w:rsid w:val="00D63421"/>
    <w:rsid w:val="00D6351D"/>
    <w:rsid w:val="00D63ADF"/>
    <w:rsid w:val="00D63F2F"/>
    <w:rsid w:val="00D643B6"/>
    <w:rsid w:val="00D64BF5"/>
    <w:rsid w:val="00D701D2"/>
    <w:rsid w:val="00D70583"/>
    <w:rsid w:val="00D7081F"/>
    <w:rsid w:val="00D70C66"/>
    <w:rsid w:val="00D70E24"/>
    <w:rsid w:val="00D71302"/>
    <w:rsid w:val="00D71691"/>
    <w:rsid w:val="00D71AA1"/>
    <w:rsid w:val="00D71EF2"/>
    <w:rsid w:val="00D72B61"/>
    <w:rsid w:val="00D72BB0"/>
    <w:rsid w:val="00D73CB5"/>
    <w:rsid w:val="00D75FF0"/>
    <w:rsid w:val="00D76313"/>
    <w:rsid w:val="00D76818"/>
    <w:rsid w:val="00D76D2D"/>
    <w:rsid w:val="00D770F0"/>
    <w:rsid w:val="00D772D8"/>
    <w:rsid w:val="00D77A58"/>
    <w:rsid w:val="00D8164B"/>
    <w:rsid w:val="00D81881"/>
    <w:rsid w:val="00D820E8"/>
    <w:rsid w:val="00D824C7"/>
    <w:rsid w:val="00D83256"/>
    <w:rsid w:val="00D839B9"/>
    <w:rsid w:val="00D84305"/>
    <w:rsid w:val="00D8468B"/>
    <w:rsid w:val="00D848BA"/>
    <w:rsid w:val="00D850F4"/>
    <w:rsid w:val="00D85E59"/>
    <w:rsid w:val="00D86BEE"/>
    <w:rsid w:val="00D871FA"/>
    <w:rsid w:val="00D87307"/>
    <w:rsid w:val="00D873A1"/>
    <w:rsid w:val="00D90894"/>
    <w:rsid w:val="00D91433"/>
    <w:rsid w:val="00D915D2"/>
    <w:rsid w:val="00D91730"/>
    <w:rsid w:val="00D92783"/>
    <w:rsid w:val="00D92F5F"/>
    <w:rsid w:val="00D937ED"/>
    <w:rsid w:val="00D94262"/>
    <w:rsid w:val="00D95EC9"/>
    <w:rsid w:val="00D95FC8"/>
    <w:rsid w:val="00D9780F"/>
    <w:rsid w:val="00D9792B"/>
    <w:rsid w:val="00D97D72"/>
    <w:rsid w:val="00DA01C4"/>
    <w:rsid w:val="00DA062D"/>
    <w:rsid w:val="00DA08EB"/>
    <w:rsid w:val="00DA2A68"/>
    <w:rsid w:val="00DA3D1D"/>
    <w:rsid w:val="00DA3F1E"/>
    <w:rsid w:val="00DA4AB7"/>
    <w:rsid w:val="00DA5EB9"/>
    <w:rsid w:val="00DA785F"/>
    <w:rsid w:val="00DB0138"/>
    <w:rsid w:val="00DB03E4"/>
    <w:rsid w:val="00DB049B"/>
    <w:rsid w:val="00DB04B9"/>
    <w:rsid w:val="00DB1622"/>
    <w:rsid w:val="00DB1D96"/>
    <w:rsid w:val="00DB1F7E"/>
    <w:rsid w:val="00DB20C6"/>
    <w:rsid w:val="00DB20E2"/>
    <w:rsid w:val="00DB2501"/>
    <w:rsid w:val="00DB28F8"/>
    <w:rsid w:val="00DB2C31"/>
    <w:rsid w:val="00DB303F"/>
    <w:rsid w:val="00DB407B"/>
    <w:rsid w:val="00DB41D3"/>
    <w:rsid w:val="00DB473C"/>
    <w:rsid w:val="00DB55D2"/>
    <w:rsid w:val="00DB5BB1"/>
    <w:rsid w:val="00DB60BE"/>
    <w:rsid w:val="00DB6286"/>
    <w:rsid w:val="00DB645F"/>
    <w:rsid w:val="00DB7590"/>
    <w:rsid w:val="00DB76E9"/>
    <w:rsid w:val="00DB78A4"/>
    <w:rsid w:val="00DB7A20"/>
    <w:rsid w:val="00DC0A67"/>
    <w:rsid w:val="00DC112C"/>
    <w:rsid w:val="00DC13D5"/>
    <w:rsid w:val="00DC15F0"/>
    <w:rsid w:val="00DC164A"/>
    <w:rsid w:val="00DC1B65"/>
    <w:rsid w:val="00DC1D5E"/>
    <w:rsid w:val="00DC2313"/>
    <w:rsid w:val="00DC2503"/>
    <w:rsid w:val="00DC2B7E"/>
    <w:rsid w:val="00DC31AB"/>
    <w:rsid w:val="00DC31F2"/>
    <w:rsid w:val="00DC32BB"/>
    <w:rsid w:val="00DC36FE"/>
    <w:rsid w:val="00DC3948"/>
    <w:rsid w:val="00DC4A4B"/>
    <w:rsid w:val="00DC4FE6"/>
    <w:rsid w:val="00DC5220"/>
    <w:rsid w:val="00DC6F7E"/>
    <w:rsid w:val="00DC70B1"/>
    <w:rsid w:val="00DC7910"/>
    <w:rsid w:val="00DD01A2"/>
    <w:rsid w:val="00DD1889"/>
    <w:rsid w:val="00DD1B57"/>
    <w:rsid w:val="00DD2061"/>
    <w:rsid w:val="00DD31F0"/>
    <w:rsid w:val="00DD3B77"/>
    <w:rsid w:val="00DD3C99"/>
    <w:rsid w:val="00DD449C"/>
    <w:rsid w:val="00DD4BD7"/>
    <w:rsid w:val="00DD6567"/>
    <w:rsid w:val="00DD6E92"/>
    <w:rsid w:val="00DD705E"/>
    <w:rsid w:val="00DD7DAB"/>
    <w:rsid w:val="00DE05DA"/>
    <w:rsid w:val="00DE3355"/>
    <w:rsid w:val="00DE3DE4"/>
    <w:rsid w:val="00DE411D"/>
    <w:rsid w:val="00DE43EA"/>
    <w:rsid w:val="00DE4ED7"/>
    <w:rsid w:val="00DE5369"/>
    <w:rsid w:val="00DE5CC8"/>
    <w:rsid w:val="00DE5CFE"/>
    <w:rsid w:val="00DE5F5D"/>
    <w:rsid w:val="00DE6006"/>
    <w:rsid w:val="00DE70DC"/>
    <w:rsid w:val="00DE7F5E"/>
    <w:rsid w:val="00DF0A5A"/>
    <w:rsid w:val="00DF1AF6"/>
    <w:rsid w:val="00DF21F6"/>
    <w:rsid w:val="00DF2898"/>
    <w:rsid w:val="00DF293F"/>
    <w:rsid w:val="00DF2C23"/>
    <w:rsid w:val="00DF3F04"/>
    <w:rsid w:val="00DF457E"/>
    <w:rsid w:val="00DF4844"/>
    <w:rsid w:val="00DF486F"/>
    <w:rsid w:val="00DF4E38"/>
    <w:rsid w:val="00DF4F8C"/>
    <w:rsid w:val="00DF5B5B"/>
    <w:rsid w:val="00DF69F8"/>
    <w:rsid w:val="00DF6D11"/>
    <w:rsid w:val="00DF70DD"/>
    <w:rsid w:val="00DF7619"/>
    <w:rsid w:val="00E01040"/>
    <w:rsid w:val="00E013F8"/>
    <w:rsid w:val="00E01BE0"/>
    <w:rsid w:val="00E026D9"/>
    <w:rsid w:val="00E042D8"/>
    <w:rsid w:val="00E045A8"/>
    <w:rsid w:val="00E04799"/>
    <w:rsid w:val="00E05456"/>
    <w:rsid w:val="00E062BD"/>
    <w:rsid w:val="00E068B1"/>
    <w:rsid w:val="00E0790E"/>
    <w:rsid w:val="00E07EE7"/>
    <w:rsid w:val="00E102FF"/>
    <w:rsid w:val="00E1103B"/>
    <w:rsid w:val="00E1115F"/>
    <w:rsid w:val="00E1128B"/>
    <w:rsid w:val="00E114A2"/>
    <w:rsid w:val="00E11664"/>
    <w:rsid w:val="00E11E07"/>
    <w:rsid w:val="00E1296F"/>
    <w:rsid w:val="00E12C13"/>
    <w:rsid w:val="00E1354E"/>
    <w:rsid w:val="00E149E2"/>
    <w:rsid w:val="00E14EDE"/>
    <w:rsid w:val="00E158CA"/>
    <w:rsid w:val="00E160DB"/>
    <w:rsid w:val="00E170D6"/>
    <w:rsid w:val="00E178C1"/>
    <w:rsid w:val="00E179A8"/>
    <w:rsid w:val="00E17B44"/>
    <w:rsid w:val="00E20914"/>
    <w:rsid w:val="00E20A95"/>
    <w:rsid w:val="00E2155A"/>
    <w:rsid w:val="00E217C5"/>
    <w:rsid w:val="00E21F37"/>
    <w:rsid w:val="00E22628"/>
    <w:rsid w:val="00E22803"/>
    <w:rsid w:val="00E22969"/>
    <w:rsid w:val="00E23368"/>
    <w:rsid w:val="00E25C2B"/>
    <w:rsid w:val="00E25D20"/>
    <w:rsid w:val="00E25FAA"/>
    <w:rsid w:val="00E26009"/>
    <w:rsid w:val="00E275C6"/>
    <w:rsid w:val="00E27FEA"/>
    <w:rsid w:val="00E30A55"/>
    <w:rsid w:val="00E30BF6"/>
    <w:rsid w:val="00E31A7A"/>
    <w:rsid w:val="00E3222F"/>
    <w:rsid w:val="00E32C5C"/>
    <w:rsid w:val="00E338C6"/>
    <w:rsid w:val="00E33987"/>
    <w:rsid w:val="00E3481E"/>
    <w:rsid w:val="00E3659C"/>
    <w:rsid w:val="00E36A16"/>
    <w:rsid w:val="00E3750D"/>
    <w:rsid w:val="00E3761C"/>
    <w:rsid w:val="00E37C14"/>
    <w:rsid w:val="00E37C27"/>
    <w:rsid w:val="00E37F50"/>
    <w:rsid w:val="00E403E1"/>
    <w:rsid w:val="00E40680"/>
    <w:rsid w:val="00E4086F"/>
    <w:rsid w:val="00E40E73"/>
    <w:rsid w:val="00E40EF7"/>
    <w:rsid w:val="00E414AB"/>
    <w:rsid w:val="00E41A56"/>
    <w:rsid w:val="00E427DF"/>
    <w:rsid w:val="00E42C5D"/>
    <w:rsid w:val="00E4357C"/>
    <w:rsid w:val="00E4398B"/>
    <w:rsid w:val="00E43B3C"/>
    <w:rsid w:val="00E43CDA"/>
    <w:rsid w:val="00E4436F"/>
    <w:rsid w:val="00E4490B"/>
    <w:rsid w:val="00E44A40"/>
    <w:rsid w:val="00E44B11"/>
    <w:rsid w:val="00E4558C"/>
    <w:rsid w:val="00E45829"/>
    <w:rsid w:val="00E45BF3"/>
    <w:rsid w:val="00E4677B"/>
    <w:rsid w:val="00E47506"/>
    <w:rsid w:val="00E47A91"/>
    <w:rsid w:val="00E50188"/>
    <w:rsid w:val="00E5037B"/>
    <w:rsid w:val="00E514FA"/>
    <w:rsid w:val="00E515CB"/>
    <w:rsid w:val="00E52180"/>
    <w:rsid w:val="00E52260"/>
    <w:rsid w:val="00E52330"/>
    <w:rsid w:val="00E52B83"/>
    <w:rsid w:val="00E55910"/>
    <w:rsid w:val="00E55BA9"/>
    <w:rsid w:val="00E55E34"/>
    <w:rsid w:val="00E55EC7"/>
    <w:rsid w:val="00E571BF"/>
    <w:rsid w:val="00E57770"/>
    <w:rsid w:val="00E57A3A"/>
    <w:rsid w:val="00E57A6C"/>
    <w:rsid w:val="00E60532"/>
    <w:rsid w:val="00E6146C"/>
    <w:rsid w:val="00E61A56"/>
    <w:rsid w:val="00E62FA7"/>
    <w:rsid w:val="00E63014"/>
    <w:rsid w:val="00E630EF"/>
    <w:rsid w:val="00E63199"/>
    <w:rsid w:val="00E631C2"/>
    <w:rsid w:val="00E639B6"/>
    <w:rsid w:val="00E6434B"/>
    <w:rsid w:val="00E6463D"/>
    <w:rsid w:val="00E663D4"/>
    <w:rsid w:val="00E66435"/>
    <w:rsid w:val="00E669A2"/>
    <w:rsid w:val="00E66FA0"/>
    <w:rsid w:val="00E6781C"/>
    <w:rsid w:val="00E70645"/>
    <w:rsid w:val="00E70DAB"/>
    <w:rsid w:val="00E710C0"/>
    <w:rsid w:val="00E7110D"/>
    <w:rsid w:val="00E717AB"/>
    <w:rsid w:val="00E71AB9"/>
    <w:rsid w:val="00E71F88"/>
    <w:rsid w:val="00E724AA"/>
    <w:rsid w:val="00E72E8C"/>
    <w:rsid w:val="00E72E9B"/>
    <w:rsid w:val="00E72FE3"/>
    <w:rsid w:val="00E744F4"/>
    <w:rsid w:val="00E7533C"/>
    <w:rsid w:val="00E75A3F"/>
    <w:rsid w:val="00E7635C"/>
    <w:rsid w:val="00E769D6"/>
    <w:rsid w:val="00E76DAC"/>
    <w:rsid w:val="00E77334"/>
    <w:rsid w:val="00E774F4"/>
    <w:rsid w:val="00E776B7"/>
    <w:rsid w:val="00E800D4"/>
    <w:rsid w:val="00E80C76"/>
    <w:rsid w:val="00E8197E"/>
    <w:rsid w:val="00E81BA7"/>
    <w:rsid w:val="00E820C9"/>
    <w:rsid w:val="00E821CC"/>
    <w:rsid w:val="00E82992"/>
    <w:rsid w:val="00E82FD1"/>
    <w:rsid w:val="00E83D37"/>
    <w:rsid w:val="00E849DA"/>
    <w:rsid w:val="00E84CFF"/>
    <w:rsid w:val="00E8636B"/>
    <w:rsid w:val="00E86471"/>
    <w:rsid w:val="00E86887"/>
    <w:rsid w:val="00E873A2"/>
    <w:rsid w:val="00E87D59"/>
    <w:rsid w:val="00E90494"/>
    <w:rsid w:val="00E90624"/>
    <w:rsid w:val="00E916C2"/>
    <w:rsid w:val="00E91BE0"/>
    <w:rsid w:val="00E922A1"/>
    <w:rsid w:val="00E923C5"/>
    <w:rsid w:val="00E924FA"/>
    <w:rsid w:val="00E92E80"/>
    <w:rsid w:val="00E937DE"/>
    <w:rsid w:val="00E93EAE"/>
    <w:rsid w:val="00E941FC"/>
    <w:rsid w:val="00E9462E"/>
    <w:rsid w:val="00E94679"/>
    <w:rsid w:val="00E94A1B"/>
    <w:rsid w:val="00E95723"/>
    <w:rsid w:val="00E95C1C"/>
    <w:rsid w:val="00E96902"/>
    <w:rsid w:val="00E96949"/>
    <w:rsid w:val="00EA07B2"/>
    <w:rsid w:val="00EA0BC9"/>
    <w:rsid w:val="00EA0DAB"/>
    <w:rsid w:val="00EA10CA"/>
    <w:rsid w:val="00EA1532"/>
    <w:rsid w:val="00EA19B5"/>
    <w:rsid w:val="00EA2711"/>
    <w:rsid w:val="00EA2965"/>
    <w:rsid w:val="00EA3DD8"/>
    <w:rsid w:val="00EA441B"/>
    <w:rsid w:val="00EA45BB"/>
    <w:rsid w:val="00EA470C"/>
    <w:rsid w:val="00EA470E"/>
    <w:rsid w:val="00EA47A7"/>
    <w:rsid w:val="00EA48E1"/>
    <w:rsid w:val="00EA57EB"/>
    <w:rsid w:val="00EA6248"/>
    <w:rsid w:val="00EA6E1B"/>
    <w:rsid w:val="00EA6E82"/>
    <w:rsid w:val="00EA6FE1"/>
    <w:rsid w:val="00EA79AC"/>
    <w:rsid w:val="00EB2171"/>
    <w:rsid w:val="00EB2ADF"/>
    <w:rsid w:val="00EB3226"/>
    <w:rsid w:val="00EB37C0"/>
    <w:rsid w:val="00EB3C56"/>
    <w:rsid w:val="00EB40A6"/>
    <w:rsid w:val="00EB4119"/>
    <w:rsid w:val="00EB4B57"/>
    <w:rsid w:val="00EB53F6"/>
    <w:rsid w:val="00EB64F9"/>
    <w:rsid w:val="00EB7570"/>
    <w:rsid w:val="00EC0048"/>
    <w:rsid w:val="00EC0657"/>
    <w:rsid w:val="00EC0F18"/>
    <w:rsid w:val="00EC17CA"/>
    <w:rsid w:val="00EC1A38"/>
    <w:rsid w:val="00EC213A"/>
    <w:rsid w:val="00EC3869"/>
    <w:rsid w:val="00EC39EE"/>
    <w:rsid w:val="00EC440A"/>
    <w:rsid w:val="00EC5976"/>
    <w:rsid w:val="00EC5E89"/>
    <w:rsid w:val="00EC61D6"/>
    <w:rsid w:val="00EC6337"/>
    <w:rsid w:val="00EC6584"/>
    <w:rsid w:val="00EC6603"/>
    <w:rsid w:val="00EC6BE6"/>
    <w:rsid w:val="00EC6C24"/>
    <w:rsid w:val="00EC6C41"/>
    <w:rsid w:val="00EC6DC3"/>
    <w:rsid w:val="00EC7391"/>
    <w:rsid w:val="00EC7744"/>
    <w:rsid w:val="00ED0CC8"/>
    <w:rsid w:val="00ED0DAD"/>
    <w:rsid w:val="00ED0F46"/>
    <w:rsid w:val="00ED13E3"/>
    <w:rsid w:val="00ED2373"/>
    <w:rsid w:val="00ED23BA"/>
    <w:rsid w:val="00ED378D"/>
    <w:rsid w:val="00ED3D8C"/>
    <w:rsid w:val="00ED3DF5"/>
    <w:rsid w:val="00ED3EB0"/>
    <w:rsid w:val="00ED43F9"/>
    <w:rsid w:val="00ED4C13"/>
    <w:rsid w:val="00ED5268"/>
    <w:rsid w:val="00ED5D6F"/>
    <w:rsid w:val="00ED64EA"/>
    <w:rsid w:val="00ED66DD"/>
    <w:rsid w:val="00ED6969"/>
    <w:rsid w:val="00ED717C"/>
    <w:rsid w:val="00ED77D6"/>
    <w:rsid w:val="00EE08A9"/>
    <w:rsid w:val="00EE0BA4"/>
    <w:rsid w:val="00EE14B1"/>
    <w:rsid w:val="00EE24D0"/>
    <w:rsid w:val="00EE3037"/>
    <w:rsid w:val="00EE3888"/>
    <w:rsid w:val="00EE3E8A"/>
    <w:rsid w:val="00EE48E1"/>
    <w:rsid w:val="00EE4D46"/>
    <w:rsid w:val="00EE6003"/>
    <w:rsid w:val="00EE609F"/>
    <w:rsid w:val="00EE64C7"/>
    <w:rsid w:val="00EE71EE"/>
    <w:rsid w:val="00EE766E"/>
    <w:rsid w:val="00EE7E6E"/>
    <w:rsid w:val="00EF04C7"/>
    <w:rsid w:val="00EF0DD3"/>
    <w:rsid w:val="00EF27EE"/>
    <w:rsid w:val="00EF35F6"/>
    <w:rsid w:val="00EF3ED0"/>
    <w:rsid w:val="00EF4686"/>
    <w:rsid w:val="00EF470B"/>
    <w:rsid w:val="00EF4EA0"/>
    <w:rsid w:val="00EF6E36"/>
    <w:rsid w:val="00EF6ECA"/>
    <w:rsid w:val="00EF703C"/>
    <w:rsid w:val="00EF7698"/>
    <w:rsid w:val="00F00215"/>
    <w:rsid w:val="00F0069C"/>
    <w:rsid w:val="00F00BFF"/>
    <w:rsid w:val="00F01391"/>
    <w:rsid w:val="00F01FB8"/>
    <w:rsid w:val="00F024E1"/>
    <w:rsid w:val="00F02682"/>
    <w:rsid w:val="00F03572"/>
    <w:rsid w:val="00F03E24"/>
    <w:rsid w:val="00F0455D"/>
    <w:rsid w:val="00F049F6"/>
    <w:rsid w:val="00F04A6A"/>
    <w:rsid w:val="00F05EEB"/>
    <w:rsid w:val="00F06C10"/>
    <w:rsid w:val="00F06CD2"/>
    <w:rsid w:val="00F0770D"/>
    <w:rsid w:val="00F079E7"/>
    <w:rsid w:val="00F1083B"/>
    <w:rsid w:val="00F1096F"/>
    <w:rsid w:val="00F114C9"/>
    <w:rsid w:val="00F1210B"/>
    <w:rsid w:val="00F12589"/>
    <w:rsid w:val="00F12595"/>
    <w:rsid w:val="00F12A3E"/>
    <w:rsid w:val="00F130C2"/>
    <w:rsid w:val="00F134D9"/>
    <w:rsid w:val="00F137DD"/>
    <w:rsid w:val="00F1403D"/>
    <w:rsid w:val="00F1463F"/>
    <w:rsid w:val="00F15188"/>
    <w:rsid w:val="00F1604E"/>
    <w:rsid w:val="00F1644C"/>
    <w:rsid w:val="00F17037"/>
    <w:rsid w:val="00F171EB"/>
    <w:rsid w:val="00F20256"/>
    <w:rsid w:val="00F2031A"/>
    <w:rsid w:val="00F20349"/>
    <w:rsid w:val="00F206CF"/>
    <w:rsid w:val="00F207FC"/>
    <w:rsid w:val="00F20C1A"/>
    <w:rsid w:val="00F21302"/>
    <w:rsid w:val="00F2289D"/>
    <w:rsid w:val="00F22980"/>
    <w:rsid w:val="00F22F2B"/>
    <w:rsid w:val="00F23021"/>
    <w:rsid w:val="00F241F2"/>
    <w:rsid w:val="00F24A37"/>
    <w:rsid w:val="00F25851"/>
    <w:rsid w:val="00F25886"/>
    <w:rsid w:val="00F26365"/>
    <w:rsid w:val="00F30044"/>
    <w:rsid w:val="00F30781"/>
    <w:rsid w:val="00F321DE"/>
    <w:rsid w:val="00F32EE2"/>
    <w:rsid w:val="00F33777"/>
    <w:rsid w:val="00F33AC7"/>
    <w:rsid w:val="00F3490D"/>
    <w:rsid w:val="00F35E78"/>
    <w:rsid w:val="00F36754"/>
    <w:rsid w:val="00F37862"/>
    <w:rsid w:val="00F37D63"/>
    <w:rsid w:val="00F40648"/>
    <w:rsid w:val="00F41217"/>
    <w:rsid w:val="00F4158C"/>
    <w:rsid w:val="00F4181B"/>
    <w:rsid w:val="00F41920"/>
    <w:rsid w:val="00F420E7"/>
    <w:rsid w:val="00F4237D"/>
    <w:rsid w:val="00F432FC"/>
    <w:rsid w:val="00F437ED"/>
    <w:rsid w:val="00F44500"/>
    <w:rsid w:val="00F44579"/>
    <w:rsid w:val="00F46352"/>
    <w:rsid w:val="00F46AAC"/>
    <w:rsid w:val="00F47438"/>
    <w:rsid w:val="00F47DA2"/>
    <w:rsid w:val="00F50B30"/>
    <w:rsid w:val="00F519FC"/>
    <w:rsid w:val="00F52219"/>
    <w:rsid w:val="00F526E0"/>
    <w:rsid w:val="00F526E6"/>
    <w:rsid w:val="00F52FD6"/>
    <w:rsid w:val="00F53116"/>
    <w:rsid w:val="00F53261"/>
    <w:rsid w:val="00F545E6"/>
    <w:rsid w:val="00F54634"/>
    <w:rsid w:val="00F54770"/>
    <w:rsid w:val="00F54825"/>
    <w:rsid w:val="00F552EE"/>
    <w:rsid w:val="00F555D6"/>
    <w:rsid w:val="00F5595E"/>
    <w:rsid w:val="00F5685A"/>
    <w:rsid w:val="00F57299"/>
    <w:rsid w:val="00F57405"/>
    <w:rsid w:val="00F57453"/>
    <w:rsid w:val="00F57BE7"/>
    <w:rsid w:val="00F6025B"/>
    <w:rsid w:val="00F61571"/>
    <w:rsid w:val="00F615E0"/>
    <w:rsid w:val="00F61B6D"/>
    <w:rsid w:val="00F61D29"/>
    <w:rsid w:val="00F6239D"/>
    <w:rsid w:val="00F627A1"/>
    <w:rsid w:val="00F62B01"/>
    <w:rsid w:val="00F632BD"/>
    <w:rsid w:val="00F6375B"/>
    <w:rsid w:val="00F6389A"/>
    <w:rsid w:val="00F656DB"/>
    <w:rsid w:val="00F6586E"/>
    <w:rsid w:val="00F65FF7"/>
    <w:rsid w:val="00F660CE"/>
    <w:rsid w:val="00F669B5"/>
    <w:rsid w:val="00F674F8"/>
    <w:rsid w:val="00F67A50"/>
    <w:rsid w:val="00F7000B"/>
    <w:rsid w:val="00F70B4A"/>
    <w:rsid w:val="00F71320"/>
    <w:rsid w:val="00F715D2"/>
    <w:rsid w:val="00F71D2A"/>
    <w:rsid w:val="00F72223"/>
    <w:rsid w:val="00F726B2"/>
    <w:rsid w:val="00F7274F"/>
    <w:rsid w:val="00F735A9"/>
    <w:rsid w:val="00F743FF"/>
    <w:rsid w:val="00F74587"/>
    <w:rsid w:val="00F74711"/>
    <w:rsid w:val="00F74BBB"/>
    <w:rsid w:val="00F75B04"/>
    <w:rsid w:val="00F75F09"/>
    <w:rsid w:val="00F76A8F"/>
    <w:rsid w:val="00F76FA8"/>
    <w:rsid w:val="00F77E7A"/>
    <w:rsid w:val="00F80681"/>
    <w:rsid w:val="00F80E8E"/>
    <w:rsid w:val="00F827FD"/>
    <w:rsid w:val="00F837C8"/>
    <w:rsid w:val="00F83827"/>
    <w:rsid w:val="00F83B03"/>
    <w:rsid w:val="00F84524"/>
    <w:rsid w:val="00F84AC0"/>
    <w:rsid w:val="00F84BA9"/>
    <w:rsid w:val="00F85293"/>
    <w:rsid w:val="00F856AC"/>
    <w:rsid w:val="00F85E68"/>
    <w:rsid w:val="00F85FFF"/>
    <w:rsid w:val="00F865BF"/>
    <w:rsid w:val="00F87E62"/>
    <w:rsid w:val="00F92047"/>
    <w:rsid w:val="00F926B3"/>
    <w:rsid w:val="00F935D2"/>
    <w:rsid w:val="00F93F08"/>
    <w:rsid w:val="00F94458"/>
    <w:rsid w:val="00F94CED"/>
    <w:rsid w:val="00F95E25"/>
    <w:rsid w:val="00F9657F"/>
    <w:rsid w:val="00F96CD1"/>
    <w:rsid w:val="00F9740C"/>
    <w:rsid w:val="00F978C4"/>
    <w:rsid w:val="00FA0001"/>
    <w:rsid w:val="00FA1443"/>
    <w:rsid w:val="00FA1F71"/>
    <w:rsid w:val="00FA2CEE"/>
    <w:rsid w:val="00FA2D90"/>
    <w:rsid w:val="00FA2E13"/>
    <w:rsid w:val="00FA318C"/>
    <w:rsid w:val="00FA3AE4"/>
    <w:rsid w:val="00FA3C15"/>
    <w:rsid w:val="00FA3C24"/>
    <w:rsid w:val="00FA3FE2"/>
    <w:rsid w:val="00FA4995"/>
    <w:rsid w:val="00FA5671"/>
    <w:rsid w:val="00FA5C18"/>
    <w:rsid w:val="00FA5C24"/>
    <w:rsid w:val="00FA6826"/>
    <w:rsid w:val="00FA6C1B"/>
    <w:rsid w:val="00FA6EFC"/>
    <w:rsid w:val="00FA707F"/>
    <w:rsid w:val="00FA74A2"/>
    <w:rsid w:val="00FA785A"/>
    <w:rsid w:val="00FB09CC"/>
    <w:rsid w:val="00FB0B36"/>
    <w:rsid w:val="00FB0D58"/>
    <w:rsid w:val="00FB1216"/>
    <w:rsid w:val="00FB16DA"/>
    <w:rsid w:val="00FB28EA"/>
    <w:rsid w:val="00FB2E8E"/>
    <w:rsid w:val="00FB3BDC"/>
    <w:rsid w:val="00FB4560"/>
    <w:rsid w:val="00FB490B"/>
    <w:rsid w:val="00FB5C3A"/>
    <w:rsid w:val="00FB623B"/>
    <w:rsid w:val="00FB62D3"/>
    <w:rsid w:val="00FB6B84"/>
    <w:rsid w:val="00FB6F92"/>
    <w:rsid w:val="00FB7BEC"/>
    <w:rsid w:val="00FC026E"/>
    <w:rsid w:val="00FC089E"/>
    <w:rsid w:val="00FC0E58"/>
    <w:rsid w:val="00FC0ECB"/>
    <w:rsid w:val="00FC0F2F"/>
    <w:rsid w:val="00FC2588"/>
    <w:rsid w:val="00FC284E"/>
    <w:rsid w:val="00FC3256"/>
    <w:rsid w:val="00FC38F0"/>
    <w:rsid w:val="00FC3BC8"/>
    <w:rsid w:val="00FC48EF"/>
    <w:rsid w:val="00FC4F1C"/>
    <w:rsid w:val="00FC5124"/>
    <w:rsid w:val="00FC53AB"/>
    <w:rsid w:val="00FC63A0"/>
    <w:rsid w:val="00FC6ABE"/>
    <w:rsid w:val="00FC6C89"/>
    <w:rsid w:val="00FC6F37"/>
    <w:rsid w:val="00FC723C"/>
    <w:rsid w:val="00FC7307"/>
    <w:rsid w:val="00FC78CB"/>
    <w:rsid w:val="00FD0967"/>
    <w:rsid w:val="00FD1A4D"/>
    <w:rsid w:val="00FD1D09"/>
    <w:rsid w:val="00FD1EA2"/>
    <w:rsid w:val="00FD3FD7"/>
    <w:rsid w:val="00FD4731"/>
    <w:rsid w:val="00FD5FCB"/>
    <w:rsid w:val="00FD6FE7"/>
    <w:rsid w:val="00FE017A"/>
    <w:rsid w:val="00FE0520"/>
    <w:rsid w:val="00FE083C"/>
    <w:rsid w:val="00FE16B6"/>
    <w:rsid w:val="00FE2370"/>
    <w:rsid w:val="00FE33EA"/>
    <w:rsid w:val="00FE44CE"/>
    <w:rsid w:val="00FE47E2"/>
    <w:rsid w:val="00FE63C1"/>
    <w:rsid w:val="00FE6951"/>
    <w:rsid w:val="00FE6BEF"/>
    <w:rsid w:val="00FE77AC"/>
    <w:rsid w:val="00FE7AF7"/>
    <w:rsid w:val="00FF012A"/>
    <w:rsid w:val="00FF0808"/>
    <w:rsid w:val="00FF0AB0"/>
    <w:rsid w:val="00FF0E75"/>
    <w:rsid w:val="00FF20B8"/>
    <w:rsid w:val="00FF2470"/>
    <w:rsid w:val="00FF2486"/>
    <w:rsid w:val="00FF28AC"/>
    <w:rsid w:val="00FF394A"/>
    <w:rsid w:val="00FF44C1"/>
    <w:rsid w:val="00FF5483"/>
    <w:rsid w:val="00FF5BAE"/>
    <w:rsid w:val="00FF6461"/>
    <w:rsid w:val="00FF79CE"/>
    <w:rsid w:val="00FF7F62"/>
    <w:rsid w:val="06264228"/>
    <w:rsid w:val="06C03261"/>
    <w:rsid w:val="0DCFD125"/>
    <w:rsid w:val="0E6D9428"/>
    <w:rsid w:val="14C7D197"/>
    <w:rsid w:val="14E8CAFE"/>
    <w:rsid w:val="1908D0D9"/>
    <w:rsid w:val="1CD0B86D"/>
    <w:rsid w:val="1D365F9D"/>
    <w:rsid w:val="1E55001E"/>
    <w:rsid w:val="2139EFD4"/>
    <w:rsid w:val="21C27BF1"/>
    <w:rsid w:val="22909675"/>
    <w:rsid w:val="253FDDEB"/>
    <w:rsid w:val="268D3640"/>
    <w:rsid w:val="2848BAC3"/>
    <w:rsid w:val="2886C146"/>
    <w:rsid w:val="2978582F"/>
    <w:rsid w:val="29F00E7B"/>
    <w:rsid w:val="2CA1E548"/>
    <w:rsid w:val="2D67936D"/>
    <w:rsid w:val="2D95A4AC"/>
    <w:rsid w:val="2DBC4CC9"/>
    <w:rsid w:val="2EEE4815"/>
    <w:rsid w:val="303E311B"/>
    <w:rsid w:val="38BA9FF9"/>
    <w:rsid w:val="39D224F4"/>
    <w:rsid w:val="3C906865"/>
    <w:rsid w:val="3D7617AF"/>
    <w:rsid w:val="3ECC8C7A"/>
    <w:rsid w:val="3EF90C0C"/>
    <w:rsid w:val="42BE730C"/>
    <w:rsid w:val="4BE6B825"/>
    <w:rsid w:val="4EE9D197"/>
    <w:rsid w:val="4F7F2433"/>
    <w:rsid w:val="52447204"/>
    <w:rsid w:val="53B5B207"/>
    <w:rsid w:val="598445E9"/>
    <w:rsid w:val="60CFAC0E"/>
    <w:rsid w:val="622187A8"/>
    <w:rsid w:val="638C4670"/>
    <w:rsid w:val="64E57DC2"/>
    <w:rsid w:val="67C1A78D"/>
    <w:rsid w:val="6C46BBD1"/>
    <w:rsid w:val="6E34CC81"/>
    <w:rsid w:val="7053C29E"/>
    <w:rsid w:val="70C55BF4"/>
    <w:rsid w:val="7327F1C6"/>
    <w:rsid w:val="74EFA90F"/>
    <w:rsid w:val="76AAAF9A"/>
    <w:rsid w:val="76F919A4"/>
    <w:rsid w:val="77AEB145"/>
    <w:rsid w:val="78298F5B"/>
    <w:rsid w:val="782F50D7"/>
    <w:rsid w:val="7932C72D"/>
    <w:rsid w:val="7969C193"/>
    <w:rsid w:val="7B763432"/>
    <w:rsid w:val="7D56FB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554A2"/>
  <w15:docId w15:val="{D3D80370-1A2C-465A-8565-B98CFC82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500"/>
    <w:pPr>
      <w:spacing w:before="120" w:after="120" w:line="276" w:lineRule="auto"/>
    </w:pPr>
    <w:rPr>
      <w:rFonts w:ascii="Arial" w:hAnsi="Arial"/>
      <w:color w:val="033636" w:themeColor="text1"/>
      <w:szCs w:val="24"/>
      <w:lang w:eastAsia="en-US"/>
    </w:rPr>
  </w:style>
  <w:style w:type="paragraph" w:styleId="Heading1">
    <w:name w:val="heading 1"/>
    <w:next w:val="Normal"/>
    <w:qFormat/>
    <w:rsid w:val="005066AF"/>
    <w:pPr>
      <w:keepNext/>
      <w:pBdr>
        <w:bottom w:val="single" w:sz="18" w:space="1" w:color="00DCA1" w:themeColor="background1"/>
      </w:pBdr>
      <w:spacing w:before="240" w:after="120"/>
      <w:outlineLvl w:val="0"/>
    </w:pPr>
    <w:rPr>
      <w:rFonts w:ascii="Arial" w:hAnsi="Arial" w:cs="Arial"/>
      <w:b/>
      <w:bCs/>
      <w:color w:val="033636" w:themeColor="text1"/>
      <w:kern w:val="28"/>
      <w:sz w:val="44"/>
      <w:szCs w:val="36"/>
      <w:lang w:eastAsia="en-US"/>
    </w:rPr>
  </w:style>
  <w:style w:type="paragraph" w:styleId="Heading2">
    <w:name w:val="heading 2"/>
    <w:next w:val="Normal"/>
    <w:link w:val="Heading2Char"/>
    <w:qFormat/>
    <w:rsid w:val="00281F5F"/>
    <w:pPr>
      <w:keepNext/>
      <w:spacing w:before="240" w:after="60"/>
      <w:outlineLvl w:val="1"/>
    </w:pPr>
    <w:rPr>
      <w:rFonts w:ascii="Arial" w:hAnsi="Arial" w:cs="Arial"/>
      <w:b/>
      <w:bCs/>
      <w:iCs/>
      <w:color w:val="033636" w:themeColor="text1"/>
      <w:sz w:val="36"/>
      <w:szCs w:val="28"/>
      <w:lang w:eastAsia="en-US"/>
    </w:rPr>
  </w:style>
  <w:style w:type="paragraph" w:styleId="Heading3">
    <w:name w:val="heading 3"/>
    <w:next w:val="Normal"/>
    <w:link w:val="Heading3Char"/>
    <w:qFormat/>
    <w:rsid w:val="00281F5F"/>
    <w:pPr>
      <w:keepNext/>
      <w:spacing w:before="180" w:after="60"/>
      <w:outlineLvl w:val="2"/>
    </w:pPr>
    <w:rPr>
      <w:rFonts w:ascii="Arial" w:hAnsi="Arial" w:cs="Arial"/>
      <w:b/>
      <w:bCs/>
      <w:color w:val="033636" w:themeColor="text1"/>
      <w:sz w:val="32"/>
      <w:szCs w:val="26"/>
      <w:lang w:eastAsia="en-US"/>
    </w:rPr>
  </w:style>
  <w:style w:type="paragraph" w:styleId="Heading4">
    <w:name w:val="heading 4"/>
    <w:next w:val="Normal"/>
    <w:qFormat/>
    <w:rsid w:val="00602782"/>
    <w:pPr>
      <w:keepNext/>
      <w:spacing w:before="120" w:after="120"/>
      <w:outlineLvl w:val="3"/>
    </w:pPr>
    <w:rPr>
      <w:rFonts w:ascii="Arial" w:hAnsi="Arial"/>
      <w:b/>
      <w:bCs/>
      <w:i/>
      <w:color w:val="033636" w:themeColor="text1"/>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C55500"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041E4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ED64EA"/>
    <w:pPr>
      <w:numPr>
        <w:ilvl w:val="1"/>
      </w:numPr>
      <w:spacing w:before="120" w:after="60"/>
    </w:pPr>
    <w:rPr>
      <w:rFonts w:ascii="Arial" w:eastAsiaTheme="majorEastAsia" w:hAnsi="Arial" w:cstheme="majorBidi"/>
      <w:iCs/>
      <w:color w:val="033636" w:themeColor="text1"/>
      <w:spacing w:val="15"/>
      <w:sz w:val="30"/>
      <w:szCs w:val="30"/>
      <w:lang w:eastAsia="en-US"/>
    </w:rPr>
  </w:style>
  <w:style w:type="character" w:customStyle="1" w:styleId="SubtitleChar">
    <w:name w:val="Subtitle Char"/>
    <w:basedOn w:val="DefaultParagraphFont"/>
    <w:link w:val="Subtitle"/>
    <w:rsid w:val="00ED64EA"/>
    <w:rPr>
      <w:rFonts w:ascii="Arial" w:eastAsiaTheme="majorEastAsia" w:hAnsi="Arial" w:cstheme="majorBidi"/>
      <w:iCs/>
      <w:color w:val="033636" w:themeColor="text1"/>
      <w:spacing w:val="15"/>
      <w:sz w:val="30"/>
      <w:szCs w:val="30"/>
      <w:lang w:eastAsia="en-US"/>
    </w:rPr>
  </w:style>
  <w:style w:type="paragraph" w:styleId="Title">
    <w:name w:val="Title"/>
    <w:next w:val="Normal"/>
    <w:link w:val="TitleChar"/>
    <w:autoRedefine/>
    <w:qFormat/>
    <w:rsid w:val="006F4F40"/>
    <w:pPr>
      <w:spacing w:before="2040" w:after="120"/>
      <w:contextualSpacing/>
    </w:pPr>
    <w:rPr>
      <w:rFonts w:ascii="Arial" w:eastAsiaTheme="majorEastAsia" w:hAnsi="Arial" w:cstheme="majorBidi"/>
      <w:b/>
      <w:color w:val="033636" w:themeColor="text1"/>
      <w:kern w:val="28"/>
      <w:sz w:val="70"/>
      <w:szCs w:val="70"/>
      <w:lang w:eastAsia="en-US"/>
    </w:rPr>
  </w:style>
  <w:style w:type="character" w:customStyle="1" w:styleId="TitleChar">
    <w:name w:val="Title Char"/>
    <w:basedOn w:val="DefaultParagraphFont"/>
    <w:link w:val="Title"/>
    <w:rsid w:val="006F4F40"/>
    <w:rPr>
      <w:rFonts w:ascii="Arial" w:eastAsiaTheme="majorEastAsia" w:hAnsi="Arial" w:cstheme="majorBidi"/>
      <w:b/>
      <w:color w:val="033636" w:themeColor="text1"/>
      <w:kern w:val="28"/>
      <w:sz w:val="70"/>
      <w:szCs w:val="7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29F3F3" w:themeColor="text1" w:themeTint="7F"/>
    </w:rPr>
  </w:style>
  <w:style w:type="character" w:styleId="IntenseEmphasis">
    <w:name w:val="Intense Emphasis"/>
    <w:basedOn w:val="DefaultParagraphFont"/>
    <w:uiPriority w:val="21"/>
    <w:rsid w:val="00BF7AD7"/>
    <w:rPr>
      <w:b/>
      <w:bCs/>
      <w:i/>
      <w:iCs/>
      <w:color w:val="083E9C" w:themeColor="accent1"/>
    </w:rPr>
  </w:style>
  <w:style w:type="paragraph" w:styleId="Quote">
    <w:name w:val="Quote"/>
    <w:next w:val="Normal"/>
    <w:link w:val="QuoteChar"/>
    <w:uiPriority w:val="29"/>
    <w:qFormat/>
    <w:rsid w:val="00BF7AD7"/>
    <w:pPr>
      <w:ind w:left="720"/>
    </w:pPr>
    <w:rPr>
      <w:rFonts w:ascii="Arial" w:hAnsi="Arial"/>
      <w:i/>
      <w:iCs/>
      <w:color w:val="033636"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33636" w:themeColor="text1"/>
      <w:sz w:val="22"/>
      <w:szCs w:val="24"/>
      <w:lang w:eastAsia="en-US"/>
    </w:rPr>
  </w:style>
  <w:style w:type="paragraph" w:styleId="IntenseQuote">
    <w:name w:val="Intense Quote"/>
    <w:next w:val="Normal"/>
    <w:link w:val="IntenseQuoteChar"/>
    <w:uiPriority w:val="30"/>
    <w:rsid w:val="00BF7AD7"/>
    <w:pPr>
      <w:pBdr>
        <w:bottom w:val="single" w:sz="4" w:space="4" w:color="083E9C" w:themeColor="accent1"/>
      </w:pBdr>
      <w:spacing w:before="200" w:after="280"/>
      <w:ind w:left="936" w:right="936"/>
    </w:pPr>
    <w:rPr>
      <w:rFonts w:ascii="Arial" w:hAnsi="Arial"/>
      <w:b/>
      <w:bCs/>
      <w:i/>
      <w:iCs/>
      <w:color w:val="083E9C"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083E9C" w:themeColor="accent1"/>
      <w:sz w:val="22"/>
      <w:szCs w:val="24"/>
      <w:lang w:eastAsia="en-US"/>
    </w:rPr>
  </w:style>
  <w:style w:type="character" w:styleId="SubtleReference">
    <w:name w:val="Subtle Reference"/>
    <w:basedOn w:val="DefaultParagraphFont"/>
    <w:uiPriority w:val="31"/>
    <w:rsid w:val="00BF7AD7"/>
    <w:rPr>
      <w:smallCaps/>
      <w:color w:val="C55500" w:themeColor="accent2"/>
      <w:u w:val="single"/>
    </w:rPr>
  </w:style>
  <w:style w:type="character" w:styleId="IntenseReference">
    <w:name w:val="Intense Reference"/>
    <w:basedOn w:val="DefaultParagraphFont"/>
    <w:uiPriority w:val="32"/>
    <w:rsid w:val="00BF7AD7"/>
    <w:rPr>
      <w:b/>
      <w:bCs/>
      <w:i/>
      <w:smallCaps/>
      <w:color w:val="C55500" w:themeColor="accent2"/>
      <w:spacing w:val="5"/>
      <w:u w:val="none"/>
    </w:rPr>
  </w:style>
  <w:style w:type="paragraph" w:styleId="ListBullet2">
    <w:name w:val="List Bullet 2"/>
    <w:basedOn w:val="ListNumber2"/>
    <w:rsid w:val="00BF7AD7"/>
    <w:pPr>
      <w:numPr>
        <w:numId w:val="4"/>
      </w:numPr>
    </w:pPr>
  </w:style>
  <w:style w:type="paragraph" w:styleId="ListNumber2">
    <w:name w:val="List Number 2"/>
    <w:basedOn w:val="ListBullet"/>
    <w:qFormat/>
    <w:rsid w:val="00BF7AD7"/>
    <w:pPr>
      <w:numPr>
        <w:numId w:val="3"/>
      </w:numPr>
      <w:tabs>
        <w:tab w:val="left" w:pos="340"/>
      </w:tabs>
    </w:pPr>
  </w:style>
  <w:style w:type="paragraph" w:styleId="ListBullet">
    <w:name w:val="List Bullet"/>
    <w:basedOn w:val="Normal"/>
    <w:qFormat/>
    <w:rsid w:val="00BF7AD7"/>
    <w:pPr>
      <w:numPr>
        <w:numId w:val="2"/>
      </w:numPr>
      <w:tabs>
        <w:tab w:val="clear" w:pos="360"/>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5"/>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33636"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33636"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33636"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33636"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281F5F"/>
    <w:pPr>
      <w:spacing w:before="80" w:after="80"/>
    </w:pPr>
    <w:rPr>
      <w:rFonts w:eastAsia="Cambria"/>
      <w:b/>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rPr>
  </w:style>
  <w:style w:type="paragraph" w:customStyle="1" w:styleId="FigureTitle">
    <w:name w:val="Figure Title"/>
    <w:next w:val="Normal"/>
    <w:qFormat/>
    <w:rsid w:val="00F44500"/>
    <w:pPr>
      <w:spacing w:before="120" w:after="120"/>
    </w:pPr>
    <w:rPr>
      <w:rFonts w:ascii="Arial" w:hAnsi="Arial" w:cs="Arial"/>
      <w:b/>
      <w:bCs/>
      <w:iCs/>
      <w:color w:val="033636" w:themeColor="text1"/>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00"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33636" w:themeColor="text1"/>
        <w:left w:val="single" w:sz="4" w:space="0" w:color="033636" w:themeColor="text1"/>
        <w:bottom w:val="single" w:sz="4" w:space="0" w:color="033636" w:themeColor="text1"/>
        <w:right w:val="single" w:sz="4" w:space="0" w:color="033636" w:themeColor="text1"/>
        <w:insideH w:val="single" w:sz="4" w:space="0" w:color="033636" w:themeColor="text1"/>
        <w:insideV w:val="single" w:sz="4" w:space="0" w:color="033636" w:themeColor="text1"/>
      </w:tblBorders>
    </w:tblPr>
    <w:tblStylePr w:type="firstRow">
      <w:rPr>
        <w:rFonts w:ascii="Arial" w:hAnsi="Arial"/>
        <w:b/>
        <w:color w:val="00DCA1"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6"/>
      </w:numPr>
    </w:pPr>
    <w:rPr>
      <w:szCs w:val="20"/>
    </w:rPr>
  </w:style>
  <w:style w:type="paragraph" w:customStyle="1" w:styleId="Tablelistnumber">
    <w:name w:val="Table list number"/>
    <w:basedOn w:val="Tabletextleft"/>
    <w:qFormat/>
    <w:rsid w:val="00BF7AD7"/>
    <w:pPr>
      <w:numPr>
        <w:numId w:val="7"/>
      </w:numPr>
    </w:pPr>
    <w:rPr>
      <w:bCs/>
      <w14:numSpacing w14:val="proportional"/>
    </w:rPr>
  </w:style>
  <w:style w:type="paragraph" w:customStyle="1" w:styleId="TableHeader">
    <w:name w:val="Table Header"/>
    <w:basedOn w:val="Normal"/>
    <w:next w:val="Tabletextleft"/>
    <w:qFormat/>
    <w:rsid w:val="00281F5F"/>
    <w:pPr>
      <w:spacing w:before="80" w:after="80"/>
    </w:pPr>
    <w:rPr>
      <w:rFonts w:eastAsia="Cambria"/>
      <w:b/>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083E9C" w:themeColor="accent1"/>
      <w:sz w:val="18"/>
      <w:szCs w:val="18"/>
    </w:rPr>
  </w:style>
  <w:style w:type="paragraph" w:customStyle="1" w:styleId="VisionBox">
    <w:name w:val="VisionBox"/>
    <w:basedOn w:val="Normal"/>
    <w:qFormat/>
    <w:rsid w:val="00281F5F"/>
    <w:pPr>
      <w:pBdr>
        <w:top w:val="single" w:sz="4" w:space="15" w:color="00DCA1" w:themeColor="background1"/>
        <w:bottom w:val="single" w:sz="4" w:space="10" w:color="00DCA1" w:themeColor="background1"/>
      </w:pBdr>
      <w:spacing w:before="240" w:after="240" w:line="340" w:lineRule="exact"/>
    </w:pPr>
    <w:rPr>
      <w:rFonts w:eastAsiaTheme="minorHAnsi"/>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33636"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281F5F"/>
    <w:pPr>
      <w:pBdr>
        <w:top w:val="single" w:sz="4" w:space="20" w:color="033636" w:themeColor="text1"/>
        <w:left w:val="single" w:sz="4" w:space="10" w:color="033636" w:themeColor="text1"/>
        <w:bottom w:val="single" w:sz="4" w:space="10" w:color="033636" w:themeColor="text1"/>
        <w:right w:val="single" w:sz="4" w:space="10" w:color="033636" w:themeColor="text1"/>
      </w:pBdr>
      <w:shd w:val="clear" w:color="auto" w:fill="033636" w:themeFill="text1"/>
      <w:spacing w:before="240" w:line="260" w:lineRule="auto"/>
      <w:ind w:left="227" w:right="227"/>
    </w:pPr>
    <w:rPr>
      <w:b/>
      <w:color w:val="FFFFFF"/>
    </w:rPr>
  </w:style>
  <w:style w:type="table" w:customStyle="1" w:styleId="DepartmentofHealthtable">
    <w:name w:val="Department of Health table"/>
    <w:basedOn w:val="TableNormal"/>
    <w:uiPriority w:val="99"/>
    <w:rsid w:val="00281F5F"/>
    <w:rPr>
      <w:rFonts w:ascii="Arial" w:hAnsi="Arial"/>
      <w:color w:val="033636" w:themeColor="text1"/>
      <w:sz w:val="21"/>
    </w:rPr>
    <w:tblPr>
      <w:tblStyleRowBandSize w:val="1"/>
      <w:tblStyleColBandSize w:val="1"/>
      <w:tblBorders>
        <w:top w:val="single" w:sz="4" w:space="0" w:color="00DCA1" w:themeColor="background1"/>
        <w:bottom w:val="single" w:sz="4" w:space="0" w:color="00DCA1" w:themeColor="background1"/>
        <w:insideH w:val="single" w:sz="4" w:space="0" w:color="00DCA1" w:themeColor="background1"/>
      </w:tblBorders>
    </w:tblPr>
    <w:tcPr>
      <w:shd w:val="clear" w:color="auto" w:fill="auto"/>
    </w:tcPr>
    <w:tblStylePr w:type="firstRow">
      <w:rPr>
        <w:rFonts w:ascii="Arial" w:hAnsi="Arial"/>
        <w:b/>
        <w:color w:val="000000" w:themeColor="text2"/>
        <w:sz w:val="22"/>
      </w:rPr>
      <w:tblPr/>
      <w:tcPr>
        <w:shd w:val="clear" w:color="auto" w:fill="00DCA1" w:themeFill="background1"/>
      </w:tcPr>
    </w:tblStylePr>
    <w:tblStylePr w:type="lastRow">
      <w:rPr>
        <w:rFonts w:ascii="Arial" w:hAnsi="Arial"/>
        <w:b w:val="0"/>
        <w:color w:val="033636" w:themeColor="text1"/>
      </w:rPr>
      <w:tblPr/>
      <w:tcPr>
        <w:tcBorders>
          <w:top w:val="nil"/>
          <w:left w:val="nil"/>
          <w:bottom w:val="nil"/>
          <w:right w:val="nil"/>
          <w:insideH w:val="nil"/>
          <w:insideV w:val="nil"/>
          <w:tl2br w:val="nil"/>
          <w:tr2bl w:val="nil"/>
        </w:tcBorders>
      </w:tcPr>
    </w:tblStylePr>
    <w:tblStylePr w:type="band1Vert">
      <w:tblPr/>
      <w:tcPr>
        <w:tcBorders>
          <w:top w:val="single" w:sz="4" w:space="0" w:color="00DCA1" w:themeColor="background1"/>
          <w:left w:val="nil"/>
          <w:bottom w:val="single" w:sz="4" w:space="0" w:color="00DCA1" w:themeColor="background1"/>
          <w:right w:val="nil"/>
          <w:insideH w:val="nil"/>
          <w:insideV w:val="nil"/>
          <w:tl2br w:val="nil"/>
          <w:tr2bl w:val="nil"/>
        </w:tcBorders>
        <w:shd w:val="clear" w:color="auto" w:fill="auto"/>
      </w:tcPr>
    </w:tblStylePr>
  </w:style>
  <w:style w:type="character" w:customStyle="1" w:styleId="TableTitleChar">
    <w:name w:val="Table Title Char"/>
    <w:basedOn w:val="DefaultParagraphFont"/>
    <w:link w:val="TableTitle"/>
    <w:rsid w:val="00BF7AD7"/>
    <w:rPr>
      <w:rFonts w:ascii="Arial" w:hAnsi="Arial"/>
      <w:b/>
      <w:color w:val="033636" w:themeColor="text1"/>
      <w:sz w:val="22"/>
      <w:szCs w:val="24"/>
      <w:lang w:val="en-US" w:eastAsia="en-US"/>
    </w:rPr>
  </w:style>
  <w:style w:type="paragraph" w:customStyle="1" w:styleId="IntroPara">
    <w:name w:val="Intro Para"/>
    <w:basedOn w:val="Normal"/>
    <w:next w:val="Normal"/>
    <w:qFormat/>
    <w:rsid w:val="00281F5F"/>
    <w:pPr>
      <w:spacing w:before="480" w:line="400" w:lineRule="exact"/>
    </w:pPr>
    <w:rPr>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281F5F"/>
    <w:pPr>
      <w:spacing w:before="240"/>
    </w:pPr>
    <w:rPr>
      <w:rFonts w:cs="Times New Roman"/>
      <w:b/>
      <w:bCs/>
      <w:szCs w:val="20"/>
    </w:rPr>
  </w:style>
  <w:style w:type="paragraph" w:customStyle="1" w:styleId="Boxtype">
    <w:name w:val="Box type"/>
    <w:next w:val="Normal"/>
    <w:qFormat/>
    <w:rsid w:val="00281F5F"/>
    <w:pPr>
      <w:pBdr>
        <w:top w:val="single" w:sz="6" w:space="20" w:color="00DCA1" w:themeColor="background1"/>
        <w:left w:val="single" w:sz="6" w:space="10" w:color="00DCA1" w:themeColor="background1"/>
        <w:bottom w:val="single" w:sz="6" w:space="10" w:color="00DCA1" w:themeColor="background1"/>
        <w:right w:val="single" w:sz="6" w:space="10" w:color="00DCA1" w:themeColor="background1"/>
      </w:pBdr>
      <w:spacing w:after="240" w:line="276" w:lineRule="auto"/>
      <w:ind w:left="227" w:right="227"/>
    </w:pPr>
    <w:rPr>
      <w:rFonts w:ascii="Arial" w:hAnsi="Arial" w:cs="Arial"/>
      <w:color w:val="033636"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33636"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041E4D"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2Char">
    <w:name w:val="Heading 2 Char"/>
    <w:basedOn w:val="DefaultParagraphFont"/>
    <w:link w:val="Heading2"/>
    <w:rsid w:val="00553322"/>
    <w:rPr>
      <w:rFonts w:ascii="Arial" w:hAnsi="Arial" w:cs="Arial"/>
      <w:b/>
      <w:bCs/>
      <w:iCs/>
      <w:color w:val="033636" w:themeColor="text1"/>
      <w:sz w:val="36"/>
      <w:szCs w:val="28"/>
      <w:lang w:eastAsia="en-US"/>
    </w:rPr>
  </w:style>
  <w:style w:type="paragraph" w:styleId="Revision">
    <w:name w:val="Revision"/>
    <w:hidden/>
    <w:uiPriority w:val="99"/>
    <w:semiHidden/>
    <w:rsid w:val="00D45AFD"/>
    <w:rPr>
      <w:rFonts w:ascii="Arial" w:hAnsi="Arial"/>
      <w:color w:val="033636" w:themeColor="text1"/>
      <w:sz w:val="22"/>
      <w:szCs w:val="24"/>
      <w:lang w:eastAsia="en-US"/>
    </w:rPr>
  </w:style>
  <w:style w:type="character" w:styleId="CommentReference">
    <w:name w:val="annotation reference"/>
    <w:basedOn w:val="DefaultParagraphFont"/>
    <w:semiHidden/>
    <w:unhideWhenUsed/>
    <w:rsid w:val="00FA2E13"/>
    <w:rPr>
      <w:sz w:val="16"/>
      <w:szCs w:val="16"/>
    </w:rPr>
  </w:style>
  <w:style w:type="paragraph" w:styleId="CommentText">
    <w:name w:val="annotation text"/>
    <w:basedOn w:val="Normal"/>
    <w:link w:val="CommentTextChar"/>
    <w:unhideWhenUsed/>
    <w:rsid w:val="00FA2E13"/>
    <w:pPr>
      <w:spacing w:line="240" w:lineRule="auto"/>
    </w:pPr>
    <w:rPr>
      <w:szCs w:val="20"/>
    </w:rPr>
  </w:style>
  <w:style w:type="character" w:customStyle="1" w:styleId="CommentTextChar">
    <w:name w:val="Comment Text Char"/>
    <w:basedOn w:val="DefaultParagraphFont"/>
    <w:link w:val="CommentText"/>
    <w:rsid w:val="00FA2E13"/>
    <w:rPr>
      <w:rFonts w:ascii="Arial" w:hAnsi="Arial"/>
      <w:color w:val="033636" w:themeColor="text1"/>
      <w:lang w:eastAsia="en-US"/>
    </w:rPr>
  </w:style>
  <w:style w:type="paragraph" w:styleId="CommentSubject">
    <w:name w:val="annotation subject"/>
    <w:basedOn w:val="CommentText"/>
    <w:next w:val="CommentText"/>
    <w:link w:val="CommentSubjectChar"/>
    <w:semiHidden/>
    <w:unhideWhenUsed/>
    <w:rsid w:val="00FA2E13"/>
    <w:rPr>
      <w:b/>
      <w:bCs/>
    </w:rPr>
  </w:style>
  <w:style w:type="character" w:customStyle="1" w:styleId="CommentSubjectChar">
    <w:name w:val="Comment Subject Char"/>
    <w:basedOn w:val="CommentTextChar"/>
    <w:link w:val="CommentSubject"/>
    <w:semiHidden/>
    <w:rsid w:val="00FA2E13"/>
    <w:rPr>
      <w:rFonts w:ascii="Arial" w:hAnsi="Arial"/>
      <w:b/>
      <w:bCs/>
      <w:color w:val="033636" w:themeColor="text1"/>
      <w:lang w:eastAsia="en-US"/>
    </w:rPr>
  </w:style>
  <w:style w:type="paragraph" w:customStyle="1" w:styleId="paragraph">
    <w:name w:val="paragraph"/>
    <w:basedOn w:val="Normal"/>
    <w:rsid w:val="00DC4A4B"/>
    <w:pPr>
      <w:spacing w:before="100" w:beforeAutospacing="1" w:after="100" w:afterAutospacing="1" w:line="240" w:lineRule="auto"/>
    </w:pPr>
    <w:rPr>
      <w:rFonts w:ascii="Times New Roman" w:hAnsi="Times New Roman"/>
      <w:color w:val="auto"/>
      <w:sz w:val="24"/>
      <w:lang w:val="en-GB" w:eastAsia="en-GB"/>
    </w:rPr>
  </w:style>
  <w:style w:type="character" w:customStyle="1" w:styleId="normaltextrun">
    <w:name w:val="normaltextrun"/>
    <w:basedOn w:val="DefaultParagraphFont"/>
    <w:rsid w:val="00DC4A4B"/>
  </w:style>
  <w:style w:type="character" w:customStyle="1" w:styleId="eop">
    <w:name w:val="eop"/>
    <w:basedOn w:val="DefaultParagraphFont"/>
    <w:rsid w:val="00DC4A4B"/>
  </w:style>
  <w:style w:type="character" w:styleId="UnresolvedMention">
    <w:name w:val="Unresolved Mention"/>
    <w:basedOn w:val="DefaultParagraphFont"/>
    <w:uiPriority w:val="99"/>
    <w:semiHidden/>
    <w:unhideWhenUsed/>
    <w:rsid w:val="00B650E3"/>
    <w:rPr>
      <w:color w:val="605E5C"/>
      <w:shd w:val="clear" w:color="auto" w:fill="E1DFDD"/>
    </w:rPr>
  </w:style>
  <w:style w:type="character" w:styleId="Mention">
    <w:name w:val="Mention"/>
    <w:basedOn w:val="DefaultParagraphFont"/>
    <w:uiPriority w:val="99"/>
    <w:unhideWhenUsed/>
    <w:rsid w:val="00596966"/>
    <w:rPr>
      <w:color w:val="2B579A"/>
      <w:shd w:val="clear" w:color="auto" w:fill="E1DFDD"/>
    </w:rPr>
  </w:style>
  <w:style w:type="character" w:styleId="FollowedHyperlink">
    <w:name w:val="FollowedHyperlink"/>
    <w:basedOn w:val="DefaultParagraphFont"/>
    <w:semiHidden/>
    <w:unhideWhenUsed/>
    <w:rsid w:val="007B79EA"/>
    <w:rPr>
      <w:color w:val="D0CECE" w:themeColor="followedHyperlink"/>
      <w:u w:val="single"/>
    </w:rPr>
  </w:style>
  <w:style w:type="character" w:styleId="FootnoteReference">
    <w:name w:val="footnote reference"/>
    <w:basedOn w:val="DefaultParagraphFont"/>
    <w:semiHidden/>
    <w:unhideWhenUsed/>
    <w:rsid w:val="00BA014C"/>
    <w:rPr>
      <w:vertAlign w:val="superscript"/>
    </w:rPr>
  </w:style>
  <w:style w:type="character" w:customStyle="1" w:styleId="Heading3Char">
    <w:name w:val="Heading 3 Char"/>
    <w:basedOn w:val="DefaultParagraphFont"/>
    <w:link w:val="Heading3"/>
    <w:rsid w:val="00C25BCE"/>
    <w:rPr>
      <w:rFonts w:ascii="Arial" w:hAnsi="Arial" w:cs="Arial"/>
      <w:b/>
      <w:bCs/>
      <w:color w:val="033636" w:themeColor="text1"/>
      <w:sz w:val="32"/>
      <w:szCs w:val="26"/>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5129E"/>
    <w:rPr>
      <w:rFonts w:ascii="Arial" w:hAnsi="Arial"/>
      <w:color w:val="033636"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53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60737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73093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9567652">
      <w:bodyDiv w:val="1"/>
      <w:marLeft w:val="0"/>
      <w:marRight w:val="0"/>
      <w:marTop w:val="0"/>
      <w:marBottom w:val="0"/>
      <w:divBdr>
        <w:top w:val="none" w:sz="0" w:space="0" w:color="auto"/>
        <w:left w:val="none" w:sz="0" w:space="0" w:color="auto"/>
        <w:bottom w:val="none" w:sz="0" w:space="0" w:color="auto"/>
        <w:right w:val="none" w:sz="0" w:space="0" w:color="auto"/>
      </w:divBdr>
    </w:div>
    <w:div w:id="784925073">
      <w:bodyDiv w:val="1"/>
      <w:marLeft w:val="0"/>
      <w:marRight w:val="0"/>
      <w:marTop w:val="0"/>
      <w:marBottom w:val="0"/>
      <w:divBdr>
        <w:top w:val="none" w:sz="0" w:space="0" w:color="auto"/>
        <w:left w:val="none" w:sz="0" w:space="0" w:color="auto"/>
        <w:bottom w:val="none" w:sz="0" w:space="0" w:color="auto"/>
        <w:right w:val="none" w:sz="0" w:space="0" w:color="auto"/>
      </w:divBdr>
      <w:divsChild>
        <w:div w:id="1586724535">
          <w:marLeft w:val="0"/>
          <w:marRight w:val="0"/>
          <w:marTop w:val="0"/>
          <w:marBottom w:val="0"/>
          <w:divBdr>
            <w:top w:val="none" w:sz="0" w:space="0" w:color="auto"/>
            <w:left w:val="none" w:sz="0" w:space="0" w:color="auto"/>
            <w:bottom w:val="none" w:sz="0" w:space="0" w:color="auto"/>
            <w:right w:val="none" w:sz="0" w:space="0" w:color="auto"/>
          </w:divBdr>
        </w:div>
        <w:div w:id="1727605524">
          <w:marLeft w:val="0"/>
          <w:marRight w:val="0"/>
          <w:marTop w:val="0"/>
          <w:marBottom w:val="0"/>
          <w:divBdr>
            <w:top w:val="none" w:sz="0" w:space="0" w:color="auto"/>
            <w:left w:val="none" w:sz="0" w:space="0" w:color="auto"/>
            <w:bottom w:val="none" w:sz="0" w:space="0" w:color="auto"/>
            <w:right w:val="none" w:sz="0" w:space="0" w:color="auto"/>
          </w:divBdr>
        </w:div>
      </w:divsChild>
    </w:div>
    <w:div w:id="846404908">
      <w:bodyDiv w:val="1"/>
      <w:marLeft w:val="0"/>
      <w:marRight w:val="0"/>
      <w:marTop w:val="0"/>
      <w:marBottom w:val="0"/>
      <w:divBdr>
        <w:top w:val="none" w:sz="0" w:space="0" w:color="auto"/>
        <w:left w:val="none" w:sz="0" w:space="0" w:color="auto"/>
        <w:bottom w:val="none" w:sz="0" w:space="0" w:color="auto"/>
        <w:right w:val="none" w:sz="0" w:space="0" w:color="auto"/>
      </w:divBdr>
    </w:div>
    <w:div w:id="973870175">
      <w:bodyDiv w:val="1"/>
      <w:marLeft w:val="0"/>
      <w:marRight w:val="0"/>
      <w:marTop w:val="0"/>
      <w:marBottom w:val="0"/>
      <w:divBdr>
        <w:top w:val="none" w:sz="0" w:space="0" w:color="auto"/>
        <w:left w:val="none" w:sz="0" w:space="0" w:color="auto"/>
        <w:bottom w:val="none" w:sz="0" w:space="0" w:color="auto"/>
        <w:right w:val="none" w:sz="0" w:space="0" w:color="auto"/>
      </w:divBdr>
    </w:div>
    <w:div w:id="114119517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8291135">
      <w:bodyDiv w:val="1"/>
      <w:marLeft w:val="0"/>
      <w:marRight w:val="0"/>
      <w:marTop w:val="0"/>
      <w:marBottom w:val="0"/>
      <w:divBdr>
        <w:top w:val="none" w:sz="0" w:space="0" w:color="auto"/>
        <w:left w:val="none" w:sz="0" w:space="0" w:color="auto"/>
        <w:bottom w:val="none" w:sz="0" w:space="0" w:color="auto"/>
        <w:right w:val="none" w:sz="0" w:space="0" w:color="auto"/>
      </w:divBdr>
    </w:div>
    <w:div w:id="1675298450">
      <w:bodyDiv w:val="1"/>
      <w:marLeft w:val="0"/>
      <w:marRight w:val="0"/>
      <w:marTop w:val="0"/>
      <w:marBottom w:val="0"/>
      <w:divBdr>
        <w:top w:val="none" w:sz="0" w:space="0" w:color="auto"/>
        <w:left w:val="none" w:sz="0" w:space="0" w:color="auto"/>
        <w:bottom w:val="none" w:sz="0" w:space="0" w:color="auto"/>
        <w:right w:val="none" w:sz="0" w:space="0" w:color="auto"/>
      </w:divBdr>
    </w:div>
    <w:div w:id="1784374504">
      <w:bodyDiv w:val="1"/>
      <w:marLeft w:val="0"/>
      <w:marRight w:val="0"/>
      <w:marTop w:val="0"/>
      <w:marBottom w:val="0"/>
      <w:divBdr>
        <w:top w:val="none" w:sz="0" w:space="0" w:color="auto"/>
        <w:left w:val="none" w:sz="0" w:space="0" w:color="auto"/>
        <w:bottom w:val="none" w:sz="0" w:space="0" w:color="auto"/>
        <w:right w:val="none" w:sz="0" w:space="0" w:color="auto"/>
      </w:divBdr>
    </w:div>
    <w:div w:id="1858810557">
      <w:bodyDiv w:val="1"/>
      <w:marLeft w:val="0"/>
      <w:marRight w:val="0"/>
      <w:marTop w:val="0"/>
      <w:marBottom w:val="0"/>
      <w:divBdr>
        <w:top w:val="none" w:sz="0" w:space="0" w:color="auto"/>
        <w:left w:val="none" w:sz="0" w:space="0" w:color="auto"/>
        <w:bottom w:val="none" w:sz="0" w:space="0" w:color="auto"/>
        <w:right w:val="none" w:sz="0" w:space="0" w:color="auto"/>
      </w:divBdr>
    </w:div>
    <w:div w:id="1877237273">
      <w:bodyDiv w:val="1"/>
      <w:marLeft w:val="0"/>
      <w:marRight w:val="0"/>
      <w:marTop w:val="0"/>
      <w:marBottom w:val="0"/>
      <w:divBdr>
        <w:top w:val="none" w:sz="0" w:space="0" w:color="auto"/>
        <w:left w:val="none" w:sz="0" w:space="0" w:color="auto"/>
        <w:bottom w:val="none" w:sz="0" w:space="0" w:color="auto"/>
        <w:right w:val="none" w:sz="0" w:space="0" w:color="auto"/>
      </w:divBdr>
    </w:div>
    <w:div w:id="2006127325">
      <w:bodyDiv w:val="1"/>
      <w:marLeft w:val="0"/>
      <w:marRight w:val="0"/>
      <w:marTop w:val="0"/>
      <w:marBottom w:val="0"/>
      <w:divBdr>
        <w:top w:val="none" w:sz="0" w:space="0" w:color="auto"/>
        <w:left w:val="none" w:sz="0" w:space="0" w:color="auto"/>
        <w:bottom w:val="none" w:sz="0" w:space="0" w:color="auto"/>
        <w:right w:val="none" w:sz="0" w:space="0" w:color="auto"/>
      </w:divBdr>
    </w:div>
    <w:div w:id="20096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pren.dmac.adelaide.edu.au/" TargetMode="External"/><Relationship Id="rId21" Type="http://schemas.openxmlformats.org/officeDocument/2006/relationships/hyperlink" Target="https://info.flutracking.net/" TargetMode="External"/><Relationship Id="rId42" Type="http://schemas.openxmlformats.org/officeDocument/2006/relationships/hyperlink" Target="https://www.who.int/initiatives/global-influenza-surveillance-and-response-system/national-influenza-centres" TargetMode="External"/><Relationship Id="rId47" Type="http://schemas.openxmlformats.org/officeDocument/2006/relationships/hyperlink" Target="https://www.health.gov.au/resources/publications/australian-national-surveillance-plan-for-covid-19-influenza-and-rsv" TargetMode="External"/><Relationship Id="rId63" Type="http://schemas.openxmlformats.org/officeDocument/2006/relationships/hyperlink" Target="https://www.who.int/activities/tracking-SARS-CoV-2-variants" TargetMode="External"/><Relationship Id="rId68" Type="http://schemas.openxmlformats.org/officeDocument/2006/relationships/hyperlink" Target="https://www.health.gov.au/resources/publications/atagi-statement-on-the-transition-from-quadrivalent-to-trivalent-seasonal-influenza-vaccines-in-australia?language=en" TargetMode="External"/><Relationship Id="rId2" Type="http://schemas.openxmlformats.org/officeDocument/2006/relationships/customXml" Target="../customXml/item2.xml"/><Relationship Id="rId16" Type="http://schemas.openxmlformats.org/officeDocument/2006/relationships/hyperlink" Target="https://www.health.gov.au/resources/publications/influenza-laboratory-confirmed-surveillance-case-definition" TargetMode="External"/><Relationship Id="rId29" Type="http://schemas.openxmlformats.org/officeDocument/2006/relationships/hyperlink" Target="https://www.monash.edu/medicine/sphpm/anzicrc/research/sprint-sari" TargetMode="External"/><Relationship Id="rId11" Type="http://schemas.openxmlformats.org/officeDocument/2006/relationships/header" Target="header1.xml"/><Relationship Id="rId24" Type="http://schemas.openxmlformats.org/officeDocument/2006/relationships/hyperlink" Target="https://www.healthdirect.gov.au/" TargetMode="External"/><Relationship Id="rId32" Type="http://schemas.openxmlformats.org/officeDocument/2006/relationships/hyperlink" Target="https://www.abs.gov.au/statistics/health/causes-death/provisional-mortality-statistics/jan-sep-2024" TargetMode="External"/><Relationship Id="rId37" Type="http://schemas.openxmlformats.org/officeDocument/2006/relationships/hyperlink" Target="https://www.abs.gov.au/articles/deaths-due-covid-19-influenza-and-rsv-australia-2022-november-2024" TargetMode="External"/><Relationship Id="rId40" Type="http://schemas.openxmlformats.org/officeDocument/2006/relationships/hyperlink" Target="https://www.who.int/activities/tracking-SARS-CoV-2-variants" TargetMode="External"/><Relationship Id="rId45" Type="http://schemas.openxmlformats.org/officeDocument/2006/relationships/hyperlink" Target="https://www.servicesaustralia.gov.au/australian-immunisation-register" TargetMode="External"/><Relationship Id="rId53" Type="http://schemas.openxmlformats.org/officeDocument/2006/relationships/hyperlink" Target="https://www.health.gov.au/diseases/influenza-flu" TargetMode="External"/><Relationship Id="rId58" Type="http://schemas.openxmlformats.org/officeDocument/2006/relationships/hyperlink" Target="https://www.health.gov.au/resources/publications/technical-supplement-2022-update-to-nndss-laboratory-confirmed-influenza-case-definition" TargetMode="External"/><Relationship Id="rId66" Type="http://schemas.openxmlformats.org/officeDocument/2006/relationships/hyperlink" Target="https://www.who.int/news-room/feature-stories/detail/vaccine-efficacy-effectiveness-and-protection" TargetMode="External"/><Relationship Id="rId5" Type="http://schemas.openxmlformats.org/officeDocument/2006/relationships/numbering" Target="numbering.xml"/><Relationship Id="rId61" Type="http://schemas.openxmlformats.org/officeDocument/2006/relationships/hyperlink" Target="https://www.abs.gov.au/statistics/health/causes-death/provisional-mortality-statistics/jan-sep-2024" TargetMode="External"/><Relationship Id="rId19" Type="http://schemas.openxmlformats.org/officeDocument/2006/relationships/hyperlink" Target="https://www.health.gov.au/resources/publications/technical-supplement-2022-update-to-nndss-laboratory-confirmed-influenza-case-definition" TargetMode="External"/><Relationship Id="rId14" Type="http://schemas.openxmlformats.org/officeDocument/2006/relationships/hyperlink" Target="https://www.health.gov.au/resources/collections/cdna-surveillance-case-definitions" TargetMode="External"/><Relationship Id="rId22" Type="http://schemas.openxmlformats.org/officeDocument/2006/relationships/hyperlink" Target="https://about.healthdirect.gov.au/healthdirect" TargetMode="External"/><Relationship Id="rId27" Type="http://schemas.openxmlformats.org/officeDocument/2006/relationships/hyperlink" Target="https://monashhealth.org/services/monash-infectious-diseases/research/influenza-research/flucan-influenza-surveillance-2/" TargetMode="External"/><Relationship Id="rId30" Type="http://schemas.openxmlformats.org/officeDocument/2006/relationships/hyperlink" Target="https://chris.health.gov.au/" TargetMode="External"/><Relationship Id="rId35" Type="http://schemas.openxmlformats.org/officeDocument/2006/relationships/hyperlink" Target="https://www.abs.gov.au/methodologies/provisional-mortality-statistics-methodology" TargetMode="External"/><Relationship Id="rId43" Type="http://schemas.openxmlformats.org/officeDocument/2006/relationships/hyperlink" Target="http://www.influenzacentre.org/" TargetMode="External"/><Relationship Id="rId48" Type="http://schemas.openxmlformats.org/officeDocument/2006/relationships/hyperlink" Target="https://www.paho.org/en/topics/influenza-sars-cov-2-rsv-and-other-respiratory-viruses" TargetMode="External"/><Relationship Id="rId56" Type="http://schemas.openxmlformats.org/officeDocument/2006/relationships/hyperlink" Target="https://www.health.gov.au/our-work/nndss" TargetMode="External"/><Relationship Id="rId64" Type="http://schemas.openxmlformats.org/officeDocument/2006/relationships/hyperlink" Target="https://ncirs.org.au/our-work/vaccine-coverage" TargetMode="External"/><Relationship Id="rId69" Type="http://schemas.openxmlformats.org/officeDocument/2006/relationships/hyperlink" Target="https://www.tga.gov.au/resources/publication/meeting-statements/aivc-recommendations-composition-influenza-vaccines-australia-2025" TargetMode="External"/><Relationship Id="rId8" Type="http://schemas.openxmlformats.org/officeDocument/2006/relationships/webSettings" Target="webSettings.xml"/><Relationship Id="rId51" Type="http://schemas.openxmlformats.org/officeDocument/2006/relationships/hyperlink" Target="https://www.health.gov.au/topics/covid-19/protect-yourself-and-others/high-risk-group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ealth.gov.au/resources/publications/australian-national-surveillance-plan-for-covid-19-influenza-and-rsv" TargetMode="External"/><Relationship Id="rId17" Type="http://schemas.openxmlformats.org/officeDocument/2006/relationships/hyperlink" Target="https://www.health.gov.au/resources/publications/influenza-laboratory-confirmed-surveillance-case-definition" TargetMode="External"/><Relationship Id="rId25" Type="http://schemas.openxmlformats.org/officeDocument/2006/relationships/hyperlink" Target="https://www.who.int/teams/global-influenza-programme/surveillance-and-monitoring/case-definitions-for-ili-and-sari" TargetMode="External"/><Relationship Id="rId33" Type="http://schemas.openxmlformats.org/officeDocument/2006/relationships/hyperlink" Target="https://www.abs.gov.au/statistics/people/population/deaths-australia/latest-release" TargetMode="External"/><Relationship Id="rId38" Type="http://schemas.openxmlformats.org/officeDocument/2006/relationships/hyperlink" Target="https://www.cdgn.org.au/austrakka" TargetMode="External"/><Relationship Id="rId46" Type="http://schemas.openxmlformats.org/officeDocument/2006/relationships/hyperlink" Target="https://immunisationhandbook.health.gov.au/" TargetMode="External"/><Relationship Id="rId59" Type="http://schemas.openxmlformats.org/officeDocument/2006/relationships/hyperlink" Target="https://www.who.int/teams/global-influenza-programme/surveillance-and-monitoring/case-definitions-for-ili-and-sari" TargetMode="External"/><Relationship Id="rId67" Type="http://schemas.openxmlformats.org/officeDocument/2006/relationships/hyperlink" Target="https://www.cdc.gov/flu/prevent/flushot.htm" TargetMode="External"/><Relationship Id="rId20" Type="http://schemas.openxmlformats.org/officeDocument/2006/relationships/hyperlink" Target="https://www.health.gov.au/resources/publications/respiratory-syncytial-virus-surveillance-case-definition" TargetMode="External"/><Relationship Id="rId41" Type="http://schemas.openxmlformats.org/officeDocument/2006/relationships/hyperlink" Target="https://www.cdgn.org.au/austrakka" TargetMode="External"/><Relationship Id="rId54" Type="http://schemas.openxmlformats.org/officeDocument/2006/relationships/hyperlink" Target="https://www.who.int/teams/health-product-policy-and-standards/standards-and-specifications/vaccine-standardization/respiratory-syncytial-virus-disease" TargetMode="External"/><Relationship Id="rId62" Type="http://schemas.openxmlformats.org/officeDocument/2006/relationships/hyperlink" Target="https://www.abs.gov.au/articles/deaths-due-covid-19-influenza-and-rsv-australia-2022-november-2024"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publications/coronavirus-disease-2019-covid-19-surveillance-case-definition" TargetMode="External"/><Relationship Id="rId23" Type="http://schemas.openxmlformats.org/officeDocument/2006/relationships/hyperlink" Target="https://www.healthdirect.gov.au/symptom-checker" TargetMode="External"/><Relationship Id="rId28" Type="http://schemas.openxmlformats.org/officeDocument/2006/relationships/hyperlink" Target="https://paeds.org.au/" TargetMode="External"/><Relationship Id="rId36" Type="http://schemas.openxmlformats.org/officeDocument/2006/relationships/hyperlink" Target="https://www.abs.gov.au/statistics/health/causes-death/provisional-mortality-statistics" TargetMode="External"/><Relationship Id="rId49" Type="http://schemas.openxmlformats.org/officeDocument/2006/relationships/hyperlink" Target="https://www.who.int/dg/speeches/detail/who-director-general-s-opening-remarks-at-the-media-briefing-on-covid-19---11-march-2020." TargetMode="External"/><Relationship Id="rId57" Type="http://schemas.openxmlformats.org/officeDocument/2006/relationships/hyperlink" Target="https://www.health.gov.au/resources/collections/cdna-surveillance-case-definitions" TargetMode="External"/><Relationship Id="rId10" Type="http://schemas.openxmlformats.org/officeDocument/2006/relationships/endnotes" Target="endnotes.xml"/><Relationship Id="rId31" Type="http://schemas.openxmlformats.org/officeDocument/2006/relationships/hyperlink" Target="https://www.abs.gov.au/methodologies/provisional-mortality-statistics-methodology" TargetMode="External"/><Relationship Id="rId44" Type="http://schemas.openxmlformats.org/officeDocument/2006/relationships/hyperlink" Target="https://www.health.gov.au/our-work/national-immunisation-program" TargetMode="External"/><Relationship Id="rId52" Type="http://schemas.openxmlformats.org/officeDocument/2006/relationships/hyperlink" Target="https://www.who.int/health-topics/influenza-seasonal" TargetMode="External"/><Relationship Id="rId60" Type="http://schemas.openxmlformats.org/officeDocument/2006/relationships/hyperlink" Target="https://www.abs.gov.au/methodologies/provisional-mortality-statistics-methodology/jan-sep-2024" TargetMode="External"/><Relationship Id="rId65" Type="http://schemas.openxmlformats.org/officeDocument/2006/relationships/hyperlink" Target="https://www.health.gov.au/topics/immunisation/immunisation-information-for-health-professionals/using-the-australian-immunisation-registe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health.gov.au/resources/publications/influenza-laboratory-case-definition?language=en" TargetMode="External"/><Relationship Id="rId39" Type="http://schemas.openxmlformats.org/officeDocument/2006/relationships/hyperlink" Target="https://www.health.gov.au/committees-and-groups/phln" TargetMode="External"/><Relationship Id="rId34" Type="http://schemas.openxmlformats.org/officeDocument/2006/relationships/hyperlink" Target="https://www.abs.gov.au/statistics/health/causes-death/causes-death-australia/2021" TargetMode="External"/><Relationship Id="rId50" Type="http://schemas.openxmlformats.org/officeDocument/2006/relationships/hyperlink" Target="https://www.who.int/emergencies/diseases/novel-coronavirus-2019" TargetMode="External"/><Relationship Id="rId55" Type="http://schemas.openxmlformats.org/officeDocument/2006/relationships/hyperlink" Target="https://www.rch.org.au/kidsinfo/fact_sheets/respiratory_syncytial_virus_rsv/"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CHJ\Downloads\ARSR%20Technical%20Supplement_draft_v2.dotx" TargetMode="External"/></Relationships>
</file>

<file path=word/theme/theme1.xml><?xml version="1.0" encoding="utf-8"?>
<a:theme xmlns:a="http://schemas.openxmlformats.org/drawingml/2006/main" name="CDC">
  <a:themeElements>
    <a:clrScheme name="CDC">
      <a:dk1>
        <a:srgbClr val="033636"/>
      </a:dk1>
      <a:lt1>
        <a:srgbClr val="00DCA1"/>
      </a:lt1>
      <a:dk2>
        <a:srgbClr val="000000"/>
      </a:dk2>
      <a:lt2>
        <a:srgbClr val="B7C7D7"/>
      </a:lt2>
      <a:accent1>
        <a:srgbClr val="083E9C"/>
      </a:accent1>
      <a:accent2>
        <a:srgbClr val="C55500"/>
      </a:accent2>
      <a:accent3>
        <a:srgbClr val="511D81"/>
      </a:accent3>
      <a:accent4>
        <a:srgbClr val="FFD031"/>
      </a:accent4>
      <a:accent5>
        <a:srgbClr val="A10000"/>
      </a:accent5>
      <a:accent6>
        <a:srgbClr val="FF6E73"/>
      </a:accent6>
      <a:hlink>
        <a:srgbClr val="000000"/>
      </a:hlink>
      <a:folHlink>
        <a:srgbClr val="D0CE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d1eef-2571-485b-a1d6-b47a06cbb743">
      <Terms xmlns="http://schemas.microsoft.com/office/infopath/2007/PartnerControls"/>
    </lcf76f155ced4ddcb4097134ff3c332f>
    <TaxCatchAll xmlns="e7d54a9e-4aca-451b-99db-b94fe438e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D6B89DAC12D439E4E54416F1CB225" ma:contentTypeVersion="13" ma:contentTypeDescription="Create a new document." ma:contentTypeScope="" ma:versionID="2256e6a1e6367b9afc736c0e49657765">
  <xsd:schema xmlns:xsd="http://www.w3.org/2001/XMLSchema" xmlns:xs="http://www.w3.org/2001/XMLSchema" xmlns:p="http://schemas.microsoft.com/office/2006/metadata/properties" xmlns:ns2="4eed1eef-2571-485b-a1d6-b47a06cbb743" xmlns:ns3="e7d54a9e-4aca-451b-99db-b94fe438e987" targetNamespace="http://schemas.microsoft.com/office/2006/metadata/properties" ma:root="true" ma:fieldsID="b355718df86b7d3ba8c44b37fbb55f8d" ns2:_="" ns3:_="">
    <xsd:import namespace="4eed1eef-2571-485b-a1d6-b47a06cbb743"/>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1eef-2571-485b-a1d6-b47a06cb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25dc73-d65d-4879-ac69-f31d933da62b}"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4eed1eef-2571-485b-a1d6-b47a06cbb743"/>
    <ds:schemaRef ds:uri="e7d54a9e-4aca-451b-99db-b94fe438e987"/>
  </ds:schemaRefs>
</ds:datastoreItem>
</file>

<file path=customXml/itemProps2.xml><?xml version="1.0" encoding="utf-8"?>
<ds:datastoreItem xmlns:ds="http://schemas.openxmlformats.org/officeDocument/2006/customXml" ds:itemID="{9B02C30F-166B-4C99-A249-1CBFD2BC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1eef-2571-485b-a1d6-b47a06cbb743"/>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C:\Users\MIECHJ\Downloads\ARSR Technical Supplement_draft_v2.dotx</Template>
  <TotalTime>3</TotalTime>
  <Pages>15</Pages>
  <Words>7137</Words>
  <Characters>43182</Characters>
  <Application>Microsoft Office Word</Application>
  <DocSecurity>0</DocSecurity>
  <Lines>599</Lines>
  <Paragraphs>210</Paragraphs>
  <ScaleCrop>false</ScaleCrop>
  <HeadingPairs>
    <vt:vector size="2" baseType="variant">
      <vt:variant>
        <vt:lpstr>Title</vt:lpstr>
      </vt:variant>
      <vt:variant>
        <vt:i4>1</vt:i4>
      </vt:variant>
    </vt:vector>
  </HeadingPairs>
  <TitlesOfParts>
    <vt:vector size="1" baseType="lpstr">
      <vt:lpstr>Technical supplement – Australian Respiratory Surveillance Report</vt:lpstr>
    </vt:vector>
  </TitlesOfParts>
  <Manager/>
  <Company/>
  <LinksUpToDate>false</LinksUpToDate>
  <CharactersWithSpaces>50109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 Australian Respiratory Surveillance Report</dc:title>
  <dc:subject>Australian Respiratory Surveillance Report – Technical supplement</dc:subject>
  <dc:creator>Australian Government Department of Health and Aged Care</dc:creator>
  <cp:keywords>Respiratory syncytial virus (RSV) infection; Influenza (flu); COVID-19, Coronavirus; Influenza surveillance program</cp:keywords>
  <dc:description/>
  <cp:lastModifiedBy>HOOD, Jodi</cp:lastModifiedBy>
  <cp:revision>644</cp:revision>
  <cp:lastPrinted>2022-06-22T22:44:00Z</cp:lastPrinted>
  <dcterms:created xsi:type="dcterms:W3CDTF">2024-11-21T17:26:00Z</dcterms:created>
  <dcterms:modified xsi:type="dcterms:W3CDTF">2025-01-31T02:56:00Z</dcterms:modified>
  <cp:category/>
</cp:coreProperties>
</file>