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28C30CA" w14:textId="06528A75" w:rsidR="00440E2D" w:rsidRPr="003A38D1" w:rsidRDefault="000A31E4" w:rsidP="00C42565">
      <w:pPr>
        <w:pStyle w:val="Heading1"/>
        <w:rPr>
          <w:rFonts w:eastAsiaTheme="minorHAnsi" w:cstheme="minorBidi"/>
          <w:szCs w:val="22"/>
          <w:lang w:eastAsia="en-US"/>
        </w:rPr>
        <w:sectPr w:rsidR="00440E2D" w:rsidRPr="003A38D1" w:rsidSect="00CD06B3">
          <w:headerReference w:type="even" r:id="rId12"/>
          <w:headerReference w:type="default" r:id="rId13"/>
          <w:footerReference w:type="default" r:id="rId14"/>
          <w:headerReference w:type="first" r:id="rId15"/>
          <w:footerReference w:type="first" r:id="rId16"/>
          <w:pgSz w:w="11906" w:h="16838" w:code="9"/>
          <w:pgMar w:top="5954" w:right="1440" w:bottom="1440" w:left="1440" w:header="567" w:footer="57" w:gutter="0"/>
          <w:cols w:space="708"/>
          <w:titlePg/>
          <w:docGrid w:linePitch="360"/>
        </w:sectPr>
      </w:pPr>
      <w:r w:rsidRPr="001F53A2">
        <w:rPr>
          <w:noProof/>
        </w:rPr>
        <mc:AlternateContent>
          <mc:Choice Requires="wps">
            <w:drawing>
              <wp:anchor distT="45720" distB="45720" distL="114300" distR="114300" simplePos="0" relativeHeight="251658266" behindDoc="0" locked="0" layoutInCell="1" allowOverlap="1" wp14:anchorId="16227DD6" wp14:editId="4DCBB21E">
                <wp:simplePos x="0" y="0"/>
                <wp:positionH relativeFrom="margin">
                  <wp:posOffset>169603</wp:posOffset>
                </wp:positionH>
                <wp:positionV relativeFrom="paragraph">
                  <wp:posOffset>-813435</wp:posOffset>
                </wp:positionV>
                <wp:extent cx="6050915" cy="6151418"/>
                <wp:effectExtent l="0" t="0" r="0" b="190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6151418"/>
                        </a:xfrm>
                        <a:prstGeom prst="rect">
                          <a:avLst/>
                        </a:prstGeom>
                        <a:noFill/>
                        <a:ln w="9525">
                          <a:noFill/>
                          <a:miter lim="800000"/>
                          <a:headEnd/>
                          <a:tailEnd/>
                        </a:ln>
                      </wps:spPr>
                      <wps:txbx>
                        <w:txbxContent>
                          <w:p w14:paraId="63694A74" w14:textId="14956662" w:rsidR="00440E2D" w:rsidRPr="006A61F1" w:rsidRDefault="00440E2D" w:rsidP="006A61F1">
                            <w:pPr>
                              <w:pStyle w:val="Title"/>
                            </w:pPr>
                            <w:r w:rsidRPr="00A05D8D">
                              <w:rPr>
                                <w:b/>
                                <w:bCs/>
                                <w:color w:val="F2F2F2" w:themeColor="background2"/>
                                <w:sz w:val="52"/>
                                <w:szCs w:val="56"/>
                              </w:rPr>
                              <w:t>RESEARCH TRANSLATION PAPER</w:t>
                            </w:r>
                            <w:r w:rsidR="006F350B">
                              <w:rPr>
                                <w:b/>
                                <w:bCs/>
                              </w:rPr>
                              <w:t xml:space="preserve"> </w:t>
                            </w:r>
                            <w:r w:rsidR="00262F49" w:rsidRPr="00493FEF">
                              <w:t xml:space="preserve">LGBTQ+ People and Mental </w:t>
                            </w:r>
                            <w:r w:rsidR="00262F49" w:rsidRPr="002B7C27">
                              <w:t>Health Services</w:t>
                            </w:r>
                            <w:r w:rsidR="00262F49">
                              <w:t xml:space="preserve"> Research</w:t>
                            </w:r>
                          </w:p>
                          <w:p w14:paraId="70194857" w14:textId="5C595AA0" w:rsidR="00440E2D" w:rsidRPr="006A61F1" w:rsidRDefault="00223C3D" w:rsidP="006A61F1">
                            <w:pPr>
                              <w:pStyle w:val="Subtitle"/>
                            </w:pPr>
                            <w:r w:rsidRPr="00223C3D">
                              <w:rPr>
                                <w:bCs/>
                              </w:rPr>
                              <w:t>Prepared for</w:t>
                            </w:r>
                            <w:r w:rsidR="006A61F1">
                              <w:rPr>
                                <w:b/>
                              </w:rPr>
                              <w:t xml:space="preserve"> </w:t>
                            </w:r>
                            <w:r w:rsidR="00F72B6F">
                              <w:t xml:space="preserve">Commonwealth </w:t>
                            </w:r>
                            <w:r w:rsidR="00F72B6F" w:rsidRPr="00F72B6F">
                              <w:t>Department of Health and Aged Care</w:t>
                            </w:r>
                            <w:r w:rsidR="006A61F1">
                              <w:rPr>
                                <w:b/>
                              </w:rPr>
                              <w:t xml:space="preserve"> </w:t>
                            </w:r>
                            <w:proofErr w:type="gramStart"/>
                            <w:r w:rsidRPr="006A61F1">
                              <w:t>By</w:t>
                            </w:r>
                            <w:proofErr w:type="gramEnd"/>
                            <w:r w:rsidR="006A61F1" w:rsidRPr="006A61F1">
                              <w:t xml:space="preserve"> </w:t>
                            </w:r>
                            <w:r w:rsidR="00440E2D" w:rsidRPr="00F1261C">
                              <w:t>University of Technology Sydney</w:t>
                            </w:r>
                            <w:r w:rsidR="00CE4EF0">
                              <w:t xml:space="preserve"> and research partners </w:t>
                            </w:r>
                          </w:p>
                          <w:p w14:paraId="14F91BDB" w14:textId="7C8FB43F" w:rsidR="00440E2D" w:rsidRPr="006A61F1" w:rsidRDefault="00DC1BA1" w:rsidP="006A61F1">
                            <w:pPr>
                              <w:pStyle w:val="Date"/>
                            </w:pPr>
                            <w:r>
                              <w:t xml:space="preserve">December </w:t>
                            </w:r>
                            <w:r w:rsidR="000A31E4" w:rsidRPr="0060585F">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27DD6" id="_x0000_t202" coordsize="21600,21600" o:spt="202" path="m,l,21600r21600,l21600,xe">
                <v:stroke joinstyle="miter"/>
                <v:path gradientshapeok="t" o:connecttype="rect"/>
              </v:shapetype>
              <v:shape id="Text Box 217" o:spid="_x0000_s1026" type="#_x0000_t202" style="position:absolute;margin-left:13.35pt;margin-top:-64.05pt;width:476.45pt;height:484.3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" filled="f" stroked="f">
                <v:textbox>
                  <w:txbxContent>
                    <w:p w14:paraId="63694A74" w14:textId="14956662" w:rsidR="00440E2D" w:rsidRPr="006A61F1" w:rsidRDefault="00440E2D" w:rsidP="006A61F1">
                      <w:pPr>
                        <w:pStyle w:val="Title"/>
                      </w:pPr>
                      <w:r w:rsidRPr="00A05D8D">
                        <w:rPr>
                          <w:b/>
                          <w:bCs/>
                          <w:color w:val="F2F2F2" w:themeColor="background2"/>
                          <w:sz w:val="52"/>
                          <w:szCs w:val="56"/>
                        </w:rPr>
                        <w:t>RESEARCH TRANSLATION PAPER</w:t>
                      </w:r>
                      <w:r w:rsidR="006F350B">
                        <w:rPr>
                          <w:b/>
                          <w:bCs/>
                        </w:rPr>
                        <w:t xml:space="preserve"> </w:t>
                      </w:r>
                      <w:r w:rsidR="00262F49" w:rsidRPr="00493FEF">
                        <w:t xml:space="preserve">LGBTQ+ People and Mental </w:t>
                      </w:r>
                      <w:r w:rsidR="00262F49" w:rsidRPr="002B7C27">
                        <w:t>Health Services</w:t>
                      </w:r>
                      <w:r w:rsidR="00262F49">
                        <w:t xml:space="preserve"> Research</w:t>
                      </w:r>
                    </w:p>
                    <w:p w14:paraId="70194857" w14:textId="5C595AA0" w:rsidR="00440E2D" w:rsidRPr="006A61F1" w:rsidRDefault="00223C3D" w:rsidP="006A61F1">
                      <w:pPr>
                        <w:pStyle w:val="Subtitle"/>
                      </w:pPr>
                      <w:r w:rsidRPr="00223C3D">
                        <w:rPr>
                          <w:bCs/>
                        </w:rPr>
                        <w:t>Prepared for</w:t>
                      </w:r>
                      <w:r w:rsidR="006A61F1">
                        <w:rPr>
                          <w:b/>
                        </w:rPr>
                        <w:t xml:space="preserve"> </w:t>
                      </w:r>
                      <w:r w:rsidR="00F72B6F">
                        <w:t xml:space="preserve">Commonwealth </w:t>
                      </w:r>
                      <w:r w:rsidR="00F72B6F" w:rsidRPr="00F72B6F">
                        <w:t>Department of Health and Aged Care</w:t>
                      </w:r>
                      <w:r w:rsidR="006A61F1">
                        <w:rPr>
                          <w:b/>
                        </w:rPr>
                        <w:t xml:space="preserve"> </w:t>
                      </w:r>
                      <w:proofErr w:type="gramStart"/>
                      <w:r w:rsidRPr="006A61F1">
                        <w:t>By</w:t>
                      </w:r>
                      <w:proofErr w:type="gramEnd"/>
                      <w:r w:rsidR="006A61F1" w:rsidRPr="006A61F1">
                        <w:t xml:space="preserve"> </w:t>
                      </w:r>
                      <w:r w:rsidR="00440E2D" w:rsidRPr="00F1261C">
                        <w:t>University of Technology Sydney</w:t>
                      </w:r>
                      <w:r w:rsidR="00CE4EF0">
                        <w:t xml:space="preserve"> and research partners </w:t>
                      </w:r>
                    </w:p>
                    <w:p w14:paraId="14F91BDB" w14:textId="7C8FB43F" w:rsidR="00440E2D" w:rsidRPr="006A61F1" w:rsidRDefault="00DC1BA1" w:rsidP="006A61F1">
                      <w:pPr>
                        <w:pStyle w:val="Date"/>
                      </w:pPr>
                      <w:r>
                        <w:t xml:space="preserve">December </w:t>
                      </w:r>
                      <w:r w:rsidR="000A31E4" w:rsidRPr="0060585F">
                        <w:t>2023</w:t>
                      </w:r>
                    </w:p>
                  </w:txbxContent>
                </v:textbox>
                <w10:wrap anchorx="margin"/>
              </v:shape>
            </w:pict>
          </mc:Fallback>
        </mc:AlternateContent>
      </w:r>
      <w:r w:rsidRPr="00190FD6">
        <w:rPr>
          <w:noProof/>
        </w:rPr>
        <w:drawing>
          <wp:anchor distT="0" distB="0" distL="114300" distR="114300" simplePos="0" relativeHeight="251658241" behindDoc="1" locked="0" layoutInCell="1" allowOverlap="1" wp14:anchorId="5459F629" wp14:editId="2CBEDE96">
            <wp:simplePos x="0" y="0"/>
            <wp:positionH relativeFrom="column">
              <wp:posOffset>-941070</wp:posOffset>
            </wp:positionH>
            <wp:positionV relativeFrom="paragraph">
              <wp:posOffset>-3785235</wp:posOffset>
            </wp:positionV>
            <wp:extent cx="7637780" cy="10799445"/>
            <wp:effectExtent l="0" t="0" r="1270" b="1905"/>
            <wp:wrapNone/>
            <wp:docPr id="103" name="Picture 103" descr="A blue screen with white dots and the University of Technology of Sydne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blue screen with white dots and the University of Technology of Sydney logo&#10;"/>
                    <pic:cNvPicPr/>
                  </pic:nvPicPr>
                  <pic:blipFill>
                    <a:blip r:embed="rId17">
                      <a:extLst>
                        <a:ext uri="{28A0092B-C50C-407E-A947-70E740481C1C}">
                          <a14:useLocalDpi xmlns:a14="http://schemas.microsoft.com/office/drawing/2010/main" val="0"/>
                        </a:ext>
                      </a:extLst>
                    </a:blip>
                    <a:stretch>
                      <a:fillRect/>
                    </a:stretch>
                  </pic:blipFill>
                  <pic:spPr>
                    <a:xfrm>
                      <a:off x="0" y="0"/>
                      <a:ext cx="7637780" cy="10799445"/>
                    </a:xfrm>
                    <a:prstGeom prst="rect">
                      <a:avLst/>
                    </a:prstGeom>
                  </pic:spPr>
                </pic:pic>
              </a:graphicData>
            </a:graphic>
            <wp14:sizeRelH relativeFrom="page">
              <wp14:pctWidth>0</wp14:pctWidth>
            </wp14:sizeRelH>
            <wp14:sizeRelV relativeFrom="page">
              <wp14:pctHeight>0</wp14:pctHeight>
            </wp14:sizeRelV>
          </wp:anchor>
        </w:drawing>
      </w:r>
      <w:r w:rsidR="002B7C27" w:rsidRPr="00190FD6">
        <w:rPr>
          <w:noProof/>
        </w:rPr>
        <w:drawing>
          <wp:anchor distT="0" distB="0" distL="114300" distR="114300" simplePos="0" relativeHeight="251658242" behindDoc="0" locked="0" layoutInCell="1" allowOverlap="1" wp14:anchorId="3B07DF9A" wp14:editId="68B6C8FD">
            <wp:simplePos x="0" y="0"/>
            <wp:positionH relativeFrom="column">
              <wp:posOffset>-554182</wp:posOffset>
            </wp:positionH>
            <wp:positionV relativeFrom="paragraph">
              <wp:posOffset>-3517554</wp:posOffset>
            </wp:positionV>
            <wp:extent cx="3363329" cy="1274619"/>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8"/>
                    <a:stretch>
                      <a:fillRect/>
                    </a:stretch>
                  </pic:blipFill>
                  <pic:spPr>
                    <a:xfrm>
                      <a:off x="0" y="0"/>
                      <a:ext cx="3366781" cy="1275927"/>
                    </a:xfrm>
                    <a:prstGeom prst="rect">
                      <a:avLst/>
                    </a:prstGeom>
                  </pic:spPr>
                </pic:pic>
              </a:graphicData>
            </a:graphic>
            <wp14:sizeRelH relativeFrom="page">
              <wp14:pctWidth>0</wp14:pctWidth>
            </wp14:sizeRelH>
            <wp14:sizeRelV relativeFrom="page">
              <wp14:pctHeight>0</wp14:pctHeight>
            </wp14:sizeRelV>
          </wp:anchor>
        </w:drawing>
      </w:r>
      <w:r w:rsidR="00440E2D">
        <w:rPr>
          <w:noProof/>
        </w:rPr>
        <mc:AlternateContent>
          <mc:Choice Requires="wps">
            <w:drawing>
              <wp:anchor distT="0" distB="0" distL="114300" distR="114300" simplePos="0" relativeHeight="251658240" behindDoc="0" locked="0" layoutInCell="1" allowOverlap="1" wp14:anchorId="70FAF5DD" wp14:editId="66B71A8A">
                <wp:simplePos x="0" y="0"/>
                <wp:positionH relativeFrom="page">
                  <wp:posOffset>5571206</wp:posOffset>
                </wp:positionH>
                <wp:positionV relativeFrom="page">
                  <wp:posOffset>10353666</wp:posOffset>
                </wp:positionV>
                <wp:extent cx="3599815" cy="226695"/>
                <wp:effectExtent l="0" t="0" r="0" b="0"/>
                <wp:wrapNone/>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3599815" cy="226695"/>
                        </a:xfrm>
                        <a:prstGeom prst="rect">
                          <a:avLst/>
                        </a:prstGeom>
                        <a:noFill/>
                        <a:ln>
                          <a:noFill/>
                        </a:ln>
                        <a:effectLst/>
                      </wps:spPr>
                      <wps:txbx>
                        <w:txbxContent>
                          <w:p w14:paraId="4522092E" w14:textId="77777777" w:rsidR="00440E2D" w:rsidRPr="00CD207A" w:rsidRDefault="00440E2D" w:rsidP="00440E2D">
                            <w:pPr>
                              <w:rPr>
                                <w:color w:val="FFFFFF" w:themeColor="background1"/>
                              </w:rPr>
                            </w:pPr>
                            <w:r w:rsidRPr="00012538">
                              <w:rPr>
                                <w:color w:val="FFFFFF" w:themeColor="background1"/>
                              </w:rPr>
                              <w:t>UTS CRICOS</w:t>
                            </w:r>
                            <w:r>
                              <w:rPr>
                                <w:color w:val="FFFFFF" w:themeColor="background1"/>
                              </w:rPr>
                              <w:t xml:space="preserve"> </w:t>
                            </w:r>
                            <w:r w:rsidRPr="00012538">
                              <w:rPr>
                                <w:color w:val="FFFFFF" w:themeColor="background1"/>
                              </w:rPr>
                              <w:t>00099F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F5DD" id="Text Box 1" o:spid="_x0000_s1027" type="#_x0000_t202" style="position:absolute;margin-left:438.7pt;margin-top:815.25pt;width:283.45pt;height:1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" filled="f" stroked="f">
                <o:lock v:ext="edit" aspectratio="t" verticies="t" text="t" shapetype="t"/>
                <v:textbox inset="0,0,0,0">
                  <w:txbxContent>
                    <w:p w14:paraId="4522092E" w14:textId="77777777" w:rsidR="00440E2D" w:rsidRPr="00CD207A" w:rsidRDefault="00440E2D" w:rsidP="00440E2D">
                      <w:pPr>
                        <w:rPr>
                          <w:color w:val="FFFFFF" w:themeColor="background1"/>
                        </w:rPr>
                      </w:pPr>
                      <w:r w:rsidRPr="00012538">
                        <w:rPr>
                          <w:color w:val="FFFFFF" w:themeColor="background1"/>
                        </w:rPr>
                        <w:t>UTS CRICOS</w:t>
                      </w:r>
                      <w:r>
                        <w:rPr>
                          <w:color w:val="FFFFFF" w:themeColor="background1"/>
                        </w:rPr>
                        <w:t xml:space="preserve"> </w:t>
                      </w:r>
                      <w:r w:rsidRPr="00012538">
                        <w:rPr>
                          <w:color w:val="FFFFFF" w:themeColor="background1"/>
                        </w:rPr>
                        <w:t>00099F</w:t>
                      </w:r>
                    </w:p>
                  </w:txbxContent>
                </v:textbox>
                <w10:wrap anchorx="page" anchory="page"/>
              </v:shape>
            </w:pict>
          </mc:Fallback>
        </mc:AlternateContent>
      </w:r>
    </w:p>
    <w:p w14:paraId="147B9A19" w14:textId="5E98241F" w:rsidR="00440E2D" w:rsidRPr="00D41795" w:rsidRDefault="00440E2D" w:rsidP="009C7B65">
      <w:pPr>
        <w:pStyle w:val="Acknowledgmentheading"/>
      </w:pPr>
      <w:bookmarkStart w:id="1" w:name="_Toc120883550"/>
      <w:bookmarkStart w:id="2" w:name="_Toc121734889"/>
      <w:bookmarkStart w:id="3" w:name="_Toc147228507"/>
      <w:r w:rsidRPr="00D41795">
        <w:lastRenderedPageBreak/>
        <w:t>Acknowledgements</w:t>
      </w:r>
      <w:bookmarkEnd w:id="1"/>
      <w:bookmarkEnd w:id="2"/>
      <w:bookmarkEnd w:id="3"/>
      <w:r w:rsidRPr="00D41795">
        <w:t xml:space="preserve"> </w:t>
      </w:r>
    </w:p>
    <w:p w14:paraId="64D38094" w14:textId="77777777" w:rsidR="00440E2D" w:rsidRDefault="00440E2D" w:rsidP="009C7B65">
      <w:r w:rsidRPr="00DF4544">
        <w:t xml:space="preserve">The University of Technology Sydney acknowledges the Eora Nation and the Dharug Nation, upon whose ancestral lands our university stands. We would also like to pay respect to the Elders both past and present, acknowledging them as the traditional custodians of knowledge for these lands. </w:t>
      </w:r>
    </w:p>
    <w:p w14:paraId="00D54F68" w14:textId="189F5CF3" w:rsidR="009D203F" w:rsidRPr="000100E0" w:rsidRDefault="009D203F" w:rsidP="009C7B65">
      <w:pPr>
        <w:rPr>
          <w:rFonts w:cstheme="minorHAnsi"/>
        </w:rPr>
      </w:pPr>
      <w:r>
        <w:rPr>
          <w:rFonts w:cstheme="minorHAnsi"/>
        </w:rPr>
        <w:t>We would like to sincerely thanks staff in the Commonwealth Department of Health and Aged Care for their input, advice</w:t>
      </w:r>
      <w:r w:rsidR="00640780">
        <w:rPr>
          <w:rFonts w:cstheme="minorHAnsi"/>
        </w:rPr>
        <w:t>,</w:t>
      </w:r>
      <w:r>
        <w:rPr>
          <w:rFonts w:cstheme="minorHAnsi"/>
        </w:rPr>
        <w:t xml:space="preserve"> and support throughout the project, and to various peer reviewers, whose combined comments greatly assisted the finalisation of the project end-products. </w:t>
      </w:r>
    </w:p>
    <w:p w14:paraId="20F8A341" w14:textId="77777777" w:rsidR="00440E2D" w:rsidRPr="00D41795" w:rsidRDefault="00440E2D" w:rsidP="009C7B65">
      <w:pPr>
        <w:pStyle w:val="Acknowledgmentheading"/>
      </w:pPr>
      <w:bookmarkStart w:id="4" w:name="_Toc120703746"/>
      <w:bookmarkStart w:id="5" w:name="_Toc120797842"/>
      <w:bookmarkStart w:id="6" w:name="_Toc120866201"/>
      <w:bookmarkStart w:id="7" w:name="_Toc120883551"/>
      <w:bookmarkStart w:id="8" w:name="_Toc121734890"/>
      <w:bookmarkStart w:id="9" w:name="_Toc147228508"/>
      <w:r w:rsidRPr="00D41795">
        <w:t>About the authors</w:t>
      </w:r>
      <w:bookmarkEnd w:id="4"/>
      <w:bookmarkEnd w:id="5"/>
      <w:bookmarkEnd w:id="6"/>
      <w:bookmarkEnd w:id="7"/>
      <w:bookmarkEnd w:id="8"/>
      <w:bookmarkEnd w:id="9"/>
    </w:p>
    <w:p w14:paraId="3DAC1F6D" w14:textId="77777777" w:rsidR="00D61D5B" w:rsidRPr="00F554FE" w:rsidRDefault="00D61D5B" w:rsidP="00F554FE">
      <w:r w:rsidRPr="00F554FE">
        <w:t>The research for this report was undertaken by a UTS-led research team involving:</w:t>
      </w:r>
    </w:p>
    <w:p w14:paraId="6AEE3B7F" w14:textId="436B5382" w:rsidR="000B22B2" w:rsidRPr="00F554FE" w:rsidRDefault="000B22B2" w:rsidP="00F554FE">
      <w:pPr>
        <w:pStyle w:val="ListBullet2"/>
      </w:pPr>
      <w:r w:rsidRPr="00F554FE">
        <w:t>Edwina Deakin (Project Manager), Clara Mills</w:t>
      </w:r>
      <w:r w:rsidR="00640780" w:rsidRPr="00F554FE">
        <w:t>,</w:t>
      </w:r>
      <w:r w:rsidRPr="00F554FE">
        <w:t xml:space="preserve"> and Cindy Yin from </w:t>
      </w:r>
      <w:hyperlink r:id="rId19" w:history="1">
        <w:r w:rsidRPr="00F554FE">
          <w:rPr>
            <w:rStyle w:val="Hyperlink"/>
          </w:rPr>
          <w:t>UTS Institute for Public Policy and Governance</w:t>
        </w:r>
      </w:hyperlink>
    </w:p>
    <w:p w14:paraId="67603F63" w14:textId="0AB65E88" w:rsidR="00D61D5B" w:rsidRPr="00F554FE" w:rsidRDefault="00D61D5B" w:rsidP="00F554FE">
      <w:pPr>
        <w:pStyle w:val="ListBullet2"/>
      </w:pPr>
      <w:r w:rsidRPr="00F554FE">
        <w:t xml:space="preserve">Associate Professor Jo River, </w:t>
      </w:r>
      <w:hyperlink r:id="rId20" w:history="1">
        <w:r w:rsidRPr="00F554FE">
          <w:rPr>
            <w:rStyle w:val="Hyperlink"/>
          </w:rPr>
          <w:t>UTS Faculty of Health</w:t>
        </w:r>
      </w:hyperlink>
      <w:r w:rsidR="00640780" w:rsidRPr="00F554FE">
        <w:t>,</w:t>
      </w:r>
      <w:r w:rsidRPr="00F554FE">
        <w:t xml:space="preserve"> and Northern Sydney Local Health District</w:t>
      </w:r>
      <w:r w:rsidR="00AF7DF4" w:rsidRPr="00F554FE">
        <w:t xml:space="preserve">. </w:t>
      </w:r>
      <w:r w:rsidRPr="00F554FE">
        <w:t>Professor Deborah Parker, Dr. Daniel Demant, Dr. Sophie Isobel, Holly Kemp, Katie Thorburn, Saskia Zhethoven, Nayonika Bhattacharya</w:t>
      </w:r>
      <w:r w:rsidR="00640780" w:rsidRPr="00F554FE">
        <w:t>,</w:t>
      </w:r>
      <w:r w:rsidRPr="00F554FE">
        <w:t xml:space="preserve"> and Nash Wall from </w:t>
      </w:r>
      <w:hyperlink r:id="rId21" w:history="1">
        <w:r w:rsidRPr="00F554FE">
          <w:rPr>
            <w:rStyle w:val="Hyperlink"/>
          </w:rPr>
          <w:t>UTS Faculty of Health</w:t>
        </w:r>
      </w:hyperlink>
      <w:r w:rsidRPr="00F554FE">
        <w:t xml:space="preserve"> . </w:t>
      </w:r>
    </w:p>
    <w:p w14:paraId="726CA3A9" w14:textId="5FC1DBA6" w:rsidR="00D61D5B" w:rsidRPr="00F554FE" w:rsidRDefault="00D61D5B" w:rsidP="00F554FE">
      <w:r w:rsidRPr="00F554FE">
        <w:t>The UTS Faculty of Health team includes members of the Rainbow Embassy and associates, who are LGBT</w:t>
      </w:r>
      <w:r w:rsidR="00AF7DF4" w:rsidRPr="00F554FE">
        <w:t>Q+</w:t>
      </w:r>
      <w:r w:rsidRPr="00F554FE">
        <w:t xml:space="preserve"> people with a lived experience of life interrupting mental health challenges</w:t>
      </w:r>
      <w:r w:rsidR="00640780" w:rsidRPr="00F554FE">
        <w:t>,</w:t>
      </w:r>
      <w:r w:rsidRPr="00F554FE">
        <w:t xml:space="preserve"> and/or suicidality, and of accessing mental health and suicide prevention services.</w:t>
      </w:r>
    </w:p>
    <w:p w14:paraId="4F0AF817" w14:textId="7220A43E" w:rsidR="00D61D5B" w:rsidRPr="00F554FE" w:rsidRDefault="00D61D5B" w:rsidP="00F554FE">
      <w:pPr>
        <w:pStyle w:val="ListBullet2"/>
      </w:pPr>
      <w:r w:rsidRPr="00F554FE">
        <w:t>Dr Priya Vaughan, University of New South Wales, Black Dog Institute</w:t>
      </w:r>
      <w:r w:rsidR="00640780" w:rsidRPr="00F554FE">
        <w:t>,</w:t>
      </w:r>
      <w:r w:rsidRPr="00F554FE">
        <w:t xml:space="preserve"> and the Knowledge Translation Strategic Platform, Maridulu Budyari Gumal SPHERE</w:t>
      </w:r>
    </w:p>
    <w:p w14:paraId="72DC671D" w14:textId="459E5CE7" w:rsidR="00D61D5B" w:rsidRPr="00F554FE" w:rsidRDefault="00D61D5B" w:rsidP="00F554FE">
      <w:pPr>
        <w:pStyle w:val="ListBullet2"/>
      </w:pPr>
      <w:r w:rsidRPr="00F554FE">
        <w:t>Associate Professor Roxanna Pebdani, University of Sydney, Faculty of Medicine and Health</w:t>
      </w:r>
      <w:r w:rsidR="006E2677" w:rsidRPr="00F554FE">
        <w:t>.</w:t>
      </w:r>
    </w:p>
    <w:p w14:paraId="076161CA" w14:textId="7C596489" w:rsidR="005466F5" w:rsidRPr="005466F5" w:rsidRDefault="005466F5" w:rsidP="009C7B65">
      <w:pPr>
        <w:rPr>
          <w:lang w:val="en-US"/>
        </w:rPr>
      </w:pPr>
      <w:r w:rsidRPr="005466F5">
        <w:rPr>
          <w:lang w:val="en-US"/>
        </w:rPr>
        <w:t>For further information, please contact:</w:t>
      </w:r>
    </w:p>
    <w:p w14:paraId="3DF143DF" w14:textId="5905250D" w:rsidR="005466F5" w:rsidRPr="005466F5" w:rsidRDefault="005466F5" w:rsidP="009C7B65">
      <w:pPr>
        <w:pStyle w:val="ListBullet0"/>
        <w:rPr>
          <w:lang w:val="en-US"/>
        </w:rPr>
      </w:pPr>
      <w:r w:rsidRPr="005466F5">
        <w:rPr>
          <w:lang w:val="en-US"/>
        </w:rPr>
        <w:t xml:space="preserve">Institute for Public Policy and Governance </w:t>
      </w:r>
    </w:p>
    <w:p w14:paraId="6BC59268" w14:textId="356B55D7" w:rsidR="005466F5" w:rsidRPr="005466F5" w:rsidRDefault="005466F5" w:rsidP="009C7B65">
      <w:pPr>
        <w:pStyle w:val="ListBullet0"/>
        <w:rPr>
          <w:lang w:val="en-US"/>
        </w:rPr>
      </w:pPr>
      <w:r w:rsidRPr="005466F5">
        <w:rPr>
          <w:lang w:val="en-US"/>
        </w:rPr>
        <w:t xml:space="preserve">University of Technology Sydney </w:t>
      </w:r>
    </w:p>
    <w:p w14:paraId="158E9C2A" w14:textId="410A456A" w:rsidR="005466F5" w:rsidRPr="005466F5" w:rsidRDefault="005466F5" w:rsidP="009C7B65">
      <w:pPr>
        <w:pStyle w:val="ListBullet0"/>
        <w:rPr>
          <w:lang w:val="en-US"/>
        </w:rPr>
      </w:pPr>
      <w:r w:rsidRPr="005466F5">
        <w:rPr>
          <w:lang w:val="en-US"/>
        </w:rPr>
        <w:t>Tel:</w:t>
      </w:r>
      <w:r w:rsidRPr="005466F5">
        <w:rPr>
          <w:lang w:val="en-US"/>
        </w:rPr>
        <w:tab/>
        <w:t>02 9514 7884</w:t>
      </w:r>
    </w:p>
    <w:p w14:paraId="32551329" w14:textId="193D99BB" w:rsidR="00D41795" w:rsidRPr="003A38D1" w:rsidRDefault="005466F5" w:rsidP="009C7B65">
      <w:pPr>
        <w:pStyle w:val="ListBullet0"/>
        <w:rPr>
          <w:lang w:val="en-US"/>
        </w:rPr>
        <w:sectPr w:rsidR="00D41795" w:rsidRPr="003A38D1" w:rsidSect="00CD06B3">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567" w:footer="57" w:gutter="0"/>
          <w:pgNumType w:start="1"/>
          <w:cols w:space="708"/>
          <w:docGrid w:linePitch="360"/>
        </w:sectPr>
      </w:pPr>
      <w:r w:rsidRPr="005466F5">
        <w:rPr>
          <w:lang w:val="en-US"/>
        </w:rPr>
        <w:t xml:space="preserve">Email </w:t>
      </w:r>
      <w:r w:rsidRPr="005466F5">
        <w:rPr>
          <w:lang w:val="en-US"/>
        </w:rPr>
        <w:tab/>
      </w:r>
      <w:hyperlink r:id="rId28" w:history="1">
        <w:r w:rsidR="009C7B65" w:rsidRPr="00B03232">
          <w:rPr>
            <w:rStyle w:val="Hyperlink"/>
            <w:rFonts w:cstheme="minorHAnsi"/>
            <w:b/>
            <w:bCs/>
            <w:sz w:val="20"/>
            <w:szCs w:val="20"/>
            <w:lang w:val="en-US"/>
          </w:rPr>
          <w:t>ippg@uts.edu.au</w:t>
        </w:r>
      </w:hyperlink>
      <w:r w:rsidRPr="005466F5">
        <w:rPr>
          <w:lang w:val="en-US"/>
        </w:rPr>
        <w:t xml:space="preserve"> </w:t>
      </w:r>
      <w:r w:rsidR="003A38D1">
        <w:rPr>
          <w:lang w:val="en-US"/>
        </w:rPr>
        <w:t xml:space="preserve"> or </w:t>
      </w:r>
      <w:r w:rsidRPr="003A38D1">
        <w:rPr>
          <w:lang w:val="en-US"/>
        </w:rPr>
        <w:t>Web:</w:t>
      </w:r>
      <w:r w:rsidRPr="003A38D1">
        <w:rPr>
          <w:lang w:val="en-US"/>
        </w:rPr>
        <w:tab/>
      </w:r>
      <w:hyperlink r:id="rId29" w:history="1">
        <w:r w:rsidR="003A38D1" w:rsidRPr="001E7249">
          <w:rPr>
            <w:rStyle w:val="Hyperlink"/>
            <w:rFonts w:cstheme="minorHAnsi"/>
            <w:b/>
            <w:bCs/>
            <w:sz w:val="20"/>
            <w:szCs w:val="20"/>
            <w:lang w:val="en-US"/>
          </w:rPr>
          <w:t>www.uts.edu.au/ippg</w:t>
        </w:r>
      </w:hyperlink>
      <w:r w:rsidRPr="003A38D1">
        <w:rPr>
          <w:lang w:val="en-US"/>
        </w:rPr>
        <w:t xml:space="preserve"> </w:t>
      </w:r>
      <w:r w:rsidR="00440E2D" w:rsidRPr="003A38D1">
        <w:rPr>
          <w:lang w:val="en-US"/>
        </w:rPr>
        <w:t xml:space="preserve"> </w:t>
      </w:r>
    </w:p>
    <w:bookmarkStart w:id="10" w:name="_Toc147228509" w:displacedByCustomXml="next"/>
    <w:sdt>
      <w:sdtPr>
        <w:rPr>
          <w:highlight w:val="cyan"/>
        </w:rPr>
        <w:id w:val="56366900"/>
        <w:docPartObj>
          <w:docPartGallery w:val="Table of Contents"/>
          <w:docPartUnique/>
        </w:docPartObj>
      </w:sdtPr>
      <w:sdtEndPr>
        <w:rPr>
          <w:highlight w:val="none"/>
        </w:rPr>
      </w:sdtEndPr>
      <w:sdtContent>
        <w:p w14:paraId="11A72ABC" w14:textId="732A0EB6" w:rsidR="0089536B" w:rsidRPr="00B85E1C" w:rsidRDefault="0089536B" w:rsidP="00B85E1C">
          <w:r w:rsidRPr="00B85E1C">
            <w:t>Contents</w:t>
          </w:r>
          <w:bookmarkEnd w:id="10"/>
        </w:p>
        <w:p w14:paraId="5632ABD7" w14:textId="292F8A3A" w:rsidR="00AF7557" w:rsidRDefault="00260AC8">
          <w:pPr>
            <w:pStyle w:val="TOC1"/>
            <w:rPr>
              <w:rFonts w:eastAsiaTheme="minorEastAsia"/>
              <w:b w:val="0"/>
              <w:kern w:val="2"/>
              <w:lang w:eastAsia="en-AU"/>
              <w14:ligatures w14:val="standardContextual"/>
            </w:rPr>
          </w:pPr>
          <w:r>
            <w:rPr>
              <w:b w:val="0"/>
              <w:noProof w:val="0"/>
            </w:rPr>
            <w:fldChar w:fldCharType="begin"/>
          </w:r>
          <w:r>
            <w:instrText xml:space="preserve"> TOC \o "1-3" \h \z \u </w:instrText>
          </w:r>
          <w:r>
            <w:rPr>
              <w:b w:val="0"/>
              <w:noProof w:val="0"/>
            </w:rPr>
            <w:fldChar w:fldCharType="separate"/>
          </w:r>
          <w:hyperlink w:anchor="_Toc153899479" w:history="1">
            <w:r w:rsidR="00AF7557" w:rsidRPr="00B10F40">
              <w:rPr>
                <w:rStyle w:val="Hyperlink"/>
              </w:rPr>
              <w:t>Glossary</w:t>
            </w:r>
            <w:r w:rsidR="00AF7557">
              <w:rPr>
                <w:webHidden/>
              </w:rPr>
              <w:tab/>
            </w:r>
            <w:r w:rsidR="00AF7557">
              <w:rPr>
                <w:webHidden/>
              </w:rPr>
              <w:fldChar w:fldCharType="begin"/>
            </w:r>
            <w:r w:rsidR="00AF7557">
              <w:rPr>
                <w:webHidden/>
              </w:rPr>
              <w:instrText xml:space="preserve"> PAGEREF _Toc153899479 \h </w:instrText>
            </w:r>
            <w:r w:rsidR="00AF7557">
              <w:rPr>
                <w:webHidden/>
              </w:rPr>
            </w:r>
            <w:r w:rsidR="00AF7557">
              <w:rPr>
                <w:webHidden/>
              </w:rPr>
              <w:fldChar w:fldCharType="separate"/>
            </w:r>
            <w:r w:rsidR="00116DC6">
              <w:rPr>
                <w:webHidden/>
              </w:rPr>
              <w:t>4</w:t>
            </w:r>
            <w:r w:rsidR="00AF7557">
              <w:rPr>
                <w:webHidden/>
              </w:rPr>
              <w:fldChar w:fldCharType="end"/>
            </w:r>
          </w:hyperlink>
        </w:p>
        <w:p w14:paraId="70F746BF" w14:textId="29A0D636" w:rsidR="00AF7557" w:rsidRDefault="00AF7557">
          <w:pPr>
            <w:pStyle w:val="TOC1"/>
            <w:rPr>
              <w:rFonts w:eastAsiaTheme="minorEastAsia"/>
              <w:b w:val="0"/>
              <w:kern w:val="2"/>
              <w:lang w:eastAsia="en-AU"/>
              <w14:ligatures w14:val="standardContextual"/>
            </w:rPr>
          </w:pPr>
          <w:hyperlink w:anchor="_Toc153899480" w:history="1">
            <w:r w:rsidRPr="00B10F40">
              <w:rPr>
                <w:rStyle w:val="Hyperlink"/>
              </w:rPr>
              <w:t>Executive Summary</w:t>
            </w:r>
            <w:r>
              <w:rPr>
                <w:webHidden/>
              </w:rPr>
              <w:tab/>
            </w:r>
            <w:r>
              <w:rPr>
                <w:webHidden/>
              </w:rPr>
              <w:fldChar w:fldCharType="begin"/>
            </w:r>
            <w:r>
              <w:rPr>
                <w:webHidden/>
              </w:rPr>
              <w:instrText xml:space="preserve"> PAGEREF _Toc153899480 \h </w:instrText>
            </w:r>
            <w:r>
              <w:rPr>
                <w:webHidden/>
              </w:rPr>
            </w:r>
            <w:r>
              <w:rPr>
                <w:webHidden/>
              </w:rPr>
              <w:fldChar w:fldCharType="separate"/>
            </w:r>
            <w:r w:rsidR="00116DC6">
              <w:rPr>
                <w:webHidden/>
              </w:rPr>
              <w:t>6</w:t>
            </w:r>
            <w:r>
              <w:rPr>
                <w:webHidden/>
              </w:rPr>
              <w:fldChar w:fldCharType="end"/>
            </w:r>
          </w:hyperlink>
        </w:p>
        <w:p w14:paraId="5961FFF3" w14:textId="21731375" w:rsidR="00AF7557" w:rsidRDefault="00AF7557">
          <w:pPr>
            <w:pStyle w:val="TOC1"/>
            <w:tabs>
              <w:tab w:val="left" w:pos="567"/>
            </w:tabs>
            <w:rPr>
              <w:rFonts w:eastAsiaTheme="minorEastAsia"/>
              <w:b w:val="0"/>
              <w:kern w:val="2"/>
              <w:lang w:eastAsia="en-AU"/>
              <w14:ligatures w14:val="standardContextual"/>
            </w:rPr>
          </w:pPr>
          <w:hyperlink w:anchor="_Toc153899481" w:history="1">
            <w:r w:rsidRPr="00B10F40">
              <w:rPr>
                <w:rStyle w:val="Hyperlink"/>
              </w:rPr>
              <w:t>1</w:t>
            </w:r>
            <w:r>
              <w:rPr>
                <w:rFonts w:eastAsiaTheme="minorEastAsia"/>
                <w:b w:val="0"/>
                <w:kern w:val="2"/>
                <w:lang w:eastAsia="en-AU"/>
                <w14:ligatures w14:val="standardContextual"/>
              </w:rPr>
              <w:tab/>
            </w:r>
            <w:r w:rsidRPr="00B10F40">
              <w:rPr>
                <w:rStyle w:val="Hyperlink"/>
              </w:rPr>
              <w:t>Introduction</w:t>
            </w:r>
            <w:r>
              <w:rPr>
                <w:webHidden/>
              </w:rPr>
              <w:tab/>
            </w:r>
            <w:r>
              <w:rPr>
                <w:webHidden/>
              </w:rPr>
              <w:fldChar w:fldCharType="begin"/>
            </w:r>
            <w:r>
              <w:rPr>
                <w:webHidden/>
              </w:rPr>
              <w:instrText xml:space="preserve"> PAGEREF _Toc153899481 \h </w:instrText>
            </w:r>
            <w:r>
              <w:rPr>
                <w:webHidden/>
              </w:rPr>
            </w:r>
            <w:r>
              <w:rPr>
                <w:webHidden/>
              </w:rPr>
              <w:fldChar w:fldCharType="separate"/>
            </w:r>
            <w:r w:rsidR="00116DC6">
              <w:rPr>
                <w:webHidden/>
              </w:rPr>
              <w:t>17</w:t>
            </w:r>
            <w:r>
              <w:rPr>
                <w:webHidden/>
              </w:rPr>
              <w:fldChar w:fldCharType="end"/>
            </w:r>
          </w:hyperlink>
        </w:p>
        <w:p w14:paraId="1FA50324" w14:textId="5BD454DD" w:rsidR="00AF7557" w:rsidRDefault="00AF7557">
          <w:pPr>
            <w:pStyle w:val="TOC2"/>
            <w:tabs>
              <w:tab w:val="left" w:pos="851"/>
            </w:tabs>
            <w:rPr>
              <w:rFonts w:eastAsiaTheme="minorEastAsia"/>
              <w:noProof/>
              <w:kern w:val="2"/>
              <w:lang w:eastAsia="en-AU"/>
              <w14:ligatures w14:val="standardContextual"/>
            </w:rPr>
          </w:pPr>
          <w:hyperlink w:anchor="_Toc153899482" w:history="1">
            <w:r w:rsidRPr="00B10F40">
              <w:rPr>
                <w:rStyle w:val="Hyperlink"/>
                <w:noProof/>
              </w:rPr>
              <w:t>1.1</w:t>
            </w:r>
            <w:r>
              <w:rPr>
                <w:rFonts w:eastAsiaTheme="minorEastAsia"/>
                <w:noProof/>
                <w:kern w:val="2"/>
                <w:lang w:eastAsia="en-AU"/>
                <w14:ligatures w14:val="standardContextual"/>
              </w:rPr>
              <w:tab/>
            </w:r>
            <w:r w:rsidRPr="00B10F40">
              <w:rPr>
                <w:rStyle w:val="Hyperlink"/>
                <w:noProof/>
              </w:rPr>
              <w:t>Purpose of the Research</w:t>
            </w:r>
            <w:r>
              <w:rPr>
                <w:noProof/>
                <w:webHidden/>
              </w:rPr>
              <w:tab/>
            </w:r>
            <w:r>
              <w:rPr>
                <w:noProof/>
                <w:webHidden/>
              </w:rPr>
              <w:fldChar w:fldCharType="begin"/>
            </w:r>
            <w:r>
              <w:rPr>
                <w:noProof/>
                <w:webHidden/>
              </w:rPr>
              <w:instrText xml:space="preserve"> PAGEREF _Toc153899482 \h </w:instrText>
            </w:r>
            <w:r>
              <w:rPr>
                <w:noProof/>
                <w:webHidden/>
              </w:rPr>
            </w:r>
            <w:r>
              <w:rPr>
                <w:noProof/>
                <w:webHidden/>
              </w:rPr>
              <w:fldChar w:fldCharType="separate"/>
            </w:r>
            <w:r w:rsidR="00116DC6">
              <w:rPr>
                <w:noProof/>
                <w:webHidden/>
              </w:rPr>
              <w:t>17</w:t>
            </w:r>
            <w:r>
              <w:rPr>
                <w:noProof/>
                <w:webHidden/>
              </w:rPr>
              <w:fldChar w:fldCharType="end"/>
            </w:r>
          </w:hyperlink>
        </w:p>
        <w:p w14:paraId="18764B35" w14:textId="59EEF403" w:rsidR="00AF7557" w:rsidRDefault="00AF7557">
          <w:pPr>
            <w:pStyle w:val="TOC2"/>
            <w:tabs>
              <w:tab w:val="left" w:pos="851"/>
            </w:tabs>
            <w:rPr>
              <w:rFonts w:eastAsiaTheme="minorEastAsia"/>
              <w:noProof/>
              <w:kern w:val="2"/>
              <w:lang w:eastAsia="en-AU"/>
              <w14:ligatures w14:val="standardContextual"/>
            </w:rPr>
          </w:pPr>
          <w:hyperlink w:anchor="_Toc153899483" w:history="1">
            <w:r w:rsidRPr="00B10F40">
              <w:rPr>
                <w:rStyle w:val="Hyperlink"/>
                <w:noProof/>
              </w:rPr>
              <w:t>1.2</w:t>
            </w:r>
            <w:r>
              <w:rPr>
                <w:rFonts w:eastAsiaTheme="minorEastAsia"/>
                <w:noProof/>
                <w:kern w:val="2"/>
                <w:lang w:eastAsia="en-AU"/>
                <w14:ligatures w14:val="standardContextual"/>
              </w:rPr>
              <w:tab/>
            </w:r>
            <w:r w:rsidRPr="00B10F40">
              <w:rPr>
                <w:rStyle w:val="Hyperlink"/>
                <w:noProof/>
              </w:rPr>
              <w:t>Research Focus</w:t>
            </w:r>
            <w:r>
              <w:rPr>
                <w:noProof/>
                <w:webHidden/>
              </w:rPr>
              <w:tab/>
            </w:r>
            <w:r>
              <w:rPr>
                <w:noProof/>
                <w:webHidden/>
              </w:rPr>
              <w:fldChar w:fldCharType="begin"/>
            </w:r>
            <w:r>
              <w:rPr>
                <w:noProof/>
                <w:webHidden/>
              </w:rPr>
              <w:instrText xml:space="preserve"> PAGEREF _Toc153899483 \h </w:instrText>
            </w:r>
            <w:r>
              <w:rPr>
                <w:noProof/>
                <w:webHidden/>
              </w:rPr>
            </w:r>
            <w:r>
              <w:rPr>
                <w:noProof/>
                <w:webHidden/>
              </w:rPr>
              <w:fldChar w:fldCharType="separate"/>
            </w:r>
            <w:r w:rsidR="00116DC6">
              <w:rPr>
                <w:noProof/>
                <w:webHidden/>
              </w:rPr>
              <w:t>18</w:t>
            </w:r>
            <w:r>
              <w:rPr>
                <w:noProof/>
                <w:webHidden/>
              </w:rPr>
              <w:fldChar w:fldCharType="end"/>
            </w:r>
          </w:hyperlink>
        </w:p>
        <w:p w14:paraId="0D2FDC8A" w14:textId="7F477B81" w:rsidR="00AF7557" w:rsidRDefault="00AF7557">
          <w:pPr>
            <w:pStyle w:val="TOC3"/>
            <w:tabs>
              <w:tab w:val="left" w:pos="1233"/>
            </w:tabs>
            <w:rPr>
              <w:rFonts w:eastAsiaTheme="minorEastAsia"/>
              <w:kern w:val="2"/>
              <w:lang w:eastAsia="en-AU"/>
              <w14:ligatures w14:val="standardContextual"/>
            </w:rPr>
          </w:pPr>
          <w:hyperlink w:anchor="_Toc153899484" w:history="1">
            <w:r w:rsidRPr="00B10F40">
              <w:rPr>
                <w:rStyle w:val="Hyperlink"/>
              </w:rPr>
              <w:t>1.2.1</w:t>
            </w:r>
            <w:r>
              <w:rPr>
                <w:rFonts w:eastAsiaTheme="minorEastAsia"/>
                <w:kern w:val="2"/>
                <w:lang w:eastAsia="en-AU"/>
                <w14:ligatures w14:val="standardContextual"/>
              </w:rPr>
              <w:tab/>
            </w:r>
            <w:r w:rsidRPr="00B10F40">
              <w:rPr>
                <w:rStyle w:val="Hyperlink"/>
              </w:rPr>
              <w:t>Key Research Questions</w:t>
            </w:r>
            <w:r>
              <w:rPr>
                <w:webHidden/>
              </w:rPr>
              <w:tab/>
            </w:r>
            <w:r>
              <w:rPr>
                <w:webHidden/>
              </w:rPr>
              <w:fldChar w:fldCharType="begin"/>
            </w:r>
            <w:r>
              <w:rPr>
                <w:webHidden/>
              </w:rPr>
              <w:instrText xml:space="preserve"> PAGEREF _Toc153899484 \h </w:instrText>
            </w:r>
            <w:r>
              <w:rPr>
                <w:webHidden/>
              </w:rPr>
            </w:r>
            <w:r>
              <w:rPr>
                <w:webHidden/>
              </w:rPr>
              <w:fldChar w:fldCharType="separate"/>
            </w:r>
            <w:r w:rsidR="00116DC6">
              <w:rPr>
                <w:webHidden/>
              </w:rPr>
              <w:t>18</w:t>
            </w:r>
            <w:r>
              <w:rPr>
                <w:webHidden/>
              </w:rPr>
              <w:fldChar w:fldCharType="end"/>
            </w:r>
          </w:hyperlink>
        </w:p>
        <w:p w14:paraId="002C5B06" w14:textId="3A0AAC90" w:rsidR="00AF7557" w:rsidRDefault="00AF7557">
          <w:pPr>
            <w:pStyle w:val="TOC3"/>
            <w:tabs>
              <w:tab w:val="left" w:pos="1233"/>
            </w:tabs>
            <w:rPr>
              <w:rFonts w:eastAsiaTheme="minorEastAsia"/>
              <w:kern w:val="2"/>
              <w:lang w:eastAsia="en-AU"/>
              <w14:ligatures w14:val="standardContextual"/>
            </w:rPr>
          </w:pPr>
          <w:hyperlink w:anchor="_Toc153899485" w:history="1">
            <w:r w:rsidRPr="00B10F40">
              <w:rPr>
                <w:rStyle w:val="Hyperlink"/>
              </w:rPr>
              <w:t>1.2.2</w:t>
            </w:r>
            <w:r>
              <w:rPr>
                <w:rFonts w:eastAsiaTheme="minorEastAsia"/>
                <w:kern w:val="2"/>
                <w:lang w:eastAsia="en-AU"/>
                <w14:ligatures w14:val="standardContextual"/>
              </w:rPr>
              <w:tab/>
            </w:r>
            <w:r w:rsidRPr="00B10F40">
              <w:rPr>
                <w:rStyle w:val="Hyperlink"/>
              </w:rPr>
              <w:t>Definitions</w:t>
            </w:r>
            <w:r>
              <w:rPr>
                <w:webHidden/>
              </w:rPr>
              <w:tab/>
            </w:r>
            <w:r>
              <w:rPr>
                <w:webHidden/>
              </w:rPr>
              <w:fldChar w:fldCharType="begin"/>
            </w:r>
            <w:r>
              <w:rPr>
                <w:webHidden/>
              </w:rPr>
              <w:instrText xml:space="preserve"> PAGEREF _Toc153899485 \h </w:instrText>
            </w:r>
            <w:r>
              <w:rPr>
                <w:webHidden/>
              </w:rPr>
            </w:r>
            <w:r>
              <w:rPr>
                <w:webHidden/>
              </w:rPr>
              <w:fldChar w:fldCharType="separate"/>
            </w:r>
            <w:r w:rsidR="00116DC6">
              <w:rPr>
                <w:webHidden/>
              </w:rPr>
              <w:t>18</w:t>
            </w:r>
            <w:r>
              <w:rPr>
                <w:webHidden/>
              </w:rPr>
              <w:fldChar w:fldCharType="end"/>
            </w:r>
          </w:hyperlink>
        </w:p>
        <w:p w14:paraId="40ACB432" w14:textId="5C0057EC" w:rsidR="00AF7557" w:rsidRDefault="00AF7557">
          <w:pPr>
            <w:pStyle w:val="TOC3"/>
            <w:tabs>
              <w:tab w:val="left" w:pos="1233"/>
            </w:tabs>
            <w:rPr>
              <w:rFonts w:eastAsiaTheme="minorEastAsia"/>
              <w:kern w:val="2"/>
              <w:lang w:eastAsia="en-AU"/>
              <w14:ligatures w14:val="standardContextual"/>
            </w:rPr>
          </w:pPr>
          <w:hyperlink w:anchor="_Toc153899486" w:history="1">
            <w:r w:rsidRPr="00B10F40">
              <w:rPr>
                <w:rStyle w:val="Hyperlink"/>
              </w:rPr>
              <w:t>1.2.3</w:t>
            </w:r>
            <w:r>
              <w:rPr>
                <w:rFonts w:eastAsiaTheme="minorEastAsia"/>
                <w:kern w:val="2"/>
                <w:lang w:eastAsia="en-AU"/>
                <w14:ligatures w14:val="standardContextual"/>
              </w:rPr>
              <w:tab/>
            </w:r>
            <w:r w:rsidRPr="00B10F40">
              <w:rPr>
                <w:rStyle w:val="Hyperlink"/>
              </w:rPr>
              <w:t>Project Deliverables</w:t>
            </w:r>
            <w:r>
              <w:rPr>
                <w:webHidden/>
              </w:rPr>
              <w:tab/>
            </w:r>
            <w:r>
              <w:rPr>
                <w:webHidden/>
              </w:rPr>
              <w:fldChar w:fldCharType="begin"/>
            </w:r>
            <w:r>
              <w:rPr>
                <w:webHidden/>
              </w:rPr>
              <w:instrText xml:space="preserve"> PAGEREF _Toc153899486 \h </w:instrText>
            </w:r>
            <w:r>
              <w:rPr>
                <w:webHidden/>
              </w:rPr>
            </w:r>
            <w:r>
              <w:rPr>
                <w:webHidden/>
              </w:rPr>
              <w:fldChar w:fldCharType="separate"/>
            </w:r>
            <w:r w:rsidR="00116DC6">
              <w:rPr>
                <w:webHidden/>
              </w:rPr>
              <w:t>19</w:t>
            </w:r>
            <w:r>
              <w:rPr>
                <w:webHidden/>
              </w:rPr>
              <w:fldChar w:fldCharType="end"/>
            </w:r>
          </w:hyperlink>
        </w:p>
        <w:p w14:paraId="3C89B2CA" w14:textId="0BDF8597" w:rsidR="00AF7557" w:rsidRDefault="00AF7557">
          <w:pPr>
            <w:pStyle w:val="TOC2"/>
            <w:tabs>
              <w:tab w:val="left" w:pos="851"/>
            </w:tabs>
            <w:rPr>
              <w:rFonts w:eastAsiaTheme="minorEastAsia"/>
              <w:noProof/>
              <w:kern w:val="2"/>
              <w:lang w:eastAsia="en-AU"/>
              <w14:ligatures w14:val="standardContextual"/>
            </w:rPr>
          </w:pPr>
          <w:hyperlink w:anchor="_Toc153899487" w:history="1">
            <w:r w:rsidRPr="00B10F40">
              <w:rPr>
                <w:rStyle w:val="Hyperlink"/>
                <w:noProof/>
              </w:rPr>
              <w:t>1.3</w:t>
            </w:r>
            <w:r>
              <w:rPr>
                <w:rFonts w:eastAsiaTheme="minorEastAsia"/>
                <w:noProof/>
                <w:kern w:val="2"/>
                <w:lang w:eastAsia="en-AU"/>
                <w14:ligatures w14:val="standardContextual"/>
              </w:rPr>
              <w:tab/>
            </w:r>
            <w:r w:rsidRPr="00B10F40">
              <w:rPr>
                <w:rStyle w:val="Hyperlink"/>
                <w:noProof/>
              </w:rPr>
              <w:t>Methodology</w:t>
            </w:r>
            <w:r>
              <w:rPr>
                <w:noProof/>
                <w:webHidden/>
              </w:rPr>
              <w:tab/>
            </w:r>
            <w:r>
              <w:rPr>
                <w:noProof/>
                <w:webHidden/>
              </w:rPr>
              <w:fldChar w:fldCharType="begin"/>
            </w:r>
            <w:r>
              <w:rPr>
                <w:noProof/>
                <w:webHidden/>
              </w:rPr>
              <w:instrText xml:space="preserve"> PAGEREF _Toc153899487 \h </w:instrText>
            </w:r>
            <w:r>
              <w:rPr>
                <w:noProof/>
                <w:webHidden/>
              </w:rPr>
            </w:r>
            <w:r>
              <w:rPr>
                <w:noProof/>
                <w:webHidden/>
              </w:rPr>
              <w:fldChar w:fldCharType="separate"/>
            </w:r>
            <w:r w:rsidR="00116DC6">
              <w:rPr>
                <w:noProof/>
                <w:webHidden/>
              </w:rPr>
              <w:t>22</w:t>
            </w:r>
            <w:r>
              <w:rPr>
                <w:noProof/>
                <w:webHidden/>
              </w:rPr>
              <w:fldChar w:fldCharType="end"/>
            </w:r>
          </w:hyperlink>
        </w:p>
        <w:p w14:paraId="099CC255" w14:textId="4AF19EB4" w:rsidR="00AF7557" w:rsidRDefault="00AF7557">
          <w:pPr>
            <w:pStyle w:val="TOC2"/>
            <w:tabs>
              <w:tab w:val="left" w:pos="851"/>
            </w:tabs>
            <w:rPr>
              <w:rFonts w:eastAsiaTheme="minorEastAsia"/>
              <w:noProof/>
              <w:kern w:val="2"/>
              <w:lang w:eastAsia="en-AU"/>
              <w14:ligatures w14:val="standardContextual"/>
            </w:rPr>
          </w:pPr>
          <w:hyperlink w:anchor="_Toc153899488" w:history="1">
            <w:r w:rsidRPr="00B10F40">
              <w:rPr>
                <w:rStyle w:val="Hyperlink"/>
                <w:noProof/>
              </w:rPr>
              <w:t>1.4</w:t>
            </w:r>
            <w:r>
              <w:rPr>
                <w:rFonts w:eastAsiaTheme="minorEastAsia"/>
                <w:noProof/>
                <w:kern w:val="2"/>
                <w:lang w:eastAsia="en-AU"/>
                <w14:ligatures w14:val="standardContextual"/>
              </w:rPr>
              <w:tab/>
            </w:r>
            <w:r w:rsidRPr="00B10F40">
              <w:rPr>
                <w:rStyle w:val="Hyperlink"/>
                <w:noProof/>
              </w:rPr>
              <w:t>Research qualifications and limitations</w:t>
            </w:r>
            <w:r>
              <w:rPr>
                <w:noProof/>
                <w:webHidden/>
              </w:rPr>
              <w:tab/>
            </w:r>
            <w:r>
              <w:rPr>
                <w:noProof/>
                <w:webHidden/>
              </w:rPr>
              <w:fldChar w:fldCharType="begin"/>
            </w:r>
            <w:r>
              <w:rPr>
                <w:noProof/>
                <w:webHidden/>
              </w:rPr>
              <w:instrText xml:space="preserve"> PAGEREF _Toc153899488 \h </w:instrText>
            </w:r>
            <w:r>
              <w:rPr>
                <w:noProof/>
                <w:webHidden/>
              </w:rPr>
            </w:r>
            <w:r>
              <w:rPr>
                <w:noProof/>
                <w:webHidden/>
              </w:rPr>
              <w:fldChar w:fldCharType="separate"/>
            </w:r>
            <w:r w:rsidR="00116DC6">
              <w:rPr>
                <w:noProof/>
                <w:webHidden/>
              </w:rPr>
              <w:t>22</w:t>
            </w:r>
            <w:r>
              <w:rPr>
                <w:noProof/>
                <w:webHidden/>
              </w:rPr>
              <w:fldChar w:fldCharType="end"/>
            </w:r>
          </w:hyperlink>
        </w:p>
        <w:p w14:paraId="5DD7ED46" w14:textId="7B8571C2" w:rsidR="00AF7557" w:rsidRDefault="00AF7557">
          <w:pPr>
            <w:pStyle w:val="TOC1"/>
            <w:tabs>
              <w:tab w:val="left" w:pos="567"/>
            </w:tabs>
            <w:rPr>
              <w:rFonts w:eastAsiaTheme="minorEastAsia"/>
              <w:b w:val="0"/>
              <w:kern w:val="2"/>
              <w:lang w:eastAsia="en-AU"/>
              <w14:ligatures w14:val="standardContextual"/>
            </w:rPr>
          </w:pPr>
          <w:hyperlink w:anchor="_Toc153899489" w:history="1">
            <w:r w:rsidRPr="00B10F40">
              <w:rPr>
                <w:rStyle w:val="Hyperlink"/>
              </w:rPr>
              <w:t>2</w:t>
            </w:r>
            <w:r>
              <w:rPr>
                <w:rFonts w:eastAsiaTheme="minorEastAsia"/>
                <w:b w:val="0"/>
                <w:kern w:val="2"/>
                <w:lang w:eastAsia="en-AU"/>
                <w14:ligatures w14:val="standardContextual"/>
              </w:rPr>
              <w:tab/>
            </w:r>
            <w:r w:rsidRPr="00B10F40">
              <w:rPr>
                <w:rStyle w:val="Hyperlink"/>
              </w:rPr>
              <w:t>Australia’s LGBTQ+ community</w:t>
            </w:r>
            <w:r>
              <w:rPr>
                <w:webHidden/>
              </w:rPr>
              <w:tab/>
            </w:r>
            <w:r>
              <w:rPr>
                <w:webHidden/>
              </w:rPr>
              <w:fldChar w:fldCharType="begin"/>
            </w:r>
            <w:r>
              <w:rPr>
                <w:webHidden/>
              </w:rPr>
              <w:instrText xml:space="preserve"> PAGEREF _Toc153899489 \h </w:instrText>
            </w:r>
            <w:r>
              <w:rPr>
                <w:webHidden/>
              </w:rPr>
            </w:r>
            <w:r>
              <w:rPr>
                <w:webHidden/>
              </w:rPr>
              <w:fldChar w:fldCharType="separate"/>
            </w:r>
            <w:r w:rsidR="00116DC6">
              <w:rPr>
                <w:webHidden/>
              </w:rPr>
              <w:t>25</w:t>
            </w:r>
            <w:r>
              <w:rPr>
                <w:webHidden/>
              </w:rPr>
              <w:fldChar w:fldCharType="end"/>
            </w:r>
          </w:hyperlink>
        </w:p>
        <w:p w14:paraId="3FB691B0" w14:textId="091FD303" w:rsidR="00AF7557" w:rsidRDefault="00AF7557">
          <w:pPr>
            <w:pStyle w:val="TOC2"/>
            <w:tabs>
              <w:tab w:val="left" w:pos="851"/>
            </w:tabs>
            <w:rPr>
              <w:rFonts w:eastAsiaTheme="minorEastAsia"/>
              <w:noProof/>
              <w:kern w:val="2"/>
              <w:lang w:eastAsia="en-AU"/>
              <w14:ligatures w14:val="standardContextual"/>
            </w:rPr>
          </w:pPr>
          <w:hyperlink w:anchor="_Toc153899490" w:history="1">
            <w:r w:rsidRPr="00B10F40">
              <w:rPr>
                <w:rStyle w:val="Hyperlink"/>
                <w:noProof/>
              </w:rPr>
              <w:t>2.1</w:t>
            </w:r>
            <w:r>
              <w:rPr>
                <w:rFonts w:eastAsiaTheme="minorEastAsia"/>
                <w:noProof/>
                <w:kern w:val="2"/>
                <w:lang w:eastAsia="en-AU"/>
                <w14:ligatures w14:val="standardContextual"/>
              </w:rPr>
              <w:tab/>
            </w:r>
            <w:r w:rsidRPr="00B10F40">
              <w:rPr>
                <w:rStyle w:val="Hyperlink"/>
                <w:noProof/>
              </w:rPr>
              <w:t>About this Section and Data Availability</w:t>
            </w:r>
            <w:r>
              <w:rPr>
                <w:noProof/>
                <w:webHidden/>
              </w:rPr>
              <w:tab/>
            </w:r>
            <w:r>
              <w:rPr>
                <w:noProof/>
                <w:webHidden/>
              </w:rPr>
              <w:fldChar w:fldCharType="begin"/>
            </w:r>
            <w:r>
              <w:rPr>
                <w:noProof/>
                <w:webHidden/>
              </w:rPr>
              <w:instrText xml:space="preserve"> PAGEREF _Toc153899490 \h </w:instrText>
            </w:r>
            <w:r>
              <w:rPr>
                <w:noProof/>
                <w:webHidden/>
              </w:rPr>
            </w:r>
            <w:r>
              <w:rPr>
                <w:noProof/>
                <w:webHidden/>
              </w:rPr>
              <w:fldChar w:fldCharType="separate"/>
            </w:r>
            <w:r w:rsidR="00116DC6">
              <w:rPr>
                <w:noProof/>
                <w:webHidden/>
              </w:rPr>
              <w:t>25</w:t>
            </w:r>
            <w:r>
              <w:rPr>
                <w:noProof/>
                <w:webHidden/>
              </w:rPr>
              <w:fldChar w:fldCharType="end"/>
            </w:r>
          </w:hyperlink>
        </w:p>
        <w:p w14:paraId="59FFDF0F" w14:textId="76FAF4BC" w:rsidR="00AF7557" w:rsidRDefault="00AF7557">
          <w:pPr>
            <w:pStyle w:val="TOC2"/>
            <w:tabs>
              <w:tab w:val="left" w:pos="851"/>
            </w:tabs>
            <w:rPr>
              <w:rFonts w:eastAsiaTheme="minorEastAsia"/>
              <w:noProof/>
              <w:kern w:val="2"/>
              <w:lang w:eastAsia="en-AU"/>
              <w14:ligatures w14:val="standardContextual"/>
            </w:rPr>
          </w:pPr>
          <w:hyperlink w:anchor="_Toc153899491" w:history="1">
            <w:r w:rsidRPr="00B10F40">
              <w:rPr>
                <w:rStyle w:val="Hyperlink"/>
                <w:noProof/>
              </w:rPr>
              <w:t>2.2</w:t>
            </w:r>
            <w:r>
              <w:rPr>
                <w:rFonts w:eastAsiaTheme="minorEastAsia"/>
                <w:noProof/>
                <w:kern w:val="2"/>
                <w:lang w:eastAsia="en-AU"/>
                <w14:ligatures w14:val="standardContextual"/>
              </w:rPr>
              <w:tab/>
            </w:r>
            <w:r w:rsidRPr="00B10F40">
              <w:rPr>
                <w:rStyle w:val="Hyperlink"/>
                <w:noProof/>
              </w:rPr>
              <w:t>Demographic Overview</w:t>
            </w:r>
            <w:r>
              <w:rPr>
                <w:noProof/>
                <w:webHidden/>
              </w:rPr>
              <w:tab/>
            </w:r>
            <w:r>
              <w:rPr>
                <w:noProof/>
                <w:webHidden/>
              </w:rPr>
              <w:fldChar w:fldCharType="begin"/>
            </w:r>
            <w:r>
              <w:rPr>
                <w:noProof/>
                <w:webHidden/>
              </w:rPr>
              <w:instrText xml:space="preserve"> PAGEREF _Toc153899491 \h </w:instrText>
            </w:r>
            <w:r>
              <w:rPr>
                <w:noProof/>
                <w:webHidden/>
              </w:rPr>
            </w:r>
            <w:r>
              <w:rPr>
                <w:noProof/>
                <w:webHidden/>
              </w:rPr>
              <w:fldChar w:fldCharType="separate"/>
            </w:r>
            <w:r w:rsidR="00116DC6">
              <w:rPr>
                <w:noProof/>
                <w:webHidden/>
              </w:rPr>
              <w:t>26</w:t>
            </w:r>
            <w:r>
              <w:rPr>
                <w:noProof/>
                <w:webHidden/>
              </w:rPr>
              <w:fldChar w:fldCharType="end"/>
            </w:r>
          </w:hyperlink>
        </w:p>
        <w:p w14:paraId="481D1F49" w14:textId="517A3F74" w:rsidR="00AF7557" w:rsidRDefault="00AF7557">
          <w:pPr>
            <w:pStyle w:val="TOC2"/>
            <w:tabs>
              <w:tab w:val="left" w:pos="851"/>
            </w:tabs>
            <w:rPr>
              <w:rFonts w:eastAsiaTheme="minorEastAsia"/>
              <w:noProof/>
              <w:kern w:val="2"/>
              <w:lang w:eastAsia="en-AU"/>
              <w14:ligatures w14:val="standardContextual"/>
            </w:rPr>
          </w:pPr>
          <w:hyperlink w:anchor="_Toc153899492" w:history="1">
            <w:r w:rsidRPr="00B10F40">
              <w:rPr>
                <w:rStyle w:val="Hyperlink"/>
                <w:noProof/>
              </w:rPr>
              <w:t>2.3</w:t>
            </w:r>
            <w:r>
              <w:rPr>
                <w:rFonts w:eastAsiaTheme="minorEastAsia"/>
                <w:noProof/>
                <w:kern w:val="2"/>
                <w:lang w:eastAsia="en-AU"/>
                <w14:ligatures w14:val="standardContextual"/>
              </w:rPr>
              <w:tab/>
            </w:r>
            <w:r w:rsidRPr="00B10F40">
              <w:rPr>
                <w:rStyle w:val="Hyperlink"/>
                <w:noProof/>
              </w:rPr>
              <w:t>Mental health and wellbeing in the LGBTQ+ community</w:t>
            </w:r>
            <w:r>
              <w:rPr>
                <w:noProof/>
                <w:webHidden/>
              </w:rPr>
              <w:tab/>
            </w:r>
            <w:r>
              <w:rPr>
                <w:noProof/>
                <w:webHidden/>
              </w:rPr>
              <w:fldChar w:fldCharType="begin"/>
            </w:r>
            <w:r>
              <w:rPr>
                <w:noProof/>
                <w:webHidden/>
              </w:rPr>
              <w:instrText xml:space="preserve"> PAGEREF _Toc153899492 \h </w:instrText>
            </w:r>
            <w:r>
              <w:rPr>
                <w:noProof/>
                <w:webHidden/>
              </w:rPr>
            </w:r>
            <w:r>
              <w:rPr>
                <w:noProof/>
                <w:webHidden/>
              </w:rPr>
              <w:fldChar w:fldCharType="separate"/>
            </w:r>
            <w:r w:rsidR="00116DC6">
              <w:rPr>
                <w:noProof/>
                <w:webHidden/>
              </w:rPr>
              <w:t>28</w:t>
            </w:r>
            <w:r>
              <w:rPr>
                <w:noProof/>
                <w:webHidden/>
              </w:rPr>
              <w:fldChar w:fldCharType="end"/>
            </w:r>
          </w:hyperlink>
        </w:p>
        <w:p w14:paraId="20460F62" w14:textId="2BF87A29" w:rsidR="00AF7557" w:rsidRDefault="00AF7557">
          <w:pPr>
            <w:pStyle w:val="TOC3"/>
            <w:tabs>
              <w:tab w:val="left" w:pos="1233"/>
            </w:tabs>
            <w:rPr>
              <w:rFonts w:eastAsiaTheme="minorEastAsia"/>
              <w:kern w:val="2"/>
              <w:lang w:eastAsia="en-AU"/>
              <w14:ligatures w14:val="standardContextual"/>
            </w:rPr>
          </w:pPr>
          <w:hyperlink w:anchor="_Toc153899493" w:history="1">
            <w:r w:rsidRPr="00B10F40">
              <w:rPr>
                <w:rStyle w:val="Hyperlink"/>
              </w:rPr>
              <w:t>2.3.1</w:t>
            </w:r>
            <w:r>
              <w:rPr>
                <w:rFonts w:eastAsiaTheme="minorEastAsia"/>
                <w:kern w:val="2"/>
                <w:lang w:eastAsia="en-AU"/>
                <w14:ligatures w14:val="standardContextual"/>
              </w:rPr>
              <w:tab/>
            </w:r>
            <w:r w:rsidRPr="00B10F40">
              <w:rPr>
                <w:rStyle w:val="Hyperlink"/>
              </w:rPr>
              <w:t>Mental Health Conditions</w:t>
            </w:r>
            <w:r>
              <w:rPr>
                <w:webHidden/>
              </w:rPr>
              <w:tab/>
            </w:r>
            <w:r>
              <w:rPr>
                <w:webHidden/>
              </w:rPr>
              <w:fldChar w:fldCharType="begin"/>
            </w:r>
            <w:r>
              <w:rPr>
                <w:webHidden/>
              </w:rPr>
              <w:instrText xml:space="preserve"> PAGEREF _Toc153899493 \h </w:instrText>
            </w:r>
            <w:r>
              <w:rPr>
                <w:webHidden/>
              </w:rPr>
            </w:r>
            <w:r>
              <w:rPr>
                <w:webHidden/>
              </w:rPr>
              <w:fldChar w:fldCharType="separate"/>
            </w:r>
            <w:r w:rsidR="00116DC6">
              <w:rPr>
                <w:webHidden/>
              </w:rPr>
              <w:t>28</w:t>
            </w:r>
            <w:r>
              <w:rPr>
                <w:webHidden/>
              </w:rPr>
              <w:fldChar w:fldCharType="end"/>
            </w:r>
          </w:hyperlink>
        </w:p>
        <w:p w14:paraId="3AC8F09A" w14:textId="3D6F1631" w:rsidR="00AF7557" w:rsidRDefault="00AF7557">
          <w:pPr>
            <w:pStyle w:val="TOC3"/>
            <w:tabs>
              <w:tab w:val="left" w:pos="1233"/>
            </w:tabs>
            <w:rPr>
              <w:rFonts w:eastAsiaTheme="minorEastAsia"/>
              <w:kern w:val="2"/>
              <w:lang w:eastAsia="en-AU"/>
              <w14:ligatures w14:val="standardContextual"/>
            </w:rPr>
          </w:pPr>
          <w:hyperlink w:anchor="_Toc153899494" w:history="1">
            <w:r w:rsidRPr="00B10F40">
              <w:rPr>
                <w:rStyle w:val="Hyperlink"/>
              </w:rPr>
              <w:t>2.3.2</w:t>
            </w:r>
            <w:r>
              <w:rPr>
                <w:rFonts w:eastAsiaTheme="minorEastAsia"/>
                <w:kern w:val="2"/>
                <w:lang w:eastAsia="en-AU"/>
                <w14:ligatures w14:val="standardContextual"/>
              </w:rPr>
              <w:tab/>
            </w:r>
            <w:r w:rsidRPr="00B10F40">
              <w:rPr>
                <w:rStyle w:val="Hyperlink"/>
              </w:rPr>
              <w:t>Suicidality</w:t>
            </w:r>
            <w:r>
              <w:rPr>
                <w:webHidden/>
              </w:rPr>
              <w:tab/>
            </w:r>
            <w:r>
              <w:rPr>
                <w:webHidden/>
              </w:rPr>
              <w:fldChar w:fldCharType="begin"/>
            </w:r>
            <w:r>
              <w:rPr>
                <w:webHidden/>
              </w:rPr>
              <w:instrText xml:space="preserve"> PAGEREF _Toc153899494 \h </w:instrText>
            </w:r>
            <w:r>
              <w:rPr>
                <w:webHidden/>
              </w:rPr>
            </w:r>
            <w:r>
              <w:rPr>
                <w:webHidden/>
              </w:rPr>
              <w:fldChar w:fldCharType="separate"/>
            </w:r>
            <w:r w:rsidR="00116DC6">
              <w:rPr>
                <w:webHidden/>
              </w:rPr>
              <w:t>29</w:t>
            </w:r>
            <w:r>
              <w:rPr>
                <w:webHidden/>
              </w:rPr>
              <w:fldChar w:fldCharType="end"/>
            </w:r>
          </w:hyperlink>
        </w:p>
        <w:p w14:paraId="49C32128" w14:textId="16C22016" w:rsidR="00AF7557" w:rsidRDefault="00AF7557">
          <w:pPr>
            <w:pStyle w:val="TOC1"/>
            <w:tabs>
              <w:tab w:val="left" w:pos="567"/>
            </w:tabs>
            <w:rPr>
              <w:rFonts w:eastAsiaTheme="minorEastAsia"/>
              <w:b w:val="0"/>
              <w:kern w:val="2"/>
              <w:lang w:eastAsia="en-AU"/>
              <w14:ligatures w14:val="standardContextual"/>
            </w:rPr>
          </w:pPr>
          <w:hyperlink w:anchor="_Toc153899495" w:history="1">
            <w:r w:rsidRPr="00B10F40">
              <w:rPr>
                <w:rStyle w:val="Hyperlink"/>
              </w:rPr>
              <w:t>3</w:t>
            </w:r>
            <w:r>
              <w:rPr>
                <w:rFonts w:eastAsiaTheme="minorEastAsia"/>
                <w:b w:val="0"/>
                <w:kern w:val="2"/>
                <w:lang w:eastAsia="en-AU"/>
                <w14:ligatures w14:val="standardContextual"/>
              </w:rPr>
              <w:tab/>
            </w:r>
            <w:r w:rsidRPr="00B10F40">
              <w:rPr>
                <w:rStyle w:val="Hyperlink"/>
              </w:rPr>
              <w:t>Overview Australia’s policy and service landscape</w:t>
            </w:r>
            <w:r>
              <w:rPr>
                <w:webHidden/>
              </w:rPr>
              <w:tab/>
            </w:r>
            <w:r>
              <w:rPr>
                <w:webHidden/>
              </w:rPr>
              <w:fldChar w:fldCharType="begin"/>
            </w:r>
            <w:r>
              <w:rPr>
                <w:webHidden/>
              </w:rPr>
              <w:instrText xml:space="preserve"> PAGEREF _Toc153899495 \h </w:instrText>
            </w:r>
            <w:r>
              <w:rPr>
                <w:webHidden/>
              </w:rPr>
            </w:r>
            <w:r>
              <w:rPr>
                <w:webHidden/>
              </w:rPr>
              <w:fldChar w:fldCharType="separate"/>
            </w:r>
            <w:r w:rsidR="00116DC6">
              <w:rPr>
                <w:webHidden/>
              </w:rPr>
              <w:t>30</w:t>
            </w:r>
            <w:r>
              <w:rPr>
                <w:webHidden/>
              </w:rPr>
              <w:fldChar w:fldCharType="end"/>
            </w:r>
          </w:hyperlink>
        </w:p>
        <w:p w14:paraId="5DDBD3DF" w14:textId="6040CB59" w:rsidR="00AF7557" w:rsidRDefault="00AF7557">
          <w:pPr>
            <w:pStyle w:val="TOC2"/>
            <w:tabs>
              <w:tab w:val="left" w:pos="851"/>
            </w:tabs>
            <w:rPr>
              <w:rFonts w:eastAsiaTheme="minorEastAsia"/>
              <w:noProof/>
              <w:kern w:val="2"/>
              <w:lang w:eastAsia="en-AU"/>
              <w14:ligatures w14:val="standardContextual"/>
            </w:rPr>
          </w:pPr>
          <w:hyperlink w:anchor="_Toc153899496" w:history="1">
            <w:r w:rsidRPr="00B10F40">
              <w:rPr>
                <w:rStyle w:val="Hyperlink"/>
                <w:noProof/>
              </w:rPr>
              <w:t>3.1</w:t>
            </w:r>
            <w:r>
              <w:rPr>
                <w:rFonts w:eastAsiaTheme="minorEastAsia"/>
                <w:noProof/>
                <w:kern w:val="2"/>
                <w:lang w:eastAsia="en-AU"/>
                <w14:ligatures w14:val="standardContextual"/>
              </w:rPr>
              <w:tab/>
            </w:r>
            <w:r w:rsidRPr="00B10F40">
              <w:rPr>
                <w:rStyle w:val="Hyperlink"/>
                <w:noProof/>
              </w:rPr>
              <w:t>Introduction to this Section</w:t>
            </w:r>
            <w:r>
              <w:rPr>
                <w:noProof/>
                <w:webHidden/>
              </w:rPr>
              <w:tab/>
            </w:r>
            <w:r>
              <w:rPr>
                <w:noProof/>
                <w:webHidden/>
              </w:rPr>
              <w:fldChar w:fldCharType="begin"/>
            </w:r>
            <w:r>
              <w:rPr>
                <w:noProof/>
                <w:webHidden/>
              </w:rPr>
              <w:instrText xml:space="preserve"> PAGEREF _Toc153899496 \h </w:instrText>
            </w:r>
            <w:r>
              <w:rPr>
                <w:noProof/>
                <w:webHidden/>
              </w:rPr>
            </w:r>
            <w:r>
              <w:rPr>
                <w:noProof/>
                <w:webHidden/>
              </w:rPr>
              <w:fldChar w:fldCharType="separate"/>
            </w:r>
            <w:r w:rsidR="00116DC6">
              <w:rPr>
                <w:noProof/>
                <w:webHidden/>
              </w:rPr>
              <w:t>30</w:t>
            </w:r>
            <w:r>
              <w:rPr>
                <w:noProof/>
                <w:webHidden/>
              </w:rPr>
              <w:fldChar w:fldCharType="end"/>
            </w:r>
          </w:hyperlink>
        </w:p>
        <w:p w14:paraId="555BF1C5" w14:textId="39AB00A6" w:rsidR="00AF7557" w:rsidRDefault="00AF7557">
          <w:pPr>
            <w:pStyle w:val="TOC2"/>
            <w:tabs>
              <w:tab w:val="left" w:pos="851"/>
            </w:tabs>
            <w:rPr>
              <w:rFonts w:eastAsiaTheme="minorEastAsia"/>
              <w:noProof/>
              <w:kern w:val="2"/>
              <w:lang w:eastAsia="en-AU"/>
              <w14:ligatures w14:val="standardContextual"/>
            </w:rPr>
          </w:pPr>
          <w:hyperlink w:anchor="_Toc153899497" w:history="1">
            <w:r w:rsidRPr="00B10F40">
              <w:rPr>
                <w:rStyle w:val="Hyperlink"/>
                <w:noProof/>
              </w:rPr>
              <w:t>3.2</w:t>
            </w:r>
            <w:r>
              <w:rPr>
                <w:rFonts w:eastAsiaTheme="minorEastAsia"/>
                <w:noProof/>
                <w:kern w:val="2"/>
                <w:lang w:eastAsia="en-AU"/>
                <w14:ligatures w14:val="standardContextual"/>
              </w:rPr>
              <w:tab/>
            </w:r>
            <w:r w:rsidRPr="00B10F40">
              <w:rPr>
                <w:rStyle w:val="Hyperlink"/>
                <w:noProof/>
              </w:rPr>
              <w:t>Relevant Laws and Regulations</w:t>
            </w:r>
            <w:r>
              <w:rPr>
                <w:noProof/>
                <w:webHidden/>
              </w:rPr>
              <w:tab/>
            </w:r>
            <w:r>
              <w:rPr>
                <w:noProof/>
                <w:webHidden/>
              </w:rPr>
              <w:fldChar w:fldCharType="begin"/>
            </w:r>
            <w:r>
              <w:rPr>
                <w:noProof/>
                <w:webHidden/>
              </w:rPr>
              <w:instrText xml:space="preserve"> PAGEREF _Toc153899497 \h </w:instrText>
            </w:r>
            <w:r>
              <w:rPr>
                <w:noProof/>
                <w:webHidden/>
              </w:rPr>
            </w:r>
            <w:r>
              <w:rPr>
                <w:noProof/>
                <w:webHidden/>
              </w:rPr>
              <w:fldChar w:fldCharType="separate"/>
            </w:r>
            <w:r w:rsidR="00116DC6">
              <w:rPr>
                <w:noProof/>
                <w:webHidden/>
              </w:rPr>
              <w:t>31</w:t>
            </w:r>
            <w:r>
              <w:rPr>
                <w:noProof/>
                <w:webHidden/>
              </w:rPr>
              <w:fldChar w:fldCharType="end"/>
            </w:r>
          </w:hyperlink>
        </w:p>
        <w:p w14:paraId="4356F1A7" w14:textId="187AA58C" w:rsidR="00AF7557" w:rsidRDefault="00AF7557">
          <w:pPr>
            <w:pStyle w:val="TOC2"/>
            <w:tabs>
              <w:tab w:val="left" w:pos="851"/>
            </w:tabs>
            <w:rPr>
              <w:rFonts w:eastAsiaTheme="minorEastAsia"/>
              <w:noProof/>
              <w:kern w:val="2"/>
              <w:lang w:eastAsia="en-AU"/>
              <w14:ligatures w14:val="standardContextual"/>
            </w:rPr>
          </w:pPr>
          <w:hyperlink w:anchor="_Toc153899498" w:history="1">
            <w:r w:rsidRPr="00B10F40">
              <w:rPr>
                <w:rStyle w:val="Hyperlink"/>
                <w:noProof/>
              </w:rPr>
              <w:t>3.3</w:t>
            </w:r>
            <w:r>
              <w:rPr>
                <w:rFonts w:eastAsiaTheme="minorEastAsia"/>
                <w:noProof/>
                <w:kern w:val="2"/>
                <w:lang w:eastAsia="en-AU"/>
                <w14:ligatures w14:val="standardContextual"/>
              </w:rPr>
              <w:tab/>
            </w:r>
            <w:r w:rsidRPr="00B10F40">
              <w:rPr>
                <w:rStyle w:val="Hyperlink"/>
                <w:noProof/>
              </w:rPr>
              <w:t>Overview of the Australian policy landscape</w:t>
            </w:r>
            <w:r>
              <w:rPr>
                <w:noProof/>
                <w:webHidden/>
              </w:rPr>
              <w:tab/>
            </w:r>
            <w:r>
              <w:rPr>
                <w:noProof/>
                <w:webHidden/>
              </w:rPr>
              <w:fldChar w:fldCharType="begin"/>
            </w:r>
            <w:r>
              <w:rPr>
                <w:noProof/>
                <w:webHidden/>
              </w:rPr>
              <w:instrText xml:space="preserve"> PAGEREF _Toc153899498 \h </w:instrText>
            </w:r>
            <w:r>
              <w:rPr>
                <w:noProof/>
                <w:webHidden/>
              </w:rPr>
            </w:r>
            <w:r>
              <w:rPr>
                <w:noProof/>
                <w:webHidden/>
              </w:rPr>
              <w:fldChar w:fldCharType="separate"/>
            </w:r>
            <w:r w:rsidR="00116DC6">
              <w:rPr>
                <w:noProof/>
                <w:webHidden/>
              </w:rPr>
              <w:t>31</w:t>
            </w:r>
            <w:r>
              <w:rPr>
                <w:noProof/>
                <w:webHidden/>
              </w:rPr>
              <w:fldChar w:fldCharType="end"/>
            </w:r>
          </w:hyperlink>
        </w:p>
        <w:p w14:paraId="79815A66" w14:textId="557FF554" w:rsidR="00AF7557" w:rsidRDefault="00AF7557">
          <w:pPr>
            <w:pStyle w:val="TOC3"/>
            <w:tabs>
              <w:tab w:val="left" w:pos="1233"/>
            </w:tabs>
            <w:rPr>
              <w:rFonts w:eastAsiaTheme="minorEastAsia"/>
              <w:kern w:val="2"/>
              <w:lang w:eastAsia="en-AU"/>
              <w14:ligatures w14:val="standardContextual"/>
            </w:rPr>
          </w:pPr>
          <w:hyperlink w:anchor="_Toc153899499" w:history="1">
            <w:r w:rsidRPr="00B10F40">
              <w:rPr>
                <w:rStyle w:val="Hyperlink"/>
              </w:rPr>
              <w:t>3.3.1</w:t>
            </w:r>
            <w:r>
              <w:rPr>
                <w:rFonts w:eastAsiaTheme="minorEastAsia"/>
                <w:kern w:val="2"/>
                <w:lang w:eastAsia="en-AU"/>
                <w14:ligatures w14:val="standardContextual"/>
              </w:rPr>
              <w:tab/>
            </w:r>
            <w:r w:rsidRPr="00B10F40">
              <w:rPr>
                <w:rStyle w:val="Hyperlink"/>
              </w:rPr>
              <w:t>Australian Government Policy</w:t>
            </w:r>
            <w:r>
              <w:rPr>
                <w:webHidden/>
              </w:rPr>
              <w:tab/>
            </w:r>
            <w:r>
              <w:rPr>
                <w:webHidden/>
              </w:rPr>
              <w:fldChar w:fldCharType="begin"/>
            </w:r>
            <w:r>
              <w:rPr>
                <w:webHidden/>
              </w:rPr>
              <w:instrText xml:space="preserve"> PAGEREF _Toc153899499 \h </w:instrText>
            </w:r>
            <w:r>
              <w:rPr>
                <w:webHidden/>
              </w:rPr>
            </w:r>
            <w:r>
              <w:rPr>
                <w:webHidden/>
              </w:rPr>
              <w:fldChar w:fldCharType="separate"/>
            </w:r>
            <w:r w:rsidR="00116DC6">
              <w:rPr>
                <w:webHidden/>
              </w:rPr>
              <w:t>32</w:t>
            </w:r>
            <w:r>
              <w:rPr>
                <w:webHidden/>
              </w:rPr>
              <w:fldChar w:fldCharType="end"/>
            </w:r>
          </w:hyperlink>
        </w:p>
        <w:p w14:paraId="7275E6E0" w14:textId="1D64CC56" w:rsidR="00AF7557" w:rsidRDefault="00AF7557">
          <w:pPr>
            <w:pStyle w:val="TOC3"/>
            <w:tabs>
              <w:tab w:val="left" w:pos="1233"/>
            </w:tabs>
            <w:rPr>
              <w:rFonts w:eastAsiaTheme="minorEastAsia"/>
              <w:kern w:val="2"/>
              <w:lang w:eastAsia="en-AU"/>
              <w14:ligatures w14:val="standardContextual"/>
            </w:rPr>
          </w:pPr>
          <w:hyperlink w:anchor="_Toc153899500" w:history="1">
            <w:r w:rsidRPr="00B10F40">
              <w:rPr>
                <w:rStyle w:val="Hyperlink"/>
              </w:rPr>
              <w:t>3.3.2</w:t>
            </w:r>
            <w:r>
              <w:rPr>
                <w:rFonts w:eastAsiaTheme="minorEastAsia"/>
                <w:kern w:val="2"/>
                <w:lang w:eastAsia="en-AU"/>
                <w14:ligatures w14:val="standardContextual"/>
              </w:rPr>
              <w:tab/>
            </w:r>
            <w:r w:rsidRPr="00B10F40">
              <w:rPr>
                <w:rStyle w:val="Hyperlink"/>
              </w:rPr>
              <w:t>Overview of State and Territory Government Policy and Strategies</w:t>
            </w:r>
            <w:r>
              <w:rPr>
                <w:webHidden/>
              </w:rPr>
              <w:tab/>
            </w:r>
            <w:r>
              <w:rPr>
                <w:webHidden/>
              </w:rPr>
              <w:fldChar w:fldCharType="begin"/>
            </w:r>
            <w:r>
              <w:rPr>
                <w:webHidden/>
              </w:rPr>
              <w:instrText xml:space="preserve"> PAGEREF _Toc153899500 \h </w:instrText>
            </w:r>
            <w:r>
              <w:rPr>
                <w:webHidden/>
              </w:rPr>
            </w:r>
            <w:r>
              <w:rPr>
                <w:webHidden/>
              </w:rPr>
              <w:fldChar w:fldCharType="separate"/>
            </w:r>
            <w:r w:rsidR="00116DC6">
              <w:rPr>
                <w:webHidden/>
              </w:rPr>
              <w:t>33</w:t>
            </w:r>
            <w:r>
              <w:rPr>
                <w:webHidden/>
              </w:rPr>
              <w:fldChar w:fldCharType="end"/>
            </w:r>
          </w:hyperlink>
        </w:p>
        <w:p w14:paraId="302707E7" w14:textId="770CD9BF" w:rsidR="00AF7557" w:rsidRDefault="00AF7557">
          <w:pPr>
            <w:pStyle w:val="TOC3"/>
            <w:tabs>
              <w:tab w:val="left" w:pos="1233"/>
            </w:tabs>
            <w:rPr>
              <w:rFonts w:eastAsiaTheme="minorEastAsia"/>
              <w:kern w:val="2"/>
              <w:lang w:eastAsia="en-AU"/>
              <w14:ligatures w14:val="standardContextual"/>
            </w:rPr>
          </w:pPr>
          <w:hyperlink w:anchor="_Toc153899501" w:history="1">
            <w:r w:rsidRPr="00B10F40">
              <w:rPr>
                <w:rStyle w:val="Hyperlink"/>
              </w:rPr>
              <w:t>3.3.3</w:t>
            </w:r>
            <w:r>
              <w:rPr>
                <w:rFonts w:eastAsiaTheme="minorEastAsia"/>
                <w:kern w:val="2"/>
                <w:lang w:eastAsia="en-AU"/>
                <w14:ligatures w14:val="standardContextual"/>
              </w:rPr>
              <w:tab/>
            </w:r>
            <w:r w:rsidRPr="00B10F40">
              <w:rPr>
                <w:rStyle w:val="Hyperlink"/>
              </w:rPr>
              <w:t>Other policy and advocacy documents</w:t>
            </w:r>
            <w:r>
              <w:rPr>
                <w:webHidden/>
              </w:rPr>
              <w:tab/>
            </w:r>
            <w:r>
              <w:rPr>
                <w:webHidden/>
              </w:rPr>
              <w:fldChar w:fldCharType="begin"/>
            </w:r>
            <w:r>
              <w:rPr>
                <w:webHidden/>
              </w:rPr>
              <w:instrText xml:space="preserve"> PAGEREF _Toc153899501 \h </w:instrText>
            </w:r>
            <w:r>
              <w:rPr>
                <w:webHidden/>
              </w:rPr>
            </w:r>
            <w:r>
              <w:rPr>
                <w:webHidden/>
              </w:rPr>
              <w:fldChar w:fldCharType="separate"/>
            </w:r>
            <w:r w:rsidR="00116DC6">
              <w:rPr>
                <w:webHidden/>
              </w:rPr>
              <w:t>41</w:t>
            </w:r>
            <w:r>
              <w:rPr>
                <w:webHidden/>
              </w:rPr>
              <w:fldChar w:fldCharType="end"/>
            </w:r>
          </w:hyperlink>
        </w:p>
        <w:p w14:paraId="6466EB61" w14:textId="04134C00" w:rsidR="00AF7557" w:rsidRDefault="00AF7557">
          <w:pPr>
            <w:pStyle w:val="TOC2"/>
            <w:tabs>
              <w:tab w:val="left" w:pos="851"/>
            </w:tabs>
            <w:rPr>
              <w:rFonts w:eastAsiaTheme="minorEastAsia"/>
              <w:noProof/>
              <w:kern w:val="2"/>
              <w:lang w:eastAsia="en-AU"/>
              <w14:ligatures w14:val="standardContextual"/>
            </w:rPr>
          </w:pPr>
          <w:hyperlink w:anchor="_Toc153899502" w:history="1">
            <w:r w:rsidRPr="00B10F40">
              <w:rPr>
                <w:rStyle w:val="Hyperlink"/>
                <w:noProof/>
              </w:rPr>
              <w:t>3.4</w:t>
            </w:r>
            <w:r>
              <w:rPr>
                <w:rFonts w:eastAsiaTheme="minorEastAsia"/>
                <w:noProof/>
                <w:kern w:val="2"/>
                <w:lang w:eastAsia="en-AU"/>
                <w14:ligatures w14:val="standardContextual"/>
              </w:rPr>
              <w:tab/>
            </w:r>
            <w:r w:rsidRPr="00B10F40">
              <w:rPr>
                <w:rStyle w:val="Hyperlink"/>
                <w:noProof/>
              </w:rPr>
              <w:t>Australia’s Mental Health Services Landscape</w:t>
            </w:r>
            <w:r>
              <w:rPr>
                <w:noProof/>
                <w:webHidden/>
              </w:rPr>
              <w:tab/>
            </w:r>
            <w:r>
              <w:rPr>
                <w:noProof/>
                <w:webHidden/>
              </w:rPr>
              <w:fldChar w:fldCharType="begin"/>
            </w:r>
            <w:r>
              <w:rPr>
                <w:noProof/>
                <w:webHidden/>
              </w:rPr>
              <w:instrText xml:space="preserve"> PAGEREF _Toc153899502 \h </w:instrText>
            </w:r>
            <w:r>
              <w:rPr>
                <w:noProof/>
                <w:webHidden/>
              </w:rPr>
            </w:r>
            <w:r>
              <w:rPr>
                <w:noProof/>
                <w:webHidden/>
              </w:rPr>
              <w:fldChar w:fldCharType="separate"/>
            </w:r>
            <w:r w:rsidR="00116DC6">
              <w:rPr>
                <w:noProof/>
                <w:webHidden/>
              </w:rPr>
              <w:t>41</w:t>
            </w:r>
            <w:r>
              <w:rPr>
                <w:noProof/>
                <w:webHidden/>
              </w:rPr>
              <w:fldChar w:fldCharType="end"/>
            </w:r>
          </w:hyperlink>
        </w:p>
        <w:p w14:paraId="5B60C67F" w14:textId="79A49510" w:rsidR="00AF7557" w:rsidRDefault="00AF7557">
          <w:pPr>
            <w:pStyle w:val="TOC3"/>
            <w:tabs>
              <w:tab w:val="left" w:pos="1233"/>
            </w:tabs>
            <w:rPr>
              <w:rFonts w:eastAsiaTheme="minorEastAsia"/>
              <w:kern w:val="2"/>
              <w:lang w:eastAsia="en-AU"/>
              <w14:ligatures w14:val="standardContextual"/>
            </w:rPr>
          </w:pPr>
          <w:hyperlink w:anchor="_Toc153899503" w:history="1">
            <w:r w:rsidRPr="00B10F40">
              <w:rPr>
                <w:rStyle w:val="Hyperlink"/>
              </w:rPr>
              <w:t>3.4.1</w:t>
            </w:r>
            <w:r>
              <w:rPr>
                <w:rFonts w:eastAsiaTheme="minorEastAsia"/>
                <w:kern w:val="2"/>
                <w:lang w:eastAsia="en-AU"/>
                <w14:ligatures w14:val="standardContextual"/>
              </w:rPr>
              <w:tab/>
            </w:r>
            <w:r w:rsidRPr="00B10F40">
              <w:rPr>
                <w:rStyle w:val="Hyperlink"/>
              </w:rPr>
              <w:t>Service Funding and Administration</w:t>
            </w:r>
            <w:r>
              <w:rPr>
                <w:webHidden/>
              </w:rPr>
              <w:tab/>
            </w:r>
            <w:r>
              <w:rPr>
                <w:webHidden/>
              </w:rPr>
              <w:fldChar w:fldCharType="begin"/>
            </w:r>
            <w:r>
              <w:rPr>
                <w:webHidden/>
              </w:rPr>
              <w:instrText xml:space="preserve"> PAGEREF _Toc153899503 \h </w:instrText>
            </w:r>
            <w:r>
              <w:rPr>
                <w:webHidden/>
              </w:rPr>
            </w:r>
            <w:r>
              <w:rPr>
                <w:webHidden/>
              </w:rPr>
              <w:fldChar w:fldCharType="separate"/>
            </w:r>
            <w:r w:rsidR="00116DC6">
              <w:rPr>
                <w:webHidden/>
              </w:rPr>
              <w:t>42</w:t>
            </w:r>
            <w:r>
              <w:rPr>
                <w:webHidden/>
              </w:rPr>
              <w:fldChar w:fldCharType="end"/>
            </w:r>
          </w:hyperlink>
        </w:p>
        <w:p w14:paraId="2AABE34F" w14:textId="68AFEE70" w:rsidR="00AF7557" w:rsidRDefault="00AF7557">
          <w:pPr>
            <w:pStyle w:val="TOC3"/>
            <w:tabs>
              <w:tab w:val="left" w:pos="1233"/>
            </w:tabs>
            <w:rPr>
              <w:rFonts w:eastAsiaTheme="minorEastAsia"/>
              <w:kern w:val="2"/>
              <w:lang w:eastAsia="en-AU"/>
              <w14:ligatures w14:val="standardContextual"/>
            </w:rPr>
          </w:pPr>
          <w:hyperlink w:anchor="_Toc153899504" w:history="1">
            <w:r w:rsidRPr="00B10F40">
              <w:rPr>
                <w:rStyle w:val="Hyperlink"/>
              </w:rPr>
              <w:t>3.4.2</w:t>
            </w:r>
            <w:r>
              <w:rPr>
                <w:rFonts w:eastAsiaTheme="minorEastAsia"/>
                <w:kern w:val="2"/>
                <w:lang w:eastAsia="en-AU"/>
                <w14:ligatures w14:val="standardContextual"/>
              </w:rPr>
              <w:tab/>
            </w:r>
            <w:r w:rsidRPr="00B10F40">
              <w:rPr>
                <w:rStyle w:val="Hyperlink"/>
              </w:rPr>
              <w:t>Mainstream mental health services</w:t>
            </w:r>
            <w:r>
              <w:rPr>
                <w:webHidden/>
              </w:rPr>
              <w:tab/>
            </w:r>
            <w:r>
              <w:rPr>
                <w:webHidden/>
              </w:rPr>
              <w:fldChar w:fldCharType="begin"/>
            </w:r>
            <w:r>
              <w:rPr>
                <w:webHidden/>
              </w:rPr>
              <w:instrText xml:space="preserve"> PAGEREF _Toc153899504 \h </w:instrText>
            </w:r>
            <w:r>
              <w:rPr>
                <w:webHidden/>
              </w:rPr>
            </w:r>
            <w:r>
              <w:rPr>
                <w:webHidden/>
              </w:rPr>
              <w:fldChar w:fldCharType="separate"/>
            </w:r>
            <w:r w:rsidR="00116DC6">
              <w:rPr>
                <w:webHidden/>
              </w:rPr>
              <w:t>43</w:t>
            </w:r>
            <w:r>
              <w:rPr>
                <w:webHidden/>
              </w:rPr>
              <w:fldChar w:fldCharType="end"/>
            </w:r>
          </w:hyperlink>
        </w:p>
        <w:p w14:paraId="1F3C1A21" w14:textId="05F334BD" w:rsidR="00AF7557" w:rsidRDefault="00AF7557">
          <w:pPr>
            <w:pStyle w:val="TOC3"/>
            <w:tabs>
              <w:tab w:val="left" w:pos="1233"/>
            </w:tabs>
            <w:rPr>
              <w:rFonts w:eastAsiaTheme="minorEastAsia"/>
              <w:kern w:val="2"/>
              <w:lang w:eastAsia="en-AU"/>
              <w14:ligatures w14:val="standardContextual"/>
            </w:rPr>
          </w:pPr>
          <w:hyperlink w:anchor="_Toc153899505" w:history="1">
            <w:r w:rsidRPr="00B10F40">
              <w:rPr>
                <w:rStyle w:val="Hyperlink"/>
              </w:rPr>
              <w:t>3.4.3</w:t>
            </w:r>
            <w:r>
              <w:rPr>
                <w:rFonts w:eastAsiaTheme="minorEastAsia"/>
                <w:kern w:val="2"/>
                <w:lang w:eastAsia="en-AU"/>
                <w14:ligatures w14:val="standardContextual"/>
              </w:rPr>
              <w:tab/>
            </w:r>
            <w:r w:rsidRPr="00B10F40">
              <w:rPr>
                <w:rStyle w:val="Hyperlink"/>
              </w:rPr>
              <w:t>LGBTQ+ specialist services</w:t>
            </w:r>
            <w:r>
              <w:rPr>
                <w:webHidden/>
              </w:rPr>
              <w:tab/>
            </w:r>
            <w:r>
              <w:rPr>
                <w:webHidden/>
              </w:rPr>
              <w:fldChar w:fldCharType="begin"/>
            </w:r>
            <w:r>
              <w:rPr>
                <w:webHidden/>
              </w:rPr>
              <w:instrText xml:space="preserve"> PAGEREF _Toc153899505 \h </w:instrText>
            </w:r>
            <w:r>
              <w:rPr>
                <w:webHidden/>
              </w:rPr>
            </w:r>
            <w:r>
              <w:rPr>
                <w:webHidden/>
              </w:rPr>
              <w:fldChar w:fldCharType="separate"/>
            </w:r>
            <w:r w:rsidR="00116DC6">
              <w:rPr>
                <w:webHidden/>
              </w:rPr>
              <w:t>47</w:t>
            </w:r>
            <w:r>
              <w:rPr>
                <w:webHidden/>
              </w:rPr>
              <w:fldChar w:fldCharType="end"/>
            </w:r>
          </w:hyperlink>
        </w:p>
        <w:p w14:paraId="5FC321F4" w14:textId="15FB6977" w:rsidR="00AF7557" w:rsidRDefault="00AF7557">
          <w:pPr>
            <w:pStyle w:val="TOC1"/>
            <w:tabs>
              <w:tab w:val="left" w:pos="567"/>
            </w:tabs>
            <w:rPr>
              <w:rFonts w:eastAsiaTheme="minorEastAsia"/>
              <w:b w:val="0"/>
              <w:kern w:val="2"/>
              <w:lang w:eastAsia="en-AU"/>
              <w14:ligatures w14:val="standardContextual"/>
            </w:rPr>
          </w:pPr>
          <w:hyperlink w:anchor="_Toc153899506" w:history="1">
            <w:r w:rsidRPr="00B10F40">
              <w:rPr>
                <w:rStyle w:val="Hyperlink"/>
              </w:rPr>
              <w:t>4</w:t>
            </w:r>
            <w:r>
              <w:rPr>
                <w:rFonts w:eastAsiaTheme="minorEastAsia"/>
                <w:b w:val="0"/>
                <w:kern w:val="2"/>
                <w:lang w:eastAsia="en-AU"/>
                <w14:ligatures w14:val="standardContextual"/>
              </w:rPr>
              <w:tab/>
            </w:r>
            <w:r w:rsidRPr="00B10F40">
              <w:rPr>
                <w:rStyle w:val="Hyperlink"/>
              </w:rPr>
              <w:t>Stressors, risks, and protective factors</w:t>
            </w:r>
            <w:r>
              <w:rPr>
                <w:webHidden/>
              </w:rPr>
              <w:tab/>
            </w:r>
            <w:r>
              <w:rPr>
                <w:webHidden/>
              </w:rPr>
              <w:fldChar w:fldCharType="begin"/>
            </w:r>
            <w:r>
              <w:rPr>
                <w:webHidden/>
              </w:rPr>
              <w:instrText xml:space="preserve"> PAGEREF _Toc153899506 \h </w:instrText>
            </w:r>
            <w:r>
              <w:rPr>
                <w:webHidden/>
              </w:rPr>
            </w:r>
            <w:r>
              <w:rPr>
                <w:webHidden/>
              </w:rPr>
              <w:fldChar w:fldCharType="separate"/>
            </w:r>
            <w:r w:rsidR="00116DC6">
              <w:rPr>
                <w:webHidden/>
              </w:rPr>
              <w:t>53</w:t>
            </w:r>
            <w:r>
              <w:rPr>
                <w:webHidden/>
              </w:rPr>
              <w:fldChar w:fldCharType="end"/>
            </w:r>
          </w:hyperlink>
        </w:p>
        <w:p w14:paraId="5BFA6FCC" w14:textId="36A9C447" w:rsidR="00AF7557" w:rsidRDefault="00AF7557">
          <w:pPr>
            <w:pStyle w:val="TOC2"/>
            <w:tabs>
              <w:tab w:val="left" w:pos="851"/>
            </w:tabs>
            <w:rPr>
              <w:rFonts w:eastAsiaTheme="minorEastAsia"/>
              <w:noProof/>
              <w:kern w:val="2"/>
              <w:lang w:eastAsia="en-AU"/>
              <w14:ligatures w14:val="standardContextual"/>
            </w:rPr>
          </w:pPr>
          <w:hyperlink w:anchor="_Toc153899507" w:history="1">
            <w:r w:rsidRPr="00B10F40">
              <w:rPr>
                <w:rStyle w:val="Hyperlink"/>
                <w:noProof/>
              </w:rPr>
              <w:t>4.1</w:t>
            </w:r>
            <w:r>
              <w:rPr>
                <w:rFonts w:eastAsiaTheme="minorEastAsia"/>
                <w:noProof/>
                <w:kern w:val="2"/>
                <w:lang w:eastAsia="en-AU"/>
                <w14:ligatures w14:val="standardContextual"/>
              </w:rPr>
              <w:tab/>
            </w:r>
            <w:r w:rsidRPr="00B10F40">
              <w:rPr>
                <w:rStyle w:val="Hyperlink"/>
                <w:noProof/>
              </w:rPr>
              <w:t>About this Section</w:t>
            </w:r>
            <w:r>
              <w:rPr>
                <w:noProof/>
                <w:webHidden/>
              </w:rPr>
              <w:tab/>
            </w:r>
            <w:r>
              <w:rPr>
                <w:noProof/>
                <w:webHidden/>
              </w:rPr>
              <w:fldChar w:fldCharType="begin"/>
            </w:r>
            <w:r>
              <w:rPr>
                <w:noProof/>
                <w:webHidden/>
              </w:rPr>
              <w:instrText xml:space="preserve"> PAGEREF _Toc153899507 \h </w:instrText>
            </w:r>
            <w:r>
              <w:rPr>
                <w:noProof/>
                <w:webHidden/>
              </w:rPr>
            </w:r>
            <w:r>
              <w:rPr>
                <w:noProof/>
                <w:webHidden/>
              </w:rPr>
              <w:fldChar w:fldCharType="separate"/>
            </w:r>
            <w:r w:rsidR="00116DC6">
              <w:rPr>
                <w:noProof/>
                <w:webHidden/>
              </w:rPr>
              <w:t>53</w:t>
            </w:r>
            <w:r>
              <w:rPr>
                <w:noProof/>
                <w:webHidden/>
              </w:rPr>
              <w:fldChar w:fldCharType="end"/>
            </w:r>
          </w:hyperlink>
        </w:p>
        <w:p w14:paraId="319FBD00" w14:textId="683273F3" w:rsidR="00AF7557" w:rsidRDefault="00AF7557">
          <w:pPr>
            <w:pStyle w:val="TOC2"/>
            <w:tabs>
              <w:tab w:val="left" w:pos="851"/>
            </w:tabs>
            <w:rPr>
              <w:rFonts w:eastAsiaTheme="minorEastAsia"/>
              <w:noProof/>
              <w:kern w:val="2"/>
              <w:lang w:eastAsia="en-AU"/>
              <w14:ligatures w14:val="standardContextual"/>
            </w:rPr>
          </w:pPr>
          <w:hyperlink w:anchor="_Toc153899508" w:history="1">
            <w:r w:rsidRPr="00B10F40">
              <w:rPr>
                <w:rStyle w:val="Hyperlink"/>
                <w:noProof/>
              </w:rPr>
              <w:t>4.2</w:t>
            </w:r>
            <w:r>
              <w:rPr>
                <w:rFonts w:eastAsiaTheme="minorEastAsia"/>
                <w:noProof/>
                <w:kern w:val="2"/>
                <w:lang w:eastAsia="en-AU"/>
                <w14:ligatures w14:val="standardContextual"/>
              </w:rPr>
              <w:tab/>
            </w:r>
            <w:r w:rsidRPr="00B10F40">
              <w:rPr>
                <w:rStyle w:val="Hyperlink"/>
                <w:noProof/>
              </w:rPr>
              <w:t>Stressors impacting LGBTQ+ people</w:t>
            </w:r>
            <w:r>
              <w:rPr>
                <w:noProof/>
                <w:webHidden/>
              </w:rPr>
              <w:tab/>
            </w:r>
            <w:r>
              <w:rPr>
                <w:noProof/>
                <w:webHidden/>
              </w:rPr>
              <w:fldChar w:fldCharType="begin"/>
            </w:r>
            <w:r>
              <w:rPr>
                <w:noProof/>
                <w:webHidden/>
              </w:rPr>
              <w:instrText xml:space="preserve"> PAGEREF _Toc153899508 \h </w:instrText>
            </w:r>
            <w:r>
              <w:rPr>
                <w:noProof/>
                <w:webHidden/>
              </w:rPr>
            </w:r>
            <w:r>
              <w:rPr>
                <w:noProof/>
                <w:webHidden/>
              </w:rPr>
              <w:fldChar w:fldCharType="separate"/>
            </w:r>
            <w:r w:rsidR="00116DC6">
              <w:rPr>
                <w:noProof/>
                <w:webHidden/>
              </w:rPr>
              <w:t>54</w:t>
            </w:r>
            <w:r>
              <w:rPr>
                <w:noProof/>
                <w:webHidden/>
              </w:rPr>
              <w:fldChar w:fldCharType="end"/>
            </w:r>
          </w:hyperlink>
        </w:p>
        <w:p w14:paraId="5822854F" w14:textId="2ABFCAF9" w:rsidR="00AF7557" w:rsidRDefault="00AF7557">
          <w:pPr>
            <w:pStyle w:val="TOC3"/>
            <w:tabs>
              <w:tab w:val="left" w:pos="1233"/>
            </w:tabs>
            <w:rPr>
              <w:rFonts w:eastAsiaTheme="minorEastAsia"/>
              <w:kern w:val="2"/>
              <w:lang w:eastAsia="en-AU"/>
              <w14:ligatures w14:val="standardContextual"/>
            </w:rPr>
          </w:pPr>
          <w:hyperlink w:anchor="_Toc153899509" w:history="1">
            <w:r w:rsidRPr="00B10F40">
              <w:rPr>
                <w:rStyle w:val="Hyperlink"/>
              </w:rPr>
              <w:t>4.2.1</w:t>
            </w:r>
            <w:r>
              <w:rPr>
                <w:rFonts w:eastAsiaTheme="minorEastAsia"/>
                <w:kern w:val="2"/>
                <w:lang w:eastAsia="en-AU"/>
                <w14:ligatures w14:val="standardContextual"/>
              </w:rPr>
              <w:tab/>
            </w:r>
            <w:r w:rsidRPr="00B10F40">
              <w:rPr>
                <w:rStyle w:val="Hyperlink"/>
              </w:rPr>
              <w:t>Stigmatisation, discrimination, and marginalisation</w:t>
            </w:r>
            <w:r>
              <w:rPr>
                <w:webHidden/>
              </w:rPr>
              <w:tab/>
            </w:r>
            <w:r>
              <w:rPr>
                <w:webHidden/>
              </w:rPr>
              <w:fldChar w:fldCharType="begin"/>
            </w:r>
            <w:r>
              <w:rPr>
                <w:webHidden/>
              </w:rPr>
              <w:instrText xml:space="preserve"> PAGEREF _Toc153899509 \h </w:instrText>
            </w:r>
            <w:r>
              <w:rPr>
                <w:webHidden/>
              </w:rPr>
            </w:r>
            <w:r>
              <w:rPr>
                <w:webHidden/>
              </w:rPr>
              <w:fldChar w:fldCharType="separate"/>
            </w:r>
            <w:r w:rsidR="00116DC6">
              <w:rPr>
                <w:webHidden/>
              </w:rPr>
              <w:t>54</w:t>
            </w:r>
            <w:r>
              <w:rPr>
                <w:webHidden/>
              </w:rPr>
              <w:fldChar w:fldCharType="end"/>
            </w:r>
          </w:hyperlink>
        </w:p>
        <w:p w14:paraId="3F611F83" w14:textId="4AE96C70" w:rsidR="00AF7557" w:rsidRDefault="00AF7557">
          <w:pPr>
            <w:pStyle w:val="TOC3"/>
            <w:tabs>
              <w:tab w:val="left" w:pos="1233"/>
            </w:tabs>
            <w:rPr>
              <w:rFonts w:eastAsiaTheme="minorEastAsia"/>
              <w:kern w:val="2"/>
              <w:lang w:eastAsia="en-AU"/>
              <w14:ligatures w14:val="standardContextual"/>
            </w:rPr>
          </w:pPr>
          <w:hyperlink w:anchor="_Toc153899510" w:history="1">
            <w:r w:rsidRPr="00B10F40">
              <w:rPr>
                <w:rStyle w:val="Hyperlink"/>
              </w:rPr>
              <w:t>4.2.2</w:t>
            </w:r>
            <w:r>
              <w:rPr>
                <w:rFonts w:eastAsiaTheme="minorEastAsia"/>
                <w:kern w:val="2"/>
                <w:lang w:eastAsia="en-AU"/>
                <w14:ligatures w14:val="standardContextual"/>
              </w:rPr>
              <w:tab/>
            </w:r>
            <w:r w:rsidRPr="00B10F40">
              <w:rPr>
                <w:rStyle w:val="Hyperlink"/>
              </w:rPr>
              <w:t>Victimisation, bullying and violence</w:t>
            </w:r>
            <w:r>
              <w:rPr>
                <w:webHidden/>
              </w:rPr>
              <w:tab/>
            </w:r>
            <w:r>
              <w:rPr>
                <w:webHidden/>
              </w:rPr>
              <w:fldChar w:fldCharType="begin"/>
            </w:r>
            <w:r>
              <w:rPr>
                <w:webHidden/>
              </w:rPr>
              <w:instrText xml:space="preserve"> PAGEREF _Toc153899510 \h </w:instrText>
            </w:r>
            <w:r>
              <w:rPr>
                <w:webHidden/>
              </w:rPr>
            </w:r>
            <w:r>
              <w:rPr>
                <w:webHidden/>
              </w:rPr>
              <w:fldChar w:fldCharType="separate"/>
            </w:r>
            <w:r w:rsidR="00116DC6">
              <w:rPr>
                <w:webHidden/>
              </w:rPr>
              <w:t>57</w:t>
            </w:r>
            <w:r>
              <w:rPr>
                <w:webHidden/>
              </w:rPr>
              <w:fldChar w:fldCharType="end"/>
            </w:r>
          </w:hyperlink>
        </w:p>
        <w:p w14:paraId="0C02A914" w14:textId="18178E82" w:rsidR="00AF7557" w:rsidRDefault="00AF7557">
          <w:pPr>
            <w:pStyle w:val="TOC3"/>
            <w:tabs>
              <w:tab w:val="left" w:pos="1233"/>
            </w:tabs>
            <w:rPr>
              <w:rFonts w:eastAsiaTheme="minorEastAsia"/>
              <w:kern w:val="2"/>
              <w:lang w:eastAsia="en-AU"/>
              <w14:ligatures w14:val="standardContextual"/>
            </w:rPr>
          </w:pPr>
          <w:hyperlink w:anchor="_Toc153899511" w:history="1">
            <w:r w:rsidRPr="00B10F40">
              <w:rPr>
                <w:rStyle w:val="Hyperlink"/>
              </w:rPr>
              <w:t>4.2.3</w:t>
            </w:r>
            <w:r>
              <w:rPr>
                <w:rFonts w:eastAsiaTheme="minorEastAsia"/>
                <w:kern w:val="2"/>
                <w:lang w:eastAsia="en-AU"/>
                <w14:ligatures w14:val="standardContextual"/>
              </w:rPr>
              <w:tab/>
            </w:r>
            <w:r w:rsidRPr="00B10F40">
              <w:rPr>
                <w:rStyle w:val="Hyperlink"/>
              </w:rPr>
              <w:t>Rejection, isolation, and loneliness</w:t>
            </w:r>
            <w:r>
              <w:rPr>
                <w:webHidden/>
              </w:rPr>
              <w:tab/>
            </w:r>
            <w:r>
              <w:rPr>
                <w:webHidden/>
              </w:rPr>
              <w:fldChar w:fldCharType="begin"/>
            </w:r>
            <w:r>
              <w:rPr>
                <w:webHidden/>
              </w:rPr>
              <w:instrText xml:space="preserve"> PAGEREF _Toc153899511 \h </w:instrText>
            </w:r>
            <w:r>
              <w:rPr>
                <w:webHidden/>
              </w:rPr>
            </w:r>
            <w:r>
              <w:rPr>
                <w:webHidden/>
              </w:rPr>
              <w:fldChar w:fldCharType="separate"/>
            </w:r>
            <w:r w:rsidR="00116DC6">
              <w:rPr>
                <w:webHidden/>
              </w:rPr>
              <w:t>58</w:t>
            </w:r>
            <w:r>
              <w:rPr>
                <w:webHidden/>
              </w:rPr>
              <w:fldChar w:fldCharType="end"/>
            </w:r>
          </w:hyperlink>
        </w:p>
        <w:p w14:paraId="5D1D187D" w14:textId="7C8284C0" w:rsidR="00AF7557" w:rsidRDefault="00AF7557">
          <w:pPr>
            <w:pStyle w:val="TOC3"/>
            <w:tabs>
              <w:tab w:val="left" w:pos="1233"/>
            </w:tabs>
            <w:rPr>
              <w:rFonts w:eastAsiaTheme="minorEastAsia"/>
              <w:kern w:val="2"/>
              <w:lang w:eastAsia="en-AU"/>
              <w14:ligatures w14:val="standardContextual"/>
            </w:rPr>
          </w:pPr>
          <w:hyperlink w:anchor="_Toc153899512" w:history="1">
            <w:r w:rsidRPr="00B10F40">
              <w:rPr>
                <w:rStyle w:val="Hyperlink"/>
              </w:rPr>
              <w:t>4.2.4</w:t>
            </w:r>
            <w:r>
              <w:rPr>
                <w:rFonts w:eastAsiaTheme="minorEastAsia"/>
                <w:kern w:val="2"/>
                <w:lang w:eastAsia="en-AU"/>
                <w14:ligatures w14:val="standardContextual"/>
              </w:rPr>
              <w:tab/>
            </w:r>
            <w:r w:rsidRPr="00B10F40">
              <w:rPr>
                <w:rStyle w:val="Hyperlink"/>
              </w:rPr>
              <w:t>Factors related to LGBTQ+-specific development milestones</w:t>
            </w:r>
            <w:r>
              <w:rPr>
                <w:webHidden/>
              </w:rPr>
              <w:tab/>
            </w:r>
            <w:r>
              <w:rPr>
                <w:webHidden/>
              </w:rPr>
              <w:fldChar w:fldCharType="begin"/>
            </w:r>
            <w:r>
              <w:rPr>
                <w:webHidden/>
              </w:rPr>
              <w:instrText xml:space="preserve"> PAGEREF _Toc153899512 \h </w:instrText>
            </w:r>
            <w:r>
              <w:rPr>
                <w:webHidden/>
              </w:rPr>
            </w:r>
            <w:r>
              <w:rPr>
                <w:webHidden/>
              </w:rPr>
              <w:fldChar w:fldCharType="separate"/>
            </w:r>
            <w:r w:rsidR="00116DC6">
              <w:rPr>
                <w:webHidden/>
              </w:rPr>
              <w:t>61</w:t>
            </w:r>
            <w:r>
              <w:rPr>
                <w:webHidden/>
              </w:rPr>
              <w:fldChar w:fldCharType="end"/>
            </w:r>
          </w:hyperlink>
        </w:p>
        <w:p w14:paraId="40416467" w14:textId="44E5EA45" w:rsidR="00AF7557" w:rsidRDefault="00AF7557">
          <w:pPr>
            <w:pStyle w:val="TOC2"/>
            <w:tabs>
              <w:tab w:val="left" w:pos="851"/>
            </w:tabs>
            <w:rPr>
              <w:rFonts w:eastAsiaTheme="minorEastAsia"/>
              <w:noProof/>
              <w:kern w:val="2"/>
              <w:lang w:eastAsia="en-AU"/>
              <w14:ligatures w14:val="standardContextual"/>
            </w:rPr>
          </w:pPr>
          <w:hyperlink w:anchor="_Toc153899513" w:history="1">
            <w:r w:rsidRPr="00B10F40">
              <w:rPr>
                <w:rStyle w:val="Hyperlink"/>
                <w:noProof/>
              </w:rPr>
              <w:t>4.3</w:t>
            </w:r>
            <w:r>
              <w:rPr>
                <w:rFonts w:eastAsiaTheme="minorEastAsia"/>
                <w:noProof/>
                <w:kern w:val="2"/>
                <w:lang w:eastAsia="en-AU"/>
                <w14:ligatures w14:val="standardContextual"/>
              </w:rPr>
              <w:tab/>
            </w:r>
            <w:r w:rsidRPr="00B10F40">
              <w:rPr>
                <w:rStyle w:val="Hyperlink"/>
                <w:noProof/>
              </w:rPr>
              <w:t>Supplementary stressors experienced by some communities</w:t>
            </w:r>
            <w:r>
              <w:rPr>
                <w:noProof/>
                <w:webHidden/>
              </w:rPr>
              <w:tab/>
            </w:r>
            <w:r>
              <w:rPr>
                <w:noProof/>
                <w:webHidden/>
              </w:rPr>
              <w:fldChar w:fldCharType="begin"/>
            </w:r>
            <w:r>
              <w:rPr>
                <w:noProof/>
                <w:webHidden/>
              </w:rPr>
              <w:instrText xml:space="preserve"> PAGEREF _Toc153899513 \h </w:instrText>
            </w:r>
            <w:r>
              <w:rPr>
                <w:noProof/>
                <w:webHidden/>
              </w:rPr>
            </w:r>
            <w:r>
              <w:rPr>
                <w:noProof/>
                <w:webHidden/>
              </w:rPr>
              <w:fldChar w:fldCharType="separate"/>
            </w:r>
            <w:r w:rsidR="00116DC6">
              <w:rPr>
                <w:noProof/>
                <w:webHidden/>
              </w:rPr>
              <w:t>63</w:t>
            </w:r>
            <w:r>
              <w:rPr>
                <w:noProof/>
                <w:webHidden/>
              </w:rPr>
              <w:fldChar w:fldCharType="end"/>
            </w:r>
          </w:hyperlink>
        </w:p>
        <w:p w14:paraId="27B599F6" w14:textId="4F2B29A7" w:rsidR="00AF7557" w:rsidRDefault="00AF7557">
          <w:pPr>
            <w:pStyle w:val="TOC3"/>
            <w:tabs>
              <w:tab w:val="left" w:pos="1233"/>
            </w:tabs>
            <w:rPr>
              <w:rFonts w:eastAsiaTheme="minorEastAsia"/>
              <w:kern w:val="2"/>
              <w:lang w:eastAsia="en-AU"/>
              <w14:ligatures w14:val="standardContextual"/>
            </w:rPr>
          </w:pPr>
          <w:hyperlink w:anchor="_Toc153899514" w:history="1">
            <w:r w:rsidRPr="00B10F40">
              <w:rPr>
                <w:rStyle w:val="Hyperlink"/>
              </w:rPr>
              <w:t>4.3.1</w:t>
            </w:r>
            <w:r>
              <w:rPr>
                <w:rFonts w:eastAsiaTheme="minorEastAsia"/>
                <w:kern w:val="2"/>
                <w:lang w:eastAsia="en-AU"/>
                <w14:ligatures w14:val="standardContextual"/>
              </w:rPr>
              <w:tab/>
            </w:r>
            <w:r w:rsidRPr="00B10F40">
              <w:rPr>
                <w:rStyle w:val="Hyperlink"/>
              </w:rPr>
              <w:t>Transgender and gender diverse people</w:t>
            </w:r>
            <w:r>
              <w:rPr>
                <w:webHidden/>
              </w:rPr>
              <w:tab/>
            </w:r>
            <w:r>
              <w:rPr>
                <w:webHidden/>
              </w:rPr>
              <w:fldChar w:fldCharType="begin"/>
            </w:r>
            <w:r>
              <w:rPr>
                <w:webHidden/>
              </w:rPr>
              <w:instrText xml:space="preserve"> PAGEREF _Toc153899514 \h </w:instrText>
            </w:r>
            <w:r>
              <w:rPr>
                <w:webHidden/>
              </w:rPr>
            </w:r>
            <w:r>
              <w:rPr>
                <w:webHidden/>
              </w:rPr>
              <w:fldChar w:fldCharType="separate"/>
            </w:r>
            <w:r w:rsidR="00116DC6">
              <w:rPr>
                <w:webHidden/>
              </w:rPr>
              <w:t>63</w:t>
            </w:r>
            <w:r>
              <w:rPr>
                <w:webHidden/>
              </w:rPr>
              <w:fldChar w:fldCharType="end"/>
            </w:r>
          </w:hyperlink>
        </w:p>
        <w:p w14:paraId="7CE04456" w14:textId="348CFAED" w:rsidR="00AF7557" w:rsidRDefault="00AF7557">
          <w:pPr>
            <w:pStyle w:val="TOC3"/>
            <w:tabs>
              <w:tab w:val="left" w:pos="1233"/>
            </w:tabs>
            <w:rPr>
              <w:rFonts w:eastAsiaTheme="minorEastAsia"/>
              <w:kern w:val="2"/>
              <w:lang w:eastAsia="en-AU"/>
              <w14:ligatures w14:val="standardContextual"/>
            </w:rPr>
          </w:pPr>
          <w:hyperlink w:anchor="_Toc153899515" w:history="1">
            <w:r w:rsidRPr="00B10F40">
              <w:rPr>
                <w:rStyle w:val="Hyperlink"/>
              </w:rPr>
              <w:t>4.3.2</w:t>
            </w:r>
            <w:r>
              <w:rPr>
                <w:rFonts w:eastAsiaTheme="minorEastAsia"/>
                <w:kern w:val="2"/>
                <w:lang w:eastAsia="en-AU"/>
                <w14:ligatures w14:val="standardContextual"/>
              </w:rPr>
              <w:tab/>
            </w:r>
            <w:r w:rsidRPr="00B10F40">
              <w:rPr>
                <w:rStyle w:val="Hyperlink"/>
              </w:rPr>
              <w:t>Bisexual people and other marginalised sexual orientations</w:t>
            </w:r>
            <w:r>
              <w:rPr>
                <w:webHidden/>
              </w:rPr>
              <w:tab/>
            </w:r>
            <w:r>
              <w:rPr>
                <w:webHidden/>
              </w:rPr>
              <w:fldChar w:fldCharType="begin"/>
            </w:r>
            <w:r>
              <w:rPr>
                <w:webHidden/>
              </w:rPr>
              <w:instrText xml:space="preserve"> PAGEREF _Toc153899515 \h </w:instrText>
            </w:r>
            <w:r>
              <w:rPr>
                <w:webHidden/>
              </w:rPr>
            </w:r>
            <w:r>
              <w:rPr>
                <w:webHidden/>
              </w:rPr>
              <w:fldChar w:fldCharType="separate"/>
            </w:r>
            <w:r w:rsidR="00116DC6">
              <w:rPr>
                <w:webHidden/>
              </w:rPr>
              <w:t>66</w:t>
            </w:r>
            <w:r>
              <w:rPr>
                <w:webHidden/>
              </w:rPr>
              <w:fldChar w:fldCharType="end"/>
            </w:r>
          </w:hyperlink>
        </w:p>
        <w:p w14:paraId="42AA8C81" w14:textId="040CDBCF" w:rsidR="00AF7557" w:rsidRDefault="00AF7557">
          <w:pPr>
            <w:pStyle w:val="TOC2"/>
            <w:tabs>
              <w:tab w:val="left" w:pos="851"/>
            </w:tabs>
            <w:rPr>
              <w:rFonts w:eastAsiaTheme="minorEastAsia"/>
              <w:noProof/>
              <w:kern w:val="2"/>
              <w:lang w:eastAsia="en-AU"/>
              <w14:ligatures w14:val="standardContextual"/>
            </w:rPr>
          </w:pPr>
          <w:hyperlink w:anchor="_Toc153899516" w:history="1">
            <w:r w:rsidRPr="00B10F40">
              <w:rPr>
                <w:rStyle w:val="Hyperlink"/>
                <w:noProof/>
              </w:rPr>
              <w:t>4.4</w:t>
            </w:r>
            <w:r>
              <w:rPr>
                <w:rFonts w:eastAsiaTheme="minorEastAsia"/>
                <w:noProof/>
                <w:kern w:val="2"/>
                <w:lang w:eastAsia="en-AU"/>
                <w14:ligatures w14:val="standardContextual"/>
              </w:rPr>
              <w:tab/>
            </w:r>
            <w:r w:rsidRPr="00B10F40">
              <w:rPr>
                <w:rStyle w:val="Hyperlink"/>
                <w:noProof/>
              </w:rPr>
              <w:t>First Nations LGBTQ+SB people</w:t>
            </w:r>
            <w:r>
              <w:rPr>
                <w:noProof/>
                <w:webHidden/>
              </w:rPr>
              <w:tab/>
            </w:r>
            <w:r>
              <w:rPr>
                <w:noProof/>
                <w:webHidden/>
              </w:rPr>
              <w:fldChar w:fldCharType="begin"/>
            </w:r>
            <w:r>
              <w:rPr>
                <w:noProof/>
                <w:webHidden/>
              </w:rPr>
              <w:instrText xml:space="preserve"> PAGEREF _Toc153899516 \h </w:instrText>
            </w:r>
            <w:r>
              <w:rPr>
                <w:noProof/>
                <w:webHidden/>
              </w:rPr>
            </w:r>
            <w:r>
              <w:rPr>
                <w:noProof/>
                <w:webHidden/>
              </w:rPr>
              <w:fldChar w:fldCharType="separate"/>
            </w:r>
            <w:r w:rsidR="00116DC6">
              <w:rPr>
                <w:noProof/>
                <w:webHidden/>
              </w:rPr>
              <w:t>67</w:t>
            </w:r>
            <w:r>
              <w:rPr>
                <w:noProof/>
                <w:webHidden/>
              </w:rPr>
              <w:fldChar w:fldCharType="end"/>
            </w:r>
          </w:hyperlink>
        </w:p>
        <w:p w14:paraId="23DD150B" w14:textId="055F4935" w:rsidR="00AF7557" w:rsidRDefault="00AF7557">
          <w:pPr>
            <w:pStyle w:val="TOC2"/>
            <w:tabs>
              <w:tab w:val="left" w:pos="851"/>
            </w:tabs>
            <w:rPr>
              <w:rFonts w:eastAsiaTheme="minorEastAsia"/>
              <w:noProof/>
              <w:kern w:val="2"/>
              <w:lang w:eastAsia="en-AU"/>
              <w14:ligatures w14:val="standardContextual"/>
            </w:rPr>
          </w:pPr>
          <w:hyperlink w:anchor="_Toc153899517" w:history="1">
            <w:r w:rsidRPr="00B10F40">
              <w:rPr>
                <w:rStyle w:val="Hyperlink"/>
                <w:noProof/>
              </w:rPr>
              <w:t>4.5</w:t>
            </w:r>
            <w:r>
              <w:rPr>
                <w:rFonts w:eastAsiaTheme="minorEastAsia"/>
                <w:noProof/>
                <w:kern w:val="2"/>
                <w:lang w:eastAsia="en-AU"/>
                <w14:ligatures w14:val="standardContextual"/>
              </w:rPr>
              <w:tab/>
            </w:r>
            <w:r w:rsidRPr="00B10F40">
              <w:rPr>
                <w:rStyle w:val="Hyperlink"/>
                <w:noProof/>
              </w:rPr>
              <w:t>Stressors related to intersectional identities</w:t>
            </w:r>
            <w:r>
              <w:rPr>
                <w:noProof/>
                <w:webHidden/>
              </w:rPr>
              <w:tab/>
            </w:r>
            <w:r>
              <w:rPr>
                <w:noProof/>
                <w:webHidden/>
              </w:rPr>
              <w:fldChar w:fldCharType="begin"/>
            </w:r>
            <w:r>
              <w:rPr>
                <w:noProof/>
                <w:webHidden/>
              </w:rPr>
              <w:instrText xml:space="preserve"> PAGEREF _Toc153899517 \h </w:instrText>
            </w:r>
            <w:r>
              <w:rPr>
                <w:noProof/>
                <w:webHidden/>
              </w:rPr>
            </w:r>
            <w:r>
              <w:rPr>
                <w:noProof/>
                <w:webHidden/>
              </w:rPr>
              <w:fldChar w:fldCharType="separate"/>
            </w:r>
            <w:r w:rsidR="00116DC6">
              <w:rPr>
                <w:noProof/>
                <w:webHidden/>
              </w:rPr>
              <w:t>70</w:t>
            </w:r>
            <w:r>
              <w:rPr>
                <w:noProof/>
                <w:webHidden/>
              </w:rPr>
              <w:fldChar w:fldCharType="end"/>
            </w:r>
          </w:hyperlink>
        </w:p>
        <w:p w14:paraId="737D1B36" w14:textId="0B7BE82D" w:rsidR="00AF7557" w:rsidRDefault="00AF7557">
          <w:pPr>
            <w:pStyle w:val="TOC3"/>
            <w:tabs>
              <w:tab w:val="left" w:pos="1233"/>
            </w:tabs>
            <w:rPr>
              <w:rFonts w:eastAsiaTheme="minorEastAsia"/>
              <w:kern w:val="2"/>
              <w:lang w:eastAsia="en-AU"/>
              <w14:ligatures w14:val="standardContextual"/>
            </w:rPr>
          </w:pPr>
          <w:hyperlink w:anchor="_Toc153899518" w:history="1">
            <w:r w:rsidRPr="00B10F40">
              <w:rPr>
                <w:rStyle w:val="Hyperlink"/>
              </w:rPr>
              <w:t>4.5.1</w:t>
            </w:r>
            <w:r>
              <w:rPr>
                <w:rFonts w:eastAsiaTheme="minorEastAsia"/>
                <w:kern w:val="2"/>
                <w:lang w:eastAsia="en-AU"/>
                <w14:ligatures w14:val="standardContextual"/>
              </w:rPr>
              <w:tab/>
            </w:r>
            <w:r w:rsidRPr="00B10F40">
              <w:rPr>
                <w:rStyle w:val="Hyperlink"/>
              </w:rPr>
              <w:t>Age</w:t>
            </w:r>
            <w:r>
              <w:rPr>
                <w:webHidden/>
              </w:rPr>
              <w:tab/>
            </w:r>
            <w:r>
              <w:rPr>
                <w:webHidden/>
              </w:rPr>
              <w:fldChar w:fldCharType="begin"/>
            </w:r>
            <w:r>
              <w:rPr>
                <w:webHidden/>
              </w:rPr>
              <w:instrText xml:space="preserve"> PAGEREF _Toc153899518 \h </w:instrText>
            </w:r>
            <w:r>
              <w:rPr>
                <w:webHidden/>
              </w:rPr>
            </w:r>
            <w:r>
              <w:rPr>
                <w:webHidden/>
              </w:rPr>
              <w:fldChar w:fldCharType="separate"/>
            </w:r>
            <w:r w:rsidR="00116DC6">
              <w:rPr>
                <w:webHidden/>
              </w:rPr>
              <w:t>70</w:t>
            </w:r>
            <w:r>
              <w:rPr>
                <w:webHidden/>
              </w:rPr>
              <w:fldChar w:fldCharType="end"/>
            </w:r>
          </w:hyperlink>
        </w:p>
        <w:p w14:paraId="2189ED1E" w14:textId="6AAAA44A" w:rsidR="00AF7557" w:rsidRDefault="00AF7557">
          <w:pPr>
            <w:pStyle w:val="TOC3"/>
            <w:tabs>
              <w:tab w:val="left" w:pos="1233"/>
            </w:tabs>
            <w:rPr>
              <w:rFonts w:eastAsiaTheme="minorEastAsia"/>
              <w:kern w:val="2"/>
              <w:lang w:eastAsia="en-AU"/>
              <w14:ligatures w14:val="standardContextual"/>
            </w:rPr>
          </w:pPr>
          <w:hyperlink w:anchor="_Toc153899519" w:history="1">
            <w:r w:rsidRPr="00B10F40">
              <w:rPr>
                <w:rStyle w:val="Hyperlink"/>
              </w:rPr>
              <w:t>4.5.2</w:t>
            </w:r>
            <w:r>
              <w:rPr>
                <w:rFonts w:eastAsiaTheme="minorEastAsia"/>
                <w:kern w:val="2"/>
                <w:lang w:eastAsia="en-AU"/>
                <w14:ligatures w14:val="standardContextual"/>
              </w:rPr>
              <w:tab/>
            </w:r>
            <w:r w:rsidRPr="00B10F40">
              <w:rPr>
                <w:rStyle w:val="Hyperlink"/>
              </w:rPr>
              <w:t>LGBTQ+ people from CALD backgrounds</w:t>
            </w:r>
            <w:r>
              <w:rPr>
                <w:webHidden/>
              </w:rPr>
              <w:tab/>
            </w:r>
            <w:r>
              <w:rPr>
                <w:webHidden/>
              </w:rPr>
              <w:fldChar w:fldCharType="begin"/>
            </w:r>
            <w:r>
              <w:rPr>
                <w:webHidden/>
              </w:rPr>
              <w:instrText xml:space="preserve"> PAGEREF _Toc153899519 \h </w:instrText>
            </w:r>
            <w:r>
              <w:rPr>
                <w:webHidden/>
              </w:rPr>
            </w:r>
            <w:r>
              <w:rPr>
                <w:webHidden/>
              </w:rPr>
              <w:fldChar w:fldCharType="separate"/>
            </w:r>
            <w:r w:rsidR="00116DC6">
              <w:rPr>
                <w:webHidden/>
              </w:rPr>
              <w:t>72</w:t>
            </w:r>
            <w:r>
              <w:rPr>
                <w:webHidden/>
              </w:rPr>
              <w:fldChar w:fldCharType="end"/>
            </w:r>
          </w:hyperlink>
        </w:p>
        <w:p w14:paraId="435A4D2C" w14:textId="18473659" w:rsidR="00AF7557" w:rsidRDefault="00AF7557">
          <w:pPr>
            <w:pStyle w:val="TOC3"/>
            <w:tabs>
              <w:tab w:val="left" w:pos="1233"/>
            </w:tabs>
            <w:rPr>
              <w:rFonts w:eastAsiaTheme="minorEastAsia"/>
              <w:kern w:val="2"/>
              <w:lang w:eastAsia="en-AU"/>
              <w14:ligatures w14:val="standardContextual"/>
            </w:rPr>
          </w:pPr>
          <w:hyperlink w:anchor="_Toc153899520" w:history="1">
            <w:r w:rsidRPr="00B10F40">
              <w:rPr>
                <w:rStyle w:val="Hyperlink"/>
              </w:rPr>
              <w:t>4.5.3</w:t>
            </w:r>
            <w:r>
              <w:rPr>
                <w:rFonts w:eastAsiaTheme="minorEastAsia"/>
                <w:kern w:val="2"/>
                <w:lang w:eastAsia="en-AU"/>
                <w14:ligatures w14:val="standardContextual"/>
              </w:rPr>
              <w:tab/>
            </w:r>
            <w:r w:rsidRPr="00B10F40">
              <w:rPr>
                <w:rStyle w:val="Hyperlink"/>
              </w:rPr>
              <w:t>LGBTQ+ people with a disability</w:t>
            </w:r>
            <w:r>
              <w:rPr>
                <w:webHidden/>
              </w:rPr>
              <w:tab/>
            </w:r>
            <w:r>
              <w:rPr>
                <w:webHidden/>
              </w:rPr>
              <w:fldChar w:fldCharType="begin"/>
            </w:r>
            <w:r>
              <w:rPr>
                <w:webHidden/>
              </w:rPr>
              <w:instrText xml:space="preserve"> PAGEREF _Toc153899520 \h </w:instrText>
            </w:r>
            <w:r>
              <w:rPr>
                <w:webHidden/>
              </w:rPr>
            </w:r>
            <w:r>
              <w:rPr>
                <w:webHidden/>
              </w:rPr>
              <w:fldChar w:fldCharType="separate"/>
            </w:r>
            <w:r w:rsidR="00116DC6">
              <w:rPr>
                <w:webHidden/>
              </w:rPr>
              <w:t>73</w:t>
            </w:r>
            <w:r>
              <w:rPr>
                <w:webHidden/>
              </w:rPr>
              <w:fldChar w:fldCharType="end"/>
            </w:r>
          </w:hyperlink>
        </w:p>
        <w:p w14:paraId="7A4F7071" w14:textId="3D290899" w:rsidR="00AF7557" w:rsidRDefault="00AF7557">
          <w:pPr>
            <w:pStyle w:val="TOC2"/>
            <w:tabs>
              <w:tab w:val="left" w:pos="851"/>
            </w:tabs>
            <w:rPr>
              <w:rFonts w:eastAsiaTheme="minorEastAsia"/>
              <w:noProof/>
              <w:kern w:val="2"/>
              <w:lang w:eastAsia="en-AU"/>
              <w14:ligatures w14:val="standardContextual"/>
            </w:rPr>
          </w:pPr>
          <w:hyperlink w:anchor="_Toc153899521" w:history="1">
            <w:r w:rsidRPr="00B10F40">
              <w:rPr>
                <w:rStyle w:val="Hyperlink"/>
                <w:noProof/>
              </w:rPr>
              <w:t>4.6</w:t>
            </w:r>
            <w:r>
              <w:rPr>
                <w:rFonts w:eastAsiaTheme="minorEastAsia"/>
                <w:noProof/>
                <w:kern w:val="2"/>
                <w:lang w:eastAsia="en-AU"/>
                <w14:ligatures w14:val="standardContextual"/>
              </w:rPr>
              <w:tab/>
            </w:r>
            <w:r w:rsidRPr="00B10F40">
              <w:rPr>
                <w:rStyle w:val="Hyperlink"/>
                <w:noProof/>
              </w:rPr>
              <w:t>Other Lived Experiences and Complexities</w:t>
            </w:r>
            <w:r>
              <w:rPr>
                <w:noProof/>
                <w:webHidden/>
              </w:rPr>
              <w:tab/>
            </w:r>
            <w:r>
              <w:rPr>
                <w:noProof/>
                <w:webHidden/>
              </w:rPr>
              <w:fldChar w:fldCharType="begin"/>
            </w:r>
            <w:r>
              <w:rPr>
                <w:noProof/>
                <w:webHidden/>
              </w:rPr>
              <w:instrText xml:space="preserve"> PAGEREF _Toc153899521 \h </w:instrText>
            </w:r>
            <w:r>
              <w:rPr>
                <w:noProof/>
                <w:webHidden/>
              </w:rPr>
            </w:r>
            <w:r>
              <w:rPr>
                <w:noProof/>
                <w:webHidden/>
              </w:rPr>
              <w:fldChar w:fldCharType="separate"/>
            </w:r>
            <w:r w:rsidR="00116DC6">
              <w:rPr>
                <w:noProof/>
                <w:webHidden/>
              </w:rPr>
              <w:t>75</w:t>
            </w:r>
            <w:r>
              <w:rPr>
                <w:noProof/>
                <w:webHidden/>
              </w:rPr>
              <w:fldChar w:fldCharType="end"/>
            </w:r>
          </w:hyperlink>
        </w:p>
        <w:p w14:paraId="549988A0" w14:textId="0C58AFD8" w:rsidR="00AF7557" w:rsidRDefault="00AF7557">
          <w:pPr>
            <w:pStyle w:val="TOC3"/>
            <w:tabs>
              <w:tab w:val="left" w:pos="1233"/>
            </w:tabs>
            <w:rPr>
              <w:rFonts w:eastAsiaTheme="minorEastAsia"/>
              <w:kern w:val="2"/>
              <w:lang w:eastAsia="en-AU"/>
              <w14:ligatures w14:val="standardContextual"/>
            </w:rPr>
          </w:pPr>
          <w:hyperlink w:anchor="_Toc153899522" w:history="1">
            <w:r w:rsidRPr="00B10F40">
              <w:rPr>
                <w:rStyle w:val="Hyperlink"/>
              </w:rPr>
              <w:t>4.6.1</w:t>
            </w:r>
            <w:r>
              <w:rPr>
                <w:rFonts w:eastAsiaTheme="minorEastAsia"/>
                <w:kern w:val="2"/>
                <w:lang w:eastAsia="en-AU"/>
                <w14:ligatures w14:val="standardContextual"/>
              </w:rPr>
              <w:tab/>
            </w:r>
            <w:r w:rsidRPr="00B10F40">
              <w:rPr>
                <w:rStyle w:val="Hyperlink"/>
              </w:rPr>
              <w:t>Employment and housing</w:t>
            </w:r>
            <w:r>
              <w:rPr>
                <w:webHidden/>
              </w:rPr>
              <w:tab/>
            </w:r>
            <w:r>
              <w:rPr>
                <w:webHidden/>
              </w:rPr>
              <w:fldChar w:fldCharType="begin"/>
            </w:r>
            <w:r>
              <w:rPr>
                <w:webHidden/>
              </w:rPr>
              <w:instrText xml:space="preserve"> PAGEREF _Toc153899522 \h </w:instrText>
            </w:r>
            <w:r>
              <w:rPr>
                <w:webHidden/>
              </w:rPr>
            </w:r>
            <w:r>
              <w:rPr>
                <w:webHidden/>
              </w:rPr>
              <w:fldChar w:fldCharType="separate"/>
            </w:r>
            <w:r w:rsidR="00116DC6">
              <w:rPr>
                <w:webHidden/>
              </w:rPr>
              <w:t>75</w:t>
            </w:r>
            <w:r>
              <w:rPr>
                <w:webHidden/>
              </w:rPr>
              <w:fldChar w:fldCharType="end"/>
            </w:r>
          </w:hyperlink>
        </w:p>
        <w:p w14:paraId="211B396B" w14:textId="68045CE9" w:rsidR="00AF7557" w:rsidRDefault="00AF7557">
          <w:pPr>
            <w:pStyle w:val="TOC3"/>
            <w:tabs>
              <w:tab w:val="left" w:pos="1233"/>
            </w:tabs>
            <w:rPr>
              <w:rFonts w:eastAsiaTheme="minorEastAsia"/>
              <w:kern w:val="2"/>
              <w:lang w:eastAsia="en-AU"/>
              <w14:ligatures w14:val="standardContextual"/>
            </w:rPr>
          </w:pPr>
          <w:hyperlink w:anchor="_Toc153899523" w:history="1">
            <w:r w:rsidRPr="00B10F40">
              <w:rPr>
                <w:rStyle w:val="Hyperlink"/>
              </w:rPr>
              <w:t>4.6.2</w:t>
            </w:r>
            <w:r>
              <w:rPr>
                <w:rFonts w:eastAsiaTheme="minorEastAsia"/>
                <w:kern w:val="2"/>
                <w:lang w:eastAsia="en-AU"/>
                <w14:ligatures w14:val="standardContextual"/>
              </w:rPr>
              <w:tab/>
            </w:r>
            <w:r w:rsidRPr="00B10F40">
              <w:rPr>
                <w:rStyle w:val="Hyperlink"/>
              </w:rPr>
              <w:t>Substance use</w:t>
            </w:r>
            <w:r>
              <w:rPr>
                <w:webHidden/>
              </w:rPr>
              <w:tab/>
            </w:r>
            <w:r>
              <w:rPr>
                <w:webHidden/>
              </w:rPr>
              <w:fldChar w:fldCharType="begin"/>
            </w:r>
            <w:r>
              <w:rPr>
                <w:webHidden/>
              </w:rPr>
              <w:instrText xml:space="preserve"> PAGEREF _Toc153899523 \h </w:instrText>
            </w:r>
            <w:r>
              <w:rPr>
                <w:webHidden/>
              </w:rPr>
            </w:r>
            <w:r>
              <w:rPr>
                <w:webHidden/>
              </w:rPr>
              <w:fldChar w:fldCharType="separate"/>
            </w:r>
            <w:r w:rsidR="00116DC6">
              <w:rPr>
                <w:webHidden/>
              </w:rPr>
              <w:t>76</w:t>
            </w:r>
            <w:r>
              <w:rPr>
                <w:webHidden/>
              </w:rPr>
              <w:fldChar w:fldCharType="end"/>
            </w:r>
          </w:hyperlink>
        </w:p>
        <w:p w14:paraId="2C7688CD" w14:textId="1C903833" w:rsidR="00AF7557" w:rsidRDefault="00AF7557">
          <w:pPr>
            <w:pStyle w:val="TOC3"/>
            <w:tabs>
              <w:tab w:val="left" w:pos="1233"/>
            </w:tabs>
            <w:rPr>
              <w:rFonts w:eastAsiaTheme="minorEastAsia"/>
              <w:kern w:val="2"/>
              <w:lang w:eastAsia="en-AU"/>
              <w14:ligatures w14:val="standardContextual"/>
            </w:rPr>
          </w:pPr>
          <w:hyperlink w:anchor="_Toc153899524" w:history="1">
            <w:r w:rsidRPr="00B10F40">
              <w:rPr>
                <w:rStyle w:val="Hyperlink"/>
              </w:rPr>
              <w:t>4.6.3</w:t>
            </w:r>
            <w:r>
              <w:rPr>
                <w:rFonts w:eastAsiaTheme="minorEastAsia"/>
                <w:kern w:val="2"/>
                <w:lang w:eastAsia="en-AU"/>
                <w14:ligatures w14:val="standardContextual"/>
              </w:rPr>
              <w:tab/>
            </w:r>
            <w:r w:rsidRPr="00B10F40">
              <w:rPr>
                <w:rStyle w:val="Hyperlink"/>
              </w:rPr>
              <w:t>Criminal Justice System</w:t>
            </w:r>
            <w:r>
              <w:rPr>
                <w:webHidden/>
              </w:rPr>
              <w:tab/>
            </w:r>
            <w:r>
              <w:rPr>
                <w:webHidden/>
              </w:rPr>
              <w:fldChar w:fldCharType="begin"/>
            </w:r>
            <w:r>
              <w:rPr>
                <w:webHidden/>
              </w:rPr>
              <w:instrText xml:space="preserve"> PAGEREF _Toc153899524 \h </w:instrText>
            </w:r>
            <w:r>
              <w:rPr>
                <w:webHidden/>
              </w:rPr>
            </w:r>
            <w:r>
              <w:rPr>
                <w:webHidden/>
              </w:rPr>
              <w:fldChar w:fldCharType="separate"/>
            </w:r>
            <w:r w:rsidR="00116DC6">
              <w:rPr>
                <w:webHidden/>
              </w:rPr>
              <w:t>77</w:t>
            </w:r>
            <w:r>
              <w:rPr>
                <w:webHidden/>
              </w:rPr>
              <w:fldChar w:fldCharType="end"/>
            </w:r>
          </w:hyperlink>
        </w:p>
        <w:p w14:paraId="5A6AEC86" w14:textId="28BDFDE0" w:rsidR="00AF7557" w:rsidRDefault="00AF7557">
          <w:pPr>
            <w:pStyle w:val="TOC3"/>
            <w:tabs>
              <w:tab w:val="left" w:pos="1233"/>
            </w:tabs>
            <w:rPr>
              <w:rFonts w:eastAsiaTheme="minorEastAsia"/>
              <w:kern w:val="2"/>
              <w:lang w:eastAsia="en-AU"/>
              <w14:ligatures w14:val="standardContextual"/>
            </w:rPr>
          </w:pPr>
          <w:hyperlink w:anchor="_Toc153899525" w:history="1">
            <w:r w:rsidRPr="00B10F40">
              <w:rPr>
                <w:rStyle w:val="Hyperlink"/>
              </w:rPr>
              <w:t>4.6.4</w:t>
            </w:r>
            <w:r>
              <w:rPr>
                <w:rFonts w:eastAsiaTheme="minorEastAsia"/>
                <w:kern w:val="2"/>
                <w:lang w:eastAsia="en-AU"/>
                <w14:ligatures w14:val="standardContextual"/>
              </w:rPr>
              <w:tab/>
            </w:r>
            <w:r w:rsidRPr="00B10F40">
              <w:rPr>
                <w:rStyle w:val="Hyperlink"/>
              </w:rPr>
              <w:t>Out-of-home care</w:t>
            </w:r>
            <w:r>
              <w:rPr>
                <w:webHidden/>
              </w:rPr>
              <w:tab/>
            </w:r>
            <w:r>
              <w:rPr>
                <w:webHidden/>
              </w:rPr>
              <w:fldChar w:fldCharType="begin"/>
            </w:r>
            <w:r>
              <w:rPr>
                <w:webHidden/>
              </w:rPr>
              <w:instrText xml:space="preserve"> PAGEREF _Toc153899525 \h </w:instrText>
            </w:r>
            <w:r>
              <w:rPr>
                <w:webHidden/>
              </w:rPr>
            </w:r>
            <w:r>
              <w:rPr>
                <w:webHidden/>
              </w:rPr>
              <w:fldChar w:fldCharType="separate"/>
            </w:r>
            <w:r w:rsidR="00116DC6">
              <w:rPr>
                <w:webHidden/>
              </w:rPr>
              <w:t>78</w:t>
            </w:r>
            <w:r>
              <w:rPr>
                <w:webHidden/>
              </w:rPr>
              <w:fldChar w:fldCharType="end"/>
            </w:r>
          </w:hyperlink>
        </w:p>
        <w:p w14:paraId="5300B888" w14:textId="629A95B8" w:rsidR="00AF7557" w:rsidRDefault="00AF7557">
          <w:pPr>
            <w:pStyle w:val="TOC1"/>
            <w:tabs>
              <w:tab w:val="left" w:pos="567"/>
            </w:tabs>
            <w:rPr>
              <w:rFonts w:eastAsiaTheme="minorEastAsia"/>
              <w:b w:val="0"/>
              <w:kern w:val="2"/>
              <w:lang w:eastAsia="en-AU"/>
              <w14:ligatures w14:val="standardContextual"/>
            </w:rPr>
          </w:pPr>
          <w:hyperlink w:anchor="_Toc153899526" w:history="1">
            <w:r w:rsidRPr="00B10F40">
              <w:rPr>
                <w:rStyle w:val="Hyperlink"/>
              </w:rPr>
              <w:t>5</w:t>
            </w:r>
            <w:r>
              <w:rPr>
                <w:rFonts w:eastAsiaTheme="minorEastAsia"/>
                <w:b w:val="0"/>
                <w:kern w:val="2"/>
                <w:lang w:eastAsia="en-AU"/>
                <w14:ligatures w14:val="standardContextual"/>
              </w:rPr>
              <w:tab/>
            </w:r>
            <w:r w:rsidRPr="00B10F40">
              <w:rPr>
                <w:rStyle w:val="Hyperlink"/>
              </w:rPr>
              <w:t>Summary Applied SLR Findings</w:t>
            </w:r>
            <w:r>
              <w:rPr>
                <w:webHidden/>
              </w:rPr>
              <w:tab/>
            </w:r>
            <w:r>
              <w:rPr>
                <w:webHidden/>
              </w:rPr>
              <w:fldChar w:fldCharType="begin"/>
            </w:r>
            <w:r>
              <w:rPr>
                <w:webHidden/>
              </w:rPr>
              <w:instrText xml:space="preserve"> PAGEREF _Toc153899526 \h </w:instrText>
            </w:r>
            <w:r>
              <w:rPr>
                <w:webHidden/>
              </w:rPr>
            </w:r>
            <w:r>
              <w:rPr>
                <w:webHidden/>
              </w:rPr>
              <w:fldChar w:fldCharType="separate"/>
            </w:r>
            <w:r w:rsidR="00116DC6">
              <w:rPr>
                <w:webHidden/>
              </w:rPr>
              <w:t>81</w:t>
            </w:r>
            <w:r>
              <w:rPr>
                <w:webHidden/>
              </w:rPr>
              <w:fldChar w:fldCharType="end"/>
            </w:r>
          </w:hyperlink>
        </w:p>
        <w:p w14:paraId="5DB409CE" w14:textId="334ED56E" w:rsidR="00AF7557" w:rsidRDefault="00AF7557">
          <w:pPr>
            <w:pStyle w:val="TOC2"/>
            <w:tabs>
              <w:tab w:val="left" w:pos="851"/>
            </w:tabs>
            <w:rPr>
              <w:rFonts w:eastAsiaTheme="minorEastAsia"/>
              <w:noProof/>
              <w:kern w:val="2"/>
              <w:lang w:eastAsia="en-AU"/>
              <w14:ligatures w14:val="standardContextual"/>
            </w:rPr>
          </w:pPr>
          <w:hyperlink w:anchor="_Toc153899527" w:history="1">
            <w:r w:rsidRPr="00B10F40">
              <w:rPr>
                <w:rStyle w:val="Hyperlink"/>
                <w:noProof/>
              </w:rPr>
              <w:t>5.1</w:t>
            </w:r>
            <w:r>
              <w:rPr>
                <w:rFonts w:eastAsiaTheme="minorEastAsia"/>
                <w:noProof/>
                <w:kern w:val="2"/>
                <w:lang w:eastAsia="en-AU"/>
                <w14:ligatures w14:val="standardContextual"/>
              </w:rPr>
              <w:tab/>
            </w:r>
            <w:r w:rsidRPr="00B10F40">
              <w:rPr>
                <w:rStyle w:val="Hyperlink"/>
                <w:noProof/>
              </w:rPr>
              <w:t>Overall Applied SLR findings</w:t>
            </w:r>
            <w:r>
              <w:rPr>
                <w:noProof/>
                <w:webHidden/>
              </w:rPr>
              <w:tab/>
            </w:r>
            <w:r>
              <w:rPr>
                <w:noProof/>
                <w:webHidden/>
              </w:rPr>
              <w:fldChar w:fldCharType="begin"/>
            </w:r>
            <w:r>
              <w:rPr>
                <w:noProof/>
                <w:webHidden/>
              </w:rPr>
              <w:instrText xml:space="preserve"> PAGEREF _Toc153899527 \h </w:instrText>
            </w:r>
            <w:r>
              <w:rPr>
                <w:noProof/>
                <w:webHidden/>
              </w:rPr>
            </w:r>
            <w:r>
              <w:rPr>
                <w:noProof/>
                <w:webHidden/>
              </w:rPr>
              <w:fldChar w:fldCharType="separate"/>
            </w:r>
            <w:r w:rsidR="00116DC6">
              <w:rPr>
                <w:noProof/>
                <w:webHidden/>
              </w:rPr>
              <w:t>81</w:t>
            </w:r>
            <w:r>
              <w:rPr>
                <w:noProof/>
                <w:webHidden/>
              </w:rPr>
              <w:fldChar w:fldCharType="end"/>
            </w:r>
          </w:hyperlink>
        </w:p>
        <w:p w14:paraId="5EE8F9DA" w14:textId="372D216C" w:rsidR="00AF7557" w:rsidRDefault="00AF7557">
          <w:pPr>
            <w:pStyle w:val="TOC3"/>
            <w:tabs>
              <w:tab w:val="left" w:pos="1233"/>
            </w:tabs>
            <w:rPr>
              <w:rFonts w:eastAsiaTheme="minorEastAsia"/>
              <w:kern w:val="2"/>
              <w:lang w:eastAsia="en-AU"/>
              <w14:ligatures w14:val="standardContextual"/>
            </w:rPr>
          </w:pPr>
          <w:hyperlink w:anchor="_Toc153899528" w:history="1">
            <w:r w:rsidRPr="00B10F40">
              <w:rPr>
                <w:rStyle w:val="Hyperlink"/>
              </w:rPr>
              <w:t>5.1.1</w:t>
            </w:r>
            <w:r>
              <w:rPr>
                <w:rFonts w:eastAsiaTheme="minorEastAsia"/>
                <w:kern w:val="2"/>
                <w:lang w:eastAsia="en-AU"/>
                <w14:ligatures w14:val="standardContextual"/>
              </w:rPr>
              <w:tab/>
            </w:r>
            <w:r w:rsidRPr="00B10F40">
              <w:rPr>
                <w:rStyle w:val="Hyperlink"/>
              </w:rPr>
              <w:t>What services are available and provided to LGBTQ+ peoples?</w:t>
            </w:r>
            <w:r>
              <w:rPr>
                <w:webHidden/>
              </w:rPr>
              <w:tab/>
            </w:r>
            <w:r>
              <w:rPr>
                <w:webHidden/>
              </w:rPr>
              <w:fldChar w:fldCharType="begin"/>
            </w:r>
            <w:r>
              <w:rPr>
                <w:webHidden/>
              </w:rPr>
              <w:instrText xml:space="preserve"> PAGEREF _Toc153899528 \h </w:instrText>
            </w:r>
            <w:r>
              <w:rPr>
                <w:webHidden/>
              </w:rPr>
            </w:r>
            <w:r>
              <w:rPr>
                <w:webHidden/>
              </w:rPr>
              <w:fldChar w:fldCharType="separate"/>
            </w:r>
            <w:r w:rsidR="00116DC6">
              <w:rPr>
                <w:webHidden/>
              </w:rPr>
              <w:t>81</w:t>
            </w:r>
            <w:r>
              <w:rPr>
                <w:webHidden/>
              </w:rPr>
              <w:fldChar w:fldCharType="end"/>
            </w:r>
          </w:hyperlink>
        </w:p>
        <w:p w14:paraId="2AC60E1E" w14:textId="0353FFE5" w:rsidR="00AF7557" w:rsidRDefault="00AF7557">
          <w:pPr>
            <w:pStyle w:val="TOC3"/>
            <w:tabs>
              <w:tab w:val="left" w:pos="1233"/>
            </w:tabs>
            <w:rPr>
              <w:rFonts w:eastAsiaTheme="minorEastAsia"/>
              <w:kern w:val="2"/>
              <w:lang w:eastAsia="en-AU"/>
              <w14:ligatures w14:val="standardContextual"/>
            </w:rPr>
          </w:pPr>
          <w:hyperlink w:anchor="_Toc153899529" w:history="1">
            <w:r w:rsidRPr="00B10F40">
              <w:rPr>
                <w:rStyle w:val="Hyperlink"/>
              </w:rPr>
              <w:t>5.1.2</w:t>
            </w:r>
            <w:r>
              <w:rPr>
                <w:rFonts w:eastAsiaTheme="minorEastAsia"/>
                <w:kern w:val="2"/>
                <w:lang w:eastAsia="en-AU"/>
                <w14:ligatures w14:val="standardContextual"/>
              </w:rPr>
              <w:tab/>
            </w:r>
            <w:r w:rsidRPr="00B10F40">
              <w:rPr>
                <w:rStyle w:val="Hyperlink"/>
              </w:rPr>
              <w:t>What services were found to be effective?</w:t>
            </w:r>
            <w:r>
              <w:rPr>
                <w:webHidden/>
              </w:rPr>
              <w:tab/>
            </w:r>
            <w:r>
              <w:rPr>
                <w:webHidden/>
              </w:rPr>
              <w:fldChar w:fldCharType="begin"/>
            </w:r>
            <w:r>
              <w:rPr>
                <w:webHidden/>
              </w:rPr>
              <w:instrText xml:space="preserve"> PAGEREF _Toc153899529 \h </w:instrText>
            </w:r>
            <w:r>
              <w:rPr>
                <w:webHidden/>
              </w:rPr>
            </w:r>
            <w:r>
              <w:rPr>
                <w:webHidden/>
              </w:rPr>
              <w:fldChar w:fldCharType="separate"/>
            </w:r>
            <w:r w:rsidR="00116DC6">
              <w:rPr>
                <w:webHidden/>
              </w:rPr>
              <w:t>82</w:t>
            </w:r>
            <w:r>
              <w:rPr>
                <w:webHidden/>
              </w:rPr>
              <w:fldChar w:fldCharType="end"/>
            </w:r>
          </w:hyperlink>
        </w:p>
        <w:p w14:paraId="0B185A49" w14:textId="54FDF455" w:rsidR="00AF7557" w:rsidRDefault="00AF7557">
          <w:pPr>
            <w:pStyle w:val="TOC3"/>
            <w:tabs>
              <w:tab w:val="left" w:pos="1233"/>
            </w:tabs>
            <w:rPr>
              <w:rFonts w:eastAsiaTheme="minorEastAsia"/>
              <w:kern w:val="2"/>
              <w:lang w:eastAsia="en-AU"/>
              <w14:ligatures w14:val="standardContextual"/>
            </w:rPr>
          </w:pPr>
          <w:hyperlink w:anchor="_Toc153899530" w:history="1">
            <w:r w:rsidRPr="00B10F40">
              <w:rPr>
                <w:rStyle w:val="Hyperlink"/>
              </w:rPr>
              <w:t>5.1.3</w:t>
            </w:r>
            <w:r>
              <w:rPr>
                <w:rFonts w:eastAsiaTheme="minorEastAsia"/>
                <w:kern w:val="2"/>
                <w:lang w:eastAsia="en-AU"/>
                <w14:ligatures w14:val="standardContextual"/>
              </w:rPr>
              <w:tab/>
            </w:r>
            <w:r w:rsidRPr="00B10F40">
              <w:rPr>
                <w:rStyle w:val="Hyperlink"/>
              </w:rPr>
              <w:t>What service gaps or barriers were identified and what were their details?</w:t>
            </w:r>
            <w:r>
              <w:rPr>
                <w:webHidden/>
              </w:rPr>
              <w:tab/>
            </w:r>
            <w:r>
              <w:rPr>
                <w:webHidden/>
              </w:rPr>
              <w:fldChar w:fldCharType="begin"/>
            </w:r>
            <w:r>
              <w:rPr>
                <w:webHidden/>
              </w:rPr>
              <w:instrText xml:space="preserve"> PAGEREF _Toc153899530 \h </w:instrText>
            </w:r>
            <w:r>
              <w:rPr>
                <w:webHidden/>
              </w:rPr>
            </w:r>
            <w:r>
              <w:rPr>
                <w:webHidden/>
              </w:rPr>
              <w:fldChar w:fldCharType="separate"/>
            </w:r>
            <w:r w:rsidR="00116DC6">
              <w:rPr>
                <w:webHidden/>
              </w:rPr>
              <w:t>85</w:t>
            </w:r>
            <w:r>
              <w:rPr>
                <w:webHidden/>
              </w:rPr>
              <w:fldChar w:fldCharType="end"/>
            </w:r>
          </w:hyperlink>
        </w:p>
        <w:p w14:paraId="404C5DA3" w14:textId="050C8D56" w:rsidR="00AF7557" w:rsidRDefault="00AF7557">
          <w:pPr>
            <w:pStyle w:val="TOC3"/>
            <w:tabs>
              <w:tab w:val="left" w:pos="1233"/>
            </w:tabs>
            <w:rPr>
              <w:rFonts w:eastAsiaTheme="minorEastAsia"/>
              <w:kern w:val="2"/>
              <w:lang w:eastAsia="en-AU"/>
              <w14:ligatures w14:val="standardContextual"/>
            </w:rPr>
          </w:pPr>
          <w:hyperlink w:anchor="_Toc153899531" w:history="1">
            <w:r w:rsidRPr="00B10F40">
              <w:rPr>
                <w:rStyle w:val="Hyperlink"/>
              </w:rPr>
              <w:t>5.1.4</w:t>
            </w:r>
            <w:r>
              <w:rPr>
                <w:rFonts w:eastAsiaTheme="minorEastAsia"/>
                <w:kern w:val="2"/>
                <w:lang w:eastAsia="en-AU"/>
                <w14:ligatures w14:val="standardContextual"/>
              </w:rPr>
              <w:tab/>
            </w:r>
            <w:r w:rsidRPr="00B10F40">
              <w:rPr>
                <w:rStyle w:val="Hyperlink"/>
              </w:rPr>
              <w:t>Lived experience interpretation</w:t>
            </w:r>
            <w:r>
              <w:rPr>
                <w:webHidden/>
              </w:rPr>
              <w:tab/>
            </w:r>
            <w:r>
              <w:rPr>
                <w:webHidden/>
              </w:rPr>
              <w:fldChar w:fldCharType="begin"/>
            </w:r>
            <w:r>
              <w:rPr>
                <w:webHidden/>
              </w:rPr>
              <w:instrText xml:space="preserve"> PAGEREF _Toc153899531 \h </w:instrText>
            </w:r>
            <w:r>
              <w:rPr>
                <w:webHidden/>
              </w:rPr>
            </w:r>
            <w:r>
              <w:rPr>
                <w:webHidden/>
              </w:rPr>
              <w:fldChar w:fldCharType="separate"/>
            </w:r>
            <w:r w:rsidR="00116DC6">
              <w:rPr>
                <w:webHidden/>
              </w:rPr>
              <w:t>87</w:t>
            </w:r>
            <w:r>
              <w:rPr>
                <w:webHidden/>
              </w:rPr>
              <w:fldChar w:fldCharType="end"/>
            </w:r>
          </w:hyperlink>
        </w:p>
        <w:p w14:paraId="4CB11C1E" w14:textId="2FBF5F97" w:rsidR="00AF7557" w:rsidRDefault="00AF7557">
          <w:pPr>
            <w:pStyle w:val="TOC2"/>
            <w:tabs>
              <w:tab w:val="left" w:pos="851"/>
            </w:tabs>
            <w:rPr>
              <w:rFonts w:eastAsiaTheme="minorEastAsia"/>
              <w:noProof/>
              <w:kern w:val="2"/>
              <w:lang w:eastAsia="en-AU"/>
              <w14:ligatures w14:val="standardContextual"/>
            </w:rPr>
          </w:pPr>
          <w:hyperlink w:anchor="_Toc153899532" w:history="1">
            <w:r w:rsidRPr="00B10F40">
              <w:rPr>
                <w:rStyle w:val="Hyperlink"/>
                <w:noProof/>
              </w:rPr>
              <w:t>5.2</w:t>
            </w:r>
            <w:r>
              <w:rPr>
                <w:rFonts w:eastAsiaTheme="minorEastAsia"/>
                <w:noProof/>
                <w:kern w:val="2"/>
                <w:lang w:eastAsia="en-AU"/>
                <w14:ligatures w14:val="standardContextual"/>
              </w:rPr>
              <w:tab/>
            </w:r>
            <w:r w:rsidRPr="00B10F40">
              <w:rPr>
                <w:rStyle w:val="Hyperlink"/>
                <w:noProof/>
              </w:rPr>
              <w:t>SLR findings by categories</w:t>
            </w:r>
            <w:r>
              <w:rPr>
                <w:noProof/>
                <w:webHidden/>
              </w:rPr>
              <w:tab/>
            </w:r>
            <w:r>
              <w:rPr>
                <w:noProof/>
                <w:webHidden/>
              </w:rPr>
              <w:fldChar w:fldCharType="begin"/>
            </w:r>
            <w:r>
              <w:rPr>
                <w:noProof/>
                <w:webHidden/>
              </w:rPr>
              <w:instrText xml:space="preserve"> PAGEREF _Toc153899532 \h </w:instrText>
            </w:r>
            <w:r>
              <w:rPr>
                <w:noProof/>
                <w:webHidden/>
              </w:rPr>
            </w:r>
            <w:r>
              <w:rPr>
                <w:noProof/>
                <w:webHidden/>
              </w:rPr>
              <w:fldChar w:fldCharType="separate"/>
            </w:r>
            <w:r w:rsidR="00116DC6">
              <w:rPr>
                <w:noProof/>
                <w:webHidden/>
              </w:rPr>
              <w:t>87</w:t>
            </w:r>
            <w:r>
              <w:rPr>
                <w:noProof/>
                <w:webHidden/>
              </w:rPr>
              <w:fldChar w:fldCharType="end"/>
            </w:r>
          </w:hyperlink>
        </w:p>
        <w:p w14:paraId="419085F0" w14:textId="6334FFB4" w:rsidR="00AF7557" w:rsidRDefault="00AF7557">
          <w:pPr>
            <w:pStyle w:val="TOC3"/>
            <w:tabs>
              <w:tab w:val="left" w:pos="1233"/>
            </w:tabs>
            <w:rPr>
              <w:rFonts w:eastAsiaTheme="minorEastAsia"/>
              <w:kern w:val="2"/>
              <w:lang w:eastAsia="en-AU"/>
              <w14:ligatures w14:val="standardContextual"/>
            </w:rPr>
          </w:pPr>
          <w:hyperlink w:anchor="_Toc153899533" w:history="1">
            <w:r w:rsidRPr="00B10F40">
              <w:rPr>
                <w:rStyle w:val="Hyperlink"/>
              </w:rPr>
              <w:t>5.2.1</w:t>
            </w:r>
            <w:r>
              <w:rPr>
                <w:rFonts w:eastAsiaTheme="minorEastAsia"/>
                <w:kern w:val="2"/>
                <w:lang w:eastAsia="en-AU"/>
                <w14:ligatures w14:val="standardContextual"/>
              </w:rPr>
              <w:tab/>
            </w:r>
            <w:r w:rsidRPr="00B10F40">
              <w:rPr>
                <w:rStyle w:val="Hyperlink"/>
              </w:rPr>
              <w:t>Service type (mainstream and specific service type)</w:t>
            </w:r>
            <w:r>
              <w:rPr>
                <w:webHidden/>
              </w:rPr>
              <w:tab/>
            </w:r>
            <w:r>
              <w:rPr>
                <w:webHidden/>
              </w:rPr>
              <w:fldChar w:fldCharType="begin"/>
            </w:r>
            <w:r>
              <w:rPr>
                <w:webHidden/>
              </w:rPr>
              <w:instrText xml:space="preserve"> PAGEREF _Toc153899533 \h </w:instrText>
            </w:r>
            <w:r>
              <w:rPr>
                <w:webHidden/>
              </w:rPr>
            </w:r>
            <w:r>
              <w:rPr>
                <w:webHidden/>
              </w:rPr>
              <w:fldChar w:fldCharType="separate"/>
            </w:r>
            <w:r w:rsidR="00116DC6">
              <w:rPr>
                <w:webHidden/>
              </w:rPr>
              <w:t>88</w:t>
            </w:r>
            <w:r>
              <w:rPr>
                <w:webHidden/>
              </w:rPr>
              <w:fldChar w:fldCharType="end"/>
            </w:r>
          </w:hyperlink>
        </w:p>
        <w:p w14:paraId="606F1643" w14:textId="2B7BBC0B" w:rsidR="00AF7557" w:rsidRDefault="00AF7557">
          <w:pPr>
            <w:pStyle w:val="TOC3"/>
            <w:tabs>
              <w:tab w:val="left" w:pos="1233"/>
            </w:tabs>
            <w:rPr>
              <w:rFonts w:eastAsiaTheme="minorEastAsia"/>
              <w:kern w:val="2"/>
              <w:lang w:eastAsia="en-AU"/>
              <w14:ligatures w14:val="standardContextual"/>
            </w:rPr>
          </w:pPr>
          <w:hyperlink w:anchor="_Toc153899534" w:history="1">
            <w:r w:rsidRPr="00B10F40">
              <w:rPr>
                <w:rStyle w:val="Hyperlink"/>
              </w:rPr>
              <w:t>5.2.2</w:t>
            </w:r>
            <w:r>
              <w:rPr>
                <w:rFonts w:eastAsiaTheme="minorEastAsia"/>
                <w:kern w:val="2"/>
                <w:lang w:eastAsia="en-AU"/>
                <w14:ligatures w14:val="standardContextual"/>
              </w:rPr>
              <w:tab/>
            </w:r>
            <w:r w:rsidRPr="00B10F40">
              <w:rPr>
                <w:rStyle w:val="Hyperlink"/>
              </w:rPr>
              <w:t>LGBTIQA+ population sub-groups</w:t>
            </w:r>
            <w:r>
              <w:rPr>
                <w:webHidden/>
              </w:rPr>
              <w:tab/>
            </w:r>
            <w:r>
              <w:rPr>
                <w:webHidden/>
              </w:rPr>
              <w:fldChar w:fldCharType="begin"/>
            </w:r>
            <w:r>
              <w:rPr>
                <w:webHidden/>
              </w:rPr>
              <w:instrText xml:space="preserve"> PAGEREF _Toc153899534 \h </w:instrText>
            </w:r>
            <w:r>
              <w:rPr>
                <w:webHidden/>
              </w:rPr>
            </w:r>
            <w:r>
              <w:rPr>
                <w:webHidden/>
              </w:rPr>
              <w:fldChar w:fldCharType="separate"/>
            </w:r>
            <w:r w:rsidR="00116DC6">
              <w:rPr>
                <w:webHidden/>
              </w:rPr>
              <w:t>90</w:t>
            </w:r>
            <w:r>
              <w:rPr>
                <w:webHidden/>
              </w:rPr>
              <w:fldChar w:fldCharType="end"/>
            </w:r>
          </w:hyperlink>
        </w:p>
        <w:p w14:paraId="20B5EC85" w14:textId="53BD0D47" w:rsidR="00AF7557" w:rsidRDefault="00AF7557">
          <w:pPr>
            <w:pStyle w:val="TOC3"/>
            <w:tabs>
              <w:tab w:val="left" w:pos="1233"/>
            </w:tabs>
            <w:rPr>
              <w:rFonts w:eastAsiaTheme="minorEastAsia"/>
              <w:kern w:val="2"/>
              <w:lang w:eastAsia="en-AU"/>
              <w14:ligatures w14:val="standardContextual"/>
            </w:rPr>
          </w:pPr>
          <w:hyperlink w:anchor="_Toc153899535" w:history="1">
            <w:r w:rsidRPr="00B10F40">
              <w:rPr>
                <w:rStyle w:val="Hyperlink"/>
              </w:rPr>
              <w:t>5.2.3</w:t>
            </w:r>
            <w:r>
              <w:rPr>
                <w:rFonts w:eastAsiaTheme="minorEastAsia"/>
                <w:kern w:val="2"/>
                <w:lang w:eastAsia="en-AU"/>
                <w14:ligatures w14:val="standardContextual"/>
              </w:rPr>
              <w:tab/>
            </w:r>
            <w:r w:rsidRPr="00B10F40">
              <w:rPr>
                <w:rStyle w:val="Hyperlink"/>
              </w:rPr>
              <w:t>Gaps in research on LGBTQ+ mental health and suicide prevention services</w:t>
            </w:r>
            <w:r>
              <w:rPr>
                <w:webHidden/>
              </w:rPr>
              <w:tab/>
            </w:r>
            <w:r>
              <w:rPr>
                <w:webHidden/>
              </w:rPr>
              <w:fldChar w:fldCharType="begin"/>
            </w:r>
            <w:r>
              <w:rPr>
                <w:webHidden/>
              </w:rPr>
              <w:instrText xml:space="preserve"> PAGEREF _Toc153899535 \h </w:instrText>
            </w:r>
            <w:r>
              <w:rPr>
                <w:webHidden/>
              </w:rPr>
            </w:r>
            <w:r>
              <w:rPr>
                <w:webHidden/>
              </w:rPr>
              <w:fldChar w:fldCharType="separate"/>
            </w:r>
            <w:r w:rsidR="00116DC6">
              <w:rPr>
                <w:webHidden/>
              </w:rPr>
              <w:t>91</w:t>
            </w:r>
            <w:r>
              <w:rPr>
                <w:webHidden/>
              </w:rPr>
              <w:fldChar w:fldCharType="end"/>
            </w:r>
          </w:hyperlink>
        </w:p>
        <w:p w14:paraId="7E3F7E88" w14:textId="7346C1E7" w:rsidR="00AF7557" w:rsidRDefault="00AF7557">
          <w:pPr>
            <w:pStyle w:val="TOC2"/>
            <w:tabs>
              <w:tab w:val="left" w:pos="851"/>
            </w:tabs>
            <w:rPr>
              <w:rFonts w:eastAsiaTheme="minorEastAsia"/>
              <w:noProof/>
              <w:kern w:val="2"/>
              <w:lang w:eastAsia="en-AU"/>
              <w14:ligatures w14:val="standardContextual"/>
            </w:rPr>
          </w:pPr>
          <w:hyperlink w:anchor="_Toc153899536" w:history="1">
            <w:r w:rsidRPr="00B10F40">
              <w:rPr>
                <w:rStyle w:val="Hyperlink"/>
                <w:noProof/>
              </w:rPr>
              <w:t>5.3</w:t>
            </w:r>
            <w:r>
              <w:rPr>
                <w:rFonts w:eastAsiaTheme="minorEastAsia"/>
                <w:noProof/>
                <w:kern w:val="2"/>
                <w:lang w:eastAsia="en-AU"/>
                <w14:ligatures w14:val="standardContextual"/>
              </w:rPr>
              <w:tab/>
            </w:r>
            <w:r w:rsidRPr="00B10F40">
              <w:rPr>
                <w:rStyle w:val="Hyperlink"/>
                <w:noProof/>
              </w:rPr>
              <w:t>SLR Conclusions and limitations</w:t>
            </w:r>
            <w:r>
              <w:rPr>
                <w:noProof/>
                <w:webHidden/>
              </w:rPr>
              <w:tab/>
            </w:r>
            <w:r>
              <w:rPr>
                <w:noProof/>
                <w:webHidden/>
              </w:rPr>
              <w:fldChar w:fldCharType="begin"/>
            </w:r>
            <w:r>
              <w:rPr>
                <w:noProof/>
                <w:webHidden/>
              </w:rPr>
              <w:instrText xml:space="preserve"> PAGEREF _Toc153899536 \h </w:instrText>
            </w:r>
            <w:r>
              <w:rPr>
                <w:noProof/>
                <w:webHidden/>
              </w:rPr>
            </w:r>
            <w:r>
              <w:rPr>
                <w:noProof/>
                <w:webHidden/>
              </w:rPr>
              <w:fldChar w:fldCharType="separate"/>
            </w:r>
            <w:r w:rsidR="00116DC6">
              <w:rPr>
                <w:noProof/>
                <w:webHidden/>
              </w:rPr>
              <w:t>92</w:t>
            </w:r>
            <w:r>
              <w:rPr>
                <w:noProof/>
                <w:webHidden/>
              </w:rPr>
              <w:fldChar w:fldCharType="end"/>
            </w:r>
          </w:hyperlink>
        </w:p>
        <w:p w14:paraId="64E62DE7" w14:textId="47A64AFF" w:rsidR="00AF7557" w:rsidRDefault="00AF7557">
          <w:pPr>
            <w:pStyle w:val="TOC1"/>
            <w:tabs>
              <w:tab w:val="left" w:pos="567"/>
            </w:tabs>
            <w:rPr>
              <w:rFonts w:eastAsiaTheme="minorEastAsia"/>
              <w:b w:val="0"/>
              <w:kern w:val="2"/>
              <w:lang w:eastAsia="en-AU"/>
              <w14:ligatures w14:val="standardContextual"/>
            </w:rPr>
          </w:pPr>
          <w:hyperlink w:anchor="_Toc153899537" w:history="1">
            <w:r w:rsidRPr="00B10F40">
              <w:rPr>
                <w:rStyle w:val="Hyperlink"/>
              </w:rPr>
              <w:t>6</w:t>
            </w:r>
            <w:r>
              <w:rPr>
                <w:rFonts w:eastAsiaTheme="minorEastAsia"/>
                <w:b w:val="0"/>
                <w:kern w:val="2"/>
                <w:lang w:eastAsia="en-AU"/>
                <w14:ligatures w14:val="standardContextual"/>
              </w:rPr>
              <w:tab/>
            </w:r>
            <w:r w:rsidRPr="00B10F40">
              <w:rPr>
                <w:rStyle w:val="Hyperlink"/>
              </w:rPr>
              <w:t>Conclusion and Research Insights</w:t>
            </w:r>
            <w:r>
              <w:rPr>
                <w:webHidden/>
              </w:rPr>
              <w:tab/>
            </w:r>
            <w:r>
              <w:rPr>
                <w:webHidden/>
              </w:rPr>
              <w:fldChar w:fldCharType="begin"/>
            </w:r>
            <w:r>
              <w:rPr>
                <w:webHidden/>
              </w:rPr>
              <w:instrText xml:space="preserve"> PAGEREF _Toc153899537 \h </w:instrText>
            </w:r>
            <w:r>
              <w:rPr>
                <w:webHidden/>
              </w:rPr>
            </w:r>
            <w:r>
              <w:rPr>
                <w:webHidden/>
              </w:rPr>
              <w:fldChar w:fldCharType="separate"/>
            </w:r>
            <w:r w:rsidR="00116DC6">
              <w:rPr>
                <w:webHidden/>
              </w:rPr>
              <w:t>93</w:t>
            </w:r>
            <w:r>
              <w:rPr>
                <w:webHidden/>
              </w:rPr>
              <w:fldChar w:fldCharType="end"/>
            </w:r>
          </w:hyperlink>
        </w:p>
        <w:p w14:paraId="6D7BD28E" w14:textId="4CA2CAFA" w:rsidR="00AF7557" w:rsidRDefault="00AF7557">
          <w:pPr>
            <w:pStyle w:val="TOC2"/>
            <w:tabs>
              <w:tab w:val="left" w:pos="851"/>
            </w:tabs>
            <w:rPr>
              <w:rFonts w:eastAsiaTheme="minorEastAsia"/>
              <w:noProof/>
              <w:kern w:val="2"/>
              <w:lang w:eastAsia="en-AU"/>
              <w14:ligatures w14:val="standardContextual"/>
            </w:rPr>
          </w:pPr>
          <w:hyperlink w:anchor="_Toc153899538" w:history="1">
            <w:r w:rsidRPr="00B10F40">
              <w:rPr>
                <w:rStyle w:val="Hyperlink"/>
                <w:rFonts w:asciiTheme="majorHAnsi" w:eastAsia="Times New Roman" w:hAnsiTheme="majorHAnsi" w:cs="Arial"/>
                <w:bCs/>
                <w:iCs/>
                <w:noProof/>
                <w:lang w:eastAsia="en-AU"/>
              </w:rPr>
              <w:t>6.1</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About this Section</w:t>
            </w:r>
            <w:r>
              <w:rPr>
                <w:noProof/>
                <w:webHidden/>
              </w:rPr>
              <w:tab/>
            </w:r>
            <w:r>
              <w:rPr>
                <w:noProof/>
                <w:webHidden/>
              </w:rPr>
              <w:fldChar w:fldCharType="begin"/>
            </w:r>
            <w:r>
              <w:rPr>
                <w:noProof/>
                <w:webHidden/>
              </w:rPr>
              <w:instrText xml:space="preserve"> PAGEREF _Toc153899538 \h </w:instrText>
            </w:r>
            <w:r>
              <w:rPr>
                <w:noProof/>
                <w:webHidden/>
              </w:rPr>
            </w:r>
            <w:r>
              <w:rPr>
                <w:noProof/>
                <w:webHidden/>
              </w:rPr>
              <w:fldChar w:fldCharType="separate"/>
            </w:r>
            <w:r w:rsidR="00116DC6">
              <w:rPr>
                <w:noProof/>
                <w:webHidden/>
              </w:rPr>
              <w:t>93</w:t>
            </w:r>
            <w:r>
              <w:rPr>
                <w:noProof/>
                <w:webHidden/>
              </w:rPr>
              <w:fldChar w:fldCharType="end"/>
            </w:r>
          </w:hyperlink>
        </w:p>
        <w:p w14:paraId="4249710B" w14:textId="04095D0A" w:rsidR="00AF7557" w:rsidRDefault="00AF7557">
          <w:pPr>
            <w:pStyle w:val="TOC2"/>
            <w:tabs>
              <w:tab w:val="left" w:pos="851"/>
            </w:tabs>
            <w:rPr>
              <w:rFonts w:eastAsiaTheme="minorEastAsia"/>
              <w:noProof/>
              <w:kern w:val="2"/>
              <w:lang w:eastAsia="en-AU"/>
              <w14:ligatures w14:val="standardContextual"/>
            </w:rPr>
          </w:pPr>
          <w:hyperlink w:anchor="_Toc153899539" w:history="1">
            <w:r w:rsidRPr="00B10F40">
              <w:rPr>
                <w:rStyle w:val="Hyperlink"/>
                <w:rFonts w:asciiTheme="majorHAnsi" w:eastAsia="Times New Roman" w:hAnsiTheme="majorHAnsi" w:cs="Arial"/>
                <w:bCs/>
                <w:iCs/>
                <w:noProof/>
                <w:lang w:eastAsia="en-AU"/>
              </w:rPr>
              <w:t>6.2</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Overarching Principles</w:t>
            </w:r>
            <w:r>
              <w:rPr>
                <w:noProof/>
                <w:webHidden/>
              </w:rPr>
              <w:tab/>
            </w:r>
            <w:r>
              <w:rPr>
                <w:noProof/>
                <w:webHidden/>
              </w:rPr>
              <w:fldChar w:fldCharType="begin"/>
            </w:r>
            <w:r>
              <w:rPr>
                <w:noProof/>
                <w:webHidden/>
              </w:rPr>
              <w:instrText xml:space="preserve"> PAGEREF _Toc153899539 \h </w:instrText>
            </w:r>
            <w:r>
              <w:rPr>
                <w:noProof/>
                <w:webHidden/>
              </w:rPr>
            </w:r>
            <w:r>
              <w:rPr>
                <w:noProof/>
                <w:webHidden/>
              </w:rPr>
              <w:fldChar w:fldCharType="separate"/>
            </w:r>
            <w:r w:rsidR="00116DC6">
              <w:rPr>
                <w:noProof/>
                <w:webHidden/>
              </w:rPr>
              <w:t>93</w:t>
            </w:r>
            <w:r>
              <w:rPr>
                <w:noProof/>
                <w:webHidden/>
              </w:rPr>
              <w:fldChar w:fldCharType="end"/>
            </w:r>
          </w:hyperlink>
        </w:p>
        <w:p w14:paraId="16829CB9" w14:textId="0072EB02" w:rsidR="00AF7557" w:rsidRDefault="00AF7557">
          <w:pPr>
            <w:pStyle w:val="TOC2"/>
            <w:tabs>
              <w:tab w:val="left" w:pos="851"/>
            </w:tabs>
            <w:rPr>
              <w:rFonts w:eastAsiaTheme="minorEastAsia"/>
              <w:noProof/>
              <w:kern w:val="2"/>
              <w:lang w:eastAsia="en-AU"/>
              <w14:ligatures w14:val="standardContextual"/>
            </w:rPr>
          </w:pPr>
          <w:hyperlink w:anchor="_Toc153899540" w:history="1">
            <w:r w:rsidRPr="00B10F40">
              <w:rPr>
                <w:rStyle w:val="Hyperlink"/>
                <w:rFonts w:asciiTheme="majorHAnsi" w:eastAsia="Times New Roman" w:hAnsiTheme="majorHAnsi" w:cs="Arial"/>
                <w:bCs/>
                <w:iCs/>
                <w:noProof/>
                <w:lang w:eastAsia="en-AU"/>
              </w:rPr>
              <w:t>6.3</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Key Policy Directions and Options Arising</w:t>
            </w:r>
            <w:r>
              <w:rPr>
                <w:noProof/>
                <w:webHidden/>
              </w:rPr>
              <w:tab/>
            </w:r>
            <w:r>
              <w:rPr>
                <w:noProof/>
                <w:webHidden/>
              </w:rPr>
              <w:fldChar w:fldCharType="begin"/>
            </w:r>
            <w:r>
              <w:rPr>
                <w:noProof/>
                <w:webHidden/>
              </w:rPr>
              <w:instrText xml:space="preserve"> PAGEREF _Toc153899540 \h </w:instrText>
            </w:r>
            <w:r>
              <w:rPr>
                <w:noProof/>
                <w:webHidden/>
              </w:rPr>
            </w:r>
            <w:r>
              <w:rPr>
                <w:noProof/>
                <w:webHidden/>
              </w:rPr>
              <w:fldChar w:fldCharType="separate"/>
            </w:r>
            <w:r w:rsidR="00116DC6">
              <w:rPr>
                <w:noProof/>
                <w:webHidden/>
              </w:rPr>
              <w:t>98</w:t>
            </w:r>
            <w:r>
              <w:rPr>
                <w:noProof/>
                <w:webHidden/>
              </w:rPr>
              <w:fldChar w:fldCharType="end"/>
            </w:r>
          </w:hyperlink>
        </w:p>
        <w:p w14:paraId="2BC32400" w14:textId="60EC3D91" w:rsidR="00AF7557" w:rsidRDefault="00AF7557" w:rsidP="00AF7557">
          <w:pPr>
            <w:pStyle w:val="TOC2"/>
            <w:tabs>
              <w:tab w:val="left" w:pos="851"/>
              <w:tab w:val="left" w:pos="1418"/>
            </w:tabs>
            <w:ind w:left="851"/>
            <w:rPr>
              <w:rFonts w:eastAsiaTheme="minorEastAsia"/>
              <w:noProof/>
              <w:kern w:val="2"/>
              <w:lang w:eastAsia="en-AU"/>
              <w14:ligatures w14:val="standardContextual"/>
            </w:rPr>
          </w:pPr>
          <w:hyperlink w:anchor="_Toc153899541" w:history="1">
            <w:r w:rsidRPr="00B10F40">
              <w:rPr>
                <w:rStyle w:val="Hyperlink"/>
                <w:rFonts w:asciiTheme="majorHAnsi" w:eastAsia="Times New Roman" w:hAnsiTheme="majorHAnsi" w:cs="Arial"/>
                <w:bCs/>
                <w:iCs/>
                <w:noProof/>
                <w:lang w:eastAsia="en-AU"/>
              </w:rPr>
              <w:t>1]</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Build on this research and leverage existing initiatives</w:t>
            </w:r>
            <w:r>
              <w:rPr>
                <w:noProof/>
                <w:webHidden/>
              </w:rPr>
              <w:tab/>
            </w:r>
            <w:r>
              <w:rPr>
                <w:noProof/>
                <w:webHidden/>
              </w:rPr>
              <w:fldChar w:fldCharType="begin"/>
            </w:r>
            <w:r>
              <w:rPr>
                <w:noProof/>
                <w:webHidden/>
              </w:rPr>
              <w:instrText xml:space="preserve"> PAGEREF _Toc153899541 \h </w:instrText>
            </w:r>
            <w:r>
              <w:rPr>
                <w:noProof/>
                <w:webHidden/>
              </w:rPr>
            </w:r>
            <w:r>
              <w:rPr>
                <w:noProof/>
                <w:webHidden/>
              </w:rPr>
              <w:fldChar w:fldCharType="separate"/>
            </w:r>
            <w:r w:rsidR="00116DC6">
              <w:rPr>
                <w:noProof/>
                <w:webHidden/>
              </w:rPr>
              <w:t>98</w:t>
            </w:r>
            <w:r>
              <w:rPr>
                <w:noProof/>
                <w:webHidden/>
              </w:rPr>
              <w:fldChar w:fldCharType="end"/>
            </w:r>
          </w:hyperlink>
        </w:p>
        <w:p w14:paraId="7848CFB7" w14:textId="1F60D4CA" w:rsidR="00AF7557" w:rsidRDefault="00AF7557" w:rsidP="00AF7557">
          <w:pPr>
            <w:pStyle w:val="TOC2"/>
            <w:tabs>
              <w:tab w:val="left" w:pos="851"/>
              <w:tab w:val="left" w:pos="1418"/>
            </w:tabs>
            <w:ind w:left="851"/>
            <w:rPr>
              <w:rFonts w:eastAsiaTheme="minorEastAsia"/>
              <w:noProof/>
              <w:kern w:val="2"/>
              <w:lang w:eastAsia="en-AU"/>
              <w14:ligatures w14:val="standardContextual"/>
            </w:rPr>
          </w:pPr>
          <w:hyperlink w:anchor="_Toc153899542" w:history="1">
            <w:r w:rsidRPr="00B10F40">
              <w:rPr>
                <w:rStyle w:val="Hyperlink"/>
                <w:rFonts w:asciiTheme="majorHAnsi" w:eastAsia="Times New Roman" w:hAnsiTheme="majorHAnsi" w:cs="Arial"/>
                <w:bCs/>
                <w:iCs/>
                <w:noProof/>
                <w:lang w:eastAsia="en-AU"/>
              </w:rPr>
              <w:t>2]</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Invest in targeted research and improved data</w:t>
            </w:r>
            <w:r>
              <w:rPr>
                <w:noProof/>
                <w:webHidden/>
              </w:rPr>
              <w:tab/>
            </w:r>
            <w:r>
              <w:rPr>
                <w:noProof/>
                <w:webHidden/>
              </w:rPr>
              <w:fldChar w:fldCharType="begin"/>
            </w:r>
            <w:r>
              <w:rPr>
                <w:noProof/>
                <w:webHidden/>
              </w:rPr>
              <w:instrText xml:space="preserve"> PAGEREF _Toc153899542 \h </w:instrText>
            </w:r>
            <w:r>
              <w:rPr>
                <w:noProof/>
                <w:webHidden/>
              </w:rPr>
            </w:r>
            <w:r>
              <w:rPr>
                <w:noProof/>
                <w:webHidden/>
              </w:rPr>
              <w:fldChar w:fldCharType="separate"/>
            </w:r>
            <w:r w:rsidR="00116DC6">
              <w:rPr>
                <w:noProof/>
                <w:webHidden/>
              </w:rPr>
              <w:t>100</w:t>
            </w:r>
            <w:r>
              <w:rPr>
                <w:noProof/>
                <w:webHidden/>
              </w:rPr>
              <w:fldChar w:fldCharType="end"/>
            </w:r>
          </w:hyperlink>
        </w:p>
        <w:p w14:paraId="1C5596C5" w14:textId="28FB94E0" w:rsidR="00AF7557" w:rsidRDefault="00AF7557" w:rsidP="00AF7557">
          <w:pPr>
            <w:pStyle w:val="TOC2"/>
            <w:tabs>
              <w:tab w:val="left" w:pos="851"/>
              <w:tab w:val="left" w:pos="1418"/>
            </w:tabs>
            <w:ind w:left="851"/>
            <w:rPr>
              <w:rFonts w:eastAsiaTheme="minorEastAsia"/>
              <w:noProof/>
              <w:kern w:val="2"/>
              <w:lang w:eastAsia="en-AU"/>
              <w14:ligatures w14:val="standardContextual"/>
            </w:rPr>
          </w:pPr>
          <w:hyperlink w:anchor="_Toc153899543" w:history="1">
            <w:r w:rsidRPr="00B10F40">
              <w:rPr>
                <w:rStyle w:val="Hyperlink"/>
                <w:rFonts w:asciiTheme="majorHAnsi" w:eastAsia="Times New Roman" w:hAnsiTheme="majorHAnsi" w:cs="Arial"/>
                <w:bCs/>
                <w:iCs/>
                <w:noProof/>
                <w:lang w:eastAsia="en-AU"/>
              </w:rPr>
              <w:t>3]</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Expand LGBTQ+ specific service offerings</w:t>
            </w:r>
            <w:r>
              <w:rPr>
                <w:noProof/>
                <w:webHidden/>
              </w:rPr>
              <w:tab/>
            </w:r>
            <w:r>
              <w:rPr>
                <w:noProof/>
                <w:webHidden/>
              </w:rPr>
              <w:fldChar w:fldCharType="begin"/>
            </w:r>
            <w:r>
              <w:rPr>
                <w:noProof/>
                <w:webHidden/>
              </w:rPr>
              <w:instrText xml:space="preserve"> PAGEREF _Toc153899543 \h </w:instrText>
            </w:r>
            <w:r>
              <w:rPr>
                <w:noProof/>
                <w:webHidden/>
              </w:rPr>
            </w:r>
            <w:r>
              <w:rPr>
                <w:noProof/>
                <w:webHidden/>
              </w:rPr>
              <w:fldChar w:fldCharType="separate"/>
            </w:r>
            <w:r w:rsidR="00116DC6">
              <w:rPr>
                <w:noProof/>
                <w:webHidden/>
              </w:rPr>
              <w:t>102</w:t>
            </w:r>
            <w:r>
              <w:rPr>
                <w:noProof/>
                <w:webHidden/>
              </w:rPr>
              <w:fldChar w:fldCharType="end"/>
            </w:r>
          </w:hyperlink>
        </w:p>
        <w:p w14:paraId="1A85BDA3" w14:textId="33884F33" w:rsidR="00AF7557" w:rsidRDefault="00AF7557" w:rsidP="00AF7557">
          <w:pPr>
            <w:pStyle w:val="TOC2"/>
            <w:tabs>
              <w:tab w:val="left" w:pos="851"/>
              <w:tab w:val="left" w:pos="1418"/>
            </w:tabs>
            <w:ind w:left="851"/>
            <w:rPr>
              <w:rFonts w:eastAsiaTheme="minorEastAsia"/>
              <w:noProof/>
              <w:kern w:val="2"/>
              <w:lang w:eastAsia="en-AU"/>
              <w14:ligatures w14:val="standardContextual"/>
            </w:rPr>
          </w:pPr>
          <w:hyperlink w:anchor="_Toc153899544" w:history="1">
            <w:r w:rsidRPr="00B10F40">
              <w:rPr>
                <w:rStyle w:val="Hyperlink"/>
                <w:rFonts w:asciiTheme="majorHAnsi" w:eastAsia="Times New Roman" w:hAnsiTheme="majorHAnsi" w:cs="Arial"/>
                <w:bCs/>
                <w:iCs/>
                <w:noProof/>
                <w:lang w:eastAsia="en-AU"/>
              </w:rPr>
              <w:t>4]</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 xml:space="preserve">Address stigmatisation, </w:t>
            </w:r>
            <w:r w:rsidRPr="00B10F40">
              <w:rPr>
                <w:rStyle w:val="Hyperlink"/>
                <w:rFonts w:asciiTheme="majorHAnsi" w:eastAsia="Times New Roman" w:hAnsiTheme="majorHAnsi" w:cs="Arial"/>
                <w:bCs/>
                <w:iCs/>
                <w:noProof/>
              </w:rPr>
              <w:t>discrimination, and capabilities withi</w:t>
            </w:r>
            <w:r w:rsidRPr="00B10F40">
              <w:rPr>
                <w:rStyle w:val="Hyperlink"/>
                <w:rFonts w:asciiTheme="majorHAnsi" w:eastAsia="Times New Roman" w:hAnsiTheme="majorHAnsi" w:cs="Arial"/>
                <w:bCs/>
                <w:iCs/>
                <w:noProof/>
                <w:lang w:eastAsia="en-AU"/>
              </w:rPr>
              <w:t xml:space="preserve">n  mainstream </w:t>
            </w:r>
            <w:r>
              <w:rPr>
                <w:rStyle w:val="Hyperlink"/>
                <w:rFonts w:asciiTheme="majorHAnsi" w:eastAsia="Times New Roman" w:hAnsiTheme="majorHAnsi" w:cs="Arial"/>
                <w:bCs/>
                <w:iCs/>
                <w:noProof/>
                <w:lang w:eastAsia="en-AU"/>
              </w:rPr>
              <w:tab/>
            </w:r>
            <w:r w:rsidRPr="00B10F40">
              <w:rPr>
                <w:rStyle w:val="Hyperlink"/>
                <w:rFonts w:asciiTheme="majorHAnsi" w:eastAsia="Times New Roman" w:hAnsiTheme="majorHAnsi" w:cs="Arial"/>
                <w:bCs/>
                <w:iCs/>
                <w:noProof/>
                <w:lang w:eastAsia="en-AU"/>
              </w:rPr>
              <w:t>health services</w:t>
            </w:r>
            <w:r>
              <w:rPr>
                <w:noProof/>
                <w:webHidden/>
              </w:rPr>
              <w:tab/>
            </w:r>
            <w:r>
              <w:rPr>
                <w:noProof/>
                <w:webHidden/>
              </w:rPr>
              <w:fldChar w:fldCharType="begin"/>
            </w:r>
            <w:r>
              <w:rPr>
                <w:noProof/>
                <w:webHidden/>
              </w:rPr>
              <w:instrText xml:space="preserve"> PAGEREF _Toc153899544 \h </w:instrText>
            </w:r>
            <w:r>
              <w:rPr>
                <w:noProof/>
                <w:webHidden/>
              </w:rPr>
            </w:r>
            <w:r>
              <w:rPr>
                <w:noProof/>
                <w:webHidden/>
              </w:rPr>
              <w:fldChar w:fldCharType="separate"/>
            </w:r>
            <w:r w:rsidR="00116DC6">
              <w:rPr>
                <w:noProof/>
                <w:webHidden/>
              </w:rPr>
              <w:t>104</w:t>
            </w:r>
            <w:r>
              <w:rPr>
                <w:noProof/>
                <w:webHidden/>
              </w:rPr>
              <w:fldChar w:fldCharType="end"/>
            </w:r>
          </w:hyperlink>
        </w:p>
        <w:p w14:paraId="17C8E74A" w14:textId="0232BC03" w:rsidR="00AF7557" w:rsidRDefault="00AF7557" w:rsidP="00AF7557">
          <w:pPr>
            <w:pStyle w:val="TOC2"/>
            <w:tabs>
              <w:tab w:val="left" w:pos="851"/>
              <w:tab w:val="left" w:pos="1418"/>
            </w:tabs>
            <w:ind w:left="851"/>
            <w:rPr>
              <w:rFonts w:eastAsiaTheme="minorEastAsia"/>
              <w:noProof/>
              <w:kern w:val="2"/>
              <w:lang w:eastAsia="en-AU"/>
              <w14:ligatures w14:val="standardContextual"/>
            </w:rPr>
          </w:pPr>
          <w:hyperlink w:anchor="_Toc153899545" w:history="1">
            <w:r w:rsidRPr="00B10F40">
              <w:rPr>
                <w:rStyle w:val="Hyperlink"/>
                <w:rFonts w:asciiTheme="majorHAnsi" w:eastAsia="Times New Roman" w:hAnsiTheme="majorHAnsi" w:cs="Arial"/>
                <w:bCs/>
                <w:iCs/>
                <w:noProof/>
                <w:lang w:eastAsia="en-AU"/>
              </w:rPr>
              <w:t>5]</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Collaborate across sectors to build connection and promote inclusion</w:t>
            </w:r>
            <w:r>
              <w:rPr>
                <w:noProof/>
                <w:webHidden/>
              </w:rPr>
              <w:tab/>
            </w:r>
            <w:r>
              <w:rPr>
                <w:noProof/>
                <w:webHidden/>
              </w:rPr>
              <w:fldChar w:fldCharType="begin"/>
            </w:r>
            <w:r>
              <w:rPr>
                <w:noProof/>
                <w:webHidden/>
              </w:rPr>
              <w:instrText xml:space="preserve"> PAGEREF _Toc153899545 \h </w:instrText>
            </w:r>
            <w:r>
              <w:rPr>
                <w:noProof/>
                <w:webHidden/>
              </w:rPr>
            </w:r>
            <w:r>
              <w:rPr>
                <w:noProof/>
                <w:webHidden/>
              </w:rPr>
              <w:fldChar w:fldCharType="separate"/>
            </w:r>
            <w:r w:rsidR="00116DC6">
              <w:rPr>
                <w:noProof/>
                <w:webHidden/>
              </w:rPr>
              <w:t>107</w:t>
            </w:r>
            <w:r>
              <w:rPr>
                <w:noProof/>
                <w:webHidden/>
              </w:rPr>
              <w:fldChar w:fldCharType="end"/>
            </w:r>
          </w:hyperlink>
        </w:p>
        <w:p w14:paraId="115DC9E4" w14:textId="5285B500" w:rsidR="00AF7557" w:rsidRDefault="00AF7557" w:rsidP="00AF7557">
          <w:pPr>
            <w:pStyle w:val="TOC2"/>
            <w:tabs>
              <w:tab w:val="left" w:pos="851"/>
              <w:tab w:val="left" w:pos="1418"/>
            </w:tabs>
            <w:ind w:left="851"/>
            <w:rPr>
              <w:rFonts w:eastAsiaTheme="minorEastAsia"/>
              <w:noProof/>
              <w:kern w:val="2"/>
              <w:lang w:eastAsia="en-AU"/>
              <w14:ligatures w14:val="standardContextual"/>
            </w:rPr>
          </w:pPr>
          <w:hyperlink w:anchor="_Toc153899546" w:history="1">
            <w:r w:rsidRPr="00B10F40">
              <w:rPr>
                <w:rStyle w:val="Hyperlink"/>
                <w:rFonts w:asciiTheme="majorHAnsi" w:eastAsia="Times New Roman" w:hAnsiTheme="majorHAnsi" w:cs="Arial"/>
                <w:bCs/>
                <w:iCs/>
                <w:noProof/>
                <w:lang w:eastAsia="en-AU"/>
              </w:rPr>
              <w:t>6]</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Adopt and promote the consistent use of inclusive and affirming language</w:t>
            </w:r>
            <w:r>
              <w:rPr>
                <w:noProof/>
                <w:webHidden/>
              </w:rPr>
              <w:tab/>
            </w:r>
            <w:r>
              <w:rPr>
                <w:noProof/>
                <w:webHidden/>
              </w:rPr>
              <w:fldChar w:fldCharType="begin"/>
            </w:r>
            <w:r>
              <w:rPr>
                <w:noProof/>
                <w:webHidden/>
              </w:rPr>
              <w:instrText xml:space="preserve"> PAGEREF _Toc153899546 \h </w:instrText>
            </w:r>
            <w:r>
              <w:rPr>
                <w:noProof/>
                <w:webHidden/>
              </w:rPr>
            </w:r>
            <w:r>
              <w:rPr>
                <w:noProof/>
                <w:webHidden/>
              </w:rPr>
              <w:fldChar w:fldCharType="separate"/>
            </w:r>
            <w:r w:rsidR="00116DC6">
              <w:rPr>
                <w:noProof/>
                <w:webHidden/>
              </w:rPr>
              <w:t>109</w:t>
            </w:r>
            <w:r>
              <w:rPr>
                <w:noProof/>
                <w:webHidden/>
              </w:rPr>
              <w:fldChar w:fldCharType="end"/>
            </w:r>
          </w:hyperlink>
        </w:p>
        <w:p w14:paraId="5616F8A8" w14:textId="63EEF8AC" w:rsidR="00AF7557" w:rsidRDefault="00AF7557">
          <w:pPr>
            <w:pStyle w:val="TOC2"/>
            <w:tabs>
              <w:tab w:val="left" w:pos="851"/>
            </w:tabs>
            <w:rPr>
              <w:rFonts w:eastAsiaTheme="minorEastAsia"/>
              <w:noProof/>
              <w:kern w:val="2"/>
              <w:lang w:eastAsia="en-AU"/>
              <w14:ligatures w14:val="standardContextual"/>
            </w:rPr>
          </w:pPr>
          <w:hyperlink w:anchor="_Toc153899547" w:history="1">
            <w:r w:rsidRPr="00B10F40">
              <w:rPr>
                <w:rStyle w:val="Hyperlink"/>
                <w:rFonts w:asciiTheme="majorHAnsi" w:eastAsia="Times New Roman" w:hAnsiTheme="majorHAnsi" w:cs="Arial"/>
                <w:bCs/>
                <w:iCs/>
                <w:noProof/>
                <w:lang w:eastAsia="en-AU"/>
              </w:rPr>
              <w:t>6.4</w:t>
            </w:r>
            <w:r>
              <w:rPr>
                <w:rFonts w:eastAsiaTheme="minorEastAsia"/>
                <w:noProof/>
                <w:kern w:val="2"/>
                <w:lang w:eastAsia="en-AU"/>
                <w14:ligatures w14:val="standardContextual"/>
              </w:rPr>
              <w:tab/>
            </w:r>
            <w:r w:rsidRPr="00B10F40">
              <w:rPr>
                <w:rStyle w:val="Hyperlink"/>
                <w:rFonts w:asciiTheme="majorHAnsi" w:eastAsia="Times New Roman" w:hAnsiTheme="majorHAnsi" w:cs="Arial"/>
                <w:bCs/>
                <w:iCs/>
                <w:noProof/>
                <w:lang w:eastAsia="en-AU"/>
              </w:rPr>
              <w:t>Other Options and Considerations</w:t>
            </w:r>
            <w:r>
              <w:rPr>
                <w:noProof/>
                <w:webHidden/>
              </w:rPr>
              <w:tab/>
            </w:r>
            <w:r>
              <w:rPr>
                <w:noProof/>
                <w:webHidden/>
              </w:rPr>
              <w:fldChar w:fldCharType="begin"/>
            </w:r>
            <w:r>
              <w:rPr>
                <w:noProof/>
                <w:webHidden/>
              </w:rPr>
              <w:instrText xml:space="preserve"> PAGEREF _Toc153899547 \h </w:instrText>
            </w:r>
            <w:r>
              <w:rPr>
                <w:noProof/>
                <w:webHidden/>
              </w:rPr>
            </w:r>
            <w:r>
              <w:rPr>
                <w:noProof/>
                <w:webHidden/>
              </w:rPr>
              <w:fldChar w:fldCharType="separate"/>
            </w:r>
            <w:r w:rsidR="00116DC6">
              <w:rPr>
                <w:noProof/>
                <w:webHidden/>
              </w:rPr>
              <w:t>109</w:t>
            </w:r>
            <w:r>
              <w:rPr>
                <w:noProof/>
                <w:webHidden/>
              </w:rPr>
              <w:fldChar w:fldCharType="end"/>
            </w:r>
          </w:hyperlink>
        </w:p>
        <w:p w14:paraId="4A4E3426" w14:textId="21FB7E69" w:rsidR="00AF7557" w:rsidRDefault="00AF7557">
          <w:pPr>
            <w:pStyle w:val="TOC1"/>
            <w:rPr>
              <w:rFonts w:eastAsiaTheme="minorEastAsia"/>
              <w:b w:val="0"/>
              <w:kern w:val="2"/>
              <w:lang w:eastAsia="en-AU"/>
              <w14:ligatures w14:val="standardContextual"/>
            </w:rPr>
          </w:pPr>
          <w:hyperlink w:anchor="_Toc153899548" w:history="1">
            <w:r w:rsidRPr="00B10F40">
              <w:rPr>
                <w:rStyle w:val="Hyperlink"/>
              </w:rPr>
              <w:t>References</w:t>
            </w:r>
            <w:r>
              <w:rPr>
                <w:webHidden/>
              </w:rPr>
              <w:tab/>
            </w:r>
            <w:r>
              <w:rPr>
                <w:webHidden/>
              </w:rPr>
              <w:fldChar w:fldCharType="begin"/>
            </w:r>
            <w:r>
              <w:rPr>
                <w:webHidden/>
              </w:rPr>
              <w:instrText xml:space="preserve"> PAGEREF _Toc153899548 \h </w:instrText>
            </w:r>
            <w:r>
              <w:rPr>
                <w:webHidden/>
              </w:rPr>
            </w:r>
            <w:r>
              <w:rPr>
                <w:webHidden/>
              </w:rPr>
              <w:fldChar w:fldCharType="separate"/>
            </w:r>
            <w:r w:rsidR="00116DC6">
              <w:rPr>
                <w:webHidden/>
              </w:rPr>
              <w:t>111</w:t>
            </w:r>
            <w:r>
              <w:rPr>
                <w:webHidden/>
              </w:rPr>
              <w:fldChar w:fldCharType="end"/>
            </w:r>
          </w:hyperlink>
        </w:p>
        <w:p w14:paraId="35337DF5" w14:textId="0AAB1836" w:rsidR="00AF7557" w:rsidRDefault="00AF7557">
          <w:pPr>
            <w:pStyle w:val="TOC1"/>
            <w:rPr>
              <w:rFonts w:eastAsiaTheme="minorEastAsia"/>
              <w:b w:val="0"/>
              <w:kern w:val="2"/>
              <w:lang w:eastAsia="en-AU"/>
              <w14:ligatures w14:val="standardContextual"/>
            </w:rPr>
          </w:pPr>
          <w:hyperlink w:anchor="_Toc153899549" w:history="1">
            <w:r w:rsidRPr="00B10F40">
              <w:rPr>
                <w:rStyle w:val="Hyperlink"/>
              </w:rPr>
              <w:t>Attachments</w:t>
            </w:r>
            <w:r>
              <w:rPr>
                <w:webHidden/>
              </w:rPr>
              <w:tab/>
            </w:r>
            <w:r>
              <w:rPr>
                <w:webHidden/>
              </w:rPr>
              <w:fldChar w:fldCharType="begin"/>
            </w:r>
            <w:r>
              <w:rPr>
                <w:webHidden/>
              </w:rPr>
              <w:instrText xml:space="preserve"> PAGEREF _Toc153899549 \h </w:instrText>
            </w:r>
            <w:r>
              <w:rPr>
                <w:webHidden/>
              </w:rPr>
            </w:r>
            <w:r>
              <w:rPr>
                <w:webHidden/>
              </w:rPr>
              <w:fldChar w:fldCharType="separate"/>
            </w:r>
            <w:r w:rsidR="00116DC6">
              <w:rPr>
                <w:webHidden/>
              </w:rPr>
              <w:t>122</w:t>
            </w:r>
            <w:r>
              <w:rPr>
                <w:webHidden/>
              </w:rPr>
              <w:fldChar w:fldCharType="end"/>
            </w:r>
          </w:hyperlink>
        </w:p>
        <w:p w14:paraId="1373E5EA" w14:textId="21CAF603" w:rsidR="00AF7557" w:rsidRDefault="00AF7557">
          <w:pPr>
            <w:pStyle w:val="TOC2"/>
            <w:tabs>
              <w:tab w:val="left" w:pos="1787"/>
            </w:tabs>
            <w:rPr>
              <w:rFonts w:eastAsiaTheme="minorEastAsia"/>
              <w:noProof/>
              <w:kern w:val="2"/>
              <w:lang w:eastAsia="en-AU"/>
              <w14:ligatures w14:val="standardContextual"/>
            </w:rPr>
          </w:pPr>
          <w:hyperlink w:anchor="_Toc153899550" w:history="1">
            <w:r w:rsidRPr="00B10F40">
              <w:rPr>
                <w:rStyle w:val="Hyperlink"/>
                <w:noProof/>
              </w:rPr>
              <w:t>Attachment 1:</w:t>
            </w:r>
            <w:r>
              <w:rPr>
                <w:rFonts w:eastAsiaTheme="minorEastAsia"/>
                <w:noProof/>
                <w:kern w:val="2"/>
                <w:lang w:eastAsia="en-AU"/>
                <w14:ligatures w14:val="standardContextual"/>
              </w:rPr>
              <w:tab/>
            </w:r>
            <w:r w:rsidRPr="00B10F40">
              <w:rPr>
                <w:rStyle w:val="Hyperlink"/>
                <w:noProof/>
              </w:rPr>
              <w:t>About the SLR Methodology</w:t>
            </w:r>
            <w:r>
              <w:rPr>
                <w:noProof/>
                <w:webHidden/>
              </w:rPr>
              <w:tab/>
            </w:r>
            <w:r>
              <w:rPr>
                <w:noProof/>
                <w:webHidden/>
              </w:rPr>
              <w:fldChar w:fldCharType="begin"/>
            </w:r>
            <w:r>
              <w:rPr>
                <w:noProof/>
                <w:webHidden/>
              </w:rPr>
              <w:instrText xml:space="preserve"> PAGEREF _Toc153899550 \h </w:instrText>
            </w:r>
            <w:r>
              <w:rPr>
                <w:noProof/>
                <w:webHidden/>
              </w:rPr>
            </w:r>
            <w:r>
              <w:rPr>
                <w:noProof/>
                <w:webHidden/>
              </w:rPr>
              <w:fldChar w:fldCharType="separate"/>
            </w:r>
            <w:r w:rsidR="00116DC6">
              <w:rPr>
                <w:noProof/>
                <w:webHidden/>
              </w:rPr>
              <w:t>122</w:t>
            </w:r>
            <w:r>
              <w:rPr>
                <w:noProof/>
                <w:webHidden/>
              </w:rPr>
              <w:fldChar w:fldCharType="end"/>
            </w:r>
          </w:hyperlink>
        </w:p>
        <w:p w14:paraId="6048078A" w14:textId="4F9A1CE9" w:rsidR="00AF7557" w:rsidRDefault="00AF7557">
          <w:pPr>
            <w:pStyle w:val="TOC2"/>
            <w:tabs>
              <w:tab w:val="left" w:pos="1787"/>
            </w:tabs>
            <w:rPr>
              <w:rFonts w:eastAsiaTheme="minorEastAsia"/>
              <w:noProof/>
              <w:kern w:val="2"/>
              <w:lang w:eastAsia="en-AU"/>
              <w14:ligatures w14:val="standardContextual"/>
            </w:rPr>
          </w:pPr>
          <w:hyperlink w:anchor="_Toc153899551" w:history="1">
            <w:r w:rsidRPr="00B10F40">
              <w:rPr>
                <w:rStyle w:val="Hyperlink"/>
                <w:noProof/>
              </w:rPr>
              <w:t>Attachment 2:</w:t>
            </w:r>
            <w:r>
              <w:rPr>
                <w:rFonts w:eastAsiaTheme="minorEastAsia"/>
                <w:noProof/>
                <w:kern w:val="2"/>
                <w:lang w:eastAsia="en-AU"/>
                <w14:ligatures w14:val="standardContextual"/>
              </w:rPr>
              <w:tab/>
            </w:r>
            <w:r w:rsidRPr="00B10F40">
              <w:rPr>
                <w:rStyle w:val="Hyperlink"/>
                <w:noProof/>
              </w:rPr>
              <w:t>State and Territory Legislation and Bodies with responsibility for protecting the rights of LGBTQIA+ people</w:t>
            </w:r>
            <w:r>
              <w:rPr>
                <w:noProof/>
                <w:webHidden/>
              </w:rPr>
              <w:tab/>
            </w:r>
            <w:r>
              <w:rPr>
                <w:noProof/>
                <w:webHidden/>
              </w:rPr>
              <w:fldChar w:fldCharType="begin"/>
            </w:r>
            <w:r>
              <w:rPr>
                <w:noProof/>
                <w:webHidden/>
              </w:rPr>
              <w:instrText xml:space="preserve"> PAGEREF _Toc153899551 \h </w:instrText>
            </w:r>
            <w:r>
              <w:rPr>
                <w:noProof/>
                <w:webHidden/>
              </w:rPr>
            </w:r>
            <w:r>
              <w:rPr>
                <w:noProof/>
                <w:webHidden/>
              </w:rPr>
              <w:fldChar w:fldCharType="separate"/>
            </w:r>
            <w:r w:rsidR="00116DC6">
              <w:rPr>
                <w:noProof/>
                <w:webHidden/>
              </w:rPr>
              <w:t>123</w:t>
            </w:r>
            <w:r>
              <w:rPr>
                <w:noProof/>
                <w:webHidden/>
              </w:rPr>
              <w:fldChar w:fldCharType="end"/>
            </w:r>
          </w:hyperlink>
        </w:p>
        <w:p w14:paraId="4656288D" w14:textId="406E08FE" w:rsidR="00AF7557" w:rsidRDefault="00AF7557">
          <w:pPr>
            <w:pStyle w:val="TOC2"/>
            <w:rPr>
              <w:rFonts w:eastAsiaTheme="minorEastAsia"/>
              <w:noProof/>
              <w:kern w:val="2"/>
              <w:lang w:eastAsia="en-AU"/>
              <w14:ligatures w14:val="standardContextual"/>
            </w:rPr>
          </w:pPr>
          <w:hyperlink w:anchor="_Toc153899552" w:history="1">
            <w:r w:rsidRPr="00B10F40">
              <w:rPr>
                <w:rStyle w:val="Hyperlink"/>
                <w:noProof/>
              </w:rPr>
              <w:t>Attachment 3: Additional Commonwealth, state and territory policies and strategies</w:t>
            </w:r>
            <w:r>
              <w:rPr>
                <w:noProof/>
                <w:webHidden/>
              </w:rPr>
              <w:tab/>
            </w:r>
            <w:r>
              <w:rPr>
                <w:noProof/>
                <w:webHidden/>
              </w:rPr>
              <w:fldChar w:fldCharType="begin"/>
            </w:r>
            <w:r>
              <w:rPr>
                <w:noProof/>
                <w:webHidden/>
              </w:rPr>
              <w:instrText xml:space="preserve"> PAGEREF _Toc153899552 \h </w:instrText>
            </w:r>
            <w:r>
              <w:rPr>
                <w:noProof/>
                <w:webHidden/>
              </w:rPr>
            </w:r>
            <w:r>
              <w:rPr>
                <w:noProof/>
                <w:webHidden/>
              </w:rPr>
              <w:fldChar w:fldCharType="separate"/>
            </w:r>
            <w:r w:rsidR="00116DC6">
              <w:rPr>
                <w:noProof/>
                <w:webHidden/>
              </w:rPr>
              <w:t>125</w:t>
            </w:r>
            <w:r>
              <w:rPr>
                <w:noProof/>
                <w:webHidden/>
              </w:rPr>
              <w:fldChar w:fldCharType="end"/>
            </w:r>
          </w:hyperlink>
        </w:p>
        <w:p w14:paraId="725E86E1" w14:textId="56FFC40A" w:rsidR="00AF7557" w:rsidRDefault="00AF7557">
          <w:pPr>
            <w:pStyle w:val="TOC2"/>
            <w:tabs>
              <w:tab w:val="left" w:pos="1787"/>
            </w:tabs>
            <w:rPr>
              <w:rFonts w:eastAsiaTheme="minorEastAsia"/>
              <w:noProof/>
              <w:kern w:val="2"/>
              <w:lang w:eastAsia="en-AU"/>
              <w14:ligatures w14:val="standardContextual"/>
            </w:rPr>
          </w:pPr>
          <w:hyperlink w:anchor="_Toc153899553" w:history="1">
            <w:r w:rsidRPr="00B10F40">
              <w:rPr>
                <w:rStyle w:val="Hyperlink"/>
                <w:noProof/>
              </w:rPr>
              <w:t>Attachment 4:</w:t>
            </w:r>
            <w:r>
              <w:rPr>
                <w:rFonts w:eastAsiaTheme="minorEastAsia"/>
                <w:noProof/>
                <w:kern w:val="2"/>
                <w:lang w:eastAsia="en-AU"/>
                <w14:ligatures w14:val="standardContextual"/>
              </w:rPr>
              <w:tab/>
            </w:r>
            <w:r w:rsidRPr="00B10F40">
              <w:rPr>
                <w:rStyle w:val="Hyperlink"/>
                <w:noProof/>
              </w:rPr>
              <w:t>Subjects for further targeted research</w:t>
            </w:r>
            <w:r>
              <w:rPr>
                <w:noProof/>
                <w:webHidden/>
              </w:rPr>
              <w:tab/>
            </w:r>
            <w:r>
              <w:rPr>
                <w:noProof/>
                <w:webHidden/>
              </w:rPr>
              <w:fldChar w:fldCharType="begin"/>
            </w:r>
            <w:r>
              <w:rPr>
                <w:noProof/>
                <w:webHidden/>
              </w:rPr>
              <w:instrText xml:space="preserve"> PAGEREF _Toc153899553 \h </w:instrText>
            </w:r>
            <w:r>
              <w:rPr>
                <w:noProof/>
                <w:webHidden/>
              </w:rPr>
            </w:r>
            <w:r>
              <w:rPr>
                <w:noProof/>
                <w:webHidden/>
              </w:rPr>
              <w:fldChar w:fldCharType="separate"/>
            </w:r>
            <w:r w:rsidR="00116DC6">
              <w:rPr>
                <w:noProof/>
                <w:webHidden/>
              </w:rPr>
              <w:t>129</w:t>
            </w:r>
            <w:r>
              <w:rPr>
                <w:noProof/>
                <w:webHidden/>
              </w:rPr>
              <w:fldChar w:fldCharType="end"/>
            </w:r>
          </w:hyperlink>
        </w:p>
        <w:p w14:paraId="5501AC80" w14:textId="2F6967E4" w:rsidR="00260AC8" w:rsidRDefault="00260AC8" w:rsidP="006F350B">
          <w:pPr>
            <w:pStyle w:val="TOC2"/>
            <w:tabs>
              <w:tab w:val="left" w:pos="1787"/>
            </w:tabs>
            <w:ind w:left="0"/>
          </w:pPr>
          <w:r>
            <w:rPr>
              <w:b/>
              <w:bCs/>
              <w:noProof/>
            </w:rPr>
            <w:fldChar w:fldCharType="end"/>
          </w:r>
        </w:p>
      </w:sdtContent>
    </w:sdt>
    <w:p w14:paraId="0D8FA711" w14:textId="2EE403D5" w:rsidR="00CB257C" w:rsidRDefault="00442EE2" w:rsidP="00BC2D99">
      <w:pPr>
        <w:pStyle w:val="Heading1"/>
      </w:pPr>
      <w:bookmarkStart w:id="11" w:name="_Toc153899479"/>
      <w:r w:rsidRPr="00442EE2">
        <w:lastRenderedPageBreak/>
        <w:t>Glossary</w:t>
      </w:r>
      <w:bookmarkEnd w:id="11"/>
    </w:p>
    <w:tbl>
      <w:tblPr>
        <w:tblStyle w:val="PlainTable11"/>
        <w:tblW w:w="0" w:type="auto"/>
        <w:tblLook w:val="04A0" w:firstRow="1" w:lastRow="0" w:firstColumn="1" w:lastColumn="0" w:noHBand="0" w:noVBand="1"/>
      </w:tblPr>
      <w:tblGrid>
        <w:gridCol w:w="2977"/>
        <w:gridCol w:w="6039"/>
      </w:tblGrid>
      <w:tr w:rsidR="003A38D1" w:rsidRPr="009C7B65" w14:paraId="3134C663" w14:textId="77777777" w:rsidTr="009C7B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7D960190" w14:textId="0D50E5E4" w:rsidR="003A38D1" w:rsidRPr="009C7B65" w:rsidRDefault="009C7B65" w:rsidP="00C2399D">
            <w:pPr>
              <w:pStyle w:val="TableText"/>
            </w:pPr>
            <w:r w:rsidRPr="009C7B65">
              <w:t>Terms</w:t>
            </w:r>
          </w:p>
        </w:tc>
        <w:tc>
          <w:tcPr>
            <w:tcW w:w="6039" w:type="dxa"/>
          </w:tcPr>
          <w:p w14:paraId="7EC6F1BC" w14:textId="61C0F5E8" w:rsidR="003A38D1" w:rsidRPr="009C7B65" w:rsidRDefault="003A38D1" w:rsidP="00C2399D">
            <w:pPr>
              <w:pStyle w:val="TableText"/>
              <w:cnfStyle w:val="100000000000" w:firstRow="1" w:lastRow="0" w:firstColumn="0" w:lastColumn="0" w:oddVBand="0" w:evenVBand="0" w:oddHBand="0" w:evenHBand="0" w:firstRowFirstColumn="0" w:firstRowLastColumn="0" w:lastRowFirstColumn="0" w:lastRowLastColumn="0"/>
            </w:pPr>
            <w:r w:rsidRPr="009C7B65">
              <w:t>Glossary</w:t>
            </w:r>
          </w:p>
        </w:tc>
      </w:tr>
      <w:tr w:rsidR="00926F13" w:rsidRPr="00B64143" w14:paraId="2051EC89"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83475E5" w14:textId="1DFF35B8" w:rsidR="00926F13" w:rsidRPr="00B01AAA" w:rsidRDefault="00926F13" w:rsidP="00C2399D">
            <w:pPr>
              <w:pStyle w:val="TableText"/>
            </w:pPr>
            <w:r w:rsidRPr="00B01AAA">
              <w:t>ABS</w:t>
            </w:r>
          </w:p>
        </w:tc>
        <w:tc>
          <w:tcPr>
            <w:tcW w:w="6039" w:type="dxa"/>
          </w:tcPr>
          <w:p w14:paraId="4F9B9FE5" w14:textId="15D506D4" w:rsidR="00926F13" w:rsidRPr="00B01AAA" w:rsidRDefault="00926F13" w:rsidP="00C2399D">
            <w:pPr>
              <w:pStyle w:val="TableText"/>
              <w:cnfStyle w:val="000000100000" w:firstRow="0" w:lastRow="0" w:firstColumn="0" w:lastColumn="0" w:oddVBand="0" w:evenVBand="0" w:oddHBand="1" w:evenHBand="0" w:firstRowFirstColumn="0" w:firstRowLastColumn="0" w:lastRowFirstColumn="0" w:lastRowLastColumn="0"/>
            </w:pPr>
            <w:r w:rsidRPr="00B01AAA">
              <w:t>Australian Bureau of Statistics</w:t>
            </w:r>
          </w:p>
        </w:tc>
      </w:tr>
      <w:tr w:rsidR="008966B3" w:rsidRPr="00B64143" w14:paraId="28E51AEC"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5DB7B624" w14:textId="4FE54658" w:rsidR="008966B3" w:rsidRPr="00B01AAA" w:rsidRDefault="00FB3182" w:rsidP="00C2399D">
            <w:pPr>
              <w:pStyle w:val="TableText"/>
            </w:pPr>
            <w:r>
              <w:t>APA</w:t>
            </w:r>
          </w:p>
        </w:tc>
        <w:tc>
          <w:tcPr>
            <w:tcW w:w="6039" w:type="dxa"/>
          </w:tcPr>
          <w:p w14:paraId="6BD36C0D" w14:textId="40B43B10" w:rsidR="008966B3" w:rsidRPr="00B01AAA" w:rsidRDefault="00FB3182" w:rsidP="00C2399D">
            <w:pPr>
              <w:pStyle w:val="TableText"/>
              <w:cnfStyle w:val="000000000000" w:firstRow="0" w:lastRow="0" w:firstColumn="0" w:lastColumn="0" w:oddVBand="0" w:evenVBand="0" w:oddHBand="0" w:evenHBand="0" w:firstRowFirstColumn="0" w:firstRowLastColumn="0" w:lastRowFirstColumn="0" w:lastRowLastColumn="0"/>
            </w:pPr>
            <w:r>
              <w:t>American Psychiatric Association</w:t>
            </w:r>
          </w:p>
        </w:tc>
      </w:tr>
      <w:tr w:rsidR="008966B3" w:rsidRPr="00B64143" w14:paraId="73F97E2C"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80FA83E" w14:textId="6E2C5AE0" w:rsidR="008966B3" w:rsidRPr="00B01AAA" w:rsidRDefault="00FB3182" w:rsidP="00C2399D">
            <w:pPr>
              <w:pStyle w:val="TableText"/>
            </w:pPr>
            <w:r>
              <w:t>APS</w:t>
            </w:r>
          </w:p>
        </w:tc>
        <w:tc>
          <w:tcPr>
            <w:tcW w:w="6039" w:type="dxa"/>
          </w:tcPr>
          <w:p w14:paraId="5BB61967" w14:textId="4A810142" w:rsidR="008966B3" w:rsidRPr="00B01AAA" w:rsidRDefault="00FB3182" w:rsidP="00C2399D">
            <w:pPr>
              <w:pStyle w:val="TableText"/>
              <w:cnfStyle w:val="000000100000" w:firstRow="0" w:lastRow="0" w:firstColumn="0" w:lastColumn="0" w:oddVBand="0" w:evenVBand="0" w:oddHBand="1" w:evenHBand="0" w:firstRowFirstColumn="0" w:firstRowLastColumn="0" w:lastRowFirstColumn="0" w:lastRowLastColumn="0"/>
            </w:pPr>
            <w:r>
              <w:t>Australian Psychological Society</w:t>
            </w:r>
          </w:p>
        </w:tc>
      </w:tr>
      <w:tr w:rsidR="005B5552" w:rsidRPr="00B64143" w14:paraId="48E0435D"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0321DE3D" w14:textId="2232A5E9" w:rsidR="005B5552" w:rsidRPr="00156D09" w:rsidRDefault="005B5552" w:rsidP="00C2399D">
            <w:pPr>
              <w:pStyle w:val="TableText"/>
            </w:pPr>
            <w:r w:rsidRPr="00156D09">
              <w:t>Asexual</w:t>
            </w:r>
            <w:r w:rsidR="00156D09" w:rsidRPr="00156D09">
              <w:t xml:space="preserve"> </w:t>
            </w:r>
          </w:p>
        </w:tc>
        <w:tc>
          <w:tcPr>
            <w:tcW w:w="6039" w:type="dxa"/>
          </w:tcPr>
          <w:p w14:paraId="45578042" w14:textId="6DCD4557" w:rsidR="005B5552" w:rsidRPr="00156D09" w:rsidRDefault="00F2254B" w:rsidP="00C2399D">
            <w:pPr>
              <w:pStyle w:val="TableText"/>
              <w:cnfStyle w:val="000000000000" w:firstRow="0" w:lastRow="0" w:firstColumn="0" w:lastColumn="0" w:oddVBand="0" w:evenVBand="0" w:oddHBand="0" w:evenHBand="0" w:firstRowFirstColumn="0" w:firstRowLastColumn="0" w:lastRowFirstColumn="0" w:lastRowLastColumn="0"/>
            </w:pPr>
            <w:r w:rsidRPr="00156D09">
              <w:t>The</w:t>
            </w:r>
            <w:r w:rsidR="00835AB7" w:rsidRPr="00156D09">
              <w:t xml:space="preserve"> term asexual</w:t>
            </w:r>
            <w:r w:rsidRPr="00156D09">
              <w:t xml:space="preserve"> specifically refers</w:t>
            </w:r>
            <w:r w:rsidR="005B5552" w:rsidRPr="00156D09">
              <w:t xml:space="preserve"> to people who experience little to no sexual attraction or desire for sexual contact</w:t>
            </w:r>
            <w:r w:rsidR="00DA098C">
              <w:t>. H</w:t>
            </w:r>
            <w:r w:rsidRPr="00156D09">
              <w:t xml:space="preserve">owever, </w:t>
            </w:r>
            <w:r w:rsidR="00156D09" w:rsidRPr="00156D09">
              <w:t xml:space="preserve">the term asexual is also used to describe </w:t>
            </w:r>
            <w:r w:rsidR="00BF567B" w:rsidRPr="00156D09">
              <w:t xml:space="preserve">people </w:t>
            </w:r>
            <w:r w:rsidR="00820AF9" w:rsidRPr="00156D09">
              <w:t xml:space="preserve">across a spectrum </w:t>
            </w:r>
            <w:r w:rsidR="00BF567B" w:rsidRPr="00156D09">
              <w:t>with</w:t>
            </w:r>
            <w:r w:rsidR="005B5552" w:rsidRPr="00156D09">
              <w:t xml:space="preserve"> varied experiences, levels, </w:t>
            </w:r>
            <w:r w:rsidR="00BF567B" w:rsidRPr="00156D09">
              <w:t>and</w:t>
            </w:r>
            <w:r w:rsidR="005B5552" w:rsidRPr="00156D09">
              <w:t xml:space="preserve"> consistency of sexual attraction. </w:t>
            </w:r>
            <w:r w:rsidR="00156D09" w:rsidRPr="00156D09">
              <w:t>This includes ‘gray-sexual’ people and demi-sexual people, among others.</w:t>
            </w:r>
            <w:r w:rsidR="005B5552" w:rsidRPr="00156D09">
              <w:t xml:space="preserve"> </w:t>
            </w:r>
          </w:p>
        </w:tc>
      </w:tr>
      <w:tr w:rsidR="00926F13" w:rsidRPr="00B64143" w14:paraId="21BCEB25"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9CD1EC1" w14:textId="3F5CE62E" w:rsidR="004E0C10" w:rsidRPr="00B01AAA" w:rsidRDefault="00B01AAA" w:rsidP="00C2399D">
            <w:pPr>
              <w:pStyle w:val="TableText"/>
            </w:pPr>
            <w:r w:rsidRPr="00B01AAA">
              <w:t>CALD</w:t>
            </w:r>
          </w:p>
        </w:tc>
        <w:tc>
          <w:tcPr>
            <w:tcW w:w="6039" w:type="dxa"/>
          </w:tcPr>
          <w:p w14:paraId="4D21B8D7" w14:textId="4C6A14F4" w:rsidR="004E0C10" w:rsidRPr="00B01AAA" w:rsidRDefault="006454B3" w:rsidP="00C2399D">
            <w:pPr>
              <w:pStyle w:val="TableText"/>
              <w:cnfStyle w:val="000000100000" w:firstRow="0" w:lastRow="0" w:firstColumn="0" w:lastColumn="0" w:oddVBand="0" w:evenVBand="0" w:oddHBand="1" w:evenHBand="0" w:firstRowFirstColumn="0" w:firstRowLastColumn="0" w:lastRowFirstColumn="0" w:lastRowLastColumn="0"/>
            </w:pPr>
            <w:r>
              <w:t>Culturally and linguistically diverse</w:t>
            </w:r>
          </w:p>
        </w:tc>
      </w:tr>
      <w:tr w:rsidR="00615DC1" w:rsidRPr="00B64143" w14:paraId="38B3C690"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3B5827FA" w14:textId="4FE3F4E7" w:rsidR="00615DC1" w:rsidRPr="00B01AAA" w:rsidRDefault="00615DC1" w:rsidP="00C2399D">
            <w:pPr>
              <w:pStyle w:val="TableText"/>
            </w:pPr>
            <w:r>
              <w:t>CBT</w:t>
            </w:r>
          </w:p>
        </w:tc>
        <w:tc>
          <w:tcPr>
            <w:tcW w:w="6039" w:type="dxa"/>
          </w:tcPr>
          <w:p w14:paraId="400270F2" w14:textId="5EEA60AF" w:rsidR="00615DC1" w:rsidRDefault="00615DC1" w:rsidP="00C2399D">
            <w:pPr>
              <w:pStyle w:val="TableText"/>
              <w:cnfStyle w:val="000000000000" w:firstRow="0" w:lastRow="0" w:firstColumn="0" w:lastColumn="0" w:oddVBand="0" w:evenVBand="0" w:oddHBand="0" w:evenHBand="0" w:firstRowFirstColumn="0" w:firstRowLastColumn="0" w:lastRowFirstColumn="0" w:lastRowLastColumn="0"/>
            </w:pPr>
            <w:r>
              <w:t>Cognitive behavioural therapy</w:t>
            </w:r>
          </w:p>
        </w:tc>
      </w:tr>
      <w:tr w:rsidR="008962C8" w:rsidRPr="00B64143" w14:paraId="4428418F"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5F560DB" w14:textId="77777777" w:rsidR="008962C8" w:rsidRPr="00B01AAA" w:rsidRDefault="008962C8" w:rsidP="00C2399D">
            <w:pPr>
              <w:pStyle w:val="TableText"/>
            </w:pPr>
            <w:r w:rsidRPr="00B01AAA">
              <w:t>Department</w:t>
            </w:r>
          </w:p>
        </w:tc>
        <w:tc>
          <w:tcPr>
            <w:tcW w:w="6039" w:type="dxa"/>
          </w:tcPr>
          <w:p w14:paraId="01917453" w14:textId="77777777" w:rsidR="008962C8" w:rsidRPr="00B01AAA" w:rsidRDefault="008962C8" w:rsidP="00C2399D">
            <w:pPr>
              <w:pStyle w:val="TableText"/>
              <w:cnfStyle w:val="000000100000" w:firstRow="0" w:lastRow="0" w:firstColumn="0" w:lastColumn="0" w:oddVBand="0" w:evenVBand="0" w:oddHBand="1" w:evenHBand="0" w:firstRowFirstColumn="0" w:firstRowLastColumn="0" w:lastRowFirstColumn="0" w:lastRowLastColumn="0"/>
            </w:pPr>
            <w:r w:rsidRPr="00B01AAA">
              <w:t>Commonwealth Department of Health and Aged Care</w:t>
            </w:r>
          </w:p>
        </w:tc>
      </w:tr>
      <w:tr w:rsidR="00615DC1" w:rsidRPr="00B64143" w14:paraId="16DFFDBB"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51CD2262" w14:textId="04E58E20" w:rsidR="00615DC1" w:rsidRPr="00B01AAA" w:rsidRDefault="00615DC1" w:rsidP="00C2399D">
            <w:pPr>
              <w:pStyle w:val="TableText"/>
            </w:pPr>
            <w:r>
              <w:t>DSM</w:t>
            </w:r>
          </w:p>
        </w:tc>
        <w:tc>
          <w:tcPr>
            <w:tcW w:w="6039" w:type="dxa"/>
          </w:tcPr>
          <w:p w14:paraId="45ACF280" w14:textId="733F4206" w:rsidR="00615DC1" w:rsidRPr="00B01AAA" w:rsidRDefault="00615DC1" w:rsidP="00C2399D">
            <w:pPr>
              <w:pStyle w:val="TableText"/>
              <w:cnfStyle w:val="000000000000" w:firstRow="0" w:lastRow="0" w:firstColumn="0" w:lastColumn="0" w:oddVBand="0" w:evenVBand="0" w:oddHBand="0" w:evenHBand="0" w:firstRowFirstColumn="0" w:firstRowLastColumn="0" w:lastRowFirstColumn="0" w:lastRowLastColumn="0"/>
            </w:pPr>
            <w:r>
              <w:t>Diagnostic Statistical Manual</w:t>
            </w:r>
          </w:p>
        </w:tc>
      </w:tr>
      <w:tr w:rsidR="00CB257C" w:rsidRPr="00B64143" w14:paraId="19165169"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9844ED3" w14:textId="4E94EECD" w:rsidR="00CB257C" w:rsidRPr="00B01AAA" w:rsidRDefault="00D074CF" w:rsidP="00C2399D">
            <w:pPr>
              <w:pStyle w:val="TableText"/>
            </w:pPr>
            <w:r w:rsidRPr="00B01AAA">
              <w:t>GP</w:t>
            </w:r>
          </w:p>
        </w:tc>
        <w:tc>
          <w:tcPr>
            <w:tcW w:w="6039" w:type="dxa"/>
          </w:tcPr>
          <w:p w14:paraId="23D0B757" w14:textId="57402AC3" w:rsidR="00CB257C" w:rsidRPr="00B01AAA" w:rsidRDefault="00D074CF" w:rsidP="00C2399D">
            <w:pPr>
              <w:pStyle w:val="TableText"/>
              <w:cnfStyle w:val="000000100000" w:firstRow="0" w:lastRow="0" w:firstColumn="0" w:lastColumn="0" w:oddVBand="0" w:evenVBand="0" w:oddHBand="1" w:evenHBand="0" w:firstRowFirstColumn="0" w:firstRowLastColumn="0" w:lastRowFirstColumn="0" w:lastRowLastColumn="0"/>
            </w:pPr>
            <w:r w:rsidRPr="00B01AAA">
              <w:t xml:space="preserve">General </w:t>
            </w:r>
            <w:r w:rsidR="00243193" w:rsidRPr="00B01AAA">
              <w:t>Practitioner</w:t>
            </w:r>
          </w:p>
        </w:tc>
      </w:tr>
      <w:tr w:rsidR="0038439A" w:rsidRPr="00B64143" w14:paraId="552F280F"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38197353" w14:textId="581283F7" w:rsidR="0038439A" w:rsidRPr="00B01AAA" w:rsidRDefault="0038439A" w:rsidP="00C2399D">
            <w:pPr>
              <w:pStyle w:val="TableText"/>
            </w:pPr>
            <w:r>
              <w:t>GSS</w:t>
            </w:r>
          </w:p>
        </w:tc>
        <w:tc>
          <w:tcPr>
            <w:tcW w:w="6039" w:type="dxa"/>
          </w:tcPr>
          <w:p w14:paraId="436A042E" w14:textId="2C805204" w:rsidR="0038439A" w:rsidRPr="00B01AAA" w:rsidRDefault="0038439A" w:rsidP="00C2399D">
            <w:pPr>
              <w:pStyle w:val="TableText"/>
              <w:cnfStyle w:val="000000000000" w:firstRow="0" w:lastRow="0" w:firstColumn="0" w:lastColumn="0" w:oddVBand="0" w:evenVBand="0" w:oddHBand="0" w:evenHBand="0" w:firstRowFirstColumn="0" w:firstRowLastColumn="0" w:lastRowFirstColumn="0" w:lastRowLastColumn="0"/>
            </w:pPr>
            <w:r>
              <w:t>General Social Survey</w:t>
            </w:r>
          </w:p>
        </w:tc>
      </w:tr>
      <w:tr w:rsidR="00A031DB" w:rsidRPr="00B64143" w14:paraId="3D62F871"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8B445F3" w14:textId="114D2AEE" w:rsidR="00A031DB" w:rsidRPr="00156D09" w:rsidRDefault="007F65FC" w:rsidP="00C2399D">
            <w:pPr>
              <w:pStyle w:val="TableText"/>
            </w:pPr>
            <w:r>
              <w:t xml:space="preserve">People with innate </w:t>
            </w:r>
            <w:r w:rsidR="008E68F8">
              <w:t>variations of sex characteristics</w:t>
            </w:r>
          </w:p>
        </w:tc>
        <w:tc>
          <w:tcPr>
            <w:tcW w:w="6039" w:type="dxa"/>
          </w:tcPr>
          <w:p w14:paraId="56EC2C0E" w14:textId="23481038" w:rsidR="00A031DB" w:rsidRPr="00156D09" w:rsidRDefault="00BF567B" w:rsidP="00C2399D">
            <w:pPr>
              <w:pStyle w:val="TableText"/>
              <w:cnfStyle w:val="000000100000" w:firstRow="0" w:lastRow="0" w:firstColumn="0" w:lastColumn="0" w:oddVBand="0" w:evenVBand="0" w:oddHBand="1" w:evenHBand="0" w:firstRowFirstColumn="0" w:firstRowLastColumn="0" w:lastRowFirstColumn="0" w:lastRowLastColumn="0"/>
            </w:pPr>
            <w:r w:rsidRPr="00156D09">
              <w:t>A term</w:t>
            </w:r>
            <w:r w:rsidR="00FA1707" w:rsidRPr="00156D09">
              <w:t xml:space="preserve"> used to </w:t>
            </w:r>
            <w:r w:rsidR="00FF3E2A" w:rsidRPr="00156D09">
              <w:t xml:space="preserve">describe a </w:t>
            </w:r>
            <w:r w:rsidR="00716CD4" w:rsidRPr="00156D09">
              <w:t>people</w:t>
            </w:r>
            <w:r w:rsidR="00FF3E2A" w:rsidRPr="00156D09">
              <w:t xml:space="preserve"> with a variety of bodies with genetic, chromosomal, hormonal, and physical variations outside the binary norms of male and female bodies.</w:t>
            </w:r>
            <w:r w:rsidR="008E68F8">
              <w:t xml:space="preserve"> Commonly referred to as intersex people, t</w:t>
            </w:r>
            <w:r w:rsidR="00156D09">
              <w:t>he literature also</w:t>
            </w:r>
            <w:r w:rsidR="00FF3E2A" w:rsidRPr="00156D09">
              <w:t xml:space="preserve"> uses </w:t>
            </w:r>
            <w:r w:rsidR="00156D09">
              <w:t xml:space="preserve">a variety of </w:t>
            </w:r>
            <w:r w:rsidR="00265437" w:rsidRPr="00156D09">
              <w:t xml:space="preserve">other terms including </w:t>
            </w:r>
            <w:r w:rsidR="005B5552" w:rsidRPr="00156D09">
              <w:t>diverse sex development</w:t>
            </w:r>
            <w:r w:rsidR="008E68F8">
              <w:t>.</w:t>
            </w:r>
          </w:p>
        </w:tc>
      </w:tr>
      <w:tr w:rsidR="00A24F24" w:rsidRPr="00B64143" w14:paraId="0BDD35B9"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3A2E3553" w14:textId="264E84A8" w:rsidR="00A24F24" w:rsidRDefault="00A24F24" w:rsidP="00C2399D">
            <w:pPr>
              <w:pStyle w:val="TableText"/>
            </w:pPr>
            <w:r>
              <w:t>IPV</w:t>
            </w:r>
          </w:p>
        </w:tc>
        <w:tc>
          <w:tcPr>
            <w:tcW w:w="6039" w:type="dxa"/>
          </w:tcPr>
          <w:p w14:paraId="19C0933C" w14:textId="218276F5" w:rsidR="00A24F24" w:rsidRDefault="00A24F24" w:rsidP="00C2399D">
            <w:pPr>
              <w:pStyle w:val="TableText"/>
              <w:cnfStyle w:val="000000000000" w:firstRow="0" w:lastRow="0" w:firstColumn="0" w:lastColumn="0" w:oddVBand="0" w:evenVBand="0" w:oddHBand="0" w:evenHBand="0" w:firstRowFirstColumn="0" w:firstRowLastColumn="0" w:lastRowFirstColumn="0" w:lastRowLastColumn="0"/>
            </w:pPr>
            <w:r>
              <w:t>Intimate partner violence</w:t>
            </w:r>
          </w:p>
        </w:tc>
      </w:tr>
      <w:tr w:rsidR="00CB257C" w:rsidRPr="00B64143" w14:paraId="3F7DA08C"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83DE398" w14:textId="27DD90D3" w:rsidR="00CB257C" w:rsidRPr="00B01AAA" w:rsidRDefault="00561CDC" w:rsidP="00C2399D">
            <w:pPr>
              <w:pStyle w:val="TableText"/>
            </w:pPr>
            <w:r w:rsidRPr="00B01AAA">
              <w:t>KRQ</w:t>
            </w:r>
          </w:p>
        </w:tc>
        <w:tc>
          <w:tcPr>
            <w:tcW w:w="6039" w:type="dxa"/>
          </w:tcPr>
          <w:p w14:paraId="4950E568" w14:textId="3D380EEB" w:rsidR="00CB257C" w:rsidRPr="00B01AAA" w:rsidRDefault="00561CDC" w:rsidP="00C2399D">
            <w:pPr>
              <w:pStyle w:val="TableText"/>
              <w:cnfStyle w:val="000000100000" w:firstRow="0" w:lastRow="0" w:firstColumn="0" w:lastColumn="0" w:oddVBand="0" w:evenVBand="0" w:oddHBand="1" w:evenHBand="0" w:firstRowFirstColumn="0" w:firstRowLastColumn="0" w:lastRowFirstColumn="0" w:lastRowLastColumn="0"/>
            </w:pPr>
            <w:r w:rsidRPr="00B01AAA">
              <w:t>Key Research Questions</w:t>
            </w:r>
          </w:p>
        </w:tc>
      </w:tr>
      <w:tr w:rsidR="00CB257C" w:rsidRPr="00B64143" w14:paraId="0CDE4682"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5184E590" w14:textId="5AA8D058" w:rsidR="00CB257C" w:rsidRPr="00B01AAA" w:rsidRDefault="00CB257C" w:rsidP="00C2399D">
            <w:pPr>
              <w:pStyle w:val="TableText"/>
            </w:pPr>
            <w:r w:rsidRPr="00B01AAA">
              <w:t>LGBT</w:t>
            </w:r>
            <w:r w:rsidR="00655E5C">
              <w:t>Q</w:t>
            </w:r>
            <w:r w:rsidRPr="00B01AAA">
              <w:t>+</w:t>
            </w:r>
          </w:p>
        </w:tc>
        <w:tc>
          <w:tcPr>
            <w:tcW w:w="6039" w:type="dxa"/>
          </w:tcPr>
          <w:p w14:paraId="44A79C6E" w14:textId="6D87A1D8" w:rsidR="00732578" w:rsidRDefault="00732578" w:rsidP="00C2399D">
            <w:pPr>
              <w:pStyle w:val="TableText"/>
              <w:cnfStyle w:val="000000000000" w:firstRow="0" w:lastRow="0" w:firstColumn="0" w:lastColumn="0" w:oddVBand="0" w:evenVBand="0" w:oddHBand="0" w:evenHBand="0" w:firstRowFirstColumn="0" w:firstRowLastColumn="0" w:lastRowFirstColumn="0" w:lastRowLastColumn="0"/>
            </w:pPr>
            <w:r w:rsidRPr="00732578">
              <w:t>LGBTQ+ is an umbrella term used to refer to people of diverse genders and sexual orientations, including</w:t>
            </w:r>
            <w:r w:rsidR="00640780">
              <w:t>,</w:t>
            </w:r>
            <w:r w:rsidRPr="00732578">
              <w:t xml:space="preserve"> but not limited to</w:t>
            </w:r>
            <w:r w:rsidR="00640780">
              <w:t>,</w:t>
            </w:r>
            <w:r w:rsidRPr="00732578">
              <w:t xml:space="preserve"> people who identify as lesbian, gay, bisexual, trans</w:t>
            </w:r>
            <w:r w:rsidR="002C085F">
              <w:t>,</w:t>
            </w:r>
            <w:r w:rsidRPr="00732578">
              <w:t xml:space="preserve"> and gender diverse, queer, and pansexual. </w:t>
            </w:r>
          </w:p>
          <w:p w14:paraId="7267A2D2" w14:textId="4E6623BE" w:rsidR="00CB257C" w:rsidRPr="00CF4083" w:rsidRDefault="00CE4A50" w:rsidP="00C2399D">
            <w:pPr>
              <w:pStyle w:val="TableText"/>
              <w:cnfStyle w:val="000000000000" w:firstRow="0" w:lastRow="0" w:firstColumn="0" w:lastColumn="0" w:oddVBand="0" w:evenVBand="0" w:oddHBand="0" w:evenHBand="0" w:firstRowFirstColumn="0" w:firstRowLastColumn="0" w:lastRowFirstColumn="0" w:lastRowLastColumn="0"/>
            </w:pPr>
            <w:r w:rsidRPr="00CF4083">
              <w:rPr>
                <w:u w:val="single"/>
              </w:rPr>
              <w:t>Note</w:t>
            </w:r>
            <w:r w:rsidRPr="00CF4083">
              <w:t xml:space="preserve">: </w:t>
            </w:r>
            <w:r w:rsidR="00E07804">
              <w:t>In this report t</w:t>
            </w:r>
            <w:r w:rsidR="00116E63" w:rsidRPr="00116E63">
              <w:t xml:space="preserve">he LGBTQ+ abbreviation is </w:t>
            </w:r>
            <w:r w:rsidR="00B21F72">
              <w:t>used</w:t>
            </w:r>
            <w:r w:rsidR="00116E63" w:rsidRPr="00116E63">
              <w:t xml:space="preserve"> when broadly referring to specialist policies and services, some of which </w:t>
            </w:r>
            <w:r w:rsidR="00BF0536">
              <w:t xml:space="preserve">may include </w:t>
            </w:r>
            <w:r w:rsidR="00180B23">
              <w:t xml:space="preserve">a </w:t>
            </w:r>
            <w:r w:rsidR="00707767">
              <w:t xml:space="preserve">different </w:t>
            </w:r>
            <w:r w:rsidR="00180B23">
              <w:t xml:space="preserve">range of </w:t>
            </w:r>
            <w:r w:rsidR="00116E63" w:rsidRPr="00116E63">
              <w:t>groups. However, alternative abbreviations are used to indicate the precise groups covered by</w:t>
            </w:r>
            <w:r w:rsidR="00CA7106">
              <w:t xml:space="preserve"> </w:t>
            </w:r>
            <w:r w:rsidR="00280605">
              <w:t xml:space="preserve">a </w:t>
            </w:r>
            <w:r w:rsidR="00116E63" w:rsidRPr="00116E63">
              <w:t>specific service, polic</w:t>
            </w:r>
            <w:r w:rsidR="00280605">
              <w:t>y</w:t>
            </w:r>
            <w:r w:rsidR="00CA7106">
              <w:t>,</w:t>
            </w:r>
            <w:r w:rsidR="00116E63" w:rsidRPr="00116E63">
              <w:t xml:space="preserve"> or research stud</w:t>
            </w:r>
            <w:r w:rsidR="00280605">
              <w:t>y</w:t>
            </w:r>
            <w:r w:rsidR="00116E63" w:rsidRPr="00116E63">
              <w:t>.</w:t>
            </w:r>
          </w:p>
        </w:tc>
      </w:tr>
      <w:tr w:rsidR="00CB257C" w:rsidRPr="00B64143" w14:paraId="0B659183"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6439236" w14:textId="7FDFFD1E" w:rsidR="003A1666" w:rsidRPr="00B01AAA" w:rsidRDefault="259E306B" w:rsidP="00C2399D">
            <w:pPr>
              <w:pStyle w:val="TableText"/>
            </w:pPr>
            <w:r w:rsidRPr="00B01AAA">
              <w:lastRenderedPageBreak/>
              <w:t>LGBTQ</w:t>
            </w:r>
            <w:r w:rsidR="007E794C">
              <w:t>+</w:t>
            </w:r>
            <w:r w:rsidRPr="00B01AAA">
              <w:t>SB</w:t>
            </w:r>
          </w:p>
        </w:tc>
        <w:tc>
          <w:tcPr>
            <w:tcW w:w="6039" w:type="dxa"/>
          </w:tcPr>
          <w:p w14:paraId="294D092B" w14:textId="14B0C14C" w:rsidR="0078755E" w:rsidRPr="00B01AAA" w:rsidRDefault="48E2C22C" w:rsidP="00C2399D">
            <w:pPr>
              <w:pStyle w:val="TableText"/>
              <w:cnfStyle w:val="000000100000" w:firstRow="0" w:lastRow="0" w:firstColumn="0" w:lastColumn="0" w:oddVBand="0" w:evenVBand="0" w:oddHBand="1" w:evenHBand="0" w:firstRowFirstColumn="0" w:firstRowLastColumn="0" w:lastRowFirstColumn="0" w:lastRowLastColumn="0"/>
            </w:pPr>
            <w:r w:rsidRPr="00B01AAA">
              <w:t xml:space="preserve">LGBTQ+ people including Sistergirl </w:t>
            </w:r>
            <w:r w:rsidR="00582670" w:rsidRPr="00B01AAA">
              <w:t xml:space="preserve">(S) </w:t>
            </w:r>
            <w:r w:rsidRPr="00B01AAA">
              <w:t>and Brotherboy</w:t>
            </w:r>
            <w:r w:rsidR="00582670" w:rsidRPr="00B01AAA">
              <w:t xml:space="preserve"> (B)</w:t>
            </w:r>
            <w:r w:rsidR="00FD1ADF" w:rsidRPr="00B01AAA">
              <w:t xml:space="preserve">. </w:t>
            </w:r>
            <w:r w:rsidR="00582670" w:rsidRPr="00B01AAA">
              <w:t xml:space="preserve">SB </w:t>
            </w:r>
            <w:r w:rsidR="00FD1ADF" w:rsidRPr="00B01AAA">
              <w:t xml:space="preserve">is </w:t>
            </w:r>
            <w:r w:rsidR="00582670" w:rsidRPr="00B01AAA">
              <w:t xml:space="preserve">the </w:t>
            </w:r>
            <w:r w:rsidR="00FD1ADF" w:rsidRPr="00B01AAA">
              <w:t xml:space="preserve">preferred </w:t>
            </w:r>
            <w:r w:rsidR="00416BE0" w:rsidRPr="00B01AAA">
              <w:t xml:space="preserve">term </w:t>
            </w:r>
            <w:r w:rsidR="00582670" w:rsidRPr="00B01AAA">
              <w:t xml:space="preserve">used in </w:t>
            </w:r>
            <w:r w:rsidR="00FD1ADF" w:rsidRPr="00B01AAA">
              <w:t xml:space="preserve">some </w:t>
            </w:r>
            <w:r w:rsidR="00E5141E" w:rsidRPr="00B01AAA">
              <w:t>Aboriginal and Torres Islander</w:t>
            </w:r>
            <w:r w:rsidR="00D9021F" w:rsidRPr="00B01AAA">
              <w:t xml:space="preserve"> communities</w:t>
            </w:r>
            <w:r w:rsidR="00DA3C39">
              <w:t>.</w:t>
            </w:r>
          </w:p>
        </w:tc>
      </w:tr>
      <w:tr w:rsidR="00582670" w:rsidRPr="00B64143" w14:paraId="35EDEA6A"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6AD9A5E6" w14:textId="6D28B47E" w:rsidR="001A6DB4" w:rsidRPr="00B01AAA" w:rsidRDefault="00054BEE" w:rsidP="00C2399D">
            <w:pPr>
              <w:pStyle w:val="TableText"/>
            </w:pPr>
            <w:r>
              <w:t>LH</w:t>
            </w:r>
            <w:r w:rsidR="008B61E4">
              <w:t>D</w:t>
            </w:r>
          </w:p>
        </w:tc>
        <w:tc>
          <w:tcPr>
            <w:tcW w:w="6039" w:type="dxa"/>
          </w:tcPr>
          <w:p w14:paraId="3ABE69CF" w14:textId="08B0CF26" w:rsidR="00A72924" w:rsidRPr="00B01AAA" w:rsidRDefault="00054BEE" w:rsidP="00C2399D">
            <w:pPr>
              <w:pStyle w:val="TableText"/>
              <w:cnfStyle w:val="000000000000" w:firstRow="0" w:lastRow="0" w:firstColumn="0" w:lastColumn="0" w:oddVBand="0" w:evenVBand="0" w:oddHBand="0" w:evenHBand="0" w:firstRowFirstColumn="0" w:firstRowLastColumn="0" w:lastRowFirstColumn="0" w:lastRowLastColumn="0"/>
            </w:pPr>
            <w:r>
              <w:t xml:space="preserve">Local Health </w:t>
            </w:r>
            <w:r w:rsidR="008B61E4">
              <w:t>District</w:t>
            </w:r>
          </w:p>
        </w:tc>
      </w:tr>
      <w:tr w:rsidR="00AF1A4D" w:rsidRPr="00B64143" w14:paraId="79D31A54"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1A85E70" w14:textId="7F03E960" w:rsidR="00AF1A4D" w:rsidRPr="00DA098C" w:rsidRDefault="00AF1A4D" w:rsidP="00C2399D">
            <w:pPr>
              <w:pStyle w:val="TableText"/>
            </w:pPr>
            <w:r w:rsidRPr="00DA098C">
              <w:t>Lived experience</w:t>
            </w:r>
          </w:p>
        </w:tc>
        <w:tc>
          <w:tcPr>
            <w:tcW w:w="6039" w:type="dxa"/>
          </w:tcPr>
          <w:p w14:paraId="133BD7D1" w14:textId="3B139A02" w:rsidR="00AF1A4D" w:rsidRPr="00DA098C" w:rsidRDefault="00C07F4C" w:rsidP="00C2399D">
            <w:pPr>
              <w:pStyle w:val="TableText"/>
              <w:cnfStyle w:val="000000100000" w:firstRow="0" w:lastRow="0" w:firstColumn="0" w:lastColumn="0" w:oddVBand="0" w:evenVBand="0" w:oddHBand="1" w:evenHBand="0" w:firstRowFirstColumn="0" w:firstRowLastColumn="0" w:lastRowFirstColumn="0" w:lastRowLastColumn="0"/>
            </w:pPr>
            <w:r w:rsidRPr="00DA098C">
              <w:t>Unless qualified</w:t>
            </w:r>
            <w:r w:rsidR="00C80010" w:rsidRPr="00DA098C">
              <w:t xml:space="preserve">, </w:t>
            </w:r>
            <w:r w:rsidRPr="00DA098C">
              <w:t>in</w:t>
            </w:r>
            <w:r w:rsidR="00C80010" w:rsidRPr="00DA098C">
              <w:t xml:space="preserve"> this paper</w:t>
            </w:r>
            <w:r w:rsidR="00640780">
              <w:t>,</w:t>
            </w:r>
            <w:r w:rsidRPr="00DA098C">
              <w:t xml:space="preserve"> refe</w:t>
            </w:r>
            <w:r w:rsidR="00401677" w:rsidRPr="00DA098C">
              <w:t xml:space="preserve">rences to </w:t>
            </w:r>
            <w:r w:rsidR="00C80010" w:rsidRPr="00DA098C">
              <w:t xml:space="preserve">lived experience refers to </w:t>
            </w:r>
            <w:r w:rsidR="00401677" w:rsidRPr="00DA098C">
              <w:t xml:space="preserve">a) </w:t>
            </w:r>
            <w:r w:rsidR="00C80010" w:rsidRPr="00DA098C">
              <w:t>people with a lived experience of mental health challenges</w:t>
            </w:r>
            <w:r w:rsidRPr="00DA098C">
              <w:t xml:space="preserve"> and/</w:t>
            </w:r>
            <w:r w:rsidR="00401677" w:rsidRPr="00DA098C">
              <w:t xml:space="preserve">or </w:t>
            </w:r>
            <w:r w:rsidR="00C80010" w:rsidRPr="00DA098C">
              <w:t>suicidality</w:t>
            </w:r>
            <w:r w:rsidR="00640780">
              <w:t>,</w:t>
            </w:r>
            <w:r w:rsidR="00C80010" w:rsidRPr="00DA098C">
              <w:t xml:space="preserve"> and/or </w:t>
            </w:r>
            <w:r w:rsidR="00401677" w:rsidRPr="00DA098C">
              <w:t xml:space="preserve">b) </w:t>
            </w:r>
            <w:r w:rsidR="00C80010" w:rsidRPr="00DA098C">
              <w:t>mental health</w:t>
            </w:r>
            <w:r w:rsidR="00B07435" w:rsidRPr="00DA098C">
              <w:t xml:space="preserve"> and suicide prevention</w:t>
            </w:r>
            <w:r w:rsidR="00C80010" w:rsidRPr="00DA098C">
              <w:t xml:space="preserve"> service use.</w:t>
            </w:r>
            <w:r w:rsidR="00401677" w:rsidRPr="00DA098C">
              <w:t xml:space="preserve"> </w:t>
            </w:r>
          </w:p>
        </w:tc>
      </w:tr>
      <w:tr w:rsidR="00AF7DF4" w:rsidRPr="00B64143" w14:paraId="7F56C8F4"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4776AB26" w14:textId="54AC323D" w:rsidR="00AF7DF4" w:rsidRPr="00DA098C" w:rsidRDefault="00AF7DF4" w:rsidP="00C2399D">
            <w:pPr>
              <w:pStyle w:val="TableText"/>
            </w:pPr>
            <w:r>
              <w:t>Life-interrupting mental health challenges</w:t>
            </w:r>
          </w:p>
        </w:tc>
        <w:tc>
          <w:tcPr>
            <w:tcW w:w="6039" w:type="dxa"/>
          </w:tcPr>
          <w:p w14:paraId="2E90AD58" w14:textId="0E2707A2" w:rsidR="00AF7DF4" w:rsidRPr="00DA098C" w:rsidRDefault="00AF7DF4" w:rsidP="00C2399D">
            <w:pPr>
              <w:pStyle w:val="TableText"/>
              <w:cnfStyle w:val="000000000000" w:firstRow="0" w:lastRow="0" w:firstColumn="0" w:lastColumn="0" w:oddVBand="0" w:evenVBand="0" w:oddHBand="0" w:evenHBand="0" w:firstRowFirstColumn="0" w:firstRowLastColumn="0" w:lastRowFirstColumn="0" w:lastRowLastColumn="0"/>
            </w:pPr>
            <w:r>
              <w:t>In this paper, this term is used instead of severe and persistent mental health challenges that have significantly impacted on a person’s life and service use.</w:t>
            </w:r>
          </w:p>
        </w:tc>
      </w:tr>
      <w:tr w:rsidR="00582670" w:rsidRPr="00B64143" w14:paraId="06C3647A"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24AAD16" w14:textId="744B9C41" w:rsidR="00B34F52" w:rsidRPr="00DA098C" w:rsidRDefault="00054BEE" w:rsidP="00C2399D">
            <w:pPr>
              <w:pStyle w:val="TableText"/>
            </w:pPr>
            <w:r w:rsidRPr="00DA098C">
              <w:t xml:space="preserve">MBS </w:t>
            </w:r>
          </w:p>
        </w:tc>
        <w:tc>
          <w:tcPr>
            <w:tcW w:w="6039" w:type="dxa"/>
          </w:tcPr>
          <w:p w14:paraId="75DEFE01" w14:textId="1D85E16B" w:rsidR="00B34F52" w:rsidRPr="00DA098C" w:rsidRDefault="00054BEE" w:rsidP="00C2399D">
            <w:pPr>
              <w:pStyle w:val="TableText"/>
              <w:cnfStyle w:val="000000100000" w:firstRow="0" w:lastRow="0" w:firstColumn="0" w:lastColumn="0" w:oddVBand="0" w:evenVBand="0" w:oddHBand="1" w:evenHBand="0" w:firstRowFirstColumn="0" w:firstRowLastColumn="0" w:lastRowFirstColumn="0" w:lastRowLastColumn="0"/>
            </w:pPr>
            <w:r w:rsidRPr="00DA098C">
              <w:t>Medicare Benefits Scheme</w:t>
            </w:r>
          </w:p>
        </w:tc>
      </w:tr>
      <w:tr w:rsidR="006C67E9" w:rsidRPr="00B64143" w14:paraId="1864B718"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3523068F" w14:textId="5036EF61" w:rsidR="006C67E9" w:rsidRPr="00DA098C" w:rsidRDefault="006C67E9" w:rsidP="00C2399D">
            <w:pPr>
              <w:pStyle w:val="TableText"/>
            </w:pPr>
            <w:r w:rsidRPr="006C67E9">
              <w:t>Mental health challenges</w:t>
            </w:r>
          </w:p>
        </w:tc>
        <w:tc>
          <w:tcPr>
            <w:tcW w:w="6039" w:type="dxa"/>
          </w:tcPr>
          <w:p w14:paraId="1BBF63CF" w14:textId="4233CB2A" w:rsidR="006C67E9" w:rsidRPr="00DA098C" w:rsidRDefault="006C67E9" w:rsidP="00C2399D">
            <w:pPr>
              <w:pStyle w:val="TableText"/>
              <w:cnfStyle w:val="000000000000" w:firstRow="0" w:lastRow="0" w:firstColumn="0" w:lastColumn="0" w:oddVBand="0" w:evenVBand="0" w:oddHBand="0" w:evenHBand="0" w:firstRowFirstColumn="0" w:firstRowLastColumn="0" w:lastRowFirstColumn="0" w:lastRowLastColumn="0"/>
            </w:pPr>
            <w:r>
              <w:t>R</w:t>
            </w:r>
            <w:r w:rsidRPr="006C67E9">
              <w:t>efers to diverse experiences of social, emotional, and mental distress</w:t>
            </w:r>
            <w:r w:rsidR="00640780">
              <w:t>,</w:t>
            </w:r>
            <w:r w:rsidRPr="006C67E9">
              <w:t xml:space="preserve"> and a range of suicidal thoughts and behaviours, which may be experienced by an individual or group. This definition includes, though is not limited to, those who might have received a clinical mental health diagnosis.</w:t>
            </w:r>
          </w:p>
        </w:tc>
      </w:tr>
      <w:tr w:rsidR="00842152" w:rsidRPr="00B64143" w14:paraId="6A5F4663"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7E27884" w14:textId="7FCFCBE6" w:rsidR="00842152" w:rsidRPr="00DA098C" w:rsidRDefault="00842152" w:rsidP="00C2399D">
            <w:pPr>
              <w:pStyle w:val="TableText"/>
            </w:pPr>
            <w:r w:rsidRPr="00DA098C">
              <w:t>Mental health condition</w:t>
            </w:r>
          </w:p>
        </w:tc>
        <w:tc>
          <w:tcPr>
            <w:tcW w:w="6039" w:type="dxa"/>
          </w:tcPr>
          <w:p w14:paraId="063640C4" w14:textId="7F8C280B" w:rsidR="00842152" w:rsidRPr="00DA098C" w:rsidRDefault="00AC6CC8" w:rsidP="00C2399D">
            <w:pPr>
              <w:pStyle w:val="TableText"/>
              <w:cnfStyle w:val="000000100000" w:firstRow="0" w:lastRow="0" w:firstColumn="0" w:lastColumn="0" w:oddVBand="0" w:evenVBand="0" w:oddHBand="1" w:evenHBand="0" w:firstRowFirstColumn="0" w:firstRowLastColumn="0" w:lastRowFirstColumn="0" w:lastRowLastColumn="0"/>
            </w:pPr>
            <w:r w:rsidRPr="00DA098C">
              <w:t>R</w:t>
            </w:r>
            <w:r w:rsidR="003E2EE2" w:rsidRPr="00DA098C">
              <w:t>efers</w:t>
            </w:r>
            <w:r w:rsidR="00842152" w:rsidRPr="00DA098C">
              <w:t xml:space="preserve"> to condition</w:t>
            </w:r>
            <w:r w:rsidR="003E2EE2" w:rsidRPr="00DA098C">
              <w:t>s</w:t>
            </w:r>
            <w:r w:rsidR="00842152" w:rsidRPr="00DA098C">
              <w:t xml:space="preserve"> classified in </w:t>
            </w:r>
            <w:r w:rsidR="003E2EE2" w:rsidRPr="00DA098C">
              <w:t>medical</w:t>
            </w:r>
            <w:r w:rsidR="00842152" w:rsidRPr="00DA098C">
              <w:t xml:space="preserve"> diagnostic manuals</w:t>
            </w:r>
            <w:r w:rsidR="00640780">
              <w:t>,</w:t>
            </w:r>
            <w:r w:rsidR="00842152" w:rsidRPr="00DA098C">
              <w:t xml:space="preserve"> </w:t>
            </w:r>
            <w:r w:rsidR="003E2EE2" w:rsidRPr="00DA098C">
              <w:t>such as</w:t>
            </w:r>
            <w:r w:rsidR="00842152" w:rsidRPr="00DA098C">
              <w:t xml:space="preserve"> the Diagnostic Statistical Manual or the International Classification of Diseases.</w:t>
            </w:r>
          </w:p>
        </w:tc>
      </w:tr>
      <w:tr w:rsidR="0038439A" w:rsidRPr="00B64143" w14:paraId="53C6C6AF"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54A31EA6" w14:textId="593290B9" w:rsidR="0038439A" w:rsidRDefault="0079581F" w:rsidP="00C2399D">
            <w:pPr>
              <w:pStyle w:val="TableText"/>
            </w:pPr>
            <w:r>
              <w:t>ND</w:t>
            </w:r>
            <w:r w:rsidR="00640780">
              <w:t>I</w:t>
            </w:r>
            <w:r>
              <w:t>S</w:t>
            </w:r>
          </w:p>
        </w:tc>
        <w:tc>
          <w:tcPr>
            <w:tcW w:w="6039" w:type="dxa"/>
          </w:tcPr>
          <w:p w14:paraId="10DB9A9A" w14:textId="7890A574" w:rsidR="0038439A" w:rsidRDefault="0079581F" w:rsidP="00C2399D">
            <w:pPr>
              <w:pStyle w:val="TableText"/>
              <w:cnfStyle w:val="000000000000" w:firstRow="0" w:lastRow="0" w:firstColumn="0" w:lastColumn="0" w:oddVBand="0" w:evenVBand="0" w:oddHBand="0" w:evenHBand="0" w:firstRowFirstColumn="0" w:firstRowLastColumn="0" w:lastRowFirstColumn="0" w:lastRowLastColumn="0"/>
            </w:pPr>
            <w:r>
              <w:t>National Disability Insurance Scheme</w:t>
            </w:r>
          </w:p>
        </w:tc>
      </w:tr>
      <w:tr w:rsidR="0079581F" w:rsidRPr="00B64143" w14:paraId="45F258C6"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FCD108C" w14:textId="3D8111EC" w:rsidR="0079581F" w:rsidRDefault="0079581F" w:rsidP="00C2399D">
            <w:pPr>
              <w:pStyle w:val="TableText"/>
            </w:pPr>
            <w:r>
              <w:t>NMHC</w:t>
            </w:r>
          </w:p>
        </w:tc>
        <w:tc>
          <w:tcPr>
            <w:tcW w:w="6039" w:type="dxa"/>
          </w:tcPr>
          <w:p w14:paraId="1900921E" w14:textId="333E0997" w:rsidR="0079581F" w:rsidRDefault="0079581F" w:rsidP="00C2399D">
            <w:pPr>
              <w:pStyle w:val="TableText"/>
              <w:cnfStyle w:val="000000100000" w:firstRow="0" w:lastRow="0" w:firstColumn="0" w:lastColumn="0" w:oddVBand="0" w:evenVBand="0" w:oddHBand="1" w:evenHBand="0" w:firstRowFirstColumn="0" w:firstRowLastColumn="0" w:lastRowFirstColumn="0" w:lastRowLastColumn="0"/>
            </w:pPr>
            <w:r>
              <w:t>National Mental Health Commission</w:t>
            </w:r>
          </w:p>
        </w:tc>
      </w:tr>
      <w:tr w:rsidR="00582670" w:rsidRPr="00B64143" w14:paraId="46926AE8"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444AA5CD" w14:textId="6A164A06" w:rsidR="00582670" w:rsidRPr="00B01AAA" w:rsidRDefault="00F071B0" w:rsidP="00C2399D">
            <w:pPr>
              <w:pStyle w:val="TableText"/>
            </w:pPr>
            <w:r>
              <w:t>PBS</w:t>
            </w:r>
          </w:p>
        </w:tc>
        <w:tc>
          <w:tcPr>
            <w:tcW w:w="6039" w:type="dxa"/>
          </w:tcPr>
          <w:p w14:paraId="7EC78050" w14:textId="3C048D61" w:rsidR="00582670" w:rsidRPr="00B01AAA" w:rsidRDefault="00F071B0" w:rsidP="00C2399D">
            <w:pPr>
              <w:pStyle w:val="TableText"/>
              <w:cnfStyle w:val="000000000000" w:firstRow="0" w:lastRow="0" w:firstColumn="0" w:lastColumn="0" w:oddVBand="0" w:evenVBand="0" w:oddHBand="0" w:evenHBand="0" w:firstRowFirstColumn="0" w:firstRowLastColumn="0" w:lastRowFirstColumn="0" w:lastRowLastColumn="0"/>
            </w:pPr>
            <w:r>
              <w:t>Pharmaceutical Benefits Scheme</w:t>
            </w:r>
          </w:p>
        </w:tc>
      </w:tr>
      <w:tr w:rsidR="00A24F24" w:rsidRPr="00B64143" w14:paraId="6C27E867"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9FAC340" w14:textId="337BD8AE" w:rsidR="00A24F24" w:rsidRDefault="00A24F24" w:rsidP="00C2399D">
            <w:pPr>
              <w:pStyle w:val="TableText"/>
            </w:pPr>
            <w:r>
              <w:t>PHN</w:t>
            </w:r>
          </w:p>
        </w:tc>
        <w:tc>
          <w:tcPr>
            <w:tcW w:w="6039" w:type="dxa"/>
          </w:tcPr>
          <w:p w14:paraId="64214A2F" w14:textId="55438729" w:rsidR="00A24F24" w:rsidRDefault="00A24F24" w:rsidP="00C2399D">
            <w:pPr>
              <w:pStyle w:val="TableText"/>
              <w:cnfStyle w:val="000000100000" w:firstRow="0" w:lastRow="0" w:firstColumn="0" w:lastColumn="0" w:oddVBand="0" w:evenVBand="0" w:oddHBand="1" w:evenHBand="0" w:firstRowFirstColumn="0" w:firstRowLastColumn="0" w:lastRowFirstColumn="0" w:lastRowLastColumn="0"/>
            </w:pPr>
            <w:r>
              <w:t>Primary Health Network</w:t>
            </w:r>
          </w:p>
        </w:tc>
      </w:tr>
      <w:tr w:rsidR="00B964DA" w:rsidRPr="00B64143" w14:paraId="75DDBD85"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5C7E47BF" w14:textId="2A0A7E72" w:rsidR="00B964DA" w:rsidRDefault="00B964DA" w:rsidP="00C2399D">
            <w:pPr>
              <w:pStyle w:val="TableText"/>
            </w:pPr>
            <w:r>
              <w:t>PRISMA</w:t>
            </w:r>
          </w:p>
        </w:tc>
        <w:tc>
          <w:tcPr>
            <w:tcW w:w="6039" w:type="dxa"/>
          </w:tcPr>
          <w:p w14:paraId="739352D5" w14:textId="181B8510" w:rsidR="00B964DA" w:rsidRDefault="00B964DA" w:rsidP="00C2399D">
            <w:pPr>
              <w:pStyle w:val="TableText"/>
              <w:cnfStyle w:val="000000000000" w:firstRow="0" w:lastRow="0" w:firstColumn="0" w:lastColumn="0" w:oddVBand="0" w:evenVBand="0" w:oddHBand="0" w:evenHBand="0" w:firstRowFirstColumn="0" w:firstRowLastColumn="0" w:lastRowFirstColumn="0" w:lastRowLastColumn="0"/>
            </w:pPr>
            <w:r>
              <w:t>Preferred Reporting Items for Systematic Reviews and Meta-Analyses</w:t>
            </w:r>
          </w:p>
        </w:tc>
      </w:tr>
      <w:tr w:rsidR="00FE6844" w:rsidRPr="00B64143" w14:paraId="2A2AA716"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69FC878" w14:textId="6F093610" w:rsidR="00FE6844" w:rsidRDefault="00FE6844" w:rsidP="00C2399D">
            <w:pPr>
              <w:pStyle w:val="TableText"/>
            </w:pPr>
            <w:r>
              <w:t>RMHC</w:t>
            </w:r>
          </w:p>
        </w:tc>
        <w:tc>
          <w:tcPr>
            <w:tcW w:w="6039" w:type="dxa"/>
          </w:tcPr>
          <w:p w14:paraId="7ADA7796" w14:textId="5FC18FE9" w:rsidR="00FE6844" w:rsidRDefault="00592F8D" w:rsidP="00C2399D">
            <w:pPr>
              <w:pStyle w:val="TableText"/>
              <w:cnfStyle w:val="000000100000" w:firstRow="0" w:lastRow="0" w:firstColumn="0" w:lastColumn="0" w:oddVBand="0" w:evenVBand="0" w:oddHBand="1" w:evenHBand="0" w:firstRowFirstColumn="0" w:firstRowLastColumn="0" w:lastRowFirstColumn="0" w:lastRowLastColumn="0"/>
            </w:pPr>
            <w:r>
              <w:t>Residential Mental Health Care</w:t>
            </w:r>
          </w:p>
        </w:tc>
      </w:tr>
      <w:tr w:rsidR="00582670" w:rsidRPr="00B64143" w14:paraId="534649EB"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5FC2AC4D" w14:textId="35D8AB81" w:rsidR="00582670" w:rsidRPr="00B01AAA" w:rsidRDefault="00F071B0" w:rsidP="00C2399D">
            <w:pPr>
              <w:pStyle w:val="TableText"/>
            </w:pPr>
            <w:r w:rsidRPr="00B01AAA">
              <w:t>SLR</w:t>
            </w:r>
          </w:p>
        </w:tc>
        <w:tc>
          <w:tcPr>
            <w:tcW w:w="6039" w:type="dxa"/>
          </w:tcPr>
          <w:p w14:paraId="4A58FF48" w14:textId="404700E5" w:rsidR="00582670" w:rsidRPr="00B01AAA" w:rsidRDefault="00F071B0" w:rsidP="00C2399D">
            <w:pPr>
              <w:pStyle w:val="TableText"/>
              <w:cnfStyle w:val="000000000000" w:firstRow="0" w:lastRow="0" w:firstColumn="0" w:lastColumn="0" w:oddVBand="0" w:evenVBand="0" w:oddHBand="0" w:evenHBand="0" w:firstRowFirstColumn="0" w:firstRowLastColumn="0" w:lastRowFirstColumn="0" w:lastRowLastColumn="0"/>
            </w:pPr>
            <w:r w:rsidRPr="00B01AAA">
              <w:t>Systematic Literature Review</w:t>
            </w:r>
          </w:p>
        </w:tc>
      </w:tr>
      <w:tr w:rsidR="00CB257C" w14:paraId="1E8E85F0" w14:textId="77777777" w:rsidTr="009C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1EA8034" w14:textId="33D14628" w:rsidR="00CB257C" w:rsidRPr="00B01AAA" w:rsidRDefault="00E70179" w:rsidP="00C2399D">
            <w:pPr>
              <w:pStyle w:val="TableText"/>
            </w:pPr>
            <w:r w:rsidRPr="00B01AAA">
              <w:t>UTS</w:t>
            </w:r>
          </w:p>
        </w:tc>
        <w:tc>
          <w:tcPr>
            <w:tcW w:w="6039" w:type="dxa"/>
          </w:tcPr>
          <w:p w14:paraId="1C4502F1" w14:textId="58643E9F" w:rsidR="006D1AE3" w:rsidRPr="00B01AAA" w:rsidRDefault="008962C8" w:rsidP="00C2399D">
            <w:pPr>
              <w:pStyle w:val="TableText"/>
              <w:cnfStyle w:val="000000100000" w:firstRow="0" w:lastRow="0" w:firstColumn="0" w:lastColumn="0" w:oddVBand="0" w:evenVBand="0" w:oddHBand="1" w:evenHBand="0" w:firstRowFirstColumn="0" w:firstRowLastColumn="0" w:lastRowFirstColumn="0" w:lastRowLastColumn="0"/>
            </w:pPr>
            <w:r w:rsidRPr="00B01AAA">
              <w:t>University of Technology Sydney</w:t>
            </w:r>
          </w:p>
        </w:tc>
      </w:tr>
      <w:tr w:rsidR="00531D30" w14:paraId="75D69C72" w14:textId="77777777" w:rsidTr="009C7B65">
        <w:tc>
          <w:tcPr>
            <w:cnfStyle w:val="001000000000" w:firstRow="0" w:lastRow="0" w:firstColumn="1" w:lastColumn="0" w:oddVBand="0" w:evenVBand="0" w:oddHBand="0" w:evenHBand="0" w:firstRowFirstColumn="0" w:firstRowLastColumn="0" w:lastRowFirstColumn="0" w:lastRowLastColumn="0"/>
            <w:tcW w:w="2977" w:type="dxa"/>
          </w:tcPr>
          <w:p w14:paraId="55A63732" w14:textId="45D12CC4" w:rsidR="00531D30" w:rsidRPr="00B01AAA" w:rsidRDefault="00531D30" w:rsidP="00C2399D">
            <w:pPr>
              <w:pStyle w:val="TableText"/>
            </w:pPr>
            <w:r>
              <w:t>VPC</w:t>
            </w:r>
          </w:p>
        </w:tc>
        <w:tc>
          <w:tcPr>
            <w:tcW w:w="6039" w:type="dxa"/>
          </w:tcPr>
          <w:p w14:paraId="64A05480" w14:textId="5BF3FE7F" w:rsidR="00531D30" w:rsidRPr="00B01AAA" w:rsidRDefault="00531D30" w:rsidP="00C2399D">
            <w:pPr>
              <w:pStyle w:val="TableText"/>
              <w:cnfStyle w:val="000000000000" w:firstRow="0" w:lastRow="0" w:firstColumn="0" w:lastColumn="0" w:oddVBand="0" w:evenVBand="0" w:oddHBand="0" w:evenHBand="0" w:firstRowFirstColumn="0" w:firstRowLastColumn="0" w:lastRowFirstColumn="0" w:lastRowLastColumn="0"/>
            </w:pPr>
            <w:r>
              <w:t>Victorian Pride Centre</w:t>
            </w:r>
          </w:p>
        </w:tc>
      </w:tr>
    </w:tbl>
    <w:p w14:paraId="7C73CF41" w14:textId="5474F826" w:rsidR="00CB257C" w:rsidRDefault="00CB257C">
      <w:pPr>
        <w:spacing w:before="80" w:after="80" w:line="240" w:lineRule="auto"/>
      </w:pPr>
      <w:r>
        <w:br w:type="page"/>
      </w:r>
    </w:p>
    <w:p w14:paraId="440F78A1" w14:textId="7CE76054" w:rsidR="00807909" w:rsidRDefault="00807909" w:rsidP="00807909">
      <w:pPr>
        <w:pStyle w:val="NbrHeading1"/>
        <w:numPr>
          <w:ilvl w:val="0"/>
          <w:numId w:val="0"/>
        </w:numPr>
        <w:ind w:left="1134" w:hanging="1134"/>
      </w:pPr>
      <w:bookmarkStart w:id="12" w:name="_Toc153899480"/>
      <w:r w:rsidRPr="00FA6E30">
        <w:lastRenderedPageBreak/>
        <w:t>Executive Summary</w:t>
      </w:r>
      <w:bookmarkEnd w:id="12"/>
    </w:p>
    <w:p w14:paraId="51949D21" w14:textId="77777777" w:rsidR="009D04B8" w:rsidRPr="00F07791" w:rsidRDefault="009D04B8" w:rsidP="00E66A0E">
      <w:pPr>
        <w:ind w:left="-284"/>
        <w:rPr>
          <w:b/>
          <w:bCs/>
          <w:color w:val="0F4BEB" w:themeColor="accent1"/>
          <w:sz w:val="24"/>
          <w:szCs w:val="24"/>
          <w:lang w:eastAsia="en-AU"/>
        </w:rPr>
      </w:pPr>
      <w:r w:rsidRPr="00F07791">
        <w:rPr>
          <w:b/>
          <w:bCs/>
          <w:color w:val="0F4BEB" w:themeColor="accent1"/>
          <w:sz w:val="24"/>
          <w:szCs w:val="24"/>
          <w:lang w:eastAsia="en-AU"/>
        </w:rPr>
        <w:t>About the Research</w:t>
      </w:r>
    </w:p>
    <w:p w14:paraId="4D5CDAF9" w14:textId="0B1711BB" w:rsidR="009D04B8" w:rsidRDefault="009D04B8" w:rsidP="009D04B8">
      <w:pPr>
        <w:spacing w:before="120"/>
        <w:rPr>
          <w:lang w:eastAsia="en-AU"/>
        </w:rPr>
      </w:pPr>
      <w:r w:rsidRPr="005100BE">
        <w:rPr>
          <w:lang w:eastAsia="en-AU"/>
        </w:rPr>
        <w:t>In June 2023, the Department of Health and Aged Care contracted a U</w:t>
      </w:r>
      <w:r>
        <w:rPr>
          <w:lang w:eastAsia="en-AU"/>
        </w:rPr>
        <w:t xml:space="preserve">niversity of Technology Sydney (UTS) </w:t>
      </w:r>
      <w:r w:rsidRPr="005100BE">
        <w:rPr>
          <w:lang w:eastAsia="en-AU"/>
        </w:rPr>
        <w:t xml:space="preserve">led research team to undertake an applied systematic literature review (SLR) to inform the preparation of a 10-Year National Action Plan for the Health and Wellbeing of </w:t>
      </w:r>
      <w:r w:rsidRPr="005100BE">
        <w:t>Lesbian, Gay, Bisexual, Transgender, Queer, Intersex, Asexual, plus other people with diverse genders and sexua</w:t>
      </w:r>
      <w:r w:rsidR="00B03F09">
        <w:t>l orientations</w:t>
      </w:r>
      <w:r w:rsidRPr="005100BE">
        <w:t xml:space="preserve"> (LGBTQIA+)</w:t>
      </w:r>
      <w:r w:rsidRPr="005100BE">
        <w:rPr>
          <w:lang w:eastAsia="en-AU"/>
        </w:rPr>
        <w:t xml:space="preserve">. </w:t>
      </w:r>
      <w:r>
        <w:rPr>
          <w:lang w:eastAsia="en-AU"/>
        </w:rPr>
        <w:t xml:space="preserve"> </w:t>
      </w:r>
    </w:p>
    <w:p w14:paraId="7E495014" w14:textId="0C05A3A6" w:rsidR="009D04B8" w:rsidRPr="004D3D3A" w:rsidRDefault="009D04B8" w:rsidP="009D04B8">
      <w:pPr>
        <w:spacing w:before="120"/>
        <w:rPr>
          <w:lang w:eastAsia="en-AU"/>
        </w:rPr>
      </w:pPr>
      <w:r>
        <w:rPr>
          <w:lang w:eastAsia="en-AU"/>
        </w:rPr>
        <w:t>Based on t</w:t>
      </w:r>
      <w:r w:rsidRPr="004D3D3A">
        <w:rPr>
          <w:lang w:eastAsia="en-AU"/>
        </w:rPr>
        <w:t xml:space="preserve">he </w:t>
      </w:r>
      <w:r>
        <w:rPr>
          <w:lang w:eastAsia="en-AU"/>
        </w:rPr>
        <w:t>in-scope literature</w:t>
      </w:r>
      <w:r>
        <w:rPr>
          <w:i/>
          <w:lang w:eastAsia="en-AU"/>
        </w:rPr>
        <w:t>,</w:t>
      </w:r>
      <w:r>
        <w:rPr>
          <w:lang w:eastAsia="en-AU"/>
        </w:rPr>
        <w:t xml:space="preserve"> and the specific </w:t>
      </w:r>
      <w:r w:rsidRPr="004D3D3A">
        <w:rPr>
          <w:lang w:eastAsia="en-AU"/>
        </w:rPr>
        <w:t xml:space="preserve">research </w:t>
      </w:r>
      <w:r>
        <w:rPr>
          <w:lang w:eastAsia="en-AU"/>
        </w:rPr>
        <w:t xml:space="preserve">parameters </w:t>
      </w:r>
      <w:r w:rsidRPr="00627CA1">
        <w:rPr>
          <w:i/>
          <w:lang w:eastAsia="en-AU"/>
        </w:rPr>
        <w:t>(see below)</w:t>
      </w:r>
      <w:r>
        <w:rPr>
          <w:lang w:eastAsia="en-AU"/>
        </w:rPr>
        <w:t xml:space="preserve">, the brief was later </w:t>
      </w:r>
      <w:r w:rsidRPr="004D3D3A">
        <w:rPr>
          <w:lang w:eastAsia="en-AU"/>
        </w:rPr>
        <w:t xml:space="preserve">amended to </w:t>
      </w:r>
      <w:r>
        <w:rPr>
          <w:lang w:eastAsia="en-AU"/>
        </w:rPr>
        <w:t>focus on LGBTQ</w:t>
      </w:r>
      <w:r w:rsidRPr="004D3D3A">
        <w:rPr>
          <w:lang w:eastAsia="en-AU"/>
        </w:rPr>
        <w:t xml:space="preserve">+ people, </w:t>
      </w:r>
      <w:r w:rsidR="0021026A" w:rsidRPr="0021026A">
        <w:rPr>
          <w:lang w:eastAsia="en-AU"/>
        </w:rPr>
        <w:t xml:space="preserve">with the expectation that other options will be explored to attend to the specific needs of asexual people and people with innate variations of sex characteristics (commonly shortened to intersex people). The Australian Government is aware of the unique health and wellbeing needs and challenges faced by people with innate variations of sex characteristics. Options to further support this group, including exploring further research, will be considered as part of the development and ongoing consultation to support the </w:t>
      </w:r>
      <w:r w:rsidR="0021026A" w:rsidRPr="00595E32">
        <w:rPr>
          <w:rStyle w:val="Emphasis"/>
        </w:rPr>
        <w:t>10-Year National Action Plan for the Health and Wellbeing of LGBTIQA+ people</w:t>
      </w:r>
      <w:r w:rsidR="0021026A" w:rsidRPr="0021026A">
        <w:rPr>
          <w:lang w:eastAsia="en-AU"/>
        </w:rPr>
        <w:t>.</w:t>
      </w:r>
    </w:p>
    <w:p w14:paraId="5D92165C" w14:textId="77777777" w:rsidR="009D04B8" w:rsidRPr="005100BE" w:rsidRDefault="009D04B8" w:rsidP="009D04B8">
      <w:pPr>
        <w:rPr>
          <w:rFonts w:eastAsia="Arial" w:cs="Cordia New"/>
          <w:lang w:eastAsia="en-AU"/>
        </w:rPr>
      </w:pPr>
      <w:r>
        <w:rPr>
          <w:rFonts w:eastAsia="Arial" w:cs="Cordia New"/>
          <w:lang w:eastAsia="en-AU"/>
        </w:rPr>
        <w:t>T</w:t>
      </w:r>
      <w:r w:rsidRPr="005100BE">
        <w:rPr>
          <w:rFonts w:eastAsia="Arial" w:cs="Cordia New"/>
          <w:lang w:eastAsia="en-AU"/>
        </w:rPr>
        <w:t xml:space="preserve">he targeted UTS-led research was to address three key research questions (KRQ):  </w:t>
      </w:r>
    </w:p>
    <w:p w14:paraId="4870B471" w14:textId="77777777" w:rsidR="009D04B8" w:rsidRPr="00F72ECF" w:rsidRDefault="009D04B8" w:rsidP="005956B4">
      <w:pPr>
        <w:pStyle w:val="ListNumber0"/>
        <w:rPr>
          <w:rFonts w:eastAsia="Arial"/>
        </w:rPr>
      </w:pPr>
      <w:r w:rsidRPr="00F72ECF">
        <w:rPr>
          <w:rFonts w:eastAsia="Arial"/>
        </w:rPr>
        <w:t>For LGBTQ+ people:</w:t>
      </w:r>
    </w:p>
    <w:p w14:paraId="26C737E8" w14:textId="77777777" w:rsidR="009D04B8" w:rsidRPr="005100BE" w:rsidRDefault="009D04B8" w:rsidP="00595E32">
      <w:pPr>
        <w:pStyle w:val="ListNumber2"/>
        <w:rPr>
          <w:rFonts w:eastAsia="Arial"/>
        </w:rPr>
      </w:pPr>
      <w:r w:rsidRPr="005100BE">
        <w:rPr>
          <w:rFonts w:eastAsia="Arial"/>
        </w:rPr>
        <w:t xml:space="preserve">What are the key causes of distress </w:t>
      </w:r>
      <w:proofErr w:type="gramStart"/>
      <w:r w:rsidRPr="005100BE">
        <w:rPr>
          <w:rFonts w:eastAsia="Arial"/>
        </w:rPr>
        <w:t>experienced</w:t>
      </w:r>
      <w:proofErr w:type="gramEnd"/>
      <w:r w:rsidRPr="005100BE">
        <w:rPr>
          <w:rFonts w:eastAsia="Arial"/>
        </w:rPr>
        <w:t xml:space="preserve"> that impact on their mental health or wellbeing, and/or increase their risk of suicidal behaviours?</w:t>
      </w:r>
    </w:p>
    <w:p w14:paraId="43B8857D" w14:textId="77777777" w:rsidR="009D04B8" w:rsidRPr="005100BE" w:rsidRDefault="009D04B8" w:rsidP="00595E32">
      <w:pPr>
        <w:pStyle w:val="ListNumber2"/>
        <w:rPr>
          <w:rFonts w:eastAsia="Arial"/>
        </w:rPr>
      </w:pPr>
      <w:r w:rsidRPr="005100BE">
        <w:rPr>
          <w:rFonts w:eastAsia="Arial"/>
        </w:rPr>
        <w:t xml:space="preserve">What are the key issues and barriers when accessing services for their mental health and/or suicide prevention services? </w:t>
      </w:r>
    </w:p>
    <w:p w14:paraId="18E5EDD2" w14:textId="3525A413" w:rsidR="009D04B8" w:rsidRPr="00081F4B" w:rsidRDefault="009D04B8" w:rsidP="00081F4B">
      <w:pPr>
        <w:pStyle w:val="ListNumber0"/>
        <w:rPr>
          <w:rFonts w:eastAsia="Arial"/>
        </w:rPr>
      </w:pPr>
      <w:r w:rsidRPr="00081F4B">
        <w:rPr>
          <w:rFonts w:eastAsia="Arial"/>
        </w:rPr>
        <w:t xml:space="preserve">In respect to accessing services for mental health and suicide </w:t>
      </w:r>
      <w:proofErr w:type="gramStart"/>
      <w:r w:rsidRPr="00081F4B">
        <w:rPr>
          <w:rFonts w:eastAsia="Arial"/>
        </w:rPr>
        <w:t>prevention, and</w:t>
      </w:r>
      <w:proofErr w:type="gramEnd"/>
      <w:r w:rsidRPr="00081F4B">
        <w:rPr>
          <w:rFonts w:eastAsia="Arial"/>
        </w:rPr>
        <w:t xml:space="preserve"> based on a Departmental literature search of peer reviewed literature on mental health and/or suicide prevention services for LGBTQ+ people in Australia and a comparator international context (UK).</w:t>
      </w:r>
    </w:p>
    <w:p w14:paraId="47E149DC" w14:textId="5BD861D5" w:rsidR="009D04B8" w:rsidRPr="005100BE" w:rsidRDefault="009D04B8" w:rsidP="00595E32">
      <w:pPr>
        <w:pStyle w:val="ListNumber2"/>
        <w:rPr>
          <w:rFonts w:eastAsia="Arial"/>
        </w:rPr>
      </w:pPr>
      <w:r w:rsidRPr="005100BE">
        <w:rPr>
          <w:rFonts w:eastAsia="Arial"/>
        </w:rPr>
        <w:t>What services are available and provided to LGBTQ+ people?</w:t>
      </w:r>
    </w:p>
    <w:p w14:paraId="28DB5C15" w14:textId="77777777" w:rsidR="009D04B8" w:rsidRPr="005100BE" w:rsidRDefault="009D04B8" w:rsidP="00595E32">
      <w:pPr>
        <w:pStyle w:val="ListNumber2"/>
        <w:rPr>
          <w:rFonts w:eastAsia="Arial"/>
        </w:rPr>
      </w:pPr>
      <w:r w:rsidRPr="005100BE">
        <w:rPr>
          <w:rFonts w:eastAsia="Arial"/>
        </w:rPr>
        <w:t>What services were found to be effective?</w:t>
      </w:r>
    </w:p>
    <w:p w14:paraId="02685F55" w14:textId="6E54B7C7" w:rsidR="009D04B8" w:rsidRPr="005100BE" w:rsidRDefault="009D04B8" w:rsidP="00595E32">
      <w:pPr>
        <w:pStyle w:val="ListNumber2"/>
        <w:rPr>
          <w:rFonts w:eastAsia="Arial"/>
        </w:rPr>
      </w:pPr>
      <w:r w:rsidRPr="005100BE">
        <w:rPr>
          <w:rFonts w:eastAsia="Arial"/>
        </w:rPr>
        <w:t>What service gaps or barriers were identified</w:t>
      </w:r>
      <w:r w:rsidR="00C90508">
        <w:rPr>
          <w:rFonts w:eastAsia="Arial"/>
        </w:rPr>
        <w:t>,</w:t>
      </w:r>
      <w:r w:rsidRPr="005100BE">
        <w:rPr>
          <w:rFonts w:eastAsia="Arial"/>
        </w:rPr>
        <w:t xml:space="preserve"> and what were their details?</w:t>
      </w:r>
    </w:p>
    <w:p w14:paraId="791E0137" w14:textId="37732622" w:rsidR="009D04B8" w:rsidRPr="00F72ECF" w:rsidRDefault="009D04B8" w:rsidP="00081F4B">
      <w:pPr>
        <w:pStyle w:val="ListNumber0"/>
        <w:rPr>
          <w:rFonts w:eastAsia="Arial"/>
        </w:rPr>
      </w:pPr>
      <w:r w:rsidRPr="00F72ECF">
        <w:rPr>
          <w:rFonts w:eastAsia="Arial"/>
        </w:rPr>
        <w:t xml:space="preserve">What evidence-based insights can be drawn from the UK and Australian literature for Australia, to help inform policy development for the </w:t>
      </w:r>
      <w:r w:rsidRPr="002D5C1C">
        <w:rPr>
          <w:rFonts w:eastAsia="Arial"/>
          <w:i/>
          <w:iCs/>
        </w:rPr>
        <w:t>10 Year National Action Plan for the Health and Wellbeing of LGBT</w:t>
      </w:r>
      <w:r w:rsidR="002E7D08">
        <w:rPr>
          <w:rFonts w:eastAsia="Arial"/>
          <w:i/>
          <w:iCs/>
        </w:rPr>
        <w:t>I</w:t>
      </w:r>
      <w:r w:rsidRPr="002D5C1C">
        <w:rPr>
          <w:rFonts w:eastAsia="Arial"/>
          <w:i/>
          <w:iCs/>
        </w:rPr>
        <w:t>Q</w:t>
      </w:r>
      <w:r w:rsidR="002E7D08">
        <w:rPr>
          <w:rFonts w:eastAsia="Arial"/>
          <w:i/>
          <w:iCs/>
        </w:rPr>
        <w:t>A</w:t>
      </w:r>
      <w:r w:rsidRPr="002D5C1C">
        <w:rPr>
          <w:rFonts w:eastAsia="Arial"/>
          <w:i/>
          <w:iCs/>
        </w:rPr>
        <w:t>+ people</w:t>
      </w:r>
      <w:r w:rsidRPr="00F72ECF">
        <w:rPr>
          <w:rFonts w:eastAsia="Arial"/>
        </w:rPr>
        <w:t>?</w:t>
      </w:r>
    </w:p>
    <w:p w14:paraId="0F2183D0" w14:textId="77777777" w:rsidR="009D04B8" w:rsidRPr="005100BE" w:rsidRDefault="009D04B8" w:rsidP="009D04B8">
      <w:pPr>
        <w:rPr>
          <w:rFonts w:eastAsia="Arial" w:cs="Cordia New"/>
          <w:lang w:eastAsia="en-AU"/>
        </w:rPr>
      </w:pPr>
      <w:r>
        <w:rPr>
          <w:rFonts w:eastAsia="Arial" w:cs="Cordia New"/>
          <w:lang w:eastAsia="en-AU"/>
        </w:rPr>
        <w:t>To address these, t</w:t>
      </w:r>
      <w:r w:rsidRPr="005100BE">
        <w:rPr>
          <w:rFonts w:eastAsia="Arial" w:cs="Cordia New"/>
          <w:lang w:eastAsia="en-AU"/>
        </w:rPr>
        <w:t>hree papers were prepared for the Department:</w:t>
      </w:r>
    </w:p>
    <w:p w14:paraId="13CA6B1A" w14:textId="5ED50CBF" w:rsidR="009D04B8" w:rsidRPr="00627CA1" w:rsidRDefault="009D04B8" w:rsidP="006205ED">
      <w:pPr>
        <w:numPr>
          <w:ilvl w:val="0"/>
          <w:numId w:val="35"/>
        </w:numPr>
        <w:spacing w:before="60" w:after="60"/>
        <w:rPr>
          <w:rFonts w:eastAsia="Times New Roman" w:cs="Times New Roman"/>
          <w:b/>
          <w:bCs/>
          <w:szCs w:val="24"/>
          <w:lang w:eastAsia="en-AU"/>
        </w:rPr>
      </w:pPr>
      <w:r w:rsidRPr="00627CA1">
        <w:rPr>
          <w:rFonts w:eastAsia="Times New Roman" w:cs="Times New Roman"/>
          <w:b/>
          <w:bCs/>
          <w:szCs w:val="24"/>
          <w:lang w:eastAsia="en-AU"/>
        </w:rPr>
        <w:t xml:space="preserve">Applied SLR </w:t>
      </w:r>
      <w:r w:rsidRPr="00627CA1">
        <w:rPr>
          <w:rFonts w:eastAsia="Times New Roman" w:cs="Times New Roman"/>
          <w:bCs/>
          <w:szCs w:val="24"/>
          <w:lang w:eastAsia="en-AU"/>
        </w:rPr>
        <w:t>addressing KRQ 2 based on the 56 peer reviewed articles identified by the Department. This report included interpretation of review data with members of the UTS Rainbow Embassy and associates, comprised of LGBTQ+</w:t>
      </w:r>
      <w:r>
        <w:rPr>
          <w:rFonts w:eastAsia="Times New Roman" w:cs="Times New Roman"/>
          <w:bCs/>
          <w:szCs w:val="24"/>
          <w:lang w:eastAsia="en-AU"/>
        </w:rPr>
        <w:t xml:space="preserve"> people with </w:t>
      </w:r>
      <w:r w:rsidRPr="00627CA1">
        <w:rPr>
          <w:rFonts w:eastAsia="Times New Roman" w:cs="Times New Roman"/>
          <w:bCs/>
          <w:szCs w:val="24"/>
          <w:lang w:eastAsia="en-AU"/>
        </w:rPr>
        <w:t xml:space="preserve">lived </w:t>
      </w:r>
      <w:r w:rsidRPr="00627CA1">
        <w:rPr>
          <w:rFonts w:eastAsia="Times New Roman" w:cs="Times New Roman"/>
          <w:bCs/>
          <w:szCs w:val="24"/>
          <w:lang w:eastAsia="en-AU"/>
        </w:rPr>
        <w:lastRenderedPageBreak/>
        <w:t>experience of mental health challenges</w:t>
      </w:r>
      <w:r w:rsidR="005473CD">
        <w:rPr>
          <w:rStyle w:val="FootnoteReference"/>
          <w:rFonts w:eastAsia="Times New Roman" w:cs="Times New Roman"/>
          <w:bCs/>
          <w:szCs w:val="24"/>
          <w:lang w:eastAsia="en-AU"/>
        </w:rPr>
        <w:footnoteReference w:id="2"/>
      </w:r>
      <w:r>
        <w:rPr>
          <w:rFonts w:eastAsia="Times New Roman" w:cs="Times New Roman"/>
          <w:bCs/>
          <w:szCs w:val="24"/>
          <w:lang w:eastAsia="en-AU"/>
        </w:rPr>
        <w:t xml:space="preserve"> </w:t>
      </w:r>
      <w:r w:rsidRPr="00627CA1">
        <w:rPr>
          <w:rFonts w:eastAsia="Times New Roman" w:cs="Times New Roman"/>
          <w:bCs/>
          <w:szCs w:val="24"/>
          <w:lang w:eastAsia="en-AU"/>
        </w:rPr>
        <w:t>and/or suicidality, and of accessing mental health and suicide prevention services (intersecting lived experience).</w:t>
      </w:r>
      <w:r w:rsidR="00C11AA7">
        <w:rPr>
          <w:rStyle w:val="FootnoteReference"/>
          <w:rFonts w:eastAsia="Times New Roman" w:cs="Times New Roman"/>
          <w:bCs/>
          <w:szCs w:val="24"/>
          <w:lang w:eastAsia="en-AU"/>
        </w:rPr>
        <w:footnoteReference w:id="3"/>
      </w:r>
      <w:r w:rsidRPr="00627CA1">
        <w:rPr>
          <w:rFonts w:eastAsia="Times New Roman" w:cs="Times New Roman"/>
          <w:b/>
          <w:bCs/>
          <w:szCs w:val="24"/>
          <w:vertAlign w:val="superscript"/>
          <w:lang w:eastAsia="en-AU"/>
        </w:rPr>
        <w:t xml:space="preserve"> </w:t>
      </w:r>
    </w:p>
    <w:p w14:paraId="577B822F" w14:textId="179DECD1" w:rsidR="009D04B8" w:rsidRPr="00627CA1" w:rsidRDefault="009D04B8" w:rsidP="006205ED">
      <w:pPr>
        <w:numPr>
          <w:ilvl w:val="0"/>
          <w:numId w:val="35"/>
        </w:numPr>
        <w:spacing w:before="60" w:after="60"/>
        <w:ind w:left="714" w:hanging="357"/>
        <w:rPr>
          <w:rFonts w:eastAsia="Times New Roman" w:cs="Times New Roman"/>
          <w:szCs w:val="24"/>
          <w:lang w:eastAsia="en-AU"/>
        </w:rPr>
      </w:pPr>
      <w:r w:rsidRPr="00627CA1">
        <w:rPr>
          <w:rFonts w:eastAsia="Times New Roman" w:cs="Times New Roman"/>
          <w:b/>
          <w:bCs/>
          <w:szCs w:val="24"/>
          <w:lang w:eastAsia="en-AU"/>
        </w:rPr>
        <w:t>Research Translation Paper</w:t>
      </w:r>
      <w:r w:rsidR="00552465">
        <w:rPr>
          <w:rFonts w:eastAsia="Times New Roman" w:cs="Times New Roman"/>
          <w:b/>
          <w:bCs/>
          <w:szCs w:val="24"/>
          <w:lang w:eastAsia="en-AU"/>
        </w:rPr>
        <w:t xml:space="preserve"> </w:t>
      </w:r>
      <w:r w:rsidR="00552465" w:rsidRPr="00552465">
        <w:rPr>
          <w:rFonts w:eastAsia="Times New Roman" w:cs="Times New Roman"/>
          <w:szCs w:val="24"/>
          <w:lang w:eastAsia="en-AU"/>
        </w:rPr>
        <w:t>(this paper)</w:t>
      </w:r>
      <w:r w:rsidRPr="00552465">
        <w:rPr>
          <w:rFonts w:eastAsia="Times New Roman" w:cs="Times New Roman"/>
          <w:szCs w:val="24"/>
          <w:lang w:eastAsia="en-AU"/>
        </w:rPr>
        <w:t xml:space="preserve"> answering </w:t>
      </w:r>
      <w:r w:rsidRPr="00627CA1">
        <w:rPr>
          <w:rFonts w:eastAsia="Times New Roman" w:cs="Times New Roman"/>
          <w:szCs w:val="24"/>
          <w:lang w:eastAsia="en-AU"/>
        </w:rPr>
        <w:t>all three KRQ, including a summary of the Applied SLR</w:t>
      </w:r>
      <w:r w:rsidR="00552465">
        <w:rPr>
          <w:rFonts w:eastAsia="Times New Roman" w:cs="Times New Roman"/>
          <w:szCs w:val="24"/>
          <w:lang w:eastAsia="en-AU"/>
        </w:rPr>
        <w:t>.</w:t>
      </w:r>
    </w:p>
    <w:p w14:paraId="3BFA864D" w14:textId="3CDB1282" w:rsidR="00C11AA7" w:rsidRPr="00C11AA7" w:rsidRDefault="009D04B8" w:rsidP="006205ED">
      <w:pPr>
        <w:numPr>
          <w:ilvl w:val="0"/>
          <w:numId w:val="35"/>
        </w:numPr>
        <w:spacing w:before="60" w:after="60"/>
        <w:ind w:left="714" w:hanging="357"/>
        <w:rPr>
          <w:rFonts w:eastAsia="Times New Roman" w:cs="Times New Roman"/>
          <w:b/>
          <w:bCs/>
          <w:szCs w:val="24"/>
          <w:lang w:eastAsia="en-AU"/>
        </w:rPr>
      </w:pPr>
      <w:r w:rsidRPr="00C11AA7">
        <w:rPr>
          <w:rFonts w:eastAsia="Times New Roman" w:cs="Times New Roman"/>
          <w:b/>
          <w:bCs/>
          <w:szCs w:val="24"/>
          <w:lang w:eastAsia="en-AU"/>
        </w:rPr>
        <w:t xml:space="preserve">A plain English summary </w:t>
      </w:r>
      <w:r w:rsidRPr="00C11AA7">
        <w:rPr>
          <w:rFonts w:eastAsia="Times New Roman" w:cs="Times New Roman"/>
          <w:szCs w:val="24"/>
          <w:lang w:eastAsia="en-AU"/>
        </w:rPr>
        <w:t>of the above</w:t>
      </w:r>
      <w:r w:rsidR="00552465">
        <w:rPr>
          <w:rFonts w:eastAsia="Times New Roman" w:cs="Times New Roman"/>
          <w:szCs w:val="24"/>
          <w:lang w:eastAsia="en-AU"/>
        </w:rPr>
        <w:t>.</w:t>
      </w:r>
    </w:p>
    <w:p w14:paraId="46119C31" w14:textId="13E464C5" w:rsidR="009D04B8" w:rsidRPr="00F07791" w:rsidRDefault="009D04B8" w:rsidP="008D7624">
      <w:pPr>
        <w:spacing w:before="120"/>
        <w:ind w:left="-284"/>
        <w:rPr>
          <w:b/>
          <w:bCs/>
          <w:color w:val="0F4BEB" w:themeColor="accent1"/>
          <w:sz w:val="24"/>
          <w:szCs w:val="24"/>
          <w:lang w:eastAsia="en-AU"/>
        </w:rPr>
      </w:pPr>
      <w:r w:rsidRPr="00F07791">
        <w:rPr>
          <w:b/>
          <w:bCs/>
          <w:color w:val="0F4BEB" w:themeColor="accent1"/>
          <w:sz w:val="24"/>
          <w:szCs w:val="24"/>
          <w:lang w:eastAsia="en-AU"/>
        </w:rPr>
        <w:t>Background</w:t>
      </w:r>
    </w:p>
    <w:p w14:paraId="2CA1DEFD" w14:textId="77777777" w:rsidR="009D04B8" w:rsidRPr="00F07791" w:rsidRDefault="009D04B8" w:rsidP="00AD4842">
      <w:pPr>
        <w:spacing w:before="120"/>
        <w:rPr>
          <w:i/>
          <w:iCs/>
          <w:color w:val="0F4BEB" w:themeColor="accent1"/>
          <w:sz w:val="24"/>
          <w:szCs w:val="24"/>
          <w:lang w:eastAsia="en-AU"/>
        </w:rPr>
      </w:pPr>
      <w:r w:rsidRPr="00F07791">
        <w:rPr>
          <w:i/>
          <w:iCs/>
          <w:color w:val="0F4BEB" w:themeColor="accent1"/>
          <w:sz w:val="24"/>
          <w:szCs w:val="24"/>
          <w:lang w:eastAsia="en-AU"/>
        </w:rPr>
        <w:t>What do we know about Australia’s LGBTQ+ community?</w:t>
      </w:r>
    </w:p>
    <w:p w14:paraId="58F46BEC" w14:textId="07EFBC9B" w:rsidR="009D04B8" w:rsidRPr="005100BE" w:rsidRDefault="009D04B8" w:rsidP="00F07791">
      <w:pPr>
        <w:rPr>
          <w:rFonts w:eastAsia="Arial" w:cs="Cordia New"/>
        </w:rPr>
      </w:pPr>
      <w:r w:rsidRPr="005100BE">
        <w:rPr>
          <w:rFonts w:eastAsia="Arial" w:cs="Cordia New"/>
        </w:rPr>
        <w:t>While there are substantive gaps and limitations to the available data, estimates from the Victorian Agency for Health suggest that upwards of 5.7% of the population identify as Gay/Lesbian (1.8%), Bisexual/Queer/Pansexual (3</w:t>
      </w:r>
      <w:r>
        <w:rPr>
          <w:rFonts w:eastAsia="Arial" w:cs="Cordia New"/>
        </w:rPr>
        <w:t>.0</w:t>
      </w:r>
      <w:r w:rsidRPr="005100BE">
        <w:rPr>
          <w:rFonts w:eastAsia="Arial" w:cs="Cordia New"/>
        </w:rPr>
        <w:t>%), Transgender or gender diverse (0.2%), Intersex (0.2%)</w:t>
      </w:r>
      <w:r w:rsidR="00C90508">
        <w:rPr>
          <w:rFonts w:eastAsia="Arial" w:cs="Cordia New"/>
        </w:rPr>
        <w:t>,</w:t>
      </w:r>
      <w:r w:rsidRPr="005100BE">
        <w:rPr>
          <w:rFonts w:eastAsia="Arial" w:cs="Cordia New"/>
        </w:rPr>
        <w:t xml:space="preserve"> and Asexual/Other (0.4%).</w:t>
      </w:r>
      <w:r w:rsidR="00757EB1">
        <w:rPr>
          <w:rStyle w:val="FootnoteReference"/>
          <w:rFonts w:eastAsia="Arial" w:cs="Cordia New"/>
        </w:rPr>
        <w:footnoteReference w:id="4"/>
      </w:r>
      <w:r w:rsidRPr="005100BE">
        <w:rPr>
          <w:rFonts w:eastAsia="Arial" w:cs="Cordia New"/>
        </w:rPr>
        <w:t xml:space="preserve"> </w:t>
      </w:r>
      <w:r>
        <w:rPr>
          <w:rFonts w:eastAsia="Arial" w:cs="Cordia New"/>
        </w:rPr>
        <w:t xml:space="preserve">Many </w:t>
      </w:r>
      <w:r w:rsidRPr="005100BE">
        <w:rPr>
          <w:rFonts w:eastAsia="Arial" w:cs="Cordia New"/>
        </w:rPr>
        <w:t xml:space="preserve">researchers </w:t>
      </w:r>
      <w:r>
        <w:rPr>
          <w:rFonts w:eastAsia="Arial" w:cs="Cordia New"/>
        </w:rPr>
        <w:t xml:space="preserve">however </w:t>
      </w:r>
      <w:r w:rsidRPr="005100BE">
        <w:rPr>
          <w:rFonts w:eastAsia="Arial" w:cs="Cordia New"/>
        </w:rPr>
        <w:t xml:space="preserve">argue that </w:t>
      </w:r>
      <w:r>
        <w:rPr>
          <w:rFonts w:eastAsia="Arial" w:cs="Cordia New"/>
        </w:rPr>
        <w:t xml:space="preserve">actual </w:t>
      </w:r>
      <w:r w:rsidRPr="005100BE">
        <w:rPr>
          <w:rFonts w:eastAsia="Arial" w:cs="Cordia New"/>
        </w:rPr>
        <w:t xml:space="preserve">figures are higher still. </w:t>
      </w:r>
    </w:p>
    <w:p w14:paraId="33DD18AC" w14:textId="492FC277" w:rsidR="00C2399D" w:rsidRDefault="009D04B8" w:rsidP="00F07791">
      <w:pPr>
        <w:rPr>
          <w:rFonts w:eastAsia="Arial" w:cs="Cordia New"/>
        </w:rPr>
      </w:pPr>
      <w:r>
        <w:rPr>
          <w:rFonts w:eastAsia="Arial" w:cs="Cordia New"/>
        </w:rPr>
        <w:t>The data that is</w:t>
      </w:r>
      <w:r w:rsidRPr="005100BE">
        <w:rPr>
          <w:rFonts w:eastAsia="Arial" w:cs="Cordia New"/>
        </w:rPr>
        <w:t xml:space="preserve"> available indicate</w:t>
      </w:r>
      <w:r w:rsidR="002D5C1C">
        <w:rPr>
          <w:rFonts w:eastAsia="Arial" w:cs="Cordia New"/>
        </w:rPr>
        <w:t>s</w:t>
      </w:r>
      <w:r w:rsidRPr="005100BE">
        <w:rPr>
          <w:rFonts w:eastAsia="Arial" w:cs="Cordia New"/>
        </w:rPr>
        <w:t xml:space="preserve"> that </w:t>
      </w:r>
      <w:r>
        <w:rPr>
          <w:rFonts w:eastAsia="Arial" w:cs="Cordia New"/>
        </w:rPr>
        <w:t>LGBTQ+</w:t>
      </w:r>
      <w:r w:rsidRPr="005100BE">
        <w:rPr>
          <w:rFonts w:eastAsia="Arial" w:cs="Cordia New"/>
        </w:rPr>
        <w:t xml:space="preserve"> people experience higher rates of mental health challenges and suicidality than the general population.</w:t>
      </w:r>
      <w:r w:rsidR="00183730">
        <w:rPr>
          <w:rStyle w:val="FootnoteReference"/>
          <w:rFonts w:eastAsia="Arial" w:cs="Cordia New"/>
        </w:rPr>
        <w:footnoteReference w:id="5"/>
      </w:r>
      <w:r w:rsidRPr="005100BE">
        <w:rPr>
          <w:rFonts w:eastAsia="Arial" w:cs="Cordia New"/>
        </w:rPr>
        <w:t xml:space="preserve"> </w:t>
      </w:r>
      <w:r>
        <w:rPr>
          <w:rFonts w:eastAsia="Arial" w:cs="Cordia New"/>
        </w:rPr>
        <w:t xml:space="preserve">For example, the </w:t>
      </w:r>
      <w:r w:rsidRPr="186C9C28">
        <w:rPr>
          <w:rFonts w:eastAsia="Arial" w:cs="Cordia New"/>
          <w:iCs/>
        </w:rPr>
        <w:t>National Study of Mental Health and Wellbeing 2022</w:t>
      </w:r>
      <w:r w:rsidRPr="000546EB">
        <w:rPr>
          <w:rFonts w:eastAsia="Arial" w:cs="Cordia New"/>
        </w:rPr>
        <w:t xml:space="preserve"> found that more than half of GLB+ respondents reported having a diagnosis of any mental health </w:t>
      </w:r>
      <w:r>
        <w:rPr>
          <w:rFonts w:eastAsia="Arial" w:cs="Cordia New"/>
        </w:rPr>
        <w:t xml:space="preserve">condition </w:t>
      </w:r>
      <w:r w:rsidRPr="000546EB">
        <w:rPr>
          <w:rFonts w:eastAsia="Arial" w:cs="Cordia New"/>
        </w:rPr>
        <w:t xml:space="preserve">in the past 12 months (59%), compared to only 20% of heterosexual respondents. </w:t>
      </w:r>
      <w:r>
        <w:rPr>
          <w:rFonts w:eastAsia="Arial" w:cs="Cordia New"/>
        </w:rPr>
        <w:t xml:space="preserve">Further, </w:t>
      </w:r>
      <w:r w:rsidRPr="000546EB">
        <w:rPr>
          <w:rFonts w:eastAsia="Arial" w:cs="Cordia New"/>
        </w:rPr>
        <w:t>33% of transgender respondents had a diagnosis in the 12 months preceding the survey, compared to 21% of cisgender respondents.</w:t>
      </w:r>
      <w:r w:rsidR="00183730">
        <w:rPr>
          <w:rStyle w:val="FootnoteReference"/>
          <w:rFonts w:eastAsia="Arial" w:cs="Cordia New"/>
        </w:rPr>
        <w:footnoteReference w:id="6"/>
      </w:r>
      <w:r w:rsidRPr="005100BE">
        <w:rPr>
          <w:rFonts w:eastAsia="Arial" w:cs="Cordia New"/>
        </w:rPr>
        <w:t xml:space="preserve"> Emerging evidence also suggests that </w:t>
      </w:r>
      <w:r>
        <w:rPr>
          <w:rFonts w:eastAsia="Arial" w:cs="Cordia New"/>
        </w:rPr>
        <w:t>LGBTQ+</w:t>
      </w:r>
      <w:r w:rsidRPr="005100BE">
        <w:rPr>
          <w:rFonts w:eastAsia="Arial" w:cs="Cordia New"/>
        </w:rPr>
        <w:t xml:space="preserve"> people with intersecting identities and experiences (e.g. </w:t>
      </w:r>
      <w:r>
        <w:rPr>
          <w:rFonts w:eastAsia="Arial" w:cs="Cordia New"/>
        </w:rPr>
        <w:t>LGBTQ+</w:t>
      </w:r>
      <w:r w:rsidRPr="005100BE">
        <w:rPr>
          <w:rFonts w:eastAsia="Arial" w:cs="Cordia New"/>
        </w:rPr>
        <w:t xml:space="preserve"> people with disability) </w:t>
      </w:r>
      <w:r w:rsidRPr="186C9C28">
        <w:rPr>
          <w:rFonts w:eastAsia="Arial" w:cs="Cordia New"/>
        </w:rPr>
        <w:t xml:space="preserve">are at even greater risk of </w:t>
      </w:r>
      <w:r w:rsidRPr="005100BE">
        <w:rPr>
          <w:rFonts w:eastAsia="Arial" w:cs="Cordia New"/>
        </w:rPr>
        <w:t>poor mental health</w:t>
      </w:r>
      <w:r>
        <w:rPr>
          <w:rFonts w:eastAsia="Arial" w:cs="Cordia New"/>
        </w:rPr>
        <w:t xml:space="preserve"> and suicide</w:t>
      </w:r>
      <w:r w:rsidRPr="005100BE">
        <w:rPr>
          <w:rFonts w:eastAsia="Arial" w:cs="Cordia New"/>
        </w:rPr>
        <w:t xml:space="preserve"> outcome</w:t>
      </w:r>
      <w:r>
        <w:rPr>
          <w:rFonts w:eastAsia="Arial" w:cs="Cordia New"/>
        </w:rPr>
        <w:t>s</w:t>
      </w:r>
      <w:r w:rsidRPr="005100BE">
        <w:rPr>
          <w:rFonts w:eastAsia="Arial" w:cs="Cordia New"/>
        </w:rPr>
        <w:t xml:space="preserve">. </w:t>
      </w:r>
    </w:p>
    <w:p w14:paraId="484436EF" w14:textId="77777777" w:rsidR="00C2399D" w:rsidRDefault="00C2399D">
      <w:pPr>
        <w:spacing w:before="80" w:after="80" w:line="240" w:lineRule="auto"/>
        <w:rPr>
          <w:rFonts w:eastAsia="Arial" w:cs="Cordia New"/>
        </w:rPr>
      </w:pPr>
      <w:r>
        <w:rPr>
          <w:rFonts w:eastAsia="Arial" w:cs="Cordia New"/>
        </w:rPr>
        <w:br w:type="page"/>
      </w:r>
    </w:p>
    <w:p w14:paraId="44085374" w14:textId="77777777" w:rsidR="009D04B8" w:rsidRPr="00F07791" w:rsidRDefault="009D04B8" w:rsidP="00AD4842">
      <w:pPr>
        <w:spacing w:before="120"/>
        <w:rPr>
          <w:i/>
          <w:iCs/>
          <w:sz w:val="24"/>
          <w:szCs w:val="24"/>
          <w:lang w:eastAsia="en-AU"/>
        </w:rPr>
      </w:pPr>
      <w:r w:rsidRPr="00F07791">
        <w:rPr>
          <w:i/>
          <w:iCs/>
          <w:color w:val="0F4BEB" w:themeColor="accent1"/>
          <w:sz w:val="24"/>
          <w:szCs w:val="24"/>
          <w:lang w:eastAsia="en-AU"/>
        </w:rPr>
        <w:lastRenderedPageBreak/>
        <w:t xml:space="preserve">What do we know about the mental health policy and service landscape in Australia? </w:t>
      </w:r>
    </w:p>
    <w:p w14:paraId="0E76623C" w14:textId="77777777" w:rsidR="009D04B8" w:rsidRPr="005100BE" w:rsidRDefault="009D04B8" w:rsidP="00F07791">
      <w:pPr>
        <w:rPr>
          <w:rFonts w:eastAsia="Arial" w:cs="Cordia New"/>
          <w:lang w:eastAsia="en-AU"/>
        </w:rPr>
      </w:pPr>
      <w:r w:rsidRPr="2C550601">
        <w:rPr>
          <w:rFonts w:eastAsia="Arial" w:cs="Cordia New"/>
          <w:lang w:eastAsia="en-AU"/>
        </w:rPr>
        <w:t xml:space="preserve">There </w:t>
      </w:r>
      <w:r>
        <w:rPr>
          <w:rFonts w:eastAsia="Arial" w:cs="Cordia New"/>
          <w:lang w:eastAsia="en-AU"/>
        </w:rPr>
        <w:t>is</w:t>
      </w:r>
      <w:r w:rsidRPr="2C550601">
        <w:rPr>
          <w:rFonts w:eastAsia="Arial" w:cs="Cordia New"/>
          <w:lang w:eastAsia="en-AU"/>
        </w:rPr>
        <w:t xml:space="preserve"> a diverse range and distribution of services to </w:t>
      </w:r>
      <w:r>
        <w:rPr>
          <w:rFonts w:eastAsia="Arial" w:cs="Cordia New"/>
          <w:lang w:eastAsia="en-AU"/>
        </w:rPr>
        <w:t>LGBTQ+</w:t>
      </w:r>
      <w:r w:rsidRPr="2C550601">
        <w:rPr>
          <w:rFonts w:eastAsia="Arial" w:cs="Cordia New"/>
          <w:lang w:eastAsia="en-AU"/>
        </w:rPr>
        <w:t xml:space="preserve"> people in Australia who need support related to mental health, wellbeing, and suicide prevention. Reflecting the broader health system, these services are administered, funded, and delivered through a mix of Commonwealth, state/territory, private, not-for-profit</w:t>
      </w:r>
      <w:r>
        <w:rPr>
          <w:rFonts w:eastAsia="Arial" w:cs="Cordia New"/>
          <w:lang w:eastAsia="en-AU"/>
        </w:rPr>
        <w:t>,</w:t>
      </w:r>
      <w:r w:rsidRPr="2C550601">
        <w:rPr>
          <w:rFonts w:eastAsia="Arial" w:cs="Cordia New"/>
          <w:lang w:eastAsia="en-AU"/>
        </w:rPr>
        <w:t xml:space="preserve"> and community-controlled mechanisms. </w:t>
      </w:r>
    </w:p>
    <w:p w14:paraId="6EA34A25" w14:textId="4DD3F712" w:rsidR="009D04B8" w:rsidRPr="00B72AAB" w:rsidRDefault="009D04B8" w:rsidP="00F07791">
      <w:pPr>
        <w:rPr>
          <w:rFonts w:eastAsia="Arial" w:cs="Cordia New"/>
          <w:lang w:eastAsia="en-AU"/>
        </w:rPr>
      </w:pPr>
      <w:r w:rsidRPr="00B72AAB">
        <w:rPr>
          <w:rFonts w:eastAsia="Arial" w:cs="Cordia New"/>
          <w:lang w:eastAsia="en-AU"/>
        </w:rPr>
        <w:t xml:space="preserve">While most of the services available are designed for the general community, there is also a patchwork of services which are </w:t>
      </w:r>
      <w:r>
        <w:rPr>
          <w:rFonts w:eastAsia="Arial" w:cs="Cordia New"/>
          <w:lang w:eastAsia="en-AU"/>
        </w:rPr>
        <w:t xml:space="preserve">designed specifically </w:t>
      </w:r>
      <w:r w:rsidRPr="00B72AAB">
        <w:rPr>
          <w:rFonts w:eastAsia="Arial" w:cs="Cordia New"/>
          <w:lang w:eastAsia="en-AU"/>
        </w:rPr>
        <w:t xml:space="preserve">for </w:t>
      </w:r>
      <w:r>
        <w:rPr>
          <w:lang w:eastAsia="en-AU"/>
        </w:rPr>
        <w:t>LGBTQ+</w:t>
      </w:r>
      <w:r w:rsidRPr="00B72AAB">
        <w:rPr>
          <w:rFonts w:eastAsia="Arial" w:cs="Cordia New"/>
          <w:lang w:eastAsia="en-AU"/>
        </w:rPr>
        <w:t xml:space="preserve"> people (referred to as </w:t>
      </w:r>
      <w:r>
        <w:rPr>
          <w:lang w:eastAsia="en-AU"/>
        </w:rPr>
        <w:t>LGBTQ+</w:t>
      </w:r>
      <w:r w:rsidRPr="00B72AAB">
        <w:rPr>
          <w:rFonts w:eastAsia="Arial" w:cs="Cordia New"/>
          <w:lang w:eastAsia="en-AU"/>
        </w:rPr>
        <w:t xml:space="preserve"> </w:t>
      </w:r>
      <w:r w:rsidRPr="7CE10AFC">
        <w:rPr>
          <w:rFonts w:eastAsia="Arial" w:cs="Cordia New"/>
          <w:lang w:eastAsia="en-AU"/>
        </w:rPr>
        <w:t>s</w:t>
      </w:r>
      <w:r w:rsidRPr="00B72AAB">
        <w:rPr>
          <w:rFonts w:eastAsia="Arial" w:cs="Cordia New"/>
          <w:lang w:eastAsia="en-AU"/>
        </w:rPr>
        <w:t xml:space="preserve">pecific services). However, </w:t>
      </w:r>
      <w:r w:rsidRPr="00B72AAB">
        <w:rPr>
          <w:lang w:eastAsia="en-AU"/>
        </w:rPr>
        <w:t>t</w:t>
      </w:r>
      <w:r>
        <w:rPr>
          <w:lang w:eastAsia="en-AU"/>
        </w:rPr>
        <w:t>hese specialised</w:t>
      </w:r>
      <w:r>
        <w:rPr>
          <w:rFonts w:eastAsia="Arial" w:cs="Cordia New"/>
          <w:lang w:eastAsia="en-AU"/>
        </w:rPr>
        <w:t xml:space="preserve"> </w:t>
      </w:r>
      <w:r w:rsidRPr="00B72AAB">
        <w:rPr>
          <w:rFonts w:eastAsia="Arial" w:cs="Cordia New"/>
          <w:lang w:eastAsia="en-AU"/>
        </w:rPr>
        <w:t>services are limited</w:t>
      </w:r>
      <w:r>
        <w:rPr>
          <w:lang w:eastAsia="en-AU"/>
        </w:rPr>
        <w:t>,</w:t>
      </w:r>
      <w:r w:rsidRPr="00B72AAB">
        <w:rPr>
          <w:rFonts w:eastAsia="Arial" w:cs="Cordia New"/>
          <w:lang w:eastAsia="en-AU"/>
        </w:rPr>
        <w:t xml:space="preserve"> with only a small number of services providing state-wide or national coverage. Evidence suggests that many mainstream mental health services are not well equipped to provide best practice care for LGBTQ+ people and can be experienced as discriminatory, </w:t>
      </w:r>
      <w:r>
        <w:rPr>
          <w:rFonts w:eastAsia="Arial" w:cs="Cordia New"/>
          <w:lang w:eastAsia="en-AU"/>
        </w:rPr>
        <w:t>pathologi</w:t>
      </w:r>
      <w:r w:rsidRPr="7CE10AFC">
        <w:rPr>
          <w:rFonts w:eastAsia="Arial" w:cs="Cordia New"/>
          <w:lang w:eastAsia="en-AU"/>
        </w:rPr>
        <w:t>s</w:t>
      </w:r>
      <w:r>
        <w:rPr>
          <w:rFonts w:eastAsia="Arial" w:cs="Cordia New"/>
          <w:lang w:eastAsia="en-AU"/>
        </w:rPr>
        <w:t>ing,</w:t>
      </w:r>
      <w:r w:rsidRPr="00B72AAB">
        <w:rPr>
          <w:rFonts w:eastAsia="Arial" w:cs="Cordia New"/>
          <w:lang w:eastAsia="en-AU"/>
        </w:rPr>
        <w:t xml:space="preserve"> and traumatising.</w:t>
      </w:r>
    </w:p>
    <w:p w14:paraId="0960700C" w14:textId="0588FFC5" w:rsidR="009D04B8" w:rsidRPr="005100BE" w:rsidRDefault="009D04B8" w:rsidP="00F07791">
      <w:pPr>
        <w:rPr>
          <w:rFonts w:eastAsia="Arial" w:cs="Cordia New"/>
          <w:lang w:eastAsia="en-AU"/>
        </w:rPr>
      </w:pPr>
      <w:r w:rsidRPr="005100BE">
        <w:rPr>
          <w:rFonts w:eastAsia="Arial" w:cs="Cordia New"/>
          <w:lang w:eastAsia="en-AU"/>
        </w:rPr>
        <w:t xml:space="preserve">There are various policies, strategies, and other mechanisms already in place at the Commonwealth and state/territory levels which are seeking to improve outcomes and services for </w:t>
      </w:r>
      <w:r>
        <w:rPr>
          <w:rFonts w:eastAsia="Arial" w:cs="Cordia New"/>
          <w:lang w:eastAsia="en-AU"/>
        </w:rPr>
        <w:t>LGBTQ+</w:t>
      </w:r>
      <w:r w:rsidRPr="005100BE">
        <w:rPr>
          <w:rFonts w:eastAsia="Arial" w:cs="Cordia New"/>
          <w:lang w:eastAsia="en-AU"/>
        </w:rPr>
        <w:t xml:space="preserve"> people. This includes dedicated </w:t>
      </w:r>
      <w:r>
        <w:rPr>
          <w:rFonts w:eastAsia="Arial" w:cs="Cordia New"/>
          <w:lang w:eastAsia="en-AU"/>
        </w:rPr>
        <w:t>LGBTQ+</w:t>
      </w:r>
      <w:r w:rsidRPr="005100BE">
        <w:rPr>
          <w:rFonts w:eastAsia="Arial" w:cs="Cordia New"/>
          <w:lang w:eastAsia="en-AU"/>
        </w:rPr>
        <w:t xml:space="preserve"> health or whole-of-government strategies in at least five state and territories, as well as ongoing lived experience input provided through permanent advisory infrastructure</w:t>
      </w:r>
      <w:r w:rsidR="00057FEE" w:rsidRPr="002D5C1C">
        <w:rPr>
          <w:rFonts w:eastAsia="Arial" w:cs="Cordia New"/>
          <w:lang w:eastAsia="en-AU"/>
        </w:rPr>
        <w:t>.</w:t>
      </w:r>
      <w:r w:rsidR="00057FEE">
        <w:rPr>
          <w:rFonts w:eastAsia="Arial" w:cs="Cordia New"/>
          <w:lang w:eastAsia="en-AU"/>
        </w:rPr>
        <w:t xml:space="preserve"> </w:t>
      </w:r>
      <w:r w:rsidRPr="005100BE">
        <w:rPr>
          <w:rFonts w:eastAsia="Arial" w:cs="Cordia New"/>
          <w:lang w:eastAsia="en-AU"/>
        </w:rPr>
        <w:t>Various community organisations, education providers</w:t>
      </w:r>
      <w:r w:rsidR="002568A7">
        <w:rPr>
          <w:rFonts w:eastAsia="Arial" w:cs="Cordia New"/>
          <w:lang w:eastAsia="en-AU"/>
        </w:rPr>
        <w:t>,</w:t>
      </w:r>
      <w:r w:rsidRPr="005100BE">
        <w:rPr>
          <w:rFonts w:eastAsia="Arial" w:cs="Cordia New"/>
          <w:lang w:eastAsia="en-AU"/>
        </w:rPr>
        <w:t xml:space="preserve"> and industry bodies</w:t>
      </w:r>
      <w:r>
        <w:rPr>
          <w:rFonts w:eastAsia="Arial" w:cs="Cordia New"/>
          <w:lang w:eastAsia="en-AU"/>
        </w:rPr>
        <w:t xml:space="preserve"> </w:t>
      </w:r>
      <w:r w:rsidRPr="005100BE">
        <w:rPr>
          <w:rFonts w:eastAsia="Arial" w:cs="Cordia New"/>
          <w:lang w:eastAsia="en-AU"/>
        </w:rPr>
        <w:t>are also promoting new strategies, best practice guides</w:t>
      </w:r>
      <w:r w:rsidR="002568A7">
        <w:rPr>
          <w:rFonts w:eastAsia="Arial" w:cs="Cordia New"/>
          <w:lang w:eastAsia="en-AU"/>
        </w:rPr>
        <w:t>,</w:t>
      </w:r>
      <w:r w:rsidRPr="005100BE">
        <w:rPr>
          <w:rFonts w:eastAsia="Arial" w:cs="Cordia New"/>
          <w:lang w:eastAsia="en-AU"/>
        </w:rPr>
        <w:t xml:space="preserve"> and other resources to support mental health and suicide prevention for </w:t>
      </w:r>
      <w:r>
        <w:rPr>
          <w:rFonts w:eastAsia="Arial" w:cs="Cordia New"/>
          <w:lang w:eastAsia="en-AU"/>
        </w:rPr>
        <w:t>LGBTQ+</w:t>
      </w:r>
      <w:r w:rsidRPr="005100BE">
        <w:rPr>
          <w:rFonts w:eastAsia="Arial" w:cs="Cordia New"/>
          <w:lang w:eastAsia="en-AU"/>
        </w:rPr>
        <w:t xml:space="preserve"> people</w:t>
      </w:r>
      <w:r w:rsidR="002621A4">
        <w:rPr>
          <w:rFonts w:eastAsia="Arial" w:cs="Cordia New"/>
          <w:lang w:eastAsia="en-AU"/>
        </w:rPr>
        <w:t xml:space="preserve">, including, for example, </w:t>
      </w:r>
      <w:r w:rsidRPr="005100BE">
        <w:rPr>
          <w:rFonts w:eastAsia="Arial" w:cs="Cordia New"/>
        </w:rPr>
        <w:t xml:space="preserve">LGBTIQ+ Health Australia’s </w:t>
      </w:r>
      <w:r w:rsidRPr="2C550601">
        <w:rPr>
          <w:rFonts w:eastAsia="Arial" w:cs="Cordia New"/>
          <w:iCs/>
        </w:rPr>
        <w:t>2021-26 Strategy</w:t>
      </w:r>
      <w:r>
        <w:rPr>
          <w:rFonts w:eastAsia="Arial" w:cs="Cordia New"/>
        </w:rPr>
        <w:t>)</w:t>
      </w:r>
      <w:r w:rsidRPr="005100BE">
        <w:rPr>
          <w:rFonts w:eastAsia="Arial" w:cs="Cordia New"/>
          <w:lang w:eastAsia="en-AU"/>
        </w:rPr>
        <w:t>.</w:t>
      </w:r>
      <w:r w:rsidR="00DB5DD7">
        <w:rPr>
          <w:rStyle w:val="FootnoteReference"/>
          <w:rFonts w:eastAsia="Arial" w:cs="Cordia New"/>
          <w:lang w:eastAsia="en-AU"/>
        </w:rPr>
        <w:footnoteReference w:id="7"/>
      </w:r>
    </w:p>
    <w:p w14:paraId="53B7208D" w14:textId="22EC5F91" w:rsidR="009D04B8" w:rsidRPr="00E66A0E" w:rsidRDefault="009D04B8" w:rsidP="008D7624">
      <w:pPr>
        <w:spacing w:before="120"/>
        <w:ind w:left="-284"/>
        <w:rPr>
          <w:b/>
          <w:bCs/>
          <w:color w:val="0F4BEB" w:themeColor="accent1"/>
          <w:sz w:val="24"/>
          <w:szCs w:val="24"/>
          <w:lang w:eastAsia="en-AU"/>
        </w:rPr>
      </w:pPr>
      <w:r w:rsidRPr="00E66A0E">
        <w:rPr>
          <w:b/>
          <w:bCs/>
          <w:color w:val="0F4BEB" w:themeColor="accent1"/>
          <w:sz w:val="24"/>
          <w:szCs w:val="24"/>
          <w:lang w:eastAsia="en-AU"/>
        </w:rPr>
        <w:t>KRQ 1: Causes of Distress</w:t>
      </w:r>
    </w:p>
    <w:p w14:paraId="3E85B789" w14:textId="2326D16B" w:rsidR="00A9735D" w:rsidRPr="00A9735D" w:rsidRDefault="00A9735D" w:rsidP="00F07791">
      <w:pPr>
        <w:rPr>
          <w:rFonts w:eastAsia="Arial" w:cs="Cordia New"/>
        </w:rPr>
      </w:pPr>
      <w:r w:rsidRPr="00A9735D">
        <w:rPr>
          <w:rFonts w:eastAsia="Arial" w:cs="Cordia New"/>
        </w:rPr>
        <w:t xml:space="preserve">The research indicates that there is no single or uniform set of factors which determine mental health, wellbeing, and suicide prevention outcomes for Australia’s LGBTQ+ population. As with the general population, the causes of distress (referred to as ‘stressors’) are complex and include a diversity of structural, psychosocial, and biological factors. </w:t>
      </w:r>
    </w:p>
    <w:p w14:paraId="2ADECADA" w14:textId="6CCB05C3" w:rsidR="00A9735D" w:rsidRPr="00A9735D" w:rsidRDefault="00A9735D" w:rsidP="00F07791">
      <w:pPr>
        <w:rPr>
          <w:rFonts w:eastAsia="Arial" w:cs="Cordia New"/>
        </w:rPr>
      </w:pPr>
      <w:r w:rsidRPr="00A9735D">
        <w:rPr>
          <w:rFonts w:eastAsia="Arial" w:cs="Cordia New"/>
        </w:rPr>
        <w:t>Researchers have, however, identified specific external stressors which LGBTQ+ people have a heightened or, in some cases, unique risk of experiencing. As described in Meyer (2003)’s Minority Stress Model, exposure to external stressors can drive internal stressors such as internalised stigma, the anticipation of rejection and fear of harm. These external and internal stressors can also directly and indirectly undermine access to protective factors which support resilience and positive mental health</w:t>
      </w:r>
      <w:r w:rsidR="00C657A9">
        <w:rPr>
          <w:rFonts w:eastAsia="Arial" w:cs="Cordia New"/>
        </w:rPr>
        <w:t>,</w:t>
      </w:r>
      <w:r w:rsidRPr="00A9735D">
        <w:rPr>
          <w:rFonts w:eastAsia="Arial" w:cs="Cordia New"/>
        </w:rPr>
        <w:t xml:space="preserve"> such as access to social support and structural resources (e.g., employment, housing, and healthcare). </w:t>
      </w:r>
    </w:p>
    <w:p w14:paraId="4018DCFF" w14:textId="77777777" w:rsidR="00A9735D" w:rsidRPr="00A9735D" w:rsidRDefault="00A9735D" w:rsidP="00F07791">
      <w:pPr>
        <w:rPr>
          <w:rFonts w:eastAsia="Arial" w:cs="Cordia New"/>
        </w:rPr>
      </w:pPr>
      <w:r w:rsidRPr="00A9735D">
        <w:rPr>
          <w:rFonts w:eastAsia="Arial" w:cs="Cordia New"/>
        </w:rPr>
        <w:t>For the purposes of this research, the specific stressors which can be generalised to the broader LGBTQIA+ community are categorised as:</w:t>
      </w:r>
    </w:p>
    <w:p w14:paraId="14E2E746" w14:textId="77777777" w:rsidR="00A9735D" w:rsidRPr="00A9735D" w:rsidRDefault="00A9735D" w:rsidP="00F07791">
      <w:pPr>
        <w:pStyle w:val="ListBullet0"/>
        <w:tabs>
          <w:tab w:val="clear" w:pos="425"/>
          <w:tab w:val="num" w:pos="709"/>
        </w:tabs>
        <w:ind w:left="709"/>
        <w:rPr>
          <w:rFonts w:eastAsia="Arial"/>
        </w:rPr>
      </w:pPr>
      <w:r w:rsidRPr="00A9735D">
        <w:rPr>
          <w:rFonts w:eastAsia="Arial"/>
          <w:b/>
          <w:bCs/>
        </w:rPr>
        <w:t>Stigmatisation, discrimination, and marginalisation</w:t>
      </w:r>
      <w:r w:rsidRPr="00A9735D">
        <w:rPr>
          <w:rFonts w:eastAsia="Arial"/>
        </w:rPr>
        <w:t xml:space="preserve"> at structural, institutional, and interpersonal levels. These exist in both overt and covert forms, and, among various other issues, include pathologisation and stigmatisation by health service providers.  </w:t>
      </w:r>
    </w:p>
    <w:p w14:paraId="5FCF2A97" w14:textId="51233452" w:rsidR="00A9735D" w:rsidRPr="00A9735D" w:rsidRDefault="00A9735D" w:rsidP="00F07791">
      <w:pPr>
        <w:pStyle w:val="ListBullet0"/>
        <w:tabs>
          <w:tab w:val="clear" w:pos="425"/>
          <w:tab w:val="num" w:pos="709"/>
        </w:tabs>
        <w:ind w:left="709"/>
        <w:rPr>
          <w:rFonts w:eastAsia="Arial"/>
        </w:rPr>
      </w:pPr>
      <w:r w:rsidRPr="00A9735D">
        <w:rPr>
          <w:rFonts w:eastAsia="Arial"/>
          <w:b/>
          <w:bCs/>
        </w:rPr>
        <w:lastRenderedPageBreak/>
        <w:t>Victimisation, bullying</w:t>
      </w:r>
      <w:r w:rsidR="00C657A9">
        <w:rPr>
          <w:rFonts w:eastAsia="Arial"/>
          <w:b/>
          <w:bCs/>
        </w:rPr>
        <w:t>,</w:t>
      </w:r>
      <w:r w:rsidRPr="00A9735D">
        <w:rPr>
          <w:rFonts w:eastAsia="Arial"/>
          <w:b/>
          <w:bCs/>
        </w:rPr>
        <w:t xml:space="preserve"> and violence</w:t>
      </w:r>
      <w:r w:rsidRPr="00A9735D">
        <w:rPr>
          <w:rFonts w:eastAsia="Arial"/>
        </w:rPr>
        <w:t xml:space="preserve">: while data indicates that LGBTQ+ people are exposed to these issues at higher rates, the research also suggests that incidents which are explicitly driven by stigma pose an even greater risk to health and wellbeing. </w:t>
      </w:r>
    </w:p>
    <w:p w14:paraId="29A1CB9B" w14:textId="77777777" w:rsidR="00A9735D" w:rsidRPr="00A9735D" w:rsidRDefault="00A9735D" w:rsidP="00F07791">
      <w:pPr>
        <w:pStyle w:val="ListBullet0"/>
        <w:tabs>
          <w:tab w:val="clear" w:pos="425"/>
          <w:tab w:val="num" w:pos="709"/>
        </w:tabs>
        <w:ind w:left="709"/>
        <w:rPr>
          <w:rFonts w:eastAsia="Arial"/>
        </w:rPr>
      </w:pPr>
      <w:r w:rsidRPr="00A9735D">
        <w:rPr>
          <w:rFonts w:eastAsia="Arial"/>
          <w:b/>
          <w:bCs/>
        </w:rPr>
        <w:t>Rejection, isolation, and loneliness</w:t>
      </w:r>
      <w:r w:rsidRPr="00A9735D">
        <w:rPr>
          <w:rFonts w:eastAsia="Arial"/>
        </w:rPr>
        <w:t xml:space="preserve"> from both family and peers. While </w:t>
      </w:r>
      <w:proofErr w:type="gramStart"/>
      <w:r w:rsidRPr="00A9735D">
        <w:rPr>
          <w:rFonts w:eastAsia="Arial"/>
        </w:rPr>
        <w:t>distressing in itself, these</w:t>
      </w:r>
      <w:proofErr w:type="gramEnd"/>
      <w:r w:rsidRPr="00A9735D">
        <w:rPr>
          <w:rFonts w:eastAsia="Arial"/>
        </w:rPr>
        <w:t xml:space="preserve"> experiences can also undermine access to crucial internal, social, and structural resources (e.g., self-esteem, group-level coping support and, in the case of family, economic necessities such as housing).  </w:t>
      </w:r>
    </w:p>
    <w:p w14:paraId="3F0CD09A" w14:textId="436659B7" w:rsidR="00A9735D" w:rsidRPr="00A9735D" w:rsidRDefault="00A9735D" w:rsidP="00F07791">
      <w:pPr>
        <w:pStyle w:val="ListBullet0"/>
        <w:tabs>
          <w:tab w:val="clear" w:pos="425"/>
          <w:tab w:val="num" w:pos="709"/>
        </w:tabs>
        <w:ind w:left="709"/>
        <w:rPr>
          <w:rFonts w:eastAsia="Arial"/>
        </w:rPr>
      </w:pPr>
      <w:r w:rsidRPr="006B25AA">
        <w:rPr>
          <w:rFonts w:eastAsia="Arial"/>
          <w:b/>
          <w:bCs/>
        </w:rPr>
        <w:t>Factors related to LGBTQ+</w:t>
      </w:r>
      <w:r w:rsidR="00C657A9">
        <w:rPr>
          <w:rFonts w:eastAsia="Arial"/>
          <w:b/>
          <w:bCs/>
        </w:rPr>
        <w:t xml:space="preserve"> </w:t>
      </w:r>
      <w:r w:rsidRPr="006B25AA">
        <w:rPr>
          <w:rFonts w:eastAsia="Arial"/>
          <w:b/>
          <w:bCs/>
        </w:rPr>
        <w:t>specific milestones:</w:t>
      </w:r>
      <w:r w:rsidRPr="00A9735D">
        <w:rPr>
          <w:rFonts w:eastAsia="Arial"/>
        </w:rPr>
        <w:t xml:space="preserve"> researchers have developed competing theories regarding both the legitimacy of ‘milestone’ models and the impacts of the processes they describe (i.e., discovering, accepting, and disclosing identity) on mental health and wellbeing. </w:t>
      </w:r>
    </w:p>
    <w:p w14:paraId="69AB6EDF" w14:textId="13C26012" w:rsidR="00A9735D" w:rsidRPr="00A9735D" w:rsidRDefault="00A9735D" w:rsidP="00F07791">
      <w:pPr>
        <w:rPr>
          <w:rFonts w:eastAsia="Arial" w:cs="Cordia New"/>
        </w:rPr>
      </w:pPr>
      <w:r w:rsidRPr="00A9735D">
        <w:rPr>
          <w:rFonts w:eastAsia="Arial" w:cs="Cordia New"/>
        </w:rPr>
        <w:t>While the stressors outlined above can be generalised to the whole LGBTQ+ community, they vary at the level of the individual and sub-group, and with respect to intersecting experiences and sociopolitical context. The literature has also identified additional stressors related to specific LGBTQ+ subgroups (e.g.,</w:t>
      </w:r>
      <w:r w:rsidR="00E31A68">
        <w:rPr>
          <w:rFonts w:eastAsia="Arial" w:cs="Cordia New"/>
        </w:rPr>
        <w:t xml:space="preserve"> transgender</w:t>
      </w:r>
      <w:r w:rsidRPr="00A9735D">
        <w:rPr>
          <w:rFonts w:eastAsia="Arial" w:cs="Cordia New"/>
        </w:rPr>
        <w:t xml:space="preserve"> people) and at the intersection of different minority statuses (e.g., LGBTQ+ people of colour). </w:t>
      </w:r>
    </w:p>
    <w:p w14:paraId="45FB4B41" w14:textId="77777777" w:rsidR="009D04B8" w:rsidRPr="00F07791" w:rsidRDefault="009D04B8" w:rsidP="008D7624">
      <w:pPr>
        <w:spacing w:before="120"/>
        <w:ind w:left="-284"/>
        <w:rPr>
          <w:b/>
          <w:bCs/>
          <w:color w:val="0F4BEB" w:themeColor="accent1"/>
          <w:sz w:val="24"/>
          <w:szCs w:val="24"/>
          <w:lang w:eastAsia="en-AU"/>
        </w:rPr>
      </w:pPr>
      <w:r w:rsidRPr="00F07791">
        <w:rPr>
          <w:b/>
          <w:bCs/>
          <w:color w:val="0F4BEB" w:themeColor="accent1"/>
          <w:sz w:val="24"/>
          <w:szCs w:val="24"/>
          <w:lang w:eastAsia="en-AU"/>
        </w:rPr>
        <w:t>KRQ 2: Mental health and suicide prevention services effectiveness</w:t>
      </w:r>
    </w:p>
    <w:p w14:paraId="5482CF2F" w14:textId="77777777" w:rsidR="009D04B8" w:rsidRPr="005100BE" w:rsidRDefault="009D04B8" w:rsidP="009D04B8">
      <w:pPr>
        <w:rPr>
          <w:rFonts w:eastAsia="Arial" w:cs="Cordia New"/>
          <w:lang w:eastAsia="en-AU"/>
        </w:rPr>
      </w:pPr>
      <w:r w:rsidRPr="2C550601">
        <w:rPr>
          <w:rFonts w:eastAsia="Arial" w:cs="Cordia New"/>
          <w:lang w:eastAsia="en-AU"/>
        </w:rPr>
        <w:t xml:space="preserve">A definitive answer regarding the effectiveness of services could not be provided based on the literature included within the </w:t>
      </w:r>
      <w:r>
        <w:rPr>
          <w:rFonts w:eastAsia="Arial" w:cs="Cordia New"/>
          <w:lang w:eastAsia="en-AU"/>
        </w:rPr>
        <w:t xml:space="preserve">applied </w:t>
      </w:r>
      <w:r w:rsidRPr="2C550601">
        <w:rPr>
          <w:rFonts w:eastAsia="Arial" w:cs="Cordia New"/>
          <w:lang w:eastAsia="en-AU"/>
        </w:rPr>
        <w:t xml:space="preserve">SLR research scope. However, findings of the review provide important insights into the current state of service provision </w:t>
      </w:r>
      <w:r>
        <w:rPr>
          <w:rFonts w:eastAsia="Arial" w:cs="Cordia New"/>
          <w:lang w:eastAsia="en-AU"/>
        </w:rPr>
        <w:t>as</w:t>
      </w:r>
      <w:r w:rsidRPr="2C550601">
        <w:rPr>
          <w:rFonts w:eastAsia="Arial" w:cs="Cordia New"/>
          <w:lang w:eastAsia="en-AU"/>
        </w:rPr>
        <w:t xml:space="preserve"> summarised below: </w:t>
      </w:r>
    </w:p>
    <w:p w14:paraId="39531E5C" w14:textId="2B599072" w:rsidR="009D04B8" w:rsidRPr="00F07791" w:rsidRDefault="009D04B8" w:rsidP="006205ED">
      <w:pPr>
        <w:pStyle w:val="ListParagraph"/>
        <w:numPr>
          <w:ilvl w:val="0"/>
          <w:numId w:val="40"/>
        </w:numPr>
        <w:ind w:left="357" w:hanging="357"/>
        <w:rPr>
          <w:rFonts w:eastAsiaTheme="minorHAnsi"/>
          <w:i/>
          <w:iCs/>
          <w:color w:val="0F4BEB" w:themeColor="accent1"/>
          <w:sz w:val="24"/>
        </w:rPr>
      </w:pPr>
      <w:r w:rsidRPr="00F07791">
        <w:rPr>
          <w:rFonts w:eastAsiaTheme="minorHAnsi"/>
          <w:i/>
          <w:iCs/>
          <w:color w:val="0F4BEB" w:themeColor="accent1"/>
          <w:sz w:val="24"/>
        </w:rPr>
        <w:t>What services are available and provided to LGBTQ+ people?</w:t>
      </w:r>
    </w:p>
    <w:p w14:paraId="44C0728F" w14:textId="77777777" w:rsidR="009D04B8" w:rsidRDefault="009D04B8" w:rsidP="009D04B8">
      <w:pPr>
        <w:rPr>
          <w:rFonts w:eastAsia="Arial" w:cs="Cordia New"/>
        </w:rPr>
      </w:pPr>
      <w:r w:rsidRPr="186C9C28">
        <w:rPr>
          <w:rFonts w:eastAsia="Arial" w:cs="Cordia New"/>
        </w:rPr>
        <w:t xml:space="preserve">None of the screened studies (56) provided a comprehensive map of the mental health services provided to LGBTQ+ people in Australia, nor the UK. </w:t>
      </w:r>
      <w:r w:rsidRPr="005100BE">
        <w:rPr>
          <w:rFonts w:eastAsia="Arial" w:cs="Cordia New"/>
        </w:rPr>
        <w:t xml:space="preserve">A few studies, however, surveyed the mental health services that </w:t>
      </w:r>
      <w:r>
        <w:rPr>
          <w:rFonts w:eastAsia="Arial" w:cs="Cordia New"/>
        </w:rPr>
        <w:t>LGBTQ+</w:t>
      </w:r>
      <w:r w:rsidRPr="005100BE">
        <w:rPr>
          <w:rFonts w:eastAsia="Arial" w:cs="Cordia New"/>
        </w:rPr>
        <w:t xml:space="preserve"> participants had accessed, which indicated that they used services across the range of different care and provider types.</w:t>
      </w:r>
    </w:p>
    <w:p w14:paraId="25F7A833" w14:textId="77777777" w:rsidR="009D04B8" w:rsidRPr="005100BE" w:rsidRDefault="009D04B8" w:rsidP="009D04B8">
      <w:pPr>
        <w:rPr>
          <w:rFonts w:eastAsia="Arial" w:cs="Cordia New"/>
        </w:rPr>
      </w:pPr>
      <w:r w:rsidRPr="2C550601">
        <w:rPr>
          <w:rFonts w:eastAsia="Arial" w:cs="Cordia New"/>
        </w:rPr>
        <w:t xml:space="preserve">In addition to a gap in general service mapping, the SLR pointed to a lack of dedicated research regarding the provision of care to some sub-groups of the LGBTQ+ population (e.g., non-binary people, gender fluid, </w:t>
      </w:r>
      <w:r>
        <w:rPr>
          <w:rFonts w:eastAsia="Arial" w:cs="Cordia New"/>
        </w:rPr>
        <w:t xml:space="preserve">and/or </w:t>
      </w:r>
      <w:r w:rsidRPr="2C550601">
        <w:rPr>
          <w:rFonts w:eastAsia="Arial" w:cs="Cordia New"/>
        </w:rPr>
        <w:t>pansexual people), as well as LGBTQ+ people with intersecting identities (e.g., LGBTQ+ people from CALD backgrounds).</w:t>
      </w:r>
    </w:p>
    <w:p w14:paraId="28FC749C" w14:textId="77777777" w:rsidR="009D04B8" w:rsidRPr="00F07791" w:rsidRDefault="009D04B8" w:rsidP="006205ED">
      <w:pPr>
        <w:pStyle w:val="ListParagraph"/>
        <w:numPr>
          <w:ilvl w:val="0"/>
          <w:numId w:val="40"/>
        </w:numPr>
        <w:ind w:left="357" w:hanging="357"/>
        <w:rPr>
          <w:rFonts w:eastAsiaTheme="minorHAnsi"/>
          <w:i/>
          <w:iCs/>
          <w:color w:val="0F4BEB" w:themeColor="accent1"/>
          <w:sz w:val="24"/>
        </w:rPr>
      </w:pPr>
      <w:r w:rsidRPr="00F07791">
        <w:rPr>
          <w:rFonts w:eastAsiaTheme="minorHAnsi"/>
          <w:i/>
          <w:iCs/>
          <w:color w:val="0F4BEB" w:themeColor="accent1"/>
          <w:sz w:val="24"/>
        </w:rPr>
        <w:t>What services were found to be effective?</w:t>
      </w:r>
    </w:p>
    <w:p w14:paraId="78125478" w14:textId="7DFDD4C2" w:rsidR="009D04B8" w:rsidRPr="005100BE" w:rsidRDefault="009D04B8" w:rsidP="009D04B8">
      <w:pPr>
        <w:rPr>
          <w:rFonts w:eastAsia="Arial" w:cs="Cordia New"/>
        </w:rPr>
      </w:pPr>
      <w:r w:rsidRPr="005100BE">
        <w:rPr>
          <w:rFonts w:eastAsia="Arial" w:cs="Cordia New"/>
        </w:rPr>
        <w:t>The SLR analysed the review data in respect to the six domains of health care quality put forward by the Institute of Medicine Committee</w:t>
      </w:r>
      <w:r>
        <w:rPr>
          <w:rFonts w:eastAsia="Arial" w:cs="Cordia New"/>
        </w:rPr>
        <w:t>.</w:t>
      </w:r>
      <w:r w:rsidR="003B57FF">
        <w:rPr>
          <w:rStyle w:val="FootnoteReference"/>
          <w:rFonts w:eastAsia="Arial" w:cs="Cordia New"/>
        </w:rPr>
        <w:footnoteReference w:id="8"/>
      </w:r>
      <w:r w:rsidRPr="005100BE">
        <w:rPr>
          <w:rFonts w:eastAsia="Arial" w:cs="Cordia New"/>
        </w:rPr>
        <w:t xml:space="preserve"> </w:t>
      </w:r>
      <w:r>
        <w:rPr>
          <w:rFonts w:eastAsia="Arial" w:cs="Cordia New"/>
        </w:rPr>
        <w:t>This</w:t>
      </w:r>
      <w:r w:rsidRPr="005100BE">
        <w:rPr>
          <w:rFonts w:eastAsia="Arial" w:cs="Cordia New"/>
        </w:rPr>
        <w:t xml:space="preserve"> provides a comprehensive framework </w:t>
      </w:r>
      <w:r w:rsidRPr="005100BE">
        <w:rPr>
          <w:rFonts w:eastAsia="Arial" w:cs="Cordia New"/>
        </w:rPr>
        <w:lastRenderedPageBreak/>
        <w:t>to analyse evidence on the quality and performance of mental health services, including assessment of timeliness, person-centredness, effectiveness, equity, safety, and efficiency</w:t>
      </w:r>
      <w:r w:rsidR="0034683C">
        <w:rPr>
          <w:rFonts w:eastAsia="Arial" w:cs="Cordia New"/>
        </w:rPr>
        <w:t>.</w:t>
      </w:r>
      <w:r w:rsidR="005334CF">
        <w:rPr>
          <w:rStyle w:val="FootnoteReference"/>
          <w:rFonts w:eastAsia="Arial" w:cs="Cordia New"/>
        </w:rPr>
        <w:footnoteReference w:id="9"/>
      </w:r>
    </w:p>
    <w:p w14:paraId="182766E7" w14:textId="5A0DD8C3" w:rsidR="00670F30" w:rsidRDefault="009D04B8" w:rsidP="009D04B8">
      <w:pPr>
        <w:rPr>
          <w:rFonts w:eastAsia="Arial" w:cs="Cordia New"/>
        </w:rPr>
      </w:pPr>
      <w:r w:rsidRPr="005100BE">
        <w:rPr>
          <w:rFonts w:eastAsia="Arial" w:cs="Cordia New"/>
        </w:rPr>
        <w:t>Most of the studies examined a mix of mental health service providers, making it difficult to distinguish the perceived quality and performance of specific providers or service types</w:t>
      </w:r>
      <w:r w:rsidR="00670F30">
        <w:rPr>
          <w:rFonts w:eastAsia="Arial" w:cs="Cordia New"/>
        </w:rPr>
        <w:t xml:space="preserve"> – for example, between services offering diagnosis</w:t>
      </w:r>
      <w:r w:rsidR="00AF7DF4">
        <w:rPr>
          <w:rFonts w:eastAsia="Arial" w:cs="Cordia New"/>
        </w:rPr>
        <w:t xml:space="preserve"> and medication</w:t>
      </w:r>
      <w:r w:rsidR="00670F30">
        <w:rPr>
          <w:rFonts w:eastAsia="Arial" w:cs="Cordia New"/>
        </w:rPr>
        <w:t xml:space="preserve">, compared to those offering </w:t>
      </w:r>
      <w:r w:rsidR="00AF7DF4">
        <w:rPr>
          <w:rFonts w:eastAsia="Arial" w:cs="Cordia New"/>
        </w:rPr>
        <w:t xml:space="preserve">therapeutic </w:t>
      </w:r>
      <w:r w:rsidR="00670F30">
        <w:rPr>
          <w:rFonts w:eastAsia="Arial" w:cs="Cordia New"/>
        </w:rPr>
        <w:t>or behavioural support options</w:t>
      </w:r>
      <w:r w:rsidRPr="005100BE">
        <w:rPr>
          <w:rFonts w:eastAsia="Arial" w:cs="Cordia New"/>
        </w:rPr>
        <w:t>.</w:t>
      </w:r>
    </w:p>
    <w:p w14:paraId="723F6A97" w14:textId="46672A71" w:rsidR="009D04B8" w:rsidRPr="005100BE" w:rsidRDefault="009D04B8" w:rsidP="009D04B8">
      <w:pPr>
        <w:rPr>
          <w:rFonts w:eastAsia="Arial" w:cs="Cordia New"/>
        </w:rPr>
      </w:pPr>
      <w:r>
        <w:rPr>
          <w:rFonts w:eastAsia="Arial" w:cs="Cordia New"/>
        </w:rPr>
        <w:t>O</w:t>
      </w:r>
      <w:r w:rsidRPr="005100BE">
        <w:rPr>
          <w:rFonts w:eastAsia="Arial" w:cs="Cordia New"/>
        </w:rPr>
        <w:t>verall, there were mixed findings regarding the quality and performance of mental health</w:t>
      </w:r>
      <w:r w:rsidRPr="186C9C28">
        <w:rPr>
          <w:rFonts w:eastAsia="Arial" w:cs="Cordia New"/>
        </w:rPr>
        <w:t xml:space="preserve"> and suicide prevention</w:t>
      </w:r>
      <w:r w:rsidRPr="005100BE">
        <w:rPr>
          <w:rFonts w:eastAsia="Arial" w:cs="Cordia New"/>
        </w:rPr>
        <w:t xml:space="preserve"> services.  </w:t>
      </w:r>
      <w:r>
        <w:rPr>
          <w:rFonts w:eastAsia="Arial" w:cs="Cordia New"/>
        </w:rPr>
        <w:t>While s</w:t>
      </w:r>
      <w:r w:rsidRPr="005100BE">
        <w:rPr>
          <w:rFonts w:eastAsia="Arial" w:cs="Cordia New"/>
        </w:rPr>
        <w:t>ome LGBTQ+ people received mental health and suicide prevention services that were accessible, affirming, safe</w:t>
      </w:r>
      <w:r w:rsidR="0034683C">
        <w:rPr>
          <w:rFonts w:eastAsia="Arial" w:cs="Cordia New"/>
        </w:rPr>
        <w:t>,</w:t>
      </w:r>
      <w:r w:rsidRPr="005100BE">
        <w:rPr>
          <w:rFonts w:eastAsia="Arial" w:cs="Cordia New"/>
        </w:rPr>
        <w:t xml:space="preserve"> and effective for promoting </w:t>
      </w:r>
      <w:r w:rsidRPr="186C9C28">
        <w:rPr>
          <w:rFonts w:eastAsia="Arial" w:cs="Cordia New"/>
        </w:rPr>
        <w:t xml:space="preserve">personal </w:t>
      </w:r>
      <w:r w:rsidRPr="005100BE">
        <w:rPr>
          <w:rFonts w:eastAsia="Arial" w:cs="Cordia New"/>
        </w:rPr>
        <w:t>recovery</w:t>
      </w:r>
      <w:r w:rsidR="00887698">
        <w:rPr>
          <w:rStyle w:val="FootnoteReference"/>
          <w:rFonts w:eastAsia="Arial" w:cs="Cordia New"/>
        </w:rPr>
        <w:footnoteReference w:id="10"/>
      </w:r>
      <w:r w:rsidRPr="005100BE">
        <w:rPr>
          <w:rFonts w:eastAsia="Arial" w:cs="Cordia New"/>
        </w:rPr>
        <w:t xml:space="preserve">, many studies indicated </w:t>
      </w:r>
      <w:r w:rsidRPr="186C9C28">
        <w:rPr>
          <w:rFonts w:eastAsia="Arial" w:cs="Cordia New"/>
        </w:rPr>
        <w:t>difficulties</w:t>
      </w:r>
      <w:r w:rsidRPr="005100BE">
        <w:rPr>
          <w:rFonts w:eastAsia="Arial" w:cs="Cordia New"/>
        </w:rPr>
        <w:t xml:space="preserve"> related to timely access to</w:t>
      </w:r>
      <w:r w:rsidRPr="186C9C28">
        <w:rPr>
          <w:rFonts w:eastAsia="Arial" w:cs="Cordia New"/>
        </w:rPr>
        <w:t xml:space="preserve"> person-centred,</w:t>
      </w:r>
      <w:r w:rsidRPr="005100BE">
        <w:rPr>
          <w:rFonts w:eastAsia="Arial" w:cs="Cordia New"/>
        </w:rPr>
        <w:t xml:space="preserve"> recovery-oriented, equitable</w:t>
      </w:r>
      <w:r w:rsidR="0034683C">
        <w:rPr>
          <w:rFonts w:eastAsia="Arial" w:cs="Cordia New"/>
        </w:rPr>
        <w:t>,</w:t>
      </w:r>
      <w:r w:rsidRPr="005100BE">
        <w:rPr>
          <w:rFonts w:eastAsia="Arial" w:cs="Cordia New"/>
        </w:rPr>
        <w:t xml:space="preserve"> and safe services. Commonly identified issues with service quality and performance included:</w:t>
      </w:r>
    </w:p>
    <w:p w14:paraId="05E90B62" w14:textId="757C7142" w:rsidR="009D04B8" w:rsidRPr="00993E95" w:rsidRDefault="009D04B8" w:rsidP="006205ED">
      <w:pPr>
        <w:pStyle w:val="ListParagraph"/>
        <w:numPr>
          <w:ilvl w:val="0"/>
          <w:numId w:val="36"/>
        </w:numPr>
        <w:tabs>
          <w:tab w:val="num" w:pos="425"/>
        </w:tabs>
        <w:ind w:left="714" w:hanging="357"/>
      </w:pPr>
      <w:r w:rsidRPr="00993E95">
        <w:rPr>
          <w:b/>
          <w:bCs/>
        </w:rPr>
        <w:t>Knowledge deficits</w:t>
      </w:r>
      <w:r w:rsidRPr="00993E95">
        <w:t xml:space="preserve"> among healthcare providers and reliance on those seeking care to educate the provider about the needs of LGBTQ+ people, which could be emotionally exhausting and financially costly in terms of therapy time.</w:t>
      </w:r>
    </w:p>
    <w:p w14:paraId="58667110" w14:textId="20C0378D" w:rsidR="009D04B8" w:rsidRPr="00993E95" w:rsidRDefault="009D04B8" w:rsidP="006205ED">
      <w:pPr>
        <w:pStyle w:val="ListParagraph"/>
        <w:numPr>
          <w:ilvl w:val="0"/>
          <w:numId w:val="36"/>
        </w:numPr>
        <w:tabs>
          <w:tab w:val="num" w:pos="425"/>
        </w:tabs>
        <w:ind w:left="714" w:hanging="357"/>
      </w:pPr>
      <w:r w:rsidRPr="186C9C28">
        <w:rPr>
          <w:b/>
          <w:bCs/>
        </w:rPr>
        <w:t xml:space="preserve">Microaggressions </w:t>
      </w:r>
      <w:r w:rsidRPr="186C9C28">
        <w:t xml:space="preserve">including hetero/cis normativity, misgendering, invalidation and pathologisation of sexual orientation, gender, or sex identity. These issues were linked to increased distress and discouragement of future help seeking. </w:t>
      </w:r>
    </w:p>
    <w:p w14:paraId="6D0C5112" w14:textId="5B8FD7A5" w:rsidR="009D04B8" w:rsidRDefault="009D04B8" w:rsidP="006205ED">
      <w:pPr>
        <w:pStyle w:val="ListParagraph"/>
        <w:numPr>
          <w:ilvl w:val="0"/>
          <w:numId w:val="36"/>
        </w:numPr>
        <w:tabs>
          <w:tab w:val="num" w:pos="425"/>
        </w:tabs>
        <w:ind w:left="714" w:hanging="357"/>
      </w:pPr>
      <w:r w:rsidRPr="00755451">
        <w:rPr>
          <w:b/>
          <w:bCs/>
        </w:rPr>
        <w:t xml:space="preserve">Difficulty accessing </w:t>
      </w:r>
      <w:r w:rsidRPr="186C9C28">
        <w:rPr>
          <w:b/>
          <w:bCs/>
        </w:rPr>
        <w:t xml:space="preserve">affirming </w:t>
      </w:r>
      <w:r w:rsidRPr="00755451">
        <w:rPr>
          <w:b/>
          <w:bCs/>
        </w:rPr>
        <w:t>mental health services</w:t>
      </w:r>
      <w:r w:rsidRPr="186C9C28">
        <w:rPr>
          <w:b/>
          <w:bCs/>
        </w:rPr>
        <w:t>, particularly during a</w:t>
      </w:r>
      <w:r w:rsidRPr="00755451">
        <w:rPr>
          <w:b/>
          <w:bCs/>
        </w:rPr>
        <w:t xml:space="preserve"> crisis</w:t>
      </w:r>
      <w:r w:rsidRPr="186C9C28">
        <w:rPr>
          <w:b/>
          <w:bCs/>
        </w:rPr>
        <w:t xml:space="preserve">. </w:t>
      </w:r>
      <w:r w:rsidRPr="186C9C28">
        <w:t>This related to timely access to recovery-oriented services that are safe, affirming</w:t>
      </w:r>
      <w:r>
        <w:t>,</w:t>
      </w:r>
      <w:r w:rsidRPr="186C9C28">
        <w:t xml:space="preserve"> and effective</w:t>
      </w:r>
      <w:r>
        <w:t xml:space="preserve">. It also related to timely access to appropriate </w:t>
      </w:r>
      <w:r w:rsidRPr="186C9C28">
        <w:t>referrals.</w:t>
      </w:r>
      <w:r>
        <w:rPr>
          <w:rStyle w:val="CommentReference"/>
        </w:rPr>
        <w:t xml:space="preserve"> </w:t>
      </w:r>
    </w:p>
    <w:p w14:paraId="7A8294BF" w14:textId="34600C18" w:rsidR="00AF7DF4" w:rsidRDefault="00AF7DF4" w:rsidP="006205ED">
      <w:pPr>
        <w:pStyle w:val="ListParagraph"/>
        <w:numPr>
          <w:ilvl w:val="0"/>
          <w:numId w:val="36"/>
        </w:numPr>
      </w:pPr>
      <w:r>
        <w:rPr>
          <w:b/>
          <w:bCs/>
        </w:rPr>
        <w:t>Inequitable and u</w:t>
      </w:r>
      <w:r w:rsidRPr="00DF0D4E">
        <w:rPr>
          <w:b/>
          <w:bCs/>
        </w:rPr>
        <w:t>nsafe care in inpatient and emergency services.</w:t>
      </w:r>
      <w:r>
        <w:t xml:space="preserve"> This included low acceptance and affirmation of sexual orientation and gender identity</w:t>
      </w:r>
      <w:r w:rsidR="00E1339A">
        <w:t>,</w:t>
      </w:r>
      <w:r>
        <w:t xml:space="preserve"> and </w:t>
      </w:r>
      <w:r w:rsidRPr="00FD1A7A">
        <w:t>inequitable and unsafe care that could be coercive, restrictive, disempowering</w:t>
      </w:r>
      <w:r w:rsidR="00E1339A">
        <w:t>,</w:t>
      </w:r>
      <w:r w:rsidRPr="00FD1A7A">
        <w:t xml:space="preserve"> and traumatising for some LGBTQ+ people, serving to reinforce rather</w:t>
      </w:r>
      <w:r>
        <w:t xml:space="preserve"> than alleviate minority stress. </w:t>
      </w:r>
    </w:p>
    <w:p w14:paraId="0C8F0CB7" w14:textId="25DAA88B" w:rsidR="009D04B8" w:rsidRPr="005100BE" w:rsidRDefault="009D04B8" w:rsidP="009D04B8">
      <w:pPr>
        <w:rPr>
          <w:rFonts w:eastAsia="Arial" w:cs="Cordia New"/>
        </w:rPr>
      </w:pPr>
      <w:r w:rsidRPr="005100BE">
        <w:rPr>
          <w:rFonts w:eastAsia="Arial" w:cs="Cordia New"/>
        </w:rPr>
        <w:t xml:space="preserve">Further, the research indicated that LGBTQ+ people with intersecting identities and experiences, and </w:t>
      </w:r>
      <w:r w:rsidRPr="7CE10AFC">
        <w:rPr>
          <w:rFonts w:eastAsia="Arial" w:cs="Cordia New"/>
        </w:rPr>
        <w:t xml:space="preserve">some sub-populations of LGBTQ+ </w:t>
      </w:r>
      <w:r w:rsidRPr="005100BE">
        <w:rPr>
          <w:rFonts w:eastAsia="Arial" w:cs="Cordia New"/>
        </w:rPr>
        <w:t>people (</w:t>
      </w:r>
      <w:r w:rsidRPr="7CE10AFC">
        <w:rPr>
          <w:rFonts w:eastAsia="Arial" w:cs="Cordia New"/>
        </w:rPr>
        <w:t>e.g., trans and gender diverse youth, women who have sex with women</w:t>
      </w:r>
      <w:r w:rsidRPr="005100BE">
        <w:rPr>
          <w:rFonts w:eastAsia="Arial" w:cs="Cordia New"/>
        </w:rPr>
        <w:t xml:space="preserve">), are more likely to encounter stigmatising, or traumatising care situations. </w:t>
      </w:r>
    </w:p>
    <w:p w14:paraId="66E76E9E" w14:textId="7B7AFD88" w:rsidR="009D04B8" w:rsidRPr="005100BE" w:rsidRDefault="009D04B8" w:rsidP="009D04B8">
      <w:pPr>
        <w:rPr>
          <w:rFonts w:eastAsia="Arial" w:cs="Cordia New"/>
          <w:i/>
          <w:iCs/>
          <w:color w:val="0F4BEB" w:themeColor="accent1"/>
          <w:sz w:val="24"/>
          <w:szCs w:val="24"/>
        </w:rPr>
      </w:pPr>
      <w:r w:rsidRPr="005100BE">
        <w:rPr>
          <w:rFonts w:eastAsia="Arial" w:cs="Cordia New"/>
        </w:rPr>
        <w:t xml:space="preserve">Positive care experiences were more often reported in </w:t>
      </w:r>
      <w:r>
        <w:rPr>
          <w:rFonts w:eastAsia="Arial" w:cs="Cordia New"/>
        </w:rPr>
        <w:t>LGBTQ+</w:t>
      </w:r>
      <w:r w:rsidRPr="005100BE">
        <w:rPr>
          <w:rFonts w:eastAsia="Arial" w:cs="Cordia New"/>
        </w:rPr>
        <w:t xml:space="preserve"> specific services, including knowledgeable, equitable and safe care, as well as appropriate referrals to affirming providers. However, these services were reported to be less equipped to support </w:t>
      </w:r>
      <w:r>
        <w:rPr>
          <w:rFonts w:eastAsia="Arial" w:cs="Cordia New"/>
        </w:rPr>
        <w:t xml:space="preserve">more marginalised </w:t>
      </w:r>
      <w:r w:rsidRPr="005100BE">
        <w:rPr>
          <w:rFonts w:eastAsia="Arial" w:cs="Cordia New"/>
        </w:rPr>
        <w:t>LGBTQ+ subgroups</w:t>
      </w:r>
      <w:r w:rsidRPr="7CE10AFC">
        <w:rPr>
          <w:rFonts w:eastAsia="Arial" w:cs="Cordia New"/>
        </w:rPr>
        <w:t xml:space="preserve"> (e.g., nonbinary people, bisexual people)</w:t>
      </w:r>
      <w:r w:rsidRPr="005100BE">
        <w:rPr>
          <w:rFonts w:eastAsia="Arial" w:cs="Cordia New"/>
        </w:rPr>
        <w:t xml:space="preserve">, or those with </w:t>
      </w:r>
      <w:r w:rsidRPr="005100BE">
        <w:rPr>
          <w:rFonts w:eastAsia="Arial" w:cs="Cordia New"/>
        </w:rPr>
        <w:lastRenderedPageBreak/>
        <w:t>intersecting identities</w:t>
      </w:r>
      <w:r w:rsidR="008756D6">
        <w:rPr>
          <w:rFonts w:eastAsia="Arial" w:cs="Cordia New"/>
        </w:rPr>
        <w:t>.</w:t>
      </w:r>
      <w:r>
        <w:rPr>
          <w:rFonts w:eastAsia="Arial" w:cs="Cordia New"/>
        </w:rPr>
        <w:t xml:space="preserve"> Further, they m</w:t>
      </w:r>
      <w:r w:rsidRPr="005100BE">
        <w:rPr>
          <w:rFonts w:eastAsia="Arial" w:cs="Cordia New"/>
        </w:rPr>
        <w:t xml:space="preserve">ay be insufficiently resourced to support </w:t>
      </w:r>
      <w:r w:rsidRPr="7CE10AFC">
        <w:rPr>
          <w:rFonts w:eastAsia="Arial" w:cs="Cordia New"/>
        </w:rPr>
        <w:t xml:space="preserve">LGBTQ+ </w:t>
      </w:r>
      <w:r w:rsidRPr="005100BE">
        <w:rPr>
          <w:rFonts w:eastAsia="Arial" w:cs="Cordia New"/>
        </w:rPr>
        <w:t>people</w:t>
      </w:r>
      <w:r w:rsidRPr="7CE10AFC">
        <w:rPr>
          <w:rFonts w:eastAsia="Arial" w:cs="Cordia New"/>
        </w:rPr>
        <w:t xml:space="preserve"> with intersecting experiences</w:t>
      </w:r>
      <w:r>
        <w:rPr>
          <w:rFonts w:eastAsia="Arial" w:cs="Cordia New"/>
        </w:rPr>
        <w:t>, specifically</w:t>
      </w:r>
      <w:r w:rsidRPr="7CE10AFC">
        <w:rPr>
          <w:rFonts w:eastAsia="Arial" w:cs="Cordia New"/>
        </w:rPr>
        <w:t xml:space="preserve"> related to</w:t>
      </w:r>
      <w:r w:rsidRPr="005100BE">
        <w:rPr>
          <w:rFonts w:eastAsia="Arial" w:cs="Cordia New"/>
        </w:rPr>
        <w:t xml:space="preserve"> life-interrupting mental health challenges</w:t>
      </w:r>
      <w:r>
        <w:rPr>
          <w:rFonts w:eastAsia="Arial" w:cs="Cordia New"/>
        </w:rPr>
        <w:t xml:space="preserve"> </w:t>
      </w:r>
      <w:r w:rsidRPr="005100BE">
        <w:rPr>
          <w:rFonts w:eastAsia="Arial" w:cs="Cordia New"/>
        </w:rPr>
        <w:t>and suicidality.</w:t>
      </w:r>
    </w:p>
    <w:p w14:paraId="578B8EB2" w14:textId="5A70DBF2" w:rsidR="009D04B8" w:rsidRPr="00F07791" w:rsidRDefault="009D04B8" w:rsidP="006205ED">
      <w:pPr>
        <w:pStyle w:val="ListParagraph"/>
        <w:numPr>
          <w:ilvl w:val="0"/>
          <w:numId w:val="40"/>
        </w:numPr>
        <w:ind w:left="357" w:hanging="357"/>
        <w:rPr>
          <w:rFonts w:eastAsiaTheme="minorHAnsi"/>
          <w:i/>
          <w:iCs/>
          <w:color w:val="0F4BEB" w:themeColor="accent1"/>
          <w:sz w:val="24"/>
        </w:rPr>
      </w:pPr>
      <w:r w:rsidRPr="00F07791">
        <w:rPr>
          <w:rFonts w:eastAsiaTheme="minorHAnsi"/>
          <w:i/>
          <w:iCs/>
          <w:color w:val="0F4BEB" w:themeColor="accent1"/>
          <w:sz w:val="24"/>
        </w:rPr>
        <w:t xml:space="preserve"> What service gaps or barriers were identified</w:t>
      </w:r>
      <w:r w:rsidR="00E1339A">
        <w:rPr>
          <w:rFonts w:eastAsiaTheme="minorHAnsi"/>
          <w:i/>
          <w:iCs/>
          <w:color w:val="0F4BEB" w:themeColor="accent1"/>
          <w:sz w:val="24"/>
        </w:rPr>
        <w:t>,</w:t>
      </w:r>
      <w:r w:rsidRPr="00F07791">
        <w:rPr>
          <w:rFonts w:eastAsiaTheme="minorHAnsi"/>
          <w:i/>
          <w:iCs/>
          <w:color w:val="0F4BEB" w:themeColor="accent1"/>
          <w:sz w:val="24"/>
        </w:rPr>
        <w:t xml:space="preserve"> and what were their details?</w:t>
      </w:r>
    </w:p>
    <w:p w14:paraId="7417A97A" w14:textId="594BC540" w:rsidR="001542CF" w:rsidRPr="001542CF" w:rsidRDefault="001542CF" w:rsidP="001542CF">
      <w:pPr>
        <w:rPr>
          <w:rFonts w:eastAsia="Times New Roman" w:cs="Times New Roman"/>
          <w:szCs w:val="24"/>
          <w:lang w:eastAsia="en-AU"/>
        </w:rPr>
      </w:pPr>
      <w:r w:rsidRPr="001542CF">
        <w:rPr>
          <w:rFonts w:eastAsia="Arial" w:cs="Cordia New"/>
        </w:rPr>
        <w:t>The SLR identified numerous gaps and barriers in the mental health and suicide prevention services available to LGBTQ+ people.</w:t>
      </w:r>
      <w:r w:rsidR="007010B3">
        <w:rPr>
          <w:rFonts w:eastAsia="Arial" w:cs="Cordia New"/>
        </w:rPr>
        <w:t xml:space="preserve"> </w:t>
      </w:r>
      <w:r w:rsidRPr="001542CF">
        <w:rPr>
          <w:rFonts w:eastAsia="Arial" w:cs="Cordia New"/>
        </w:rPr>
        <w:t>As the literature tended to assess a mix of services, it is hard to discern how these gaps and barriers vary with types of services or providers – however</w:t>
      </w:r>
      <w:r w:rsidR="00E1339A">
        <w:rPr>
          <w:rFonts w:eastAsia="Arial" w:cs="Cordia New"/>
        </w:rPr>
        <w:t>,</w:t>
      </w:r>
      <w:r w:rsidRPr="001542CF">
        <w:rPr>
          <w:rFonts w:eastAsia="Arial" w:cs="Cordia New"/>
        </w:rPr>
        <w:t xml:space="preserve"> at a high-level they can be summarised as: </w:t>
      </w:r>
    </w:p>
    <w:p w14:paraId="0D694B4C" w14:textId="32E05F10" w:rsidR="009D04B8" w:rsidRPr="00D2628C" w:rsidRDefault="009D04B8" w:rsidP="006205ED">
      <w:pPr>
        <w:pStyle w:val="ListParagraph"/>
        <w:numPr>
          <w:ilvl w:val="0"/>
          <w:numId w:val="37"/>
        </w:numPr>
        <w:tabs>
          <w:tab w:val="num" w:pos="425"/>
        </w:tabs>
        <w:ind w:left="714" w:hanging="357"/>
      </w:pPr>
      <w:r w:rsidRPr="2C550601">
        <w:rPr>
          <w:b/>
          <w:bCs/>
        </w:rPr>
        <w:t>Provider shortages</w:t>
      </w:r>
      <w:r w:rsidRPr="2C550601">
        <w:t>, long waitlists and limited operating hours, particularly with respect to accessing LGBTQ+</w:t>
      </w:r>
      <w:r w:rsidR="00E1339A">
        <w:t xml:space="preserve"> </w:t>
      </w:r>
      <w:r w:rsidRPr="2C550601">
        <w:t>specific services. Limited affirming care options were particularly evident in relation to access to knowledgeable, affirming</w:t>
      </w:r>
      <w:r>
        <w:t>,</w:t>
      </w:r>
      <w:r w:rsidRPr="2C550601">
        <w:t xml:space="preserve"> and affordable mental health care providers, and timely referrals by mental health professionals to gender-affirming medical care.</w:t>
      </w:r>
    </w:p>
    <w:p w14:paraId="48CBA97E" w14:textId="320BC97C" w:rsidR="009D04B8" w:rsidRDefault="009D04B8" w:rsidP="006205ED">
      <w:pPr>
        <w:pStyle w:val="ListParagraph"/>
        <w:numPr>
          <w:ilvl w:val="0"/>
          <w:numId w:val="37"/>
        </w:numPr>
        <w:tabs>
          <w:tab w:val="num" w:pos="425"/>
        </w:tabs>
        <w:ind w:left="714" w:hanging="357"/>
      </w:pPr>
      <w:r w:rsidRPr="00D2628C">
        <w:rPr>
          <w:b/>
          <w:bCs/>
        </w:rPr>
        <w:t xml:space="preserve">Lack of lived experience involvement, </w:t>
      </w:r>
      <w:r w:rsidRPr="00D2628C">
        <w:t xml:space="preserve">including </w:t>
      </w:r>
      <w:r>
        <w:t xml:space="preserve">in </w:t>
      </w:r>
      <w:r w:rsidRPr="00D2628C">
        <w:t xml:space="preserve">service development and research undertaken in </w:t>
      </w:r>
      <w:r w:rsidR="009D78CB">
        <w:t>partnership</w:t>
      </w:r>
      <w:r w:rsidR="009D78CB" w:rsidRPr="00D2628C">
        <w:t xml:space="preserve"> </w:t>
      </w:r>
      <w:r w:rsidRPr="00D2628C">
        <w:t>with LGBTQ+ people with a</w:t>
      </w:r>
      <w:r w:rsidR="00AF7DF4">
        <w:t>n intersecting</w:t>
      </w:r>
      <w:r w:rsidRPr="00D2628C">
        <w:t xml:space="preserve"> lived experience of mental health challenges and suicidality, </w:t>
      </w:r>
      <w:proofErr w:type="gramStart"/>
      <w:r w:rsidR="0033539A">
        <w:t>and also</w:t>
      </w:r>
      <w:proofErr w:type="gramEnd"/>
      <w:r w:rsidR="0033539A">
        <w:t xml:space="preserve"> encompassing</w:t>
      </w:r>
      <w:r w:rsidR="00AF7DF4" w:rsidRPr="007B1955">
        <w:t xml:space="preserve"> with LGBTQ</w:t>
      </w:r>
      <w:r w:rsidR="00AF7DF4">
        <w:t>+</w:t>
      </w:r>
      <w:r w:rsidR="00AF7DF4" w:rsidRPr="007B1955">
        <w:t xml:space="preserve"> youth</w:t>
      </w:r>
      <w:r w:rsidR="00AF7DF4">
        <w:t xml:space="preserve"> and people from diverse social backgrounds with an intersecting experience of</w:t>
      </w:r>
      <w:r w:rsidR="00AF7DF4" w:rsidRPr="007B1955">
        <w:t xml:space="preserve"> severe and life-interrupting </w:t>
      </w:r>
      <w:r w:rsidR="00AF7DF4">
        <w:t>mental distress and suicidality</w:t>
      </w:r>
      <w:r w:rsidR="00AF7DF4" w:rsidRPr="007B1955">
        <w:t>.</w:t>
      </w:r>
      <w:r w:rsidR="00AF7DF4">
        <w:rPr>
          <w:rStyle w:val="FootnoteReference"/>
          <w:rFonts w:cs="Arial"/>
        </w:rPr>
        <w:footnoteReference w:id="11"/>
      </w:r>
      <w:r w:rsidR="00AF7DF4" w:rsidRPr="00D65E4F">
        <w:rPr>
          <w:vertAlign w:val="superscript"/>
        </w:rPr>
        <w:t>,</w:t>
      </w:r>
      <w:r w:rsidR="00AF7DF4">
        <w:rPr>
          <w:rStyle w:val="FootnoteReference"/>
          <w:rFonts w:cs="Arial"/>
        </w:rPr>
        <w:footnoteReference w:id="12"/>
      </w:r>
      <w:r w:rsidR="00AF7DF4" w:rsidRPr="007B1955">
        <w:t> </w:t>
      </w:r>
    </w:p>
    <w:p w14:paraId="3C9713EA" w14:textId="7CFFC439" w:rsidR="00FD659C" w:rsidRDefault="00FD659C" w:rsidP="00FD659C">
      <w:r>
        <w:t>There were also</w:t>
      </w:r>
      <w:r w:rsidRPr="00FD659C">
        <w:t xml:space="preserve"> some gaps and barriers </w:t>
      </w:r>
      <w:r>
        <w:t>noted which</w:t>
      </w:r>
      <w:r w:rsidR="0005598A">
        <w:t>, although</w:t>
      </w:r>
      <w:r>
        <w:t xml:space="preserve"> </w:t>
      </w:r>
      <w:r w:rsidRPr="00FD659C">
        <w:t>applicable to the general population,</w:t>
      </w:r>
      <w:r w:rsidR="00DE53C4">
        <w:t xml:space="preserve"> </w:t>
      </w:r>
      <w:r w:rsidR="00EA66B8">
        <w:t xml:space="preserve">could be considered a greater risk </w:t>
      </w:r>
      <w:r w:rsidR="0005598A">
        <w:t>to LGBTQ+ people,</w:t>
      </w:r>
      <w:r w:rsidR="0049493A">
        <w:t xml:space="preserve"> due to </w:t>
      </w:r>
      <w:r w:rsidR="0005598A">
        <w:t xml:space="preserve">the </w:t>
      </w:r>
      <w:r w:rsidR="0049493A">
        <w:t>difficult</w:t>
      </w:r>
      <w:r w:rsidR="0005598A">
        <w:t>y of</w:t>
      </w:r>
      <w:r w:rsidR="00B63AD7">
        <w:t xml:space="preserve"> finding providers </w:t>
      </w:r>
      <w:r w:rsidR="0005598A">
        <w:t>that</w:t>
      </w:r>
      <w:r w:rsidR="00B63AD7">
        <w:t xml:space="preserve"> are affirming</w:t>
      </w:r>
      <w:r w:rsidR="00542728">
        <w:t xml:space="preserve"> in terms of both experiences of mental distress and being LGBTQ+</w:t>
      </w:r>
      <w:r w:rsidR="00EA66B8">
        <w:t xml:space="preserve">. These can be summarised as: </w:t>
      </w:r>
    </w:p>
    <w:p w14:paraId="263D2D89" w14:textId="2A927026" w:rsidR="00DE0888" w:rsidRPr="00DE0888" w:rsidRDefault="00DE0888" w:rsidP="006205ED">
      <w:pPr>
        <w:numPr>
          <w:ilvl w:val="0"/>
          <w:numId w:val="37"/>
        </w:numPr>
        <w:tabs>
          <w:tab w:val="num" w:pos="425"/>
        </w:tabs>
      </w:pPr>
      <w:r w:rsidRPr="00DE0888">
        <w:rPr>
          <w:b/>
          <w:bCs/>
        </w:rPr>
        <w:t>Inconsistencies in quality of care</w:t>
      </w:r>
      <w:r w:rsidRPr="00DE0888">
        <w:rPr>
          <w:bCs/>
        </w:rPr>
        <w:t xml:space="preserve">, including </w:t>
      </w:r>
      <w:r w:rsidRPr="00DE0888">
        <w:t>inconsistencies between care providers and services</w:t>
      </w:r>
      <w:r w:rsidR="0060713E">
        <w:t>,</w:t>
      </w:r>
      <w:r w:rsidRPr="00DE0888">
        <w:t xml:space="preserve"> particularly in relation to the provision of equitable, person-centred care. For example, while many General Practitioners were perceived positively, others were “visibly uncomfortable with dealing with mental health” issues.  </w:t>
      </w:r>
    </w:p>
    <w:p w14:paraId="140895BF" w14:textId="77777777" w:rsidR="00DE0888" w:rsidRPr="00DE0888" w:rsidRDefault="00DE0888" w:rsidP="006205ED">
      <w:pPr>
        <w:numPr>
          <w:ilvl w:val="0"/>
          <w:numId w:val="37"/>
        </w:numPr>
        <w:tabs>
          <w:tab w:val="num" w:pos="425"/>
        </w:tabs>
      </w:pPr>
      <w:r w:rsidRPr="00DE0888">
        <w:rPr>
          <w:b/>
          <w:bCs/>
        </w:rPr>
        <w:t>Lack of linkage</w:t>
      </w:r>
      <w:r w:rsidRPr="00DE0888">
        <w:t xml:space="preserve"> between different mental health services – including between crisis services and long-term care, and between alcohol services and mental health services.</w:t>
      </w:r>
    </w:p>
    <w:p w14:paraId="286583F9" w14:textId="77777777" w:rsidR="00DE0888" w:rsidRPr="00DE0888" w:rsidRDefault="00DE0888" w:rsidP="006205ED">
      <w:pPr>
        <w:numPr>
          <w:ilvl w:val="0"/>
          <w:numId w:val="37"/>
        </w:numPr>
        <w:tabs>
          <w:tab w:val="num" w:pos="425"/>
        </w:tabs>
      </w:pPr>
      <w:r w:rsidRPr="00DE0888">
        <w:rPr>
          <w:b/>
          <w:bCs/>
        </w:rPr>
        <w:t>Limited options</w:t>
      </w:r>
      <w:r w:rsidRPr="00DE0888">
        <w:t xml:space="preserve"> for services able to attend to intersectional needs, including limited access to equitable and safe care in a crisis or for those experiencing severe and life-interrupting mental distress and suicidality. </w:t>
      </w:r>
    </w:p>
    <w:p w14:paraId="5984BB27" w14:textId="5490BE9C" w:rsidR="00DE0888" w:rsidRPr="00DE0888" w:rsidRDefault="00DE0888" w:rsidP="006205ED">
      <w:pPr>
        <w:numPr>
          <w:ilvl w:val="0"/>
          <w:numId w:val="37"/>
        </w:numPr>
        <w:tabs>
          <w:tab w:val="num" w:pos="425"/>
        </w:tabs>
      </w:pPr>
      <w:r w:rsidRPr="00DE0888">
        <w:rPr>
          <w:b/>
          <w:bCs/>
        </w:rPr>
        <w:lastRenderedPageBreak/>
        <w:t>Financial costs</w:t>
      </w:r>
      <w:r w:rsidRPr="00DE0888">
        <w:t xml:space="preserve"> related to gap fees and limitations to the number of Medicare</w:t>
      </w:r>
      <w:r w:rsidR="0060713E">
        <w:t>-</w:t>
      </w:r>
      <w:r w:rsidRPr="00DE0888">
        <w:t>subsidised sessions an individual can claim within a year, and to publicly available mental health services, or to the National Disability Insurance Scheme (NDIS).</w:t>
      </w:r>
    </w:p>
    <w:p w14:paraId="483226AE" w14:textId="0E8FEDCF" w:rsidR="009D04B8" w:rsidRDefault="00007869" w:rsidP="00007869">
      <w:r w:rsidRPr="00007869">
        <w:t>In addition, g</w:t>
      </w:r>
      <w:r w:rsidR="009D04B8" w:rsidRPr="00007869">
        <w:t>aps in evidence</w:t>
      </w:r>
      <w:r w:rsidR="009D04B8" w:rsidRPr="000C765D">
        <w:t xml:space="preserve"> were also noted</w:t>
      </w:r>
      <w:r w:rsidR="00BB6EC1">
        <w:t xml:space="preserve"> in the included literature</w:t>
      </w:r>
      <w:r w:rsidR="009D04B8" w:rsidRPr="000C765D">
        <w:t>, including in particular</w:t>
      </w:r>
      <w:r w:rsidR="009D04B8">
        <w:t>:</w:t>
      </w:r>
    </w:p>
    <w:p w14:paraId="4702CE3B" w14:textId="4921AB15" w:rsidR="009D04B8" w:rsidRDefault="0060713E" w:rsidP="006205ED">
      <w:pPr>
        <w:pStyle w:val="ListParagraph"/>
        <w:numPr>
          <w:ilvl w:val="0"/>
          <w:numId w:val="37"/>
        </w:numPr>
      </w:pPr>
      <w:r>
        <w:t>R</w:t>
      </w:r>
      <w:r w:rsidR="009D04B8" w:rsidRPr="000C765D">
        <w:t xml:space="preserve">esearch on the care needs of </w:t>
      </w:r>
      <w:r w:rsidR="009D04B8">
        <w:t xml:space="preserve">those experiencing intersectional issues, especially those impacting </w:t>
      </w:r>
      <w:r w:rsidR="009D04B8" w:rsidRPr="000C765D">
        <w:t>First Nations LGBTQ+</w:t>
      </w:r>
      <w:r w:rsidR="00AF7DF4">
        <w:t>SB</w:t>
      </w:r>
      <w:r w:rsidR="009D04B8" w:rsidRPr="000C765D">
        <w:t xml:space="preserve"> </w:t>
      </w:r>
      <w:r w:rsidR="00AF7DF4">
        <w:t xml:space="preserve">(plus </w:t>
      </w:r>
      <w:r w:rsidR="009D04B8" w:rsidRPr="000C765D">
        <w:t>Sistergirl and Brotherboy</w:t>
      </w:r>
      <w:r w:rsidR="00AF7DF4">
        <w:t>)</w:t>
      </w:r>
      <w:r w:rsidR="009D04B8" w:rsidRPr="000C765D">
        <w:t xml:space="preserve"> populations; people from CALD backgrounds</w:t>
      </w:r>
      <w:r w:rsidR="009D04B8">
        <w:t>;</w:t>
      </w:r>
      <w:r w:rsidR="009D04B8" w:rsidRPr="000C765D">
        <w:t xml:space="preserve"> people living in rural and remote areas, and people from low socioeconomic backgrounds</w:t>
      </w:r>
      <w:r w:rsidR="009D04B8">
        <w:t>.</w:t>
      </w:r>
    </w:p>
    <w:p w14:paraId="51AE9249" w14:textId="1EA0052F" w:rsidR="009D04B8" w:rsidRDefault="0060713E" w:rsidP="006205ED">
      <w:pPr>
        <w:pStyle w:val="ListParagraph"/>
        <w:numPr>
          <w:ilvl w:val="0"/>
          <w:numId w:val="37"/>
        </w:numPr>
      </w:pPr>
      <w:r>
        <w:t>R</w:t>
      </w:r>
      <w:r w:rsidR="009D04B8">
        <w:t xml:space="preserve">esearch related to </w:t>
      </w:r>
      <w:r w:rsidR="009D04B8" w:rsidRPr="000C765D">
        <w:t xml:space="preserve">specific subgroups of </w:t>
      </w:r>
      <w:r w:rsidR="009D04B8">
        <w:t>LGBTQ+</w:t>
      </w:r>
      <w:r w:rsidR="009D04B8" w:rsidRPr="000C765D">
        <w:t xml:space="preserve"> people, </w:t>
      </w:r>
      <w:r w:rsidR="009D04B8">
        <w:t xml:space="preserve">and specifically people with </w:t>
      </w:r>
      <w:r w:rsidR="009D04B8" w:rsidRPr="004D3D3A">
        <w:t>innate variations of sex characteristics</w:t>
      </w:r>
      <w:r w:rsidR="009D04B8" w:rsidRPr="000C765D">
        <w:t>, nonbinary</w:t>
      </w:r>
      <w:r>
        <w:t>,</w:t>
      </w:r>
      <w:r w:rsidR="009D04B8" w:rsidRPr="000C765D">
        <w:t xml:space="preserve"> and asexual identifying people. </w:t>
      </w:r>
    </w:p>
    <w:p w14:paraId="312EE718" w14:textId="566FDE35" w:rsidR="009D04B8" w:rsidRPr="00CF154F" w:rsidRDefault="0060713E" w:rsidP="006205ED">
      <w:pPr>
        <w:pStyle w:val="ListParagraph"/>
        <w:numPr>
          <w:ilvl w:val="0"/>
          <w:numId w:val="37"/>
        </w:numPr>
      </w:pPr>
      <w:r>
        <w:t>R</w:t>
      </w:r>
      <w:r w:rsidR="009D04B8" w:rsidRPr="00CF154F">
        <w:t xml:space="preserve">esearch on topics including: the effectiveness of services for promoting personal recovery; LGBTQ+ people receiving involuntary treatment in inpatient and community settings; and </w:t>
      </w:r>
      <w:r w:rsidR="009D04B8">
        <w:t xml:space="preserve">responses to </w:t>
      </w:r>
      <w:r w:rsidR="009D04B8" w:rsidRPr="00CF154F">
        <w:t xml:space="preserve">mental health professionals engaging in harmful conversion practices. </w:t>
      </w:r>
    </w:p>
    <w:p w14:paraId="6F643EC2" w14:textId="77777777" w:rsidR="009D04B8" w:rsidRPr="00F07791" w:rsidRDefault="009D04B8" w:rsidP="00E66A0E">
      <w:pPr>
        <w:ind w:left="-284"/>
        <w:rPr>
          <w:b/>
          <w:bCs/>
          <w:color w:val="0F4BEB" w:themeColor="accent1"/>
          <w:sz w:val="24"/>
          <w:szCs w:val="24"/>
          <w:lang w:eastAsia="en-AU"/>
        </w:rPr>
      </w:pPr>
      <w:r w:rsidRPr="00F07791">
        <w:rPr>
          <w:b/>
          <w:bCs/>
          <w:color w:val="0F4BEB" w:themeColor="accent1"/>
          <w:sz w:val="24"/>
          <w:szCs w:val="24"/>
          <w:lang w:eastAsia="en-AU"/>
        </w:rPr>
        <w:t>KRQ 3: Research insights to help inform 10 Year National Action Plan</w:t>
      </w:r>
    </w:p>
    <w:p w14:paraId="73C89DC5" w14:textId="06FEEAC2" w:rsidR="006F350B" w:rsidRDefault="009D04B8" w:rsidP="009D04B8">
      <w:pPr>
        <w:rPr>
          <w:rFonts w:eastAsia="Arial" w:cs="Cordia New"/>
        </w:rPr>
      </w:pPr>
      <w:r w:rsidRPr="005100BE">
        <w:rPr>
          <w:rFonts w:eastAsia="Arial" w:cs="Cordia New"/>
          <w:lang w:eastAsia="en-AU"/>
        </w:rPr>
        <w:t xml:space="preserve">Notwithstanding </w:t>
      </w:r>
      <w:r w:rsidRPr="005100BE">
        <w:rPr>
          <w:rFonts w:eastAsia="Arial" w:cs="Cordia New"/>
        </w:rPr>
        <w:t xml:space="preserve">the targeted nature of the UTS-led research, and the gaps in peer reviewed literature on current mental health and suicidal prevention services for LGBTQ+ people, the research did </w:t>
      </w:r>
      <w:r w:rsidRPr="005100BE">
        <w:rPr>
          <w:rFonts w:eastAsia="Arial" w:cs="Cordia New"/>
          <w:lang w:eastAsia="en-AU"/>
        </w:rPr>
        <w:t xml:space="preserve">provide </w:t>
      </w:r>
      <w:r w:rsidRPr="005100BE">
        <w:rPr>
          <w:rFonts w:eastAsia="Arial" w:cs="Cordia New"/>
        </w:rPr>
        <w:t>various insights that could help frame or inform future Government policies and services</w:t>
      </w:r>
      <w:r>
        <w:rPr>
          <w:rFonts w:eastAsia="Arial" w:cs="Cordia New"/>
        </w:rPr>
        <w:t xml:space="preserve">. This involved distilling </w:t>
      </w:r>
      <w:r w:rsidRPr="005100BE">
        <w:rPr>
          <w:rFonts w:eastAsia="Arial" w:cs="Cordia New"/>
        </w:rPr>
        <w:t>a set of eight overarching principles</w:t>
      </w:r>
      <w:r>
        <w:rPr>
          <w:rFonts w:eastAsia="Arial" w:cs="Cordia New"/>
        </w:rPr>
        <w:t xml:space="preserve">, defining </w:t>
      </w:r>
      <w:r w:rsidRPr="005100BE">
        <w:rPr>
          <w:rFonts w:eastAsia="Arial" w:cs="Cordia New"/>
        </w:rPr>
        <w:t>six priority policy direction</w:t>
      </w:r>
      <w:r>
        <w:rPr>
          <w:rFonts w:eastAsia="Arial" w:cs="Cordia New"/>
        </w:rPr>
        <w:t>s</w:t>
      </w:r>
      <w:r w:rsidRPr="005100BE">
        <w:rPr>
          <w:rFonts w:eastAsia="Arial" w:cs="Cordia New"/>
        </w:rPr>
        <w:t xml:space="preserve">, </w:t>
      </w:r>
      <w:r>
        <w:rPr>
          <w:rFonts w:eastAsia="Arial" w:cs="Cordia New"/>
        </w:rPr>
        <w:t xml:space="preserve">each </w:t>
      </w:r>
      <w:r w:rsidRPr="005100BE">
        <w:rPr>
          <w:rFonts w:eastAsia="Arial" w:cs="Cordia New"/>
        </w:rPr>
        <w:t>supported by a set of possible actions arising</w:t>
      </w:r>
      <w:r>
        <w:rPr>
          <w:rFonts w:eastAsia="Arial" w:cs="Cordia New"/>
        </w:rPr>
        <w:t xml:space="preserve"> (included in an attachment)</w:t>
      </w:r>
      <w:r w:rsidRPr="005100BE">
        <w:rPr>
          <w:rFonts w:eastAsia="Arial" w:cs="Cordia New"/>
        </w:rPr>
        <w:t>.</w:t>
      </w:r>
    </w:p>
    <w:p w14:paraId="7C80D463" w14:textId="77777777" w:rsidR="006F350B" w:rsidRDefault="006F350B">
      <w:pPr>
        <w:spacing w:before="80" w:after="80" w:line="240" w:lineRule="auto"/>
        <w:rPr>
          <w:rFonts w:eastAsia="Arial" w:cs="Cordia New"/>
        </w:rPr>
      </w:pPr>
      <w:r>
        <w:rPr>
          <w:rFonts w:eastAsia="Arial" w:cs="Cordia New"/>
        </w:rPr>
        <w:br w:type="page"/>
      </w:r>
    </w:p>
    <w:p w14:paraId="7195E400" w14:textId="77777777" w:rsidR="009D04B8" w:rsidRPr="005100BE" w:rsidRDefault="009D04B8" w:rsidP="009D04B8">
      <w:pPr>
        <w:rPr>
          <w:rFonts w:eastAsia="Arial" w:cs="Cordia New"/>
          <w:i/>
          <w:iCs/>
          <w:color w:val="0F4BEB"/>
          <w:sz w:val="24"/>
        </w:rPr>
      </w:pPr>
      <w:r w:rsidRPr="005100BE">
        <w:rPr>
          <w:rFonts w:eastAsia="Arial" w:cs="Cordia New"/>
          <w:i/>
          <w:iCs/>
          <w:color w:val="0F4BEB"/>
          <w:sz w:val="24"/>
        </w:rPr>
        <w:lastRenderedPageBreak/>
        <w:t>Overarching principles</w:t>
      </w:r>
    </w:p>
    <w:p w14:paraId="1E58BEA0" w14:textId="77777777" w:rsidR="009D04B8" w:rsidRDefault="009D04B8" w:rsidP="009D04B8">
      <w:pPr>
        <w:rPr>
          <w:rFonts w:eastAsia="Arial" w:cs="Cordia New"/>
        </w:rPr>
      </w:pPr>
      <w:r w:rsidRPr="2C550601">
        <w:rPr>
          <w:rFonts w:eastAsia="Arial" w:cs="Cordia New"/>
        </w:rPr>
        <w:t xml:space="preserve">The following principles, distilled from the </w:t>
      </w:r>
      <w:r>
        <w:rPr>
          <w:rFonts w:eastAsia="Arial" w:cs="Cordia New"/>
        </w:rPr>
        <w:t>included</w:t>
      </w:r>
      <w:r w:rsidRPr="2C550601">
        <w:rPr>
          <w:rFonts w:eastAsia="Arial" w:cs="Cordia New"/>
        </w:rPr>
        <w:t xml:space="preserve"> literature, could inform the approach, measures, and implementation of the </w:t>
      </w:r>
      <w:r>
        <w:rPr>
          <w:rFonts w:eastAsia="Arial" w:cs="Cordia New"/>
        </w:rPr>
        <w:t xml:space="preserve">National </w:t>
      </w:r>
      <w:r w:rsidRPr="2C550601">
        <w:rPr>
          <w:rFonts w:eastAsia="Arial" w:cs="Cordia New"/>
        </w:rPr>
        <w:t xml:space="preserve">Action Plan: </w:t>
      </w:r>
    </w:p>
    <w:p w14:paraId="4162AF49" w14:textId="417FC40A" w:rsidR="00186784" w:rsidRDefault="00186784" w:rsidP="009D04B8">
      <w:pPr>
        <w:rPr>
          <w:rFonts w:eastAsia="Arial" w:cs="Cordia New"/>
        </w:rPr>
      </w:pPr>
      <w:r>
        <w:rPr>
          <w:noProof/>
        </w:rPr>
        <w:drawing>
          <wp:inline distT="0" distB="0" distL="0" distR="0" wp14:anchorId="5D907DBD" wp14:editId="1528051F">
            <wp:extent cx="5731510" cy="6373495"/>
            <wp:effectExtent l="0" t="0" r="2540" b="8255"/>
            <wp:docPr id="2074511634" name="Picture 1" descr="Eight principles, to inform the approach, measures, and implementation of the National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11634" name="Picture 1" descr="Eight principles, to inform the approach, measures, and implementation of the National Action Plan."/>
                    <pic:cNvPicPr/>
                  </pic:nvPicPr>
                  <pic:blipFill>
                    <a:blip r:embed="rId30"/>
                    <a:stretch>
                      <a:fillRect/>
                    </a:stretch>
                  </pic:blipFill>
                  <pic:spPr>
                    <a:xfrm>
                      <a:off x="0" y="0"/>
                      <a:ext cx="5731510" cy="6373495"/>
                    </a:xfrm>
                    <a:prstGeom prst="rect">
                      <a:avLst/>
                    </a:prstGeom>
                  </pic:spPr>
                </pic:pic>
              </a:graphicData>
            </a:graphic>
          </wp:inline>
        </w:drawing>
      </w:r>
    </w:p>
    <w:p w14:paraId="33147F16" w14:textId="77777777" w:rsidR="009D04B8" w:rsidRPr="00186784" w:rsidRDefault="009D04B8" w:rsidP="00186784">
      <w:r w:rsidRPr="00186784">
        <w:br w:type="page"/>
      </w:r>
    </w:p>
    <w:p w14:paraId="345C2B76" w14:textId="77777777" w:rsidR="009D04B8" w:rsidRPr="00F07791" w:rsidRDefault="009D04B8" w:rsidP="00F07791">
      <w:pPr>
        <w:rPr>
          <w:i/>
          <w:iCs/>
          <w:color w:val="0F4BEB" w:themeColor="accent1"/>
          <w:lang w:eastAsia="en-AU"/>
        </w:rPr>
      </w:pPr>
      <w:r w:rsidRPr="00F07791">
        <w:rPr>
          <w:i/>
          <w:iCs/>
          <w:color w:val="0F4BEB" w:themeColor="accent1"/>
          <w:lang w:eastAsia="en-AU"/>
        </w:rPr>
        <w:lastRenderedPageBreak/>
        <w:t>Key Policy Directions</w:t>
      </w:r>
    </w:p>
    <w:p w14:paraId="4EFC17BF" w14:textId="77777777" w:rsidR="009D04B8" w:rsidRDefault="009D04B8" w:rsidP="00186784">
      <w:r w:rsidRPr="005100BE">
        <w:t xml:space="preserve">Building from the above overarching principles, the UTS-led researchers identified the following six core policy directions, with specific options arising </w:t>
      </w:r>
      <w:r>
        <w:t>included as an Attachment</w:t>
      </w:r>
      <w:r w:rsidRPr="005100BE">
        <w:t xml:space="preserve">. </w:t>
      </w:r>
    </w:p>
    <w:p w14:paraId="788ADAA5" w14:textId="4F1DAFC8" w:rsidR="00186784" w:rsidRPr="00186784" w:rsidRDefault="00186784" w:rsidP="00186784">
      <w:r>
        <w:rPr>
          <w:noProof/>
        </w:rPr>
        <w:drawing>
          <wp:inline distT="0" distB="0" distL="0" distR="0" wp14:anchorId="40ED71C9" wp14:editId="5996B664">
            <wp:extent cx="5731510" cy="3682365"/>
            <wp:effectExtent l="0" t="0" r="2540" b="0"/>
            <wp:docPr id="451918943" name="Picture 1" descr="List of 6 the overarching principles the UTS-lead researchers have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18943" name="Picture 1" descr="List of 6 the overarching principles the UTS-lead researchers have identified. "/>
                    <pic:cNvPicPr/>
                  </pic:nvPicPr>
                  <pic:blipFill>
                    <a:blip r:embed="rId31"/>
                    <a:stretch>
                      <a:fillRect/>
                    </a:stretch>
                  </pic:blipFill>
                  <pic:spPr>
                    <a:xfrm>
                      <a:off x="0" y="0"/>
                      <a:ext cx="5731510" cy="3682365"/>
                    </a:xfrm>
                    <a:prstGeom prst="rect">
                      <a:avLst/>
                    </a:prstGeom>
                  </pic:spPr>
                </pic:pic>
              </a:graphicData>
            </a:graphic>
          </wp:inline>
        </w:drawing>
      </w:r>
    </w:p>
    <w:p w14:paraId="25C181EA" w14:textId="66E25C99" w:rsidR="009D04B8" w:rsidRPr="00F07791" w:rsidRDefault="009D04B8" w:rsidP="00F07791">
      <w:pPr>
        <w:rPr>
          <w:i/>
          <w:iCs/>
          <w:color w:val="0F4BEB" w:themeColor="accent1"/>
          <w:lang w:eastAsia="en-AU"/>
        </w:rPr>
      </w:pPr>
      <w:r w:rsidRPr="00F07791">
        <w:rPr>
          <w:i/>
          <w:iCs/>
          <w:color w:val="0F4BEB" w:themeColor="accent1"/>
          <w:lang w:eastAsia="en-AU"/>
        </w:rPr>
        <w:t>Options Arising</w:t>
      </w:r>
    </w:p>
    <w:tbl>
      <w:tblPr>
        <w:tblStyle w:val="PlainTable11"/>
        <w:tblW w:w="9351" w:type="dxa"/>
        <w:tblLook w:val="04A0" w:firstRow="1" w:lastRow="0" w:firstColumn="1" w:lastColumn="0" w:noHBand="0" w:noVBand="1"/>
      </w:tblPr>
      <w:tblGrid>
        <w:gridCol w:w="1558"/>
        <w:gridCol w:w="7793"/>
      </w:tblGrid>
      <w:tr w:rsidR="009D04B8" w:rsidRPr="005100BE" w14:paraId="32DD51B3" w14:textId="77777777" w:rsidTr="004977E3">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1558" w:type="dxa"/>
            <w:tcBorders>
              <w:top w:val="single" w:sz="4" w:space="0" w:color="0F4BEB" w:themeColor="accent1"/>
            </w:tcBorders>
            <w:shd w:val="clear" w:color="auto" w:fill="B2B2B2" w:themeFill="text2"/>
          </w:tcPr>
          <w:p w14:paraId="0BA1B9D7" w14:textId="77777777" w:rsidR="009D04B8" w:rsidRPr="005100BE" w:rsidRDefault="009D04B8">
            <w:pPr>
              <w:spacing w:after="40"/>
              <w:jc w:val="center"/>
              <w:rPr>
                <w:rFonts w:ascii="Arial Narrow" w:eastAsia="Arial" w:hAnsi="Arial Narrow" w:cs="Cordia New"/>
                <w:sz w:val="20"/>
                <w:szCs w:val="20"/>
                <w:lang w:eastAsia="en-AU"/>
              </w:rPr>
            </w:pPr>
            <w:r w:rsidRPr="005100BE">
              <w:rPr>
                <w:rFonts w:ascii="Arial Narrow" w:eastAsia="Arial" w:hAnsi="Arial Narrow" w:cs="Cordia New"/>
                <w:sz w:val="20"/>
                <w:szCs w:val="20"/>
                <w:lang w:eastAsia="en-AU"/>
              </w:rPr>
              <w:t>Direction</w:t>
            </w:r>
            <w:r>
              <w:rPr>
                <w:rFonts w:ascii="Arial Narrow" w:eastAsia="Arial" w:hAnsi="Arial Narrow" w:cs="Cordia New"/>
                <w:sz w:val="20"/>
                <w:szCs w:val="20"/>
                <w:lang w:eastAsia="en-AU"/>
              </w:rPr>
              <w:t>s</w:t>
            </w:r>
          </w:p>
        </w:tc>
        <w:tc>
          <w:tcPr>
            <w:tcW w:w="7793" w:type="dxa"/>
            <w:tcBorders>
              <w:top w:val="single" w:sz="4" w:space="0" w:color="0F4BEB" w:themeColor="accent1"/>
              <w:right w:val="single" w:sz="4" w:space="0" w:color="CDCDCD" w:themeColor="background2" w:themeShade="D9"/>
            </w:tcBorders>
            <w:shd w:val="clear" w:color="auto" w:fill="B2B2B2" w:themeFill="text2"/>
            <w:vAlign w:val="center"/>
          </w:tcPr>
          <w:p w14:paraId="566319B0" w14:textId="77777777" w:rsidR="009D04B8" w:rsidRPr="005100BE" w:rsidRDefault="009D04B8">
            <w:pPr>
              <w:spacing w:before="60" w:after="60"/>
              <w:ind w:left="28"/>
              <w:jc w:val="center"/>
              <w:cnfStyle w:val="100000000000" w:firstRow="1" w:lastRow="0" w:firstColumn="0" w:lastColumn="0" w:oddVBand="0" w:evenVBand="0" w:oddHBand="0" w:evenHBand="0" w:firstRowFirstColumn="0" w:firstRowLastColumn="0" w:lastRowFirstColumn="0" w:lastRowLastColumn="0"/>
              <w:rPr>
                <w:rFonts w:ascii="Arial Narrow" w:eastAsia="Arial" w:hAnsi="Arial Narrow" w:cs="Cordia New"/>
                <w:sz w:val="20"/>
                <w:szCs w:val="20"/>
                <w:lang w:eastAsia="en-AU"/>
              </w:rPr>
            </w:pPr>
            <w:r w:rsidRPr="005100BE">
              <w:rPr>
                <w:rFonts w:ascii="Arial Narrow" w:eastAsia="Arial" w:hAnsi="Arial Narrow" w:cs="Cordia New"/>
                <w:sz w:val="20"/>
                <w:szCs w:val="20"/>
                <w:lang w:eastAsia="en-AU"/>
              </w:rPr>
              <w:t>Options Arising</w:t>
            </w:r>
            <w:r>
              <w:rPr>
                <w:rFonts w:ascii="Arial Narrow" w:eastAsia="Arial" w:hAnsi="Arial Narrow" w:cs="Cordia New"/>
                <w:sz w:val="20"/>
                <w:szCs w:val="20"/>
                <w:lang w:eastAsia="en-AU"/>
              </w:rPr>
              <w:t xml:space="preserve"> from the Research</w:t>
            </w:r>
          </w:p>
        </w:tc>
      </w:tr>
      <w:tr w:rsidR="009D04B8" w:rsidRPr="000B427F" w14:paraId="18947F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Merge w:val="restart"/>
            <w:shd w:val="clear" w:color="auto" w:fill="072575" w:themeFill="accent1" w:themeFillShade="80"/>
            <w:vAlign w:val="center"/>
          </w:tcPr>
          <w:p w14:paraId="6F9414EB" w14:textId="77777777" w:rsidR="009D04B8" w:rsidRPr="000B427F" w:rsidRDefault="009D04B8">
            <w:pPr>
              <w:spacing w:after="40"/>
              <w:ind w:left="57" w:right="113"/>
              <w:rPr>
                <w:rFonts w:ascii="Arial Narrow" w:eastAsia="Arial" w:hAnsi="Arial Narrow" w:cs="Cordia New"/>
              </w:rPr>
            </w:pPr>
            <w:r w:rsidRPr="000B427F">
              <w:rPr>
                <w:rFonts w:ascii="Arial Narrow" w:eastAsia="Arial" w:hAnsi="Arial Narrow" w:cs="Cordia New"/>
              </w:rPr>
              <w:t>(1)</w:t>
            </w:r>
          </w:p>
          <w:p w14:paraId="1EF373DC" w14:textId="77777777" w:rsidR="009D04B8" w:rsidRPr="000B427F" w:rsidRDefault="009D04B8">
            <w:pPr>
              <w:spacing w:after="40"/>
              <w:ind w:left="57" w:right="113"/>
              <w:rPr>
                <w:rFonts w:ascii="Arial Narrow" w:eastAsia="Arial" w:hAnsi="Arial Narrow" w:cs="Cordia New"/>
              </w:rPr>
            </w:pPr>
            <w:r w:rsidRPr="000B427F">
              <w:rPr>
                <w:rFonts w:ascii="Arial Narrow" w:eastAsia="Arial" w:hAnsi="Arial Narrow" w:cs="Cordia New"/>
              </w:rPr>
              <w:t>Build on this research and leverage existing initiatives</w:t>
            </w:r>
          </w:p>
        </w:tc>
        <w:tc>
          <w:tcPr>
            <w:tcW w:w="7793" w:type="dxa"/>
            <w:tcBorders>
              <w:right w:val="single" w:sz="4" w:space="0" w:color="CDCDCD" w:themeColor="background2" w:themeShade="D9"/>
            </w:tcBorders>
            <w:vAlign w:val="center"/>
          </w:tcPr>
          <w:p w14:paraId="7CB07564" w14:textId="77777777"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Undertake further research and consultations to refine, validate, and build upon the findings of the UTS-led research incorporating unpublished and grey literature, with a focus on identified gaps in evidence.</w:t>
            </w:r>
          </w:p>
        </w:tc>
      </w:tr>
      <w:tr w:rsidR="009D04B8" w:rsidRPr="000B427F" w14:paraId="5FD73883" w14:textId="77777777">
        <w:trPr>
          <w:trHeight w:val="766"/>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13EE38BD" w14:textId="77777777" w:rsidR="009D04B8" w:rsidRPr="000B427F" w:rsidRDefault="009D04B8" w:rsidP="006205ED">
            <w:pPr>
              <w:numPr>
                <w:ilvl w:val="0"/>
                <w:numId w:val="32"/>
              </w:numPr>
              <w:spacing w:after="40"/>
              <w:ind w:right="113"/>
              <w:rPr>
                <w:rFonts w:ascii="Arial Narrow" w:eastAsia="Arial" w:hAnsi="Arial Narrow" w:cs="Cordia New"/>
              </w:rPr>
            </w:pPr>
          </w:p>
        </w:tc>
        <w:tc>
          <w:tcPr>
            <w:tcW w:w="7793" w:type="dxa"/>
            <w:tcBorders>
              <w:right w:val="single" w:sz="4" w:space="0" w:color="CDCDCD" w:themeColor="background2" w:themeShade="D9"/>
            </w:tcBorders>
            <w:vAlign w:val="center"/>
          </w:tcPr>
          <w:p w14:paraId="35036F72" w14:textId="36DE8BAE"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Consider the release of a 10-year National ‘Strategy’, supported by successive two</w:t>
            </w:r>
            <w:r w:rsidR="00F86E2D">
              <w:rPr>
                <w:rFonts w:ascii="Arial Narrow" w:eastAsia="Arial" w:hAnsi="Arial Narrow" w:cs="Cordia New"/>
                <w:szCs w:val="22"/>
              </w:rPr>
              <w:t>-</w:t>
            </w:r>
            <w:r w:rsidRPr="000B427F">
              <w:rPr>
                <w:rFonts w:ascii="Arial Narrow" w:eastAsia="Arial" w:hAnsi="Arial Narrow" w:cs="Cordia New"/>
                <w:szCs w:val="22"/>
              </w:rPr>
              <w:t xml:space="preserve"> to three</w:t>
            </w:r>
            <w:r w:rsidR="00F86E2D">
              <w:rPr>
                <w:rFonts w:ascii="Arial Narrow" w:eastAsia="Arial" w:hAnsi="Arial Narrow" w:cs="Cordia New"/>
                <w:szCs w:val="22"/>
              </w:rPr>
              <w:t>-</w:t>
            </w:r>
            <w:r w:rsidRPr="000B427F">
              <w:rPr>
                <w:rFonts w:ascii="Arial Narrow" w:eastAsia="Arial" w:hAnsi="Arial Narrow" w:cs="Cordia New"/>
                <w:szCs w:val="22"/>
              </w:rPr>
              <w:t xml:space="preserve">year ‘Action Plans’, capitalising on new evidence and identified needs. </w:t>
            </w:r>
          </w:p>
        </w:tc>
      </w:tr>
      <w:tr w:rsidR="009D04B8" w:rsidRPr="000B427F" w14:paraId="5BF69482" w14:textId="77777777">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5E9FDA19" w14:textId="77777777" w:rsidR="009D04B8" w:rsidRPr="000B427F" w:rsidRDefault="009D04B8" w:rsidP="006205ED">
            <w:pPr>
              <w:numPr>
                <w:ilvl w:val="0"/>
                <w:numId w:val="32"/>
              </w:numPr>
              <w:spacing w:after="40"/>
              <w:ind w:right="113"/>
              <w:rPr>
                <w:rFonts w:ascii="Arial Narrow" w:eastAsia="Arial" w:hAnsi="Arial Narrow" w:cs="Cordia New"/>
              </w:rPr>
            </w:pPr>
          </w:p>
        </w:tc>
        <w:tc>
          <w:tcPr>
            <w:tcW w:w="7793" w:type="dxa"/>
            <w:tcBorders>
              <w:right w:val="single" w:sz="4" w:space="0" w:color="CDCDCD" w:themeColor="background2" w:themeShade="D9"/>
            </w:tcBorders>
            <w:vAlign w:val="center"/>
          </w:tcPr>
          <w:p w14:paraId="357EC920" w14:textId="77777777"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Collaborate with relevant Commonwealth, state, and territory governments to harmonise and strengthen evidence-based reforms and initiatives.</w:t>
            </w:r>
          </w:p>
        </w:tc>
      </w:tr>
      <w:tr w:rsidR="009D04B8" w:rsidRPr="000B427F" w14:paraId="24E8BC84" w14:textId="77777777">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1DAC2ECC" w14:textId="77777777" w:rsidR="009D04B8" w:rsidRPr="000B427F" w:rsidRDefault="009D04B8" w:rsidP="006205ED">
            <w:pPr>
              <w:numPr>
                <w:ilvl w:val="0"/>
                <w:numId w:val="32"/>
              </w:numPr>
              <w:spacing w:after="40"/>
              <w:ind w:right="113"/>
              <w:rPr>
                <w:rFonts w:ascii="Arial Narrow" w:eastAsia="Arial" w:hAnsi="Arial Narrow" w:cs="Cordia New"/>
              </w:rPr>
            </w:pPr>
          </w:p>
        </w:tc>
        <w:tc>
          <w:tcPr>
            <w:tcW w:w="7793" w:type="dxa"/>
            <w:tcBorders>
              <w:bottom w:val="single" w:sz="4" w:space="0" w:color="0F4BEB" w:themeColor="accent1"/>
              <w:right w:val="single" w:sz="4" w:space="0" w:color="CDCDCD" w:themeColor="background2" w:themeShade="D9"/>
            </w:tcBorders>
            <w:vAlign w:val="center"/>
          </w:tcPr>
          <w:p w14:paraId="718C0D57" w14:textId="77777777"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 xml:space="preserve">Building on the Expert Advisory Group model, establish an ongoing LGBTQ+ mental health ‘Council’ of individuals with intersecting lived experience of mental health to oversee the finalisation of the National ‘Strategy’ and provide ongoing monitoring and advice on its development and implementation. </w:t>
            </w:r>
          </w:p>
        </w:tc>
      </w:tr>
      <w:tr w:rsidR="009D04B8" w:rsidRPr="000B427F" w14:paraId="68A247E6" w14:textId="77777777">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558" w:type="dxa"/>
            <w:vMerge w:val="restart"/>
            <w:tcBorders>
              <w:top w:val="single" w:sz="4" w:space="0" w:color="0F4BEB" w:themeColor="accent1"/>
              <w:left w:val="nil"/>
              <w:bottom w:val="nil"/>
              <w:right w:val="nil"/>
            </w:tcBorders>
            <w:shd w:val="clear" w:color="auto" w:fill="0B37AF" w:themeFill="accent1" w:themeFillShade="BF"/>
            <w:vAlign w:val="center"/>
          </w:tcPr>
          <w:p w14:paraId="0F94DBD0" w14:textId="77777777" w:rsidR="009D04B8" w:rsidRPr="000B427F" w:rsidRDefault="009D04B8">
            <w:pPr>
              <w:spacing w:after="40"/>
              <w:ind w:left="57" w:right="113"/>
              <w:rPr>
                <w:rFonts w:ascii="Arial Narrow" w:eastAsia="Arial" w:hAnsi="Arial Narrow" w:cs="Cordia New"/>
              </w:rPr>
            </w:pPr>
            <w:r w:rsidRPr="000B427F">
              <w:rPr>
                <w:rFonts w:ascii="Arial Narrow" w:eastAsia="Arial" w:hAnsi="Arial Narrow" w:cs="Cordia New"/>
              </w:rPr>
              <w:t>(2)</w:t>
            </w:r>
          </w:p>
          <w:p w14:paraId="5CC17574" w14:textId="77777777" w:rsidR="009D04B8" w:rsidRPr="000B427F" w:rsidRDefault="009D04B8">
            <w:pPr>
              <w:spacing w:after="40"/>
              <w:ind w:left="57" w:right="113"/>
              <w:rPr>
                <w:rFonts w:ascii="Arial Narrow" w:eastAsia="Arial" w:hAnsi="Arial Narrow" w:cs="Cordia New"/>
              </w:rPr>
            </w:pPr>
            <w:r w:rsidRPr="000B427F">
              <w:rPr>
                <w:rFonts w:ascii="Arial Narrow" w:eastAsia="Arial" w:hAnsi="Arial Narrow" w:cs="Cordia New"/>
              </w:rPr>
              <w:t xml:space="preserve">Invest in targeted research and </w:t>
            </w:r>
            <w:r w:rsidRPr="000B427F">
              <w:rPr>
                <w:rFonts w:ascii="Arial Narrow" w:eastAsia="Arial" w:hAnsi="Arial Narrow" w:cs="Cordia New"/>
              </w:rPr>
              <w:lastRenderedPageBreak/>
              <w:t>improved data</w:t>
            </w:r>
          </w:p>
        </w:tc>
        <w:tc>
          <w:tcPr>
            <w:tcW w:w="7793" w:type="dxa"/>
            <w:tcBorders>
              <w:top w:val="single" w:sz="4" w:space="0" w:color="0F4BEB" w:themeColor="accent1"/>
              <w:left w:val="nil"/>
              <w:bottom w:val="nil"/>
              <w:right w:val="single" w:sz="4" w:space="0" w:color="CDCDCD" w:themeColor="background2" w:themeShade="D9"/>
            </w:tcBorders>
            <w:vAlign w:val="center"/>
          </w:tcPr>
          <w:p w14:paraId="04C3DA81" w14:textId="32138352" w:rsidR="009D04B8" w:rsidRPr="000B427F" w:rsidRDefault="009D04B8" w:rsidP="006205ED">
            <w:pPr>
              <w:pStyle w:val="ListParagraph"/>
              <w:numPr>
                <w:ilvl w:val="0"/>
                <w:numId w:val="38"/>
              </w:numPr>
              <w:tabs>
                <w:tab w:val="num" w:pos="465"/>
              </w:tabs>
              <w:spacing w:before="60" w:after="60"/>
              <w:ind w:left="459"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lastRenderedPageBreak/>
              <w:t>Research to further understand the needs and experiences of diverse LGBT</w:t>
            </w:r>
            <w:r w:rsidR="00BB6EC1">
              <w:rPr>
                <w:rFonts w:ascii="Arial Narrow" w:eastAsia="Arial" w:hAnsi="Arial Narrow" w:cs="Cordia New"/>
                <w:szCs w:val="22"/>
              </w:rPr>
              <w:t>I</w:t>
            </w:r>
            <w:r w:rsidRPr="000B427F">
              <w:rPr>
                <w:rFonts w:ascii="Arial Narrow" w:eastAsia="Arial" w:hAnsi="Arial Narrow" w:cs="Cordia New"/>
                <w:szCs w:val="22"/>
              </w:rPr>
              <w:t>Q</w:t>
            </w:r>
            <w:r w:rsidR="00E0302C">
              <w:rPr>
                <w:rFonts w:ascii="Arial Narrow" w:eastAsia="Arial" w:hAnsi="Arial Narrow" w:cs="Cordia New"/>
                <w:szCs w:val="22"/>
              </w:rPr>
              <w:t>A</w:t>
            </w:r>
            <w:r w:rsidRPr="000B427F">
              <w:rPr>
                <w:rFonts w:ascii="Arial Narrow" w:eastAsia="Arial" w:hAnsi="Arial Narrow" w:cs="Cordia New"/>
                <w:szCs w:val="22"/>
              </w:rPr>
              <w:t>+ people experiencing mental distress and/or suicidality, including tailored research to better understand the policy implementations for groups such as people with innate variations of sex characteristics, asexual people, and those impacted by intersectional issues.</w:t>
            </w:r>
          </w:p>
        </w:tc>
      </w:tr>
      <w:tr w:rsidR="009D04B8" w:rsidRPr="000B427F" w14:paraId="1D960C01" w14:textId="77777777">
        <w:trPr>
          <w:trHeight w:val="1023"/>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34AD35DF" w14:textId="77777777" w:rsidR="009D04B8" w:rsidRPr="000B427F" w:rsidRDefault="009D04B8" w:rsidP="006205ED">
            <w:pPr>
              <w:numPr>
                <w:ilvl w:val="0"/>
                <w:numId w:val="32"/>
              </w:numPr>
              <w:spacing w:after="40"/>
              <w:ind w:right="113"/>
              <w:jc w:val="center"/>
              <w:rPr>
                <w:rFonts w:ascii="Arial Narrow" w:eastAsia="Arial" w:hAnsi="Arial Narrow" w:cs="Cordia New"/>
              </w:rPr>
            </w:pPr>
          </w:p>
        </w:tc>
        <w:tc>
          <w:tcPr>
            <w:tcW w:w="7793" w:type="dxa"/>
            <w:tcBorders>
              <w:top w:val="nil"/>
              <w:right w:val="single" w:sz="4" w:space="0" w:color="CDCDCD" w:themeColor="background2" w:themeShade="D9"/>
            </w:tcBorders>
            <w:vAlign w:val="center"/>
          </w:tcPr>
          <w:p w14:paraId="73F87464" w14:textId="77777777" w:rsidR="009D04B8" w:rsidRPr="000B427F" w:rsidRDefault="009D04B8" w:rsidP="006205ED">
            <w:pPr>
              <w:pStyle w:val="ListParagraph"/>
              <w:numPr>
                <w:ilvl w:val="0"/>
                <w:numId w:val="38"/>
              </w:numPr>
              <w:tabs>
                <w:tab w:val="num" w:pos="465"/>
              </w:tabs>
              <w:spacing w:before="60" w:after="60"/>
              <w:ind w:left="459"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 w:val="24"/>
                <w:szCs w:val="28"/>
              </w:rPr>
            </w:pPr>
            <w:r w:rsidRPr="000B427F">
              <w:rPr>
                <w:rFonts w:ascii="Arial Narrow" w:eastAsia="Arial" w:hAnsi="Arial Narrow" w:cs="Cordia New"/>
                <w:szCs w:val="22"/>
              </w:rPr>
              <w:t>Better map the Australian mental health service system, including mainstream and LGBTQ+ specific services potentially used by LGBTQ+ people, noting unmet needs and service gaps by groups of potential users.</w:t>
            </w:r>
          </w:p>
        </w:tc>
      </w:tr>
      <w:tr w:rsidR="009D04B8" w:rsidRPr="000B427F" w14:paraId="4A36B0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20573697" w14:textId="77777777" w:rsidR="009D04B8" w:rsidRPr="000B427F" w:rsidRDefault="009D04B8" w:rsidP="006205ED">
            <w:pPr>
              <w:numPr>
                <w:ilvl w:val="0"/>
                <w:numId w:val="32"/>
              </w:numPr>
              <w:spacing w:after="40"/>
              <w:ind w:right="113"/>
              <w:jc w:val="center"/>
              <w:rPr>
                <w:rFonts w:ascii="Arial Narrow" w:eastAsia="Arial" w:hAnsi="Arial Narrow" w:cs="Cordia New"/>
              </w:rPr>
            </w:pPr>
          </w:p>
        </w:tc>
        <w:tc>
          <w:tcPr>
            <w:tcW w:w="7793" w:type="dxa"/>
            <w:tcBorders>
              <w:right w:val="single" w:sz="4" w:space="0" w:color="CDCDCD" w:themeColor="background2" w:themeShade="D9"/>
            </w:tcBorders>
            <w:vAlign w:val="center"/>
          </w:tcPr>
          <w:p w14:paraId="4CD6097C" w14:textId="7F23978B"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Following from Option 6), establish methods to continuously evaluate mainstream and LGBTQ+ specific mental health services, including consideration of their access, inclusion, service quality</w:t>
            </w:r>
            <w:r w:rsidR="00F86E2D">
              <w:rPr>
                <w:rFonts w:ascii="Arial Narrow" w:eastAsia="Arial" w:hAnsi="Arial Narrow" w:cs="Cordia New"/>
                <w:szCs w:val="22"/>
              </w:rPr>
              <w:t>,</w:t>
            </w:r>
            <w:r w:rsidRPr="000B427F">
              <w:rPr>
                <w:rFonts w:ascii="Arial Narrow" w:eastAsia="Arial" w:hAnsi="Arial Narrow" w:cs="Cordia New"/>
                <w:szCs w:val="22"/>
              </w:rPr>
              <w:t xml:space="preserve"> and overall performance for LGBTQ+ people.</w:t>
            </w:r>
          </w:p>
        </w:tc>
      </w:tr>
      <w:tr w:rsidR="009D04B8" w:rsidRPr="000B427F" w14:paraId="5CC34E1C" w14:textId="77777777">
        <w:trPr>
          <w:trHeight w:val="1189"/>
        </w:trPr>
        <w:tc>
          <w:tcPr>
            <w:cnfStyle w:val="001000000000" w:firstRow="0" w:lastRow="0" w:firstColumn="1" w:lastColumn="0" w:oddVBand="0" w:evenVBand="0" w:oddHBand="0" w:evenHBand="0" w:firstRowFirstColumn="0" w:firstRowLastColumn="0" w:lastRowFirstColumn="0" w:lastRowLastColumn="0"/>
            <w:tcW w:w="1558" w:type="dxa"/>
            <w:vMerge/>
            <w:tcBorders>
              <w:bottom w:val="single" w:sz="4" w:space="0" w:color="0F4BEB" w:themeColor="accent1"/>
            </w:tcBorders>
            <w:vAlign w:val="center"/>
          </w:tcPr>
          <w:p w14:paraId="2F2162D4" w14:textId="77777777" w:rsidR="009D04B8" w:rsidRPr="000B427F" w:rsidRDefault="009D04B8" w:rsidP="006205ED">
            <w:pPr>
              <w:numPr>
                <w:ilvl w:val="0"/>
                <w:numId w:val="32"/>
              </w:numPr>
              <w:spacing w:after="40"/>
              <w:ind w:right="113"/>
              <w:jc w:val="center"/>
              <w:rPr>
                <w:rFonts w:ascii="Arial Narrow" w:eastAsia="Arial" w:hAnsi="Arial Narrow" w:cs="Cordia New"/>
              </w:rPr>
            </w:pPr>
          </w:p>
        </w:tc>
        <w:tc>
          <w:tcPr>
            <w:tcW w:w="7793" w:type="dxa"/>
            <w:tcBorders>
              <w:bottom w:val="single" w:sz="4" w:space="0" w:color="0F4BEB" w:themeColor="accent1"/>
              <w:right w:val="single" w:sz="4" w:space="0" w:color="CDCDCD" w:themeColor="background2" w:themeShade="D9"/>
            </w:tcBorders>
            <w:vAlign w:val="center"/>
          </w:tcPr>
          <w:p w14:paraId="2ED92DEB" w14:textId="151099B8"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Research, pilot</w:t>
            </w:r>
            <w:r w:rsidR="00F86E2D">
              <w:rPr>
                <w:rFonts w:ascii="Arial Narrow" w:eastAsia="Arial" w:hAnsi="Arial Narrow" w:cs="Cordia New"/>
                <w:szCs w:val="22"/>
              </w:rPr>
              <w:t>,</w:t>
            </w:r>
            <w:r w:rsidRPr="000B427F">
              <w:rPr>
                <w:rFonts w:ascii="Arial Narrow" w:eastAsia="Arial" w:hAnsi="Arial Narrow" w:cs="Cordia New"/>
                <w:szCs w:val="22"/>
              </w:rPr>
              <w:t xml:space="preserve"> and evaluate initiatives to reduce stressors experienced by LGBTQ+ people in the first instance</w:t>
            </w:r>
            <w:r w:rsidR="00F86E2D">
              <w:rPr>
                <w:rFonts w:ascii="Arial Narrow" w:eastAsia="Arial" w:hAnsi="Arial Narrow" w:cs="Cordia New"/>
                <w:szCs w:val="22"/>
              </w:rPr>
              <w:t>,</w:t>
            </w:r>
            <w:r w:rsidRPr="000B427F">
              <w:rPr>
                <w:rFonts w:ascii="Arial Narrow" w:eastAsia="Arial" w:hAnsi="Arial Narrow" w:cs="Cordia New"/>
                <w:szCs w:val="22"/>
              </w:rPr>
              <w:t xml:space="preserve"> within </w:t>
            </w:r>
            <w:r w:rsidRPr="000B427F" w:rsidDel="4FD8E495">
              <w:rPr>
                <w:rFonts w:ascii="Arial Narrow" w:eastAsia="Arial" w:hAnsi="Arial Narrow" w:cs="Cordia New"/>
                <w:szCs w:val="22"/>
              </w:rPr>
              <w:t xml:space="preserve">both </w:t>
            </w:r>
            <w:r w:rsidRPr="000B427F">
              <w:rPr>
                <w:rFonts w:ascii="Arial Narrow" w:eastAsia="Arial" w:hAnsi="Arial Narrow" w:cs="Cordia New"/>
                <w:szCs w:val="22"/>
              </w:rPr>
              <w:t>mainstream and LGBTQ+ specific mental health service systems.</w:t>
            </w:r>
            <w:r w:rsidRPr="000B427F">
              <w:rPr>
                <w:rFonts w:ascii="Arial Narrow" w:eastAsia="Arial" w:hAnsi="Arial Narrow" w:cs="Cordia New"/>
                <w:szCs w:val="22"/>
              </w:rPr>
              <w:br/>
            </w:r>
            <w:r w:rsidRPr="000B427F">
              <w:rPr>
                <w:rFonts w:ascii="Arial Narrow" w:eastAsia="Arial" w:hAnsi="Arial Narrow" w:cs="Cordia New"/>
                <w:i/>
                <w:iCs/>
                <w:szCs w:val="22"/>
              </w:rPr>
              <w:t>(Also see Option 21-23 regarding primary prevention initiatives</w:t>
            </w:r>
            <w:r w:rsidR="00F86E2D">
              <w:rPr>
                <w:rFonts w:ascii="Arial Narrow" w:eastAsia="Arial" w:hAnsi="Arial Narrow" w:cs="Cordia New"/>
                <w:i/>
                <w:iCs/>
                <w:szCs w:val="22"/>
              </w:rPr>
              <w:t>.</w:t>
            </w:r>
            <w:r w:rsidRPr="000B427F">
              <w:rPr>
                <w:rFonts w:ascii="Arial Narrow" w:eastAsia="Arial" w:hAnsi="Arial Narrow" w:cs="Cordia New"/>
                <w:i/>
                <w:iCs/>
                <w:szCs w:val="22"/>
              </w:rPr>
              <w:t>)</w:t>
            </w:r>
          </w:p>
        </w:tc>
      </w:tr>
      <w:tr w:rsidR="009D04B8" w:rsidRPr="000B427F" w14:paraId="37BE4369" w14:textId="77777777">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8" w:type="dxa"/>
            <w:vMerge w:val="restart"/>
            <w:tcBorders>
              <w:top w:val="single" w:sz="4" w:space="0" w:color="0F4BEB" w:themeColor="accent1"/>
            </w:tcBorders>
            <w:shd w:val="clear" w:color="auto" w:fill="6C91F5" w:themeFill="accent1" w:themeFillTint="99"/>
            <w:vAlign w:val="center"/>
          </w:tcPr>
          <w:p w14:paraId="4B987BC9" w14:textId="77777777" w:rsidR="009D04B8" w:rsidRPr="000B427F" w:rsidRDefault="009D04B8">
            <w:pPr>
              <w:spacing w:after="40"/>
              <w:rPr>
                <w:rFonts w:ascii="Arial Narrow" w:eastAsia="Arial" w:hAnsi="Arial Narrow" w:cs="Cordia New"/>
              </w:rPr>
            </w:pPr>
            <w:r w:rsidRPr="000B427F">
              <w:rPr>
                <w:rFonts w:ascii="Arial Narrow" w:eastAsia="Arial" w:hAnsi="Arial Narrow" w:cs="Cordia New"/>
              </w:rPr>
              <w:t>(3)</w:t>
            </w:r>
          </w:p>
          <w:p w14:paraId="33D1B246" w14:textId="77777777" w:rsidR="009D04B8" w:rsidRPr="000B427F" w:rsidRDefault="009D04B8">
            <w:pPr>
              <w:spacing w:after="40"/>
              <w:rPr>
                <w:rFonts w:ascii="Arial Narrow" w:eastAsia="Arial" w:hAnsi="Arial Narrow" w:cs="Cordia New"/>
                <w:lang w:eastAsia="en-AU"/>
              </w:rPr>
            </w:pPr>
            <w:r w:rsidRPr="000B427F">
              <w:rPr>
                <w:rFonts w:ascii="Arial Narrow" w:eastAsia="Arial" w:hAnsi="Arial Narrow" w:cs="Cordia New"/>
              </w:rPr>
              <w:t>Expand LGBTQ+ specific and intersectional service offerings</w:t>
            </w:r>
          </w:p>
        </w:tc>
        <w:tc>
          <w:tcPr>
            <w:tcW w:w="7793" w:type="dxa"/>
            <w:tcBorders>
              <w:top w:val="single" w:sz="4" w:space="0" w:color="0F4BEB" w:themeColor="accent1"/>
              <w:right w:val="single" w:sz="4" w:space="0" w:color="CDCDCD" w:themeColor="background2" w:themeShade="D9"/>
            </w:tcBorders>
            <w:vAlign w:val="center"/>
          </w:tcPr>
          <w:p w14:paraId="0EB1029F" w14:textId="572EC664"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 xml:space="preserve">Investigate funding a diversity of </w:t>
            </w:r>
            <w:r w:rsidR="00152E14">
              <w:rPr>
                <w:rFonts w:ascii="Arial Narrow" w:eastAsia="Arial" w:hAnsi="Arial Narrow" w:cs="Cordia New"/>
                <w:szCs w:val="22"/>
              </w:rPr>
              <w:t>additional</w:t>
            </w:r>
            <w:r w:rsidRPr="000B427F">
              <w:rPr>
                <w:rFonts w:ascii="Arial Narrow" w:eastAsia="Arial" w:hAnsi="Arial Narrow" w:cs="Cordia New"/>
                <w:szCs w:val="22"/>
              </w:rPr>
              <w:t xml:space="preserve"> LGBTQ+ specific mental health service options, providers</w:t>
            </w:r>
            <w:r w:rsidR="00F86E2D">
              <w:rPr>
                <w:rFonts w:ascii="Arial Narrow" w:eastAsia="Arial" w:hAnsi="Arial Narrow" w:cs="Cordia New"/>
                <w:szCs w:val="22"/>
              </w:rPr>
              <w:t>,</w:t>
            </w:r>
            <w:r w:rsidRPr="000B427F">
              <w:rPr>
                <w:rFonts w:ascii="Arial Narrow" w:eastAsia="Arial" w:hAnsi="Arial Narrow" w:cs="Cordia New"/>
                <w:szCs w:val="22"/>
              </w:rPr>
              <w:t xml:space="preserve"> and models designed to deliver quality outcomes, with a specific focus on addressing unmet needs.</w:t>
            </w:r>
          </w:p>
        </w:tc>
      </w:tr>
      <w:tr w:rsidR="009D04B8" w:rsidRPr="000B427F" w14:paraId="10C83FAD" w14:textId="77777777">
        <w:trPr>
          <w:trHeight w:val="912"/>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192CEF16" w14:textId="77777777" w:rsidR="009D04B8" w:rsidRPr="000B427F" w:rsidRDefault="009D04B8" w:rsidP="006205ED">
            <w:pPr>
              <w:numPr>
                <w:ilvl w:val="0"/>
                <w:numId w:val="32"/>
              </w:numPr>
              <w:spacing w:after="40"/>
              <w:rPr>
                <w:rFonts w:ascii="Arial Narrow" w:eastAsia="Times New Roman" w:hAnsi="Arial Narrow" w:cs="Times New Roman"/>
                <w:lang w:eastAsia="en-AU"/>
              </w:rPr>
            </w:pPr>
          </w:p>
        </w:tc>
        <w:tc>
          <w:tcPr>
            <w:tcW w:w="7793" w:type="dxa"/>
            <w:tcBorders>
              <w:right w:val="single" w:sz="4" w:space="0" w:color="CDCDCD" w:themeColor="background2" w:themeShade="D9"/>
            </w:tcBorders>
            <w:vAlign w:val="center"/>
          </w:tcPr>
          <w:p w14:paraId="6BDCCD98" w14:textId="135FE716"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Commit resources to train, recruit</w:t>
            </w:r>
            <w:r w:rsidR="00F86E2D">
              <w:rPr>
                <w:rFonts w:ascii="Arial Narrow" w:eastAsia="Arial" w:hAnsi="Arial Narrow" w:cs="Cordia New"/>
                <w:szCs w:val="22"/>
              </w:rPr>
              <w:t>,</w:t>
            </w:r>
            <w:r w:rsidRPr="000B427F">
              <w:rPr>
                <w:rFonts w:ascii="Arial Narrow" w:eastAsia="Arial" w:hAnsi="Arial Narrow" w:cs="Cordia New"/>
                <w:szCs w:val="22"/>
              </w:rPr>
              <w:t xml:space="preserve"> and retain staff in LGBTQ+ specific services to optimally manage the spectrum of mental health care needs, with a focus on trauma-informed, personal recovery.</w:t>
            </w:r>
          </w:p>
        </w:tc>
      </w:tr>
      <w:tr w:rsidR="009D04B8" w:rsidRPr="000B427F" w14:paraId="12BA2593" w14:textId="77777777">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6D3F8246" w14:textId="77777777" w:rsidR="009D04B8" w:rsidRPr="000B427F" w:rsidRDefault="009D04B8" w:rsidP="006205ED">
            <w:pPr>
              <w:numPr>
                <w:ilvl w:val="0"/>
                <w:numId w:val="32"/>
              </w:numPr>
              <w:spacing w:after="40"/>
              <w:rPr>
                <w:rFonts w:ascii="Arial Narrow" w:eastAsia="Times New Roman" w:hAnsi="Arial Narrow" w:cs="Times New Roman"/>
                <w:lang w:eastAsia="en-AU"/>
              </w:rPr>
            </w:pPr>
          </w:p>
        </w:tc>
        <w:tc>
          <w:tcPr>
            <w:tcW w:w="7793" w:type="dxa"/>
            <w:tcBorders>
              <w:right w:val="single" w:sz="4" w:space="0" w:color="CDCDCD" w:themeColor="background2" w:themeShade="D9"/>
            </w:tcBorders>
            <w:vAlign w:val="center"/>
          </w:tcPr>
          <w:p w14:paraId="38759AA3" w14:textId="43FD10EB"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Establish a mechanism for First Nation peoples and organisations to oversee the design, development, and implementation of First Nations LGBTQ</w:t>
            </w:r>
            <w:r w:rsidR="00AF7DF4">
              <w:rPr>
                <w:rFonts w:ascii="Arial Narrow" w:eastAsia="Arial" w:hAnsi="Arial Narrow" w:cs="Cordia New"/>
                <w:szCs w:val="22"/>
              </w:rPr>
              <w:t>+</w:t>
            </w:r>
            <w:r w:rsidRPr="000B427F">
              <w:rPr>
                <w:rFonts w:ascii="Arial Narrow" w:eastAsia="Arial" w:hAnsi="Arial Narrow" w:cs="Cordia New"/>
                <w:szCs w:val="22"/>
              </w:rPr>
              <w:t xml:space="preserve">SB specific mental health and suicide prevention services. </w:t>
            </w:r>
          </w:p>
        </w:tc>
      </w:tr>
      <w:tr w:rsidR="009D04B8" w:rsidRPr="000B427F" w14:paraId="056BD429" w14:textId="77777777">
        <w:trPr>
          <w:trHeight w:val="912"/>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0A404163" w14:textId="77777777" w:rsidR="009D04B8" w:rsidRPr="000B427F" w:rsidRDefault="009D04B8" w:rsidP="006205ED">
            <w:pPr>
              <w:numPr>
                <w:ilvl w:val="0"/>
                <w:numId w:val="32"/>
              </w:numPr>
              <w:spacing w:after="40"/>
              <w:rPr>
                <w:rFonts w:ascii="Arial Narrow" w:eastAsia="Times New Roman" w:hAnsi="Arial Narrow" w:cs="Times New Roman"/>
                <w:lang w:eastAsia="en-AU"/>
              </w:rPr>
            </w:pPr>
          </w:p>
        </w:tc>
        <w:tc>
          <w:tcPr>
            <w:tcW w:w="7793" w:type="dxa"/>
            <w:tcBorders>
              <w:right w:val="single" w:sz="4" w:space="0" w:color="CDCDCD" w:themeColor="background2" w:themeShade="D9"/>
            </w:tcBorders>
            <w:vAlign w:val="center"/>
          </w:tcPr>
          <w:p w14:paraId="5E19234B" w14:textId="0FFB7508"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 xml:space="preserve">Expand evidence-based services for </w:t>
            </w:r>
            <w:r w:rsidR="006A1FC5">
              <w:rPr>
                <w:rFonts w:ascii="Arial Narrow" w:eastAsia="Arial" w:hAnsi="Arial Narrow" w:cs="Cordia New"/>
                <w:szCs w:val="22"/>
              </w:rPr>
              <w:t xml:space="preserve">young </w:t>
            </w:r>
            <w:r w:rsidRPr="000B427F">
              <w:rPr>
                <w:rFonts w:ascii="Arial Narrow" w:eastAsia="Arial" w:hAnsi="Arial Narrow" w:cs="Cordia New"/>
                <w:szCs w:val="22"/>
              </w:rPr>
              <w:t>LGBTQ+ people within and outside of mental health services, including mental health early intervention and prevention options in schools and other community settings.</w:t>
            </w:r>
          </w:p>
        </w:tc>
      </w:tr>
      <w:tr w:rsidR="009D04B8" w:rsidRPr="000B427F" w14:paraId="1990D275" w14:textId="77777777">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8" w:type="dxa"/>
            <w:vMerge/>
            <w:tcBorders>
              <w:bottom w:val="single" w:sz="4" w:space="0" w:color="0F4BEB" w:themeColor="accent1"/>
            </w:tcBorders>
            <w:vAlign w:val="center"/>
          </w:tcPr>
          <w:p w14:paraId="14B6C931" w14:textId="77777777" w:rsidR="009D04B8" w:rsidRPr="000B427F" w:rsidRDefault="009D04B8" w:rsidP="006205ED">
            <w:pPr>
              <w:numPr>
                <w:ilvl w:val="0"/>
                <w:numId w:val="32"/>
              </w:numPr>
              <w:spacing w:after="40"/>
              <w:rPr>
                <w:rFonts w:ascii="Arial Narrow" w:eastAsia="Times New Roman" w:hAnsi="Arial Narrow" w:cs="Times New Roman"/>
                <w:lang w:eastAsia="en-AU"/>
              </w:rPr>
            </w:pPr>
          </w:p>
        </w:tc>
        <w:tc>
          <w:tcPr>
            <w:tcW w:w="7793" w:type="dxa"/>
            <w:tcBorders>
              <w:bottom w:val="single" w:sz="4" w:space="0" w:color="0F4BEB" w:themeColor="accent1"/>
              <w:right w:val="single" w:sz="4" w:space="0" w:color="CDCDCD" w:themeColor="background2" w:themeShade="D9"/>
            </w:tcBorders>
            <w:vAlign w:val="center"/>
          </w:tcPr>
          <w:p w14:paraId="43511B4B" w14:textId="77777777"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Action ways to better accommodate intersecting identities and sub-group needs within LGBTQ+ services.</w:t>
            </w:r>
          </w:p>
        </w:tc>
      </w:tr>
      <w:tr w:rsidR="009D04B8" w:rsidRPr="000B427F" w14:paraId="51C4A5E2" w14:textId="77777777">
        <w:trPr>
          <w:trHeight w:val="912"/>
        </w:trPr>
        <w:tc>
          <w:tcPr>
            <w:cnfStyle w:val="001000000000" w:firstRow="0" w:lastRow="0" w:firstColumn="1" w:lastColumn="0" w:oddVBand="0" w:evenVBand="0" w:oddHBand="0" w:evenHBand="0" w:firstRowFirstColumn="0" w:firstRowLastColumn="0" w:lastRowFirstColumn="0" w:lastRowLastColumn="0"/>
            <w:tcW w:w="1558" w:type="dxa"/>
            <w:vMerge w:val="restart"/>
            <w:tcBorders>
              <w:top w:val="single" w:sz="4" w:space="0" w:color="0F4BEB" w:themeColor="accent1"/>
              <w:right w:val="nil"/>
            </w:tcBorders>
            <w:shd w:val="clear" w:color="auto" w:fill="9DB5F8" w:themeFill="accent1" w:themeFillTint="66"/>
            <w:vAlign w:val="center"/>
          </w:tcPr>
          <w:p w14:paraId="1ED112CC" w14:textId="77777777" w:rsidR="009D04B8" w:rsidRPr="000B427F" w:rsidRDefault="009D04B8">
            <w:pPr>
              <w:spacing w:after="40"/>
              <w:rPr>
                <w:rFonts w:ascii="Arial Narrow" w:eastAsia="Arial" w:hAnsi="Arial Narrow" w:cs="Cordia New"/>
              </w:rPr>
            </w:pPr>
            <w:r w:rsidRPr="000B427F">
              <w:rPr>
                <w:rFonts w:ascii="Arial Narrow" w:eastAsia="Arial" w:hAnsi="Arial Narrow" w:cs="Cordia New"/>
              </w:rPr>
              <w:t>(4)</w:t>
            </w:r>
          </w:p>
          <w:p w14:paraId="55CAD4E7" w14:textId="492CAEA3" w:rsidR="009D04B8" w:rsidRPr="000B427F" w:rsidRDefault="009D04B8">
            <w:pPr>
              <w:spacing w:after="40"/>
              <w:rPr>
                <w:rFonts w:ascii="Arial Narrow" w:eastAsia="Arial" w:hAnsi="Arial Narrow" w:cs="Cordia New"/>
              </w:rPr>
            </w:pPr>
            <w:r w:rsidRPr="000B427F">
              <w:rPr>
                <w:rFonts w:ascii="Arial Narrow" w:eastAsia="Arial" w:hAnsi="Arial Narrow" w:cs="Cordia New"/>
              </w:rPr>
              <w:t xml:space="preserve">Address stigmatisation, </w:t>
            </w:r>
            <w:r w:rsidR="00994DEE" w:rsidRPr="000B427F">
              <w:rPr>
                <w:rFonts w:ascii="Arial Narrow" w:eastAsia="Arial" w:hAnsi="Arial Narrow" w:cs="Cordia New"/>
              </w:rPr>
              <w:t>discrimination</w:t>
            </w:r>
            <w:r w:rsidR="00994DEE" w:rsidRPr="000B427F">
              <w:rPr>
                <w:rFonts w:ascii="Arial Narrow" w:eastAsia="Arial" w:hAnsi="Arial Narrow" w:cs="Cordia New"/>
                <w:b w:val="0"/>
                <w:bCs w:val="0"/>
              </w:rPr>
              <w:t>,</w:t>
            </w:r>
            <w:r w:rsidRPr="000B427F">
              <w:rPr>
                <w:rFonts w:ascii="Arial Narrow" w:eastAsia="Arial" w:hAnsi="Arial Narrow" w:cs="Cordia New"/>
              </w:rPr>
              <w:t xml:space="preserve"> and capabilities within mainstream health services</w:t>
            </w:r>
          </w:p>
        </w:tc>
        <w:tc>
          <w:tcPr>
            <w:tcW w:w="7793" w:type="dxa"/>
            <w:tcBorders>
              <w:top w:val="single" w:sz="4" w:space="0" w:color="0F4BEB" w:themeColor="accent1"/>
              <w:left w:val="nil"/>
              <w:bottom w:val="nil"/>
              <w:right w:val="single" w:sz="4" w:space="0" w:color="CDCDCD" w:themeColor="background2" w:themeShade="D9"/>
            </w:tcBorders>
            <w:vAlign w:val="center"/>
          </w:tcPr>
          <w:p w14:paraId="615695FB" w14:textId="107D3613"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b/>
                <w:bCs/>
                <w:szCs w:val="22"/>
              </w:rPr>
            </w:pPr>
            <w:r w:rsidRPr="000B427F">
              <w:rPr>
                <w:rFonts w:ascii="Arial Narrow" w:eastAsia="Arial" w:hAnsi="Arial Narrow" w:cs="Cordia New"/>
                <w:szCs w:val="22"/>
              </w:rPr>
              <w:t>Build the capacity, skills, knowledge</w:t>
            </w:r>
            <w:r w:rsidR="00F86E2D">
              <w:rPr>
                <w:rFonts w:ascii="Arial Narrow" w:eastAsia="Arial" w:hAnsi="Arial Narrow" w:cs="Cordia New"/>
                <w:szCs w:val="22"/>
              </w:rPr>
              <w:t>,</w:t>
            </w:r>
            <w:r w:rsidRPr="000B427F">
              <w:rPr>
                <w:rFonts w:ascii="Arial Narrow" w:eastAsia="Arial" w:hAnsi="Arial Narrow" w:cs="Cordia New"/>
                <w:szCs w:val="22"/>
              </w:rPr>
              <w:t xml:space="preserve"> and understanding of mainstream health staff to ensure the provision of affirming and culturally safe services for LGBTQ+ people. </w:t>
            </w:r>
          </w:p>
        </w:tc>
      </w:tr>
      <w:tr w:rsidR="009D04B8" w:rsidRPr="000B427F" w14:paraId="7CE0D93A" w14:textId="77777777">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001CB7EE" w14:textId="77777777" w:rsidR="009D04B8" w:rsidRPr="000B427F" w:rsidRDefault="009D04B8">
            <w:pPr>
              <w:spacing w:after="40"/>
              <w:jc w:val="center"/>
              <w:rPr>
                <w:rFonts w:ascii="Arial Narrow" w:eastAsia="Arial" w:hAnsi="Arial Narrow" w:cs="Cordia New"/>
              </w:rPr>
            </w:pPr>
          </w:p>
        </w:tc>
        <w:tc>
          <w:tcPr>
            <w:tcW w:w="7793" w:type="dxa"/>
            <w:tcBorders>
              <w:top w:val="nil"/>
              <w:right w:val="single" w:sz="4" w:space="0" w:color="CDCDCD" w:themeColor="background2" w:themeShade="D9"/>
            </w:tcBorders>
            <w:vAlign w:val="center"/>
          </w:tcPr>
          <w:p w14:paraId="68C8DD5B" w14:textId="77777777"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Embed LGBTQ+ people with intersecting lived experience within health settings and provide meaningful opportunities for them to influence every stage of the service’s development, culture, and practices.</w:t>
            </w:r>
          </w:p>
        </w:tc>
      </w:tr>
      <w:tr w:rsidR="009D04B8" w:rsidRPr="000B427F" w14:paraId="4D77086A" w14:textId="77777777">
        <w:trPr>
          <w:trHeight w:val="912"/>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58FA873F" w14:textId="77777777" w:rsidR="009D04B8" w:rsidRPr="000B427F" w:rsidRDefault="009D04B8">
            <w:pPr>
              <w:spacing w:after="40"/>
              <w:jc w:val="center"/>
              <w:rPr>
                <w:rFonts w:ascii="Arial Narrow" w:eastAsia="Arial" w:hAnsi="Arial Narrow" w:cs="Cordia New"/>
              </w:rPr>
            </w:pPr>
          </w:p>
        </w:tc>
        <w:tc>
          <w:tcPr>
            <w:tcW w:w="7793" w:type="dxa"/>
            <w:tcBorders>
              <w:right w:val="single" w:sz="4" w:space="0" w:color="CDCDCD" w:themeColor="background2" w:themeShade="D9"/>
            </w:tcBorders>
            <w:vAlign w:val="center"/>
          </w:tcPr>
          <w:p w14:paraId="1E235B6C" w14:textId="3353AF84"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 xml:space="preserve">Actively support LGBTQ+ people, and particularly those with intersecting lived experience, to work in health settings, and </w:t>
            </w:r>
            <w:r w:rsidR="00F86E2D">
              <w:rPr>
                <w:rFonts w:ascii="Arial Narrow" w:eastAsia="Arial" w:hAnsi="Arial Narrow" w:cs="Cordia New"/>
                <w:szCs w:val="22"/>
              </w:rPr>
              <w:t xml:space="preserve">to </w:t>
            </w:r>
            <w:r w:rsidRPr="000B427F">
              <w:rPr>
                <w:rFonts w:ascii="Arial Narrow" w:eastAsia="Arial" w:hAnsi="Arial Narrow" w:cs="Cordia New"/>
                <w:szCs w:val="22"/>
              </w:rPr>
              <w:t xml:space="preserve">take up service provider roles at all levels of seniority. </w:t>
            </w:r>
          </w:p>
        </w:tc>
      </w:tr>
      <w:tr w:rsidR="009D04B8" w:rsidRPr="000B427F" w14:paraId="6EAB1197" w14:textId="77777777">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6A8A9D9A" w14:textId="77777777" w:rsidR="009D04B8" w:rsidRPr="000B427F" w:rsidRDefault="009D04B8">
            <w:pPr>
              <w:spacing w:after="40"/>
              <w:jc w:val="center"/>
              <w:rPr>
                <w:rFonts w:ascii="Arial Narrow" w:eastAsia="Arial" w:hAnsi="Arial Narrow" w:cs="Cordia New"/>
              </w:rPr>
            </w:pPr>
          </w:p>
        </w:tc>
        <w:tc>
          <w:tcPr>
            <w:tcW w:w="7793" w:type="dxa"/>
            <w:tcBorders>
              <w:right w:val="single" w:sz="4" w:space="0" w:color="CDCDCD" w:themeColor="background2" w:themeShade="D9"/>
            </w:tcBorders>
            <w:vAlign w:val="center"/>
          </w:tcPr>
          <w:p w14:paraId="62CD07A4" w14:textId="2FB750C7"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Update and streamline processes and referral pathways to connect LGBTQ+ people with inclusive mainstream and LGBTQ+</w:t>
            </w:r>
            <w:r w:rsidR="00F86E2D">
              <w:rPr>
                <w:rFonts w:ascii="Arial Narrow" w:eastAsia="Arial" w:hAnsi="Arial Narrow" w:cs="Cordia New"/>
                <w:szCs w:val="22"/>
              </w:rPr>
              <w:t xml:space="preserve"> </w:t>
            </w:r>
            <w:r w:rsidRPr="000B427F">
              <w:rPr>
                <w:rFonts w:ascii="Arial Narrow" w:eastAsia="Arial" w:hAnsi="Arial Narrow" w:cs="Cordia New"/>
                <w:szCs w:val="22"/>
              </w:rPr>
              <w:t xml:space="preserve">specific mental health providers </w:t>
            </w:r>
            <w:r w:rsidR="00B0758E">
              <w:rPr>
                <w:rFonts w:ascii="Arial Narrow" w:eastAsia="Arial" w:hAnsi="Arial Narrow" w:cs="Cordia New"/>
                <w:szCs w:val="22"/>
              </w:rPr>
              <w:t xml:space="preserve">that </w:t>
            </w:r>
            <w:proofErr w:type="gramStart"/>
            <w:r w:rsidR="00B0758E">
              <w:rPr>
                <w:rFonts w:ascii="Arial Narrow" w:eastAsia="Arial" w:hAnsi="Arial Narrow" w:cs="Cordia New"/>
                <w:szCs w:val="22"/>
              </w:rPr>
              <w:t xml:space="preserve">are </w:t>
            </w:r>
            <w:r w:rsidRPr="000B427F">
              <w:rPr>
                <w:rFonts w:ascii="Arial Narrow" w:eastAsia="Arial" w:hAnsi="Arial Narrow" w:cs="Cordia New"/>
                <w:szCs w:val="22"/>
              </w:rPr>
              <w:t>able to</w:t>
            </w:r>
            <w:proofErr w:type="gramEnd"/>
            <w:r w:rsidRPr="000B427F">
              <w:rPr>
                <w:rFonts w:ascii="Arial Narrow" w:eastAsia="Arial" w:hAnsi="Arial Narrow" w:cs="Cordia New"/>
                <w:szCs w:val="22"/>
              </w:rPr>
              <w:t xml:space="preserve"> optimally support their personal recovery. </w:t>
            </w:r>
          </w:p>
        </w:tc>
      </w:tr>
      <w:tr w:rsidR="009D04B8" w:rsidRPr="000B427F" w14:paraId="29F7B190" w14:textId="77777777">
        <w:trPr>
          <w:trHeight w:val="912"/>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33CEC717" w14:textId="77777777" w:rsidR="009D04B8" w:rsidRPr="000B427F" w:rsidRDefault="009D04B8">
            <w:pPr>
              <w:spacing w:after="40"/>
              <w:jc w:val="center"/>
              <w:rPr>
                <w:rFonts w:ascii="Arial Narrow" w:eastAsia="Arial" w:hAnsi="Arial Narrow" w:cs="Cordia New"/>
              </w:rPr>
            </w:pPr>
          </w:p>
        </w:tc>
        <w:tc>
          <w:tcPr>
            <w:tcW w:w="7793" w:type="dxa"/>
            <w:tcBorders>
              <w:right w:val="single" w:sz="4" w:space="0" w:color="CDCDCD" w:themeColor="background2" w:themeShade="D9"/>
            </w:tcBorders>
            <w:vAlign w:val="center"/>
          </w:tcPr>
          <w:p w14:paraId="1EB8934D" w14:textId="43BA02E1"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Develop and widely promote a trauma-informed, recovery-oriented, equitable</w:t>
            </w:r>
            <w:r w:rsidR="00F86E2D">
              <w:rPr>
                <w:rFonts w:ascii="Arial Narrow" w:eastAsia="Arial" w:hAnsi="Arial Narrow" w:cs="Cordia New"/>
                <w:szCs w:val="22"/>
              </w:rPr>
              <w:t>,</w:t>
            </w:r>
            <w:r w:rsidRPr="000B427F">
              <w:rPr>
                <w:rFonts w:ascii="Arial Narrow" w:eastAsia="Arial" w:hAnsi="Arial Narrow" w:cs="Cordia New"/>
                <w:szCs w:val="22"/>
              </w:rPr>
              <w:t xml:space="preserve"> and safe care framework for Australian mental health services, which addresses minority stressors known to drive mental distress and suicidality</w:t>
            </w:r>
            <w:r w:rsidR="00F86E2D">
              <w:rPr>
                <w:rFonts w:ascii="Arial Narrow" w:eastAsia="Arial" w:hAnsi="Arial Narrow" w:cs="Cordia New"/>
                <w:szCs w:val="22"/>
              </w:rPr>
              <w:t>,</w:t>
            </w:r>
            <w:r w:rsidRPr="000B427F">
              <w:rPr>
                <w:rFonts w:ascii="Arial Narrow" w:eastAsia="Arial" w:hAnsi="Arial Narrow" w:cs="Cordia New"/>
                <w:szCs w:val="22"/>
              </w:rPr>
              <w:t xml:space="preserve"> and </w:t>
            </w:r>
            <w:r w:rsidR="00F86E2D">
              <w:rPr>
                <w:rFonts w:ascii="Arial Narrow" w:eastAsia="Arial" w:hAnsi="Arial Narrow" w:cs="Cordia New"/>
                <w:szCs w:val="22"/>
              </w:rPr>
              <w:t xml:space="preserve">which </w:t>
            </w:r>
            <w:r w:rsidRPr="000B427F">
              <w:rPr>
                <w:rFonts w:ascii="Arial Narrow" w:eastAsia="Arial" w:hAnsi="Arial Narrow" w:cs="Cordia New"/>
                <w:szCs w:val="22"/>
              </w:rPr>
              <w:t xml:space="preserve">prevents traumatisation or re-traumatisation. </w:t>
            </w:r>
          </w:p>
        </w:tc>
      </w:tr>
      <w:tr w:rsidR="009D04B8" w:rsidRPr="000B427F" w14:paraId="50711D54" w14:textId="77777777">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1E63AAD2" w14:textId="77777777" w:rsidR="009D04B8" w:rsidRPr="000B427F" w:rsidRDefault="009D04B8">
            <w:pPr>
              <w:spacing w:after="40"/>
              <w:jc w:val="center"/>
              <w:rPr>
                <w:rFonts w:ascii="Arial Narrow" w:eastAsia="Arial" w:hAnsi="Arial Narrow" w:cs="Cordia New"/>
              </w:rPr>
            </w:pPr>
          </w:p>
        </w:tc>
        <w:tc>
          <w:tcPr>
            <w:tcW w:w="7793" w:type="dxa"/>
            <w:tcBorders>
              <w:right w:val="single" w:sz="4" w:space="0" w:color="CDCDCD" w:themeColor="background2" w:themeShade="D9"/>
            </w:tcBorders>
            <w:vAlign w:val="center"/>
          </w:tcPr>
          <w:p w14:paraId="709CF508" w14:textId="614D1E7D"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Collaborate to action current recommendations designed to overcome stigmatisation in relation to mental health and LGBTQ+ people in other health, aged care</w:t>
            </w:r>
            <w:r w:rsidR="00641C7F">
              <w:rPr>
                <w:rFonts w:ascii="Arial Narrow" w:eastAsia="Arial" w:hAnsi="Arial Narrow" w:cs="Cordia New"/>
                <w:szCs w:val="22"/>
              </w:rPr>
              <w:t>,</w:t>
            </w:r>
            <w:r w:rsidRPr="000B427F">
              <w:rPr>
                <w:rFonts w:ascii="Arial Narrow" w:eastAsia="Arial" w:hAnsi="Arial Narrow" w:cs="Cordia New"/>
                <w:szCs w:val="22"/>
              </w:rPr>
              <w:t xml:space="preserve"> and disability care services. </w:t>
            </w:r>
          </w:p>
        </w:tc>
      </w:tr>
      <w:tr w:rsidR="009D04B8" w:rsidRPr="000B427F" w14:paraId="1FD44C66" w14:textId="77777777">
        <w:trPr>
          <w:trHeight w:val="912"/>
        </w:trPr>
        <w:tc>
          <w:tcPr>
            <w:cnfStyle w:val="001000000000" w:firstRow="0" w:lastRow="0" w:firstColumn="1" w:lastColumn="0" w:oddVBand="0" w:evenVBand="0" w:oddHBand="0" w:evenHBand="0" w:firstRowFirstColumn="0" w:firstRowLastColumn="0" w:lastRowFirstColumn="0" w:lastRowLastColumn="0"/>
            <w:tcW w:w="1558" w:type="dxa"/>
            <w:vMerge/>
            <w:tcBorders>
              <w:bottom w:val="single" w:sz="4" w:space="0" w:color="0F4BEB" w:themeColor="accent1"/>
            </w:tcBorders>
            <w:vAlign w:val="center"/>
          </w:tcPr>
          <w:p w14:paraId="1E7F0F3C" w14:textId="77777777" w:rsidR="009D04B8" w:rsidRPr="000B427F" w:rsidRDefault="009D04B8">
            <w:pPr>
              <w:spacing w:after="40"/>
              <w:jc w:val="center"/>
              <w:rPr>
                <w:rFonts w:ascii="Arial Narrow" w:eastAsia="Arial" w:hAnsi="Arial Narrow" w:cs="Cordia New"/>
                <w:b w:val="0"/>
                <w:bCs w:val="0"/>
              </w:rPr>
            </w:pPr>
          </w:p>
        </w:tc>
        <w:tc>
          <w:tcPr>
            <w:tcW w:w="7793" w:type="dxa"/>
            <w:tcBorders>
              <w:bottom w:val="single" w:sz="4" w:space="0" w:color="0F4BEB" w:themeColor="accent1"/>
              <w:right w:val="single" w:sz="4" w:space="0" w:color="CDCDCD" w:themeColor="background2" w:themeShade="D9"/>
            </w:tcBorders>
            <w:vAlign w:val="center"/>
          </w:tcPr>
          <w:p w14:paraId="0B7843F9" w14:textId="4D0C79C0"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Investigate and find practical options to embed multiple explanatory frameworks for understanding mental distress and service provision for LGBTQ+ people experiencing mental health distress or suicidality that incorporate understandings of minority stress and trauma.</w:t>
            </w:r>
          </w:p>
        </w:tc>
      </w:tr>
      <w:tr w:rsidR="009D04B8" w:rsidRPr="000B427F" w14:paraId="0385F2EF" w14:textId="77777777">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8" w:type="dxa"/>
            <w:vMerge w:val="restart"/>
            <w:tcBorders>
              <w:top w:val="single" w:sz="4" w:space="0" w:color="0F4BEB" w:themeColor="accent1"/>
            </w:tcBorders>
            <w:shd w:val="clear" w:color="auto" w:fill="CEDAFC" w:themeFill="accent1" w:themeFillTint="33"/>
            <w:vAlign w:val="center"/>
          </w:tcPr>
          <w:p w14:paraId="2E83AD96" w14:textId="77777777" w:rsidR="009D04B8" w:rsidRPr="000B427F" w:rsidRDefault="009D04B8">
            <w:pPr>
              <w:spacing w:after="40" w:line="240" w:lineRule="auto"/>
              <w:rPr>
                <w:rFonts w:ascii="Arial Narrow" w:eastAsia="Arial" w:hAnsi="Arial Narrow" w:cs="Cordia New"/>
              </w:rPr>
            </w:pPr>
            <w:r w:rsidRPr="000B427F">
              <w:rPr>
                <w:rFonts w:ascii="Arial Narrow" w:eastAsia="Arial" w:hAnsi="Arial Narrow" w:cs="Cordia New"/>
              </w:rPr>
              <w:t>(5)</w:t>
            </w:r>
            <w:r w:rsidRPr="000B427F">
              <w:rPr>
                <w:rFonts w:ascii="Arial Narrow" w:eastAsia="Arial" w:hAnsi="Arial Narrow" w:cs="Cordia New"/>
              </w:rPr>
              <w:br/>
              <w:t>Collaborate across sectors to build connection and promote inclusion</w:t>
            </w:r>
          </w:p>
        </w:tc>
        <w:tc>
          <w:tcPr>
            <w:tcW w:w="7793" w:type="dxa"/>
            <w:tcBorders>
              <w:top w:val="single" w:sz="4" w:space="0" w:color="0F4BEB" w:themeColor="accent1"/>
              <w:right w:val="single" w:sz="4" w:space="0" w:color="CDCDCD" w:themeColor="background2" w:themeShade="D9"/>
            </w:tcBorders>
            <w:vAlign w:val="center"/>
          </w:tcPr>
          <w:p w14:paraId="0CA726BE" w14:textId="77777777" w:rsidR="009D04B8" w:rsidRPr="000B427F" w:rsidRDefault="009D04B8" w:rsidP="006205ED">
            <w:pPr>
              <w:pStyle w:val="ListParagraph"/>
              <w:numPr>
                <w:ilvl w:val="0"/>
                <w:numId w:val="38"/>
              </w:numPr>
              <w:tabs>
                <w:tab w:val="num" w:pos="465"/>
              </w:tabs>
              <w:spacing w:before="60" w:after="60"/>
              <w:ind w:left="459"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 xml:space="preserve">Initiate a major whole-of-government and cross-sectoral health and wellbeing inclusion strategy to promote social inclusion and address sources of stigma impacting LGBTQ+ people and communities. </w:t>
            </w:r>
          </w:p>
        </w:tc>
      </w:tr>
      <w:tr w:rsidR="009D04B8" w:rsidRPr="000B427F" w14:paraId="3DE37B9F" w14:textId="77777777">
        <w:trPr>
          <w:trHeight w:val="912"/>
        </w:trPr>
        <w:tc>
          <w:tcPr>
            <w:cnfStyle w:val="001000000000" w:firstRow="0" w:lastRow="0" w:firstColumn="1" w:lastColumn="0" w:oddVBand="0" w:evenVBand="0" w:oddHBand="0" w:evenHBand="0" w:firstRowFirstColumn="0" w:firstRowLastColumn="0" w:lastRowFirstColumn="0" w:lastRowLastColumn="0"/>
            <w:tcW w:w="1558" w:type="dxa"/>
            <w:vMerge/>
            <w:shd w:val="clear" w:color="auto" w:fill="CEDAFC" w:themeFill="accent1" w:themeFillTint="33"/>
            <w:vAlign w:val="center"/>
          </w:tcPr>
          <w:p w14:paraId="44C57F3C" w14:textId="77777777" w:rsidR="009D04B8" w:rsidRPr="000B427F" w:rsidRDefault="009D04B8">
            <w:pPr>
              <w:spacing w:after="40"/>
              <w:jc w:val="center"/>
              <w:rPr>
                <w:rFonts w:ascii="Arial Narrow" w:eastAsia="Arial" w:hAnsi="Arial Narrow" w:cs="Cordia New"/>
              </w:rPr>
            </w:pPr>
          </w:p>
        </w:tc>
        <w:tc>
          <w:tcPr>
            <w:tcW w:w="7793" w:type="dxa"/>
            <w:tcBorders>
              <w:right w:val="single" w:sz="4" w:space="0" w:color="CDCDCD" w:themeColor="background2" w:themeShade="D9"/>
            </w:tcBorders>
            <w:vAlign w:val="center"/>
          </w:tcPr>
          <w:p w14:paraId="67AEF46A" w14:textId="378AAC8F"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 xml:space="preserve">Work with relevant Commonwealth, state, and territory agencies to promote inclusion amongst young people, </w:t>
            </w:r>
            <w:proofErr w:type="gramStart"/>
            <w:r w:rsidRPr="000B427F">
              <w:rPr>
                <w:rFonts w:ascii="Arial Narrow" w:eastAsia="Arial" w:hAnsi="Arial Narrow" w:cs="Cordia New"/>
                <w:szCs w:val="22"/>
              </w:rPr>
              <w:t>in order to</w:t>
            </w:r>
            <w:proofErr w:type="gramEnd"/>
            <w:r w:rsidRPr="000B427F">
              <w:rPr>
                <w:rFonts w:ascii="Arial Narrow" w:eastAsia="Arial" w:hAnsi="Arial Narrow" w:cs="Cordia New"/>
                <w:szCs w:val="22"/>
              </w:rPr>
              <w:t xml:space="preserve"> improve understanding</w:t>
            </w:r>
            <w:r w:rsidR="00641C7F">
              <w:rPr>
                <w:rFonts w:ascii="Arial Narrow" w:eastAsia="Arial" w:hAnsi="Arial Narrow" w:cs="Cordia New"/>
                <w:szCs w:val="22"/>
              </w:rPr>
              <w:t xml:space="preserve"> and</w:t>
            </w:r>
            <w:r w:rsidRPr="000B427F">
              <w:rPr>
                <w:rFonts w:ascii="Arial Narrow" w:eastAsia="Arial" w:hAnsi="Arial Narrow" w:cs="Cordia New"/>
                <w:szCs w:val="22"/>
              </w:rPr>
              <w:t xml:space="preserve"> connections</w:t>
            </w:r>
            <w:r w:rsidR="00641C7F">
              <w:rPr>
                <w:rFonts w:ascii="Arial Narrow" w:eastAsia="Arial" w:hAnsi="Arial Narrow" w:cs="Cordia New"/>
                <w:szCs w:val="22"/>
              </w:rPr>
              <w:t>,</w:t>
            </w:r>
            <w:r w:rsidRPr="000B427F">
              <w:rPr>
                <w:rFonts w:ascii="Arial Narrow" w:eastAsia="Arial" w:hAnsi="Arial Narrow" w:cs="Cordia New"/>
                <w:szCs w:val="22"/>
              </w:rPr>
              <w:t xml:space="preserve"> and </w:t>
            </w:r>
            <w:r w:rsidR="00641C7F">
              <w:rPr>
                <w:rFonts w:ascii="Arial Narrow" w:eastAsia="Arial" w:hAnsi="Arial Narrow" w:cs="Cordia New"/>
                <w:szCs w:val="22"/>
              </w:rPr>
              <w:t xml:space="preserve">to </w:t>
            </w:r>
            <w:r w:rsidRPr="000B427F">
              <w:rPr>
                <w:rFonts w:ascii="Arial Narrow" w:eastAsia="Arial" w:hAnsi="Arial Narrow" w:cs="Cordia New"/>
                <w:szCs w:val="22"/>
              </w:rPr>
              <w:t>reduce</w:t>
            </w:r>
            <w:r w:rsidR="00641C7F">
              <w:rPr>
                <w:rFonts w:ascii="Arial Narrow" w:eastAsia="Arial" w:hAnsi="Arial Narrow" w:cs="Cordia New"/>
                <w:szCs w:val="22"/>
              </w:rPr>
              <w:t xml:space="preserve"> </w:t>
            </w:r>
            <w:r w:rsidRPr="000B427F">
              <w:rPr>
                <w:rFonts w:ascii="Arial Narrow" w:eastAsia="Arial" w:hAnsi="Arial Narrow" w:cs="Cordia New"/>
                <w:szCs w:val="22"/>
              </w:rPr>
              <w:t xml:space="preserve">stigma and discrimination against LGBTQ+ people. </w:t>
            </w:r>
          </w:p>
        </w:tc>
      </w:tr>
      <w:tr w:rsidR="009D04B8" w:rsidRPr="000B427F" w14:paraId="74C0AF24" w14:textId="77777777">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8" w:type="dxa"/>
            <w:vMerge/>
            <w:tcBorders>
              <w:bottom w:val="single" w:sz="4" w:space="0" w:color="0F4BEB" w:themeColor="accent1"/>
            </w:tcBorders>
            <w:shd w:val="clear" w:color="auto" w:fill="CEDAFC" w:themeFill="accent1" w:themeFillTint="33"/>
            <w:vAlign w:val="center"/>
          </w:tcPr>
          <w:p w14:paraId="5B0A58EE" w14:textId="77777777" w:rsidR="009D04B8" w:rsidRPr="000B427F" w:rsidRDefault="009D04B8">
            <w:pPr>
              <w:spacing w:after="40"/>
              <w:jc w:val="center"/>
              <w:rPr>
                <w:rFonts w:ascii="Arial Narrow" w:eastAsia="Arial" w:hAnsi="Arial Narrow" w:cs="Cordia New"/>
              </w:rPr>
            </w:pPr>
          </w:p>
        </w:tc>
        <w:tc>
          <w:tcPr>
            <w:tcW w:w="7793" w:type="dxa"/>
            <w:tcBorders>
              <w:bottom w:val="single" w:sz="4" w:space="0" w:color="0F4BEB" w:themeColor="accent1"/>
              <w:right w:val="single" w:sz="4" w:space="0" w:color="CDCDCD" w:themeColor="background2" w:themeShade="D9"/>
            </w:tcBorders>
            <w:vAlign w:val="center"/>
          </w:tcPr>
          <w:p w14:paraId="370277F4" w14:textId="77777777" w:rsidR="009D04B8" w:rsidRPr="000B427F" w:rsidRDefault="009D04B8" w:rsidP="006205ED">
            <w:pPr>
              <w:pStyle w:val="ListParagraph"/>
              <w:numPr>
                <w:ilvl w:val="0"/>
                <w:numId w:val="38"/>
              </w:numPr>
              <w:tabs>
                <w:tab w:val="num" w:pos="465"/>
              </w:tabs>
              <w:spacing w:before="60" w:after="60"/>
              <w:ind w:left="457" w:hanging="425"/>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 xml:space="preserve">Develop and promote educational resources to build the capacity of family and community to affirm LGBTQ+ people in their lives. </w:t>
            </w:r>
          </w:p>
        </w:tc>
      </w:tr>
      <w:tr w:rsidR="009D04B8" w:rsidRPr="000B427F" w14:paraId="20A98316" w14:textId="77777777" w:rsidTr="000B427F">
        <w:trPr>
          <w:trHeight w:val="1538"/>
        </w:trPr>
        <w:tc>
          <w:tcPr>
            <w:cnfStyle w:val="001000000000" w:firstRow="0" w:lastRow="0" w:firstColumn="1" w:lastColumn="0" w:oddVBand="0" w:evenVBand="0" w:oddHBand="0" w:evenHBand="0" w:firstRowFirstColumn="0" w:firstRowLastColumn="0" w:lastRowFirstColumn="0" w:lastRowLastColumn="0"/>
            <w:tcW w:w="1558" w:type="dxa"/>
            <w:tcBorders>
              <w:top w:val="single" w:sz="4" w:space="0" w:color="0F4BEB" w:themeColor="accent1"/>
              <w:bottom w:val="single" w:sz="4" w:space="0" w:color="0F4BEB" w:themeColor="accent1"/>
            </w:tcBorders>
            <w:shd w:val="clear" w:color="auto" w:fill="DBE4FD"/>
            <w:vAlign w:val="center"/>
          </w:tcPr>
          <w:p w14:paraId="1F0C00AD" w14:textId="63B5FA9E" w:rsidR="009D04B8" w:rsidRPr="000B427F" w:rsidRDefault="009D04B8">
            <w:pPr>
              <w:spacing w:before="60" w:after="60"/>
              <w:rPr>
                <w:rFonts w:ascii="Arial Narrow" w:eastAsia="Arial" w:hAnsi="Arial Narrow" w:cs="Cordia New"/>
                <w:b w:val="0"/>
                <w:bCs w:val="0"/>
              </w:rPr>
            </w:pPr>
            <w:r w:rsidRPr="000B427F">
              <w:rPr>
                <w:rFonts w:ascii="Arial Narrow" w:eastAsia="Arial" w:hAnsi="Arial Narrow" w:cs="Cordia New"/>
              </w:rPr>
              <w:t>(</w:t>
            </w:r>
            <w:r w:rsidR="001D3CA1">
              <w:rPr>
                <w:rFonts w:ascii="Arial Narrow" w:eastAsia="Arial" w:hAnsi="Arial Narrow" w:cs="Cordia New"/>
              </w:rPr>
              <w:t>6</w:t>
            </w:r>
            <w:r w:rsidRPr="000B427F">
              <w:rPr>
                <w:rFonts w:ascii="Arial Narrow" w:eastAsia="Arial" w:hAnsi="Arial Narrow" w:cs="Cordia New"/>
              </w:rPr>
              <w:t xml:space="preserve">) </w:t>
            </w:r>
          </w:p>
          <w:p w14:paraId="2A82A56C" w14:textId="77777777" w:rsidR="009D04B8" w:rsidRPr="000B427F" w:rsidRDefault="009D04B8">
            <w:pPr>
              <w:spacing w:before="60" w:after="60"/>
              <w:rPr>
                <w:rFonts w:ascii="Arial Narrow" w:eastAsia="Arial" w:hAnsi="Arial Narrow" w:cs="Cordia New"/>
              </w:rPr>
            </w:pPr>
            <w:r w:rsidRPr="000B427F">
              <w:rPr>
                <w:rFonts w:ascii="Arial Narrow" w:eastAsia="Arial" w:hAnsi="Arial Narrow" w:cs="Cordia New"/>
              </w:rPr>
              <w:t xml:space="preserve">Adopt and promote the consistent use of inclusive and affirming language </w:t>
            </w:r>
          </w:p>
        </w:tc>
        <w:tc>
          <w:tcPr>
            <w:tcW w:w="7793" w:type="dxa"/>
            <w:tcBorders>
              <w:top w:val="single" w:sz="4" w:space="0" w:color="0F4BEB" w:themeColor="accent1"/>
              <w:bottom w:val="single" w:sz="4" w:space="0" w:color="0F4BEB" w:themeColor="accent1"/>
              <w:right w:val="single" w:sz="4" w:space="0" w:color="CDCDCD" w:themeColor="background2" w:themeShade="D9"/>
            </w:tcBorders>
            <w:vAlign w:val="center"/>
          </w:tcPr>
          <w:p w14:paraId="7110D907" w14:textId="2026DA53" w:rsidR="009D04B8" w:rsidRPr="000B427F" w:rsidRDefault="009D04B8" w:rsidP="006205ED">
            <w:pPr>
              <w:pStyle w:val="ListParagraph"/>
              <w:numPr>
                <w:ilvl w:val="0"/>
                <w:numId w:val="38"/>
              </w:numPr>
              <w:tabs>
                <w:tab w:val="num" w:pos="465"/>
              </w:tabs>
              <w:spacing w:before="60" w:after="60"/>
              <w:ind w:left="457" w:hanging="425"/>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Update and standardise the inclusivity of language and terminology used in all mainstream health, mental health</w:t>
            </w:r>
            <w:r w:rsidR="00641C7F">
              <w:rPr>
                <w:rFonts w:ascii="Arial Narrow" w:eastAsia="Arial" w:hAnsi="Arial Narrow" w:cs="Cordia New"/>
                <w:szCs w:val="22"/>
              </w:rPr>
              <w:t>,</w:t>
            </w:r>
            <w:r w:rsidRPr="000B427F">
              <w:rPr>
                <w:rFonts w:ascii="Arial Narrow" w:eastAsia="Arial" w:hAnsi="Arial Narrow" w:cs="Cordia New"/>
                <w:szCs w:val="22"/>
              </w:rPr>
              <w:t xml:space="preserve"> and wellbeing services, including services provided by religious organisations.</w:t>
            </w:r>
          </w:p>
          <w:p w14:paraId="2E62D59C" w14:textId="77777777" w:rsidR="009D04B8" w:rsidRPr="000B427F" w:rsidRDefault="009D04B8">
            <w:pPr>
              <w:pStyle w:val="ListParagraph"/>
              <w:spacing w:before="60" w:after="60"/>
              <w:ind w:left="457"/>
              <w:cnfStyle w:val="000000000000" w:firstRow="0" w:lastRow="0" w:firstColumn="0" w:lastColumn="0" w:oddVBand="0" w:evenVBand="0" w:oddHBand="0" w:evenHBand="0" w:firstRowFirstColumn="0" w:firstRowLastColumn="0" w:lastRowFirstColumn="0" w:lastRowLastColumn="0"/>
              <w:rPr>
                <w:rFonts w:ascii="Arial Narrow" w:eastAsia="Arial" w:hAnsi="Arial Narrow" w:cs="Cordia New"/>
                <w:szCs w:val="22"/>
              </w:rPr>
            </w:pPr>
            <w:r w:rsidRPr="000B427F">
              <w:rPr>
                <w:rFonts w:ascii="Arial Narrow" w:eastAsia="Arial" w:hAnsi="Arial Narrow" w:cs="Cordia New"/>
                <w:szCs w:val="22"/>
              </w:rPr>
              <w:t>(Also see Principle 6)</w:t>
            </w:r>
          </w:p>
        </w:tc>
      </w:tr>
      <w:tr w:rsidR="009A2300" w:rsidRPr="000B427F" w14:paraId="5AE1855F" w14:textId="77777777" w:rsidTr="009A2300">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0F4BEB" w:themeColor="accent1"/>
              <w:right w:val="single" w:sz="4" w:space="0" w:color="CDCDCD" w:themeColor="background2" w:themeShade="D9"/>
            </w:tcBorders>
            <w:shd w:val="clear" w:color="auto" w:fill="E0E0E0" w:themeFill="text2" w:themeFillTint="66"/>
            <w:vAlign w:val="center"/>
          </w:tcPr>
          <w:p w14:paraId="09B2F432" w14:textId="62E75BEA" w:rsidR="009A2300" w:rsidRPr="000B427F" w:rsidRDefault="009A2300">
            <w:pPr>
              <w:spacing w:before="60" w:after="60"/>
              <w:rPr>
                <w:rFonts w:ascii="Arial Narrow" w:eastAsia="Arial" w:hAnsi="Arial Narrow" w:cs="Cordia New"/>
                <w:lang w:eastAsia="en-AU"/>
              </w:rPr>
            </w:pPr>
            <w:r>
              <w:rPr>
                <w:rFonts w:ascii="Arial Narrow" w:eastAsia="Arial" w:hAnsi="Arial Narrow" w:cs="Cordia New"/>
                <w:lang w:eastAsia="en-AU"/>
              </w:rPr>
              <w:t>Note</w:t>
            </w:r>
          </w:p>
        </w:tc>
        <w:tc>
          <w:tcPr>
            <w:tcW w:w="7796" w:type="dxa"/>
            <w:tcBorders>
              <w:bottom w:val="single" w:sz="4" w:space="0" w:color="0F4BEB" w:themeColor="accent1"/>
              <w:right w:val="single" w:sz="4" w:space="0" w:color="CDCDCD" w:themeColor="background2" w:themeShade="D9"/>
            </w:tcBorders>
            <w:shd w:val="clear" w:color="auto" w:fill="E0E0E0" w:themeFill="text2" w:themeFillTint="66"/>
            <w:vAlign w:val="center"/>
          </w:tcPr>
          <w:p w14:paraId="2216AC6D" w14:textId="1F39E672" w:rsidR="009A2300" w:rsidRPr="000B427F" w:rsidRDefault="009A2300">
            <w:pPr>
              <w:spacing w:before="60" w:after="60"/>
              <w:cnfStyle w:val="000000100000" w:firstRow="0" w:lastRow="0" w:firstColumn="0" w:lastColumn="0" w:oddVBand="0" w:evenVBand="0" w:oddHBand="1" w:evenHBand="0" w:firstRowFirstColumn="0" w:firstRowLastColumn="0" w:lastRowFirstColumn="0" w:lastRowLastColumn="0"/>
              <w:rPr>
                <w:rFonts w:ascii="Arial Narrow" w:eastAsia="Arial" w:hAnsi="Arial Narrow" w:cs="Cordia New"/>
                <w:b/>
                <w:bCs/>
                <w:lang w:eastAsia="en-AU"/>
              </w:rPr>
            </w:pPr>
            <w:r w:rsidRPr="000B427F">
              <w:rPr>
                <w:rFonts w:ascii="Arial Narrow" w:eastAsia="Arial" w:hAnsi="Arial Narrow" w:cs="Cordia New"/>
                <w:lang w:eastAsia="en-AU"/>
              </w:rPr>
              <w:t>The report also posed two options on reducing barriers to accessing gender affirming care, albeit noting that the applied SLR literature did not provide a comprehensive perspective on this issue.</w:t>
            </w:r>
          </w:p>
        </w:tc>
      </w:tr>
    </w:tbl>
    <w:p w14:paraId="11274DA7" w14:textId="6FDA0E41" w:rsidR="00F07791" w:rsidRPr="00F07791" w:rsidRDefault="00F07791" w:rsidP="006F350B">
      <w:pPr>
        <w:spacing w:before="240"/>
        <w:rPr>
          <w:rFonts w:eastAsia="Arial" w:cs="Cordia New"/>
          <w:b/>
          <w:bCs/>
          <w:iCs/>
          <w:color w:val="0F4BEB" w:themeColor="accent1"/>
          <w:lang w:eastAsia="en-AU"/>
        </w:rPr>
      </w:pPr>
      <w:r w:rsidRPr="00F07791">
        <w:rPr>
          <w:rFonts w:eastAsia="Arial" w:cs="Cordia New"/>
          <w:b/>
          <w:bCs/>
          <w:iCs/>
          <w:color w:val="0F4BEB" w:themeColor="accent1"/>
          <w:lang w:eastAsia="en-AU"/>
        </w:rPr>
        <w:t>Conclusion</w:t>
      </w:r>
    </w:p>
    <w:p w14:paraId="2BDAB05F" w14:textId="20A27D50" w:rsidR="00F07791" w:rsidRPr="00F07791" w:rsidRDefault="00F07791" w:rsidP="00F07791">
      <w:pPr>
        <w:rPr>
          <w:lang w:eastAsia="en-AU"/>
        </w:rPr>
      </w:pPr>
      <w:r w:rsidRPr="00F07791">
        <w:rPr>
          <w:lang w:eastAsia="en-AU"/>
        </w:rPr>
        <w:t xml:space="preserve">The evidence reviewed as part of this research indicated the need for significant investments to ensure that Australia’s mental health service system and accompanying sectors </w:t>
      </w:r>
      <w:proofErr w:type="gramStart"/>
      <w:r w:rsidRPr="00F07791">
        <w:rPr>
          <w:lang w:eastAsia="en-AU"/>
        </w:rPr>
        <w:t>are able to</w:t>
      </w:r>
      <w:proofErr w:type="gramEnd"/>
      <w:r w:rsidRPr="00F07791">
        <w:rPr>
          <w:lang w:eastAsia="en-AU"/>
        </w:rPr>
        <w:t xml:space="preserve"> support the diversity of LGBTQ+ health and wellbeing needs. This includes both improvements to the design and delivery of services, as well as consideration to strategies to address causes of distress (e.g., discrimination and violence).  </w:t>
      </w:r>
    </w:p>
    <w:p w14:paraId="6E557C33" w14:textId="3C5B80F9" w:rsidR="00807909" w:rsidRDefault="00F07791" w:rsidP="00F07791">
      <w:pPr>
        <w:rPr>
          <w:lang w:eastAsia="en-AU"/>
        </w:rPr>
      </w:pPr>
      <w:r w:rsidRPr="00F07791">
        <w:rPr>
          <w:lang w:eastAsia="en-AU"/>
        </w:rPr>
        <w:t>In addition, the research highlighted significant gaps in the available data and research to inform LGBTQ+ health and wellbeing policy. As such, while the authors sought to answer the KRQs, a complete and definitive answer to any of the questions was not possible within the scope of the available evidence and will require significant investments in future research, with a particular focus on gaps in the evidence identified through this</w:t>
      </w:r>
      <w:r w:rsidR="00796FE1">
        <w:rPr>
          <w:lang w:eastAsia="en-AU"/>
        </w:rPr>
        <w:t>,</w:t>
      </w:r>
      <w:r w:rsidRPr="00F07791">
        <w:rPr>
          <w:lang w:eastAsia="en-AU"/>
        </w:rPr>
        <w:t xml:space="preserve"> and other</w:t>
      </w:r>
      <w:r w:rsidR="00796FE1">
        <w:rPr>
          <w:lang w:eastAsia="en-AU"/>
        </w:rPr>
        <w:t>,</w:t>
      </w:r>
      <w:r w:rsidRPr="00F07791">
        <w:rPr>
          <w:lang w:eastAsia="en-AU"/>
        </w:rPr>
        <w:t xml:space="preserve"> research. </w:t>
      </w:r>
      <w:r w:rsidR="009D04B8">
        <w:rPr>
          <w:lang w:eastAsia="en-AU"/>
        </w:rPr>
        <w:br w:type="page"/>
      </w:r>
    </w:p>
    <w:p w14:paraId="588455C9" w14:textId="7D97CFE5" w:rsidR="00B40BBA" w:rsidRPr="00111D92" w:rsidRDefault="00B40BBA" w:rsidP="009B406F">
      <w:pPr>
        <w:pStyle w:val="NbrHeading1"/>
      </w:pPr>
      <w:bookmarkStart w:id="13" w:name="_Toc153899481"/>
      <w:r w:rsidRPr="00CB257C">
        <w:lastRenderedPageBreak/>
        <w:t>Introduction</w:t>
      </w:r>
      <w:bookmarkEnd w:id="13"/>
      <w:r w:rsidR="00AD63F1" w:rsidRPr="00111D92">
        <w:t xml:space="preserve"> </w:t>
      </w:r>
    </w:p>
    <w:p w14:paraId="444E6F9B" w14:textId="7F9C3D2A" w:rsidR="009B7181" w:rsidRDefault="00CB257C" w:rsidP="00CB257C">
      <w:r>
        <w:t xml:space="preserve">This report </w:t>
      </w:r>
      <w:r w:rsidR="00EC467B">
        <w:t>p</w:t>
      </w:r>
      <w:r w:rsidR="18ABC0C2">
        <w:t xml:space="preserve">rovides a </w:t>
      </w:r>
      <w:r>
        <w:t xml:space="preserve">background </w:t>
      </w:r>
      <w:r w:rsidR="24BCBE37">
        <w:t>to</w:t>
      </w:r>
      <w:r w:rsidR="20882261">
        <w:t xml:space="preserve"> </w:t>
      </w:r>
      <w:r w:rsidR="24BCBE37">
        <w:t>drivers of</w:t>
      </w:r>
      <w:r w:rsidR="20882261">
        <w:t xml:space="preserve"> mental health</w:t>
      </w:r>
      <w:r w:rsidR="0E222203">
        <w:t xml:space="preserve"> challenges</w:t>
      </w:r>
      <w:r w:rsidR="20882261">
        <w:t xml:space="preserve"> and suicidality </w:t>
      </w:r>
      <w:r w:rsidR="0036350F">
        <w:t xml:space="preserve">amongst people who are </w:t>
      </w:r>
      <w:r w:rsidR="20882261">
        <w:t xml:space="preserve">lesbian, gay, bisexual, </w:t>
      </w:r>
      <w:r w:rsidR="00B442DF">
        <w:t>trans</w:t>
      </w:r>
      <w:r w:rsidR="00140D04">
        <w:t xml:space="preserve"> and gender diverse</w:t>
      </w:r>
      <w:r w:rsidR="00B442DF">
        <w:t>,</w:t>
      </w:r>
      <w:r w:rsidR="00140D04">
        <w:t xml:space="preserve"> </w:t>
      </w:r>
      <w:r w:rsidR="0036350F">
        <w:t xml:space="preserve">queer, </w:t>
      </w:r>
      <w:r w:rsidR="20882261">
        <w:t xml:space="preserve">and other </w:t>
      </w:r>
      <w:r w:rsidR="009B173A">
        <w:t>sexual orientations</w:t>
      </w:r>
      <w:r w:rsidR="007B509E">
        <w:t xml:space="preserve"> and </w:t>
      </w:r>
      <w:r w:rsidR="009A77DA">
        <w:t xml:space="preserve">diverse </w:t>
      </w:r>
      <w:r w:rsidR="20882261">
        <w:t>gender</w:t>
      </w:r>
      <w:r w:rsidR="007B509E">
        <w:t xml:space="preserve"> identities</w:t>
      </w:r>
      <w:r w:rsidR="20882261">
        <w:t xml:space="preserve"> (LGBT</w:t>
      </w:r>
      <w:r w:rsidR="00283532">
        <w:t>Q</w:t>
      </w:r>
      <w:r w:rsidR="20882261">
        <w:t>+)</w:t>
      </w:r>
      <w:r w:rsidR="3A1ED35A">
        <w:t xml:space="preserve">. It also presents </w:t>
      </w:r>
      <w:r w:rsidR="02A3456C">
        <w:t xml:space="preserve">findings </w:t>
      </w:r>
      <w:r w:rsidR="05CA74A5">
        <w:t xml:space="preserve">from </w:t>
      </w:r>
      <w:r w:rsidR="02A3456C">
        <w:t xml:space="preserve">a </w:t>
      </w:r>
      <w:r w:rsidR="71692B2E">
        <w:t xml:space="preserve">systematic literature review (SLR) </w:t>
      </w:r>
      <w:r w:rsidR="4EB219DB">
        <w:t xml:space="preserve">of </w:t>
      </w:r>
      <w:r>
        <w:t xml:space="preserve">mental health </w:t>
      </w:r>
      <w:r w:rsidR="36DC3F10">
        <w:t>and suicide prevention</w:t>
      </w:r>
      <w:r>
        <w:t xml:space="preserve"> services </w:t>
      </w:r>
      <w:r w:rsidR="492725E0">
        <w:t>provi</w:t>
      </w:r>
      <w:r w:rsidR="1CD81E0F">
        <w:t>sion</w:t>
      </w:r>
      <w:r w:rsidR="492725E0">
        <w:t xml:space="preserve"> to</w:t>
      </w:r>
      <w:r>
        <w:t xml:space="preserve"> </w:t>
      </w:r>
      <w:r w:rsidR="00E21313">
        <w:t>LGBTQ+</w:t>
      </w:r>
      <w:r w:rsidR="41595035">
        <w:t xml:space="preserve"> people</w:t>
      </w:r>
      <w:r w:rsidR="5C5D0DA5">
        <w:t>, and related</w:t>
      </w:r>
      <w:r w:rsidR="7DE5D47C">
        <w:t xml:space="preserve"> </w:t>
      </w:r>
      <w:r w:rsidR="5018B733">
        <w:t xml:space="preserve">implications for </w:t>
      </w:r>
      <w:r w:rsidR="7BABC646">
        <w:t>mental</w:t>
      </w:r>
      <w:r w:rsidR="7DE5D47C">
        <w:t xml:space="preserve"> </w:t>
      </w:r>
      <w:r w:rsidR="7BABC646">
        <w:t>health and suicide prevention services</w:t>
      </w:r>
      <w:r w:rsidR="7DE5D47C">
        <w:t xml:space="preserve"> and research</w:t>
      </w:r>
      <w:r>
        <w:t xml:space="preserve"> in Australia. </w:t>
      </w:r>
    </w:p>
    <w:p w14:paraId="05726FF4" w14:textId="3EA4689F" w:rsidR="00CB257C" w:rsidRDefault="00CB257C" w:rsidP="00CB257C">
      <w:r>
        <w:t xml:space="preserve">The research was conducted by </w:t>
      </w:r>
      <w:r w:rsidR="00E70179">
        <w:t xml:space="preserve">a University of Technology Sydney (UTS) </w:t>
      </w:r>
      <w:r>
        <w:t xml:space="preserve">led </w:t>
      </w:r>
      <w:r w:rsidR="00F4081F">
        <w:t xml:space="preserve">research </w:t>
      </w:r>
      <w:r w:rsidR="00E70179">
        <w:t>team for the Commonwealth Department for Health and Aged Care (the Department).</w:t>
      </w:r>
    </w:p>
    <w:p w14:paraId="3F2DF4D3" w14:textId="5D0AD0D9" w:rsidR="00CC2BFD" w:rsidRDefault="00380570" w:rsidP="009B406F">
      <w:pPr>
        <w:pStyle w:val="NbrHeading2"/>
      </w:pPr>
      <w:bookmarkStart w:id="14" w:name="_Toc153899482"/>
      <w:r>
        <w:t>Purpose of</w:t>
      </w:r>
      <w:r w:rsidR="00CC2BFD">
        <w:t xml:space="preserve"> the Research</w:t>
      </w:r>
      <w:bookmarkEnd w:id="14"/>
    </w:p>
    <w:p w14:paraId="05242AF6" w14:textId="1F19C5FC" w:rsidR="001F176B" w:rsidRDefault="001F176B" w:rsidP="001F176B">
      <w:r w:rsidRPr="001F176B">
        <w:t xml:space="preserve">In </w:t>
      </w:r>
      <w:r w:rsidR="00F1392D">
        <w:t xml:space="preserve">May </w:t>
      </w:r>
      <w:r w:rsidRPr="001F176B">
        <w:t xml:space="preserve">2023, the Department </w:t>
      </w:r>
      <w:r w:rsidR="00F1392D">
        <w:t xml:space="preserve">sought </w:t>
      </w:r>
      <w:r w:rsidR="003D665E">
        <w:t xml:space="preserve">expressions of interest from </w:t>
      </w:r>
      <w:r w:rsidR="00FD4E11">
        <w:t>independent research in</w:t>
      </w:r>
      <w:r w:rsidR="00F62F70">
        <w:t xml:space="preserve">stitutes to </w:t>
      </w:r>
      <w:r w:rsidR="00331CC9">
        <w:t xml:space="preserve">undertake </w:t>
      </w:r>
      <w:r w:rsidRPr="001F176B">
        <w:t xml:space="preserve">an independent SLR to help </w:t>
      </w:r>
      <w:r w:rsidR="00207215">
        <w:t>inform</w:t>
      </w:r>
      <w:r w:rsidR="00207215" w:rsidRPr="001F176B">
        <w:t xml:space="preserve"> </w:t>
      </w:r>
      <w:r w:rsidRPr="001F176B">
        <w:t xml:space="preserve">the </w:t>
      </w:r>
      <w:r w:rsidR="00E7015E">
        <w:t>development</w:t>
      </w:r>
      <w:r w:rsidR="00E7015E" w:rsidRPr="001F176B">
        <w:t xml:space="preserve"> </w:t>
      </w:r>
      <w:r w:rsidRPr="001F176B">
        <w:t>of</w:t>
      </w:r>
      <w:r w:rsidR="007F52C7">
        <w:t xml:space="preserve"> </w:t>
      </w:r>
      <w:r w:rsidR="001D66AC">
        <w:t xml:space="preserve">the mental health and wellbeing component of </w:t>
      </w:r>
      <w:r w:rsidR="007F52C7">
        <w:t>Australia’s first</w:t>
      </w:r>
      <w:r w:rsidRPr="001F176B">
        <w:t xml:space="preserve"> </w:t>
      </w:r>
      <w:r w:rsidRPr="00AD77DE">
        <w:rPr>
          <w:i/>
          <w:iCs/>
        </w:rPr>
        <w:t>10</w:t>
      </w:r>
      <w:r w:rsidR="00F1392D" w:rsidRPr="00AD77DE">
        <w:rPr>
          <w:i/>
          <w:iCs/>
        </w:rPr>
        <w:t>-</w:t>
      </w:r>
      <w:r w:rsidRPr="00AD77DE">
        <w:rPr>
          <w:i/>
          <w:iCs/>
        </w:rPr>
        <w:t>Year National Action Plan for the Health and Wellbeing of LGBT</w:t>
      </w:r>
      <w:r w:rsidR="005943EB" w:rsidRPr="00AD77DE">
        <w:rPr>
          <w:i/>
          <w:iCs/>
        </w:rPr>
        <w:t>I</w:t>
      </w:r>
      <w:r w:rsidR="00B026F5" w:rsidRPr="00AD77DE">
        <w:rPr>
          <w:i/>
          <w:iCs/>
        </w:rPr>
        <w:t>Q</w:t>
      </w:r>
      <w:r w:rsidRPr="00AD77DE">
        <w:rPr>
          <w:i/>
          <w:iCs/>
        </w:rPr>
        <w:t>A</w:t>
      </w:r>
      <w:r w:rsidR="49DEF734" w:rsidRPr="00AD77DE">
        <w:rPr>
          <w:i/>
          <w:iCs/>
        </w:rPr>
        <w:t>+</w:t>
      </w:r>
      <w:r w:rsidRPr="00AD77DE">
        <w:rPr>
          <w:i/>
          <w:iCs/>
        </w:rPr>
        <w:t xml:space="preserve"> people</w:t>
      </w:r>
      <w:r w:rsidRPr="001F176B">
        <w:t>.</w:t>
      </w:r>
      <w:r w:rsidR="00DD74F7">
        <w:t xml:space="preserve"> </w:t>
      </w:r>
    </w:p>
    <w:p w14:paraId="431157D9" w14:textId="2B7CAAA1" w:rsidR="009D2F21" w:rsidRDefault="009D2F21" w:rsidP="009D2F21">
      <w:r w:rsidRPr="001F176B">
        <w:t xml:space="preserve">The SLR </w:t>
      </w:r>
      <w:r>
        <w:t>buil</w:t>
      </w:r>
      <w:r w:rsidR="143F3713">
        <w:t>t</w:t>
      </w:r>
      <w:r w:rsidRPr="001F176B">
        <w:t xml:space="preserve"> on</w:t>
      </w:r>
      <w:r w:rsidR="00777914">
        <w:t xml:space="preserve"> the initial</w:t>
      </w:r>
      <w:r w:rsidRPr="001F176B">
        <w:t xml:space="preserve"> research</w:t>
      </w:r>
      <w:r w:rsidR="002A1364">
        <w:t xml:space="preserve"> design and literature search</w:t>
      </w:r>
      <w:r w:rsidRPr="001F176B">
        <w:t xml:space="preserve"> conducted by the Department and </w:t>
      </w:r>
      <w:r>
        <w:t>review</w:t>
      </w:r>
      <w:r w:rsidR="2A92AB65">
        <w:t>ed</w:t>
      </w:r>
      <w:r w:rsidRPr="001F176B">
        <w:t xml:space="preserve"> published, peer</w:t>
      </w:r>
      <w:r w:rsidR="00157A2E">
        <w:t>-</w:t>
      </w:r>
      <w:r w:rsidRPr="001F176B">
        <w:t xml:space="preserve">reviewed research on mental health and/or suicide prevention </w:t>
      </w:r>
      <w:r w:rsidR="6B581236">
        <w:t>services</w:t>
      </w:r>
      <w:r>
        <w:t xml:space="preserve"> </w:t>
      </w:r>
      <w:r w:rsidRPr="001F176B">
        <w:t xml:space="preserve">for </w:t>
      </w:r>
      <w:r>
        <w:t>LGBT</w:t>
      </w:r>
      <w:r w:rsidR="00634920">
        <w:t>I</w:t>
      </w:r>
      <w:r w:rsidR="00B35E32">
        <w:t>Q</w:t>
      </w:r>
      <w:r>
        <w:t>A</w:t>
      </w:r>
      <w:r w:rsidRPr="001F176B">
        <w:t xml:space="preserve">+ people </w:t>
      </w:r>
      <w:r w:rsidR="0EB9604A">
        <w:t>in Australia and a comparator international context (UK)</w:t>
      </w:r>
      <w:r w:rsidRPr="001F176B">
        <w:t>.</w:t>
      </w:r>
    </w:p>
    <w:p w14:paraId="51BB3F0B" w14:textId="5C95EF68" w:rsidR="00512D8B" w:rsidRPr="00512D8B" w:rsidRDefault="00512D8B" w:rsidP="00512D8B">
      <w:r w:rsidRPr="005F439D">
        <w:t>Based on the in-scope literature</w:t>
      </w:r>
      <w:r w:rsidR="00FA6E30" w:rsidRPr="005F439D">
        <w:t>,</w:t>
      </w:r>
      <w:r w:rsidRPr="005F439D">
        <w:t xml:space="preserve"> the research parameters (see Sections 1.2 – 1.4)</w:t>
      </w:r>
      <w:r w:rsidR="00A908EB">
        <w:t xml:space="preserve"> and feedback received from sector experts</w:t>
      </w:r>
      <w:r w:rsidRPr="005F439D">
        <w:t>, the brief was later amended to cover only LGBTQ</w:t>
      </w:r>
      <w:r w:rsidR="008667C8" w:rsidRPr="005F439D">
        <w:t>+ people</w:t>
      </w:r>
      <w:r w:rsidR="009715D9" w:rsidRPr="005F439D">
        <w:t xml:space="preserve">, with the expectation that </w:t>
      </w:r>
      <w:r w:rsidR="009D7372" w:rsidRPr="005F439D">
        <w:t xml:space="preserve">other options will be explored to attend to the </w:t>
      </w:r>
      <w:r w:rsidRPr="005F439D">
        <w:t xml:space="preserve">specific needs of asexual people and people with innate variations of sex characteristics (commonly shortened to intersex people). </w:t>
      </w:r>
    </w:p>
    <w:p w14:paraId="3825A569" w14:textId="35F4533C" w:rsidR="00A26309" w:rsidRDefault="00730DF6" w:rsidP="001F176B">
      <w:r>
        <w:t>In June 2023, a</w:t>
      </w:r>
      <w:r w:rsidR="001F176B" w:rsidRPr="001F176B">
        <w:t xml:space="preserve"> UTS</w:t>
      </w:r>
      <w:r>
        <w:t>-</w:t>
      </w:r>
      <w:r w:rsidR="001F176B" w:rsidRPr="001F176B">
        <w:t xml:space="preserve">led project team was </w:t>
      </w:r>
      <w:r w:rsidR="005374E6">
        <w:t>commissioned</w:t>
      </w:r>
      <w:r w:rsidR="001F176B" w:rsidRPr="001F176B">
        <w:t xml:space="preserve"> to undertake the </w:t>
      </w:r>
      <w:r w:rsidR="5BCF4836">
        <w:t xml:space="preserve">background and SLR </w:t>
      </w:r>
      <w:r w:rsidR="001F176B" w:rsidRPr="001F176B">
        <w:t>project</w:t>
      </w:r>
      <w:r w:rsidR="00334BC8">
        <w:t>. The team included</w:t>
      </w:r>
      <w:r w:rsidR="00736FF0">
        <w:t xml:space="preserve"> senior resear</w:t>
      </w:r>
      <w:r w:rsidR="009D2F21">
        <w:t>chers from</w:t>
      </w:r>
      <w:r w:rsidR="00A26309">
        <w:t>:</w:t>
      </w:r>
    </w:p>
    <w:p w14:paraId="2A356FB5" w14:textId="3F835C0E" w:rsidR="00870ADA" w:rsidRPr="00870ADA" w:rsidRDefault="00870ADA" w:rsidP="00A74059">
      <w:pPr>
        <w:pStyle w:val="ListBullet0"/>
      </w:pPr>
      <w:hyperlink r:id="rId32" w:history="1">
        <w:r w:rsidRPr="00870ADA">
          <w:rPr>
            <w:rStyle w:val="Hyperlink"/>
            <w:rFonts w:eastAsiaTheme="minorEastAsia"/>
          </w:rPr>
          <w:t>UTS Faculty of Health</w:t>
        </w:r>
      </w:hyperlink>
      <w:r w:rsidRPr="00870ADA">
        <w:rPr>
          <w:rFonts w:eastAsiaTheme="minorEastAsia"/>
        </w:rPr>
        <w:t xml:space="preserve"> </w:t>
      </w:r>
    </w:p>
    <w:p w14:paraId="5F0B4A58" w14:textId="1440ADBD" w:rsidR="00870ADA" w:rsidRPr="00870ADA" w:rsidRDefault="00870ADA" w:rsidP="00A74059">
      <w:pPr>
        <w:pStyle w:val="ListBullet0"/>
      </w:pPr>
      <w:hyperlink r:id="rId33" w:history="1">
        <w:r w:rsidRPr="008526D2">
          <w:rPr>
            <w:rStyle w:val="Hyperlink"/>
            <w:rFonts w:eastAsiaTheme="minorEastAsia"/>
          </w:rPr>
          <w:t>UTS Institute for Public Policy and Governance</w:t>
        </w:r>
      </w:hyperlink>
      <w:r w:rsidRPr="00870ADA">
        <w:rPr>
          <w:rFonts w:eastAsiaTheme="minorEastAsia"/>
        </w:rPr>
        <w:t xml:space="preserve"> </w:t>
      </w:r>
    </w:p>
    <w:p w14:paraId="4F2FF8C5" w14:textId="03AC17C1" w:rsidR="00A26309" w:rsidRPr="00345BCE" w:rsidRDefault="00870ADA" w:rsidP="00A74059">
      <w:pPr>
        <w:pStyle w:val="ListBullet0"/>
        <w:rPr>
          <w:rFonts w:ascii="Arial" w:hAnsi="Arial"/>
          <w:lang w:val="en-US"/>
        </w:rPr>
      </w:pPr>
      <w:hyperlink r:id="rId34" w:history="1">
        <w:r w:rsidRPr="00962837">
          <w:rPr>
            <w:rStyle w:val="Hyperlink"/>
            <w:rFonts w:eastAsiaTheme="minorEastAsia"/>
          </w:rPr>
          <w:t>University of New South Wales, Black Dog Institute</w:t>
        </w:r>
      </w:hyperlink>
      <w:r w:rsidRPr="00870ADA">
        <w:rPr>
          <w:rFonts w:eastAsiaTheme="minorEastAsia"/>
        </w:rPr>
        <w:t xml:space="preserve"> </w:t>
      </w:r>
    </w:p>
    <w:p w14:paraId="1DEA8D41" w14:textId="41D5C232" w:rsidR="0082727C" w:rsidRPr="0082727C" w:rsidRDefault="00870ADA" w:rsidP="00A74059">
      <w:pPr>
        <w:pStyle w:val="ListBullet0"/>
        <w:rPr>
          <w:rFonts w:cs="Arial"/>
          <w:szCs w:val="20"/>
        </w:rPr>
      </w:pPr>
      <w:hyperlink r:id="rId35" w:history="1">
        <w:r w:rsidRPr="00A83F78">
          <w:rPr>
            <w:rStyle w:val="Hyperlink"/>
            <w:rFonts w:eastAsiaTheme="minorEastAsia"/>
          </w:rPr>
          <w:t>University of Sydney</w:t>
        </w:r>
        <w:r w:rsidR="00A26309" w:rsidRPr="00A83F78">
          <w:rPr>
            <w:rStyle w:val="Hyperlink"/>
          </w:rPr>
          <w:t xml:space="preserve">, </w:t>
        </w:r>
        <w:r w:rsidRPr="00A83F78">
          <w:rPr>
            <w:rStyle w:val="Hyperlink"/>
            <w:rFonts w:eastAsiaTheme="minorEastAsia"/>
          </w:rPr>
          <w:t>Faculty of Medicine and Health</w:t>
        </w:r>
      </w:hyperlink>
    </w:p>
    <w:p w14:paraId="2A8F09FE" w14:textId="3A9A7FE3" w:rsidR="008768C6" w:rsidRPr="008857F4" w:rsidRDefault="00A26309" w:rsidP="00AF0B7E">
      <w:r w:rsidRPr="28F2AAE0">
        <w:rPr>
          <w:rFonts w:cs="Arial"/>
        </w:rPr>
        <w:t xml:space="preserve">The </w:t>
      </w:r>
      <w:r w:rsidRPr="28F2AAE0" w:rsidDel="00720A35">
        <w:rPr>
          <w:rFonts w:cs="Arial"/>
        </w:rPr>
        <w:t xml:space="preserve">research </w:t>
      </w:r>
      <w:r w:rsidR="00AF7DF4">
        <w:rPr>
          <w:rFonts w:cs="Arial"/>
        </w:rPr>
        <w:t xml:space="preserve">interpretation </w:t>
      </w:r>
      <w:r w:rsidRPr="28F2AAE0">
        <w:rPr>
          <w:rFonts w:cs="Arial"/>
        </w:rPr>
        <w:t xml:space="preserve">was informed by </w:t>
      </w:r>
      <w:r w:rsidR="00234F33">
        <w:rPr>
          <w:rFonts w:cs="Arial"/>
        </w:rPr>
        <w:t xml:space="preserve">advice from </w:t>
      </w:r>
      <w:r w:rsidRPr="28F2AAE0">
        <w:rPr>
          <w:rFonts w:cs="Arial"/>
        </w:rPr>
        <w:t xml:space="preserve">members </w:t>
      </w:r>
      <w:r w:rsidR="006C43AF" w:rsidRPr="28F2AAE0">
        <w:rPr>
          <w:rFonts w:cs="Arial"/>
        </w:rPr>
        <w:t xml:space="preserve">of </w:t>
      </w:r>
      <w:r w:rsidRPr="28F2AAE0">
        <w:rPr>
          <w:rFonts w:cs="Arial"/>
        </w:rPr>
        <w:t xml:space="preserve">the </w:t>
      </w:r>
      <w:r w:rsidR="005C37FA">
        <w:rPr>
          <w:rFonts w:cs="Arial"/>
        </w:rPr>
        <w:t xml:space="preserve">UTS </w:t>
      </w:r>
      <w:r w:rsidRPr="28F2AAE0">
        <w:rPr>
          <w:rFonts w:eastAsiaTheme="minorEastAsia" w:cs="Arial"/>
          <w:lang w:val="en-US"/>
        </w:rPr>
        <w:t xml:space="preserve">Rainbow Embassy </w:t>
      </w:r>
      <w:r w:rsidR="43A7C366" w:rsidRPr="28F2AAE0">
        <w:rPr>
          <w:rFonts w:cs="Arial"/>
        </w:rPr>
        <w:t xml:space="preserve">and </w:t>
      </w:r>
      <w:r w:rsidR="20BBB505" w:rsidRPr="28F2AAE0">
        <w:rPr>
          <w:rFonts w:cs="Arial"/>
        </w:rPr>
        <w:t>associates</w:t>
      </w:r>
      <w:r w:rsidR="43A7C366" w:rsidRPr="28F2AAE0">
        <w:rPr>
          <w:rFonts w:cs="Arial"/>
        </w:rPr>
        <w:t xml:space="preserve">, </w:t>
      </w:r>
      <w:r w:rsidR="001B1934" w:rsidRPr="002C75BE">
        <w:t>comprised of LGBT</w:t>
      </w:r>
      <w:r w:rsidR="00A323D3">
        <w:t>Q</w:t>
      </w:r>
      <w:r w:rsidR="00B07435">
        <w:t>+</w:t>
      </w:r>
      <w:r w:rsidR="00AF7DF4">
        <w:t>SB</w:t>
      </w:r>
      <w:r w:rsidR="006A3B56">
        <w:t xml:space="preserve"> </w:t>
      </w:r>
      <w:r w:rsidR="00AF7DF4">
        <w:t xml:space="preserve">(plus </w:t>
      </w:r>
      <w:r w:rsidR="00B67906" w:rsidRPr="00B01AAA">
        <w:t>Sistergirl</w:t>
      </w:r>
      <w:r w:rsidR="00B67906">
        <w:t>/</w:t>
      </w:r>
      <w:r w:rsidR="00B67906" w:rsidRPr="00B01AAA">
        <w:t xml:space="preserve"> Brotherboy</w:t>
      </w:r>
      <w:r w:rsidR="00AF7DF4">
        <w:t xml:space="preserve">) </w:t>
      </w:r>
      <w:r w:rsidR="001B1934" w:rsidRPr="002C75BE">
        <w:t>people with a lived experience of life-interrupting mental health challenges and/or suicidality, and of accessing mental health and suicide prevention services</w:t>
      </w:r>
      <w:r w:rsidR="00B07435">
        <w:t xml:space="preserve"> (</w:t>
      </w:r>
      <w:r w:rsidR="00AF7DF4">
        <w:t xml:space="preserve">intersecting </w:t>
      </w:r>
      <w:r w:rsidR="00B07435">
        <w:t>lived experience)</w:t>
      </w:r>
      <w:r w:rsidR="00A86311">
        <w:rPr>
          <w:rStyle w:val="FootnoteReference"/>
        </w:rPr>
        <w:footnoteReference w:id="13"/>
      </w:r>
      <w:r w:rsidR="001B1934" w:rsidRPr="002C75BE">
        <w:t>.</w:t>
      </w:r>
      <w:r w:rsidR="00272717">
        <w:t xml:space="preserve"> </w:t>
      </w:r>
      <w:r w:rsidR="00634315">
        <w:rPr>
          <w:highlight w:val="yellow"/>
        </w:rPr>
        <w:t xml:space="preserve"> </w:t>
      </w:r>
    </w:p>
    <w:p w14:paraId="68690417" w14:textId="3E937778" w:rsidR="00AE5C9B" w:rsidRDefault="00CC2BFD" w:rsidP="009B406F">
      <w:pPr>
        <w:pStyle w:val="NbrHeading2"/>
      </w:pPr>
      <w:bookmarkStart w:id="15" w:name="_Toc153899483"/>
      <w:r>
        <w:lastRenderedPageBreak/>
        <w:t>R</w:t>
      </w:r>
      <w:r w:rsidR="0099273F">
        <w:t>esearch</w:t>
      </w:r>
      <w:r>
        <w:t xml:space="preserve"> </w:t>
      </w:r>
      <w:r w:rsidR="00336403">
        <w:t>Focus</w:t>
      </w:r>
      <w:bookmarkEnd w:id="15"/>
    </w:p>
    <w:p w14:paraId="469BB2E1" w14:textId="479AAEB9" w:rsidR="00C51317" w:rsidRPr="00D56815" w:rsidRDefault="006D0396" w:rsidP="009B406F">
      <w:pPr>
        <w:pStyle w:val="NbrHeading3"/>
      </w:pPr>
      <w:bookmarkStart w:id="16" w:name="_Toc153899484"/>
      <w:r w:rsidRPr="00D56815">
        <w:t>Key Research Questions</w:t>
      </w:r>
      <w:bookmarkEnd w:id="16"/>
      <w:r w:rsidRPr="00D56815">
        <w:t xml:space="preserve"> </w:t>
      </w:r>
    </w:p>
    <w:p w14:paraId="28B13864" w14:textId="7E188584" w:rsidR="00C51317" w:rsidRPr="00D56815" w:rsidRDefault="00CC2BFD" w:rsidP="00C51317">
      <w:r w:rsidRPr="00D56815">
        <w:t>T</w:t>
      </w:r>
      <w:r w:rsidR="00C51317" w:rsidRPr="00D56815">
        <w:t xml:space="preserve">he Department and the UTS-led </w:t>
      </w:r>
      <w:r w:rsidR="000F2884">
        <w:t xml:space="preserve">research </w:t>
      </w:r>
      <w:r w:rsidR="00C51317" w:rsidRPr="00D56815">
        <w:t>team co-developed the following Key Research Questions</w:t>
      </w:r>
      <w:r w:rsidR="00B12524" w:rsidRPr="00D56815">
        <w:t xml:space="preserve"> (KRQ)</w:t>
      </w:r>
      <w:r w:rsidR="00C51317" w:rsidRPr="00D56815">
        <w:t xml:space="preserve"> to guide the </w:t>
      </w:r>
      <w:r w:rsidRPr="00D56815">
        <w:t xml:space="preserve">overall </w:t>
      </w:r>
      <w:r w:rsidR="00C51317" w:rsidRPr="00D56815">
        <w:t>research:</w:t>
      </w:r>
    </w:p>
    <w:p w14:paraId="471F641E" w14:textId="77777777" w:rsidR="00C87A52" w:rsidRDefault="00A71226" w:rsidP="0050322B">
      <w:pPr>
        <w:pStyle w:val="ListNumber0"/>
      </w:pPr>
      <w:r w:rsidRPr="00D56815">
        <w:t xml:space="preserve">For </w:t>
      </w:r>
      <w:r w:rsidR="000B2D50">
        <w:t>LGBT</w:t>
      </w:r>
      <w:r w:rsidR="00E15249">
        <w:t xml:space="preserve">Q+ </w:t>
      </w:r>
      <w:r w:rsidRPr="00D56815">
        <w:t>people:</w:t>
      </w:r>
    </w:p>
    <w:p w14:paraId="04389E75" w14:textId="77777777" w:rsidR="00C87A52" w:rsidRDefault="00F40FB0" w:rsidP="006205ED">
      <w:pPr>
        <w:pStyle w:val="ListNumber3"/>
        <w:numPr>
          <w:ilvl w:val="1"/>
          <w:numId w:val="41"/>
        </w:numPr>
        <w:ind w:left="927"/>
      </w:pPr>
      <w:r w:rsidRPr="00D56815">
        <w:t xml:space="preserve">What are the key causes of distress </w:t>
      </w:r>
      <w:proofErr w:type="gramStart"/>
      <w:r w:rsidRPr="00D56815">
        <w:t>experienced</w:t>
      </w:r>
      <w:proofErr w:type="gramEnd"/>
      <w:r w:rsidRPr="00D56815">
        <w:t xml:space="preserve"> that impact on their mental health or wellbeing, and</w:t>
      </w:r>
      <w:r w:rsidR="00754BBA" w:rsidRPr="00D56815">
        <w:t>/or increase their risk of suicidal behaviours?</w:t>
      </w:r>
    </w:p>
    <w:p w14:paraId="79B3918A" w14:textId="287DFBFB" w:rsidR="00754BBA" w:rsidRPr="00D56815" w:rsidRDefault="00754BBA" w:rsidP="006205ED">
      <w:pPr>
        <w:pStyle w:val="ListNumber3"/>
        <w:numPr>
          <w:ilvl w:val="1"/>
          <w:numId w:val="41"/>
        </w:numPr>
        <w:ind w:left="927"/>
      </w:pPr>
      <w:r w:rsidRPr="00D56815">
        <w:t xml:space="preserve">What are the key issues and barriers when accessing services for their mental health and/or suicide prevention services? </w:t>
      </w:r>
    </w:p>
    <w:p w14:paraId="78E3606D" w14:textId="5428FF48" w:rsidR="000C4D67" w:rsidRPr="00D56815" w:rsidRDefault="000C4D67" w:rsidP="00A65BD2">
      <w:pPr>
        <w:pStyle w:val="ListNumber0"/>
      </w:pPr>
      <w:r w:rsidRPr="00D56815">
        <w:t>In respect to accessing</w:t>
      </w:r>
      <w:r w:rsidR="00DF6A89" w:rsidRPr="00D56815">
        <w:t xml:space="preserve"> services for mental health and suicide prevention, and based on peer</w:t>
      </w:r>
      <w:r w:rsidR="003E75A3">
        <w:t>-</w:t>
      </w:r>
      <w:r w:rsidR="00DF6A89" w:rsidRPr="00D56815">
        <w:t>reviewed literature:</w:t>
      </w:r>
    </w:p>
    <w:p w14:paraId="45F73B32" w14:textId="55FB946F" w:rsidR="00DF6A89" w:rsidRPr="00D56815" w:rsidRDefault="00DF6A89" w:rsidP="006205ED">
      <w:pPr>
        <w:pStyle w:val="ListNumber0"/>
        <w:numPr>
          <w:ilvl w:val="0"/>
          <w:numId w:val="42"/>
        </w:numPr>
      </w:pPr>
      <w:r w:rsidRPr="00D56815">
        <w:t xml:space="preserve">What services are available and provided to </w:t>
      </w:r>
      <w:r w:rsidR="000B2D50">
        <w:t>LGBT</w:t>
      </w:r>
      <w:r w:rsidR="00E15249">
        <w:t>Q</w:t>
      </w:r>
      <w:r w:rsidRPr="00D56815">
        <w:t>+ peoples?</w:t>
      </w:r>
    </w:p>
    <w:p w14:paraId="38A6C1E9" w14:textId="77777777" w:rsidR="00DF6A89" w:rsidRPr="00D56815" w:rsidRDefault="00DF6A89" w:rsidP="006205ED">
      <w:pPr>
        <w:pStyle w:val="ListNumber0"/>
        <w:numPr>
          <w:ilvl w:val="0"/>
          <w:numId w:val="42"/>
        </w:numPr>
      </w:pPr>
      <w:r w:rsidRPr="00D56815">
        <w:t>What services were found to be effective?</w:t>
      </w:r>
    </w:p>
    <w:p w14:paraId="7069CBD4" w14:textId="25CDBE7F" w:rsidR="00DF6A89" w:rsidRPr="00D56815" w:rsidRDefault="00DF6A89" w:rsidP="006205ED">
      <w:pPr>
        <w:pStyle w:val="ListNumber0"/>
        <w:numPr>
          <w:ilvl w:val="0"/>
          <w:numId w:val="42"/>
        </w:numPr>
      </w:pPr>
      <w:r w:rsidRPr="00D56815">
        <w:t>What service gaps or barriers were identified</w:t>
      </w:r>
      <w:r w:rsidR="003A5077">
        <w:t>,</w:t>
      </w:r>
      <w:r w:rsidRPr="00D56815">
        <w:t xml:space="preserve"> and what were their details?</w:t>
      </w:r>
    </w:p>
    <w:p w14:paraId="27C71219" w14:textId="2F7A5D29" w:rsidR="00CC2BFD" w:rsidRPr="00D56815" w:rsidRDefault="00DF6A89" w:rsidP="00A65BD2">
      <w:pPr>
        <w:pStyle w:val="ListNumber0"/>
      </w:pPr>
      <w:r w:rsidRPr="00D56815">
        <w:t xml:space="preserve">What evidence-based insights can be drawn from the UK and Australian literature for Australia, to help inform policy development for the </w:t>
      </w:r>
      <w:r w:rsidRPr="00AD77DE">
        <w:rPr>
          <w:i/>
          <w:iCs/>
        </w:rPr>
        <w:t xml:space="preserve">10 Year National Action Plan for the Health and Wellbeing of </w:t>
      </w:r>
      <w:r w:rsidR="000B2D50" w:rsidRPr="00AD77DE">
        <w:rPr>
          <w:i/>
          <w:iCs/>
        </w:rPr>
        <w:t>LGBTI</w:t>
      </w:r>
      <w:r w:rsidR="007E6C6C" w:rsidRPr="00AD77DE">
        <w:rPr>
          <w:i/>
          <w:iCs/>
        </w:rPr>
        <w:t>Q</w:t>
      </w:r>
      <w:r w:rsidR="000B2D50" w:rsidRPr="00AD77DE">
        <w:rPr>
          <w:i/>
          <w:iCs/>
        </w:rPr>
        <w:t>A</w:t>
      </w:r>
      <w:r w:rsidRPr="00AD77DE">
        <w:rPr>
          <w:i/>
          <w:iCs/>
        </w:rPr>
        <w:t>+ people</w:t>
      </w:r>
      <w:r w:rsidRPr="00D56815">
        <w:t>?</w:t>
      </w:r>
    </w:p>
    <w:p w14:paraId="28F32B5F" w14:textId="77777777" w:rsidR="00B77F53" w:rsidRDefault="00B77F53" w:rsidP="009B406F">
      <w:pPr>
        <w:pStyle w:val="NbrHeading3"/>
      </w:pPr>
      <w:bookmarkStart w:id="17" w:name="_Toc153899485"/>
      <w:r>
        <w:t>Definitions</w:t>
      </w:r>
      <w:bookmarkEnd w:id="17"/>
    </w:p>
    <w:p w14:paraId="13D3B1D5" w14:textId="77777777" w:rsidR="00B77F53" w:rsidRDefault="00B77F53" w:rsidP="00B77F53">
      <w:pPr>
        <w:rPr>
          <w:lang w:eastAsia="en-AU"/>
        </w:rPr>
      </w:pPr>
      <w:r>
        <w:rPr>
          <w:lang w:eastAsia="en-AU"/>
        </w:rPr>
        <w:t>Unless otherwise stated, the following definitions have been adopted for this research:</w:t>
      </w:r>
    </w:p>
    <w:p w14:paraId="6E287731" w14:textId="3A0860FC" w:rsidR="75E45F5F" w:rsidRDefault="00571074" w:rsidP="00A74059">
      <w:pPr>
        <w:pStyle w:val="ListBullet0"/>
      </w:pPr>
      <w:r>
        <w:rPr>
          <w:b/>
          <w:bCs/>
        </w:rPr>
        <w:t>LGBTQ+</w:t>
      </w:r>
      <w:r w:rsidR="00B77F53">
        <w:t xml:space="preserve"> is an umbrella term </w:t>
      </w:r>
      <w:r w:rsidR="00C55A21">
        <w:t>used to refer to people of diverse gender</w:t>
      </w:r>
      <w:r w:rsidR="00F350AB">
        <w:t>s and sexual orientations</w:t>
      </w:r>
      <w:r w:rsidR="00B77F53" w:rsidRPr="00FB3AC7">
        <w:t>, including but not limited to people who identify as lesbian, gay, bisexual, trans</w:t>
      </w:r>
      <w:r w:rsidR="00F350AB">
        <w:t xml:space="preserve"> and </w:t>
      </w:r>
      <w:r w:rsidR="00B77F53">
        <w:t>gender</w:t>
      </w:r>
      <w:r w:rsidR="00F350AB">
        <w:t xml:space="preserve"> diverse</w:t>
      </w:r>
      <w:r w:rsidR="00B77F53" w:rsidRPr="00FB3AC7">
        <w:t>, queer</w:t>
      </w:r>
      <w:r w:rsidR="00340FAF">
        <w:t xml:space="preserve">, and pansexual. </w:t>
      </w:r>
    </w:p>
    <w:p w14:paraId="2CA7C63A" w14:textId="62840974" w:rsidR="007A0160" w:rsidRDefault="007F65FC" w:rsidP="007A0160">
      <w:pPr>
        <w:pStyle w:val="ListBullet0"/>
        <w:numPr>
          <w:ilvl w:val="0"/>
          <w:numId w:val="0"/>
        </w:numPr>
        <w:ind w:left="425"/>
      </w:pPr>
      <w:r w:rsidRPr="007F65FC">
        <w:rPr>
          <w:u w:val="single"/>
        </w:rPr>
        <w:t>Note:</w:t>
      </w:r>
      <w:r w:rsidRPr="007F65FC">
        <w:t xml:space="preserve"> </w:t>
      </w:r>
      <w:r w:rsidR="002C23D8" w:rsidRPr="002C23D8">
        <w:t>In this report the LGBTQ+ abbreviation is used when broadly referring to specialist policies and services, some of which may include a different range of groups. However, alternative abbreviations are used to indicate the precise groups covered by a specific service, policy, or research study.</w:t>
      </w:r>
    </w:p>
    <w:p w14:paraId="15C2DFA5" w14:textId="315BDFDC" w:rsidR="007A051D" w:rsidRPr="005F439D" w:rsidRDefault="007A051D" w:rsidP="007A0160">
      <w:pPr>
        <w:pStyle w:val="ListBullet0"/>
        <w:rPr>
          <w:color w:val="000000" w:themeColor="text1"/>
        </w:rPr>
      </w:pPr>
      <w:r>
        <w:rPr>
          <w:b/>
          <w:bCs/>
        </w:rPr>
        <w:t>LGBT</w:t>
      </w:r>
      <w:r w:rsidR="00286E1B">
        <w:rPr>
          <w:b/>
          <w:bCs/>
        </w:rPr>
        <w:t>Q</w:t>
      </w:r>
      <w:r w:rsidR="00AF7DF4">
        <w:rPr>
          <w:b/>
          <w:bCs/>
        </w:rPr>
        <w:t>+</w:t>
      </w:r>
      <w:r>
        <w:rPr>
          <w:b/>
          <w:bCs/>
        </w:rPr>
        <w:t xml:space="preserve">SB </w:t>
      </w:r>
      <w:r w:rsidRPr="00B07435">
        <w:t xml:space="preserve">when referring to </w:t>
      </w:r>
      <w:r w:rsidR="00991B74">
        <w:t xml:space="preserve">the </w:t>
      </w:r>
      <w:r w:rsidRPr="00B07435">
        <w:t xml:space="preserve">Aboriginal </w:t>
      </w:r>
      <w:r w:rsidR="00991B74">
        <w:t>a</w:t>
      </w:r>
      <w:r w:rsidRPr="00B07435">
        <w:t xml:space="preserve">nd Torres Strait Islander </w:t>
      </w:r>
      <w:r>
        <w:t>LGBT</w:t>
      </w:r>
      <w:r w:rsidR="00286E1B">
        <w:t>Q</w:t>
      </w:r>
      <w:r w:rsidR="0003441F">
        <w:t xml:space="preserve">+ </w:t>
      </w:r>
      <w:r w:rsidR="00F9163A">
        <w:t>community</w:t>
      </w:r>
      <w:r w:rsidR="00991B74">
        <w:t xml:space="preserve">, </w:t>
      </w:r>
      <w:r w:rsidR="00513AC6">
        <w:t xml:space="preserve">as </w:t>
      </w:r>
      <w:r w:rsidR="00AF7DF4">
        <w:t>some trans and gender diverse people</w:t>
      </w:r>
      <w:r w:rsidR="00513AC6">
        <w:t xml:space="preserve"> use the </w:t>
      </w:r>
      <w:r w:rsidR="00513AC6" w:rsidRPr="005F439D">
        <w:t>terms Sistergirl (S) and Brotherboy (B)</w:t>
      </w:r>
      <w:r w:rsidR="00817A20" w:rsidRPr="005F439D">
        <w:t>.</w:t>
      </w:r>
    </w:p>
    <w:p w14:paraId="35F9CFFE" w14:textId="45CE890A" w:rsidR="00D53379" w:rsidRPr="005C5BEB" w:rsidRDefault="00153110" w:rsidP="00A74059">
      <w:pPr>
        <w:pStyle w:val="ListBullet0"/>
        <w:rPr>
          <w:color w:val="000000" w:themeColor="text1"/>
        </w:rPr>
      </w:pPr>
      <w:r w:rsidRPr="00CF4083">
        <w:rPr>
          <w:b/>
          <w:bCs/>
        </w:rPr>
        <w:t>Intersecting l</w:t>
      </w:r>
      <w:r w:rsidR="00D53379" w:rsidRPr="00CF4083">
        <w:rPr>
          <w:b/>
          <w:bCs/>
        </w:rPr>
        <w:t xml:space="preserve">ived experience </w:t>
      </w:r>
      <w:r w:rsidR="00D53379" w:rsidRPr="00CF4083">
        <w:t>refers</w:t>
      </w:r>
      <w:r w:rsidR="00D53379" w:rsidRPr="00776874">
        <w:t xml:space="preserve"> to people with a lived experience of </w:t>
      </w:r>
      <w:r w:rsidR="00732578">
        <w:t xml:space="preserve">being LGBTQ+ </w:t>
      </w:r>
      <w:r w:rsidR="001A0256">
        <w:t>with</w:t>
      </w:r>
      <w:r w:rsidR="00732578">
        <w:t xml:space="preserve"> </w:t>
      </w:r>
      <w:r w:rsidR="001A0256">
        <w:t xml:space="preserve">experience of </w:t>
      </w:r>
      <w:r w:rsidR="00D53379" w:rsidRPr="00776874">
        <w:t>mental health challenges, suicidality and/or mental health and suicide prevention service use.</w:t>
      </w:r>
    </w:p>
    <w:p w14:paraId="0529F1AE" w14:textId="7D134334" w:rsidR="00B77F53" w:rsidRPr="00B77B10" w:rsidRDefault="00B77F53" w:rsidP="00A74059">
      <w:pPr>
        <w:pStyle w:val="ListBullet0"/>
        <w:rPr>
          <w:color w:val="000000" w:themeColor="text1"/>
        </w:rPr>
      </w:pPr>
      <w:r w:rsidRPr="00B77B10">
        <w:rPr>
          <w:b/>
          <w:bCs/>
        </w:rPr>
        <w:t xml:space="preserve">Mental health </w:t>
      </w:r>
      <w:r w:rsidR="757A91ED" w:rsidRPr="1565B63C">
        <w:rPr>
          <w:b/>
          <w:bCs/>
        </w:rPr>
        <w:t xml:space="preserve">challenges </w:t>
      </w:r>
      <w:r w:rsidRPr="00B77B10">
        <w:rPr>
          <w:b/>
          <w:bCs/>
        </w:rPr>
        <w:t xml:space="preserve">and </w:t>
      </w:r>
      <w:r w:rsidRPr="1565B63C">
        <w:rPr>
          <w:b/>
          <w:bCs/>
        </w:rPr>
        <w:t>suicid</w:t>
      </w:r>
      <w:r w:rsidR="233E8EF8" w:rsidRPr="1565B63C">
        <w:rPr>
          <w:b/>
          <w:bCs/>
        </w:rPr>
        <w:t xml:space="preserve">ality </w:t>
      </w:r>
      <w:r w:rsidRPr="00B77B10">
        <w:t xml:space="preserve">refers to </w:t>
      </w:r>
      <w:r w:rsidR="6156AC25">
        <w:t xml:space="preserve">diverse experiences of </w:t>
      </w:r>
      <w:r w:rsidR="05F656BA">
        <w:t xml:space="preserve">social, emotional, and mental </w:t>
      </w:r>
      <w:r w:rsidR="6156AC25">
        <w:t>distress</w:t>
      </w:r>
      <w:r w:rsidR="003A5077">
        <w:t>,</w:t>
      </w:r>
      <w:r w:rsidR="6156AC25">
        <w:t xml:space="preserve"> </w:t>
      </w:r>
      <w:r w:rsidR="23EDAE84">
        <w:t>and a range of suicidal thoughts and be</w:t>
      </w:r>
      <w:r w:rsidR="434B5D8F">
        <w:t xml:space="preserve">haviours, which may be </w:t>
      </w:r>
      <w:r w:rsidR="2606A9AF" w:rsidRPr="009F3AAE">
        <w:t>experienced by an</w:t>
      </w:r>
      <w:r w:rsidR="2606A9AF">
        <w:t xml:space="preserve"> individual or group</w:t>
      </w:r>
      <w:r w:rsidRPr="00B77B10">
        <w:t xml:space="preserve">. This definition includes, though is not limited to, </w:t>
      </w:r>
      <w:r w:rsidR="36AC4C78">
        <w:t xml:space="preserve">those who might have received a </w:t>
      </w:r>
      <w:r w:rsidRPr="00B77B10">
        <w:t xml:space="preserve">clinical </w:t>
      </w:r>
      <w:r w:rsidR="60BF92A4">
        <w:t xml:space="preserve">mental health </w:t>
      </w:r>
      <w:r>
        <w:t>diagnos</w:t>
      </w:r>
      <w:r w:rsidR="417DC419">
        <w:t>is</w:t>
      </w:r>
      <w:r w:rsidRPr="00B77B10">
        <w:t>.</w:t>
      </w:r>
    </w:p>
    <w:p w14:paraId="35295CD4" w14:textId="21725BB5" w:rsidR="00B77F53" w:rsidRPr="005A735D" w:rsidRDefault="00B77F53" w:rsidP="00A74059">
      <w:pPr>
        <w:pStyle w:val="ListBullet0"/>
      </w:pPr>
      <w:r w:rsidRPr="005C5BEB">
        <w:rPr>
          <w:b/>
        </w:rPr>
        <w:t xml:space="preserve">Services for mental health </w:t>
      </w:r>
      <w:r w:rsidR="3FABD275" w:rsidRPr="005C5BEB">
        <w:rPr>
          <w:b/>
        </w:rPr>
        <w:t>and suicide prevention</w:t>
      </w:r>
      <w:r w:rsidRPr="1565B63C">
        <w:t xml:space="preserve"> </w:t>
      </w:r>
      <w:r w:rsidR="00EB11F2">
        <w:t xml:space="preserve">(as expanded upon in Section 3.4) </w:t>
      </w:r>
      <w:r w:rsidRPr="005A735D">
        <w:t>comprise:</w:t>
      </w:r>
    </w:p>
    <w:p w14:paraId="0EDB08D6" w14:textId="0FC4BAF9" w:rsidR="00B77F53" w:rsidRPr="005A735D" w:rsidRDefault="5B3ACB48" w:rsidP="00C80E1D">
      <w:pPr>
        <w:pStyle w:val="ListAlpha2"/>
      </w:pPr>
      <w:r>
        <w:lastRenderedPageBreak/>
        <w:t>P</w:t>
      </w:r>
      <w:r w:rsidR="00B77F53">
        <w:t>rimary health service</w:t>
      </w:r>
      <w:r w:rsidR="5C196C30">
        <w:t>s</w:t>
      </w:r>
      <w:r w:rsidR="00B77F53">
        <w:t xml:space="preserve"> </w:t>
      </w:r>
      <w:r w:rsidR="00EE5210">
        <w:t>–</w:t>
      </w:r>
      <w:r w:rsidR="00B77F53">
        <w:t xml:space="preserve"> </w:t>
      </w:r>
      <w:r w:rsidR="003B45DB">
        <w:t xml:space="preserve">predominately </w:t>
      </w:r>
      <w:r w:rsidR="00EE5210">
        <w:t>general practices</w:t>
      </w:r>
      <w:r w:rsidR="007D4B34">
        <w:t>,</w:t>
      </w:r>
      <w:r w:rsidR="00EE5210">
        <w:t xml:space="preserve"> community health centres</w:t>
      </w:r>
      <w:r w:rsidR="003A5077">
        <w:t>,</w:t>
      </w:r>
      <w:r w:rsidR="007D4B34">
        <w:t xml:space="preserve"> and Primary Health Network (PHN) services</w:t>
      </w:r>
      <w:r w:rsidR="003A5077">
        <w:t>,</w:t>
      </w:r>
      <w:r w:rsidR="00EE5210">
        <w:t xml:space="preserve"> </w:t>
      </w:r>
      <w:r w:rsidR="003B45DB">
        <w:t>often servi</w:t>
      </w:r>
      <w:r w:rsidR="00F82BC4">
        <w:t xml:space="preserve">ng as </w:t>
      </w:r>
      <w:r w:rsidR="002A0074">
        <w:t xml:space="preserve">an </w:t>
      </w:r>
      <w:r w:rsidR="00EE5BE1">
        <w:t>entry level to the health system</w:t>
      </w:r>
      <w:r w:rsidR="00F82BC4">
        <w:t xml:space="preserve">, </w:t>
      </w:r>
      <w:r w:rsidR="00F82BC4" w:rsidRPr="001B2B3B">
        <w:t xml:space="preserve">though </w:t>
      </w:r>
      <w:r w:rsidR="00576CF3" w:rsidRPr="001B2B3B">
        <w:t xml:space="preserve">can continue </w:t>
      </w:r>
      <w:r w:rsidR="001B2B3B" w:rsidRPr="001B2B3B">
        <w:t xml:space="preserve">in some instances </w:t>
      </w:r>
      <w:r w:rsidR="00576CF3" w:rsidRPr="001B2B3B">
        <w:t xml:space="preserve">as the prime provider of </w:t>
      </w:r>
      <w:r w:rsidR="0075748B" w:rsidRPr="001B2B3B">
        <w:t>mental health advice and support</w:t>
      </w:r>
      <w:r w:rsidR="00B77F53" w:rsidRPr="001B2B3B">
        <w:t>.</w:t>
      </w:r>
      <w:r w:rsidR="009127B4">
        <w:t xml:space="preserve"> </w:t>
      </w:r>
    </w:p>
    <w:p w14:paraId="0816EF79" w14:textId="7846C1D3" w:rsidR="00B77F53" w:rsidRDefault="70DDBA8A" w:rsidP="00C80E1D">
      <w:pPr>
        <w:pStyle w:val="ListAlpha2"/>
      </w:pPr>
      <w:r>
        <w:t>S</w:t>
      </w:r>
      <w:r w:rsidR="00B77F53" w:rsidRPr="005A735D">
        <w:t xml:space="preserve">pecialist mental health </w:t>
      </w:r>
      <w:r w:rsidR="5A039F25">
        <w:t xml:space="preserve">and suicide prevention </w:t>
      </w:r>
      <w:r w:rsidR="00B77F53">
        <w:t>service</w:t>
      </w:r>
      <w:r w:rsidR="096D90FD">
        <w:t>s</w:t>
      </w:r>
      <w:r w:rsidR="00B77F53">
        <w:t xml:space="preserve"> </w:t>
      </w:r>
      <w:r w:rsidR="00B77F53" w:rsidRPr="005A735D">
        <w:t>(public</w:t>
      </w:r>
      <w:r w:rsidR="367325F4">
        <w:t xml:space="preserve"> or private</w:t>
      </w:r>
      <w:r w:rsidR="00B77F53">
        <w:t>)</w:t>
      </w:r>
      <w:r w:rsidR="7DF20B53">
        <w:t>,</w:t>
      </w:r>
      <w:r w:rsidR="00B77F53" w:rsidRPr="005A735D">
        <w:t xml:space="preserve"> </w:t>
      </w:r>
      <w:r w:rsidR="37F22F6E">
        <w:t xml:space="preserve">which </w:t>
      </w:r>
      <w:r w:rsidR="39C1B8C9">
        <w:t>may be in</w:t>
      </w:r>
      <w:r w:rsidR="00852692">
        <w:t>-</w:t>
      </w:r>
      <w:r w:rsidR="39C1B8C9">
        <w:t>patient</w:t>
      </w:r>
      <w:r w:rsidR="00852692">
        <w:t>,</w:t>
      </w:r>
      <w:r w:rsidR="39C1B8C9">
        <w:t xml:space="preserve"> or community based</w:t>
      </w:r>
      <w:r w:rsidR="00F85D86">
        <w:t>. The</w:t>
      </w:r>
      <w:r w:rsidR="00F81564">
        <w:t>s</w:t>
      </w:r>
      <w:r w:rsidR="00F85D86">
        <w:t>e</w:t>
      </w:r>
      <w:r w:rsidR="39C1B8C9" w:rsidDel="00F85D86">
        <w:t xml:space="preserve"> </w:t>
      </w:r>
      <w:r w:rsidR="37F22F6E">
        <w:t>are</w:t>
      </w:r>
      <w:r w:rsidR="00B77F53" w:rsidRPr="005A735D">
        <w:t xml:space="preserve"> </w:t>
      </w:r>
      <w:r w:rsidR="1202A67E">
        <w:t>delivered</w:t>
      </w:r>
      <w:r w:rsidR="00B77F53" w:rsidRPr="005A735D">
        <w:t xml:space="preserve"> by </w:t>
      </w:r>
      <w:r w:rsidR="72C1E75F">
        <w:t>mental health pr</w:t>
      </w:r>
      <w:r w:rsidR="2DF66C95">
        <w:t>actitioners</w:t>
      </w:r>
      <w:r w:rsidR="3844C181">
        <w:t xml:space="preserve">, </w:t>
      </w:r>
      <w:r w:rsidR="72C1E75F">
        <w:t>including</w:t>
      </w:r>
      <w:r w:rsidR="6D21F8D9">
        <w:t>:</w:t>
      </w:r>
      <w:r w:rsidR="61DD7ADA">
        <w:t xml:space="preserve"> </w:t>
      </w:r>
      <w:r w:rsidR="0F010F2C">
        <w:t>psychologists</w:t>
      </w:r>
      <w:r w:rsidR="008B21EE">
        <w:t xml:space="preserve">, </w:t>
      </w:r>
      <w:r w:rsidR="00B77F53">
        <w:t>psychiatrist</w:t>
      </w:r>
      <w:r w:rsidR="2610CCB7">
        <w:t>s</w:t>
      </w:r>
      <w:r w:rsidR="008B21EE">
        <w:t xml:space="preserve">, mental health nurses, allied health workers, </w:t>
      </w:r>
      <w:r w:rsidR="00F81564">
        <w:t>therapists and co</w:t>
      </w:r>
      <w:r w:rsidR="0016272F">
        <w:t>unsellors</w:t>
      </w:r>
      <w:r w:rsidR="003A5077">
        <w:t>,</w:t>
      </w:r>
      <w:r w:rsidR="0016272F">
        <w:t xml:space="preserve"> </w:t>
      </w:r>
      <w:r w:rsidR="008B21EE">
        <w:t>and peer workers</w:t>
      </w:r>
      <w:r w:rsidR="0016272F">
        <w:t>.</w:t>
      </w:r>
    </w:p>
    <w:p w14:paraId="75CB96C6" w14:textId="2747C5ED" w:rsidR="00B77F53" w:rsidRDefault="00B77F53" w:rsidP="00C80E1D">
      <w:pPr>
        <w:pStyle w:val="ListAlpha2"/>
      </w:pPr>
      <w:r>
        <w:t>LGBT</w:t>
      </w:r>
      <w:r w:rsidR="00D87DA4">
        <w:t>Q</w:t>
      </w:r>
      <w:r>
        <w:t>+</w:t>
      </w:r>
      <w:r w:rsidRPr="005A735D">
        <w:t xml:space="preserve"> </w:t>
      </w:r>
      <w:r w:rsidR="5758745B">
        <w:t>specific services delivered by an LGBT</w:t>
      </w:r>
      <w:r w:rsidR="00D87DA4">
        <w:t>Q</w:t>
      </w:r>
      <w:r w:rsidR="5758745B">
        <w:t xml:space="preserve">+ </w:t>
      </w:r>
      <w:r w:rsidRPr="005A735D">
        <w:t xml:space="preserve">organisation offering mental health </w:t>
      </w:r>
      <w:r w:rsidR="3E15F9FF">
        <w:t xml:space="preserve">and suicide prevention </w:t>
      </w:r>
      <w:r w:rsidRPr="005A735D">
        <w:t xml:space="preserve">services and support </w:t>
      </w:r>
      <w:r w:rsidR="5ADAB971">
        <w:t>provided by mental health pr</w:t>
      </w:r>
      <w:r w:rsidR="5CD9B759">
        <w:t xml:space="preserve">actitioners </w:t>
      </w:r>
      <w:r w:rsidRPr="005A735D">
        <w:t>(see above</w:t>
      </w:r>
      <w:r>
        <w:t>)</w:t>
      </w:r>
      <w:r w:rsidR="3EF5AA2D">
        <w:t>.</w:t>
      </w:r>
    </w:p>
    <w:p w14:paraId="316128AF" w14:textId="4E1556A8" w:rsidR="00625AF4" w:rsidRPr="009635A5" w:rsidRDefault="00625AF4" w:rsidP="00972799">
      <w:pPr>
        <w:pStyle w:val="ListBullet0"/>
      </w:pPr>
      <w:r w:rsidRPr="00776874">
        <w:rPr>
          <w:b/>
        </w:rPr>
        <w:t>Stressors</w:t>
      </w:r>
      <w:r>
        <w:t xml:space="preserve"> </w:t>
      </w:r>
      <w:r w:rsidRPr="009635A5">
        <w:t xml:space="preserve">refers to </w:t>
      </w:r>
      <w:r w:rsidR="009635A5">
        <w:t xml:space="preserve">internal and </w:t>
      </w:r>
      <w:r w:rsidR="009635A5" w:rsidRPr="00776874">
        <w:t xml:space="preserve">external </w:t>
      </w:r>
      <w:r w:rsidR="009635A5">
        <w:t xml:space="preserve">factors or determinants </w:t>
      </w:r>
      <w:r w:rsidR="009635A5" w:rsidRPr="00776874">
        <w:t xml:space="preserve">which </w:t>
      </w:r>
      <w:r w:rsidR="009635A5">
        <w:t xml:space="preserve">can </w:t>
      </w:r>
      <w:r w:rsidR="009635A5" w:rsidRPr="00776874">
        <w:t>impact mental health and wellbeing</w:t>
      </w:r>
      <w:r w:rsidR="009635A5">
        <w:t>.</w:t>
      </w:r>
    </w:p>
    <w:p w14:paraId="490034A9" w14:textId="47C2FB5C" w:rsidR="00B77F53" w:rsidRPr="004A4895" w:rsidRDefault="00B77F53" w:rsidP="00C80E1D">
      <w:pPr>
        <w:pStyle w:val="ListBullet2"/>
        <w:numPr>
          <w:ilvl w:val="0"/>
          <w:numId w:val="0"/>
        </w:numPr>
      </w:pPr>
      <w:r>
        <w:t xml:space="preserve">Other key terms and acronyms used are </w:t>
      </w:r>
      <w:r w:rsidR="00407AF0">
        <w:t>listed in the Glossary at the front of the report.</w:t>
      </w:r>
    </w:p>
    <w:p w14:paraId="5588A3C5" w14:textId="450A0733" w:rsidR="00CC2BFD" w:rsidRPr="001A0256" w:rsidRDefault="00CC2BFD" w:rsidP="009B406F">
      <w:pPr>
        <w:pStyle w:val="NbrHeading3"/>
      </w:pPr>
      <w:bookmarkStart w:id="18" w:name="_Toc153899486"/>
      <w:r w:rsidRPr="001A0256">
        <w:t>Project Deliverables</w:t>
      </w:r>
      <w:bookmarkEnd w:id="18"/>
    </w:p>
    <w:p w14:paraId="2CC31AE7" w14:textId="2B23A86A" w:rsidR="00CC2BFD" w:rsidRPr="00D56815" w:rsidRDefault="004A536D" w:rsidP="00CC2BFD">
      <w:pPr>
        <w:rPr>
          <w:lang w:eastAsia="en-AU"/>
        </w:rPr>
      </w:pPr>
      <w:r w:rsidRPr="00D56815">
        <w:rPr>
          <w:lang w:eastAsia="en-AU"/>
        </w:rPr>
        <w:t>To deliver on all K</w:t>
      </w:r>
      <w:r w:rsidR="00CB0C0A">
        <w:rPr>
          <w:lang w:eastAsia="en-AU"/>
        </w:rPr>
        <w:t>R</w:t>
      </w:r>
      <w:r w:rsidRPr="00D56815">
        <w:rPr>
          <w:lang w:eastAsia="en-AU"/>
        </w:rPr>
        <w:t xml:space="preserve">Q, </w:t>
      </w:r>
      <w:r w:rsidR="00336403">
        <w:rPr>
          <w:lang w:eastAsia="en-AU"/>
        </w:rPr>
        <w:t>it was agreed that three separate documents would be prepared</w:t>
      </w:r>
      <w:r w:rsidR="001F3061">
        <w:rPr>
          <w:lang w:eastAsia="en-AU"/>
        </w:rPr>
        <w:t xml:space="preserve"> for the Department</w:t>
      </w:r>
      <w:r w:rsidR="00336403">
        <w:rPr>
          <w:lang w:eastAsia="en-AU"/>
        </w:rPr>
        <w:t>:</w:t>
      </w:r>
    </w:p>
    <w:p w14:paraId="3C14FBA6" w14:textId="23D84B7C" w:rsidR="008D0152" w:rsidRPr="001F3061" w:rsidRDefault="008D0152" w:rsidP="008D0152">
      <w:pPr>
        <w:pStyle w:val="ListAlpha0"/>
        <w:numPr>
          <w:ilvl w:val="0"/>
          <w:numId w:val="0"/>
        </w:numPr>
        <w:ind w:left="425" w:hanging="425"/>
        <w:rPr>
          <w:color w:val="0F4BEB" w:themeColor="accent1"/>
        </w:rPr>
      </w:pPr>
      <w:r w:rsidRPr="002E3068">
        <w:rPr>
          <w:b/>
          <w:bCs/>
          <w:color w:val="0F4BEB" w:themeColor="accent1"/>
        </w:rPr>
        <w:t xml:space="preserve">Deliverable </w:t>
      </w:r>
      <w:r>
        <w:rPr>
          <w:b/>
          <w:bCs/>
          <w:color w:val="0F4BEB" w:themeColor="accent1"/>
        </w:rPr>
        <w:t>1</w:t>
      </w:r>
      <w:r w:rsidRPr="002E3068">
        <w:rPr>
          <w:b/>
          <w:bCs/>
          <w:color w:val="0F4BEB" w:themeColor="accent1"/>
        </w:rPr>
        <w:t>:</w:t>
      </w:r>
      <w:r>
        <w:rPr>
          <w:b/>
          <w:bCs/>
        </w:rPr>
        <w:tab/>
        <w:t xml:space="preserve"> </w:t>
      </w:r>
      <w:r w:rsidRPr="001F3061">
        <w:rPr>
          <w:b/>
          <w:bCs/>
          <w:color w:val="0F4BEB" w:themeColor="accent1"/>
        </w:rPr>
        <w:t>Research Translation Report</w:t>
      </w:r>
      <w:r w:rsidRPr="001F3061">
        <w:rPr>
          <w:color w:val="0F4BEB" w:themeColor="accent1"/>
        </w:rPr>
        <w:t xml:space="preserve"> </w:t>
      </w:r>
      <w:r>
        <w:rPr>
          <w:color w:val="0F4BEB" w:themeColor="accent1"/>
        </w:rPr>
        <w:t>(this paper)</w:t>
      </w:r>
    </w:p>
    <w:p w14:paraId="0C06E2C7" w14:textId="38088C6F" w:rsidR="008D0152" w:rsidRDefault="008D0152" w:rsidP="008D0152">
      <w:r>
        <w:t xml:space="preserve">This paper contains a summary of the </w:t>
      </w:r>
      <w:r w:rsidRPr="002C453D">
        <w:t>evidence</w:t>
      </w:r>
      <w:r w:rsidR="009A1201">
        <w:t xml:space="preserve"> </w:t>
      </w:r>
      <w:r w:rsidRPr="002C453D">
        <w:t xml:space="preserve">base </w:t>
      </w:r>
      <w:r>
        <w:t xml:space="preserve">and </w:t>
      </w:r>
      <w:r w:rsidRPr="002C453D">
        <w:t>advice</w:t>
      </w:r>
      <w:r>
        <w:t xml:space="preserve"> arising from this commissioned research:</w:t>
      </w:r>
    </w:p>
    <w:p w14:paraId="7F36AD1A" w14:textId="25E8804B" w:rsidR="008D0152" w:rsidRDefault="008D0152" w:rsidP="00A76ED8">
      <w:pPr>
        <w:ind w:left="1418" w:hanging="1418"/>
      </w:pPr>
      <w:r>
        <w:t>Section 2:</w:t>
      </w:r>
      <w:r>
        <w:tab/>
      </w:r>
      <w:r w:rsidR="00200B1E">
        <w:t xml:space="preserve">Provides </w:t>
      </w:r>
      <w:r>
        <w:t xml:space="preserve">a profile of </w:t>
      </w:r>
      <w:r w:rsidR="00200B1E">
        <w:t xml:space="preserve">Australia’s </w:t>
      </w:r>
      <w:r>
        <w:t>LGBT</w:t>
      </w:r>
      <w:r w:rsidR="00335DEB">
        <w:t>Q</w:t>
      </w:r>
      <w:r>
        <w:t>+ community and available prevalence rates regarding mental health challenges.</w:t>
      </w:r>
    </w:p>
    <w:p w14:paraId="57E8D816" w14:textId="578E16FE" w:rsidR="00837DF5" w:rsidRDefault="00837DF5" w:rsidP="00A76ED8">
      <w:pPr>
        <w:ind w:left="1418" w:hanging="1418"/>
      </w:pPr>
      <w:r>
        <w:t>Section 3:</w:t>
      </w:r>
      <w:r w:rsidRPr="00837DF5">
        <w:t xml:space="preserve"> </w:t>
      </w:r>
      <w:r>
        <w:tab/>
      </w:r>
      <w:r w:rsidR="00F801AB">
        <w:t xml:space="preserve">Contains an overview of the </w:t>
      </w:r>
      <w:r w:rsidR="0003776F">
        <w:t>mental health, wellbeing</w:t>
      </w:r>
      <w:r w:rsidR="009A1201">
        <w:t>,</w:t>
      </w:r>
      <w:r w:rsidR="0003776F">
        <w:t xml:space="preserve"> and suicide prevention service</w:t>
      </w:r>
      <w:r w:rsidR="00891C6C">
        <w:t xml:space="preserve">s in Australia, plus </w:t>
      </w:r>
      <w:r w:rsidR="00340995">
        <w:t xml:space="preserve">a summary of the current </w:t>
      </w:r>
      <w:r w:rsidR="00200B1E">
        <w:t xml:space="preserve">policy landscape. </w:t>
      </w:r>
    </w:p>
    <w:p w14:paraId="6B2CDEBF" w14:textId="3B0049A1" w:rsidR="007A4A1B" w:rsidRDefault="008D0152" w:rsidP="008C3672">
      <w:pPr>
        <w:pStyle w:val="ListAlpha0"/>
        <w:numPr>
          <w:ilvl w:val="0"/>
          <w:numId w:val="0"/>
        </w:numPr>
        <w:ind w:left="1440" w:hanging="1440"/>
      </w:pPr>
      <w:r>
        <w:t xml:space="preserve">Section </w:t>
      </w:r>
      <w:r w:rsidR="0001549E">
        <w:t>4</w:t>
      </w:r>
      <w:r>
        <w:t>:</w:t>
      </w:r>
      <w:r>
        <w:tab/>
        <w:t xml:space="preserve">Addresses KRQ 1, </w:t>
      </w:r>
      <w:r w:rsidR="008C3672">
        <w:t xml:space="preserve">providing </w:t>
      </w:r>
      <w:r w:rsidR="005D1E4B">
        <w:t>a</w:t>
      </w:r>
      <w:r w:rsidR="009A1201">
        <w:t>n</w:t>
      </w:r>
      <w:r w:rsidR="005D1E4B">
        <w:t xml:space="preserve"> overview of</w:t>
      </w:r>
      <w:r w:rsidR="008C3672">
        <w:t xml:space="preserve"> </w:t>
      </w:r>
      <w:r w:rsidR="005D1E4B">
        <w:t xml:space="preserve">the </w:t>
      </w:r>
      <w:r w:rsidRPr="00EC34DF">
        <w:rPr>
          <w:i/>
          <w:iCs/>
        </w:rPr>
        <w:t>key causes of distress experienced by the LGBT</w:t>
      </w:r>
      <w:r w:rsidR="00335DEB" w:rsidRPr="00EC34DF">
        <w:rPr>
          <w:i/>
          <w:iCs/>
        </w:rPr>
        <w:t>Q</w:t>
      </w:r>
      <w:r w:rsidR="00055BD9" w:rsidRPr="00EC34DF">
        <w:rPr>
          <w:i/>
          <w:iCs/>
        </w:rPr>
        <w:t xml:space="preserve">+ community </w:t>
      </w:r>
      <w:r w:rsidRPr="00EC34DF">
        <w:rPr>
          <w:i/>
          <w:iCs/>
        </w:rPr>
        <w:t>that impact on their mental health or wellbeing, and/or increase their risk of suicidal behaviours</w:t>
      </w:r>
      <w:r w:rsidR="005D1E4B" w:rsidRPr="00EC34DF">
        <w:rPr>
          <w:i/>
          <w:iCs/>
        </w:rPr>
        <w:t xml:space="preserve">. This section draws from a cross section of </w:t>
      </w:r>
      <w:r w:rsidR="008C3672" w:rsidRPr="00EC34DF">
        <w:rPr>
          <w:i/>
          <w:iCs/>
        </w:rPr>
        <w:t>peer</w:t>
      </w:r>
      <w:r w:rsidR="003E75A3">
        <w:rPr>
          <w:i/>
          <w:iCs/>
        </w:rPr>
        <w:t>-</w:t>
      </w:r>
      <w:r w:rsidR="005D1E4B" w:rsidRPr="00EC34DF">
        <w:rPr>
          <w:i/>
          <w:iCs/>
        </w:rPr>
        <w:t>reviewed</w:t>
      </w:r>
      <w:r w:rsidR="008C3672" w:rsidRPr="00EC34DF">
        <w:rPr>
          <w:i/>
          <w:iCs/>
        </w:rPr>
        <w:t xml:space="preserve"> and </w:t>
      </w:r>
      <w:r w:rsidR="005D1E4B" w:rsidRPr="00EC34DF">
        <w:rPr>
          <w:i/>
          <w:iCs/>
        </w:rPr>
        <w:t>grey</w:t>
      </w:r>
      <w:r w:rsidR="008C3672" w:rsidRPr="00EC34DF">
        <w:rPr>
          <w:i/>
          <w:iCs/>
        </w:rPr>
        <w:t xml:space="preserve"> literatur</w:t>
      </w:r>
      <w:r w:rsidR="00C21070" w:rsidRPr="00EC34DF">
        <w:rPr>
          <w:i/>
          <w:iCs/>
        </w:rPr>
        <w:t>e</w:t>
      </w:r>
      <w:r w:rsidR="00C21070">
        <w:t>.</w:t>
      </w:r>
    </w:p>
    <w:p w14:paraId="6F22AB3B" w14:textId="2DB7DAEA" w:rsidR="00D25D08" w:rsidRDefault="007A4A1B" w:rsidP="00D25D08">
      <w:pPr>
        <w:tabs>
          <w:tab w:val="left" w:pos="1418"/>
        </w:tabs>
        <w:ind w:left="1418" w:hanging="1418"/>
      </w:pPr>
      <w:r>
        <w:t xml:space="preserve">Section </w:t>
      </w:r>
      <w:r w:rsidR="0001549E">
        <w:t>5</w:t>
      </w:r>
      <w:r>
        <w:t>:</w:t>
      </w:r>
      <w:r>
        <w:tab/>
        <w:t xml:space="preserve">Contains a summary of the </w:t>
      </w:r>
      <w:r w:rsidR="00237ADD">
        <w:t>s</w:t>
      </w:r>
      <w:r w:rsidR="00C21070">
        <w:t>econd deliverable</w:t>
      </w:r>
      <w:r w:rsidR="00604DBD">
        <w:t xml:space="preserve"> </w:t>
      </w:r>
      <w:r w:rsidR="009A1201">
        <w:t>–</w:t>
      </w:r>
      <w:r w:rsidR="00BC2B34">
        <w:t xml:space="preserve"> </w:t>
      </w:r>
      <w:r w:rsidR="00604DBD">
        <w:t xml:space="preserve">the Applied SLR </w:t>
      </w:r>
      <w:r w:rsidR="00BC2B34">
        <w:t>(see details below)</w:t>
      </w:r>
      <w:r w:rsidR="009A1201">
        <w:t xml:space="preserve"> –</w:t>
      </w:r>
      <w:r w:rsidR="00604DBD">
        <w:t xml:space="preserve"> </w:t>
      </w:r>
      <w:r w:rsidR="00BC2B34">
        <w:t>and add</w:t>
      </w:r>
      <w:r w:rsidR="00604DBD">
        <w:t>resses KRQ 2</w:t>
      </w:r>
      <w:r w:rsidR="00AB71D8">
        <w:t>.</w:t>
      </w:r>
    </w:p>
    <w:p w14:paraId="7D1077E5" w14:textId="0156101D" w:rsidR="000F0CFA" w:rsidRPr="000F0CFA" w:rsidRDefault="00D25D08" w:rsidP="000F0CFA">
      <w:pPr>
        <w:tabs>
          <w:tab w:val="left" w:pos="1418"/>
        </w:tabs>
        <w:ind w:left="1418" w:hanging="1418"/>
        <w:rPr>
          <w:i/>
          <w:iCs/>
        </w:rPr>
      </w:pPr>
      <w:r>
        <w:t xml:space="preserve">Section </w:t>
      </w:r>
      <w:r w:rsidR="0001549E">
        <w:t>6</w:t>
      </w:r>
      <w:r>
        <w:t>:</w:t>
      </w:r>
      <w:r>
        <w:tab/>
      </w:r>
      <w:r w:rsidR="000F0CFA">
        <w:t>P</w:t>
      </w:r>
      <w:r w:rsidR="00AC190F">
        <w:t xml:space="preserve">resents the synthesis of </w:t>
      </w:r>
      <w:r w:rsidR="000F0CFA">
        <w:t xml:space="preserve">all </w:t>
      </w:r>
      <w:r w:rsidR="00AC190F">
        <w:t xml:space="preserve">research </w:t>
      </w:r>
      <w:r w:rsidR="000F0CFA">
        <w:t>conducted</w:t>
      </w:r>
      <w:r w:rsidR="00050E8A">
        <w:t>,</w:t>
      </w:r>
      <w:r w:rsidR="000F0CFA">
        <w:t xml:space="preserve"> answering KRQ 3</w:t>
      </w:r>
      <w:r w:rsidR="009A1201">
        <w:t xml:space="preserve"> –</w:t>
      </w:r>
      <w:r w:rsidR="000F0CFA">
        <w:t xml:space="preserve"> </w:t>
      </w:r>
      <w:r w:rsidR="000F0CFA">
        <w:br/>
      </w:r>
      <w:r w:rsidR="000F0CFA" w:rsidRPr="000F0CFA">
        <w:rPr>
          <w:i/>
          <w:iCs/>
        </w:rPr>
        <w:t>What evidence-based insights can be drawn from the UK and Australian literature for Australia, to help inform policy development for the 10 Year National Action Plan for the Health and Wellbeing of LGBTI</w:t>
      </w:r>
      <w:r w:rsidR="00FB468A">
        <w:rPr>
          <w:i/>
          <w:iCs/>
        </w:rPr>
        <w:t>Q</w:t>
      </w:r>
      <w:r w:rsidR="000F0CFA" w:rsidRPr="000F0CFA">
        <w:rPr>
          <w:i/>
          <w:iCs/>
        </w:rPr>
        <w:t>A+ people?</w:t>
      </w:r>
    </w:p>
    <w:p w14:paraId="63E640AB" w14:textId="5DB4D87D" w:rsidR="005E5A7E" w:rsidRDefault="00D249CF" w:rsidP="005E5A7E">
      <w:pPr>
        <w:pStyle w:val="ListAlpha0"/>
        <w:numPr>
          <w:ilvl w:val="0"/>
          <w:numId w:val="0"/>
        </w:numPr>
        <w:ind w:left="425" w:hanging="425"/>
        <w:rPr>
          <w:b/>
          <w:bCs/>
          <w:color w:val="0F4BEB" w:themeColor="accent1"/>
        </w:rPr>
      </w:pPr>
      <w:r w:rsidRPr="002E3068">
        <w:rPr>
          <w:b/>
          <w:bCs/>
          <w:color w:val="0F4BEB" w:themeColor="accent1"/>
        </w:rPr>
        <w:t xml:space="preserve">Deliverable </w:t>
      </w:r>
      <w:r w:rsidR="000F0CFA">
        <w:rPr>
          <w:b/>
          <w:bCs/>
          <w:color w:val="0F4BEB" w:themeColor="accent1"/>
        </w:rPr>
        <w:t>2</w:t>
      </w:r>
      <w:r w:rsidRPr="002E3068">
        <w:rPr>
          <w:b/>
          <w:bCs/>
          <w:color w:val="0F4BEB" w:themeColor="accent1"/>
        </w:rPr>
        <w:t>:</w:t>
      </w:r>
      <w:r>
        <w:rPr>
          <w:b/>
          <w:bCs/>
        </w:rPr>
        <w:tab/>
      </w:r>
      <w:r w:rsidR="00246DDF">
        <w:rPr>
          <w:b/>
          <w:bCs/>
        </w:rPr>
        <w:t xml:space="preserve"> </w:t>
      </w:r>
      <w:r w:rsidR="002C453D" w:rsidRPr="002E3068">
        <w:rPr>
          <w:b/>
          <w:bCs/>
          <w:color w:val="0F4BEB" w:themeColor="accent1"/>
        </w:rPr>
        <w:t>A</w:t>
      </w:r>
      <w:r w:rsidR="00DC29B1">
        <w:rPr>
          <w:b/>
          <w:bCs/>
          <w:color w:val="0F4BEB" w:themeColor="accent1"/>
        </w:rPr>
        <w:t>n applied</w:t>
      </w:r>
      <w:r w:rsidR="002C453D" w:rsidRPr="002E3068">
        <w:rPr>
          <w:b/>
          <w:bCs/>
          <w:color w:val="0F4BEB" w:themeColor="accent1"/>
        </w:rPr>
        <w:t xml:space="preserve"> SLR of peer</w:t>
      </w:r>
      <w:r w:rsidR="003E75A3">
        <w:rPr>
          <w:b/>
          <w:bCs/>
          <w:color w:val="0F4BEB" w:themeColor="accent1"/>
        </w:rPr>
        <w:t>-</w:t>
      </w:r>
      <w:r w:rsidR="002C453D" w:rsidRPr="002E3068">
        <w:rPr>
          <w:b/>
          <w:bCs/>
          <w:color w:val="0F4BEB" w:themeColor="accent1"/>
        </w:rPr>
        <w:t>reviewed literature</w:t>
      </w:r>
    </w:p>
    <w:p w14:paraId="65FC7A62" w14:textId="57C5F26A" w:rsidR="006B55D7" w:rsidRDefault="00DF1FF2" w:rsidP="005E5A7E">
      <w:r>
        <w:t>In</w:t>
      </w:r>
      <w:r w:rsidR="005E5A7E">
        <w:t xml:space="preserve"> the first half of 2023, t</w:t>
      </w:r>
      <w:r w:rsidR="002C453D" w:rsidRPr="002C453D">
        <w:t>h</w:t>
      </w:r>
      <w:r w:rsidR="002C453D">
        <w:t xml:space="preserve">e </w:t>
      </w:r>
      <w:r w:rsidR="002C453D">
        <w:rPr>
          <w:rFonts w:eastAsiaTheme="minorEastAsia"/>
        </w:rPr>
        <w:t xml:space="preserve">Department </w:t>
      </w:r>
      <w:r w:rsidR="00246DDF">
        <w:rPr>
          <w:rFonts w:eastAsiaTheme="minorEastAsia"/>
        </w:rPr>
        <w:t xml:space="preserve">identified </w:t>
      </w:r>
      <w:r w:rsidR="002C453D" w:rsidRPr="002C453D">
        <w:t xml:space="preserve">1895 </w:t>
      </w:r>
      <w:r w:rsidR="005E5A7E">
        <w:t>potential a</w:t>
      </w:r>
      <w:r w:rsidR="002C453D" w:rsidRPr="002C453D">
        <w:t>bstracts</w:t>
      </w:r>
      <w:r>
        <w:t xml:space="preserve"> drawn from peer</w:t>
      </w:r>
      <w:r w:rsidR="003E75A3">
        <w:t>-</w:t>
      </w:r>
      <w:r>
        <w:t xml:space="preserve">reviewed </w:t>
      </w:r>
      <w:r w:rsidR="00EC2657">
        <w:t>literature</w:t>
      </w:r>
      <w:r>
        <w:t xml:space="preserve"> in Australia and the UK</w:t>
      </w:r>
      <w:r w:rsidR="00EC2657">
        <w:t xml:space="preserve"> </w:t>
      </w:r>
      <w:r w:rsidR="006B55D7">
        <w:t xml:space="preserve">between </w:t>
      </w:r>
      <w:r w:rsidR="006B55D7" w:rsidRPr="00B73F23">
        <w:t>February 2013 and February 2023</w:t>
      </w:r>
      <w:r w:rsidR="009A1201">
        <w:t>.</w:t>
      </w:r>
      <w:r w:rsidR="002C453D" w:rsidRPr="002C453D">
        <w:t xml:space="preserve"> </w:t>
      </w:r>
    </w:p>
    <w:p w14:paraId="1F9022EE" w14:textId="50909922" w:rsidR="005E5A7E" w:rsidRDefault="006B55D7" w:rsidP="005E5A7E">
      <w:r>
        <w:t xml:space="preserve">As illustrated in the </w:t>
      </w:r>
      <w:r w:rsidR="00DD2618">
        <w:t xml:space="preserve">updated </w:t>
      </w:r>
      <w:r>
        <w:t xml:space="preserve">PRISMA diagram </w:t>
      </w:r>
      <w:r w:rsidR="00DD2618">
        <w:t>at</w:t>
      </w:r>
      <w:r>
        <w:t xml:space="preserve"> Figure 1, the Department then </w:t>
      </w:r>
      <w:r w:rsidR="00DD2618">
        <w:t xml:space="preserve">selected </w:t>
      </w:r>
      <w:r w:rsidR="002C453D" w:rsidRPr="002C453D">
        <w:t>369 research papers</w:t>
      </w:r>
      <w:r w:rsidR="000F119A">
        <w:t xml:space="preserve"> </w:t>
      </w:r>
      <w:r w:rsidR="00DD2618">
        <w:t xml:space="preserve">for potential inclusion in the </w:t>
      </w:r>
      <w:r w:rsidR="00CA42A7">
        <w:t>SLR.</w:t>
      </w:r>
      <w:r w:rsidR="002C453D">
        <w:t xml:space="preserve"> </w:t>
      </w:r>
    </w:p>
    <w:p w14:paraId="01DB958B" w14:textId="6C27075E" w:rsidR="005E5A7E" w:rsidRDefault="00DD2618" w:rsidP="005E5A7E">
      <w:r>
        <w:lastRenderedPageBreak/>
        <w:t>The</w:t>
      </w:r>
      <w:r w:rsidR="002C453D">
        <w:t xml:space="preserve"> UTS-led research team </w:t>
      </w:r>
      <w:r w:rsidR="009A36A8">
        <w:t xml:space="preserve">screened </w:t>
      </w:r>
      <w:r w:rsidR="005E5A7E">
        <w:t>each abstract and</w:t>
      </w:r>
      <w:r w:rsidR="002D3B3B">
        <w:t xml:space="preserve">, </w:t>
      </w:r>
      <w:r w:rsidR="005E5A7E">
        <w:t>excluding duplicates</w:t>
      </w:r>
      <w:r w:rsidR="00D64CB0">
        <w:t xml:space="preserve">, </w:t>
      </w:r>
      <w:r w:rsidR="00D36981">
        <w:t>were left with</w:t>
      </w:r>
      <w:r w:rsidR="005E5A7E">
        <w:t xml:space="preserve"> 352</w:t>
      </w:r>
      <w:r w:rsidR="00D36981">
        <w:t xml:space="preserve"> texts</w:t>
      </w:r>
      <w:r w:rsidR="00D64585">
        <w:t xml:space="preserve">. </w:t>
      </w:r>
      <w:r w:rsidR="718955B8">
        <w:t>The full texts</w:t>
      </w:r>
      <w:r w:rsidR="00D64585">
        <w:t xml:space="preserve"> of </w:t>
      </w:r>
      <w:r w:rsidR="718955B8">
        <w:t>each of</w:t>
      </w:r>
      <w:r w:rsidR="677DCC9F">
        <w:t xml:space="preserve"> </w:t>
      </w:r>
      <w:r w:rsidR="00D64585">
        <w:t>these were then screened</w:t>
      </w:r>
      <w:r w:rsidR="005E5A7E">
        <w:t xml:space="preserve"> </w:t>
      </w:r>
      <w:r w:rsidR="2CC04FDF">
        <w:t>against the following exclusion</w:t>
      </w:r>
      <w:r w:rsidR="005E5A7E">
        <w:t xml:space="preserve"> </w:t>
      </w:r>
      <w:r w:rsidR="00D64585">
        <w:t>criteria</w:t>
      </w:r>
      <w:r w:rsidR="005E5A7E">
        <w:t>:</w:t>
      </w:r>
    </w:p>
    <w:p w14:paraId="02BF7582" w14:textId="5FF1C0F2" w:rsidR="005E5A7E" w:rsidRPr="009A2113" w:rsidRDefault="005E5A7E" w:rsidP="006205ED">
      <w:pPr>
        <w:pStyle w:val="ListNumber0"/>
        <w:numPr>
          <w:ilvl w:val="0"/>
          <w:numId w:val="18"/>
        </w:numPr>
      </w:pPr>
      <w:r w:rsidRPr="009A2113">
        <w:t>The paper is not peer</w:t>
      </w:r>
      <w:r w:rsidR="003E75A3" w:rsidRPr="009A2113">
        <w:t>-</w:t>
      </w:r>
      <w:r w:rsidR="00246DDF" w:rsidRPr="009A2113">
        <w:t xml:space="preserve">reviewed </w:t>
      </w:r>
      <w:r w:rsidR="000F119A" w:rsidRPr="009A2113">
        <w:t xml:space="preserve">and </w:t>
      </w:r>
      <w:r w:rsidRPr="009A2113">
        <w:t>published.</w:t>
      </w:r>
    </w:p>
    <w:p w14:paraId="060BA777" w14:textId="5BF1C590" w:rsidR="00735C0B" w:rsidRPr="009A2113" w:rsidRDefault="00735C0B" w:rsidP="006205ED">
      <w:pPr>
        <w:pStyle w:val="ListNumber0"/>
        <w:numPr>
          <w:ilvl w:val="0"/>
          <w:numId w:val="18"/>
        </w:numPr>
      </w:pPr>
      <w:r w:rsidRPr="009A2113">
        <w:t>The paper is not about LGBT</w:t>
      </w:r>
      <w:r w:rsidR="00FF37E9" w:rsidRPr="009A2113">
        <w:t>Q</w:t>
      </w:r>
      <w:r w:rsidRPr="009A2113">
        <w:t>+ people.</w:t>
      </w:r>
    </w:p>
    <w:p w14:paraId="08242C4B" w14:textId="2B08EF51" w:rsidR="00735C0B" w:rsidRPr="009A2113" w:rsidRDefault="00735C0B" w:rsidP="006205ED">
      <w:pPr>
        <w:pStyle w:val="ListNumber0"/>
        <w:numPr>
          <w:ilvl w:val="0"/>
          <w:numId w:val="18"/>
        </w:numPr>
      </w:pPr>
      <w:r w:rsidRPr="009A2113">
        <w:t>The paper is not about accessing services for mental health challenges or suicidality.</w:t>
      </w:r>
    </w:p>
    <w:p w14:paraId="6EC3FC38" w14:textId="5883E818" w:rsidR="00735C0B" w:rsidRPr="00624A03" w:rsidRDefault="00735C0B" w:rsidP="006205ED">
      <w:pPr>
        <w:pStyle w:val="ListNumber0"/>
        <w:numPr>
          <w:ilvl w:val="0"/>
          <w:numId w:val="18"/>
        </w:numPr>
      </w:pPr>
      <w:r w:rsidRPr="009A2113">
        <w:t xml:space="preserve">The </w:t>
      </w:r>
      <w:r w:rsidRPr="00624A03">
        <w:t>paper is not a primary study (for example</w:t>
      </w:r>
      <w:r w:rsidR="009A1201" w:rsidRPr="00624A03">
        <w:t>,</w:t>
      </w:r>
      <w:r w:rsidRPr="00624A03">
        <w:t xml:space="preserve"> a protocols or </w:t>
      </w:r>
      <w:r w:rsidR="00C2067B" w:rsidRPr="00624A03">
        <w:t>case study).</w:t>
      </w:r>
      <w:r w:rsidRPr="00624A03">
        <w:t xml:space="preserve">  </w:t>
      </w:r>
    </w:p>
    <w:p w14:paraId="1CD6BD97" w14:textId="5B215E88" w:rsidR="00735C0B" w:rsidRPr="00624A03" w:rsidRDefault="00735C0B" w:rsidP="006205ED">
      <w:pPr>
        <w:pStyle w:val="ListNumber0"/>
        <w:numPr>
          <w:ilvl w:val="0"/>
          <w:numId w:val="18"/>
        </w:numPr>
      </w:pPr>
      <w:r w:rsidRPr="00624A03">
        <w:t>The paper is not Australia or United Kingdom focused</w:t>
      </w:r>
      <w:r w:rsidR="00C2067B" w:rsidRPr="00624A03">
        <w:t>.</w:t>
      </w:r>
    </w:p>
    <w:p w14:paraId="10BD5A75" w14:textId="2AFCB247" w:rsidR="007020F8" w:rsidRPr="00624A03" w:rsidRDefault="005E5A7E" w:rsidP="006205ED">
      <w:pPr>
        <w:pStyle w:val="ListNumber0"/>
        <w:numPr>
          <w:ilvl w:val="0"/>
          <w:numId w:val="18"/>
        </w:numPr>
      </w:pPr>
      <w:r w:rsidRPr="00624A03">
        <w:t>The paper is not published between February 2013 and February 2023</w:t>
      </w:r>
      <w:r w:rsidR="009A1201" w:rsidRPr="00624A03">
        <w:t>.</w:t>
      </w:r>
    </w:p>
    <w:p w14:paraId="4B9BD145" w14:textId="7F0E41B8" w:rsidR="005E5A7E" w:rsidRPr="00624A03" w:rsidRDefault="007020F8" w:rsidP="006205ED">
      <w:pPr>
        <w:pStyle w:val="ListNumber0"/>
        <w:numPr>
          <w:ilvl w:val="0"/>
          <w:numId w:val="18"/>
        </w:numPr>
      </w:pPr>
      <w:r w:rsidRPr="00624A03">
        <w:t xml:space="preserve">The paper </w:t>
      </w:r>
      <w:r w:rsidR="00AA5A3E" w:rsidRPr="00624A03">
        <w:t xml:space="preserve">is </w:t>
      </w:r>
      <w:r w:rsidR="001F64DD" w:rsidRPr="00624A03">
        <w:t>solely about</w:t>
      </w:r>
      <w:r w:rsidR="00AA5A3E" w:rsidRPr="00624A03">
        <w:t xml:space="preserve"> </w:t>
      </w:r>
      <w:r w:rsidR="00F34A5B" w:rsidRPr="00624A03">
        <w:t xml:space="preserve">people </w:t>
      </w:r>
      <w:r w:rsidR="00236B15" w:rsidRPr="00624A03">
        <w:t xml:space="preserve">with an innate variation of sex characteristics </w:t>
      </w:r>
      <w:r w:rsidR="00F34A5B" w:rsidRPr="00624A03">
        <w:t>or who were asexual.</w:t>
      </w:r>
      <w:r w:rsidR="00236B15" w:rsidRPr="00624A03">
        <w:t>*</w:t>
      </w:r>
    </w:p>
    <w:p w14:paraId="5D7760CC" w14:textId="7CDBAF76" w:rsidR="00236B15" w:rsidRPr="009A2113" w:rsidRDefault="00236B15" w:rsidP="00624A03">
      <w:pPr>
        <w:pStyle w:val="ListNumber0"/>
        <w:numPr>
          <w:ilvl w:val="0"/>
          <w:numId w:val="0"/>
        </w:numPr>
        <w:ind w:left="720"/>
      </w:pPr>
      <w:r w:rsidRPr="00624A03">
        <w:t>*</w:t>
      </w:r>
      <w:r w:rsidR="0092472B" w:rsidRPr="00624A03">
        <w:t xml:space="preserve"> The </w:t>
      </w:r>
      <w:r w:rsidR="006725A3" w:rsidRPr="00624A03">
        <w:t>7</w:t>
      </w:r>
      <w:r w:rsidR="006725A3" w:rsidRPr="00624A03">
        <w:rPr>
          <w:vertAlign w:val="superscript"/>
        </w:rPr>
        <w:t>th</w:t>
      </w:r>
      <w:r w:rsidR="006725A3" w:rsidRPr="00624A03">
        <w:t xml:space="preserve"> exclusion criteria </w:t>
      </w:r>
      <w:proofErr w:type="gramStart"/>
      <w:r w:rsidR="006725A3" w:rsidRPr="00624A03">
        <w:t>was</w:t>
      </w:r>
      <w:proofErr w:type="gramEnd"/>
      <w:r w:rsidR="006725A3" w:rsidRPr="00624A03">
        <w:t xml:space="preserve"> applied </w:t>
      </w:r>
      <w:r w:rsidR="00F737E7" w:rsidRPr="00624A03">
        <w:t xml:space="preserve">retrospectively </w:t>
      </w:r>
      <w:r w:rsidR="006725A3" w:rsidRPr="00624A03">
        <w:t xml:space="preserve">following feedback from sector experts </w:t>
      </w:r>
      <w:r w:rsidR="009752EE" w:rsidRPr="00624A03">
        <w:t xml:space="preserve">that the literature included in the SLR omitted key literature on these target groups. As this could not be corrected within the </w:t>
      </w:r>
      <w:r w:rsidR="00F737E7" w:rsidRPr="00624A03">
        <w:t xml:space="preserve">timeframe restrictions of the present research, </w:t>
      </w:r>
      <w:r w:rsidR="0092472B" w:rsidRPr="00624A03">
        <w:t>the brief was later amended to cover only LGBTQ+ people, with the expectation that other options will be explored to attend to the specific needs of asexual people and people with innate variations of sex characteristics</w:t>
      </w:r>
      <w:r w:rsidR="00F737E7" w:rsidRPr="00624A03">
        <w:t>.</w:t>
      </w:r>
    </w:p>
    <w:p w14:paraId="46755165" w14:textId="3CD4D101" w:rsidR="0011545A" w:rsidRPr="0011545A" w:rsidRDefault="00D64585" w:rsidP="0011545A">
      <w:pPr>
        <w:rPr>
          <w:i/>
          <w:iCs/>
        </w:rPr>
      </w:pPr>
      <w:r>
        <w:t>This process left a total of 5</w:t>
      </w:r>
      <w:r w:rsidR="006803F4">
        <w:t>6</w:t>
      </w:r>
      <w:r>
        <w:t xml:space="preserve"> texts that were </w:t>
      </w:r>
      <w:r w:rsidR="00876BDC">
        <w:t xml:space="preserve">the </w:t>
      </w:r>
      <w:r w:rsidR="0016701A">
        <w:t xml:space="preserve">subject </w:t>
      </w:r>
      <w:r w:rsidR="00876BDC">
        <w:t xml:space="preserve">of the </w:t>
      </w:r>
      <w:r w:rsidR="0016701A">
        <w:t xml:space="preserve">systematic literature review </w:t>
      </w:r>
      <w:r w:rsidR="0011545A">
        <w:t xml:space="preserve">focused </w:t>
      </w:r>
      <w:r w:rsidR="00876BDC">
        <w:t xml:space="preserve">on addressing </w:t>
      </w:r>
      <w:r w:rsidR="0011545A">
        <w:t xml:space="preserve">KRQ 2: </w:t>
      </w:r>
      <w:r w:rsidR="0011545A" w:rsidRPr="0011545A">
        <w:rPr>
          <w:i/>
          <w:iCs/>
        </w:rPr>
        <w:t>In respect to accessing services for mental health and suicide prevention, and based on peer reviewed literature:</w:t>
      </w:r>
    </w:p>
    <w:p w14:paraId="1DC0767F" w14:textId="57541D9D" w:rsidR="0011545A" w:rsidRPr="0011545A" w:rsidRDefault="00876BDC" w:rsidP="0011545A">
      <w:pPr>
        <w:rPr>
          <w:i/>
          <w:iCs/>
        </w:rPr>
      </w:pPr>
      <w:r>
        <w:rPr>
          <w:i/>
          <w:iCs/>
        </w:rPr>
        <w:t>a.</w:t>
      </w:r>
      <w:r>
        <w:rPr>
          <w:i/>
          <w:iCs/>
        </w:rPr>
        <w:tab/>
      </w:r>
      <w:r w:rsidR="0011545A" w:rsidRPr="0011545A">
        <w:rPr>
          <w:i/>
          <w:iCs/>
        </w:rPr>
        <w:t>What services are available and provided to LGBTQ+ peoples?</w:t>
      </w:r>
    </w:p>
    <w:p w14:paraId="7B8EA1B4" w14:textId="5D3A7E23" w:rsidR="0011545A" w:rsidRPr="0011545A" w:rsidRDefault="00876BDC" w:rsidP="0011545A">
      <w:pPr>
        <w:rPr>
          <w:i/>
          <w:iCs/>
        </w:rPr>
      </w:pPr>
      <w:r>
        <w:rPr>
          <w:i/>
          <w:iCs/>
        </w:rPr>
        <w:t>b.</w:t>
      </w:r>
      <w:r>
        <w:rPr>
          <w:i/>
          <w:iCs/>
        </w:rPr>
        <w:tab/>
      </w:r>
      <w:r w:rsidR="0011545A" w:rsidRPr="0011545A">
        <w:rPr>
          <w:i/>
          <w:iCs/>
        </w:rPr>
        <w:t xml:space="preserve">What </w:t>
      </w:r>
      <w:r w:rsidR="0011545A" w:rsidRPr="009A2113">
        <w:rPr>
          <w:i/>
          <w:iCs/>
        </w:rPr>
        <w:t>services</w:t>
      </w:r>
      <w:r w:rsidR="0011545A" w:rsidRPr="0011545A">
        <w:rPr>
          <w:i/>
          <w:iCs/>
        </w:rPr>
        <w:t xml:space="preserve"> were found to be effective?</w:t>
      </w:r>
    </w:p>
    <w:p w14:paraId="29DE5FBE" w14:textId="6E85B32B" w:rsidR="0011545A" w:rsidRPr="0011545A" w:rsidRDefault="00876BDC" w:rsidP="0011545A">
      <w:pPr>
        <w:rPr>
          <w:i/>
          <w:iCs/>
        </w:rPr>
      </w:pPr>
      <w:r>
        <w:rPr>
          <w:i/>
          <w:iCs/>
        </w:rPr>
        <w:t>c.</w:t>
      </w:r>
      <w:r>
        <w:rPr>
          <w:i/>
          <w:iCs/>
        </w:rPr>
        <w:tab/>
      </w:r>
      <w:r w:rsidR="0011545A" w:rsidRPr="0011545A">
        <w:rPr>
          <w:i/>
          <w:iCs/>
        </w:rPr>
        <w:t>What service gaps or barriers were identified</w:t>
      </w:r>
      <w:r w:rsidR="009A1201">
        <w:rPr>
          <w:i/>
          <w:iCs/>
        </w:rPr>
        <w:t>,</w:t>
      </w:r>
      <w:r w:rsidR="0011545A" w:rsidRPr="0011545A">
        <w:rPr>
          <w:i/>
          <w:iCs/>
        </w:rPr>
        <w:t xml:space="preserve"> and what were their details?</w:t>
      </w:r>
    </w:p>
    <w:p w14:paraId="7E4E2019" w14:textId="23A63800" w:rsidR="001F3061" w:rsidRDefault="00304AD6" w:rsidP="00802963">
      <w:r>
        <w:t xml:space="preserve">Further information about the SLR </w:t>
      </w:r>
      <w:r w:rsidRPr="00CB5956">
        <w:t>is included at Attachment 1.</w:t>
      </w:r>
      <w:r>
        <w:t xml:space="preserve"> </w:t>
      </w:r>
      <w:r w:rsidR="001F3061">
        <w:t xml:space="preserve">A summary of its key findings is included at Section </w:t>
      </w:r>
      <w:r w:rsidR="00552EAC">
        <w:t>5</w:t>
      </w:r>
      <w:r w:rsidR="001F3061">
        <w:t xml:space="preserve"> of this report.</w:t>
      </w:r>
    </w:p>
    <w:p w14:paraId="100A9BC4" w14:textId="26A7F785" w:rsidR="000F0CFA" w:rsidRPr="002C453D" w:rsidRDefault="000F0CFA" w:rsidP="00407AF0">
      <w:pPr>
        <w:pStyle w:val="ListAlpha0"/>
        <w:numPr>
          <w:ilvl w:val="0"/>
          <w:numId w:val="0"/>
        </w:numPr>
        <w:ind w:left="425" w:hanging="425"/>
      </w:pPr>
      <w:r w:rsidRPr="00407AF0">
        <w:rPr>
          <w:b/>
          <w:bCs/>
          <w:color w:val="0F4BEB" w:themeColor="accent1"/>
        </w:rPr>
        <w:t>Deliverable 3:</w:t>
      </w:r>
      <w:r w:rsidRPr="00407AF0">
        <w:rPr>
          <w:b/>
          <w:bCs/>
          <w:color w:val="0F4BEB" w:themeColor="accent1"/>
        </w:rPr>
        <w:tab/>
        <w:t xml:space="preserve"> </w:t>
      </w:r>
      <w:r w:rsidRPr="002C453D">
        <w:rPr>
          <w:b/>
          <w:bCs/>
        </w:rPr>
        <w:t xml:space="preserve">Summary Paper of the </w:t>
      </w:r>
      <w:r w:rsidR="00407AF0">
        <w:rPr>
          <w:b/>
          <w:bCs/>
        </w:rPr>
        <w:t>other two deliverables</w:t>
      </w:r>
      <w:r w:rsidRPr="002C453D">
        <w:rPr>
          <w:b/>
          <w:bCs/>
        </w:rPr>
        <w:t xml:space="preserve">, </w:t>
      </w:r>
      <w:r w:rsidRPr="002C453D">
        <w:t xml:space="preserve">written in plain English. </w:t>
      </w:r>
    </w:p>
    <w:p w14:paraId="57C99CDC" w14:textId="77777777" w:rsidR="00175669" w:rsidRDefault="00175669" w:rsidP="00595E32">
      <w:r>
        <w:br w:type="page"/>
      </w:r>
    </w:p>
    <w:p w14:paraId="43BDE051" w14:textId="4AE01257" w:rsidR="00B66C0B" w:rsidRDefault="00373F3F" w:rsidP="00373F3F">
      <w:pPr>
        <w:pStyle w:val="Caption"/>
        <w:rPr>
          <w:rFonts w:ascii="Arial" w:eastAsia="Arial" w:hAnsi="Arial" w:cs="Arial"/>
          <w:b w:val="0"/>
        </w:rPr>
      </w:pPr>
      <w:r>
        <w:lastRenderedPageBreak/>
        <w:t xml:space="preserve">Table </w:t>
      </w:r>
      <w:r>
        <w:fldChar w:fldCharType="begin"/>
      </w:r>
      <w:r>
        <w:instrText xml:space="preserve"> SEQ Table \* ARABIC </w:instrText>
      </w:r>
      <w:r>
        <w:fldChar w:fldCharType="separate"/>
      </w:r>
      <w:r>
        <w:rPr>
          <w:noProof/>
        </w:rPr>
        <w:t>1</w:t>
      </w:r>
      <w:r>
        <w:fldChar w:fldCharType="end"/>
      </w:r>
      <w:r w:rsidR="00175669" w:rsidRPr="00CF4083">
        <w:t>: PRISMA flow diagram of included studies</w:t>
      </w:r>
      <w:r w:rsidR="00175669" w:rsidRPr="00CF4083">
        <w:rPr>
          <w:rFonts w:ascii="Arial" w:eastAsia="Arial" w:hAnsi="Arial" w:cs="Arial"/>
        </w:rPr>
        <w:t xml:space="preserve"> </w:t>
      </w:r>
    </w:p>
    <w:tbl>
      <w:tblPr>
        <w:tblStyle w:val="TableGrid"/>
        <w:tblW w:w="9209" w:type="dxa"/>
        <w:tblLook w:val="04A0" w:firstRow="1" w:lastRow="0" w:firstColumn="1" w:lastColumn="0" w:noHBand="0" w:noVBand="1"/>
      </w:tblPr>
      <w:tblGrid>
        <w:gridCol w:w="700"/>
        <w:gridCol w:w="4647"/>
        <w:gridCol w:w="3862"/>
      </w:tblGrid>
      <w:tr w:rsidR="00B66C0B" w14:paraId="5D703047" w14:textId="77777777" w:rsidTr="00227554">
        <w:trPr>
          <w:trHeight w:val="508"/>
        </w:trPr>
        <w:tc>
          <w:tcPr>
            <w:tcW w:w="700" w:type="dxa"/>
            <w:vMerge w:val="restart"/>
            <w:tcBorders>
              <w:right w:val="single" w:sz="4" w:space="0" w:color="auto"/>
            </w:tcBorders>
            <w:shd w:val="clear" w:color="auto" w:fill="CEDAFC" w:themeFill="accent1" w:themeFillTint="33"/>
            <w:textDirection w:val="btLr"/>
          </w:tcPr>
          <w:p w14:paraId="6D610F66" w14:textId="389A37A4" w:rsidR="00B66C0B" w:rsidRPr="00241D79" w:rsidRDefault="00175669" w:rsidP="00227554">
            <w:pPr>
              <w:spacing w:before="60" w:after="60"/>
              <w:ind w:left="113" w:right="113"/>
              <w:jc w:val="center"/>
              <w:rPr>
                <w:b/>
                <w:bCs/>
                <w:sz w:val="20"/>
                <w:szCs w:val="20"/>
              </w:rPr>
            </w:pPr>
            <w:r>
              <w:rPr>
                <w:b/>
                <w:bCs/>
                <w:sz w:val="20"/>
                <w:szCs w:val="20"/>
              </w:rPr>
              <w:t xml:space="preserve">Identification </w:t>
            </w:r>
          </w:p>
        </w:tc>
        <w:tc>
          <w:tcPr>
            <w:tcW w:w="8509" w:type="dxa"/>
            <w:gridSpan w:val="2"/>
            <w:tcBorders>
              <w:top w:val="nil"/>
              <w:left w:val="single" w:sz="4" w:space="0" w:color="auto"/>
              <w:bottom w:val="nil"/>
              <w:right w:val="nil"/>
            </w:tcBorders>
            <w:shd w:val="clear" w:color="auto" w:fill="0F4BEB" w:themeFill="accent1"/>
          </w:tcPr>
          <w:p w14:paraId="3F98A148" w14:textId="5339512F" w:rsidR="00B66C0B" w:rsidRPr="00241D79" w:rsidRDefault="00B66C0B" w:rsidP="00227554">
            <w:pPr>
              <w:spacing w:after="0" w:line="240" w:lineRule="auto"/>
              <w:ind w:left="-242"/>
              <w:jc w:val="center"/>
              <w:rPr>
                <w:rFonts w:ascii="Arial" w:hAnsi="Arial" w:cs="Arial"/>
                <w:b/>
                <w:color w:val="000000" w:themeColor="text1"/>
                <w:sz w:val="18"/>
                <w:szCs w:val="18"/>
              </w:rPr>
            </w:pPr>
            <w:r w:rsidRPr="00D22C84">
              <w:rPr>
                <w:rFonts w:ascii="Arial" w:hAnsi="Arial" w:cs="Arial"/>
                <w:b/>
                <w:color w:val="FFFFFF" w:themeColor="background1"/>
                <w:sz w:val="18"/>
                <w:szCs w:val="18"/>
              </w:rPr>
              <w:t xml:space="preserve">Identification of </w:t>
            </w:r>
            <w:r w:rsidR="004F4A05">
              <w:rPr>
                <w:rFonts w:ascii="Arial" w:hAnsi="Arial" w:cs="Arial"/>
                <w:b/>
                <w:color w:val="FFFFFF" w:themeColor="background1"/>
                <w:sz w:val="18"/>
                <w:szCs w:val="18"/>
              </w:rPr>
              <w:t>peer</w:t>
            </w:r>
            <w:r w:rsidR="00590F26">
              <w:rPr>
                <w:rFonts w:ascii="Arial" w:hAnsi="Arial" w:cs="Arial"/>
                <w:b/>
                <w:color w:val="FFFFFF" w:themeColor="background1"/>
                <w:sz w:val="18"/>
                <w:szCs w:val="18"/>
              </w:rPr>
              <w:t>-</w:t>
            </w:r>
            <w:r w:rsidR="004F4A05">
              <w:rPr>
                <w:rFonts w:ascii="Arial" w:hAnsi="Arial" w:cs="Arial"/>
                <w:b/>
                <w:color w:val="FFFFFF" w:themeColor="background1"/>
                <w:sz w:val="18"/>
                <w:szCs w:val="18"/>
              </w:rPr>
              <w:t xml:space="preserve">reviewed </w:t>
            </w:r>
            <w:r w:rsidRPr="00D22C84">
              <w:rPr>
                <w:rFonts w:ascii="Arial" w:hAnsi="Arial" w:cs="Arial"/>
                <w:b/>
                <w:color w:val="FFFFFF" w:themeColor="background1"/>
                <w:sz w:val="18"/>
                <w:szCs w:val="18"/>
              </w:rPr>
              <w:t xml:space="preserve">studies </w:t>
            </w:r>
            <w:r w:rsidRPr="00A135B5">
              <w:rPr>
                <w:rFonts w:ascii="Arial" w:hAnsi="Arial" w:cs="Arial"/>
                <w:b/>
                <w:color w:val="FFFFFF" w:themeColor="background1"/>
                <w:sz w:val="18"/>
                <w:szCs w:val="18"/>
              </w:rPr>
              <w:t>via databases and registers conducted by</w:t>
            </w:r>
            <w:r w:rsidRPr="00A135B5">
              <w:rPr>
                <w:rFonts w:ascii="Arial" w:hAnsi="Arial" w:cs="Arial"/>
                <w:b/>
                <w:color w:val="FFFFFF" w:themeColor="background1"/>
                <w:sz w:val="18"/>
                <w:szCs w:val="18"/>
              </w:rPr>
              <w:br/>
              <w:t xml:space="preserve">the Department of </w:t>
            </w:r>
            <w:r>
              <w:rPr>
                <w:rFonts w:ascii="Arial" w:hAnsi="Arial" w:cs="Arial"/>
                <w:b/>
                <w:color w:val="FFFFFF" w:themeColor="background1"/>
                <w:sz w:val="18"/>
                <w:szCs w:val="18"/>
              </w:rPr>
              <w:t>H</w:t>
            </w:r>
            <w:r w:rsidRPr="00A135B5">
              <w:rPr>
                <w:rFonts w:ascii="Arial" w:hAnsi="Arial" w:cs="Arial"/>
                <w:b/>
                <w:color w:val="FFFFFF" w:themeColor="background1"/>
                <w:sz w:val="18"/>
                <w:szCs w:val="18"/>
              </w:rPr>
              <w:t xml:space="preserve">ealth and </w:t>
            </w:r>
            <w:r>
              <w:rPr>
                <w:rFonts w:ascii="Arial" w:hAnsi="Arial" w:cs="Arial"/>
                <w:b/>
                <w:color w:val="FFFFFF" w:themeColor="background1"/>
                <w:sz w:val="18"/>
                <w:szCs w:val="18"/>
              </w:rPr>
              <w:t>A</w:t>
            </w:r>
            <w:r w:rsidRPr="00A135B5">
              <w:rPr>
                <w:rFonts w:ascii="Arial" w:hAnsi="Arial" w:cs="Arial"/>
                <w:b/>
                <w:color w:val="FFFFFF" w:themeColor="background1"/>
                <w:sz w:val="18"/>
                <w:szCs w:val="18"/>
              </w:rPr>
              <w:t>ged Care</w:t>
            </w:r>
            <w:r>
              <w:rPr>
                <w:rFonts w:ascii="Arial" w:hAnsi="Arial" w:cs="Arial"/>
                <w:b/>
                <w:color w:val="FFFFFF" w:themeColor="background1"/>
                <w:sz w:val="18"/>
                <w:szCs w:val="18"/>
              </w:rPr>
              <w:t>, followed by UTS-led research team</w:t>
            </w:r>
          </w:p>
        </w:tc>
      </w:tr>
      <w:tr w:rsidR="00B66C0B" w14:paraId="55B17728" w14:textId="77777777" w:rsidTr="00987B25">
        <w:trPr>
          <w:cantSplit/>
          <w:trHeight w:val="2813"/>
        </w:trPr>
        <w:tc>
          <w:tcPr>
            <w:tcW w:w="700" w:type="dxa"/>
            <w:vMerge/>
            <w:tcBorders>
              <w:right w:val="single" w:sz="4" w:space="0" w:color="auto"/>
            </w:tcBorders>
            <w:shd w:val="clear" w:color="auto" w:fill="CEDAFC" w:themeFill="accent1" w:themeFillTint="33"/>
            <w:textDirection w:val="btLr"/>
          </w:tcPr>
          <w:p w14:paraId="33F90DED" w14:textId="77777777" w:rsidR="00B66C0B" w:rsidRPr="00241D79" w:rsidRDefault="00B66C0B" w:rsidP="00227554">
            <w:pPr>
              <w:spacing w:before="60" w:after="60"/>
              <w:ind w:left="113" w:right="113"/>
              <w:jc w:val="center"/>
              <w:rPr>
                <w:b/>
                <w:bCs/>
                <w:sz w:val="20"/>
                <w:szCs w:val="20"/>
              </w:rPr>
            </w:pPr>
          </w:p>
        </w:tc>
        <w:tc>
          <w:tcPr>
            <w:tcW w:w="4647" w:type="dxa"/>
            <w:tcBorders>
              <w:top w:val="nil"/>
              <w:left w:val="single" w:sz="4" w:space="0" w:color="auto"/>
              <w:bottom w:val="nil"/>
              <w:right w:val="nil"/>
            </w:tcBorders>
          </w:tcPr>
          <w:p w14:paraId="749819C8" w14:textId="77777777" w:rsidR="00B66C0B" w:rsidRDefault="00B66C0B" w:rsidP="00227554">
            <w:pPr>
              <w:ind w:left="-242"/>
            </w:pPr>
            <w:r>
              <w:rPr>
                <w:noProof/>
              </w:rPr>
              <mc:AlternateContent>
                <mc:Choice Requires="wps">
                  <w:drawing>
                    <wp:anchor distT="0" distB="0" distL="114300" distR="114300" simplePos="0" relativeHeight="251658260" behindDoc="0" locked="0" layoutInCell="1" allowOverlap="1" wp14:anchorId="15DB22CC" wp14:editId="4573F9DC">
                      <wp:simplePos x="0" y="0"/>
                      <wp:positionH relativeFrom="column">
                        <wp:posOffset>1157605</wp:posOffset>
                      </wp:positionH>
                      <wp:positionV relativeFrom="paragraph">
                        <wp:posOffset>1708150</wp:posOffset>
                      </wp:positionV>
                      <wp:extent cx="0" cy="228600"/>
                      <wp:effectExtent l="76200" t="0" r="57150" b="57150"/>
                      <wp:wrapNone/>
                      <wp:docPr id="1789402541" name="Straight Arrow Connector 1789402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58F2EE" id="_x0000_t32" coordsize="21600,21600" o:spt="32" o:oned="t" path="m,l21600,21600e" filled="f">
                      <v:path arrowok="t" fillok="f" o:connecttype="none"/>
                      <o:lock v:ext="edit" shapetype="t"/>
                    </v:shapetype>
                    <v:shape id="Straight Arrow Connector 1789402541" o:spid="_x0000_s1026" type="#_x0000_t32" alt="&quot;&quot;" style="position:absolute;margin-left:91.15pt;margin-top:134.5pt;width:0;height:18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" strokecolor="#0e46de [3044]">
                      <v:stroke endarrow="block"/>
                    </v:shape>
                  </w:pict>
                </mc:Fallback>
              </mc:AlternateContent>
            </w:r>
            <w:r>
              <w:rPr>
                <w:noProof/>
              </w:rPr>
              <mc:AlternateContent>
                <mc:Choice Requires="wps">
                  <w:drawing>
                    <wp:anchor distT="0" distB="0" distL="114300" distR="114300" simplePos="0" relativeHeight="251658255" behindDoc="0" locked="0" layoutInCell="1" allowOverlap="1" wp14:anchorId="3837ED06" wp14:editId="16707C85">
                      <wp:simplePos x="0" y="0"/>
                      <wp:positionH relativeFrom="column">
                        <wp:posOffset>2548255</wp:posOffset>
                      </wp:positionH>
                      <wp:positionV relativeFrom="paragraph">
                        <wp:posOffset>688975</wp:posOffset>
                      </wp:positionV>
                      <wp:extent cx="371475" cy="0"/>
                      <wp:effectExtent l="0" t="76200" r="9525" b="95250"/>
                      <wp:wrapNone/>
                      <wp:docPr id="404353969" name="Straight Arrow Connector 404353969" descr="Prisma flow diagram of included studies outlines the identification of peer reviewed studies via databases and registers conducted by the Department of Health and Aged Care, followed by the UTS led research team"/>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D6C89" id="Straight Arrow Connector 404353969" o:spid="_x0000_s1026" type="#_x0000_t32" alt="Prisma flow diagram of included studies outlines the identification of peer reviewed studies via databases and registers conducted by the Department of Health and Aged Care, followed by the UTS led research team" style="position:absolute;margin-left:200.65pt;margin-top:54.25pt;width:29.25pt;height:0;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" strokecolor="#0e46de [3044]">
                      <v:stroke endarrow="block"/>
                    </v:shape>
                  </w:pict>
                </mc:Fallback>
              </mc:AlternateContent>
            </w:r>
            <w:r>
              <w:rPr>
                <w:noProof/>
              </w:rPr>
              <mc:AlternateContent>
                <mc:Choice Requires="wps">
                  <w:drawing>
                    <wp:anchor distT="0" distB="0" distL="114300" distR="114300" simplePos="0" relativeHeight="251658244" behindDoc="0" locked="0" layoutInCell="1" allowOverlap="1" wp14:anchorId="384C3F10" wp14:editId="601C0B92">
                      <wp:simplePos x="0" y="0"/>
                      <wp:positionH relativeFrom="column">
                        <wp:posOffset>109855</wp:posOffset>
                      </wp:positionH>
                      <wp:positionV relativeFrom="paragraph">
                        <wp:posOffset>50800</wp:posOffset>
                      </wp:positionV>
                      <wp:extent cx="2343150" cy="1600200"/>
                      <wp:effectExtent l="0" t="0" r="19050" b="19050"/>
                      <wp:wrapTopAndBottom/>
                      <wp:docPr id="1100307583" name="Rectangle 1100307583"/>
                      <wp:cNvGraphicFramePr/>
                      <a:graphic xmlns:a="http://schemas.openxmlformats.org/drawingml/2006/main">
                        <a:graphicData uri="http://schemas.microsoft.com/office/word/2010/wordprocessingShape">
                          <wps:wsp>
                            <wps:cNvSpPr/>
                            <wps:spPr>
                              <a:xfrm>
                                <a:off x="0" y="0"/>
                                <a:ext cx="234315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B241C" w14:textId="77777777" w:rsidR="00B66C0B" w:rsidRDefault="00B66C0B" w:rsidP="00B66C0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by the Department from the following data bases:</w:t>
                                  </w:r>
                                </w:p>
                                <w:p w14:paraId="3A25038A" w14:textId="77777777" w:rsidR="00B66C0B" w:rsidRPr="00AF7DF4" w:rsidRDefault="00B66C0B" w:rsidP="00B66C0B">
                                  <w:pPr>
                                    <w:spacing w:after="0" w:line="240" w:lineRule="auto"/>
                                    <w:ind w:left="284"/>
                                    <w:rPr>
                                      <w:rFonts w:ascii="Arial" w:hAnsi="Arial" w:cs="Arial"/>
                                      <w:color w:val="000000" w:themeColor="text1"/>
                                      <w:sz w:val="18"/>
                                      <w:szCs w:val="20"/>
                                      <w:lang w:val="pt-BR"/>
                                    </w:rPr>
                                  </w:pPr>
                                  <w:r w:rsidRPr="00AF7DF4">
                                    <w:rPr>
                                      <w:rFonts w:ascii="Arial" w:hAnsi="Arial" w:cs="Arial"/>
                                      <w:color w:val="000000" w:themeColor="text1"/>
                                      <w:sz w:val="18"/>
                                      <w:szCs w:val="20"/>
                                      <w:lang w:val="pt-BR"/>
                                    </w:rPr>
                                    <w:t>CINAHL (n = 610)</w:t>
                                  </w:r>
                                  <w:r w:rsidRPr="00AF7DF4">
                                    <w:rPr>
                                      <w:rFonts w:ascii="Arial" w:hAnsi="Arial" w:cs="Arial"/>
                                      <w:color w:val="000000" w:themeColor="text1"/>
                                      <w:sz w:val="18"/>
                                      <w:szCs w:val="20"/>
                                      <w:lang w:val="pt-BR"/>
                                    </w:rPr>
                                    <w:br/>
                                    <w:t>EMBASE (n = 1067)</w:t>
                                  </w:r>
                                </w:p>
                                <w:p w14:paraId="390595E8" w14:textId="77777777" w:rsidR="00B66C0B" w:rsidRPr="00AF7DF4" w:rsidRDefault="00B66C0B" w:rsidP="00B66C0B">
                                  <w:pPr>
                                    <w:spacing w:after="0" w:line="240" w:lineRule="auto"/>
                                    <w:ind w:left="284"/>
                                    <w:rPr>
                                      <w:rFonts w:ascii="Arial" w:hAnsi="Arial" w:cs="Arial"/>
                                      <w:color w:val="000000" w:themeColor="text1"/>
                                      <w:sz w:val="18"/>
                                      <w:szCs w:val="20"/>
                                      <w:lang w:val="pt-BR"/>
                                    </w:rPr>
                                  </w:pPr>
                                  <w:r w:rsidRPr="00AF7DF4">
                                    <w:rPr>
                                      <w:rFonts w:ascii="Arial" w:hAnsi="Arial" w:cs="Arial"/>
                                      <w:color w:val="000000" w:themeColor="text1"/>
                                      <w:sz w:val="18"/>
                                      <w:szCs w:val="20"/>
                                      <w:lang w:val="pt-BR"/>
                                    </w:rPr>
                                    <w:t>Global Health (n = 340)</w:t>
                                  </w:r>
                                </w:p>
                                <w:p w14:paraId="2654B7C7" w14:textId="77777777" w:rsidR="00B66C0B" w:rsidRDefault="00B66C0B" w:rsidP="00B66C0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Health Policy Reference Center (n = 64)</w:t>
                                  </w:r>
                                </w:p>
                                <w:p w14:paraId="1B1B269C" w14:textId="77777777" w:rsidR="00B66C0B" w:rsidRPr="00AF7DF4" w:rsidRDefault="00B66C0B" w:rsidP="00B66C0B">
                                  <w:pPr>
                                    <w:spacing w:after="0" w:line="240" w:lineRule="auto"/>
                                    <w:ind w:left="284"/>
                                    <w:rPr>
                                      <w:rFonts w:ascii="Arial" w:hAnsi="Arial" w:cs="Arial"/>
                                      <w:color w:val="000000" w:themeColor="text1"/>
                                      <w:sz w:val="18"/>
                                      <w:szCs w:val="20"/>
                                      <w:lang w:val="pt-BR"/>
                                    </w:rPr>
                                  </w:pPr>
                                  <w:r w:rsidRPr="00AF7DF4">
                                    <w:rPr>
                                      <w:rFonts w:ascii="Arial" w:hAnsi="Arial" w:cs="Arial"/>
                                      <w:color w:val="000000" w:themeColor="text1"/>
                                      <w:sz w:val="18"/>
                                      <w:szCs w:val="20"/>
                                      <w:lang w:val="pt-BR"/>
                                    </w:rPr>
                                    <w:t>Informit (n = 283)</w:t>
                                  </w:r>
                                  <w:r w:rsidRPr="00AF7DF4">
                                    <w:rPr>
                                      <w:rFonts w:ascii="Arial" w:hAnsi="Arial" w:cs="Arial"/>
                                      <w:color w:val="000000" w:themeColor="text1"/>
                                      <w:sz w:val="18"/>
                                      <w:szCs w:val="20"/>
                                      <w:lang w:val="pt-BR"/>
                                    </w:rPr>
                                    <w:br/>
                                    <w:t>Medline (n = 645)</w:t>
                                  </w:r>
                                </w:p>
                                <w:p w14:paraId="7BA4F5ED" w14:textId="77777777" w:rsidR="00B66C0B" w:rsidRPr="00AF7DF4" w:rsidRDefault="00B66C0B" w:rsidP="00B66C0B">
                                  <w:pPr>
                                    <w:spacing w:after="0" w:line="240" w:lineRule="auto"/>
                                    <w:ind w:left="284"/>
                                    <w:rPr>
                                      <w:rFonts w:ascii="Arial" w:hAnsi="Arial" w:cs="Arial"/>
                                      <w:color w:val="000000" w:themeColor="text1"/>
                                      <w:sz w:val="18"/>
                                      <w:szCs w:val="20"/>
                                      <w:lang w:val="pt-BR"/>
                                    </w:rPr>
                                  </w:pPr>
                                  <w:r w:rsidRPr="00AF7DF4">
                                    <w:rPr>
                                      <w:rFonts w:ascii="Arial" w:hAnsi="Arial" w:cs="Arial"/>
                                      <w:color w:val="000000" w:themeColor="text1"/>
                                      <w:sz w:val="18"/>
                                      <w:szCs w:val="20"/>
                                      <w:lang w:val="pt-BR"/>
                                    </w:rPr>
                                    <w:t>PsycInfo (n = 326)</w:t>
                                  </w:r>
                                </w:p>
                                <w:p w14:paraId="027B7B57" w14:textId="77777777" w:rsidR="00B66C0B" w:rsidRPr="003A087D" w:rsidRDefault="00B66C0B" w:rsidP="00B66C0B">
                                  <w:pPr>
                                    <w:spacing w:after="0" w:line="240" w:lineRule="auto"/>
                                    <w:ind w:left="284"/>
                                    <w:rPr>
                                      <w:rFonts w:ascii="Arial" w:hAnsi="Arial" w:cs="Arial"/>
                                      <w:b/>
                                      <w:bCs/>
                                      <w:color w:val="000000" w:themeColor="text1"/>
                                      <w:sz w:val="18"/>
                                      <w:szCs w:val="20"/>
                                    </w:rPr>
                                  </w:pPr>
                                  <w:r w:rsidRPr="003A087D">
                                    <w:rPr>
                                      <w:rFonts w:ascii="Arial" w:hAnsi="Arial" w:cs="Arial"/>
                                      <w:b/>
                                      <w:bCs/>
                                      <w:color w:val="000000" w:themeColor="text1"/>
                                      <w:sz w:val="18"/>
                                      <w:szCs w:val="20"/>
                                    </w:rPr>
                                    <w:t>TOTAL (n= 3335)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C3F10" id="Rectangle 1100307583" o:spid="_x0000_s1028" style="position:absolute;left:0;text-align:left;margin-left:8.65pt;margin-top:4pt;width:184.5pt;height:1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" filled="f" strokecolor="black [3213]" strokeweight="2pt">
                      <v:textbox>
                        <w:txbxContent>
                          <w:p w14:paraId="277B241C" w14:textId="77777777" w:rsidR="00B66C0B" w:rsidRDefault="00B66C0B" w:rsidP="00B66C0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by the Department from the following data bases:</w:t>
                            </w:r>
                          </w:p>
                          <w:p w14:paraId="3A25038A" w14:textId="77777777" w:rsidR="00B66C0B" w:rsidRPr="00AF7DF4" w:rsidRDefault="00B66C0B" w:rsidP="00B66C0B">
                            <w:pPr>
                              <w:spacing w:after="0" w:line="240" w:lineRule="auto"/>
                              <w:ind w:left="284"/>
                              <w:rPr>
                                <w:rFonts w:ascii="Arial" w:hAnsi="Arial" w:cs="Arial"/>
                                <w:color w:val="000000" w:themeColor="text1"/>
                                <w:sz w:val="18"/>
                                <w:szCs w:val="20"/>
                                <w:lang w:val="pt-BR"/>
                              </w:rPr>
                            </w:pPr>
                            <w:r w:rsidRPr="00AF7DF4">
                              <w:rPr>
                                <w:rFonts w:ascii="Arial" w:hAnsi="Arial" w:cs="Arial"/>
                                <w:color w:val="000000" w:themeColor="text1"/>
                                <w:sz w:val="18"/>
                                <w:szCs w:val="20"/>
                                <w:lang w:val="pt-BR"/>
                              </w:rPr>
                              <w:t>CINAHL (n = 610)</w:t>
                            </w:r>
                            <w:r w:rsidRPr="00AF7DF4">
                              <w:rPr>
                                <w:rFonts w:ascii="Arial" w:hAnsi="Arial" w:cs="Arial"/>
                                <w:color w:val="000000" w:themeColor="text1"/>
                                <w:sz w:val="18"/>
                                <w:szCs w:val="20"/>
                                <w:lang w:val="pt-BR"/>
                              </w:rPr>
                              <w:br/>
                              <w:t>EMBASE (n = 1067)</w:t>
                            </w:r>
                          </w:p>
                          <w:p w14:paraId="390595E8" w14:textId="77777777" w:rsidR="00B66C0B" w:rsidRPr="00AF7DF4" w:rsidRDefault="00B66C0B" w:rsidP="00B66C0B">
                            <w:pPr>
                              <w:spacing w:after="0" w:line="240" w:lineRule="auto"/>
                              <w:ind w:left="284"/>
                              <w:rPr>
                                <w:rFonts w:ascii="Arial" w:hAnsi="Arial" w:cs="Arial"/>
                                <w:color w:val="000000" w:themeColor="text1"/>
                                <w:sz w:val="18"/>
                                <w:szCs w:val="20"/>
                                <w:lang w:val="pt-BR"/>
                              </w:rPr>
                            </w:pPr>
                            <w:r w:rsidRPr="00AF7DF4">
                              <w:rPr>
                                <w:rFonts w:ascii="Arial" w:hAnsi="Arial" w:cs="Arial"/>
                                <w:color w:val="000000" w:themeColor="text1"/>
                                <w:sz w:val="18"/>
                                <w:szCs w:val="20"/>
                                <w:lang w:val="pt-BR"/>
                              </w:rPr>
                              <w:t>Global Health (n = 340)</w:t>
                            </w:r>
                          </w:p>
                          <w:p w14:paraId="2654B7C7" w14:textId="77777777" w:rsidR="00B66C0B" w:rsidRDefault="00B66C0B" w:rsidP="00B66C0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Health Policy Reference Center (n = 64)</w:t>
                            </w:r>
                          </w:p>
                          <w:p w14:paraId="1B1B269C" w14:textId="77777777" w:rsidR="00B66C0B" w:rsidRPr="00AF7DF4" w:rsidRDefault="00B66C0B" w:rsidP="00B66C0B">
                            <w:pPr>
                              <w:spacing w:after="0" w:line="240" w:lineRule="auto"/>
                              <w:ind w:left="284"/>
                              <w:rPr>
                                <w:rFonts w:ascii="Arial" w:hAnsi="Arial" w:cs="Arial"/>
                                <w:color w:val="000000" w:themeColor="text1"/>
                                <w:sz w:val="18"/>
                                <w:szCs w:val="20"/>
                                <w:lang w:val="pt-BR"/>
                              </w:rPr>
                            </w:pPr>
                            <w:r w:rsidRPr="00AF7DF4">
                              <w:rPr>
                                <w:rFonts w:ascii="Arial" w:hAnsi="Arial" w:cs="Arial"/>
                                <w:color w:val="000000" w:themeColor="text1"/>
                                <w:sz w:val="18"/>
                                <w:szCs w:val="20"/>
                                <w:lang w:val="pt-BR"/>
                              </w:rPr>
                              <w:t>Informit (n = 283)</w:t>
                            </w:r>
                            <w:r w:rsidRPr="00AF7DF4">
                              <w:rPr>
                                <w:rFonts w:ascii="Arial" w:hAnsi="Arial" w:cs="Arial"/>
                                <w:color w:val="000000" w:themeColor="text1"/>
                                <w:sz w:val="18"/>
                                <w:szCs w:val="20"/>
                                <w:lang w:val="pt-BR"/>
                              </w:rPr>
                              <w:br/>
                              <w:t>Medline (n = 645)</w:t>
                            </w:r>
                          </w:p>
                          <w:p w14:paraId="7BA4F5ED" w14:textId="77777777" w:rsidR="00B66C0B" w:rsidRPr="00AF7DF4" w:rsidRDefault="00B66C0B" w:rsidP="00B66C0B">
                            <w:pPr>
                              <w:spacing w:after="0" w:line="240" w:lineRule="auto"/>
                              <w:ind w:left="284"/>
                              <w:rPr>
                                <w:rFonts w:ascii="Arial" w:hAnsi="Arial" w:cs="Arial"/>
                                <w:color w:val="000000" w:themeColor="text1"/>
                                <w:sz w:val="18"/>
                                <w:szCs w:val="20"/>
                                <w:lang w:val="pt-BR"/>
                              </w:rPr>
                            </w:pPr>
                            <w:r w:rsidRPr="00AF7DF4">
                              <w:rPr>
                                <w:rFonts w:ascii="Arial" w:hAnsi="Arial" w:cs="Arial"/>
                                <w:color w:val="000000" w:themeColor="text1"/>
                                <w:sz w:val="18"/>
                                <w:szCs w:val="20"/>
                                <w:lang w:val="pt-BR"/>
                              </w:rPr>
                              <w:t>PsycInfo (n = 326)</w:t>
                            </w:r>
                          </w:p>
                          <w:p w14:paraId="027B7B57" w14:textId="77777777" w:rsidR="00B66C0B" w:rsidRPr="003A087D" w:rsidRDefault="00B66C0B" w:rsidP="00B66C0B">
                            <w:pPr>
                              <w:spacing w:after="0" w:line="240" w:lineRule="auto"/>
                              <w:ind w:left="284"/>
                              <w:rPr>
                                <w:rFonts w:ascii="Arial" w:hAnsi="Arial" w:cs="Arial"/>
                                <w:b/>
                                <w:bCs/>
                                <w:color w:val="000000" w:themeColor="text1"/>
                                <w:sz w:val="18"/>
                                <w:szCs w:val="20"/>
                              </w:rPr>
                            </w:pPr>
                            <w:r w:rsidRPr="003A087D">
                              <w:rPr>
                                <w:rFonts w:ascii="Arial" w:hAnsi="Arial" w:cs="Arial"/>
                                <w:b/>
                                <w:bCs/>
                                <w:color w:val="000000" w:themeColor="text1"/>
                                <w:sz w:val="18"/>
                                <w:szCs w:val="20"/>
                              </w:rPr>
                              <w:t>TOTAL (n= 3335)</w:t>
                            </w:r>
                          </w:p>
                        </w:txbxContent>
                      </v:textbox>
                      <w10:wrap type="topAndBottom"/>
                    </v:rect>
                  </w:pict>
                </mc:Fallback>
              </mc:AlternateContent>
            </w:r>
          </w:p>
        </w:tc>
        <w:tc>
          <w:tcPr>
            <w:tcW w:w="3862" w:type="dxa"/>
            <w:tcBorders>
              <w:top w:val="nil"/>
              <w:left w:val="nil"/>
              <w:bottom w:val="nil"/>
              <w:right w:val="nil"/>
            </w:tcBorders>
          </w:tcPr>
          <w:p w14:paraId="0A2201F3" w14:textId="77777777" w:rsidR="00B66C0B" w:rsidRDefault="00B66C0B" w:rsidP="00227554">
            <w:pPr>
              <w:ind w:left="-242"/>
            </w:pPr>
            <w:r>
              <w:rPr>
                <w:noProof/>
              </w:rPr>
              <mc:AlternateContent>
                <mc:Choice Requires="wps">
                  <w:drawing>
                    <wp:anchor distT="0" distB="0" distL="114300" distR="114300" simplePos="0" relativeHeight="251658245" behindDoc="0" locked="0" layoutInCell="1" allowOverlap="1" wp14:anchorId="2EF4DA2C" wp14:editId="0262A6AD">
                      <wp:simplePos x="0" y="0"/>
                      <wp:positionH relativeFrom="column">
                        <wp:posOffset>-3175</wp:posOffset>
                      </wp:positionH>
                      <wp:positionV relativeFrom="paragraph">
                        <wp:posOffset>50800</wp:posOffset>
                      </wp:positionV>
                      <wp:extent cx="2343150" cy="1242695"/>
                      <wp:effectExtent l="0" t="0" r="19050" b="14605"/>
                      <wp:wrapNone/>
                      <wp:docPr id="141772410" name="Rectangle 141772410"/>
                      <wp:cNvGraphicFramePr/>
                      <a:graphic xmlns:a="http://schemas.openxmlformats.org/drawingml/2006/main">
                        <a:graphicData uri="http://schemas.microsoft.com/office/word/2010/wordprocessingShape">
                          <wps:wsp>
                            <wps:cNvSpPr/>
                            <wps:spPr>
                              <a:xfrm>
                                <a:off x="0" y="0"/>
                                <a:ext cx="2343150" cy="1242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DCB9E" w14:textId="77777777" w:rsidR="00B66C0B"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Duplicates removed by the Department both automatically and manually </w:t>
                                  </w:r>
                                  <w:r>
                                    <w:rPr>
                                      <w:rFonts w:ascii="Arial" w:hAnsi="Arial" w:cs="Arial"/>
                                      <w:color w:val="000000" w:themeColor="text1"/>
                                      <w:sz w:val="18"/>
                                      <w:szCs w:val="20"/>
                                    </w:rPr>
                                    <w:br/>
                                  </w:r>
                                  <w:r w:rsidRPr="003A087D">
                                    <w:rPr>
                                      <w:rFonts w:ascii="Arial" w:hAnsi="Arial" w:cs="Arial"/>
                                      <w:b/>
                                      <w:bCs/>
                                      <w:color w:val="000000" w:themeColor="text1"/>
                                      <w:sz w:val="18"/>
                                      <w:szCs w:val="20"/>
                                    </w:rPr>
                                    <w:t>(n = 1</w:t>
                                  </w:r>
                                  <w:r>
                                    <w:rPr>
                                      <w:rFonts w:ascii="Arial" w:hAnsi="Arial" w:cs="Arial"/>
                                      <w:b/>
                                      <w:bCs/>
                                      <w:color w:val="000000" w:themeColor="text1"/>
                                      <w:sz w:val="18"/>
                                      <w:szCs w:val="20"/>
                                    </w:rPr>
                                    <w:t>440</w:t>
                                  </w:r>
                                  <w:r w:rsidRPr="003A087D">
                                    <w:rPr>
                                      <w:rFonts w:ascii="Arial" w:hAnsi="Arial" w:cs="Arial"/>
                                      <w:b/>
                                      <w:bCs/>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4DA2C" id="Rectangle 141772410" o:spid="_x0000_s1029" style="position:absolute;left:0;text-align:left;margin-left:-.25pt;margin-top:4pt;width:184.5pt;height:97.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" filled="f" strokecolor="black [3213]" strokeweight="2pt">
                      <v:textbox>
                        <w:txbxContent>
                          <w:p w14:paraId="251DCB9E" w14:textId="77777777" w:rsidR="00B66C0B"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Duplicates removed by the Department both automatically and manually </w:t>
                            </w:r>
                            <w:r>
                              <w:rPr>
                                <w:rFonts w:ascii="Arial" w:hAnsi="Arial" w:cs="Arial"/>
                                <w:color w:val="000000" w:themeColor="text1"/>
                                <w:sz w:val="18"/>
                                <w:szCs w:val="20"/>
                              </w:rPr>
                              <w:br/>
                            </w:r>
                            <w:r w:rsidRPr="003A087D">
                              <w:rPr>
                                <w:rFonts w:ascii="Arial" w:hAnsi="Arial" w:cs="Arial"/>
                                <w:b/>
                                <w:bCs/>
                                <w:color w:val="000000" w:themeColor="text1"/>
                                <w:sz w:val="18"/>
                                <w:szCs w:val="20"/>
                              </w:rPr>
                              <w:t>(n = 1</w:t>
                            </w:r>
                            <w:r>
                              <w:rPr>
                                <w:rFonts w:ascii="Arial" w:hAnsi="Arial" w:cs="Arial"/>
                                <w:b/>
                                <w:bCs/>
                                <w:color w:val="000000" w:themeColor="text1"/>
                                <w:sz w:val="18"/>
                                <w:szCs w:val="20"/>
                              </w:rPr>
                              <w:t>440</w:t>
                            </w:r>
                            <w:r w:rsidRPr="003A087D">
                              <w:rPr>
                                <w:rFonts w:ascii="Arial" w:hAnsi="Arial" w:cs="Arial"/>
                                <w:b/>
                                <w:bCs/>
                                <w:color w:val="000000" w:themeColor="text1"/>
                                <w:sz w:val="18"/>
                                <w:szCs w:val="20"/>
                              </w:rPr>
                              <w:t>)</w:t>
                            </w:r>
                          </w:p>
                        </w:txbxContent>
                      </v:textbox>
                    </v:rect>
                  </w:pict>
                </mc:Fallback>
              </mc:AlternateContent>
            </w:r>
          </w:p>
        </w:tc>
      </w:tr>
      <w:tr w:rsidR="00B66C0B" w14:paraId="1114CB8E" w14:textId="77777777" w:rsidTr="00227554">
        <w:trPr>
          <w:cantSplit/>
          <w:trHeight w:val="2402"/>
        </w:trPr>
        <w:tc>
          <w:tcPr>
            <w:tcW w:w="700" w:type="dxa"/>
            <w:tcBorders>
              <w:right w:val="single" w:sz="4" w:space="0" w:color="auto"/>
            </w:tcBorders>
            <w:shd w:val="clear" w:color="auto" w:fill="6C91F5" w:themeFill="accent1" w:themeFillTint="99"/>
            <w:textDirection w:val="btLr"/>
          </w:tcPr>
          <w:p w14:paraId="143515FF" w14:textId="77777777" w:rsidR="00B66C0B" w:rsidRPr="00241D79" w:rsidRDefault="00B66C0B" w:rsidP="00227554">
            <w:pPr>
              <w:spacing w:before="60" w:after="60"/>
              <w:ind w:left="113" w:right="113"/>
              <w:jc w:val="center"/>
              <w:rPr>
                <w:b/>
                <w:bCs/>
                <w:sz w:val="20"/>
                <w:szCs w:val="20"/>
              </w:rPr>
            </w:pPr>
            <w:r w:rsidRPr="00241D79">
              <w:rPr>
                <w:b/>
                <w:bCs/>
                <w:sz w:val="20"/>
                <w:szCs w:val="20"/>
              </w:rPr>
              <w:t>Department Screening</w:t>
            </w:r>
          </w:p>
        </w:tc>
        <w:tc>
          <w:tcPr>
            <w:tcW w:w="4647" w:type="dxa"/>
            <w:tcBorders>
              <w:top w:val="nil"/>
              <w:left w:val="single" w:sz="4" w:space="0" w:color="auto"/>
              <w:bottom w:val="nil"/>
              <w:right w:val="nil"/>
            </w:tcBorders>
          </w:tcPr>
          <w:p w14:paraId="539990A8" w14:textId="77777777" w:rsidR="00B66C0B" w:rsidRDefault="00B66C0B" w:rsidP="00227554">
            <w:pPr>
              <w:ind w:left="-242"/>
            </w:pPr>
            <w:r>
              <w:rPr>
                <w:noProof/>
              </w:rPr>
              <mc:AlternateContent>
                <mc:Choice Requires="wps">
                  <w:drawing>
                    <wp:anchor distT="0" distB="0" distL="114300" distR="114300" simplePos="0" relativeHeight="251658262" behindDoc="0" locked="0" layoutInCell="1" allowOverlap="1" wp14:anchorId="1DA0E26A" wp14:editId="13709A8C">
                      <wp:simplePos x="0" y="0"/>
                      <wp:positionH relativeFrom="column">
                        <wp:posOffset>1201420</wp:posOffset>
                      </wp:positionH>
                      <wp:positionV relativeFrom="paragraph">
                        <wp:posOffset>1348105</wp:posOffset>
                      </wp:positionV>
                      <wp:extent cx="0" cy="228600"/>
                      <wp:effectExtent l="76200" t="0" r="57150" b="57150"/>
                      <wp:wrapNone/>
                      <wp:docPr id="2129680558" name="Straight Arrow Connector 2129680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61933" id="Straight Arrow Connector 2129680558" o:spid="_x0000_s1026" type="#_x0000_t32" alt="&quot;&quot;" style="position:absolute;margin-left:94.6pt;margin-top:106.15pt;width:0;height:18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" strokecolor="#0e46de [3044]">
                      <v:stroke endarrow="block"/>
                    </v:shape>
                  </w:pict>
                </mc:Fallback>
              </mc:AlternateContent>
            </w:r>
            <w:r>
              <w:rPr>
                <w:noProof/>
              </w:rPr>
              <mc:AlternateContent>
                <mc:Choice Requires="wps">
                  <w:drawing>
                    <wp:anchor distT="0" distB="0" distL="114300" distR="114300" simplePos="0" relativeHeight="251658261" behindDoc="0" locked="0" layoutInCell="1" allowOverlap="1" wp14:anchorId="5A54456E" wp14:editId="61E5A0EF">
                      <wp:simplePos x="0" y="0"/>
                      <wp:positionH relativeFrom="column">
                        <wp:posOffset>1165860</wp:posOffset>
                      </wp:positionH>
                      <wp:positionV relativeFrom="paragraph">
                        <wp:posOffset>462280</wp:posOffset>
                      </wp:positionV>
                      <wp:extent cx="0" cy="228600"/>
                      <wp:effectExtent l="76200" t="0" r="57150" b="57150"/>
                      <wp:wrapNone/>
                      <wp:docPr id="1896054302" name="Straight Arrow Connector 1896054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B108A" id="Straight Arrow Connector 1896054302" o:spid="_x0000_s1026" type="#_x0000_t32" alt="&quot;&quot;" style="position:absolute;margin-left:91.8pt;margin-top:36.4pt;width:0;height:18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" strokecolor="#0e46de [3044]">
                      <v:stroke endarrow="block"/>
                    </v:shape>
                  </w:pict>
                </mc:Fallback>
              </mc:AlternateContent>
            </w:r>
            <w:r>
              <w:rPr>
                <w:noProof/>
              </w:rPr>
              <mc:AlternateContent>
                <mc:Choice Requires="wps">
                  <w:drawing>
                    <wp:anchor distT="0" distB="0" distL="114300" distR="114300" simplePos="0" relativeHeight="251658259" behindDoc="0" locked="0" layoutInCell="1" allowOverlap="1" wp14:anchorId="6D057E38" wp14:editId="415BD3E1">
                      <wp:simplePos x="0" y="0"/>
                      <wp:positionH relativeFrom="column">
                        <wp:posOffset>2594610</wp:posOffset>
                      </wp:positionH>
                      <wp:positionV relativeFrom="paragraph">
                        <wp:posOffset>233680</wp:posOffset>
                      </wp:positionV>
                      <wp:extent cx="371475" cy="0"/>
                      <wp:effectExtent l="0" t="76200" r="9525" b="95250"/>
                      <wp:wrapNone/>
                      <wp:docPr id="749654652" name="Straight Arrow Connector 7496546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A480A" id="Straight Arrow Connector 749654652" o:spid="_x0000_s1026" type="#_x0000_t32" alt="&quot;&quot;" style="position:absolute;margin-left:204.3pt;margin-top:18.4pt;width:29.25pt;height:0;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" strokecolor="#0e46de [3044]">
                      <v:stroke endarrow="block"/>
                    </v:shape>
                  </w:pict>
                </mc:Fallback>
              </mc:AlternateContent>
            </w:r>
            <w:r w:rsidRPr="00560609">
              <w:rPr>
                <w:noProof/>
              </w:rPr>
              <mc:AlternateContent>
                <mc:Choice Requires="wps">
                  <w:drawing>
                    <wp:anchor distT="0" distB="0" distL="114300" distR="114300" simplePos="0" relativeHeight="251658247" behindDoc="0" locked="0" layoutInCell="1" allowOverlap="1" wp14:anchorId="484E8C05" wp14:editId="085E767C">
                      <wp:simplePos x="0" y="0"/>
                      <wp:positionH relativeFrom="column">
                        <wp:posOffset>119380</wp:posOffset>
                      </wp:positionH>
                      <wp:positionV relativeFrom="paragraph">
                        <wp:posOffset>691515</wp:posOffset>
                      </wp:positionV>
                      <wp:extent cx="2343150" cy="6572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343150"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9522F" w14:textId="77777777"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Abstract journal article identified by the Department for full analysis and provided to UTS team </w:t>
                                  </w:r>
                                  <w:r w:rsidRPr="003A087D">
                                    <w:rPr>
                                      <w:rFonts w:ascii="Arial" w:hAnsi="Arial" w:cs="Arial"/>
                                      <w:b/>
                                      <w:bCs/>
                                      <w:color w:val="000000" w:themeColor="text1"/>
                                      <w:sz w:val="18"/>
                                      <w:szCs w:val="20"/>
                                    </w:rPr>
                                    <w:t>(n = 36</w:t>
                                  </w:r>
                                  <w:r>
                                    <w:rPr>
                                      <w:rFonts w:ascii="Arial" w:hAnsi="Arial" w:cs="Arial"/>
                                      <w:b/>
                                      <w:bCs/>
                                      <w:color w:val="000000" w:themeColor="text1"/>
                                      <w:sz w:val="18"/>
                                      <w:szCs w:val="20"/>
                                    </w:rPr>
                                    <w:t>9</w:t>
                                  </w:r>
                                  <w:r w:rsidRPr="003A087D">
                                    <w:rPr>
                                      <w:rFonts w:ascii="Arial" w:hAnsi="Arial" w:cs="Arial"/>
                                      <w:b/>
                                      <w:bCs/>
                                      <w:color w:val="000000" w:themeColor="text1"/>
                                      <w:sz w:val="18"/>
                                      <w:szCs w:val="20"/>
                                    </w:rPr>
                                    <w:t>)</w:t>
                                  </w:r>
                                  <w:r>
                                    <w:rPr>
                                      <w:rFonts w:ascii="Arial" w:hAnsi="Arial" w:cs="Arial"/>
                                      <w:color w:val="000000" w:themeColor="text1"/>
                                      <w:sz w:val="18"/>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E8C05" id="Rectangle 5" o:spid="_x0000_s1030" style="position:absolute;left:0;text-align:left;margin-left:9.4pt;margin-top:54.45pt;width:184.5pt;height:5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" filled="f" strokecolor="black [3213]" strokeweight="2pt">
                      <v:textbox>
                        <w:txbxContent>
                          <w:p w14:paraId="7A69522F" w14:textId="77777777"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Abstract journal article identified by the Department for full analysis and provided to UTS team </w:t>
                            </w:r>
                            <w:r w:rsidRPr="003A087D">
                              <w:rPr>
                                <w:rFonts w:ascii="Arial" w:hAnsi="Arial" w:cs="Arial"/>
                                <w:b/>
                                <w:bCs/>
                                <w:color w:val="000000" w:themeColor="text1"/>
                                <w:sz w:val="18"/>
                                <w:szCs w:val="20"/>
                              </w:rPr>
                              <w:t>(n = 36</w:t>
                            </w:r>
                            <w:r>
                              <w:rPr>
                                <w:rFonts w:ascii="Arial" w:hAnsi="Arial" w:cs="Arial"/>
                                <w:b/>
                                <w:bCs/>
                                <w:color w:val="000000" w:themeColor="text1"/>
                                <w:sz w:val="18"/>
                                <w:szCs w:val="20"/>
                              </w:rPr>
                              <w:t>9</w:t>
                            </w:r>
                            <w:r w:rsidRPr="003A087D">
                              <w:rPr>
                                <w:rFonts w:ascii="Arial" w:hAnsi="Arial" w:cs="Arial"/>
                                <w:b/>
                                <w:bCs/>
                                <w:color w:val="000000" w:themeColor="text1"/>
                                <w:sz w:val="18"/>
                                <w:szCs w:val="20"/>
                              </w:rPr>
                              <w:t>)</w:t>
                            </w:r>
                            <w:r>
                              <w:rPr>
                                <w:rFonts w:ascii="Arial" w:hAnsi="Arial" w:cs="Arial"/>
                                <w:color w:val="000000" w:themeColor="text1"/>
                                <w:sz w:val="18"/>
                                <w:szCs w:val="20"/>
                              </w:rPr>
                              <w:t xml:space="preserve"> </w:t>
                            </w:r>
                          </w:p>
                        </w:txbxContent>
                      </v:textbox>
                    </v:rect>
                  </w:pict>
                </mc:Fallback>
              </mc:AlternateContent>
            </w:r>
            <w:r>
              <w:rPr>
                <w:noProof/>
              </w:rPr>
              <mc:AlternateContent>
                <mc:Choice Requires="wps">
                  <w:drawing>
                    <wp:anchor distT="0" distB="0" distL="114300" distR="114300" simplePos="0" relativeHeight="251658246" behindDoc="0" locked="0" layoutInCell="1" allowOverlap="1" wp14:anchorId="2AF41E48" wp14:editId="723A8293">
                      <wp:simplePos x="0" y="0"/>
                      <wp:positionH relativeFrom="column">
                        <wp:posOffset>119380</wp:posOffset>
                      </wp:positionH>
                      <wp:positionV relativeFrom="paragraph">
                        <wp:posOffset>0</wp:posOffset>
                      </wp:positionV>
                      <wp:extent cx="2343150" cy="457200"/>
                      <wp:effectExtent l="0" t="0" r="19050" b="19050"/>
                      <wp:wrapTopAndBottom/>
                      <wp:docPr id="3" name="Rectangle 3"/>
                      <wp:cNvGraphicFramePr/>
                      <a:graphic xmlns:a="http://schemas.openxmlformats.org/drawingml/2006/main">
                        <a:graphicData uri="http://schemas.microsoft.com/office/word/2010/wordprocessingShape">
                          <wps:wsp>
                            <wps:cNvSpPr/>
                            <wps:spPr>
                              <a:xfrm>
                                <a:off x="0" y="0"/>
                                <a:ext cx="234315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B935C" w14:textId="77777777" w:rsidR="00B66C0B" w:rsidRPr="003A087D" w:rsidRDefault="00B66C0B" w:rsidP="00B66C0B">
                                  <w:pPr>
                                    <w:spacing w:after="0" w:line="240" w:lineRule="auto"/>
                                    <w:rPr>
                                      <w:rFonts w:ascii="Arial" w:hAnsi="Arial" w:cs="Arial"/>
                                      <w:b/>
                                      <w:bCs/>
                                      <w:color w:val="000000" w:themeColor="text1"/>
                                      <w:sz w:val="18"/>
                                      <w:szCs w:val="20"/>
                                    </w:rPr>
                                  </w:pPr>
                                  <w:r>
                                    <w:rPr>
                                      <w:rFonts w:ascii="Arial" w:hAnsi="Arial" w:cs="Arial"/>
                                      <w:color w:val="000000" w:themeColor="text1"/>
                                      <w:sz w:val="18"/>
                                      <w:szCs w:val="20"/>
                                    </w:rPr>
                                    <w:t xml:space="preserve">Abstract </w:t>
                                  </w: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 by the Department </w:t>
                                  </w:r>
                                  <w:r w:rsidRPr="003A087D">
                                    <w:rPr>
                                      <w:rFonts w:ascii="Arial" w:hAnsi="Arial" w:cs="Arial"/>
                                      <w:b/>
                                      <w:bCs/>
                                      <w:color w:val="000000" w:themeColor="text1"/>
                                      <w:sz w:val="18"/>
                                      <w:szCs w:val="20"/>
                                    </w:rPr>
                                    <w:t>(n = 1</w:t>
                                  </w:r>
                                  <w:r>
                                    <w:rPr>
                                      <w:rFonts w:ascii="Arial" w:hAnsi="Arial" w:cs="Arial"/>
                                      <w:b/>
                                      <w:bCs/>
                                      <w:color w:val="000000" w:themeColor="text1"/>
                                      <w:sz w:val="18"/>
                                      <w:szCs w:val="20"/>
                                    </w:rPr>
                                    <w:t>895</w:t>
                                  </w:r>
                                  <w:r w:rsidRPr="003A087D">
                                    <w:rPr>
                                      <w:rFonts w:ascii="Arial" w:hAnsi="Arial" w:cs="Arial"/>
                                      <w:b/>
                                      <w:bCs/>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41E48" id="Rectangle 3" o:spid="_x0000_s1031" style="position:absolute;left:0;text-align:left;margin-left:9.4pt;margin-top:0;width:184.5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" filled="f" strokecolor="black [3213]" strokeweight="2pt">
                      <v:textbox>
                        <w:txbxContent>
                          <w:p w14:paraId="76BB935C" w14:textId="77777777" w:rsidR="00B66C0B" w:rsidRPr="003A087D" w:rsidRDefault="00B66C0B" w:rsidP="00B66C0B">
                            <w:pPr>
                              <w:spacing w:after="0" w:line="240" w:lineRule="auto"/>
                              <w:rPr>
                                <w:rFonts w:ascii="Arial" w:hAnsi="Arial" w:cs="Arial"/>
                                <w:b/>
                                <w:bCs/>
                                <w:color w:val="000000" w:themeColor="text1"/>
                                <w:sz w:val="18"/>
                                <w:szCs w:val="20"/>
                              </w:rPr>
                            </w:pPr>
                            <w:r>
                              <w:rPr>
                                <w:rFonts w:ascii="Arial" w:hAnsi="Arial" w:cs="Arial"/>
                                <w:color w:val="000000" w:themeColor="text1"/>
                                <w:sz w:val="18"/>
                                <w:szCs w:val="20"/>
                              </w:rPr>
                              <w:t xml:space="preserve">Abstract </w:t>
                            </w: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 by the Department </w:t>
                            </w:r>
                            <w:r w:rsidRPr="003A087D">
                              <w:rPr>
                                <w:rFonts w:ascii="Arial" w:hAnsi="Arial" w:cs="Arial"/>
                                <w:b/>
                                <w:bCs/>
                                <w:color w:val="000000" w:themeColor="text1"/>
                                <w:sz w:val="18"/>
                                <w:szCs w:val="20"/>
                              </w:rPr>
                              <w:t>(n = 1</w:t>
                            </w:r>
                            <w:r>
                              <w:rPr>
                                <w:rFonts w:ascii="Arial" w:hAnsi="Arial" w:cs="Arial"/>
                                <w:b/>
                                <w:bCs/>
                                <w:color w:val="000000" w:themeColor="text1"/>
                                <w:sz w:val="18"/>
                                <w:szCs w:val="20"/>
                              </w:rPr>
                              <w:t>895</w:t>
                            </w:r>
                            <w:r w:rsidRPr="003A087D">
                              <w:rPr>
                                <w:rFonts w:ascii="Arial" w:hAnsi="Arial" w:cs="Arial"/>
                                <w:b/>
                                <w:bCs/>
                                <w:color w:val="000000" w:themeColor="text1"/>
                                <w:sz w:val="18"/>
                                <w:szCs w:val="20"/>
                              </w:rPr>
                              <w:t>)</w:t>
                            </w:r>
                          </w:p>
                        </w:txbxContent>
                      </v:textbox>
                      <w10:wrap type="topAndBottom"/>
                    </v:rect>
                  </w:pict>
                </mc:Fallback>
              </mc:AlternateContent>
            </w:r>
          </w:p>
        </w:tc>
        <w:tc>
          <w:tcPr>
            <w:tcW w:w="3862" w:type="dxa"/>
            <w:tcBorders>
              <w:top w:val="nil"/>
              <w:left w:val="nil"/>
              <w:bottom w:val="nil"/>
              <w:right w:val="nil"/>
            </w:tcBorders>
          </w:tcPr>
          <w:p w14:paraId="454F5FA3" w14:textId="77777777" w:rsidR="00B66C0B" w:rsidRDefault="00B66C0B" w:rsidP="00227554">
            <w:pPr>
              <w:ind w:left="-242"/>
            </w:pPr>
            <w:r w:rsidRPr="00560609">
              <w:rPr>
                <w:noProof/>
              </w:rPr>
              <mc:AlternateContent>
                <mc:Choice Requires="wps">
                  <w:drawing>
                    <wp:anchor distT="0" distB="0" distL="114300" distR="114300" simplePos="0" relativeHeight="251658248" behindDoc="0" locked="0" layoutInCell="1" allowOverlap="1" wp14:anchorId="49B03A1D" wp14:editId="08B235FE">
                      <wp:simplePos x="0" y="0"/>
                      <wp:positionH relativeFrom="column">
                        <wp:posOffset>44450</wp:posOffset>
                      </wp:positionH>
                      <wp:positionV relativeFrom="paragraph">
                        <wp:posOffset>24765</wp:posOffset>
                      </wp:positionV>
                      <wp:extent cx="2343150" cy="6667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343150" cy="666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D2B30" w14:textId="77777777"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Abstract journal articles excluded by Department as they did not meet method criterion (n = 1526)*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03A1D" id="Rectangle 6" o:spid="_x0000_s1032" style="position:absolute;left:0;text-align:left;margin-left:3.5pt;margin-top:1.95pt;width:184.5pt;height:5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" filled="f" strokecolor="black [3213]" strokeweight="2pt">
                      <v:textbox>
                        <w:txbxContent>
                          <w:p w14:paraId="4E2D2B30" w14:textId="77777777"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Abstract journal articles excluded by Department as they did not meet method criterion (n = 1526)*</w:t>
                            </w:r>
                          </w:p>
                        </w:txbxContent>
                      </v:textbox>
                    </v:rect>
                  </w:pict>
                </mc:Fallback>
              </mc:AlternateContent>
            </w:r>
          </w:p>
        </w:tc>
      </w:tr>
      <w:tr w:rsidR="00B66C0B" w14:paraId="0CE9B983" w14:textId="77777777" w:rsidTr="00227554">
        <w:trPr>
          <w:cantSplit/>
          <w:trHeight w:val="4804"/>
        </w:trPr>
        <w:tc>
          <w:tcPr>
            <w:tcW w:w="700" w:type="dxa"/>
            <w:tcBorders>
              <w:right w:val="single" w:sz="4" w:space="0" w:color="auto"/>
            </w:tcBorders>
            <w:shd w:val="clear" w:color="auto" w:fill="6C91F5" w:themeFill="accent1" w:themeFillTint="99"/>
            <w:textDirection w:val="btLr"/>
          </w:tcPr>
          <w:p w14:paraId="65D1CA2B" w14:textId="77777777" w:rsidR="00B66C0B" w:rsidRPr="00241D79" w:rsidRDefault="00B66C0B" w:rsidP="00227554">
            <w:pPr>
              <w:spacing w:before="60" w:after="60"/>
              <w:ind w:left="113" w:right="113"/>
              <w:jc w:val="center"/>
              <w:rPr>
                <w:b/>
                <w:bCs/>
                <w:sz w:val="20"/>
                <w:szCs w:val="20"/>
              </w:rPr>
            </w:pPr>
            <w:r w:rsidRPr="00241D79">
              <w:rPr>
                <w:b/>
                <w:bCs/>
                <w:sz w:val="20"/>
                <w:szCs w:val="20"/>
              </w:rPr>
              <w:t>UTS Screening</w:t>
            </w:r>
          </w:p>
        </w:tc>
        <w:tc>
          <w:tcPr>
            <w:tcW w:w="4647" w:type="dxa"/>
            <w:tcBorders>
              <w:top w:val="nil"/>
              <w:left w:val="single" w:sz="4" w:space="0" w:color="auto"/>
              <w:bottom w:val="nil"/>
              <w:right w:val="nil"/>
            </w:tcBorders>
          </w:tcPr>
          <w:p w14:paraId="3C45CDAE" w14:textId="77777777" w:rsidR="00B66C0B" w:rsidRDefault="00B66C0B" w:rsidP="00227554">
            <w:pPr>
              <w:ind w:left="-242"/>
            </w:pPr>
            <w:r>
              <w:rPr>
                <w:noProof/>
              </w:rPr>
              <mc:AlternateContent>
                <mc:Choice Requires="wps">
                  <w:drawing>
                    <wp:anchor distT="0" distB="0" distL="114300" distR="114300" simplePos="0" relativeHeight="251658264" behindDoc="0" locked="0" layoutInCell="1" allowOverlap="1" wp14:anchorId="37CE0161" wp14:editId="7ADC3D85">
                      <wp:simplePos x="0" y="0"/>
                      <wp:positionH relativeFrom="column">
                        <wp:posOffset>1231892</wp:posOffset>
                      </wp:positionH>
                      <wp:positionV relativeFrom="paragraph">
                        <wp:posOffset>1287656</wp:posOffset>
                      </wp:positionV>
                      <wp:extent cx="45719" cy="1852551"/>
                      <wp:effectExtent l="38100" t="0" r="69215" b="52705"/>
                      <wp:wrapNone/>
                      <wp:docPr id="1359894574" name="Straight Arrow Connector 1359894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1852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DD662" id="Straight Arrow Connector 1359894574" o:spid="_x0000_s1026" type="#_x0000_t32" alt="&quot;&quot;" style="position:absolute;margin-left:97pt;margin-top:101.4pt;width:3.6pt;height:145.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" strokecolor="#0e46de [3044]">
                      <v:stroke endarrow="block"/>
                    </v:shape>
                  </w:pict>
                </mc:Fallback>
              </mc:AlternateContent>
            </w:r>
            <w:r>
              <w:rPr>
                <w:noProof/>
              </w:rPr>
              <mc:AlternateContent>
                <mc:Choice Requires="wps">
                  <w:drawing>
                    <wp:anchor distT="0" distB="0" distL="114300" distR="114300" simplePos="0" relativeHeight="251658263" behindDoc="0" locked="0" layoutInCell="1" allowOverlap="1" wp14:anchorId="28F76A8C" wp14:editId="6E310EE6">
                      <wp:simplePos x="0" y="0"/>
                      <wp:positionH relativeFrom="column">
                        <wp:posOffset>1223010</wp:posOffset>
                      </wp:positionH>
                      <wp:positionV relativeFrom="paragraph">
                        <wp:posOffset>578485</wp:posOffset>
                      </wp:positionV>
                      <wp:extent cx="0" cy="228600"/>
                      <wp:effectExtent l="76200" t="0" r="57150" b="57150"/>
                      <wp:wrapNone/>
                      <wp:docPr id="1650098350" name="Straight Arrow Connector 1650098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867D69" id="Straight Arrow Connector 1650098350" o:spid="_x0000_s1026" type="#_x0000_t32" alt="&quot;&quot;" style="position:absolute;margin-left:96.3pt;margin-top:45.55pt;width:0;height:18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" strokecolor="#0e46de [3044]">
                      <v:stroke endarrow="block"/>
                    </v:shape>
                  </w:pict>
                </mc:Fallback>
              </mc:AlternateContent>
            </w:r>
            <w:r>
              <w:rPr>
                <w:noProof/>
              </w:rPr>
              <mc:AlternateContent>
                <mc:Choice Requires="wps">
                  <w:drawing>
                    <wp:anchor distT="0" distB="0" distL="114300" distR="114300" simplePos="0" relativeHeight="251658258" behindDoc="0" locked="0" layoutInCell="1" allowOverlap="1" wp14:anchorId="612993D7" wp14:editId="6B1589DC">
                      <wp:simplePos x="0" y="0"/>
                      <wp:positionH relativeFrom="column">
                        <wp:posOffset>2546985</wp:posOffset>
                      </wp:positionH>
                      <wp:positionV relativeFrom="paragraph">
                        <wp:posOffset>1254760</wp:posOffset>
                      </wp:positionV>
                      <wp:extent cx="371475" cy="0"/>
                      <wp:effectExtent l="0" t="76200" r="9525" b="95250"/>
                      <wp:wrapNone/>
                      <wp:docPr id="66468716" name="Straight Arrow Connector 664687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80F14" id="Straight Arrow Connector 66468716" o:spid="_x0000_s1026" type="#_x0000_t32" alt="&quot;&quot;" style="position:absolute;margin-left:200.55pt;margin-top:98.8pt;width:29.25pt;height:0;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" strokecolor="#0e46de [3044]">
                      <v:stroke endarrow="block"/>
                    </v:shape>
                  </w:pict>
                </mc:Fallback>
              </mc:AlternateContent>
            </w:r>
            <w:r>
              <w:rPr>
                <w:noProof/>
              </w:rPr>
              <mc:AlternateContent>
                <mc:Choice Requires="wps">
                  <w:drawing>
                    <wp:anchor distT="0" distB="0" distL="114300" distR="114300" simplePos="0" relativeHeight="251658257" behindDoc="0" locked="0" layoutInCell="1" allowOverlap="1" wp14:anchorId="57E7B80B" wp14:editId="3456A3F3">
                      <wp:simplePos x="0" y="0"/>
                      <wp:positionH relativeFrom="column">
                        <wp:posOffset>2546985</wp:posOffset>
                      </wp:positionH>
                      <wp:positionV relativeFrom="paragraph">
                        <wp:posOffset>883285</wp:posOffset>
                      </wp:positionV>
                      <wp:extent cx="371475" cy="0"/>
                      <wp:effectExtent l="0" t="76200" r="9525" b="95250"/>
                      <wp:wrapNone/>
                      <wp:docPr id="930787317" name="Straight Arrow Connector 930787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DA8E0" id="Straight Arrow Connector 930787317" o:spid="_x0000_s1026" type="#_x0000_t32" alt="&quot;&quot;" style="position:absolute;margin-left:200.55pt;margin-top:69.55pt;width:29.25pt;height:0;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" strokecolor="#0e46de [3044]">
                      <v:stroke endarrow="block"/>
                    </v:shape>
                  </w:pict>
                </mc:Fallback>
              </mc:AlternateContent>
            </w:r>
            <w:r>
              <w:rPr>
                <w:noProof/>
              </w:rPr>
              <mc:AlternateContent>
                <mc:Choice Requires="wps">
                  <w:drawing>
                    <wp:anchor distT="0" distB="0" distL="114300" distR="114300" simplePos="0" relativeHeight="251658251" behindDoc="0" locked="0" layoutInCell="1" allowOverlap="1" wp14:anchorId="79095C45" wp14:editId="7725B52E">
                      <wp:simplePos x="0" y="0"/>
                      <wp:positionH relativeFrom="column">
                        <wp:posOffset>119380</wp:posOffset>
                      </wp:positionH>
                      <wp:positionV relativeFrom="paragraph">
                        <wp:posOffset>807720</wp:posOffset>
                      </wp:positionV>
                      <wp:extent cx="2343150" cy="457200"/>
                      <wp:effectExtent l="0" t="0" r="19050" b="19050"/>
                      <wp:wrapTopAndBottom/>
                      <wp:docPr id="1083648979" name="Rectangle 1083648979"/>
                      <wp:cNvGraphicFramePr/>
                      <a:graphic xmlns:a="http://schemas.openxmlformats.org/drawingml/2006/main">
                        <a:graphicData uri="http://schemas.microsoft.com/office/word/2010/wordprocessingShape">
                          <wps:wsp>
                            <wps:cNvSpPr/>
                            <wps:spPr>
                              <a:xfrm>
                                <a:off x="0" y="0"/>
                                <a:ext cx="234315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6E699" w14:textId="77777777" w:rsidR="00B66C0B" w:rsidRPr="003A087D" w:rsidRDefault="00B66C0B" w:rsidP="00B66C0B">
                                  <w:pPr>
                                    <w:spacing w:after="0" w:line="240" w:lineRule="auto"/>
                                    <w:rPr>
                                      <w:rFonts w:ascii="Arial" w:hAnsi="Arial" w:cs="Arial"/>
                                      <w:b/>
                                      <w:bCs/>
                                      <w:color w:val="000000" w:themeColor="text1"/>
                                      <w:sz w:val="18"/>
                                      <w:szCs w:val="20"/>
                                    </w:rPr>
                                  </w:pPr>
                                  <w:r>
                                    <w:rPr>
                                      <w:rFonts w:ascii="Arial" w:hAnsi="Arial" w:cs="Arial"/>
                                      <w:color w:val="000000" w:themeColor="text1"/>
                                      <w:sz w:val="18"/>
                                      <w:szCs w:val="20"/>
                                    </w:rPr>
                                    <w:t xml:space="preserve">Studies sought for retrieval and assessed as eligible by UTS team </w:t>
                                  </w: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351</w:t>
                                  </w:r>
                                  <w:r w:rsidRPr="003A087D">
                                    <w:rPr>
                                      <w:rFonts w:ascii="Arial" w:hAnsi="Arial" w:cs="Arial"/>
                                      <w:b/>
                                      <w:bCs/>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95C45" id="Rectangle 1083648979" o:spid="_x0000_s1033" style="position:absolute;left:0;text-align:left;margin-left:9.4pt;margin-top:63.6pt;width:184.5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" filled="f" strokecolor="black [3213]" strokeweight="2pt">
                      <v:textbox>
                        <w:txbxContent>
                          <w:p w14:paraId="38E6E699" w14:textId="77777777" w:rsidR="00B66C0B" w:rsidRPr="003A087D" w:rsidRDefault="00B66C0B" w:rsidP="00B66C0B">
                            <w:pPr>
                              <w:spacing w:after="0" w:line="240" w:lineRule="auto"/>
                              <w:rPr>
                                <w:rFonts w:ascii="Arial" w:hAnsi="Arial" w:cs="Arial"/>
                                <w:b/>
                                <w:bCs/>
                                <w:color w:val="000000" w:themeColor="text1"/>
                                <w:sz w:val="18"/>
                                <w:szCs w:val="20"/>
                              </w:rPr>
                            </w:pPr>
                            <w:r>
                              <w:rPr>
                                <w:rFonts w:ascii="Arial" w:hAnsi="Arial" w:cs="Arial"/>
                                <w:color w:val="000000" w:themeColor="text1"/>
                                <w:sz w:val="18"/>
                                <w:szCs w:val="20"/>
                              </w:rPr>
                              <w:t xml:space="preserve">Studies sought for retrieval and assessed as eligible by UTS team </w:t>
                            </w: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351</w:t>
                            </w:r>
                            <w:r w:rsidRPr="003A087D">
                              <w:rPr>
                                <w:rFonts w:ascii="Arial" w:hAnsi="Arial" w:cs="Arial"/>
                                <w:b/>
                                <w:bCs/>
                                <w:color w:val="000000" w:themeColor="text1"/>
                                <w:sz w:val="18"/>
                                <w:szCs w:val="20"/>
                              </w:rPr>
                              <w:t>)</w:t>
                            </w:r>
                          </w:p>
                        </w:txbxContent>
                      </v:textbox>
                      <w10:wrap type="topAndBottom"/>
                    </v:rect>
                  </w:pict>
                </mc:Fallback>
              </mc:AlternateContent>
            </w:r>
            <w:r>
              <w:rPr>
                <w:noProof/>
              </w:rPr>
              <mc:AlternateContent>
                <mc:Choice Requires="wps">
                  <w:drawing>
                    <wp:anchor distT="0" distB="0" distL="114300" distR="114300" simplePos="0" relativeHeight="251658256" behindDoc="0" locked="0" layoutInCell="1" allowOverlap="1" wp14:anchorId="7CA49820" wp14:editId="7ADC71D2">
                      <wp:simplePos x="0" y="0"/>
                      <wp:positionH relativeFrom="column">
                        <wp:posOffset>2546985</wp:posOffset>
                      </wp:positionH>
                      <wp:positionV relativeFrom="paragraph">
                        <wp:posOffset>226060</wp:posOffset>
                      </wp:positionV>
                      <wp:extent cx="371475" cy="0"/>
                      <wp:effectExtent l="0" t="76200" r="9525" b="95250"/>
                      <wp:wrapNone/>
                      <wp:docPr id="1643626656" name="Straight Arrow Connector 16436266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A6530A" id="Straight Arrow Connector 1643626656" o:spid="_x0000_s1026" type="#_x0000_t32" alt="&quot;&quot;" style="position:absolute;margin-left:200.55pt;margin-top:17.8pt;width:29.25pt;height:0;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" strokecolor="#0e46de [3044]">
                      <v:stroke endarrow="block"/>
                    </v:shape>
                  </w:pict>
                </mc:Fallback>
              </mc:AlternateContent>
            </w:r>
            <w:r>
              <w:rPr>
                <w:noProof/>
              </w:rPr>
              <mc:AlternateContent>
                <mc:Choice Requires="wps">
                  <w:drawing>
                    <wp:anchor distT="0" distB="0" distL="114300" distR="114300" simplePos="0" relativeHeight="251658250" behindDoc="0" locked="0" layoutInCell="1" allowOverlap="1" wp14:anchorId="5A9557AA" wp14:editId="2E50EDA0">
                      <wp:simplePos x="0" y="0"/>
                      <wp:positionH relativeFrom="column">
                        <wp:posOffset>128905</wp:posOffset>
                      </wp:positionH>
                      <wp:positionV relativeFrom="paragraph">
                        <wp:posOffset>112395</wp:posOffset>
                      </wp:positionV>
                      <wp:extent cx="2343150" cy="476250"/>
                      <wp:effectExtent l="0" t="0" r="19050" b="19050"/>
                      <wp:wrapNone/>
                      <wp:docPr id="965120505" name="Rectangle 965120505"/>
                      <wp:cNvGraphicFramePr/>
                      <a:graphic xmlns:a="http://schemas.openxmlformats.org/drawingml/2006/main">
                        <a:graphicData uri="http://schemas.microsoft.com/office/word/2010/wordprocessingShape">
                          <wps:wsp>
                            <wps:cNvSpPr/>
                            <wps:spPr>
                              <a:xfrm>
                                <a:off x="0" y="0"/>
                                <a:ext cx="2343150"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25F44" w14:textId="77777777" w:rsidR="00B66C0B"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screened by UTS team</w:t>
                                  </w:r>
                                </w:p>
                                <w:p w14:paraId="3E7D757E" w14:textId="77777777" w:rsidR="00B66C0B" w:rsidRPr="003A087D" w:rsidRDefault="00B66C0B" w:rsidP="00B66C0B">
                                  <w:pPr>
                                    <w:spacing w:after="0" w:line="240" w:lineRule="auto"/>
                                    <w:rPr>
                                      <w:rFonts w:ascii="Arial" w:hAnsi="Arial" w:cs="Arial"/>
                                      <w:b/>
                                      <w:bCs/>
                                      <w:color w:val="000000" w:themeColor="text1"/>
                                      <w:sz w:val="18"/>
                                      <w:szCs w:val="20"/>
                                    </w:rPr>
                                  </w:pP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351</w:t>
                                  </w:r>
                                  <w:r w:rsidRPr="003A087D">
                                    <w:rPr>
                                      <w:rFonts w:ascii="Arial" w:hAnsi="Arial" w:cs="Arial"/>
                                      <w:b/>
                                      <w:bCs/>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557AA" id="Rectangle 965120505" o:spid="_x0000_s1034" style="position:absolute;left:0;text-align:left;margin-left:10.15pt;margin-top:8.85pt;width:184.5pt;height:3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" filled="f" strokecolor="black [3213]" strokeweight="2pt">
                      <v:textbox>
                        <w:txbxContent>
                          <w:p w14:paraId="03325F44" w14:textId="77777777" w:rsidR="00B66C0B"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screened by UTS team</w:t>
                            </w:r>
                          </w:p>
                          <w:p w14:paraId="3E7D757E" w14:textId="77777777" w:rsidR="00B66C0B" w:rsidRPr="003A087D" w:rsidRDefault="00B66C0B" w:rsidP="00B66C0B">
                            <w:pPr>
                              <w:spacing w:after="0" w:line="240" w:lineRule="auto"/>
                              <w:rPr>
                                <w:rFonts w:ascii="Arial" w:hAnsi="Arial" w:cs="Arial"/>
                                <w:b/>
                                <w:bCs/>
                                <w:color w:val="000000" w:themeColor="text1"/>
                                <w:sz w:val="18"/>
                                <w:szCs w:val="20"/>
                              </w:rPr>
                            </w:pP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351</w:t>
                            </w:r>
                            <w:r w:rsidRPr="003A087D">
                              <w:rPr>
                                <w:rFonts w:ascii="Arial" w:hAnsi="Arial" w:cs="Arial"/>
                                <w:b/>
                                <w:bCs/>
                                <w:color w:val="000000" w:themeColor="text1"/>
                                <w:sz w:val="18"/>
                                <w:szCs w:val="20"/>
                              </w:rPr>
                              <w:t>)</w:t>
                            </w:r>
                          </w:p>
                        </w:txbxContent>
                      </v:textbox>
                    </v:rect>
                  </w:pict>
                </mc:Fallback>
              </mc:AlternateContent>
            </w:r>
          </w:p>
        </w:tc>
        <w:tc>
          <w:tcPr>
            <w:tcW w:w="3862" w:type="dxa"/>
            <w:tcBorders>
              <w:top w:val="nil"/>
              <w:left w:val="nil"/>
              <w:bottom w:val="nil"/>
              <w:right w:val="nil"/>
            </w:tcBorders>
          </w:tcPr>
          <w:p w14:paraId="5CF061ED" w14:textId="77777777" w:rsidR="00B66C0B" w:rsidRDefault="00B66C0B" w:rsidP="00227554">
            <w:pPr>
              <w:ind w:left="-242"/>
            </w:pPr>
            <w:r w:rsidRPr="00560609">
              <w:rPr>
                <w:noProof/>
              </w:rPr>
              <mc:AlternateContent>
                <mc:Choice Requires="wps">
                  <w:drawing>
                    <wp:anchor distT="0" distB="0" distL="114300" distR="114300" simplePos="0" relativeHeight="251658253" behindDoc="0" locked="0" layoutInCell="1" allowOverlap="1" wp14:anchorId="71B8D6EF" wp14:editId="2FA19F7D">
                      <wp:simplePos x="0" y="0"/>
                      <wp:positionH relativeFrom="column">
                        <wp:posOffset>38100</wp:posOffset>
                      </wp:positionH>
                      <wp:positionV relativeFrom="paragraph">
                        <wp:posOffset>1240155</wp:posOffset>
                      </wp:positionV>
                      <wp:extent cx="2343150" cy="2072640"/>
                      <wp:effectExtent l="0" t="0" r="19050" b="22860"/>
                      <wp:wrapNone/>
                      <wp:docPr id="443338491" name="Rectangle 443338491"/>
                      <wp:cNvGraphicFramePr/>
                      <a:graphic xmlns:a="http://schemas.openxmlformats.org/drawingml/2006/main">
                        <a:graphicData uri="http://schemas.microsoft.com/office/word/2010/wordprocessingShape">
                          <wps:wsp>
                            <wps:cNvSpPr/>
                            <wps:spPr>
                              <a:xfrm>
                                <a:off x="0" y="0"/>
                                <a:ext cx="2343150" cy="2072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29E1D" w14:textId="6DBD9333" w:rsidR="00B66C0B" w:rsidRPr="00F4471F" w:rsidRDefault="00B66C0B" w:rsidP="00B66C0B">
                                  <w:pPr>
                                    <w:spacing w:after="0" w:line="240" w:lineRule="auto"/>
                                    <w:rPr>
                                      <w:b/>
                                      <w:bCs/>
                                      <w:color w:val="000000" w:themeColor="text1"/>
                                      <w:sz w:val="18"/>
                                      <w:szCs w:val="18"/>
                                    </w:rPr>
                                  </w:pPr>
                                  <w:r w:rsidRPr="00F4471F">
                                    <w:rPr>
                                      <w:color w:val="000000" w:themeColor="text1"/>
                                      <w:sz w:val="18"/>
                                      <w:szCs w:val="18"/>
                                    </w:rPr>
                                    <w:t xml:space="preserve">Studies excluded </w:t>
                                  </w:r>
                                  <w:r w:rsidRPr="00F4471F">
                                    <w:rPr>
                                      <w:b/>
                                      <w:bCs/>
                                      <w:color w:val="000000" w:themeColor="text1"/>
                                      <w:sz w:val="18"/>
                                      <w:szCs w:val="18"/>
                                    </w:rPr>
                                    <w:t xml:space="preserve">(n = </w:t>
                                  </w:r>
                                  <w:r w:rsidRPr="00F4471F">
                                    <w:rPr>
                                      <w:b/>
                                      <w:bCs/>
                                      <w:noProof/>
                                      <w:color w:val="000000" w:themeColor="text1"/>
                                      <w:sz w:val="18"/>
                                      <w:szCs w:val="18"/>
                                    </w:rPr>
                                    <w:t>29</w:t>
                                  </w:r>
                                  <w:r w:rsidR="00F65DF5">
                                    <w:rPr>
                                      <w:b/>
                                      <w:bCs/>
                                      <w:noProof/>
                                      <w:color w:val="000000" w:themeColor="text1"/>
                                      <w:sz w:val="18"/>
                                      <w:szCs w:val="18"/>
                                    </w:rPr>
                                    <w:t>5</w:t>
                                  </w:r>
                                  <w:r w:rsidRPr="00F4471F">
                                    <w:rPr>
                                      <w:b/>
                                      <w:bCs/>
                                      <w:color w:val="000000" w:themeColor="text1"/>
                                      <w:sz w:val="18"/>
                                      <w:szCs w:val="18"/>
                                    </w:rPr>
                                    <w:t>):</w:t>
                                  </w:r>
                                </w:p>
                                <w:p w14:paraId="33887E9A" w14:textId="77777777" w:rsidR="00B66C0B" w:rsidRPr="00F4471F" w:rsidRDefault="00B66C0B" w:rsidP="00B66C0B">
                                  <w:pPr>
                                    <w:spacing w:after="0" w:line="240" w:lineRule="auto"/>
                                    <w:ind w:left="80" w:hanging="80"/>
                                    <w:rPr>
                                      <w:b/>
                                      <w:bCs/>
                                      <w:color w:val="000000" w:themeColor="text1"/>
                                      <w:sz w:val="18"/>
                                      <w:szCs w:val="18"/>
                                    </w:rPr>
                                  </w:pPr>
                                  <w:r w:rsidRPr="00F4471F">
                                    <w:rPr>
                                      <w:color w:val="000000" w:themeColor="text1"/>
                                      <w:sz w:val="18"/>
                                      <w:szCs w:val="18"/>
                                    </w:rPr>
                                    <w:fldChar w:fldCharType="begin"/>
                                  </w:r>
                                  <w:r w:rsidRPr="00F4471F">
                                    <w:rPr>
                                      <w:color w:val="000000" w:themeColor="text1"/>
                                      <w:sz w:val="18"/>
                                      <w:szCs w:val="18"/>
                                    </w:rPr>
                                    <w:instrText xml:space="preserve"> MERGEFIELD =exclusion_reason.reason \* MERGEFORMAT </w:instrText>
                                  </w:r>
                                  <w:r w:rsidRPr="00F4471F">
                                    <w:rPr>
                                      <w:color w:val="000000" w:themeColor="text1"/>
                                      <w:sz w:val="18"/>
                                      <w:szCs w:val="18"/>
                                    </w:rPr>
                                    <w:fldChar w:fldCharType="separate"/>
                                  </w:r>
                                  <w:r w:rsidRPr="00F4471F">
                                    <w:rPr>
                                      <w:noProof/>
                                      <w:color w:val="000000" w:themeColor="text1"/>
                                      <w:sz w:val="18"/>
                                      <w:szCs w:val="18"/>
                                    </w:rPr>
                                    <w:t>1) Not peer reviewed/published</w:t>
                                  </w:r>
                                  <w:r w:rsidRPr="00F4471F">
                                    <w:rPr>
                                      <w:color w:val="000000" w:themeColor="text1"/>
                                      <w:sz w:val="18"/>
                                      <w:szCs w:val="18"/>
                                    </w:rPr>
                                    <w:fldChar w:fldCharType="end"/>
                                  </w:r>
                                  <w:r w:rsidRPr="00F4471F">
                                    <w:rPr>
                                      <w:color w:val="000000" w:themeColor="text1"/>
                                      <w:sz w:val="18"/>
                                      <w:szCs w:val="18"/>
                                    </w:rPr>
                                    <w:t xml:space="preserve"> (n = </w:t>
                                  </w:r>
                                  <w:r w:rsidRPr="00F4471F">
                                    <w:rPr>
                                      <w:noProof/>
                                      <w:color w:val="000000" w:themeColor="text1"/>
                                      <w:sz w:val="18"/>
                                      <w:szCs w:val="18"/>
                                    </w:rPr>
                                    <w:t>10</w:t>
                                  </w:r>
                                  <w:r w:rsidRPr="00F4471F">
                                    <w:rPr>
                                      <w:color w:val="000000" w:themeColor="text1"/>
                                      <w:sz w:val="18"/>
                                      <w:szCs w:val="18"/>
                                    </w:rPr>
                                    <w:t>)</w:t>
                                  </w:r>
                                  <w:r w:rsidRPr="00F4471F">
                                    <w:rPr>
                                      <w:b/>
                                      <w:bCs/>
                                      <w:color w:val="000000" w:themeColor="text1"/>
                                      <w:sz w:val="18"/>
                                      <w:szCs w:val="18"/>
                                    </w:rPr>
                                    <w:fldChar w:fldCharType="begin"/>
                                  </w:r>
                                  <w:r w:rsidRPr="00F4471F">
                                    <w:rPr>
                                      <w:b/>
                                      <w:bCs/>
                                      <w:color w:val="000000" w:themeColor="text1"/>
                                      <w:sz w:val="18"/>
                                      <w:szCs w:val="18"/>
                                    </w:rPr>
                                    <w:instrText xml:space="preserve"> MERGEFIELD =reason.number_of_citations \* MERGEFORMAT </w:instrText>
                                  </w:r>
                                  <w:r w:rsidRPr="00F4471F">
                                    <w:rPr>
                                      <w:b/>
                                      <w:bCs/>
                                      <w:color w:val="000000" w:themeColor="text1"/>
                                      <w:sz w:val="18"/>
                                      <w:szCs w:val="18"/>
                                    </w:rPr>
                                    <w:fldChar w:fldCharType="end"/>
                                  </w:r>
                                </w:p>
                                <w:p w14:paraId="166D990A" w14:textId="3583B3C0" w:rsidR="00B66C0B" w:rsidRPr="00F4471F" w:rsidRDefault="00B66C0B" w:rsidP="00B66C0B">
                                  <w:pPr>
                                    <w:spacing w:after="0" w:line="240" w:lineRule="auto"/>
                                    <w:ind w:left="80" w:hanging="80"/>
                                    <w:rPr>
                                      <w:b/>
                                      <w:bCs/>
                                      <w:color w:val="000000" w:themeColor="text1"/>
                                      <w:sz w:val="18"/>
                                      <w:szCs w:val="18"/>
                                    </w:rPr>
                                  </w:pPr>
                                  <w:r w:rsidRPr="00F4471F">
                                    <w:rPr>
                                      <w:color w:val="000000" w:themeColor="text1"/>
                                      <w:sz w:val="18"/>
                                      <w:szCs w:val="18"/>
                                    </w:rPr>
                                    <w:fldChar w:fldCharType="begin"/>
                                  </w:r>
                                  <w:r w:rsidRPr="00F4471F">
                                    <w:rPr>
                                      <w:color w:val="000000" w:themeColor="text1"/>
                                      <w:sz w:val="18"/>
                                      <w:szCs w:val="18"/>
                                    </w:rPr>
                                    <w:instrText xml:space="preserve"> MERGEFIELD =exclusion_reason.reason \* MERGEFORMAT </w:instrText>
                                  </w:r>
                                  <w:r w:rsidRPr="00F4471F">
                                    <w:rPr>
                                      <w:color w:val="000000" w:themeColor="text1"/>
                                      <w:sz w:val="18"/>
                                      <w:szCs w:val="18"/>
                                    </w:rPr>
                                    <w:fldChar w:fldCharType="separate"/>
                                  </w:r>
                                  <w:r w:rsidRPr="00F4471F">
                                    <w:rPr>
                                      <w:noProof/>
                                      <w:color w:val="000000" w:themeColor="text1"/>
                                      <w:sz w:val="18"/>
                                      <w:szCs w:val="18"/>
                                    </w:rPr>
                                    <w:t>2) Not LGBT</w:t>
                                  </w:r>
                                  <w:r w:rsidR="00C913E3">
                                    <w:rPr>
                                      <w:noProof/>
                                      <w:color w:val="000000" w:themeColor="text1"/>
                                      <w:sz w:val="18"/>
                                      <w:szCs w:val="18"/>
                                    </w:rPr>
                                    <w:t>Q+</w:t>
                                  </w:r>
                                  <w:r w:rsidRPr="00F4471F">
                                    <w:rPr>
                                      <w:noProof/>
                                      <w:color w:val="000000" w:themeColor="text1"/>
                                      <w:sz w:val="18"/>
                                      <w:szCs w:val="18"/>
                                    </w:rPr>
                                    <w:t xml:space="preserve"> focused</w:t>
                                  </w:r>
                                  <w:r w:rsidRPr="00F4471F">
                                    <w:rPr>
                                      <w:color w:val="000000" w:themeColor="text1"/>
                                      <w:sz w:val="18"/>
                                      <w:szCs w:val="18"/>
                                    </w:rPr>
                                    <w:fldChar w:fldCharType="end"/>
                                  </w:r>
                                  <w:r w:rsidRPr="00F4471F">
                                    <w:rPr>
                                      <w:color w:val="000000" w:themeColor="text1"/>
                                      <w:sz w:val="18"/>
                                      <w:szCs w:val="18"/>
                                    </w:rPr>
                                    <w:t xml:space="preserve"> (n = </w:t>
                                  </w:r>
                                  <w:r w:rsidR="00C913E3">
                                    <w:rPr>
                                      <w:noProof/>
                                      <w:color w:val="000000" w:themeColor="text1"/>
                                      <w:sz w:val="18"/>
                                      <w:szCs w:val="18"/>
                                    </w:rPr>
                                    <w:t>8</w:t>
                                  </w:r>
                                  <w:r w:rsidRPr="00F4471F">
                                    <w:rPr>
                                      <w:color w:val="000000" w:themeColor="text1"/>
                                      <w:sz w:val="18"/>
                                      <w:szCs w:val="18"/>
                                    </w:rPr>
                                    <w:t>)</w:t>
                                  </w:r>
                                  <w:r w:rsidRPr="00F4471F">
                                    <w:rPr>
                                      <w:b/>
                                      <w:bCs/>
                                      <w:color w:val="000000" w:themeColor="text1"/>
                                      <w:sz w:val="18"/>
                                      <w:szCs w:val="18"/>
                                    </w:rPr>
                                    <w:fldChar w:fldCharType="begin"/>
                                  </w:r>
                                  <w:r w:rsidRPr="00F4471F">
                                    <w:rPr>
                                      <w:b/>
                                      <w:bCs/>
                                      <w:color w:val="000000" w:themeColor="text1"/>
                                      <w:sz w:val="18"/>
                                      <w:szCs w:val="18"/>
                                    </w:rPr>
                                    <w:instrText xml:space="preserve"> MERGEFIELD =reason.number_of_citations \* MERGEFORMAT </w:instrText>
                                  </w:r>
                                  <w:r w:rsidRPr="00F4471F">
                                    <w:rPr>
                                      <w:b/>
                                      <w:bCs/>
                                      <w:color w:val="000000" w:themeColor="text1"/>
                                      <w:sz w:val="18"/>
                                      <w:szCs w:val="18"/>
                                    </w:rPr>
                                    <w:fldChar w:fldCharType="end"/>
                                  </w:r>
                                </w:p>
                                <w:p w14:paraId="0594C5DD" w14:textId="77777777" w:rsidR="00B66C0B" w:rsidRPr="00F4471F" w:rsidRDefault="00B66C0B" w:rsidP="00B66C0B">
                                  <w:pPr>
                                    <w:spacing w:after="0" w:line="240" w:lineRule="auto"/>
                                    <w:rPr>
                                      <w:color w:val="000000" w:themeColor="text1"/>
                                      <w:sz w:val="18"/>
                                      <w:szCs w:val="18"/>
                                    </w:rPr>
                                  </w:pPr>
                                  <w:r w:rsidRPr="00F4471F">
                                    <w:rPr>
                                      <w:noProof/>
                                      <w:color w:val="000000" w:themeColor="text1"/>
                                      <w:sz w:val="18"/>
                                      <w:szCs w:val="18"/>
                                    </w:rPr>
                                    <w:t xml:space="preserve">3) Not </w:t>
                                  </w:r>
                                  <w:r>
                                    <w:rPr>
                                      <w:noProof/>
                                      <w:color w:val="000000" w:themeColor="text1"/>
                                      <w:sz w:val="18"/>
                                      <w:szCs w:val="18"/>
                                    </w:rPr>
                                    <w:t xml:space="preserve">about </w:t>
                                  </w:r>
                                  <w:r w:rsidRPr="00F4471F">
                                    <w:rPr>
                                      <w:noProof/>
                                      <w:color w:val="000000" w:themeColor="text1"/>
                                      <w:sz w:val="18"/>
                                      <w:szCs w:val="18"/>
                                    </w:rPr>
                                    <w:t>accessing mental health, or experience or</w:t>
                                  </w:r>
                                  <w:r w:rsidRPr="00F4471F">
                                    <w:rPr>
                                      <w:b/>
                                      <w:bCs/>
                                      <w:color w:val="000000" w:themeColor="text1"/>
                                      <w:sz w:val="18"/>
                                      <w:szCs w:val="18"/>
                                    </w:rPr>
                                    <w:t xml:space="preserve"> </w:t>
                                  </w:r>
                                  <w:r w:rsidRPr="00F4471F">
                                    <w:rPr>
                                      <w:color w:val="000000" w:themeColor="text1"/>
                                      <w:sz w:val="18"/>
                                      <w:szCs w:val="18"/>
                                    </w:rPr>
                                    <w:t xml:space="preserve">gaps </w:t>
                                  </w:r>
                                  <w:r w:rsidRPr="00874AE0">
                                    <w:rPr>
                                      <w:color w:val="002060"/>
                                      <w:sz w:val="18"/>
                                      <w:szCs w:val="18"/>
                                    </w:rPr>
                                    <w:t xml:space="preserve">(n = </w:t>
                                  </w:r>
                                  <w:r w:rsidRPr="00874AE0">
                                    <w:rPr>
                                      <w:noProof/>
                                      <w:color w:val="002060"/>
                                      <w:sz w:val="18"/>
                                      <w:szCs w:val="18"/>
                                    </w:rPr>
                                    <w:t>266</w:t>
                                  </w:r>
                                  <w:r w:rsidRPr="00874AE0">
                                    <w:rPr>
                                      <w:color w:val="002060"/>
                                      <w:sz w:val="18"/>
                                      <w:szCs w:val="18"/>
                                    </w:rPr>
                                    <w:t>)</w:t>
                                  </w:r>
                                </w:p>
                                <w:p w14:paraId="37776FB9" w14:textId="726D8A8B" w:rsidR="00B66C0B" w:rsidRPr="00A1342A" w:rsidRDefault="00B66C0B" w:rsidP="00B66C0B">
                                  <w:pPr>
                                    <w:spacing w:after="0" w:line="240" w:lineRule="auto"/>
                                    <w:ind w:left="80" w:hanging="80"/>
                                    <w:rPr>
                                      <w:noProof/>
                                      <w:color w:val="000000" w:themeColor="text1"/>
                                      <w:sz w:val="18"/>
                                      <w:szCs w:val="18"/>
                                    </w:rPr>
                                  </w:pPr>
                                  <w:r w:rsidRPr="00A1342A">
                                    <w:rPr>
                                      <w:noProof/>
                                      <w:color w:val="000000" w:themeColor="text1"/>
                                      <w:sz w:val="18"/>
                                      <w:szCs w:val="18"/>
                                    </w:rPr>
                                    <w:fldChar w:fldCharType="begin"/>
                                  </w:r>
                                  <w:r w:rsidRPr="00A1342A">
                                    <w:rPr>
                                      <w:noProof/>
                                      <w:color w:val="000000" w:themeColor="text1"/>
                                      <w:sz w:val="18"/>
                                      <w:szCs w:val="18"/>
                                    </w:rPr>
                                    <w:instrText xml:space="preserve"> MERGEFIELD =exclusion_reason.reason \* MERGEFORMAT </w:instrText>
                                  </w:r>
                                  <w:r w:rsidRPr="00A1342A">
                                    <w:rPr>
                                      <w:noProof/>
                                      <w:color w:val="000000" w:themeColor="text1"/>
                                      <w:sz w:val="18"/>
                                      <w:szCs w:val="18"/>
                                    </w:rPr>
                                    <w:fldChar w:fldCharType="separate"/>
                                  </w:r>
                                  <w:r w:rsidRPr="00A1342A">
                                    <w:rPr>
                                      <w:noProof/>
                                      <w:color w:val="000000" w:themeColor="text1"/>
                                      <w:sz w:val="18"/>
                                      <w:szCs w:val="18"/>
                                    </w:rPr>
                                    <w:t>4) Not a primary study (for example</w:t>
                                  </w:r>
                                  <w:r w:rsidR="00590F26" w:rsidRPr="00A1342A">
                                    <w:rPr>
                                      <w:noProof/>
                                      <w:color w:val="000000" w:themeColor="text1"/>
                                      <w:sz w:val="18"/>
                                      <w:szCs w:val="18"/>
                                    </w:rPr>
                                    <w:t>,</w:t>
                                  </w:r>
                                  <w:r w:rsidRPr="00A1342A">
                                    <w:rPr>
                                      <w:noProof/>
                                      <w:color w:val="000000" w:themeColor="text1"/>
                                      <w:sz w:val="18"/>
                                      <w:szCs w:val="18"/>
                                    </w:rPr>
                                    <w:t xml:space="preserve"> a proptocol or case study) (n=4)</w:t>
                                  </w:r>
                                </w:p>
                                <w:p w14:paraId="7C05EE23" w14:textId="77777777" w:rsidR="00B66C0B" w:rsidRPr="00A1342A" w:rsidRDefault="00B66C0B" w:rsidP="00B66C0B">
                                  <w:pPr>
                                    <w:spacing w:after="0" w:line="240" w:lineRule="auto"/>
                                    <w:ind w:left="80" w:hanging="80"/>
                                    <w:rPr>
                                      <w:noProof/>
                                      <w:color w:val="000000" w:themeColor="text1"/>
                                      <w:sz w:val="18"/>
                                      <w:szCs w:val="18"/>
                                    </w:rPr>
                                  </w:pPr>
                                  <w:r w:rsidRPr="00A1342A">
                                    <w:rPr>
                                      <w:noProof/>
                                      <w:color w:val="000000" w:themeColor="text1"/>
                                      <w:sz w:val="18"/>
                                      <w:szCs w:val="18"/>
                                    </w:rPr>
                                    <w:t>5) Not UK or Australia</w:t>
                                  </w:r>
                                  <w:r w:rsidRPr="00A1342A">
                                    <w:rPr>
                                      <w:noProof/>
                                      <w:color w:val="000000" w:themeColor="text1"/>
                                      <w:sz w:val="18"/>
                                      <w:szCs w:val="18"/>
                                    </w:rPr>
                                    <w:fldChar w:fldCharType="end"/>
                                  </w:r>
                                  <w:r w:rsidRPr="00A1342A">
                                    <w:rPr>
                                      <w:noProof/>
                                      <w:color w:val="000000" w:themeColor="text1"/>
                                      <w:sz w:val="18"/>
                                      <w:szCs w:val="18"/>
                                    </w:rPr>
                                    <w:t xml:space="preserve"> focused (n = 7)</w:t>
                                  </w:r>
                                  <w:r w:rsidRPr="00A1342A">
                                    <w:rPr>
                                      <w:noProof/>
                                      <w:color w:val="000000" w:themeColor="text1"/>
                                      <w:sz w:val="18"/>
                                      <w:szCs w:val="18"/>
                                    </w:rPr>
                                    <w:fldChar w:fldCharType="begin"/>
                                  </w:r>
                                  <w:r w:rsidRPr="00A1342A">
                                    <w:rPr>
                                      <w:noProof/>
                                      <w:color w:val="000000" w:themeColor="text1"/>
                                      <w:sz w:val="18"/>
                                      <w:szCs w:val="18"/>
                                    </w:rPr>
                                    <w:instrText xml:space="preserve"> MERGEFIELD =reason.number_of_citations \* MERGEFORMAT </w:instrText>
                                  </w:r>
                                  <w:r w:rsidRPr="00A1342A">
                                    <w:rPr>
                                      <w:noProof/>
                                      <w:color w:val="000000" w:themeColor="text1"/>
                                      <w:sz w:val="18"/>
                                      <w:szCs w:val="18"/>
                                    </w:rPr>
                                    <w:fldChar w:fldCharType="end"/>
                                  </w:r>
                                </w:p>
                                <w:p w14:paraId="5B921360" w14:textId="77777777" w:rsidR="00B66C0B" w:rsidRPr="00A1342A" w:rsidRDefault="00B66C0B" w:rsidP="00B66C0B">
                                  <w:pPr>
                                    <w:spacing w:after="0" w:line="240" w:lineRule="auto"/>
                                    <w:ind w:left="80" w:hanging="80"/>
                                    <w:rPr>
                                      <w:noProof/>
                                      <w:color w:val="000000" w:themeColor="text1"/>
                                      <w:sz w:val="18"/>
                                      <w:szCs w:val="18"/>
                                    </w:rPr>
                                  </w:pPr>
                                  <w:r w:rsidRPr="00A1342A">
                                    <w:rPr>
                                      <w:noProof/>
                                      <w:color w:val="000000" w:themeColor="text1"/>
                                      <w:sz w:val="18"/>
                                      <w:szCs w:val="18"/>
                                    </w:rPr>
                                    <w:fldChar w:fldCharType="begin"/>
                                  </w:r>
                                  <w:r w:rsidRPr="00A1342A">
                                    <w:rPr>
                                      <w:noProof/>
                                      <w:color w:val="000000" w:themeColor="text1"/>
                                      <w:sz w:val="18"/>
                                      <w:szCs w:val="18"/>
                                    </w:rPr>
                                    <w:instrText xml:space="preserve"> MERGEFIELD =exclusion_reason.reason \* MERGEFORMAT </w:instrText>
                                  </w:r>
                                  <w:r w:rsidRPr="00A1342A">
                                    <w:rPr>
                                      <w:noProof/>
                                      <w:color w:val="000000" w:themeColor="text1"/>
                                      <w:sz w:val="18"/>
                                      <w:szCs w:val="18"/>
                                    </w:rPr>
                                    <w:fldChar w:fldCharType="separate"/>
                                  </w:r>
                                  <w:r w:rsidRPr="00A1342A">
                                    <w:rPr>
                                      <w:noProof/>
                                      <w:color w:val="000000" w:themeColor="text1"/>
                                      <w:sz w:val="18"/>
                                      <w:szCs w:val="18"/>
                                    </w:rPr>
                                    <w:t xml:space="preserve">6) Not published between February 2013 and February 2023 </w:t>
                                  </w:r>
                                  <w:r w:rsidRPr="00A1342A">
                                    <w:rPr>
                                      <w:noProof/>
                                      <w:color w:val="000000" w:themeColor="text1"/>
                                      <w:sz w:val="18"/>
                                      <w:szCs w:val="18"/>
                                    </w:rPr>
                                    <w:fldChar w:fldCharType="end"/>
                                  </w:r>
                                  <w:r w:rsidRPr="00A1342A">
                                    <w:rPr>
                                      <w:noProof/>
                                      <w:color w:val="000000" w:themeColor="text1"/>
                                      <w:sz w:val="18"/>
                                      <w:szCs w:val="18"/>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8D6EF" id="Rectangle 443338491" o:spid="_x0000_s1035" style="position:absolute;left:0;text-align:left;margin-left:3pt;margin-top:97.65pt;width:184.5pt;height:163.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" filled="f" strokecolor="black [3213]" strokeweight="2pt">
                      <v:textbox>
                        <w:txbxContent>
                          <w:p w14:paraId="23529E1D" w14:textId="6DBD9333" w:rsidR="00B66C0B" w:rsidRPr="00F4471F" w:rsidRDefault="00B66C0B" w:rsidP="00B66C0B">
                            <w:pPr>
                              <w:spacing w:after="0" w:line="240" w:lineRule="auto"/>
                              <w:rPr>
                                <w:b/>
                                <w:bCs/>
                                <w:color w:val="000000" w:themeColor="text1"/>
                                <w:sz w:val="18"/>
                                <w:szCs w:val="18"/>
                              </w:rPr>
                            </w:pPr>
                            <w:r w:rsidRPr="00F4471F">
                              <w:rPr>
                                <w:color w:val="000000" w:themeColor="text1"/>
                                <w:sz w:val="18"/>
                                <w:szCs w:val="18"/>
                              </w:rPr>
                              <w:t xml:space="preserve">Studies excluded </w:t>
                            </w:r>
                            <w:r w:rsidRPr="00F4471F">
                              <w:rPr>
                                <w:b/>
                                <w:bCs/>
                                <w:color w:val="000000" w:themeColor="text1"/>
                                <w:sz w:val="18"/>
                                <w:szCs w:val="18"/>
                              </w:rPr>
                              <w:t xml:space="preserve">(n = </w:t>
                            </w:r>
                            <w:r w:rsidRPr="00F4471F">
                              <w:rPr>
                                <w:b/>
                                <w:bCs/>
                                <w:noProof/>
                                <w:color w:val="000000" w:themeColor="text1"/>
                                <w:sz w:val="18"/>
                                <w:szCs w:val="18"/>
                              </w:rPr>
                              <w:t>29</w:t>
                            </w:r>
                            <w:r w:rsidR="00F65DF5">
                              <w:rPr>
                                <w:b/>
                                <w:bCs/>
                                <w:noProof/>
                                <w:color w:val="000000" w:themeColor="text1"/>
                                <w:sz w:val="18"/>
                                <w:szCs w:val="18"/>
                              </w:rPr>
                              <w:t>5</w:t>
                            </w:r>
                            <w:r w:rsidRPr="00F4471F">
                              <w:rPr>
                                <w:b/>
                                <w:bCs/>
                                <w:color w:val="000000" w:themeColor="text1"/>
                                <w:sz w:val="18"/>
                                <w:szCs w:val="18"/>
                              </w:rPr>
                              <w:t>):</w:t>
                            </w:r>
                          </w:p>
                          <w:p w14:paraId="33887E9A" w14:textId="77777777" w:rsidR="00B66C0B" w:rsidRPr="00F4471F" w:rsidRDefault="00B66C0B" w:rsidP="00B66C0B">
                            <w:pPr>
                              <w:spacing w:after="0" w:line="240" w:lineRule="auto"/>
                              <w:ind w:left="80" w:hanging="80"/>
                              <w:rPr>
                                <w:b/>
                                <w:bCs/>
                                <w:color w:val="000000" w:themeColor="text1"/>
                                <w:sz w:val="18"/>
                                <w:szCs w:val="18"/>
                              </w:rPr>
                            </w:pPr>
                            <w:r w:rsidRPr="00F4471F">
                              <w:rPr>
                                <w:color w:val="000000" w:themeColor="text1"/>
                                <w:sz w:val="18"/>
                                <w:szCs w:val="18"/>
                              </w:rPr>
                              <w:fldChar w:fldCharType="begin"/>
                            </w:r>
                            <w:r w:rsidRPr="00F4471F">
                              <w:rPr>
                                <w:color w:val="000000" w:themeColor="text1"/>
                                <w:sz w:val="18"/>
                                <w:szCs w:val="18"/>
                              </w:rPr>
                              <w:instrText xml:space="preserve"> MERGEFIELD =exclusion_reason.reason \* MERGEFORMAT </w:instrText>
                            </w:r>
                            <w:r w:rsidRPr="00F4471F">
                              <w:rPr>
                                <w:color w:val="000000" w:themeColor="text1"/>
                                <w:sz w:val="18"/>
                                <w:szCs w:val="18"/>
                              </w:rPr>
                              <w:fldChar w:fldCharType="separate"/>
                            </w:r>
                            <w:r w:rsidRPr="00F4471F">
                              <w:rPr>
                                <w:noProof/>
                                <w:color w:val="000000" w:themeColor="text1"/>
                                <w:sz w:val="18"/>
                                <w:szCs w:val="18"/>
                              </w:rPr>
                              <w:t>1) Not peer reviewed/published</w:t>
                            </w:r>
                            <w:r w:rsidRPr="00F4471F">
                              <w:rPr>
                                <w:color w:val="000000" w:themeColor="text1"/>
                                <w:sz w:val="18"/>
                                <w:szCs w:val="18"/>
                              </w:rPr>
                              <w:fldChar w:fldCharType="end"/>
                            </w:r>
                            <w:r w:rsidRPr="00F4471F">
                              <w:rPr>
                                <w:color w:val="000000" w:themeColor="text1"/>
                                <w:sz w:val="18"/>
                                <w:szCs w:val="18"/>
                              </w:rPr>
                              <w:t xml:space="preserve"> (n = </w:t>
                            </w:r>
                            <w:r w:rsidRPr="00F4471F">
                              <w:rPr>
                                <w:noProof/>
                                <w:color w:val="000000" w:themeColor="text1"/>
                                <w:sz w:val="18"/>
                                <w:szCs w:val="18"/>
                              </w:rPr>
                              <w:t>10</w:t>
                            </w:r>
                            <w:r w:rsidRPr="00F4471F">
                              <w:rPr>
                                <w:color w:val="000000" w:themeColor="text1"/>
                                <w:sz w:val="18"/>
                                <w:szCs w:val="18"/>
                              </w:rPr>
                              <w:t>)</w:t>
                            </w:r>
                            <w:r w:rsidRPr="00F4471F">
                              <w:rPr>
                                <w:b/>
                                <w:bCs/>
                                <w:color w:val="000000" w:themeColor="text1"/>
                                <w:sz w:val="18"/>
                                <w:szCs w:val="18"/>
                              </w:rPr>
                              <w:fldChar w:fldCharType="begin"/>
                            </w:r>
                            <w:r w:rsidRPr="00F4471F">
                              <w:rPr>
                                <w:b/>
                                <w:bCs/>
                                <w:color w:val="000000" w:themeColor="text1"/>
                                <w:sz w:val="18"/>
                                <w:szCs w:val="18"/>
                              </w:rPr>
                              <w:instrText xml:space="preserve"> MERGEFIELD =reason.number_of_citations \* MERGEFORMAT </w:instrText>
                            </w:r>
                            <w:r w:rsidRPr="00F4471F">
                              <w:rPr>
                                <w:b/>
                                <w:bCs/>
                                <w:color w:val="000000" w:themeColor="text1"/>
                                <w:sz w:val="18"/>
                                <w:szCs w:val="18"/>
                              </w:rPr>
                              <w:fldChar w:fldCharType="end"/>
                            </w:r>
                          </w:p>
                          <w:p w14:paraId="166D990A" w14:textId="3583B3C0" w:rsidR="00B66C0B" w:rsidRPr="00F4471F" w:rsidRDefault="00B66C0B" w:rsidP="00B66C0B">
                            <w:pPr>
                              <w:spacing w:after="0" w:line="240" w:lineRule="auto"/>
                              <w:ind w:left="80" w:hanging="80"/>
                              <w:rPr>
                                <w:b/>
                                <w:bCs/>
                                <w:color w:val="000000" w:themeColor="text1"/>
                                <w:sz w:val="18"/>
                                <w:szCs w:val="18"/>
                              </w:rPr>
                            </w:pPr>
                            <w:r w:rsidRPr="00F4471F">
                              <w:rPr>
                                <w:color w:val="000000" w:themeColor="text1"/>
                                <w:sz w:val="18"/>
                                <w:szCs w:val="18"/>
                              </w:rPr>
                              <w:fldChar w:fldCharType="begin"/>
                            </w:r>
                            <w:r w:rsidRPr="00F4471F">
                              <w:rPr>
                                <w:color w:val="000000" w:themeColor="text1"/>
                                <w:sz w:val="18"/>
                                <w:szCs w:val="18"/>
                              </w:rPr>
                              <w:instrText xml:space="preserve"> MERGEFIELD =exclusion_reason.reason \* MERGEFORMAT </w:instrText>
                            </w:r>
                            <w:r w:rsidRPr="00F4471F">
                              <w:rPr>
                                <w:color w:val="000000" w:themeColor="text1"/>
                                <w:sz w:val="18"/>
                                <w:szCs w:val="18"/>
                              </w:rPr>
                              <w:fldChar w:fldCharType="separate"/>
                            </w:r>
                            <w:r w:rsidRPr="00F4471F">
                              <w:rPr>
                                <w:noProof/>
                                <w:color w:val="000000" w:themeColor="text1"/>
                                <w:sz w:val="18"/>
                                <w:szCs w:val="18"/>
                              </w:rPr>
                              <w:t>2) Not LGBT</w:t>
                            </w:r>
                            <w:r w:rsidR="00C913E3">
                              <w:rPr>
                                <w:noProof/>
                                <w:color w:val="000000" w:themeColor="text1"/>
                                <w:sz w:val="18"/>
                                <w:szCs w:val="18"/>
                              </w:rPr>
                              <w:t>Q+</w:t>
                            </w:r>
                            <w:r w:rsidRPr="00F4471F">
                              <w:rPr>
                                <w:noProof/>
                                <w:color w:val="000000" w:themeColor="text1"/>
                                <w:sz w:val="18"/>
                                <w:szCs w:val="18"/>
                              </w:rPr>
                              <w:t xml:space="preserve"> focused</w:t>
                            </w:r>
                            <w:r w:rsidRPr="00F4471F">
                              <w:rPr>
                                <w:color w:val="000000" w:themeColor="text1"/>
                                <w:sz w:val="18"/>
                                <w:szCs w:val="18"/>
                              </w:rPr>
                              <w:fldChar w:fldCharType="end"/>
                            </w:r>
                            <w:r w:rsidRPr="00F4471F">
                              <w:rPr>
                                <w:color w:val="000000" w:themeColor="text1"/>
                                <w:sz w:val="18"/>
                                <w:szCs w:val="18"/>
                              </w:rPr>
                              <w:t xml:space="preserve"> (n = </w:t>
                            </w:r>
                            <w:r w:rsidR="00C913E3">
                              <w:rPr>
                                <w:noProof/>
                                <w:color w:val="000000" w:themeColor="text1"/>
                                <w:sz w:val="18"/>
                                <w:szCs w:val="18"/>
                              </w:rPr>
                              <w:t>8</w:t>
                            </w:r>
                            <w:r w:rsidRPr="00F4471F">
                              <w:rPr>
                                <w:color w:val="000000" w:themeColor="text1"/>
                                <w:sz w:val="18"/>
                                <w:szCs w:val="18"/>
                              </w:rPr>
                              <w:t>)</w:t>
                            </w:r>
                            <w:r w:rsidRPr="00F4471F">
                              <w:rPr>
                                <w:b/>
                                <w:bCs/>
                                <w:color w:val="000000" w:themeColor="text1"/>
                                <w:sz w:val="18"/>
                                <w:szCs w:val="18"/>
                              </w:rPr>
                              <w:fldChar w:fldCharType="begin"/>
                            </w:r>
                            <w:r w:rsidRPr="00F4471F">
                              <w:rPr>
                                <w:b/>
                                <w:bCs/>
                                <w:color w:val="000000" w:themeColor="text1"/>
                                <w:sz w:val="18"/>
                                <w:szCs w:val="18"/>
                              </w:rPr>
                              <w:instrText xml:space="preserve"> MERGEFIELD =reason.number_of_citations \* MERGEFORMAT </w:instrText>
                            </w:r>
                            <w:r w:rsidRPr="00F4471F">
                              <w:rPr>
                                <w:b/>
                                <w:bCs/>
                                <w:color w:val="000000" w:themeColor="text1"/>
                                <w:sz w:val="18"/>
                                <w:szCs w:val="18"/>
                              </w:rPr>
                              <w:fldChar w:fldCharType="end"/>
                            </w:r>
                          </w:p>
                          <w:p w14:paraId="0594C5DD" w14:textId="77777777" w:rsidR="00B66C0B" w:rsidRPr="00F4471F" w:rsidRDefault="00B66C0B" w:rsidP="00B66C0B">
                            <w:pPr>
                              <w:spacing w:after="0" w:line="240" w:lineRule="auto"/>
                              <w:rPr>
                                <w:color w:val="000000" w:themeColor="text1"/>
                                <w:sz w:val="18"/>
                                <w:szCs w:val="18"/>
                              </w:rPr>
                            </w:pPr>
                            <w:r w:rsidRPr="00F4471F">
                              <w:rPr>
                                <w:noProof/>
                                <w:color w:val="000000" w:themeColor="text1"/>
                                <w:sz w:val="18"/>
                                <w:szCs w:val="18"/>
                              </w:rPr>
                              <w:t xml:space="preserve">3) Not </w:t>
                            </w:r>
                            <w:r>
                              <w:rPr>
                                <w:noProof/>
                                <w:color w:val="000000" w:themeColor="text1"/>
                                <w:sz w:val="18"/>
                                <w:szCs w:val="18"/>
                              </w:rPr>
                              <w:t xml:space="preserve">about </w:t>
                            </w:r>
                            <w:r w:rsidRPr="00F4471F">
                              <w:rPr>
                                <w:noProof/>
                                <w:color w:val="000000" w:themeColor="text1"/>
                                <w:sz w:val="18"/>
                                <w:szCs w:val="18"/>
                              </w:rPr>
                              <w:t>accessing mental health, or experience or</w:t>
                            </w:r>
                            <w:r w:rsidRPr="00F4471F">
                              <w:rPr>
                                <w:b/>
                                <w:bCs/>
                                <w:color w:val="000000" w:themeColor="text1"/>
                                <w:sz w:val="18"/>
                                <w:szCs w:val="18"/>
                              </w:rPr>
                              <w:t xml:space="preserve"> </w:t>
                            </w:r>
                            <w:r w:rsidRPr="00F4471F">
                              <w:rPr>
                                <w:color w:val="000000" w:themeColor="text1"/>
                                <w:sz w:val="18"/>
                                <w:szCs w:val="18"/>
                              </w:rPr>
                              <w:t xml:space="preserve">gaps </w:t>
                            </w:r>
                            <w:r w:rsidRPr="00874AE0">
                              <w:rPr>
                                <w:color w:val="002060"/>
                                <w:sz w:val="18"/>
                                <w:szCs w:val="18"/>
                              </w:rPr>
                              <w:t xml:space="preserve">(n = </w:t>
                            </w:r>
                            <w:r w:rsidRPr="00874AE0">
                              <w:rPr>
                                <w:noProof/>
                                <w:color w:val="002060"/>
                                <w:sz w:val="18"/>
                                <w:szCs w:val="18"/>
                              </w:rPr>
                              <w:t>266</w:t>
                            </w:r>
                            <w:r w:rsidRPr="00874AE0">
                              <w:rPr>
                                <w:color w:val="002060"/>
                                <w:sz w:val="18"/>
                                <w:szCs w:val="18"/>
                              </w:rPr>
                              <w:t>)</w:t>
                            </w:r>
                          </w:p>
                          <w:p w14:paraId="37776FB9" w14:textId="726D8A8B" w:rsidR="00B66C0B" w:rsidRPr="00A1342A" w:rsidRDefault="00B66C0B" w:rsidP="00B66C0B">
                            <w:pPr>
                              <w:spacing w:after="0" w:line="240" w:lineRule="auto"/>
                              <w:ind w:left="80" w:hanging="80"/>
                              <w:rPr>
                                <w:noProof/>
                                <w:color w:val="000000" w:themeColor="text1"/>
                                <w:sz w:val="18"/>
                                <w:szCs w:val="18"/>
                              </w:rPr>
                            </w:pPr>
                            <w:r w:rsidRPr="00A1342A">
                              <w:rPr>
                                <w:noProof/>
                                <w:color w:val="000000" w:themeColor="text1"/>
                                <w:sz w:val="18"/>
                                <w:szCs w:val="18"/>
                              </w:rPr>
                              <w:fldChar w:fldCharType="begin"/>
                            </w:r>
                            <w:r w:rsidRPr="00A1342A">
                              <w:rPr>
                                <w:noProof/>
                                <w:color w:val="000000" w:themeColor="text1"/>
                                <w:sz w:val="18"/>
                                <w:szCs w:val="18"/>
                              </w:rPr>
                              <w:instrText xml:space="preserve"> MERGEFIELD =exclusion_reason.reason \* MERGEFORMAT </w:instrText>
                            </w:r>
                            <w:r w:rsidRPr="00A1342A">
                              <w:rPr>
                                <w:noProof/>
                                <w:color w:val="000000" w:themeColor="text1"/>
                                <w:sz w:val="18"/>
                                <w:szCs w:val="18"/>
                              </w:rPr>
                              <w:fldChar w:fldCharType="separate"/>
                            </w:r>
                            <w:r w:rsidRPr="00A1342A">
                              <w:rPr>
                                <w:noProof/>
                                <w:color w:val="000000" w:themeColor="text1"/>
                                <w:sz w:val="18"/>
                                <w:szCs w:val="18"/>
                              </w:rPr>
                              <w:t>4) Not a primary study (for example</w:t>
                            </w:r>
                            <w:r w:rsidR="00590F26" w:rsidRPr="00A1342A">
                              <w:rPr>
                                <w:noProof/>
                                <w:color w:val="000000" w:themeColor="text1"/>
                                <w:sz w:val="18"/>
                                <w:szCs w:val="18"/>
                              </w:rPr>
                              <w:t>,</w:t>
                            </w:r>
                            <w:r w:rsidRPr="00A1342A">
                              <w:rPr>
                                <w:noProof/>
                                <w:color w:val="000000" w:themeColor="text1"/>
                                <w:sz w:val="18"/>
                                <w:szCs w:val="18"/>
                              </w:rPr>
                              <w:t xml:space="preserve"> a proptocol or case study) (n=4)</w:t>
                            </w:r>
                          </w:p>
                          <w:p w14:paraId="7C05EE23" w14:textId="77777777" w:rsidR="00B66C0B" w:rsidRPr="00A1342A" w:rsidRDefault="00B66C0B" w:rsidP="00B66C0B">
                            <w:pPr>
                              <w:spacing w:after="0" w:line="240" w:lineRule="auto"/>
                              <w:ind w:left="80" w:hanging="80"/>
                              <w:rPr>
                                <w:noProof/>
                                <w:color w:val="000000" w:themeColor="text1"/>
                                <w:sz w:val="18"/>
                                <w:szCs w:val="18"/>
                              </w:rPr>
                            </w:pPr>
                            <w:r w:rsidRPr="00A1342A">
                              <w:rPr>
                                <w:noProof/>
                                <w:color w:val="000000" w:themeColor="text1"/>
                                <w:sz w:val="18"/>
                                <w:szCs w:val="18"/>
                              </w:rPr>
                              <w:t>5) Not UK or Australia</w:t>
                            </w:r>
                            <w:r w:rsidRPr="00A1342A">
                              <w:rPr>
                                <w:noProof/>
                                <w:color w:val="000000" w:themeColor="text1"/>
                                <w:sz w:val="18"/>
                                <w:szCs w:val="18"/>
                              </w:rPr>
                              <w:fldChar w:fldCharType="end"/>
                            </w:r>
                            <w:r w:rsidRPr="00A1342A">
                              <w:rPr>
                                <w:noProof/>
                                <w:color w:val="000000" w:themeColor="text1"/>
                                <w:sz w:val="18"/>
                                <w:szCs w:val="18"/>
                              </w:rPr>
                              <w:t xml:space="preserve"> focused (n = 7)</w:t>
                            </w:r>
                            <w:r w:rsidRPr="00A1342A">
                              <w:rPr>
                                <w:noProof/>
                                <w:color w:val="000000" w:themeColor="text1"/>
                                <w:sz w:val="18"/>
                                <w:szCs w:val="18"/>
                              </w:rPr>
                              <w:fldChar w:fldCharType="begin"/>
                            </w:r>
                            <w:r w:rsidRPr="00A1342A">
                              <w:rPr>
                                <w:noProof/>
                                <w:color w:val="000000" w:themeColor="text1"/>
                                <w:sz w:val="18"/>
                                <w:szCs w:val="18"/>
                              </w:rPr>
                              <w:instrText xml:space="preserve"> MERGEFIELD =reason.number_of_citations \* MERGEFORMAT </w:instrText>
                            </w:r>
                            <w:r w:rsidRPr="00A1342A">
                              <w:rPr>
                                <w:noProof/>
                                <w:color w:val="000000" w:themeColor="text1"/>
                                <w:sz w:val="18"/>
                                <w:szCs w:val="18"/>
                              </w:rPr>
                              <w:fldChar w:fldCharType="end"/>
                            </w:r>
                          </w:p>
                          <w:p w14:paraId="5B921360" w14:textId="77777777" w:rsidR="00B66C0B" w:rsidRPr="00A1342A" w:rsidRDefault="00B66C0B" w:rsidP="00B66C0B">
                            <w:pPr>
                              <w:spacing w:after="0" w:line="240" w:lineRule="auto"/>
                              <w:ind w:left="80" w:hanging="80"/>
                              <w:rPr>
                                <w:noProof/>
                                <w:color w:val="000000" w:themeColor="text1"/>
                                <w:sz w:val="18"/>
                                <w:szCs w:val="18"/>
                              </w:rPr>
                            </w:pPr>
                            <w:r w:rsidRPr="00A1342A">
                              <w:rPr>
                                <w:noProof/>
                                <w:color w:val="000000" w:themeColor="text1"/>
                                <w:sz w:val="18"/>
                                <w:szCs w:val="18"/>
                              </w:rPr>
                              <w:fldChar w:fldCharType="begin"/>
                            </w:r>
                            <w:r w:rsidRPr="00A1342A">
                              <w:rPr>
                                <w:noProof/>
                                <w:color w:val="000000" w:themeColor="text1"/>
                                <w:sz w:val="18"/>
                                <w:szCs w:val="18"/>
                              </w:rPr>
                              <w:instrText xml:space="preserve"> MERGEFIELD =exclusion_reason.reason \* MERGEFORMAT </w:instrText>
                            </w:r>
                            <w:r w:rsidRPr="00A1342A">
                              <w:rPr>
                                <w:noProof/>
                                <w:color w:val="000000" w:themeColor="text1"/>
                                <w:sz w:val="18"/>
                                <w:szCs w:val="18"/>
                              </w:rPr>
                              <w:fldChar w:fldCharType="separate"/>
                            </w:r>
                            <w:r w:rsidRPr="00A1342A">
                              <w:rPr>
                                <w:noProof/>
                                <w:color w:val="000000" w:themeColor="text1"/>
                                <w:sz w:val="18"/>
                                <w:szCs w:val="18"/>
                              </w:rPr>
                              <w:t xml:space="preserve">6) Not published between February 2013 and February 2023 </w:t>
                            </w:r>
                            <w:r w:rsidRPr="00A1342A">
                              <w:rPr>
                                <w:noProof/>
                                <w:color w:val="000000" w:themeColor="text1"/>
                                <w:sz w:val="18"/>
                                <w:szCs w:val="18"/>
                              </w:rPr>
                              <w:fldChar w:fldCharType="end"/>
                            </w:r>
                            <w:r w:rsidRPr="00A1342A">
                              <w:rPr>
                                <w:noProof/>
                                <w:color w:val="000000" w:themeColor="text1"/>
                                <w:sz w:val="18"/>
                                <w:szCs w:val="18"/>
                              </w:rPr>
                              <w:t>(n = 0)</w:t>
                            </w:r>
                          </w:p>
                        </w:txbxContent>
                      </v:textbox>
                    </v:rect>
                  </w:pict>
                </mc:Fallback>
              </mc:AlternateContent>
            </w:r>
            <w:r w:rsidRPr="00560609">
              <w:rPr>
                <w:noProof/>
              </w:rPr>
              <mc:AlternateContent>
                <mc:Choice Requires="wps">
                  <w:drawing>
                    <wp:anchor distT="0" distB="0" distL="114300" distR="114300" simplePos="0" relativeHeight="251658249" behindDoc="0" locked="0" layoutInCell="1" allowOverlap="1" wp14:anchorId="216459F4" wp14:editId="21DBB8D0">
                      <wp:simplePos x="0" y="0"/>
                      <wp:positionH relativeFrom="column">
                        <wp:posOffset>44450</wp:posOffset>
                      </wp:positionH>
                      <wp:positionV relativeFrom="paragraph">
                        <wp:posOffset>112395</wp:posOffset>
                      </wp:positionV>
                      <wp:extent cx="2343150" cy="390525"/>
                      <wp:effectExtent l="0" t="0" r="19050" b="28575"/>
                      <wp:wrapNone/>
                      <wp:docPr id="498665092" name="Rectangle 498665092"/>
                      <wp:cNvGraphicFramePr/>
                      <a:graphic xmlns:a="http://schemas.openxmlformats.org/drawingml/2006/main">
                        <a:graphicData uri="http://schemas.microsoft.com/office/word/2010/wordprocessingShape">
                          <wps:wsp>
                            <wps:cNvSpPr/>
                            <wps:spPr>
                              <a:xfrm>
                                <a:off x="0" y="0"/>
                                <a:ext cx="2343150"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FAF79" w14:textId="77777777"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Duplicates removed by the UTS team </w:t>
                                  </w:r>
                                  <w:r>
                                    <w:rPr>
                                      <w:rFonts w:ascii="Arial" w:hAnsi="Arial" w:cs="Arial"/>
                                      <w:color w:val="000000" w:themeColor="text1"/>
                                      <w:sz w:val="18"/>
                                      <w:szCs w:val="20"/>
                                    </w:rPr>
                                    <w:br/>
                                  </w: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18</w:t>
                                  </w:r>
                                  <w:r w:rsidRPr="003A087D">
                                    <w:rPr>
                                      <w:rFonts w:ascii="Arial" w:hAnsi="Arial" w:cs="Arial"/>
                                      <w:b/>
                                      <w:bCs/>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459F4" id="Rectangle 498665092" o:spid="_x0000_s1036" style="position:absolute;left:0;text-align:left;margin-left:3.5pt;margin-top:8.85pt;width:184.5pt;height:30.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" filled="f" strokecolor="black [3213]" strokeweight="2pt">
                      <v:textbox>
                        <w:txbxContent>
                          <w:p w14:paraId="6E1FAF79" w14:textId="77777777"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Duplicates removed by the UTS team </w:t>
                            </w:r>
                            <w:r>
                              <w:rPr>
                                <w:rFonts w:ascii="Arial" w:hAnsi="Arial" w:cs="Arial"/>
                                <w:color w:val="000000" w:themeColor="text1"/>
                                <w:sz w:val="18"/>
                                <w:szCs w:val="20"/>
                              </w:rPr>
                              <w:br/>
                            </w: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18</w:t>
                            </w:r>
                            <w:r w:rsidRPr="003A087D">
                              <w:rPr>
                                <w:rFonts w:ascii="Arial" w:hAnsi="Arial" w:cs="Arial"/>
                                <w:b/>
                                <w:bCs/>
                                <w:color w:val="000000" w:themeColor="text1"/>
                                <w:sz w:val="18"/>
                                <w:szCs w:val="20"/>
                              </w:rPr>
                              <w:t>)</w:t>
                            </w:r>
                          </w:p>
                        </w:txbxContent>
                      </v:textbox>
                    </v:rect>
                  </w:pict>
                </mc:Fallback>
              </mc:AlternateContent>
            </w:r>
            <w:r w:rsidRPr="00560609">
              <w:rPr>
                <w:noProof/>
              </w:rPr>
              <mc:AlternateContent>
                <mc:Choice Requires="wps">
                  <w:drawing>
                    <wp:anchor distT="0" distB="0" distL="114300" distR="114300" simplePos="0" relativeHeight="251658252" behindDoc="0" locked="0" layoutInCell="1" allowOverlap="1" wp14:anchorId="054DCEDF" wp14:editId="1505E32F">
                      <wp:simplePos x="0" y="0"/>
                      <wp:positionH relativeFrom="column">
                        <wp:posOffset>44450</wp:posOffset>
                      </wp:positionH>
                      <wp:positionV relativeFrom="paragraph">
                        <wp:posOffset>702945</wp:posOffset>
                      </wp:positionV>
                      <wp:extent cx="2343150" cy="390525"/>
                      <wp:effectExtent l="0" t="0" r="19050" b="28575"/>
                      <wp:wrapNone/>
                      <wp:docPr id="2124944142" name="Rectangle 2124944142"/>
                      <wp:cNvGraphicFramePr/>
                      <a:graphic xmlns:a="http://schemas.openxmlformats.org/drawingml/2006/main">
                        <a:graphicData uri="http://schemas.microsoft.com/office/word/2010/wordprocessingShape">
                          <wps:wsp>
                            <wps:cNvSpPr/>
                            <wps:spPr>
                              <a:xfrm>
                                <a:off x="0" y="0"/>
                                <a:ext cx="2343150"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D583A" w14:textId="77777777"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Studies not retrieved or excluded </w:t>
                                  </w: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0</w:t>
                                  </w:r>
                                  <w:r w:rsidRPr="003A087D">
                                    <w:rPr>
                                      <w:rFonts w:ascii="Arial" w:hAnsi="Arial" w:cs="Arial"/>
                                      <w:b/>
                                      <w:bCs/>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DCEDF" id="Rectangle 2124944142" o:spid="_x0000_s1037" style="position:absolute;left:0;text-align:left;margin-left:3.5pt;margin-top:55.35pt;width:184.5pt;height:30.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" filled="f" strokecolor="black [3213]" strokeweight="2pt">
                      <v:textbox>
                        <w:txbxContent>
                          <w:p w14:paraId="7DAD583A" w14:textId="77777777"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Studies not retrieved or excluded </w:t>
                            </w: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0</w:t>
                            </w:r>
                            <w:r w:rsidRPr="003A087D">
                              <w:rPr>
                                <w:rFonts w:ascii="Arial" w:hAnsi="Arial" w:cs="Arial"/>
                                <w:b/>
                                <w:bCs/>
                                <w:color w:val="000000" w:themeColor="text1"/>
                                <w:sz w:val="18"/>
                                <w:szCs w:val="20"/>
                              </w:rPr>
                              <w:t>)</w:t>
                            </w:r>
                          </w:p>
                        </w:txbxContent>
                      </v:textbox>
                    </v:rect>
                  </w:pict>
                </mc:Fallback>
              </mc:AlternateContent>
            </w:r>
          </w:p>
        </w:tc>
      </w:tr>
      <w:tr w:rsidR="00B66C0B" w14:paraId="0EBC7B22" w14:textId="77777777" w:rsidTr="00227554">
        <w:trPr>
          <w:cantSplit/>
          <w:trHeight w:val="1401"/>
        </w:trPr>
        <w:tc>
          <w:tcPr>
            <w:tcW w:w="700" w:type="dxa"/>
            <w:tcBorders>
              <w:right w:val="single" w:sz="4" w:space="0" w:color="auto"/>
            </w:tcBorders>
            <w:shd w:val="clear" w:color="auto" w:fill="0B37AF" w:themeFill="accent1" w:themeFillShade="BF"/>
            <w:textDirection w:val="btLr"/>
          </w:tcPr>
          <w:p w14:paraId="7D7E8617" w14:textId="77777777" w:rsidR="00B66C0B" w:rsidRPr="00241D79" w:rsidRDefault="00B66C0B" w:rsidP="00227554">
            <w:pPr>
              <w:spacing w:before="60" w:after="60"/>
              <w:ind w:left="113" w:right="113"/>
              <w:jc w:val="center"/>
              <w:rPr>
                <w:b/>
                <w:bCs/>
                <w:noProof/>
                <w:sz w:val="20"/>
                <w:szCs w:val="20"/>
              </w:rPr>
            </w:pPr>
            <w:r>
              <w:rPr>
                <w:b/>
                <w:bCs/>
                <w:noProof/>
                <w:sz w:val="20"/>
                <w:szCs w:val="20"/>
              </w:rPr>
              <w:t>Included</w:t>
            </w:r>
          </w:p>
        </w:tc>
        <w:tc>
          <w:tcPr>
            <w:tcW w:w="4647" w:type="dxa"/>
            <w:tcBorders>
              <w:top w:val="nil"/>
              <w:left w:val="single" w:sz="4" w:space="0" w:color="auto"/>
              <w:bottom w:val="nil"/>
              <w:right w:val="nil"/>
            </w:tcBorders>
          </w:tcPr>
          <w:p w14:paraId="79EB26B3" w14:textId="77777777" w:rsidR="00B66C0B" w:rsidRDefault="00B66C0B" w:rsidP="00227554">
            <w:pPr>
              <w:ind w:left="-242"/>
            </w:pPr>
            <w:r w:rsidRPr="00560609">
              <w:rPr>
                <w:noProof/>
              </w:rPr>
              <mc:AlternateContent>
                <mc:Choice Requires="wps">
                  <w:drawing>
                    <wp:anchor distT="0" distB="0" distL="114300" distR="114300" simplePos="0" relativeHeight="251658254" behindDoc="0" locked="0" layoutInCell="1" allowOverlap="1" wp14:anchorId="1DE92EF5" wp14:editId="1EBFE527">
                      <wp:simplePos x="0" y="0"/>
                      <wp:positionH relativeFrom="column">
                        <wp:posOffset>167691</wp:posOffset>
                      </wp:positionH>
                      <wp:positionV relativeFrom="paragraph">
                        <wp:posOffset>153340</wp:posOffset>
                      </wp:positionV>
                      <wp:extent cx="2343150" cy="609600"/>
                      <wp:effectExtent l="0" t="0" r="19050" b="19050"/>
                      <wp:wrapNone/>
                      <wp:docPr id="256744700" name="Rectangle 256744700"/>
                      <wp:cNvGraphicFramePr/>
                      <a:graphic xmlns:a="http://schemas.openxmlformats.org/drawingml/2006/main">
                        <a:graphicData uri="http://schemas.microsoft.com/office/word/2010/wordprocessingShape">
                          <wps:wsp>
                            <wps:cNvSpPr/>
                            <wps:spPr>
                              <a:xfrm>
                                <a:off x="0" y="0"/>
                                <a:ext cx="2343150"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24457" w14:textId="24B690DE"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Studies included in the review </w:t>
                                  </w: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5</w:t>
                                  </w:r>
                                  <w:r w:rsidR="001F64DD">
                                    <w:rPr>
                                      <w:rFonts w:ascii="Arial" w:hAnsi="Arial" w:cs="Arial"/>
                                      <w:b/>
                                      <w:bCs/>
                                      <w:color w:val="000000" w:themeColor="text1"/>
                                      <w:sz w:val="18"/>
                                      <w:szCs w:val="20"/>
                                    </w:rPr>
                                    <w:t>6</w:t>
                                  </w:r>
                                  <w:r w:rsidRPr="003A087D">
                                    <w:rPr>
                                      <w:rFonts w:ascii="Arial" w:hAnsi="Arial" w:cs="Arial"/>
                                      <w:b/>
                                      <w:bCs/>
                                      <w:color w:val="000000" w:themeColor="text1"/>
                                      <w:sz w:val="18"/>
                                      <w:szCs w:val="20"/>
                                    </w:rPr>
                                    <w:t>)</w:t>
                                  </w:r>
                                  <w:r>
                                    <w:rPr>
                                      <w:rFonts w:ascii="Arial" w:hAnsi="Arial" w:cs="Arial"/>
                                      <w:color w:val="000000" w:themeColor="text1"/>
                                      <w:sz w:val="18"/>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92EF5" id="Rectangle 256744700" o:spid="_x0000_s1038" style="position:absolute;left:0;text-align:left;margin-left:13.2pt;margin-top:12.05pt;width:184.5pt;height:4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" filled="f" strokecolor="black [3213]" strokeweight="2pt">
                      <v:textbox>
                        <w:txbxContent>
                          <w:p w14:paraId="7AB24457" w14:textId="24B690DE" w:rsidR="00B66C0B" w:rsidRPr="00560609" w:rsidRDefault="00B66C0B" w:rsidP="00B66C0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Studies included in the review </w:t>
                            </w:r>
                            <w:r w:rsidRPr="003A087D">
                              <w:rPr>
                                <w:rFonts w:ascii="Arial" w:hAnsi="Arial" w:cs="Arial"/>
                                <w:b/>
                                <w:bCs/>
                                <w:color w:val="000000" w:themeColor="text1"/>
                                <w:sz w:val="18"/>
                                <w:szCs w:val="20"/>
                              </w:rPr>
                              <w:t xml:space="preserve">(n = </w:t>
                            </w:r>
                            <w:r>
                              <w:rPr>
                                <w:rFonts w:ascii="Arial" w:hAnsi="Arial" w:cs="Arial"/>
                                <w:b/>
                                <w:bCs/>
                                <w:color w:val="000000" w:themeColor="text1"/>
                                <w:sz w:val="18"/>
                                <w:szCs w:val="20"/>
                              </w:rPr>
                              <w:t>5</w:t>
                            </w:r>
                            <w:r w:rsidR="001F64DD">
                              <w:rPr>
                                <w:rFonts w:ascii="Arial" w:hAnsi="Arial" w:cs="Arial"/>
                                <w:b/>
                                <w:bCs/>
                                <w:color w:val="000000" w:themeColor="text1"/>
                                <w:sz w:val="18"/>
                                <w:szCs w:val="20"/>
                              </w:rPr>
                              <w:t>6</w:t>
                            </w:r>
                            <w:r w:rsidRPr="003A087D">
                              <w:rPr>
                                <w:rFonts w:ascii="Arial" w:hAnsi="Arial" w:cs="Arial"/>
                                <w:b/>
                                <w:bCs/>
                                <w:color w:val="000000" w:themeColor="text1"/>
                                <w:sz w:val="18"/>
                                <w:szCs w:val="20"/>
                              </w:rPr>
                              <w:t>)</w:t>
                            </w:r>
                            <w:r>
                              <w:rPr>
                                <w:rFonts w:ascii="Arial" w:hAnsi="Arial" w:cs="Arial"/>
                                <w:color w:val="000000" w:themeColor="text1"/>
                                <w:sz w:val="18"/>
                                <w:szCs w:val="20"/>
                              </w:rPr>
                              <w:t xml:space="preserve"> </w:t>
                            </w:r>
                          </w:p>
                        </w:txbxContent>
                      </v:textbox>
                    </v:rect>
                  </w:pict>
                </mc:Fallback>
              </mc:AlternateContent>
            </w:r>
          </w:p>
        </w:tc>
        <w:tc>
          <w:tcPr>
            <w:tcW w:w="3862" w:type="dxa"/>
            <w:tcBorders>
              <w:top w:val="nil"/>
              <w:left w:val="nil"/>
              <w:bottom w:val="nil"/>
              <w:right w:val="nil"/>
            </w:tcBorders>
          </w:tcPr>
          <w:p w14:paraId="4D389517" w14:textId="77777777" w:rsidR="00B66C0B" w:rsidRDefault="00B66C0B" w:rsidP="00227554">
            <w:pPr>
              <w:ind w:left="-242"/>
            </w:pPr>
          </w:p>
        </w:tc>
      </w:tr>
    </w:tbl>
    <w:p w14:paraId="6FCC90C7" w14:textId="77777777" w:rsidR="00B66C0B" w:rsidRPr="00635905" w:rsidRDefault="00B66C0B" w:rsidP="00B66C0B">
      <w:pPr>
        <w:pStyle w:val="FigureCaption"/>
        <w:rPr>
          <w:sz w:val="16"/>
          <w:szCs w:val="16"/>
        </w:rPr>
      </w:pPr>
      <w:r w:rsidRPr="0024054B">
        <w:t>Source: Department of Health and Aged Care and UTS-led research team, using Covidence and PRISMA software, October 2023</w:t>
      </w:r>
      <w:r w:rsidRPr="00516977">
        <w:t xml:space="preserve">. </w:t>
      </w:r>
      <w:r w:rsidRPr="00635905">
        <w:rPr>
          <w:sz w:val="16"/>
          <w:szCs w:val="16"/>
        </w:rPr>
        <w:t>*Records were excluded by a human. Adapted from Page MJ, McKenzie JE, Bossuyt PM, Boutron I, Hoffmann TC, Mulrow CD, et al. The PRISMA 2020 statement: an updated guideline for reporting systematic reviews. BMJ 2021;372:n71. doi: 10.1136/bmj.n71.</w:t>
      </w:r>
    </w:p>
    <w:p w14:paraId="65AFA4C2" w14:textId="77777777" w:rsidR="000F119A" w:rsidRPr="00D56815" w:rsidRDefault="000F119A" w:rsidP="009B406F">
      <w:pPr>
        <w:pStyle w:val="NbrHeading2"/>
      </w:pPr>
      <w:bookmarkStart w:id="19" w:name="_Toc153899487"/>
      <w:r w:rsidRPr="00D56815">
        <w:lastRenderedPageBreak/>
        <w:t>Methodology</w:t>
      </w:r>
      <w:bookmarkEnd w:id="19"/>
    </w:p>
    <w:p w14:paraId="02DD8913" w14:textId="5931C042" w:rsidR="000963D4" w:rsidRDefault="003D3A7E" w:rsidP="000F119A">
      <w:r>
        <w:t xml:space="preserve">As documented above, this paper </w:t>
      </w:r>
      <w:r w:rsidR="008F1EAF">
        <w:t xml:space="preserve">draws on a mixed methodology </w:t>
      </w:r>
      <w:r w:rsidR="000963D4">
        <w:t>including:</w:t>
      </w:r>
    </w:p>
    <w:p w14:paraId="166D1A78" w14:textId="10C0DD0E" w:rsidR="00121F3C" w:rsidRPr="005504A1" w:rsidRDefault="00121F3C" w:rsidP="00A74059">
      <w:pPr>
        <w:pStyle w:val="ListBullet0"/>
      </w:pPr>
      <w:r w:rsidRPr="005504A1">
        <w:t>Targeted desktop review of:</w:t>
      </w:r>
    </w:p>
    <w:p w14:paraId="27B7EECA" w14:textId="7E991DF5" w:rsidR="00677494" w:rsidRDefault="009356E1" w:rsidP="00C25A17">
      <w:pPr>
        <w:pStyle w:val="ListAlpha2"/>
      </w:pPr>
      <w:r>
        <w:t>P</w:t>
      </w:r>
      <w:r w:rsidR="00677494">
        <w:t>eer</w:t>
      </w:r>
      <w:r>
        <w:t>-</w:t>
      </w:r>
      <w:r w:rsidR="00677494">
        <w:t xml:space="preserve">reviewed and </w:t>
      </w:r>
      <w:r w:rsidR="00677494" w:rsidRPr="002B4B0E">
        <w:t>grey literature</w:t>
      </w:r>
      <w:r w:rsidR="00677494">
        <w:t>,</w:t>
      </w:r>
      <w:r w:rsidR="00677494" w:rsidRPr="002B4B0E">
        <w:t xml:space="preserve"> including government policy papers</w:t>
      </w:r>
      <w:r w:rsidR="00E47BB0">
        <w:t>, LGBT</w:t>
      </w:r>
      <w:r w:rsidR="00C25A17">
        <w:t>Q</w:t>
      </w:r>
      <w:r w:rsidR="00E47BB0">
        <w:t>+ advocacy papers</w:t>
      </w:r>
      <w:r>
        <w:t>,</w:t>
      </w:r>
      <w:r w:rsidR="00677494" w:rsidRPr="002B4B0E">
        <w:t xml:space="preserve"> and other publications</w:t>
      </w:r>
      <w:r w:rsidR="00E47BB0">
        <w:t>,</w:t>
      </w:r>
      <w:r w:rsidR="00677494" w:rsidRPr="002B4B0E">
        <w:t xml:space="preserve"> with a specific focus on Australia sources.</w:t>
      </w:r>
      <w:r w:rsidR="00DF09BB">
        <w:t xml:space="preserve"> These are included </w:t>
      </w:r>
      <w:r w:rsidR="00065B74">
        <w:t>at Reference</w:t>
      </w:r>
      <w:r w:rsidR="00E47BB0">
        <w:t xml:space="preserve"> List</w:t>
      </w:r>
      <w:r w:rsidR="00065B74">
        <w:t xml:space="preserve"> A</w:t>
      </w:r>
      <w:r w:rsidR="00E47BB0">
        <w:t>.</w:t>
      </w:r>
    </w:p>
    <w:p w14:paraId="4A36644D" w14:textId="15156E06" w:rsidR="005B34BA" w:rsidRDefault="009356E1" w:rsidP="00C25A17">
      <w:pPr>
        <w:pStyle w:val="ListAlpha2"/>
      </w:pPr>
      <w:r>
        <w:t>T</w:t>
      </w:r>
      <w:r w:rsidR="00AE2760">
        <w:t xml:space="preserve">argeted United </w:t>
      </w:r>
      <w:r w:rsidR="001922D4">
        <w:t>Kingdom and Australian</w:t>
      </w:r>
      <w:r w:rsidR="00AE2760">
        <w:t xml:space="preserve"> </w:t>
      </w:r>
      <w:r w:rsidR="000963D4" w:rsidRPr="005504A1">
        <w:t>peer-reviewed literature</w:t>
      </w:r>
      <w:r w:rsidR="00121F3C" w:rsidRPr="005504A1">
        <w:t xml:space="preserve"> </w:t>
      </w:r>
      <w:r w:rsidR="006C3FB3" w:rsidRPr="005504A1">
        <w:t>used in the SLR</w:t>
      </w:r>
      <w:r w:rsidR="00CC439C">
        <w:t xml:space="preserve">. These are included </w:t>
      </w:r>
      <w:r w:rsidR="005B34BA">
        <w:t>at Reference</w:t>
      </w:r>
      <w:r w:rsidR="00E47BB0">
        <w:t xml:space="preserve"> List</w:t>
      </w:r>
      <w:r w:rsidR="005B34BA">
        <w:t xml:space="preserve"> B.</w:t>
      </w:r>
    </w:p>
    <w:p w14:paraId="19DA8B8C" w14:textId="5C506299" w:rsidR="001F1F56" w:rsidRDefault="001F1F56" w:rsidP="001F1F56">
      <w:pPr>
        <w:pStyle w:val="ListAlpha2"/>
        <w:numPr>
          <w:ilvl w:val="0"/>
          <w:numId w:val="0"/>
        </w:numPr>
        <w:ind w:left="425"/>
      </w:pPr>
      <w:r w:rsidRPr="003A31F9">
        <w:t xml:space="preserve">It should be noted that due to the </w:t>
      </w:r>
      <w:r w:rsidR="008135B5" w:rsidRPr="003A31F9">
        <w:t xml:space="preserve">commissioned project </w:t>
      </w:r>
      <w:r w:rsidR="006304F1" w:rsidRPr="003A31F9">
        <w:t>scope</w:t>
      </w:r>
      <w:r w:rsidR="008135B5" w:rsidRPr="003A31F9">
        <w:t xml:space="preserve"> and </w:t>
      </w:r>
      <w:r w:rsidR="006304F1" w:rsidRPr="003A31F9">
        <w:t>timing</w:t>
      </w:r>
      <w:r w:rsidR="009C0E30" w:rsidRPr="003A31F9">
        <w:t>,</w:t>
      </w:r>
      <w:r w:rsidR="006304F1" w:rsidRPr="003A31F9">
        <w:t xml:space="preserve"> this should not be considered a comprehensive review of </w:t>
      </w:r>
      <w:r w:rsidR="00422E07" w:rsidRPr="003A31F9">
        <w:t xml:space="preserve">all </w:t>
      </w:r>
      <w:r w:rsidR="006304F1" w:rsidRPr="003A31F9">
        <w:t>available literature.</w:t>
      </w:r>
      <w:r w:rsidR="006304F1">
        <w:t xml:space="preserve"> </w:t>
      </w:r>
    </w:p>
    <w:p w14:paraId="44A8CEA5" w14:textId="77777777" w:rsidR="001E3B0B" w:rsidRDefault="00045887" w:rsidP="00A74059">
      <w:pPr>
        <w:pStyle w:val="ListBullet0"/>
      </w:pPr>
      <w:r>
        <w:t xml:space="preserve">Feedback </w:t>
      </w:r>
      <w:r w:rsidR="001E3B0B">
        <w:t>and insights drawn from:</w:t>
      </w:r>
    </w:p>
    <w:p w14:paraId="1F74AD9A" w14:textId="5B9275C7" w:rsidR="00141CDA" w:rsidRPr="00E418CB" w:rsidRDefault="00141CDA" w:rsidP="00C80E1D">
      <w:pPr>
        <w:pStyle w:val="ListAlpha2"/>
      </w:pPr>
      <w:r>
        <w:t xml:space="preserve">Subject matter experts on the UTS-led research team </w:t>
      </w:r>
      <w:r w:rsidRPr="00E418CB">
        <w:t>(see inside cover of this report).</w:t>
      </w:r>
    </w:p>
    <w:p w14:paraId="46E0F661" w14:textId="6EAFB5C2" w:rsidR="000B5DBE" w:rsidRPr="00E418CB" w:rsidRDefault="000F119A" w:rsidP="00C80E1D">
      <w:pPr>
        <w:pStyle w:val="ListAlpha2"/>
      </w:pPr>
      <w:r w:rsidRPr="002C75BE">
        <w:t xml:space="preserve">Rainbow </w:t>
      </w:r>
      <w:r w:rsidR="007C729E" w:rsidRPr="002C75BE">
        <w:t xml:space="preserve">Embassy </w:t>
      </w:r>
      <w:r w:rsidR="63E7E6D4" w:rsidRPr="002C75BE">
        <w:t>and associates</w:t>
      </w:r>
      <w:r w:rsidR="00915F0E">
        <w:t xml:space="preserve">, with </w:t>
      </w:r>
      <w:r w:rsidR="00AF7DF4">
        <w:t>interpretation of</w:t>
      </w:r>
      <w:r w:rsidR="00915F0E">
        <w:t xml:space="preserve"> SLR </w:t>
      </w:r>
      <w:r w:rsidR="00AF7DF4">
        <w:t xml:space="preserve">literature </w:t>
      </w:r>
      <w:r w:rsidR="57916C6A" w:rsidRPr="002C75BE">
        <w:t>undertaken at three timepoints</w:t>
      </w:r>
      <w:r w:rsidR="00984122" w:rsidRPr="002C75BE">
        <w:t xml:space="preserve">, </w:t>
      </w:r>
      <w:r w:rsidR="008B6D8F" w:rsidRPr="002C75BE">
        <w:t xml:space="preserve">during the </w:t>
      </w:r>
      <w:r w:rsidR="1B03638A" w:rsidRPr="002C75BE">
        <w:t xml:space="preserve">week beginning </w:t>
      </w:r>
      <w:r w:rsidR="00D9705B" w:rsidRPr="002C75BE">
        <w:t xml:space="preserve">18 </w:t>
      </w:r>
      <w:r w:rsidR="003A3D05" w:rsidRPr="002C75BE">
        <w:t xml:space="preserve">September, </w:t>
      </w:r>
      <w:r w:rsidR="00984122" w:rsidRPr="00E418CB">
        <w:t>5</w:t>
      </w:r>
      <w:r w:rsidR="6198F36C" w:rsidRPr="00E418CB">
        <w:t xml:space="preserve"> </w:t>
      </w:r>
      <w:r w:rsidR="00572A06" w:rsidRPr="00E418CB">
        <w:t>October</w:t>
      </w:r>
      <w:r w:rsidR="6198F36C" w:rsidRPr="00E418CB">
        <w:t xml:space="preserve">, and </w:t>
      </w:r>
      <w:r w:rsidR="00984122" w:rsidRPr="00E418CB">
        <w:t>16</w:t>
      </w:r>
      <w:r w:rsidR="6198F36C" w:rsidRPr="00E418CB">
        <w:t xml:space="preserve"> </w:t>
      </w:r>
      <w:r w:rsidR="00572A06" w:rsidRPr="00E418CB">
        <w:t>Oc</w:t>
      </w:r>
      <w:r w:rsidR="6198F36C" w:rsidRPr="00E418CB">
        <w:t>tober</w:t>
      </w:r>
      <w:r w:rsidR="008B6D8F" w:rsidRPr="002C75BE">
        <w:t xml:space="preserve"> 2023</w:t>
      </w:r>
      <w:r w:rsidR="00D9705B" w:rsidRPr="00E418CB">
        <w:t>.</w:t>
      </w:r>
    </w:p>
    <w:p w14:paraId="11EAA9C3" w14:textId="54A336DF" w:rsidR="001F1F56" w:rsidRDefault="001E3B0B" w:rsidP="001F1F56">
      <w:pPr>
        <w:pStyle w:val="ListAlpha2"/>
      </w:pPr>
      <w:r>
        <w:t>Departmental feedback and advice</w:t>
      </w:r>
      <w:r w:rsidR="000D1842">
        <w:t xml:space="preserve"> on draft papers and provided during </w:t>
      </w:r>
      <w:r>
        <w:t>fortnightly work</w:t>
      </w:r>
      <w:r w:rsidR="000D1842">
        <w:t>-</w:t>
      </w:r>
      <w:r>
        <w:t>in</w:t>
      </w:r>
      <w:r w:rsidR="000D1842">
        <w:t>-</w:t>
      </w:r>
      <w:r>
        <w:t xml:space="preserve">progress meetings </w:t>
      </w:r>
      <w:r w:rsidR="000D1842">
        <w:t xml:space="preserve">held from July </w:t>
      </w:r>
      <w:r w:rsidR="008B6D8F">
        <w:t xml:space="preserve">and November </w:t>
      </w:r>
      <w:r w:rsidR="000D1842">
        <w:t>2023</w:t>
      </w:r>
      <w:r w:rsidR="00956705">
        <w:t>.</w:t>
      </w:r>
    </w:p>
    <w:p w14:paraId="591AC706" w14:textId="77777777" w:rsidR="0088441E" w:rsidRPr="00114D59" w:rsidRDefault="0088441E" w:rsidP="009B406F">
      <w:pPr>
        <w:pStyle w:val="NbrHeading2"/>
      </w:pPr>
      <w:bookmarkStart w:id="20" w:name="_Toc153899488"/>
      <w:r w:rsidRPr="00114D59">
        <w:t>Research qualifications and limitations</w:t>
      </w:r>
      <w:bookmarkEnd w:id="20"/>
    </w:p>
    <w:p w14:paraId="59EBF998" w14:textId="02508E5C" w:rsidR="00336EA6" w:rsidRPr="008548CA" w:rsidRDefault="0088441E" w:rsidP="008548CA">
      <w:r w:rsidRPr="008548CA">
        <w:t xml:space="preserve">As with all research, there were </w:t>
      </w:r>
      <w:proofErr w:type="gramStart"/>
      <w:r w:rsidRPr="008548CA">
        <w:t>a number of</w:t>
      </w:r>
      <w:proofErr w:type="gramEnd"/>
      <w:r w:rsidRPr="008548CA">
        <w:t xml:space="preserve"> limitations that </w:t>
      </w:r>
      <w:r w:rsidR="000C72DE" w:rsidRPr="008548CA">
        <w:t xml:space="preserve">should be </w:t>
      </w:r>
      <w:r w:rsidRPr="008548CA">
        <w:t>noted</w:t>
      </w:r>
      <w:r w:rsidR="00070C20" w:rsidRPr="008548CA">
        <w:t xml:space="preserve"> when reading this Report. </w:t>
      </w:r>
      <w:r w:rsidR="00A35CEE" w:rsidRPr="008548CA">
        <w:t>T</w:t>
      </w:r>
      <w:r w:rsidR="002C1910" w:rsidRPr="008548CA">
        <w:t>hese</w:t>
      </w:r>
      <w:r w:rsidR="00675696" w:rsidRPr="008548CA">
        <w:t xml:space="preserve"> </w:t>
      </w:r>
      <w:r w:rsidR="00D66D37" w:rsidRPr="008548CA">
        <w:t xml:space="preserve">limitations </w:t>
      </w:r>
      <w:r w:rsidR="0088410D" w:rsidRPr="008548CA">
        <w:t xml:space="preserve">are not designed to </w:t>
      </w:r>
      <w:r w:rsidR="00D66D37" w:rsidRPr="008548CA">
        <w:t>under</w:t>
      </w:r>
      <w:r w:rsidR="00A35CEE" w:rsidRPr="008548CA">
        <w:t>mine</w:t>
      </w:r>
      <w:r w:rsidRPr="008548CA">
        <w:t xml:space="preserve"> the findings</w:t>
      </w:r>
      <w:r w:rsidR="0088410D" w:rsidRPr="008548CA">
        <w:t xml:space="preserve"> that follow</w:t>
      </w:r>
      <w:r w:rsidR="002E4AE2" w:rsidRPr="008548CA">
        <w:t>,</w:t>
      </w:r>
      <w:r w:rsidR="00292787" w:rsidRPr="008548CA">
        <w:t xml:space="preserve"> </w:t>
      </w:r>
      <w:r w:rsidR="001F2BEF" w:rsidRPr="008548CA">
        <w:t xml:space="preserve">but rather </w:t>
      </w:r>
      <w:r w:rsidR="0088410D" w:rsidRPr="008548CA">
        <w:t>are to</w:t>
      </w:r>
      <w:r w:rsidR="002F5376" w:rsidRPr="008548CA">
        <w:t>:</w:t>
      </w:r>
      <w:r w:rsidR="0088410D" w:rsidRPr="008548CA">
        <w:t xml:space="preserve"> </w:t>
      </w:r>
      <w:r w:rsidR="00243FA5" w:rsidRPr="008548CA">
        <w:t xml:space="preserve">a) </w:t>
      </w:r>
      <w:r w:rsidR="002E4AE2" w:rsidRPr="008548CA">
        <w:t xml:space="preserve">acknowledge </w:t>
      </w:r>
      <w:r w:rsidR="0088410D" w:rsidRPr="008548CA">
        <w:t xml:space="preserve">the research is not a </w:t>
      </w:r>
      <w:r w:rsidR="002E4AE2" w:rsidRPr="008548CA">
        <w:t>definitive review of all available evidence</w:t>
      </w:r>
      <w:r w:rsidR="002F5376" w:rsidRPr="008548CA">
        <w:t>; and</w:t>
      </w:r>
      <w:r w:rsidR="002E4AE2" w:rsidRPr="008548CA">
        <w:t xml:space="preserve"> </w:t>
      </w:r>
      <w:r w:rsidR="00243FA5" w:rsidRPr="008548CA">
        <w:t xml:space="preserve">b) </w:t>
      </w:r>
      <w:r w:rsidR="0088410D" w:rsidRPr="008548CA">
        <w:t xml:space="preserve">the </w:t>
      </w:r>
      <w:r w:rsidR="002F5376" w:rsidRPr="008548CA">
        <w:t>in-scope texts were s</w:t>
      </w:r>
      <w:r w:rsidR="0088410D" w:rsidRPr="008548CA">
        <w:t xml:space="preserve">olely interrogated to answer the </w:t>
      </w:r>
      <w:r w:rsidR="001E1BE4" w:rsidRPr="008548CA">
        <w:t xml:space="preserve">specified </w:t>
      </w:r>
      <w:r w:rsidR="009E4CEF" w:rsidRPr="008548CA">
        <w:t>KRQ</w:t>
      </w:r>
      <w:r w:rsidR="004252C2" w:rsidRPr="008548CA">
        <w:t xml:space="preserve"> as part of this commissioned and time-limited research project. </w:t>
      </w:r>
      <w:r w:rsidR="0070118A" w:rsidRPr="008548CA">
        <w:t xml:space="preserve"> </w:t>
      </w:r>
    </w:p>
    <w:p w14:paraId="167D4212" w14:textId="5ECB1CE1" w:rsidR="00DD0162" w:rsidRPr="008548CA" w:rsidRDefault="0099376F" w:rsidP="008548CA">
      <w:r w:rsidRPr="008548CA">
        <w:t>As such</w:t>
      </w:r>
      <w:r w:rsidR="009356E1" w:rsidRPr="008548CA">
        <w:t>,</w:t>
      </w:r>
      <w:r w:rsidRPr="008548CA">
        <w:t xml:space="preserve"> the research </w:t>
      </w:r>
      <w:r w:rsidR="009356E1" w:rsidRPr="008548CA">
        <w:t>hereafter</w:t>
      </w:r>
      <w:r w:rsidRPr="008548CA">
        <w:t xml:space="preserve"> should be </w:t>
      </w:r>
      <w:r w:rsidR="009356E1" w:rsidRPr="008548CA">
        <w:t>considered with respect to</w:t>
      </w:r>
      <w:r w:rsidRPr="008548CA">
        <w:t xml:space="preserve"> the following qualifications and </w:t>
      </w:r>
      <w:r w:rsidR="003A6BAE" w:rsidRPr="008548CA">
        <w:t>limitations</w:t>
      </w:r>
      <w:r w:rsidR="0020140B" w:rsidRPr="008548CA">
        <w:t>:</w:t>
      </w:r>
    </w:p>
    <w:p w14:paraId="25F72251" w14:textId="160E953B" w:rsidR="00084C3D" w:rsidRDefault="007462F0" w:rsidP="0020140B">
      <w:pPr>
        <w:pStyle w:val="ListBullet0"/>
      </w:pPr>
      <w:r>
        <w:rPr>
          <w:b/>
          <w:bCs/>
        </w:rPr>
        <w:t>Constraints posed by</w:t>
      </w:r>
      <w:r w:rsidR="00D90CA1" w:rsidRPr="00D90CA1">
        <w:rPr>
          <w:b/>
          <w:bCs/>
        </w:rPr>
        <w:t xml:space="preserve"> the</w:t>
      </w:r>
      <w:r w:rsidR="00DD0162" w:rsidRPr="00D90CA1">
        <w:rPr>
          <w:b/>
          <w:bCs/>
        </w:rPr>
        <w:t xml:space="preserve"> </w:t>
      </w:r>
      <w:r>
        <w:rPr>
          <w:b/>
          <w:bCs/>
        </w:rPr>
        <w:t xml:space="preserve">short </w:t>
      </w:r>
      <w:r w:rsidR="0020140B" w:rsidRPr="00D90CA1">
        <w:rPr>
          <w:b/>
        </w:rPr>
        <w:t>research timeframe</w:t>
      </w:r>
      <w:r w:rsidR="0020140B" w:rsidRPr="007462F0">
        <w:rPr>
          <w:b/>
        </w:rPr>
        <w:t xml:space="preserve"> </w:t>
      </w:r>
      <w:r w:rsidR="000A015F" w:rsidRPr="007462F0">
        <w:rPr>
          <w:b/>
        </w:rPr>
        <w:t xml:space="preserve">and </w:t>
      </w:r>
      <w:r>
        <w:rPr>
          <w:b/>
        </w:rPr>
        <w:t>available</w:t>
      </w:r>
      <w:r w:rsidRPr="007462F0">
        <w:rPr>
          <w:b/>
        </w:rPr>
        <w:t xml:space="preserve"> </w:t>
      </w:r>
      <w:r w:rsidR="000A015F" w:rsidRPr="007462F0">
        <w:rPr>
          <w:b/>
        </w:rPr>
        <w:t>resources</w:t>
      </w:r>
      <w:r w:rsidR="001F5599">
        <w:t xml:space="preserve"> </w:t>
      </w:r>
      <w:r w:rsidR="00FD1BBA">
        <w:t xml:space="preserve">to ensure the </w:t>
      </w:r>
      <w:r w:rsidR="00084C3D">
        <w:t xml:space="preserve">final research products </w:t>
      </w:r>
      <w:r w:rsidR="006A5A06">
        <w:t xml:space="preserve">met the Department’s policy </w:t>
      </w:r>
      <w:r w:rsidR="00F874CE">
        <w:t xml:space="preserve">development </w:t>
      </w:r>
      <w:r w:rsidR="009C6537">
        <w:t xml:space="preserve">timelines and </w:t>
      </w:r>
      <w:r w:rsidR="00402716">
        <w:t>budget requirements</w:t>
      </w:r>
      <w:r>
        <w:t>.</w:t>
      </w:r>
      <w:r w:rsidR="00BB2367">
        <w:t xml:space="preserve"> </w:t>
      </w:r>
      <w:r w:rsidR="00084C3D">
        <w:t xml:space="preserve"> </w:t>
      </w:r>
    </w:p>
    <w:p w14:paraId="35FD5468" w14:textId="348E354B" w:rsidR="00DE0FAE" w:rsidRDefault="00D13EA8" w:rsidP="00120048">
      <w:pPr>
        <w:pStyle w:val="ListBullet0"/>
      </w:pPr>
      <w:r>
        <w:rPr>
          <w:b/>
          <w:bCs/>
        </w:rPr>
        <w:t>L</w:t>
      </w:r>
      <w:r w:rsidR="004B5B10" w:rsidRPr="00C94A3F">
        <w:rPr>
          <w:b/>
        </w:rPr>
        <w:t>imit</w:t>
      </w:r>
      <w:r w:rsidR="001539E4" w:rsidRPr="00C94A3F">
        <w:rPr>
          <w:b/>
        </w:rPr>
        <w:t xml:space="preserve">ations </w:t>
      </w:r>
      <w:r w:rsidR="00132C62" w:rsidRPr="00C94A3F">
        <w:rPr>
          <w:b/>
        </w:rPr>
        <w:t xml:space="preserve">to the </w:t>
      </w:r>
      <w:r w:rsidR="00132C62" w:rsidRPr="00C94A3F">
        <w:rPr>
          <w:b/>
          <w:bCs/>
        </w:rPr>
        <w:t>public</w:t>
      </w:r>
      <w:r w:rsidR="0006766B" w:rsidRPr="00C94A3F">
        <w:rPr>
          <w:b/>
          <w:bCs/>
        </w:rPr>
        <w:t>ly available</w:t>
      </w:r>
      <w:r w:rsidR="00132C62" w:rsidRPr="00C94A3F">
        <w:rPr>
          <w:b/>
        </w:rPr>
        <w:t xml:space="preserve"> </w:t>
      </w:r>
      <w:r w:rsidR="001539E4" w:rsidRPr="00C94A3F">
        <w:rPr>
          <w:b/>
        </w:rPr>
        <w:t>data</w:t>
      </w:r>
      <w:r w:rsidR="00517FF4">
        <w:rPr>
          <w:b/>
        </w:rPr>
        <w:t>, research</w:t>
      </w:r>
      <w:r w:rsidR="008464B5">
        <w:rPr>
          <w:b/>
        </w:rPr>
        <w:t>,</w:t>
      </w:r>
      <w:r w:rsidR="00517FF4">
        <w:rPr>
          <w:b/>
        </w:rPr>
        <w:t xml:space="preserve"> </w:t>
      </w:r>
      <w:r w:rsidR="001539E4" w:rsidRPr="00C94A3F">
        <w:rPr>
          <w:b/>
        </w:rPr>
        <w:t xml:space="preserve">and </w:t>
      </w:r>
      <w:r w:rsidR="000B0C9E" w:rsidRPr="00C94A3F">
        <w:rPr>
          <w:b/>
        </w:rPr>
        <w:t>information</w:t>
      </w:r>
      <w:r w:rsidR="00DE0FAE">
        <w:rPr>
          <w:b/>
        </w:rPr>
        <w:t>.</w:t>
      </w:r>
      <w:r w:rsidR="000B0C9E">
        <w:t xml:space="preserve"> </w:t>
      </w:r>
      <w:r w:rsidR="00DE0FAE">
        <w:t>These</w:t>
      </w:r>
      <w:r w:rsidR="000458E0">
        <w:t xml:space="preserve"> </w:t>
      </w:r>
      <w:r w:rsidR="00DE0FAE">
        <w:t>limitations relate</w:t>
      </w:r>
      <w:r w:rsidR="00132C62">
        <w:t xml:space="preserve"> to</w:t>
      </w:r>
      <w:r w:rsidR="00DE0FAE">
        <w:t>:</w:t>
      </w:r>
    </w:p>
    <w:p w14:paraId="61822114" w14:textId="7D689F0A" w:rsidR="00F64F37" w:rsidRPr="00C80E1D" w:rsidRDefault="00B53ABC" w:rsidP="00C80E1D">
      <w:pPr>
        <w:pStyle w:val="ListAlpha2"/>
      </w:pPr>
      <w:r>
        <w:t>Publicly available da</w:t>
      </w:r>
      <w:r w:rsidR="000458E0" w:rsidRPr="00C80E1D">
        <w:t>ta on</w:t>
      </w:r>
      <w:r w:rsidR="00132C62" w:rsidRPr="00C80E1D">
        <w:t xml:space="preserve"> </w:t>
      </w:r>
      <w:r w:rsidR="00B84E53" w:rsidRPr="00C80E1D">
        <w:t>LGBT</w:t>
      </w:r>
      <w:r w:rsidR="00465657">
        <w:t>Q</w:t>
      </w:r>
      <w:r w:rsidR="00B84E53" w:rsidRPr="00C80E1D">
        <w:t xml:space="preserve">+ </w:t>
      </w:r>
      <w:r w:rsidR="000458E0" w:rsidRPr="00C80E1D">
        <w:t xml:space="preserve">populations in Australia, </w:t>
      </w:r>
      <w:r w:rsidR="00F64F37" w:rsidRPr="00C80E1D">
        <w:t>including breakdowns on sub-groups therein</w:t>
      </w:r>
      <w:r w:rsidR="00C80E1D">
        <w:t>.</w:t>
      </w:r>
    </w:p>
    <w:p w14:paraId="6A5775F0" w14:textId="74E775BC" w:rsidR="00402716" w:rsidRPr="00C80E1D" w:rsidRDefault="00E0360E" w:rsidP="00C80E1D">
      <w:pPr>
        <w:pStyle w:val="ListAlpha2"/>
      </w:pPr>
      <w:r w:rsidRPr="00C80E1D">
        <w:t>Research</w:t>
      </w:r>
      <w:r w:rsidR="00D50829">
        <w:t xml:space="preserve"> related to</w:t>
      </w:r>
      <w:r w:rsidR="001F2E3E">
        <w:t xml:space="preserve"> LGBTQ+ people with intersecting </w:t>
      </w:r>
      <w:r w:rsidR="002152BE">
        <w:t xml:space="preserve">lived experience of </w:t>
      </w:r>
      <w:r w:rsidRPr="00C80E1D">
        <w:rPr>
          <w:rFonts w:eastAsia="Arial"/>
        </w:rPr>
        <w:t>mental health challenges and/or suicidality</w:t>
      </w:r>
      <w:r w:rsidR="002152BE">
        <w:rPr>
          <w:rFonts w:eastAsia="Arial"/>
        </w:rPr>
        <w:t xml:space="preserve">, including </w:t>
      </w:r>
      <w:r w:rsidR="001461BD" w:rsidRPr="00C80E1D">
        <w:t>subgroups of people covered in the LGBT</w:t>
      </w:r>
      <w:r w:rsidR="00B70785">
        <w:t>Q</w:t>
      </w:r>
      <w:r w:rsidR="001461BD" w:rsidRPr="00C80E1D">
        <w:t xml:space="preserve">+ </w:t>
      </w:r>
      <w:r w:rsidR="006205ED">
        <w:t>abbreviation</w:t>
      </w:r>
      <w:r w:rsidR="009356E1">
        <w:t xml:space="preserve"> </w:t>
      </w:r>
      <w:r w:rsidR="002152BE">
        <w:t xml:space="preserve">and </w:t>
      </w:r>
      <w:r w:rsidR="00410E18">
        <w:t>intersectional experiences</w:t>
      </w:r>
      <w:r w:rsidR="00CD20D5" w:rsidRPr="00C80E1D">
        <w:t>. While this is an issue for all listed groups, the</w:t>
      </w:r>
      <w:r w:rsidR="00C05456">
        <w:t xml:space="preserve"> authors noted that </w:t>
      </w:r>
      <w:r w:rsidR="00CD20D5" w:rsidRPr="00C80E1D">
        <w:t xml:space="preserve">available research and data </w:t>
      </w:r>
      <w:r w:rsidR="002B7C3A">
        <w:t>was</w:t>
      </w:r>
      <w:r w:rsidR="00CD20D5" w:rsidRPr="00C80E1D">
        <w:t xml:space="preserve"> particular</w:t>
      </w:r>
      <w:r w:rsidR="00410E18">
        <w:t>ly</w:t>
      </w:r>
      <w:r w:rsidR="00CD20D5" w:rsidRPr="00C80E1D">
        <w:t xml:space="preserve"> thin</w:t>
      </w:r>
      <w:r w:rsidR="00F10AB4" w:rsidRPr="00C80E1D">
        <w:t xml:space="preserve"> </w:t>
      </w:r>
      <w:r w:rsidR="00CD20D5" w:rsidRPr="00C80E1D">
        <w:rPr>
          <w:rFonts w:eastAsia="Arial"/>
        </w:rPr>
        <w:t xml:space="preserve">for </w:t>
      </w:r>
      <w:r w:rsidR="00C05456">
        <w:rPr>
          <w:rFonts w:eastAsia="Arial"/>
        </w:rPr>
        <w:t xml:space="preserve">non-binary and gender fluid people, and pansexual </w:t>
      </w:r>
      <w:r w:rsidR="00D94F0E" w:rsidRPr="00C80E1D">
        <w:rPr>
          <w:rFonts w:eastAsia="Arial"/>
        </w:rPr>
        <w:t>people</w:t>
      </w:r>
      <w:r w:rsidR="0045135C" w:rsidRPr="00C80E1D">
        <w:t xml:space="preserve">, </w:t>
      </w:r>
      <w:r w:rsidR="002B7C3A">
        <w:t xml:space="preserve">among others, </w:t>
      </w:r>
      <w:r w:rsidR="0045135C" w:rsidRPr="00C80E1D">
        <w:t>as expanded upon in other parts of this report. For this reason, caution should be taken</w:t>
      </w:r>
      <w:r w:rsidR="00975973" w:rsidRPr="00C80E1D">
        <w:t xml:space="preserve"> </w:t>
      </w:r>
      <w:r w:rsidR="00975973" w:rsidRPr="00C80E1D">
        <w:lastRenderedPageBreak/>
        <w:t xml:space="preserve">in </w:t>
      </w:r>
      <w:r w:rsidR="009356E1">
        <w:t>inferring that</w:t>
      </w:r>
      <w:r w:rsidR="00975973" w:rsidRPr="00C80E1D">
        <w:t xml:space="preserve"> all findings relate to these groups, each </w:t>
      </w:r>
      <w:r w:rsidR="009356E1">
        <w:t>of which comprises a</w:t>
      </w:r>
      <w:r w:rsidR="00975973" w:rsidRPr="00C80E1D">
        <w:t xml:space="preserve"> unique set of health, wellbeing</w:t>
      </w:r>
      <w:r w:rsidR="009356E1">
        <w:t>,</w:t>
      </w:r>
      <w:r w:rsidR="00975973" w:rsidRPr="00C80E1D">
        <w:t xml:space="preserve"> and general service needs and aspirations</w:t>
      </w:r>
      <w:r w:rsidR="008464B5" w:rsidRPr="00C80E1D">
        <w:t>.</w:t>
      </w:r>
      <w:r w:rsidR="0054458D" w:rsidRPr="00C80E1D">
        <w:t xml:space="preserve"> </w:t>
      </w:r>
    </w:p>
    <w:p w14:paraId="23616BCD" w14:textId="3A1EA5A1" w:rsidR="003336B7" w:rsidRDefault="003336B7" w:rsidP="003336B7">
      <w:pPr>
        <w:pStyle w:val="ListBullet0"/>
      </w:pPr>
      <w:r w:rsidRPr="00C94A3F">
        <w:rPr>
          <w:b/>
          <w:bCs/>
        </w:rPr>
        <w:t>Reliance</w:t>
      </w:r>
      <w:r w:rsidRPr="00C94A3F">
        <w:rPr>
          <w:b/>
        </w:rPr>
        <w:t xml:space="preserve"> on English language sources</w:t>
      </w:r>
      <w:r>
        <w:t xml:space="preserve"> due to the </w:t>
      </w:r>
      <w:r w:rsidR="00597698">
        <w:t>timeframes, budget</w:t>
      </w:r>
      <w:r w:rsidR="000D7F55">
        <w:t>,</w:t>
      </w:r>
      <w:r w:rsidR="00597698">
        <w:t xml:space="preserve"> and </w:t>
      </w:r>
      <w:r>
        <w:t xml:space="preserve">language </w:t>
      </w:r>
      <w:r w:rsidR="006C62E4">
        <w:t>skills</w:t>
      </w:r>
      <w:r>
        <w:t xml:space="preserve"> of the researchers, thereby limiting learnings and perspectives that could be drawn from other language sources and countries.</w:t>
      </w:r>
    </w:p>
    <w:p w14:paraId="676A8FF4" w14:textId="77777777" w:rsidR="00B129D0" w:rsidRDefault="005055DB" w:rsidP="00275A88">
      <w:pPr>
        <w:pStyle w:val="ListBullet0"/>
      </w:pPr>
      <w:r w:rsidRPr="00B129D0">
        <w:rPr>
          <w:b/>
          <w:bCs/>
        </w:rPr>
        <w:t>Limited lived experience input</w:t>
      </w:r>
      <w:r w:rsidR="00F1614A" w:rsidRPr="00B129D0">
        <w:rPr>
          <w:b/>
          <w:bCs/>
        </w:rPr>
        <w:t xml:space="preserve">. </w:t>
      </w:r>
      <w:r w:rsidR="00F1614A" w:rsidRPr="00F1614A">
        <w:t>W</w:t>
      </w:r>
      <w:r w:rsidR="00DB6DD1">
        <w:t>hile</w:t>
      </w:r>
      <w:r w:rsidR="00BF3A0A">
        <w:t xml:space="preserve"> the co-interpretation of the research findings was</w:t>
      </w:r>
      <w:r w:rsidR="00DB6DD1">
        <w:t xml:space="preserve"> immensely valuable </w:t>
      </w:r>
      <w:r w:rsidR="00294D38">
        <w:t>(see above)</w:t>
      </w:r>
      <w:r w:rsidR="007E148E">
        <w:t xml:space="preserve">, </w:t>
      </w:r>
      <w:r w:rsidR="00294D38">
        <w:t xml:space="preserve">members </w:t>
      </w:r>
      <w:r w:rsidR="006C62E4">
        <w:t xml:space="preserve">of </w:t>
      </w:r>
      <w:r w:rsidR="006C1D21">
        <w:t xml:space="preserve">the </w:t>
      </w:r>
      <w:r w:rsidR="007E148E">
        <w:t xml:space="preserve">Rainbow Embassy and associates </w:t>
      </w:r>
      <w:r w:rsidR="00294D38">
        <w:t xml:space="preserve">were </w:t>
      </w:r>
      <w:r w:rsidR="00DB6DD1">
        <w:t>n</w:t>
      </w:r>
      <w:r w:rsidR="003E090A">
        <w:t xml:space="preserve">ot </w:t>
      </w:r>
      <w:r w:rsidR="00294D38">
        <w:t>involve</w:t>
      </w:r>
      <w:r w:rsidR="00BB5026">
        <w:t>d</w:t>
      </w:r>
      <w:r w:rsidR="00294D38">
        <w:t xml:space="preserve"> in research design, nor should their involvement be construed as </w:t>
      </w:r>
      <w:r w:rsidR="00F446E4">
        <w:t xml:space="preserve">a consultative process, </w:t>
      </w:r>
      <w:r w:rsidR="007B0139">
        <w:t xml:space="preserve">involving </w:t>
      </w:r>
      <w:r w:rsidR="007541FC">
        <w:t xml:space="preserve">gathering </w:t>
      </w:r>
      <w:r w:rsidR="0009371D">
        <w:t xml:space="preserve">insights from a </w:t>
      </w:r>
      <w:r w:rsidR="003E090A">
        <w:t xml:space="preserve">representative </w:t>
      </w:r>
      <w:r w:rsidR="00225D80">
        <w:t xml:space="preserve">sample of </w:t>
      </w:r>
      <w:r w:rsidR="007541FC">
        <w:t xml:space="preserve">Australians </w:t>
      </w:r>
      <w:r w:rsidR="0009371D">
        <w:t xml:space="preserve">with </w:t>
      </w:r>
      <w:r w:rsidR="003E090A">
        <w:t>lived experience</w:t>
      </w:r>
      <w:r w:rsidR="0009371D">
        <w:t>.</w:t>
      </w:r>
      <w:r w:rsidR="00CC5F8A">
        <w:t xml:space="preserve"> </w:t>
      </w:r>
      <w:r w:rsidR="00B129D0">
        <w:t xml:space="preserve"> </w:t>
      </w:r>
    </w:p>
    <w:p w14:paraId="4844DE8B" w14:textId="6CDFA067" w:rsidR="00570C89" w:rsidRPr="00B129D0" w:rsidRDefault="00CC5F8A">
      <w:pPr>
        <w:pStyle w:val="ListBullet0"/>
        <w:numPr>
          <w:ilvl w:val="0"/>
          <w:numId w:val="0"/>
        </w:numPr>
        <w:ind w:left="425"/>
        <w:rPr>
          <w:lang w:val="en-US"/>
        </w:rPr>
      </w:pPr>
      <w:r>
        <w:t xml:space="preserve">Further, while </w:t>
      </w:r>
      <w:r w:rsidR="00AF7DF4">
        <w:t xml:space="preserve">Rainbow </w:t>
      </w:r>
      <w:r w:rsidR="00570C89">
        <w:t xml:space="preserve">Embassy </w:t>
      </w:r>
      <w:r>
        <w:t xml:space="preserve">members do </w:t>
      </w:r>
      <w:r w:rsidR="00570C89">
        <w:t xml:space="preserve">include </w:t>
      </w:r>
      <w:r>
        <w:t xml:space="preserve">intersectional </w:t>
      </w:r>
      <w:r w:rsidR="002C2B75">
        <w:t xml:space="preserve">perspectives, they do </w:t>
      </w:r>
      <w:r w:rsidR="0078001C">
        <w:t xml:space="preserve">not </w:t>
      </w:r>
      <w:r w:rsidR="002C2B75">
        <w:t>speak for</w:t>
      </w:r>
      <w:r w:rsidR="009E3753">
        <w:t xml:space="preserve"> all</w:t>
      </w:r>
      <w:r w:rsidR="002C2B75">
        <w:t xml:space="preserve"> LGBT</w:t>
      </w:r>
      <w:r w:rsidR="006227E2">
        <w:t>Q</w:t>
      </w:r>
      <w:r w:rsidR="002C2B75">
        <w:t xml:space="preserve">+ </w:t>
      </w:r>
      <w:r w:rsidR="0078001C">
        <w:t>people</w:t>
      </w:r>
      <w:r w:rsidR="006227E2">
        <w:t>.</w:t>
      </w:r>
    </w:p>
    <w:p w14:paraId="46773969" w14:textId="3DC9108D" w:rsidR="00D7422A" w:rsidRDefault="007A0077" w:rsidP="007A0077">
      <w:pPr>
        <w:pStyle w:val="ListBullet0"/>
        <w:numPr>
          <w:ilvl w:val="0"/>
          <w:numId w:val="0"/>
        </w:numPr>
        <w:ind w:left="425"/>
      </w:pPr>
      <w:r>
        <w:t>This said</w:t>
      </w:r>
      <w:r w:rsidR="00076B54">
        <w:t>, t</w:t>
      </w:r>
      <w:r w:rsidR="00586154">
        <w:t>he UTS-led research team understands, and strongly supports,</w:t>
      </w:r>
      <w:r w:rsidR="00C9301A">
        <w:t xml:space="preserve"> that</w:t>
      </w:r>
      <w:r w:rsidR="00586154">
        <w:t xml:space="preserve"> </w:t>
      </w:r>
      <w:r>
        <w:t xml:space="preserve">the Department </w:t>
      </w:r>
      <w:r w:rsidR="00EB0376">
        <w:t xml:space="preserve">is </w:t>
      </w:r>
      <w:r>
        <w:t>undertak</w:t>
      </w:r>
      <w:r w:rsidR="00EB0376">
        <w:t>ing</w:t>
      </w:r>
      <w:r>
        <w:t xml:space="preserve"> a robust</w:t>
      </w:r>
      <w:r w:rsidR="00586154">
        <w:t xml:space="preserve"> </w:t>
      </w:r>
      <w:r w:rsidR="00076B54">
        <w:t>consultation</w:t>
      </w:r>
      <w:r w:rsidR="00586154">
        <w:t xml:space="preserve"> </w:t>
      </w:r>
      <w:r>
        <w:t>process</w:t>
      </w:r>
      <w:r w:rsidR="00266CB5">
        <w:t xml:space="preserve"> in addition to</w:t>
      </w:r>
      <w:r w:rsidR="00586154">
        <w:t xml:space="preserve"> </w:t>
      </w:r>
      <w:r w:rsidR="00BE34F9">
        <w:t xml:space="preserve">this </w:t>
      </w:r>
      <w:r w:rsidR="00614077">
        <w:t>research</w:t>
      </w:r>
      <w:r w:rsidR="00EB0376">
        <w:t xml:space="preserve">. This is </w:t>
      </w:r>
      <w:r w:rsidR="00A45743">
        <w:t>essential to ensure</w:t>
      </w:r>
      <w:r w:rsidR="00561C87">
        <w:t xml:space="preserve"> </w:t>
      </w:r>
      <w:r w:rsidR="007F7750">
        <w:t>live</w:t>
      </w:r>
      <w:r w:rsidR="00BE34F9">
        <w:t>d experience</w:t>
      </w:r>
      <w:r w:rsidR="007F7750">
        <w:t xml:space="preserve"> perspective</w:t>
      </w:r>
      <w:r>
        <w:t>s</w:t>
      </w:r>
      <w:r w:rsidR="007F7750">
        <w:t xml:space="preserve"> </w:t>
      </w:r>
      <w:r w:rsidR="008F7D88">
        <w:t>are overlayed on</w:t>
      </w:r>
      <w:r w:rsidR="007F7750">
        <w:t xml:space="preserve">to </w:t>
      </w:r>
      <w:r w:rsidR="00866246">
        <w:t>what is</w:t>
      </w:r>
      <w:r w:rsidR="007F7750">
        <w:t xml:space="preserve"> predominately desktop </w:t>
      </w:r>
      <w:r w:rsidR="008F7D88">
        <w:t>research</w:t>
      </w:r>
      <w:r w:rsidR="007F7750">
        <w:t>.</w:t>
      </w:r>
      <w:r w:rsidR="00C20159">
        <w:t xml:space="preserve"> </w:t>
      </w:r>
    </w:p>
    <w:p w14:paraId="51FE49AD" w14:textId="5ED788A8" w:rsidR="00A149FC" w:rsidRDefault="00027758" w:rsidP="0088441E">
      <w:pPr>
        <w:rPr>
          <w:lang w:eastAsia="en-AU"/>
        </w:rPr>
      </w:pPr>
      <w:r>
        <w:rPr>
          <w:lang w:eastAsia="en-AU"/>
        </w:rPr>
        <w:t xml:space="preserve">In addition, </w:t>
      </w:r>
      <w:r w:rsidR="008F7D88">
        <w:rPr>
          <w:lang w:eastAsia="en-AU"/>
        </w:rPr>
        <w:t xml:space="preserve">and </w:t>
      </w:r>
      <w:r>
        <w:rPr>
          <w:lang w:eastAsia="en-AU"/>
        </w:rPr>
        <w:t>a</w:t>
      </w:r>
      <w:r w:rsidR="00397483">
        <w:rPr>
          <w:lang w:eastAsia="en-AU"/>
        </w:rPr>
        <w:t xml:space="preserve">s noted in the companion </w:t>
      </w:r>
      <w:r w:rsidR="009F517D">
        <w:rPr>
          <w:lang w:eastAsia="en-AU"/>
        </w:rPr>
        <w:t xml:space="preserve">applied </w:t>
      </w:r>
      <w:r w:rsidR="00D7422A">
        <w:rPr>
          <w:lang w:eastAsia="en-AU"/>
        </w:rPr>
        <w:t>SLR</w:t>
      </w:r>
      <w:r w:rsidR="00397483">
        <w:rPr>
          <w:lang w:eastAsia="en-AU"/>
        </w:rPr>
        <w:t xml:space="preserve"> report</w:t>
      </w:r>
      <w:r w:rsidR="009F517D">
        <w:rPr>
          <w:lang w:eastAsia="en-AU"/>
        </w:rPr>
        <w:t>,</w:t>
      </w:r>
      <w:r w:rsidR="00397483">
        <w:rPr>
          <w:lang w:eastAsia="en-AU"/>
        </w:rPr>
        <w:t xml:space="preserve"> </w:t>
      </w:r>
      <w:r w:rsidR="00D7422A">
        <w:rPr>
          <w:lang w:eastAsia="en-AU"/>
        </w:rPr>
        <w:t>the</w:t>
      </w:r>
      <w:r w:rsidR="00D55C64">
        <w:rPr>
          <w:lang w:eastAsia="en-AU"/>
        </w:rPr>
        <w:t xml:space="preserve">re are </w:t>
      </w:r>
      <w:proofErr w:type="gramStart"/>
      <w:r w:rsidR="008F7D88">
        <w:rPr>
          <w:lang w:eastAsia="en-AU"/>
        </w:rPr>
        <w:t>a number of</w:t>
      </w:r>
      <w:proofErr w:type="gramEnd"/>
      <w:r w:rsidR="008F7D88">
        <w:rPr>
          <w:lang w:eastAsia="en-AU"/>
        </w:rPr>
        <w:t xml:space="preserve"> </w:t>
      </w:r>
      <w:r w:rsidR="009F517D">
        <w:rPr>
          <w:lang w:eastAsia="en-AU"/>
        </w:rPr>
        <w:t xml:space="preserve">other research </w:t>
      </w:r>
      <w:r w:rsidR="00D55C64">
        <w:rPr>
          <w:lang w:eastAsia="en-AU"/>
        </w:rPr>
        <w:t xml:space="preserve">limitations </w:t>
      </w:r>
      <w:r w:rsidR="009F517D">
        <w:rPr>
          <w:lang w:eastAsia="en-AU"/>
        </w:rPr>
        <w:t>associated with</w:t>
      </w:r>
      <w:r w:rsidR="00BD5625">
        <w:rPr>
          <w:lang w:eastAsia="en-AU"/>
        </w:rPr>
        <w:t xml:space="preserve"> </w:t>
      </w:r>
      <w:r w:rsidR="00D55C64">
        <w:rPr>
          <w:lang w:eastAsia="en-AU"/>
        </w:rPr>
        <w:t xml:space="preserve">the </w:t>
      </w:r>
      <w:r w:rsidR="00BD5625">
        <w:rPr>
          <w:lang w:eastAsia="en-AU"/>
        </w:rPr>
        <w:t>SLR methodology and</w:t>
      </w:r>
      <w:r w:rsidR="009F48BE">
        <w:rPr>
          <w:lang w:eastAsia="en-AU"/>
        </w:rPr>
        <w:t xml:space="preserve"> exclusion criteria</w:t>
      </w:r>
      <w:r w:rsidR="00AD1FF1">
        <w:rPr>
          <w:lang w:eastAsia="en-AU"/>
        </w:rPr>
        <w:t xml:space="preserve">. </w:t>
      </w:r>
      <w:r w:rsidR="0099376F" w:rsidRPr="005C2D2B">
        <w:rPr>
          <w:lang w:eastAsia="en-AU"/>
        </w:rPr>
        <w:t>W</w:t>
      </w:r>
      <w:r w:rsidR="00EB1C57" w:rsidRPr="005C2D2B">
        <w:rPr>
          <w:lang w:eastAsia="en-AU"/>
        </w:rPr>
        <w:t>hile</w:t>
      </w:r>
      <w:r w:rsidR="000F096A" w:rsidRPr="005C2D2B">
        <w:rPr>
          <w:lang w:eastAsia="en-AU"/>
        </w:rPr>
        <w:t xml:space="preserve"> the findings </w:t>
      </w:r>
      <w:r w:rsidR="00EB1C57" w:rsidRPr="005C2D2B">
        <w:rPr>
          <w:lang w:eastAsia="en-AU"/>
        </w:rPr>
        <w:t xml:space="preserve">nonetheless provide an important contribution to knowledge on LGBTQ+ mental health and wellbeing in the Australian context, </w:t>
      </w:r>
      <w:r w:rsidR="00A149FC" w:rsidRPr="005C2D2B">
        <w:rPr>
          <w:lang w:eastAsia="en-AU"/>
        </w:rPr>
        <w:t>future research should be undertaken to provide a comprehensive analysis of existing literatur</w:t>
      </w:r>
      <w:r w:rsidR="005A33D2" w:rsidRPr="005C2D2B">
        <w:rPr>
          <w:lang w:eastAsia="en-AU"/>
        </w:rPr>
        <w:t>e</w:t>
      </w:r>
      <w:r w:rsidR="00A149FC" w:rsidRPr="005C2D2B">
        <w:rPr>
          <w:lang w:eastAsia="en-AU"/>
        </w:rPr>
        <w:t xml:space="preserve"> and </w:t>
      </w:r>
      <w:r w:rsidR="000A6CAB" w:rsidRPr="005C2D2B">
        <w:rPr>
          <w:lang w:eastAsia="en-AU"/>
        </w:rPr>
        <w:t>to address identified research gaps.</w:t>
      </w:r>
      <w:r w:rsidR="000A6CAB">
        <w:rPr>
          <w:lang w:eastAsia="en-AU"/>
        </w:rPr>
        <w:t xml:space="preserve"> </w:t>
      </w:r>
    </w:p>
    <w:p w14:paraId="15FD9138" w14:textId="11E92BAB" w:rsidR="00D7422A" w:rsidRDefault="000A6CAB" w:rsidP="0088441E">
      <w:pPr>
        <w:rPr>
          <w:lang w:eastAsia="en-AU"/>
        </w:rPr>
      </w:pPr>
      <w:r>
        <w:rPr>
          <w:lang w:eastAsia="en-AU"/>
        </w:rPr>
        <w:t>The SLR limitations include</w:t>
      </w:r>
      <w:r w:rsidR="00BD5625">
        <w:rPr>
          <w:lang w:eastAsia="en-AU"/>
        </w:rPr>
        <w:t xml:space="preserve">: </w:t>
      </w:r>
    </w:p>
    <w:p w14:paraId="28118961" w14:textId="77777777" w:rsidR="00B53169" w:rsidRDefault="00BD5625" w:rsidP="006A4C68">
      <w:pPr>
        <w:pStyle w:val="ListBullet0"/>
      </w:pPr>
      <w:r>
        <w:rPr>
          <w:b/>
          <w:bCs/>
        </w:rPr>
        <w:t>Reliance</w:t>
      </w:r>
      <w:r w:rsidR="008270A8">
        <w:rPr>
          <w:b/>
        </w:rPr>
        <w:t xml:space="preserve"> </w:t>
      </w:r>
      <w:r w:rsidR="008270A8" w:rsidRPr="001144BA">
        <w:rPr>
          <w:b/>
        </w:rPr>
        <w:t>o</w:t>
      </w:r>
      <w:r w:rsidR="00FD665B" w:rsidRPr="001144BA">
        <w:rPr>
          <w:b/>
        </w:rPr>
        <w:t xml:space="preserve">n </w:t>
      </w:r>
      <w:r w:rsidR="00532124" w:rsidRPr="001144BA">
        <w:rPr>
          <w:b/>
        </w:rPr>
        <w:t xml:space="preserve">the </w:t>
      </w:r>
      <w:r w:rsidR="00FD665B" w:rsidRPr="001144BA">
        <w:rPr>
          <w:b/>
        </w:rPr>
        <w:t>Department</w:t>
      </w:r>
      <w:r w:rsidR="00B16D4F" w:rsidRPr="001144BA">
        <w:rPr>
          <w:b/>
        </w:rPr>
        <w:t>’s</w:t>
      </w:r>
      <w:r w:rsidR="00FD665B" w:rsidRPr="001144BA">
        <w:rPr>
          <w:b/>
        </w:rPr>
        <w:t xml:space="preserve"> </w:t>
      </w:r>
      <w:r w:rsidR="001144BA" w:rsidRPr="001144BA">
        <w:rPr>
          <w:b/>
          <w:bCs/>
        </w:rPr>
        <w:t>initial</w:t>
      </w:r>
      <w:r w:rsidR="00FD665B" w:rsidRPr="001144BA">
        <w:rPr>
          <w:b/>
          <w:bCs/>
        </w:rPr>
        <w:t xml:space="preserve"> </w:t>
      </w:r>
      <w:r w:rsidR="00532124" w:rsidRPr="001144BA">
        <w:rPr>
          <w:b/>
        </w:rPr>
        <w:t xml:space="preserve">literature </w:t>
      </w:r>
      <w:r w:rsidR="00FD665B" w:rsidRPr="001144BA">
        <w:rPr>
          <w:b/>
        </w:rPr>
        <w:t>searches</w:t>
      </w:r>
      <w:r w:rsidR="00FD665B">
        <w:t xml:space="preserve"> under</w:t>
      </w:r>
      <w:r w:rsidR="00532124">
        <w:t>taken in early 2023.</w:t>
      </w:r>
      <w:r w:rsidR="00B16D4F">
        <w:t xml:space="preserve"> </w:t>
      </w:r>
      <w:r w:rsidR="0039753F">
        <w:t>As per</w:t>
      </w:r>
      <w:r w:rsidR="00810825">
        <w:t xml:space="preserve"> the research</w:t>
      </w:r>
      <w:r w:rsidR="0039753F">
        <w:t xml:space="preserve"> contract</w:t>
      </w:r>
      <w:r w:rsidR="00B129D0">
        <w:t xml:space="preserve"> and timeframe</w:t>
      </w:r>
      <w:r w:rsidR="0039753F">
        <w:t>,</w:t>
      </w:r>
      <w:r w:rsidR="00810825">
        <w:t xml:space="preserve"> UTS-led research</w:t>
      </w:r>
      <w:r w:rsidR="0039753F">
        <w:t xml:space="preserve">ers were not </w:t>
      </w:r>
      <w:proofErr w:type="gramStart"/>
      <w:r w:rsidR="006A25DE">
        <w:t>in a position</w:t>
      </w:r>
      <w:proofErr w:type="gramEnd"/>
      <w:r w:rsidR="00810825">
        <w:t xml:space="preserve"> to </w:t>
      </w:r>
      <w:r w:rsidR="006A25DE">
        <w:t xml:space="preserve">undertake </w:t>
      </w:r>
      <w:r w:rsidR="00196A62">
        <w:t xml:space="preserve">a </w:t>
      </w:r>
      <w:r w:rsidR="00571480">
        <w:t xml:space="preserve">normal academic </w:t>
      </w:r>
      <w:r w:rsidR="0020208D">
        <w:t xml:space="preserve">review </w:t>
      </w:r>
      <w:r w:rsidR="00571480">
        <w:t>process</w:t>
      </w:r>
      <w:r w:rsidR="00196A62">
        <w:t>,</w:t>
      </w:r>
      <w:r w:rsidR="00571480">
        <w:t xml:space="preserve"> such</w:t>
      </w:r>
      <w:r w:rsidR="00CF7220">
        <w:t xml:space="preserve"> as </w:t>
      </w:r>
      <w:r w:rsidR="006A25DE">
        <w:t>searc</w:t>
      </w:r>
      <w:r w:rsidR="00571480">
        <w:t>hes</w:t>
      </w:r>
      <w:r w:rsidR="0039753F">
        <w:t xml:space="preserve"> for </w:t>
      </w:r>
      <w:r w:rsidR="006A25DE">
        <w:t xml:space="preserve">missing literature, </w:t>
      </w:r>
      <w:r w:rsidR="0020208D">
        <w:t>or cross-</w:t>
      </w:r>
      <w:r w:rsidR="0039753F">
        <w:t>check</w:t>
      </w:r>
      <w:r w:rsidR="0020208D">
        <w:t>s</w:t>
      </w:r>
      <w:r w:rsidR="0039753F">
        <w:t xml:space="preserve"> for</w:t>
      </w:r>
      <w:r w:rsidR="0088441E" w:rsidRPr="00A74059">
        <w:t xml:space="preserve"> research bias</w:t>
      </w:r>
      <w:r w:rsidR="00B84E53">
        <w:t xml:space="preserve">, </w:t>
      </w:r>
      <w:r w:rsidR="0088441E" w:rsidRPr="00A74059">
        <w:t>omissions</w:t>
      </w:r>
      <w:r w:rsidR="0039753F">
        <w:t>,</w:t>
      </w:r>
      <w:r w:rsidR="00B84E53">
        <w:t xml:space="preserve"> or other reliability issues</w:t>
      </w:r>
      <w:r w:rsidR="0088441E" w:rsidRPr="00A74059" w:rsidDel="00B84E53">
        <w:t xml:space="preserve">. </w:t>
      </w:r>
      <w:r w:rsidR="00E4123B">
        <w:t xml:space="preserve">As such the listed </w:t>
      </w:r>
      <w:r w:rsidR="003715EE">
        <w:t xml:space="preserve">SLR </w:t>
      </w:r>
      <w:r w:rsidR="00E4123B">
        <w:t xml:space="preserve">articles </w:t>
      </w:r>
      <w:r w:rsidR="003715EE">
        <w:t>should be taken at face</w:t>
      </w:r>
      <w:r w:rsidR="00196A62">
        <w:t xml:space="preserve"> </w:t>
      </w:r>
      <w:r w:rsidR="003715EE">
        <w:t>value.</w:t>
      </w:r>
      <w:r w:rsidR="009D28AF">
        <w:t xml:space="preserve"> </w:t>
      </w:r>
    </w:p>
    <w:p w14:paraId="18140B8C" w14:textId="3D3000F0" w:rsidR="00FD19D5" w:rsidRPr="005C2D2B" w:rsidRDefault="0026326B" w:rsidP="006A4C68">
      <w:pPr>
        <w:pStyle w:val="ListBullet0"/>
      </w:pPr>
      <w:r>
        <w:rPr>
          <w:b/>
          <w:bCs/>
        </w:rPr>
        <w:t>Restriction</w:t>
      </w:r>
      <w:r w:rsidR="00CF7220">
        <w:rPr>
          <w:b/>
          <w:bCs/>
        </w:rPr>
        <w:t>s</w:t>
      </w:r>
      <w:r>
        <w:rPr>
          <w:b/>
          <w:bCs/>
        </w:rPr>
        <w:t xml:space="preserve"> of the literature search to</w:t>
      </w:r>
      <w:r w:rsidR="0034672F">
        <w:rPr>
          <w:b/>
          <w:bCs/>
        </w:rPr>
        <w:t xml:space="preserve"> </w:t>
      </w:r>
      <w:r w:rsidR="009F517D">
        <w:rPr>
          <w:b/>
          <w:bCs/>
        </w:rPr>
        <w:t xml:space="preserve">solely </w:t>
      </w:r>
      <w:r w:rsidR="0034672F">
        <w:rPr>
          <w:b/>
          <w:bCs/>
        </w:rPr>
        <w:t>Australia and the UK</w:t>
      </w:r>
      <w:r w:rsidR="0034672F" w:rsidRPr="00DB6A2E">
        <w:t>,</w:t>
      </w:r>
      <w:r w:rsidR="0034672F">
        <w:rPr>
          <w:b/>
          <w:bCs/>
        </w:rPr>
        <w:t xml:space="preserve"> </w:t>
      </w:r>
      <w:r w:rsidR="009E1289" w:rsidRPr="009E1289">
        <w:t>as</w:t>
      </w:r>
      <w:r w:rsidR="009E1289">
        <w:rPr>
          <w:b/>
          <w:bCs/>
        </w:rPr>
        <w:t xml:space="preserve"> </w:t>
      </w:r>
      <w:r w:rsidR="0034672F">
        <w:t xml:space="preserve">determined by the </w:t>
      </w:r>
      <w:r w:rsidR="00B84E53">
        <w:t>Department</w:t>
      </w:r>
      <w:r w:rsidR="005C23E9" w:rsidRPr="00A74059">
        <w:t>.</w:t>
      </w:r>
      <w:r w:rsidR="00F10EA8" w:rsidRPr="00A74059">
        <w:t xml:space="preserve"> </w:t>
      </w:r>
      <w:r w:rsidR="00B84E53">
        <w:t xml:space="preserve">As such, </w:t>
      </w:r>
      <w:r w:rsidR="009E1289">
        <w:t xml:space="preserve">the SLR lacks findings and </w:t>
      </w:r>
      <w:r w:rsidR="00F10EA8" w:rsidRPr="00A74059">
        <w:t xml:space="preserve">insights </w:t>
      </w:r>
      <w:r w:rsidR="009E1289">
        <w:t xml:space="preserve">that could have been drawn </w:t>
      </w:r>
      <w:r w:rsidR="00F10EA8" w:rsidRPr="00A74059">
        <w:t xml:space="preserve">from </w:t>
      </w:r>
      <w:r w:rsidR="16376109" w:rsidRPr="00A74059" w:rsidDel="00B84E53">
        <w:t xml:space="preserve">other </w:t>
      </w:r>
      <w:r w:rsidR="00F10EA8" w:rsidRPr="00A74059">
        <w:t>jurisdictions</w:t>
      </w:r>
      <w:r w:rsidR="005A33D2">
        <w:t xml:space="preserve">, </w:t>
      </w:r>
      <w:r w:rsidR="005A33D2" w:rsidRPr="005C2D2B">
        <w:t xml:space="preserve">which should be addressed in future research. </w:t>
      </w:r>
    </w:p>
    <w:p w14:paraId="438A9C49" w14:textId="31387BE2" w:rsidR="0018680E" w:rsidRPr="00A74059" w:rsidRDefault="00986EBF" w:rsidP="006A4C68">
      <w:pPr>
        <w:pStyle w:val="ListBullet0"/>
      </w:pPr>
      <w:r w:rsidRPr="009C065E">
        <w:rPr>
          <w:b/>
          <w:bCs/>
        </w:rPr>
        <w:t>Restr</w:t>
      </w:r>
      <w:r w:rsidR="009C065E" w:rsidRPr="009C065E">
        <w:rPr>
          <w:b/>
          <w:bCs/>
        </w:rPr>
        <w:t>iction</w:t>
      </w:r>
      <w:r w:rsidR="00CF7220">
        <w:rPr>
          <w:b/>
          <w:bCs/>
        </w:rPr>
        <w:t>s</w:t>
      </w:r>
      <w:r w:rsidR="009C065E" w:rsidRPr="009C065E">
        <w:rPr>
          <w:b/>
          <w:bCs/>
        </w:rPr>
        <w:t xml:space="preserve"> of the </w:t>
      </w:r>
      <w:r w:rsidR="00CF7220">
        <w:rPr>
          <w:b/>
          <w:bCs/>
        </w:rPr>
        <w:t xml:space="preserve">publication </w:t>
      </w:r>
      <w:r w:rsidR="00FE0B48" w:rsidRPr="009C065E">
        <w:rPr>
          <w:b/>
        </w:rPr>
        <w:t>timeframe</w:t>
      </w:r>
      <w:r w:rsidR="00CF7220">
        <w:rPr>
          <w:b/>
        </w:rPr>
        <w:t>s</w:t>
      </w:r>
      <w:r w:rsidR="00CF7220" w:rsidRPr="00DB6A2E">
        <w:rPr>
          <w:bCs/>
        </w:rPr>
        <w:t>,</w:t>
      </w:r>
      <w:r w:rsidR="00CF7220">
        <w:rPr>
          <w:b/>
        </w:rPr>
        <w:t xml:space="preserve"> </w:t>
      </w:r>
      <w:r w:rsidR="00426CE0" w:rsidRPr="00426CE0">
        <w:t>solely</w:t>
      </w:r>
      <w:r w:rsidR="009C065E" w:rsidRPr="00426CE0">
        <w:t xml:space="preserve"> </w:t>
      </w:r>
      <w:r w:rsidR="009C065E" w:rsidRPr="009C065E">
        <w:t>to</w:t>
      </w:r>
      <w:r w:rsidR="00FE0B48" w:rsidRPr="00A74059">
        <w:t xml:space="preserve"> </w:t>
      </w:r>
      <w:r w:rsidR="00426CE0" w:rsidRPr="00426CE0">
        <w:t>those</w:t>
      </w:r>
      <w:r w:rsidR="00FE0B48" w:rsidRPr="00A74059">
        <w:t xml:space="preserve"> published between February 2013 </w:t>
      </w:r>
      <w:r w:rsidR="00426CE0">
        <w:t>and</w:t>
      </w:r>
      <w:r w:rsidR="00FE0B48" w:rsidRPr="00A74059">
        <w:t xml:space="preserve"> February 2023</w:t>
      </w:r>
      <w:r w:rsidR="00181433" w:rsidRPr="00A74059">
        <w:t>. A</w:t>
      </w:r>
      <w:r w:rsidR="00AE036F">
        <w:t xml:space="preserve">s a result, </w:t>
      </w:r>
      <w:r w:rsidR="00426CE0">
        <w:t xml:space="preserve">any key studies </w:t>
      </w:r>
      <w:r w:rsidR="00181433" w:rsidRPr="00A74059">
        <w:t xml:space="preserve">published </w:t>
      </w:r>
      <w:r w:rsidR="00426CE0">
        <w:t xml:space="preserve">before or </w:t>
      </w:r>
      <w:r w:rsidR="00181433" w:rsidRPr="00A74059">
        <w:t>after the</w:t>
      </w:r>
      <w:r w:rsidR="00426CE0">
        <w:t>se</w:t>
      </w:r>
      <w:r w:rsidR="00181433" w:rsidRPr="00A74059">
        <w:t xml:space="preserve"> date</w:t>
      </w:r>
      <w:r w:rsidR="00426CE0">
        <w:t>s</w:t>
      </w:r>
      <w:r w:rsidR="00181433" w:rsidRPr="00A74059">
        <w:t xml:space="preserve"> </w:t>
      </w:r>
      <w:r w:rsidR="00426CE0">
        <w:t xml:space="preserve">are not covered </w:t>
      </w:r>
      <w:r w:rsidR="00181433" w:rsidRPr="00A74059">
        <w:t xml:space="preserve">in the </w:t>
      </w:r>
      <w:r w:rsidR="00426CE0">
        <w:t>SLR</w:t>
      </w:r>
      <w:r w:rsidR="00D93725">
        <w:t>.</w:t>
      </w:r>
    </w:p>
    <w:p w14:paraId="03490362" w14:textId="31A6A2C7" w:rsidR="00426CE0" w:rsidRDefault="00426CE0" w:rsidP="00426CE0">
      <w:pPr>
        <w:pStyle w:val="ListBullet0"/>
      </w:pPr>
      <w:r>
        <w:rPr>
          <w:b/>
          <w:bCs/>
        </w:rPr>
        <w:t>Restrictions to solely peer-reviewed, academic literature</w:t>
      </w:r>
      <w:r w:rsidRPr="0069618E">
        <w:t>.</w:t>
      </w:r>
      <w:r w:rsidR="00D14EE1" w:rsidRPr="0069618E">
        <w:t xml:space="preserve"> </w:t>
      </w:r>
      <w:r w:rsidR="00805A8D" w:rsidRPr="0069618E">
        <w:t xml:space="preserve">While </w:t>
      </w:r>
      <w:r w:rsidR="007E4D0D">
        <w:t xml:space="preserve">there are </w:t>
      </w:r>
      <w:r w:rsidR="00BC2B48">
        <w:t xml:space="preserve">long established benefits of relying on </w:t>
      </w:r>
      <w:r w:rsidR="00544C51">
        <w:t xml:space="preserve">peer-reviewed and vetted texts, </w:t>
      </w:r>
      <w:r w:rsidR="003C7228">
        <w:t xml:space="preserve">this </w:t>
      </w:r>
      <w:r>
        <w:t xml:space="preserve">excluded the option to gather evidence and insights </w:t>
      </w:r>
      <w:r w:rsidR="00D93725">
        <w:t>found in</w:t>
      </w:r>
      <w:r>
        <w:t xml:space="preserve"> grey literature, including policy documentation, service reviews</w:t>
      </w:r>
      <w:r w:rsidR="00196A62">
        <w:t>,</w:t>
      </w:r>
      <w:r>
        <w:t xml:space="preserve"> or advocacy papers, available from credible sources including government agencies, research institutes or not-for-profit</w:t>
      </w:r>
      <w:r w:rsidR="00A06545">
        <w:t xml:space="preserve"> and/or </w:t>
      </w:r>
      <w:r w:rsidR="000E52B4">
        <w:t>p</w:t>
      </w:r>
      <w:r w:rsidR="00A06545">
        <w:t xml:space="preserve">eak </w:t>
      </w:r>
      <w:r w:rsidR="000E52B4">
        <w:t>b</w:t>
      </w:r>
      <w:r w:rsidR="00A06545">
        <w:t>ody</w:t>
      </w:r>
      <w:r>
        <w:t xml:space="preserve"> organisations, such as LGBTIQ+ Health Australia</w:t>
      </w:r>
      <w:r w:rsidR="00AB204D">
        <w:t xml:space="preserve"> (LHA)</w:t>
      </w:r>
      <w:r>
        <w:t>.</w:t>
      </w:r>
      <w:r w:rsidR="00C87E65">
        <w:t xml:space="preserve"> </w:t>
      </w:r>
    </w:p>
    <w:p w14:paraId="39E96D5C" w14:textId="654F11A6" w:rsidR="00892CF0" w:rsidRPr="00624A03" w:rsidRDefault="00892CF0" w:rsidP="00490D21">
      <w:pPr>
        <w:pStyle w:val="ListBullet0"/>
      </w:pPr>
      <w:r w:rsidRPr="00624A03">
        <w:rPr>
          <w:b/>
          <w:bCs/>
        </w:rPr>
        <w:t>Limitations related to the search terms used</w:t>
      </w:r>
      <w:r w:rsidRPr="00624A03">
        <w:t xml:space="preserve">. Reviews undertaken by industry experts noted that limitations to the search terms used led to the </w:t>
      </w:r>
      <w:r w:rsidR="00652710" w:rsidRPr="00624A03">
        <w:t>unintended</w:t>
      </w:r>
      <w:r w:rsidRPr="00624A03">
        <w:t xml:space="preserve"> omission of key studies from the research. In particular, </w:t>
      </w:r>
      <w:r w:rsidR="00C7520D" w:rsidRPr="00624A03">
        <w:t xml:space="preserve">the present research </w:t>
      </w:r>
      <w:r w:rsidR="00490D21" w:rsidRPr="00624A03">
        <w:t xml:space="preserve">did not </w:t>
      </w:r>
      <w:r w:rsidR="00C7520D" w:rsidRPr="00624A03">
        <w:t>search</w:t>
      </w:r>
      <w:r w:rsidR="00490D21" w:rsidRPr="00624A03">
        <w:t xml:space="preserve"> for </w:t>
      </w:r>
      <w:r w:rsidR="00490D21" w:rsidRPr="00624A03">
        <w:lastRenderedPageBreak/>
        <w:t>literature</w:t>
      </w:r>
      <w:r w:rsidR="00C7520D" w:rsidRPr="00624A03">
        <w:t xml:space="preserve"> under the term “</w:t>
      </w:r>
      <w:r w:rsidR="00490D21" w:rsidRPr="00624A03">
        <w:t>innate variations in sex characteristics”</w:t>
      </w:r>
      <w:r w:rsidR="009A16A6" w:rsidRPr="00624A03">
        <w:t xml:space="preserve">. Future research should consult with lived experience advisors and </w:t>
      </w:r>
      <w:r w:rsidR="00012DE3" w:rsidRPr="00624A03">
        <w:t xml:space="preserve">a wider array of sector experts to ensure the search terms used are fully inclusive of the target populations. </w:t>
      </w:r>
    </w:p>
    <w:p w14:paraId="03828249" w14:textId="26233F78" w:rsidR="00AF3F89" w:rsidRPr="008548CA" w:rsidRDefault="00AF3F89" w:rsidP="008548CA">
      <w:r w:rsidRPr="008548CA">
        <w:t xml:space="preserve">Notwithstanding these limitations, </w:t>
      </w:r>
      <w:r w:rsidR="00E16D2C" w:rsidRPr="008548CA">
        <w:t>the UTS</w:t>
      </w:r>
      <w:r w:rsidR="00426CE0" w:rsidRPr="008548CA">
        <w:t>-</w:t>
      </w:r>
      <w:r w:rsidR="00E16D2C" w:rsidRPr="008548CA">
        <w:t xml:space="preserve">led </w:t>
      </w:r>
      <w:r w:rsidR="00C90863" w:rsidRPr="008548CA">
        <w:t xml:space="preserve">research </w:t>
      </w:r>
      <w:r w:rsidR="00E16D2C" w:rsidRPr="008548CA">
        <w:t xml:space="preserve">team </w:t>
      </w:r>
      <w:r w:rsidR="00426CE0" w:rsidRPr="008548CA">
        <w:t>ha</w:t>
      </w:r>
      <w:r w:rsidR="00196A62" w:rsidRPr="008548CA">
        <w:t>s</w:t>
      </w:r>
      <w:r w:rsidR="0072351C" w:rsidRPr="008548CA">
        <w:t xml:space="preserve"> </w:t>
      </w:r>
      <w:r w:rsidR="00771053" w:rsidRPr="008548CA">
        <w:t>prepare</w:t>
      </w:r>
      <w:r w:rsidR="00426CE0" w:rsidRPr="008548CA">
        <w:t>d</w:t>
      </w:r>
      <w:r w:rsidR="00A9122A" w:rsidRPr="008548CA">
        <w:t xml:space="preserve"> a robust </w:t>
      </w:r>
      <w:r w:rsidR="00AA683A" w:rsidRPr="008548CA">
        <w:t>Research Tr</w:t>
      </w:r>
      <w:r w:rsidR="00220966" w:rsidRPr="008548CA">
        <w:t xml:space="preserve">anslation </w:t>
      </w:r>
      <w:r w:rsidR="005118E3" w:rsidRPr="008548CA">
        <w:t>Report,</w:t>
      </w:r>
      <w:r w:rsidR="000D7C2E" w:rsidRPr="008548CA">
        <w:t xml:space="preserve"> and </w:t>
      </w:r>
      <w:r w:rsidR="00196A62" w:rsidRPr="008548CA">
        <w:t xml:space="preserve">its members </w:t>
      </w:r>
      <w:r w:rsidR="000D7C2E" w:rsidRPr="008548CA">
        <w:t xml:space="preserve">are </w:t>
      </w:r>
      <w:r w:rsidR="00A9122A" w:rsidRPr="008548CA">
        <w:t xml:space="preserve">proud </w:t>
      </w:r>
      <w:r w:rsidR="00CC404A" w:rsidRPr="008548CA">
        <w:t>to stand behind the</w:t>
      </w:r>
      <w:r w:rsidR="00C90863" w:rsidRPr="008548CA">
        <w:t xml:space="preserve">ir </w:t>
      </w:r>
      <w:r w:rsidR="00426CE0" w:rsidRPr="008548CA">
        <w:t>evidence-based</w:t>
      </w:r>
      <w:r w:rsidR="00A9122A" w:rsidRPr="008548CA">
        <w:t xml:space="preserve"> </w:t>
      </w:r>
      <w:r w:rsidR="00C90863" w:rsidRPr="008548CA">
        <w:t>findings</w:t>
      </w:r>
      <w:r w:rsidR="006A4C68" w:rsidRPr="008548CA">
        <w:t>,</w:t>
      </w:r>
      <w:r w:rsidR="00C90863" w:rsidRPr="008548CA">
        <w:t xml:space="preserve"> </w:t>
      </w:r>
      <w:r w:rsidR="00C8478B" w:rsidRPr="008548CA">
        <w:t>analysis,</w:t>
      </w:r>
      <w:r w:rsidR="00426CE0" w:rsidRPr="008548CA">
        <w:t xml:space="preserve"> </w:t>
      </w:r>
      <w:r w:rsidR="00C90863" w:rsidRPr="008548CA">
        <w:t>and conclusions</w:t>
      </w:r>
      <w:r w:rsidR="00220966" w:rsidRPr="008548CA">
        <w:t xml:space="preserve">. </w:t>
      </w:r>
    </w:p>
    <w:p w14:paraId="58E2ACC4" w14:textId="77777777" w:rsidR="001F7F3A" w:rsidRDefault="001F7F3A" w:rsidP="00B20058">
      <w:pPr>
        <w:rPr>
          <w:lang w:eastAsia="en-AU"/>
        </w:rPr>
      </w:pPr>
    </w:p>
    <w:p w14:paraId="3AFFD59F" w14:textId="77777777" w:rsidR="001F7F3A" w:rsidRDefault="001F7F3A" w:rsidP="00B20058">
      <w:pPr>
        <w:rPr>
          <w:lang w:eastAsia="en-AU"/>
        </w:rPr>
        <w:sectPr w:rsidR="001F7F3A" w:rsidSect="00CD06B3">
          <w:headerReference w:type="default" r:id="rId36"/>
          <w:footerReference w:type="default" r:id="rId37"/>
          <w:pgSz w:w="11906" w:h="16838" w:code="9"/>
          <w:pgMar w:top="1440" w:right="1440" w:bottom="1440" w:left="1440" w:header="567" w:footer="57" w:gutter="0"/>
          <w:pgNumType w:start="1"/>
          <w:cols w:space="708"/>
          <w:docGrid w:linePitch="360"/>
        </w:sectPr>
      </w:pPr>
    </w:p>
    <w:p w14:paraId="5C523A3C" w14:textId="54D881B4" w:rsidR="00B7545E" w:rsidRPr="008A5013" w:rsidRDefault="00727C40" w:rsidP="009B406F">
      <w:pPr>
        <w:pStyle w:val="NbrHeading1"/>
      </w:pPr>
      <w:bookmarkStart w:id="21" w:name="_Toc153899489"/>
      <w:r>
        <w:lastRenderedPageBreak/>
        <w:t xml:space="preserve">Australia’s </w:t>
      </w:r>
      <w:r w:rsidRPr="00C65693">
        <w:t>LGBT</w:t>
      </w:r>
      <w:r w:rsidR="00C65693">
        <w:t>Q</w:t>
      </w:r>
      <w:r w:rsidRPr="00C65693">
        <w:t>+</w:t>
      </w:r>
      <w:r>
        <w:t xml:space="preserve"> community</w:t>
      </w:r>
      <w:bookmarkEnd w:id="21"/>
      <w:r>
        <w:t xml:space="preserve"> </w:t>
      </w:r>
    </w:p>
    <w:p w14:paraId="00CD769A" w14:textId="5C2941FE" w:rsidR="0088441E" w:rsidRPr="008548CA" w:rsidRDefault="00C026D8" w:rsidP="008548CA">
      <w:r w:rsidRPr="008548CA">
        <w:t xml:space="preserve">This section </w:t>
      </w:r>
      <w:r w:rsidR="00A37AFB" w:rsidRPr="008548CA">
        <w:t xml:space="preserve">provides an overview of the </w:t>
      </w:r>
      <w:r w:rsidR="00D525D0" w:rsidRPr="008548CA">
        <w:t>available evidence on Australia’s LGBT</w:t>
      </w:r>
      <w:r w:rsidR="00141ED0" w:rsidRPr="008548CA">
        <w:t>Q</w:t>
      </w:r>
      <w:r w:rsidR="00D525D0" w:rsidRPr="008548CA">
        <w:t>+ community, and the</w:t>
      </w:r>
      <w:r w:rsidR="00955D14" w:rsidRPr="008548CA">
        <w:t xml:space="preserve"> </w:t>
      </w:r>
      <w:r w:rsidR="00D525D0" w:rsidRPr="008548CA">
        <w:t xml:space="preserve">prevalence of </w:t>
      </w:r>
      <w:r w:rsidR="00955D14" w:rsidRPr="008548CA">
        <w:t xml:space="preserve">their </w:t>
      </w:r>
      <w:r w:rsidR="00D525D0" w:rsidRPr="008548CA">
        <w:t>mental health challenges and suicidality</w:t>
      </w:r>
      <w:r w:rsidR="0088441E" w:rsidRPr="008548CA">
        <w:t>. It provides the background and context against which other section</w:t>
      </w:r>
      <w:r w:rsidR="00955D14" w:rsidRPr="008548CA">
        <w:t>s</w:t>
      </w:r>
      <w:r w:rsidR="0088441E" w:rsidRPr="008548CA">
        <w:t xml:space="preserve"> of this report </w:t>
      </w:r>
      <w:r w:rsidR="00955D14" w:rsidRPr="008548CA">
        <w:t>should be read</w:t>
      </w:r>
      <w:r w:rsidR="0088441E" w:rsidRPr="008548CA">
        <w:t>.</w:t>
      </w:r>
    </w:p>
    <w:p w14:paraId="6827567E" w14:textId="674BC960" w:rsidR="001649AD" w:rsidRPr="0034306E" w:rsidRDefault="001649AD" w:rsidP="00C2399D">
      <w:pPr>
        <w:shd w:val="clear" w:color="auto" w:fill="FFFFFF" w:themeFill="background1"/>
        <w:tabs>
          <w:tab w:val="left" w:pos="851"/>
        </w:tabs>
        <w:rPr>
          <w:i/>
          <w:iCs/>
          <w:color w:val="0F4BEB" w:themeColor="accent1"/>
        </w:rPr>
      </w:pPr>
      <w:r w:rsidRPr="0034306E">
        <w:rPr>
          <w:i/>
          <w:iCs/>
          <w:color w:val="0F4BEB" w:themeColor="accent1"/>
        </w:rPr>
        <w:t xml:space="preserve">Further information about method and focus can be found at Section 1.2. </w:t>
      </w:r>
    </w:p>
    <w:p w14:paraId="6A5C29EE" w14:textId="45B6FE4D" w:rsidR="000A73B0" w:rsidRDefault="000A73B0" w:rsidP="009B406F">
      <w:pPr>
        <w:pStyle w:val="NbrHeading2"/>
      </w:pPr>
      <w:bookmarkStart w:id="22" w:name="_Toc153899490"/>
      <w:r>
        <w:t>About this Section</w:t>
      </w:r>
      <w:r w:rsidR="000B61B4">
        <w:t xml:space="preserve"> and Data Availability</w:t>
      </w:r>
      <w:bookmarkEnd w:id="22"/>
    </w:p>
    <w:p w14:paraId="10C37CCE" w14:textId="666A7386" w:rsidR="000A73B0" w:rsidRDefault="000A73B0" w:rsidP="000A73B0">
      <w:r>
        <w:t xml:space="preserve">The </w:t>
      </w:r>
      <w:r w:rsidR="000B61B4">
        <w:t>UTS</w:t>
      </w:r>
      <w:r w:rsidR="00B2115D">
        <w:t>-</w:t>
      </w:r>
      <w:r w:rsidR="00D0654B">
        <w:t>l</w:t>
      </w:r>
      <w:r w:rsidR="00B2115D">
        <w:t xml:space="preserve">ed research team </w:t>
      </w:r>
      <w:r>
        <w:t>wish to note that there are gaps in available data on Australia’s LGBT</w:t>
      </w:r>
      <w:r w:rsidR="00433B3C">
        <w:t>Q</w:t>
      </w:r>
      <w:r>
        <w:t>+ community</w:t>
      </w:r>
      <w:r w:rsidR="000F34E1">
        <w:t xml:space="preserve">, </w:t>
      </w:r>
      <w:r w:rsidR="00955D14">
        <w:t>which</w:t>
      </w:r>
      <w:r w:rsidR="00B06DFC">
        <w:t xml:space="preserve"> should be noted prior to</w:t>
      </w:r>
      <w:r w:rsidR="002D5F27">
        <w:t xml:space="preserve"> </w:t>
      </w:r>
      <w:r w:rsidR="00B12DBA">
        <w:t xml:space="preserve">reading the profiling content </w:t>
      </w:r>
      <w:r w:rsidR="00EF3F4F">
        <w:t>summarised in this section.</w:t>
      </w:r>
      <w:r>
        <w:t xml:space="preserve"> These gaps are driven by </w:t>
      </w:r>
      <w:proofErr w:type="gramStart"/>
      <w:r>
        <w:t>a number of</w:t>
      </w:r>
      <w:proofErr w:type="gramEnd"/>
      <w:r>
        <w:t xml:space="preserve"> factors, as summarised below:</w:t>
      </w:r>
    </w:p>
    <w:p w14:paraId="36979625" w14:textId="2CFB3160" w:rsidR="000A73B0" w:rsidRPr="0008774D" w:rsidRDefault="000A73B0" w:rsidP="006205ED">
      <w:pPr>
        <w:pStyle w:val="ListNumber0"/>
        <w:numPr>
          <w:ilvl w:val="0"/>
          <w:numId w:val="30"/>
        </w:numPr>
      </w:pPr>
      <w:r w:rsidRPr="00C9301A">
        <w:rPr>
          <w:b/>
          <w:bCs/>
        </w:rPr>
        <w:t>National and state-level data collection instruments are still in the process of being refined to capture meaningful information on sexual orientation</w:t>
      </w:r>
      <w:r w:rsidR="00F349B8">
        <w:rPr>
          <w:b/>
          <w:bCs/>
        </w:rPr>
        <w:t xml:space="preserve"> and</w:t>
      </w:r>
      <w:r w:rsidRPr="00C9301A">
        <w:rPr>
          <w:b/>
          <w:bCs/>
        </w:rPr>
        <w:t xml:space="preserve"> gender </w:t>
      </w:r>
      <w:r w:rsidR="00F349B8">
        <w:rPr>
          <w:b/>
          <w:bCs/>
        </w:rPr>
        <w:t>diversity</w:t>
      </w:r>
      <w:r w:rsidRPr="0008774D">
        <w:t>. A notable example of this issue can be seen in the formal complaint brought against the Australian Bureau of Statistics (ABS) in 2022 alleging unlawful discrimination against LGBTI</w:t>
      </w:r>
      <w:r w:rsidR="00A508AF">
        <w:t>Q</w:t>
      </w:r>
      <w:r w:rsidRPr="0008774D">
        <w:t>+ people in the 2021 Census for failing to ask appropriate questions on sexual orientation, gender identity</w:t>
      </w:r>
      <w:r w:rsidR="00955D14">
        <w:t>,</w:t>
      </w:r>
      <w:r w:rsidRPr="0008774D">
        <w:t xml:space="preserve"> and </w:t>
      </w:r>
      <w:r w:rsidR="007A5E24">
        <w:t xml:space="preserve">innate </w:t>
      </w:r>
      <w:r w:rsidRPr="0008774D">
        <w:t>variations in sex characteristics. While the ABS has since committed to re-evaluating its approach for the 2026 Census</w:t>
      </w:r>
      <w:r w:rsidR="00BF384F" w:rsidRPr="0008774D">
        <w:t xml:space="preserve"> with the support of a LGBTIQ+ Ex</w:t>
      </w:r>
      <w:r w:rsidR="00784B55" w:rsidRPr="0008774D">
        <w:t>pert Advisory Committee</w:t>
      </w:r>
      <w:r w:rsidR="00522B22" w:rsidRPr="0008774D">
        <w:rPr>
          <w:rStyle w:val="FootnoteReference"/>
        </w:rPr>
        <w:footnoteReference w:id="14"/>
      </w:r>
      <w:r w:rsidRPr="0008774D">
        <w:t>, in the interim Australia lacks significant data to support evidence-based policy making and service provision to LGBT</w:t>
      </w:r>
      <w:r w:rsidR="0053410F">
        <w:t>IQA</w:t>
      </w:r>
      <w:r w:rsidRPr="0008774D">
        <w:t>+ people.</w:t>
      </w:r>
      <w:r w:rsidRPr="0008774D">
        <w:rPr>
          <w:rStyle w:val="FootnoteReference"/>
        </w:rPr>
        <w:footnoteReference w:id="15"/>
      </w:r>
      <w:r w:rsidRPr="0008774D">
        <w:t xml:space="preserve"> </w:t>
      </w:r>
    </w:p>
    <w:p w14:paraId="7067E2D4" w14:textId="69D83086" w:rsidR="000A73B0" w:rsidRPr="0008774D" w:rsidRDefault="000A73B0" w:rsidP="00A65BD2">
      <w:pPr>
        <w:pStyle w:val="ListNumber0"/>
      </w:pPr>
      <w:r w:rsidRPr="0008774D">
        <w:t>While the evolution of terminology to describe</w:t>
      </w:r>
      <w:r w:rsidR="00BA37C8">
        <w:t xml:space="preserve"> sexual orientation and gender diversity </w:t>
      </w:r>
      <w:r w:rsidRPr="0008774D">
        <w:t xml:space="preserve">empowers communities to redefine and refine their understanding of themselves and each other over time, </w:t>
      </w:r>
      <w:r w:rsidRPr="0008774D">
        <w:rPr>
          <w:b/>
          <w:bCs/>
        </w:rPr>
        <w:t>changing and overlapping terminologies can also create various difficulties related to data collection and analysis</w:t>
      </w:r>
      <w:r w:rsidRPr="0008774D">
        <w:t>. Inconsistencies in the terminology used across instruments</w:t>
      </w:r>
      <w:r w:rsidR="007D23A7" w:rsidRPr="0008774D">
        <w:t>,</w:t>
      </w:r>
      <w:r w:rsidRPr="0008774D">
        <w:t xml:space="preserve"> therefore</w:t>
      </w:r>
      <w:r w:rsidR="007D23A7" w:rsidRPr="0008774D">
        <w:t>,</w:t>
      </w:r>
      <w:r w:rsidRPr="0008774D">
        <w:t xml:space="preserve"> complicate the processes of estimating population size, tracing population changes over time</w:t>
      </w:r>
      <w:r w:rsidR="00F42CDB" w:rsidRPr="0008774D">
        <w:t>,</w:t>
      </w:r>
      <w:r w:rsidRPr="0008774D">
        <w:t xml:space="preserve"> and making useful comparisons across jurisdictions</w:t>
      </w:r>
      <w:r w:rsidR="005A52AE" w:rsidRPr="0008774D">
        <w:rPr>
          <w:rStyle w:val="FootnoteReference"/>
        </w:rPr>
        <w:footnoteReference w:id="16"/>
      </w:r>
      <w:r w:rsidRPr="0008774D">
        <w:t>.</w:t>
      </w:r>
      <w:r w:rsidR="00A6160F" w:rsidRPr="0008774D">
        <w:t xml:space="preserve"> </w:t>
      </w:r>
    </w:p>
    <w:p w14:paraId="5C75D39A" w14:textId="04BA57FC" w:rsidR="000A73B0" w:rsidRPr="008F342B" w:rsidRDefault="000A73B0" w:rsidP="00A65BD2">
      <w:pPr>
        <w:pStyle w:val="ListNumber0"/>
      </w:pPr>
      <w:r w:rsidRPr="0008774D">
        <w:rPr>
          <w:b/>
          <w:bCs/>
        </w:rPr>
        <w:t>Data collection instruments can only capture information on individuals willing to identify as LGBT</w:t>
      </w:r>
      <w:r w:rsidR="00F349B8">
        <w:rPr>
          <w:b/>
          <w:bCs/>
        </w:rPr>
        <w:t>Q</w:t>
      </w:r>
      <w:r w:rsidRPr="0008774D">
        <w:rPr>
          <w:b/>
          <w:bCs/>
        </w:rPr>
        <w:t>+</w:t>
      </w:r>
      <w:r w:rsidRPr="0008774D">
        <w:t xml:space="preserve">. Willingness to disclose </w:t>
      </w:r>
      <w:r w:rsidR="00CD24D8">
        <w:t xml:space="preserve">sexual orientation and gender diversity </w:t>
      </w:r>
      <w:r w:rsidRPr="0008774D">
        <w:t xml:space="preserve">in </w:t>
      </w:r>
      <w:r w:rsidRPr="0008774D">
        <w:lastRenderedPageBreak/>
        <w:t>a survey or other instrument can be influenced by various factors</w:t>
      </w:r>
      <w:r w:rsidR="00F874F8">
        <w:t xml:space="preserve">, </w:t>
      </w:r>
      <w:r w:rsidRPr="0008774D">
        <w:t>such as the broader social and legal environment, how people understand and define</w:t>
      </w:r>
      <w:r w:rsidRPr="008F342B">
        <w:t xml:space="preserve"> their </w:t>
      </w:r>
      <w:r w:rsidR="000B4E4C">
        <w:t>sexual orientation and gender identity</w:t>
      </w:r>
      <w:r w:rsidRPr="008F342B">
        <w:t>, and their confidence that survey responses will remain confidential.</w:t>
      </w:r>
      <w:r w:rsidRPr="008F342B">
        <w:rPr>
          <w:vertAlign w:val="superscript"/>
        </w:rPr>
        <w:footnoteReference w:id="17"/>
      </w:r>
      <w:r>
        <w:t xml:space="preserve"> It is, therefore, possible that current data only captures a portion of the LGBT</w:t>
      </w:r>
      <w:r w:rsidR="00487D6D">
        <w:t>Q</w:t>
      </w:r>
      <w:r>
        <w:t xml:space="preserve">+ population in Australia. </w:t>
      </w:r>
    </w:p>
    <w:p w14:paraId="5D3EC346" w14:textId="52013D92" w:rsidR="00005E6F" w:rsidRDefault="000A73B0" w:rsidP="00246459">
      <w:r>
        <w:t xml:space="preserve">While the research team notes that </w:t>
      </w:r>
      <w:proofErr w:type="gramStart"/>
      <w:r>
        <w:t>a number of</w:t>
      </w:r>
      <w:proofErr w:type="gramEnd"/>
      <w:r>
        <w:t xml:space="preserve"> state and territory governments have committed to improving their data collection practices (see Section 2.3.2), these limitations in data should be further considered by Governments at all levels</w:t>
      </w:r>
      <w:r w:rsidR="00BC4041">
        <w:t xml:space="preserve">. </w:t>
      </w:r>
      <w:r w:rsidR="00BC4041">
        <w:rPr>
          <w:rStyle w:val="FootnoteReference"/>
        </w:rPr>
        <w:footnoteReference w:id="18"/>
      </w:r>
    </w:p>
    <w:p w14:paraId="07063E6A" w14:textId="24D9A446" w:rsidR="000C6801" w:rsidRDefault="000C6801" w:rsidP="000C6801">
      <w:r>
        <w:t>All figures in this section have been rounded to the nearest whole numbers. Researcher</w:t>
      </w:r>
      <w:r w:rsidR="00860DEC">
        <w:t xml:space="preserve">s </w:t>
      </w:r>
      <w:r>
        <w:t>are referred to the source documents for more accurate numbers and percentages.</w:t>
      </w:r>
    </w:p>
    <w:p w14:paraId="6D28660F" w14:textId="193B56F2" w:rsidR="00006FBA" w:rsidRPr="00543C47" w:rsidRDefault="00BB6AEB" w:rsidP="009B406F">
      <w:pPr>
        <w:pStyle w:val="NbrHeading2"/>
      </w:pPr>
      <w:bookmarkStart w:id="23" w:name="_Toc153899491"/>
      <w:r w:rsidRPr="00543C47">
        <w:t>Demographic Overview</w:t>
      </w:r>
      <w:bookmarkEnd w:id="23"/>
      <w:r w:rsidRPr="00543C47">
        <w:t xml:space="preserve"> </w:t>
      </w:r>
    </w:p>
    <w:p w14:paraId="4927DFE5" w14:textId="7A02FDD8" w:rsidR="00650902" w:rsidRDefault="00650902" w:rsidP="00650902">
      <w:r>
        <w:t>As outlined above, Australia currently lacks a comprehensive source of data on LGBT</w:t>
      </w:r>
      <w:r w:rsidR="008F7516">
        <w:t>Q</w:t>
      </w:r>
      <w:r>
        <w:t xml:space="preserve">+ </w:t>
      </w:r>
      <w:r w:rsidR="00966BCE">
        <w:t>people</w:t>
      </w:r>
      <w:r w:rsidR="004C7864">
        <w:t xml:space="preserve"> and, a</w:t>
      </w:r>
      <w:r>
        <w:t>s a result, the demographic data below only provides a partial picture of the communit</w:t>
      </w:r>
      <w:r w:rsidR="00D550DE">
        <w:t>ies</w:t>
      </w:r>
      <w:r>
        <w:t xml:space="preserve">. Significantly, there is an absence of Australian population-level data on people of diverse genders.  Further, </w:t>
      </w:r>
      <w:r w:rsidR="00393E87" w:rsidRPr="00FE3AA0">
        <w:t xml:space="preserve">in many cases, </w:t>
      </w:r>
      <w:r w:rsidRPr="00393E87">
        <w:t>the limited publicly available data</w:t>
      </w:r>
      <w:r w:rsidR="006457BE" w:rsidRPr="00393E87">
        <w:t xml:space="preserve"> </w:t>
      </w:r>
      <w:r w:rsidR="00393E87" w:rsidRPr="00FE3AA0">
        <w:t xml:space="preserve">artificially </w:t>
      </w:r>
      <w:r w:rsidR="006457BE" w:rsidRPr="00393E87">
        <w:t>groups</w:t>
      </w:r>
      <w:r w:rsidRPr="00393E87">
        <w:t xml:space="preserve"> </w:t>
      </w:r>
      <w:r w:rsidR="006457BE" w:rsidRPr="00393E87">
        <w:t>communities</w:t>
      </w:r>
      <w:r w:rsidR="009F08AB" w:rsidRPr="00393E87">
        <w:t xml:space="preserve"> </w:t>
      </w:r>
      <w:r w:rsidRPr="00393E87">
        <w:t>and provides limited information regarding intersections with other demographic characteristics</w:t>
      </w:r>
      <w:r>
        <w:t xml:space="preserve"> – making it difficult to highlight differences within and between groups.  </w:t>
      </w:r>
    </w:p>
    <w:p w14:paraId="19C53E4B" w14:textId="7AD77608" w:rsidR="00650902" w:rsidRDefault="00650902" w:rsidP="00650902">
      <w:r>
        <w:t xml:space="preserve">With these limitations in mind, Australian researchers </w:t>
      </w:r>
      <w:r w:rsidR="00491802">
        <w:t>currently use</w:t>
      </w:r>
      <w:r>
        <w:t xml:space="preserve"> the following broad population estimations</w:t>
      </w:r>
      <w:r w:rsidR="00B93469">
        <w:t xml:space="preserve"> for LGBT</w:t>
      </w:r>
      <w:r w:rsidR="00DD216D">
        <w:t>Q</w:t>
      </w:r>
      <w:r w:rsidR="00B93469">
        <w:t>+ people</w:t>
      </w:r>
      <w:r>
        <w:rPr>
          <w:rStyle w:val="FootnoteReference"/>
        </w:rPr>
        <w:footnoteReference w:id="19"/>
      </w:r>
      <w:r>
        <w:t>:</w:t>
      </w:r>
    </w:p>
    <w:p w14:paraId="3EF37E84" w14:textId="2672DEA3" w:rsidR="00650902" w:rsidRDefault="00650902" w:rsidP="00650902">
      <w:pPr>
        <w:pStyle w:val="ListBullet0"/>
      </w:pPr>
      <w:r>
        <w:t xml:space="preserve">According to the 2020 ABS General Social Survey (GSS), approximately 4% (or 773,000) of the Australian population identify as gay, lesbian, bisexual, or another term to describe their sexual orientation (shortened in this section </w:t>
      </w:r>
      <w:r w:rsidR="005C38CD">
        <w:t>when referring</w:t>
      </w:r>
      <w:r>
        <w:t xml:space="preserve"> to </w:t>
      </w:r>
      <w:r w:rsidR="005C38CD">
        <w:t xml:space="preserve">this survey </w:t>
      </w:r>
      <w:r w:rsidR="00BD6DB0">
        <w:t>as</w:t>
      </w:r>
      <w:r w:rsidR="005C38CD">
        <w:t xml:space="preserve"> GLB+)</w:t>
      </w:r>
      <w:r w:rsidR="003A7E16">
        <w:t>.</w:t>
      </w:r>
      <w:r>
        <w:t xml:space="preserve"> </w:t>
      </w:r>
      <w:r w:rsidRPr="00812981">
        <w:t xml:space="preserve">This marks a 1% </w:t>
      </w:r>
      <w:r w:rsidR="00071063">
        <w:t xml:space="preserve">total </w:t>
      </w:r>
      <w:r w:rsidRPr="00812981">
        <w:t>increase</w:t>
      </w:r>
      <w:r w:rsidR="00071063">
        <w:t xml:space="preserve"> and roughly </w:t>
      </w:r>
      <w:r w:rsidR="00881A1D">
        <w:t>33% proportional increase</w:t>
      </w:r>
      <w:r w:rsidRPr="00812981">
        <w:t xml:space="preserve"> to self-reported GLB+ compared to 2019 (3%</w:t>
      </w:r>
      <w:r w:rsidR="009E4DDB" w:rsidRPr="00812981">
        <w:t>)</w:t>
      </w:r>
      <w:r w:rsidR="009E4DDB">
        <w:t xml:space="preserve"> and</w:t>
      </w:r>
      <w:r w:rsidR="00BA245B">
        <w:t xml:space="preserve"> is consistent with </w:t>
      </w:r>
      <w:r w:rsidR="006C5E73">
        <w:t>estimates from other Australian population studies.</w:t>
      </w:r>
      <w:r w:rsidR="006C5E73">
        <w:rPr>
          <w:rStyle w:val="FootnoteReference"/>
        </w:rPr>
        <w:footnoteReference w:id="20"/>
      </w:r>
      <w:r>
        <w:t xml:space="preserve"> Neither this</w:t>
      </w:r>
      <w:r w:rsidR="00812981">
        <w:t>,</w:t>
      </w:r>
      <w:r>
        <w:t xml:space="preserve"> nor any other existing Australian population survey</w:t>
      </w:r>
      <w:r w:rsidR="00812981">
        <w:t>,</w:t>
      </w:r>
      <w:r>
        <w:t xml:space="preserve"> appear</w:t>
      </w:r>
      <w:r w:rsidR="00812981">
        <w:t>s</w:t>
      </w:r>
      <w:r>
        <w:t xml:space="preserve"> to provide specific data on other sexual</w:t>
      </w:r>
      <w:r w:rsidR="006852D5">
        <w:t xml:space="preserve"> orientations</w:t>
      </w:r>
      <w:r w:rsidR="00812981">
        <w:t>,</w:t>
      </w:r>
      <w:r w:rsidR="006852D5">
        <w:t xml:space="preserve"> </w:t>
      </w:r>
      <w:r>
        <w:t>such as ‘queer’</w:t>
      </w:r>
      <w:r w:rsidR="006852D5">
        <w:t xml:space="preserve"> or ‘pansexual’.</w:t>
      </w:r>
      <w:r>
        <w:t xml:space="preserve"> </w:t>
      </w:r>
    </w:p>
    <w:p w14:paraId="1E495B6E" w14:textId="2B77E101" w:rsidR="00650902" w:rsidRDefault="00650902" w:rsidP="00650902">
      <w:pPr>
        <w:pStyle w:val="ListBullet0"/>
      </w:pPr>
      <w:r>
        <w:t xml:space="preserve">The Second Australian Study of Health and Relationships (ASHR2) found that a higher proportion of Australians reported attraction or sexual interaction with people of the same gender – approximately 19% of </w:t>
      </w:r>
      <w:r w:rsidR="0022564B">
        <w:t>women</w:t>
      </w:r>
      <w:r>
        <w:t xml:space="preserve"> and 9% of m</w:t>
      </w:r>
      <w:r w:rsidR="0022564B">
        <w:t>en</w:t>
      </w:r>
      <w:r>
        <w:t>.</w:t>
      </w:r>
      <w:r>
        <w:rPr>
          <w:rStyle w:val="FootnoteReference"/>
        </w:rPr>
        <w:footnoteReference w:id="21"/>
      </w:r>
      <w:r>
        <w:t xml:space="preserve"> </w:t>
      </w:r>
    </w:p>
    <w:p w14:paraId="7F455DC1" w14:textId="77777777" w:rsidR="00650902" w:rsidRDefault="00650902" w:rsidP="00650902">
      <w:pPr>
        <w:pStyle w:val="ListBullet0"/>
      </w:pPr>
      <w:r>
        <w:lastRenderedPageBreak/>
        <w:t>In the absence of Australian data, roughly 1% of people participating in international research have reported identifying as ‘transgender’. The studies available reportedly do not capture data on broader gender diverse identities or expressions.</w:t>
      </w:r>
      <w:r>
        <w:rPr>
          <w:rStyle w:val="FootnoteReference"/>
        </w:rPr>
        <w:footnoteReference w:id="22"/>
      </w:r>
    </w:p>
    <w:p w14:paraId="7E9B8DA0" w14:textId="660AC042" w:rsidR="00527CAE" w:rsidRDefault="00B93469" w:rsidP="001F1B10">
      <w:pPr>
        <w:rPr>
          <w:lang w:eastAsia="en-AU"/>
        </w:rPr>
      </w:pPr>
      <w:r>
        <w:rPr>
          <w:lang w:eastAsia="en-AU"/>
        </w:rPr>
        <w:t xml:space="preserve">Limited Australian population studies have also provided more detailed demographic data </w:t>
      </w:r>
      <w:r w:rsidR="000E40B5">
        <w:rPr>
          <w:lang w:eastAsia="en-AU"/>
        </w:rPr>
        <w:t>on gay, lesbian, bisexual</w:t>
      </w:r>
      <w:r w:rsidR="00EF12FB">
        <w:rPr>
          <w:lang w:eastAsia="en-AU"/>
        </w:rPr>
        <w:t>,</w:t>
      </w:r>
      <w:r w:rsidR="000E40B5">
        <w:rPr>
          <w:lang w:eastAsia="en-AU"/>
        </w:rPr>
        <w:t xml:space="preserve"> and other </w:t>
      </w:r>
      <w:r w:rsidR="00164EE9">
        <w:rPr>
          <w:lang w:eastAsia="en-AU"/>
        </w:rPr>
        <w:t>sexual orientations</w:t>
      </w:r>
      <w:r w:rsidR="00AE70F5">
        <w:rPr>
          <w:lang w:eastAsia="en-AU"/>
        </w:rPr>
        <w:t xml:space="preserve"> (GLB+)</w:t>
      </w:r>
      <w:r>
        <w:rPr>
          <w:lang w:eastAsia="en-AU"/>
        </w:rPr>
        <w:t>. For example, the GSS indicated that Australia’s</w:t>
      </w:r>
      <w:r w:rsidR="00AE70F5">
        <w:rPr>
          <w:lang w:eastAsia="en-AU"/>
        </w:rPr>
        <w:t xml:space="preserve"> GLB+</w:t>
      </w:r>
      <w:r>
        <w:rPr>
          <w:lang w:eastAsia="en-AU"/>
        </w:rPr>
        <w:t xml:space="preserve"> p</w:t>
      </w:r>
      <w:r w:rsidR="00045471">
        <w:rPr>
          <w:lang w:eastAsia="en-AU"/>
        </w:rPr>
        <w:t xml:space="preserve">opulation has a relatively young age profile compared to the general population. </w:t>
      </w:r>
      <w:r w:rsidR="004571FA" w:rsidRPr="00C009E4">
        <w:rPr>
          <w:lang w:eastAsia="en-AU"/>
        </w:rPr>
        <w:t>As</w:t>
      </w:r>
      <w:r w:rsidR="004571FA" w:rsidRPr="00C009E4" w:rsidDel="00E762D2">
        <w:rPr>
          <w:lang w:eastAsia="en-AU"/>
        </w:rPr>
        <w:t xml:space="preserve"> </w:t>
      </w:r>
      <w:r w:rsidR="00E762D2">
        <w:rPr>
          <w:lang w:eastAsia="en-AU"/>
        </w:rPr>
        <w:t>outlined</w:t>
      </w:r>
      <w:r w:rsidR="00E762D2" w:rsidRPr="00C009E4">
        <w:rPr>
          <w:lang w:eastAsia="en-AU"/>
        </w:rPr>
        <w:t xml:space="preserve"> </w:t>
      </w:r>
      <w:r w:rsidR="004571FA" w:rsidRPr="00C009E4">
        <w:rPr>
          <w:lang w:eastAsia="en-AU"/>
        </w:rPr>
        <w:t xml:space="preserve">in </w:t>
      </w:r>
      <w:r w:rsidR="0008276B">
        <w:rPr>
          <w:lang w:eastAsia="en-AU"/>
        </w:rPr>
        <w:t>Figure</w:t>
      </w:r>
      <w:r w:rsidR="0008276B" w:rsidRPr="00C009E4">
        <w:rPr>
          <w:lang w:eastAsia="en-AU"/>
        </w:rPr>
        <w:t xml:space="preserve"> </w:t>
      </w:r>
      <w:r w:rsidR="006C442E" w:rsidRPr="00C009E4">
        <w:rPr>
          <w:lang w:eastAsia="en-AU"/>
        </w:rPr>
        <w:t>2</w:t>
      </w:r>
      <w:r w:rsidR="004571FA" w:rsidRPr="00C009E4">
        <w:rPr>
          <w:lang w:eastAsia="en-AU"/>
        </w:rPr>
        <w:t>,</w:t>
      </w:r>
      <w:r w:rsidR="00B960A0" w:rsidRPr="00C009E4">
        <w:rPr>
          <w:lang w:eastAsia="en-AU"/>
        </w:rPr>
        <w:t xml:space="preserve"> </w:t>
      </w:r>
      <w:r w:rsidR="006B607B" w:rsidRPr="00DA114A">
        <w:rPr>
          <w:lang w:eastAsia="en-AU"/>
        </w:rPr>
        <w:t>o</w:t>
      </w:r>
      <w:r w:rsidR="00BC0787" w:rsidRPr="0086639C">
        <w:rPr>
          <w:lang w:eastAsia="en-AU"/>
        </w:rPr>
        <w:t>ver</w:t>
      </w:r>
      <w:r w:rsidR="00BC0787" w:rsidRPr="00DA114A">
        <w:rPr>
          <w:lang w:eastAsia="en-AU"/>
        </w:rPr>
        <w:t xml:space="preserve"> </w:t>
      </w:r>
      <w:r w:rsidR="00BC0787" w:rsidRPr="00DA114A" w:rsidDel="000E1C0A">
        <w:rPr>
          <w:lang w:eastAsia="en-AU"/>
        </w:rPr>
        <w:t>three-quarters</w:t>
      </w:r>
      <w:r w:rsidR="00BC0787" w:rsidRPr="0086639C" w:rsidDel="000E1C0A">
        <w:rPr>
          <w:lang w:eastAsia="en-AU"/>
        </w:rPr>
        <w:t xml:space="preserve"> </w:t>
      </w:r>
      <w:r w:rsidR="0038357D" w:rsidRPr="00DA114A">
        <w:rPr>
          <w:lang w:eastAsia="en-AU"/>
        </w:rPr>
        <w:t>(</w:t>
      </w:r>
      <w:r w:rsidR="00E82069" w:rsidRPr="0086639C">
        <w:rPr>
          <w:lang w:eastAsia="en-AU"/>
        </w:rPr>
        <w:t>7</w:t>
      </w:r>
      <w:r w:rsidR="00842863" w:rsidRPr="00DA114A">
        <w:rPr>
          <w:lang w:eastAsia="en-AU"/>
        </w:rPr>
        <w:t>8</w:t>
      </w:r>
      <w:r w:rsidR="00E82069" w:rsidRPr="0086639C">
        <w:rPr>
          <w:lang w:eastAsia="en-AU"/>
        </w:rPr>
        <w:t>%</w:t>
      </w:r>
      <w:r w:rsidR="0038357D" w:rsidRPr="00DA114A">
        <w:rPr>
          <w:lang w:eastAsia="en-AU"/>
        </w:rPr>
        <w:t>)</w:t>
      </w:r>
      <w:r w:rsidR="00F31E9C" w:rsidRPr="0086639C">
        <w:rPr>
          <w:lang w:eastAsia="en-AU"/>
        </w:rPr>
        <w:t xml:space="preserve"> </w:t>
      </w:r>
      <w:r w:rsidR="008C70DF" w:rsidRPr="00DA114A">
        <w:rPr>
          <w:lang w:eastAsia="en-AU"/>
        </w:rPr>
        <w:t>GLB+</w:t>
      </w:r>
      <w:r w:rsidR="00954BC3" w:rsidRPr="0086639C">
        <w:rPr>
          <w:lang w:eastAsia="en-AU"/>
        </w:rPr>
        <w:t xml:space="preserve"> </w:t>
      </w:r>
      <w:r w:rsidR="00DC5F0D" w:rsidRPr="0086639C">
        <w:rPr>
          <w:lang w:eastAsia="en-AU"/>
        </w:rPr>
        <w:t>respondents</w:t>
      </w:r>
      <w:r w:rsidR="00F31E9C" w:rsidRPr="0086639C">
        <w:rPr>
          <w:lang w:eastAsia="en-AU"/>
        </w:rPr>
        <w:t xml:space="preserve"> </w:t>
      </w:r>
      <w:r w:rsidR="00954BC3" w:rsidRPr="0086639C">
        <w:rPr>
          <w:lang w:eastAsia="en-AU"/>
        </w:rPr>
        <w:t xml:space="preserve">were </w:t>
      </w:r>
      <w:r w:rsidR="00F31E9C" w:rsidRPr="0086639C">
        <w:rPr>
          <w:lang w:eastAsia="en-AU"/>
        </w:rPr>
        <w:t>under 40 years</w:t>
      </w:r>
      <w:r w:rsidR="00CC19A2" w:rsidRPr="0086639C">
        <w:rPr>
          <w:lang w:eastAsia="en-AU"/>
        </w:rPr>
        <w:t xml:space="preserve"> of age</w:t>
      </w:r>
      <w:r w:rsidR="000C3186" w:rsidRPr="0086639C">
        <w:rPr>
          <w:lang w:eastAsia="en-AU"/>
        </w:rPr>
        <w:t xml:space="preserve">, </w:t>
      </w:r>
      <w:r w:rsidR="008201D3">
        <w:rPr>
          <w:lang w:eastAsia="en-AU"/>
        </w:rPr>
        <w:t>while only</w:t>
      </w:r>
      <w:r w:rsidR="000C3186" w:rsidRPr="0086639C">
        <w:rPr>
          <w:lang w:eastAsia="en-AU"/>
        </w:rPr>
        <w:t xml:space="preserve"> </w:t>
      </w:r>
      <w:r w:rsidR="00A21B94" w:rsidRPr="0086639C">
        <w:rPr>
          <w:lang w:eastAsia="en-AU"/>
        </w:rPr>
        <w:t>40</w:t>
      </w:r>
      <w:r w:rsidR="0086639C" w:rsidRPr="00DA114A">
        <w:rPr>
          <w:lang w:eastAsia="en-AU"/>
        </w:rPr>
        <w:t>%</w:t>
      </w:r>
      <w:r w:rsidR="00A21B94" w:rsidRPr="0086639C">
        <w:rPr>
          <w:lang w:eastAsia="en-AU"/>
        </w:rPr>
        <w:t xml:space="preserve"> of </w:t>
      </w:r>
      <w:r w:rsidR="00E82069" w:rsidRPr="0086639C">
        <w:rPr>
          <w:lang w:eastAsia="en-AU"/>
        </w:rPr>
        <w:t xml:space="preserve">respondents who </w:t>
      </w:r>
      <w:r w:rsidR="003D3F27" w:rsidRPr="0086639C">
        <w:rPr>
          <w:lang w:eastAsia="en-AU"/>
        </w:rPr>
        <w:t xml:space="preserve">identified as </w:t>
      </w:r>
      <w:r w:rsidR="7AD546B4" w:rsidRPr="0086639C">
        <w:rPr>
          <w:lang w:eastAsia="en-AU"/>
        </w:rPr>
        <w:t xml:space="preserve">heterosexual </w:t>
      </w:r>
      <w:r w:rsidR="008201D3">
        <w:rPr>
          <w:lang w:eastAsia="en-AU"/>
        </w:rPr>
        <w:t>were under 40 years of age</w:t>
      </w:r>
      <w:r w:rsidR="00673374" w:rsidRPr="0086639C">
        <w:rPr>
          <w:lang w:eastAsia="en-AU"/>
        </w:rPr>
        <w:t>.</w:t>
      </w:r>
      <w:r w:rsidR="00D14E39" w:rsidRPr="006C442E">
        <w:rPr>
          <w:rStyle w:val="FootnoteReference"/>
          <w:lang w:eastAsia="en-AU"/>
        </w:rPr>
        <w:footnoteReference w:id="23"/>
      </w:r>
      <w:r w:rsidR="00673374">
        <w:rPr>
          <w:lang w:eastAsia="en-AU"/>
        </w:rPr>
        <w:t xml:space="preserve"> </w:t>
      </w:r>
    </w:p>
    <w:p w14:paraId="13193165" w14:textId="193748CD" w:rsidR="006C442E" w:rsidRDefault="00373F3F" w:rsidP="00373F3F">
      <w:pPr>
        <w:pStyle w:val="Caption"/>
      </w:pPr>
      <w:r>
        <w:t xml:space="preserve">Table </w:t>
      </w:r>
      <w:r>
        <w:fldChar w:fldCharType="begin"/>
      </w:r>
      <w:r>
        <w:instrText xml:space="preserve"> SEQ Table \* ARABIC </w:instrText>
      </w:r>
      <w:r>
        <w:fldChar w:fldCharType="separate"/>
      </w:r>
      <w:r>
        <w:rPr>
          <w:noProof/>
        </w:rPr>
        <w:t>2</w:t>
      </w:r>
      <w:r>
        <w:fldChar w:fldCharType="end"/>
      </w:r>
      <w:r w:rsidR="00632272">
        <w:t>: Age profile of sexually diverse people in Australia</w:t>
      </w:r>
      <w:r w:rsidR="006C442E">
        <w:t xml:space="preserve"> </w:t>
      </w:r>
    </w:p>
    <w:tbl>
      <w:tblPr>
        <w:tblStyle w:val="TableGridLight"/>
        <w:tblW w:w="0" w:type="auto"/>
        <w:tblLook w:val="04A0" w:firstRow="1" w:lastRow="0" w:firstColumn="1" w:lastColumn="0" w:noHBand="0" w:noVBand="1"/>
      </w:tblPr>
      <w:tblGrid>
        <w:gridCol w:w="3222"/>
        <w:gridCol w:w="1224"/>
        <w:gridCol w:w="1224"/>
        <w:gridCol w:w="1224"/>
        <w:gridCol w:w="1135"/>
        <w:gridCol w:w="987"/>
      </w:tblGrid>
      <w:tr w:rsidR="00DD2243" w:rsidRPr="00340715" w14:paraId="3077E5A2" w14:textId="68D5A21C" w:rsidTr="00186784">
        <w:trPr>
          <w:tblHeader/>
        </w:trPr>
        <w:tc>
          <w:tcPr>
            <w:tcW w:w="0" w:type="auto"/>
          </w:tcPr>
          <w:p w14:paraId="25AB35DC" w14:textId="77777777" w:rsidR="00DD2243" w:rsidRPr="00340715" w:rsidRDefault="00DD2243" w:rsidP="00C26DEF">
            <w:pPr>
              <w:pStyle w:val="TableText"/>
              <w:rPr>
                <w:sz w:val="20"/>
                <w:szCs w:val="20"/>
                <w:lang w:eastAsia="en-AU"/>
              </w:rPr>
            </w:pPr>
          </w:p>
        </w:tc>
        <w:tc>
          <w:tcPr>
            <w:tcW w:w="0" w:type="auto"/>
          </w:tcPr>
          <w:p w14:paraId="0377B20F" w14:textId="355DA3A5" w:rsidR="00DD2243" w:rsidRPr="00340715" w:rsidRDefault="00DD2243" w:rsidP="00820FA2">
            <w:pPr>
              <w:pStyle w:val="TableText"/>
              <w:jc w:val="center"/>
              <w:rPr>
                <w:sz w:val="20"/>
                <w:szCs w:val="20"/>
                <w:lang w:eastAsia="en-AU"/>
              </w:rPr>
            </w:pPr>
            <w:r w:rsidRPr="00340715">
              <w:rPr>
                <w:sz w:val="20"/>
                <w:szCs w:val="20"/>
                <w:lang w:eastAsia="en-AU"/>
              </w:rPr>
              <w:t>15-24 years</w:t>
            </w:r>
          </w:p>
        </w:tc>
        <w:tc>
          <w:tcPr>
            <w:tcW w:w="0" w:type="auto"/>
          </w:tcPr>
          <w:p w14:paraId="21F69788" w14:textId="742FF13C" w:rsidR="00DD2243" w:rsidRPr="00340715" w:rsidRDefault="00DD2243" w:rsidP="00820FA2">
            <w:pPr>
              <w:pStyle w:val="TableText"/>
              <w:jc w:val="center"/>
              <w:rPr>
                <w:sz w:val="20"/>
                <w:szCs w:val="20"/>
                <w:lang w:eastAsia="en-AU"/>
              </w:rPr>
            </w:pPr>
            <w:r w:rsidRPr="00340715">
              <w:rPr>
                <w:sz w:val="20"/>
                <w:szCs w:val="20"/>
                <w:lang w:eastAsia="en-AU"/>
              </w:rPr>
              <w:t>25-39 years</w:t>
            </w:r>
          </w:p>
        </w:tc>
        <w:tc>
          <w:tcPr>
            <w:tcW w:w="0" w:type="auto"/>
          </w:tcPr>
          <w:p w14:paraId="0C200B16" w14:textId="1E64EA48" w:rsidR="00DD2243" w:rsidRPr="00340715" w:rsidRDefault="00DD2243" w:rsidP="00820FA2">
            <w:pPr>
              <w:pStyle w:val="TableText"/>
              <w:jc w:val="center"/>
              <w:rPr>
                <w:sz w:val="20"/>
                <w:szCs w:val="20"/>
                <w:lang w:eastAsia="en-AU"/>
              </w:rPr>
            </w:pPr>
            <w:r w:rsidRPr="00340715">
              <w:rPr>
                <w:sz w:val="20"/>
                <w:szCs w:val="20"/>
                <w:lang w:eastAsia="en-AU"/>
              </w:rPr>
              <w:t>40-54 years</w:t>
            </w:r>
          </w:p>
        </w:tc>
        <w:tc>
          <w:tcPr>
            <w:tcW w:w="0" w:type="auto"/>
          </w:tcPr>
          <w:p w14:paraId="4455F3D4" w14:textId="2E1DA705" w:rsidR="00DD2243" w:rsidRPr="00340715" w:rsidRDefault="00DD2243" w:rsidP="00820FA2">
            <w:pPr>
              <w:pStyle w:val="TableText"/>
              <w:jc w:val="center"/>
              <w:rPr>
                <w:sz w:val="20"/>
                <w:szCs w:val="20"/>
                <w:lang w:eastAsia="en-AU"/>
              </w:rPr>
            </w:pPr>
            <w:r w:rsidRPr="00340715">
              <w:rPr>
                <w:sz w:val="20"/>
                <w:szCs w:val="20"/>
                <w:lang w:eastAsia="en-AU"/>
              </w:rPr>
              <w:t>55+ years</w:t>
            </w:r>
          </w:p>
        </w:tc>
        <w:tc>
          <w:tcPr>
            <w:tcW w:w="0" w:type="auto"/>
          </w:tcPr>
          <w:p w14:paraId="66B8EDA7" w14:textId="729D3036" w:rsidR="00DD2243" w:rsidRPr="00340715" w:rsidRDefault="00DD2243" w:rsidP="00820FA2">
            <w:pPr>
              <w:pStyle w:val="TableText"/>
              <w:jc w:val="center"/>
              <w:rPr>
                <w:sz w:val="20"/>
                <w:szCs w:val="20"/>
                <w:lang w:eastAsia="en-AU"/>
              </w:rPr>
            </w:pPr>
            <w:r>
              <w:rPr>
                <w:sz w:val="20"/>
                <w:szCs w:val="20"/>
                <w:lang w:eastAsia="en-AU"/>
              </w:rPr>
              <w:t>Totals</w:t>
            </w:r>
          </w:p>
        </w:tc>
      </w:tr>
      <w:tr w:rsidR="00DD2243" w:rsidRPr="00340715" w14:paraId="1F2AD798" w14:textId="545D0657" w:rsidTr="00186784">
        <w:trPr>
          <w:trHeight w:val="713"/>
        </w:trPr>
        <w:tc>
          <w:tcPr>
            <w:tcW w:w="0" w:type="auto"/>
          </w:tcPr>
          <w:p w14:paraId="4576B514" w14:textId="2C38EB5F" w:rsidR="00DD2243" w:rsidRPr="00340715" w:rsidRDefault="0064061D" w:rsidP="003D3F27">
            <w:pPr>
              <w:pStyle w:val="TableText"/>
              <w:rPr>
                <w:sz w:val="20"/>
                <w:szCs w:val="20"/>
                <w:lang w:eastAsia="en-AU"/>
              </w:rPr>
            </w:pPr>
            <w:r>
              <w:rPr>
                <w:sz w:val="20"/>
                <w:szCs w:val="20"/>
                <w:lang w:eastAsia="en-AU"/>
              </w:rPr>
              <w:t>Gay, Lesbian, Bisexual and Other</w:t>
            </w:r>
            <w:r w:rsidR="0021515B">
              <w:rPr>
                <w:sz w:val="20"/>
                <w:szCs w:val="20"/>
                <w:lang w:eastAsia="en-AU"/>
              </w:rPr>
              <w:t xml:space="preserve"> </w:t>
            </w:r>
            <w:r w:rsidR="0021515B" w:rsidRPr="0021515B">
              <w:rPr>
                <w:sz w:val="14"/>
                <w:szCs w:val="14"/>
                <w:lang w:eastAsia="en-AU"/>
              </w:rPr>
              <w:t>(as defined by ABS)</w:t>
            </w:r>
          </w:p>
        </w:tc>
        <w:tc>
          <w:tcPr>
            <w:tcW w:w="0" w:type="auto"/>
          </w:tcPr>
          <w:p w14:paraId="760DA232" w14:textId="1EAA62B2" w:rsidR="00DD2243" w:rsidRPr="00340715" w:rsidRDefault="00DD2243" w:rsidP="003D3F27">
            <w:pPr>
              <w:pStyle w:val="TableText"/>
              <w:jc w:val="center"/>
              <w:rPr>
                <w:sz w:val="20"/>
                <w:szCs w:val="20"/>
                <w:lang w:eastAsia="en-AU"/>
              </w:rPr>
            </w:pPr>
            <w:r w:rsidRPr="00340715">
              <w:rPr>
                <w:sz w:val="20"/>
                <w:szCs w:val="20"/>
                <w:lang w:eastAsia="en-AU"/>
              </w:rPr>
              <w:t>29%</w:t>
            </w:r>
          </w:p>
        </w:tc>
        <w:tc>
          <w:tcPr>
            <w:tcW w:w="0" w:type="auto"/>
          </w:tcPr>
          <w:p w14:paraId="04144184" w14:textId="4FF723C3" w:rsidR="00DD2243" w:rsidRPr="00340715" w:rsidRDefault="001F658B" w:rsidP="003D3F27">
            <w:pPr>
              <w:pStyle w:val="TableText"/>
              <w:jc w:val="center"/>
              <w:rPr>
                <w:sz w:val="20"/>
                <w:szCs w:val="20"/>
                <w:lang w:eastAsia="en-AU"/>
              </w:rPr>
            </w:pPr>
            <w:r w:rsidRPr="00340715">
              <w:rPr>
                <w:sz w:val="20"/>
                <w:szCs w:val="20"/>
                <w:lang w:eastAsia="en-AU"/>
              </w:rPr>
              <w:t>4</w:t>
            </w:r>
            <w:r w:rsidR="00A120DC">
              <w:rPr>
                <w:sz w:val="20"/>
                <w:szCs w:val="20"/>
                <w:lang w:eastAsia="en-AU"/>
              </w:rPr>
              <w:t>9</w:t>
            </w:r>
            <w:r w:rsidR="00DD2243" w:rsidRPr="00340715">
              <w:rPr>
                <w:sz w:val="20"/>
                <w:szCs w:val="20"/>
                <w:lang w:eastAsia="en-AU"/>
              </w:rPr>
              <w:t>%</w:t>
            </w:r>
          </w:p>
        </w:tc>
        <w:tc>
          <w:tcPr>
            <w:tcW w:w="0" w:type="auto"/>
          </w:tcPr>
          <w:p w14:paraId="18222744" w14:textId="5723D3DE" w:rsidR="00DD2243" w:rsidRPr="00340715" w:rsidRDefault="00DD2243" w:rsidP="003D3F27">
            <w:pPr>
              <w:pStyle w:val="TableText"/>
              <w:jc w:val="center"/>
              <w:rPr>
                <w:sz w:val="20"/>
                <w:szCs w:val="20"/>
                <w:lang w:eastAsia="en-AU"/>
              </w:rPr>
            </w:pPr>
            <w:r w:rsidRPr="00340715">
              <w:rPr>
                <w:sz w:val="20"/>
                <w:szCs w:val="20"/>
                <w:lang w:eastAsia="en-AU"/>
              </w:rPr>
              <w:t>13%</w:t>
            </w:r>
          </w:p>
        </w:tc>
        <w:tc>
          <w:tcPr>
            <w:tcW w:w="0" w:type="auto"/>
          </w:tcPr>
          <w:p w14:paraId="71492C06" w14:textId="210D9DA0" w:rsidR="00DD2243" w:rsidRPr="00340715" w:rsidRDefault="008821F1" w:rsidP="003D3F27">
            <w:pPr>
              <w:pStyle w:val="TableText"/>
              <w:jc w:val="center"/>
              <w:rPr>
                <w:sz w:val="20"/>
                <w:szCs w:val="20"/>
                <w:lang w:eastAsia="en-AU"/>
              </w:rPr>
            </w:pPr>
            <w:r w:rsidRPr="00340715">
              <w:rPr>
                <w:sz w:val="20"/>
                <w:szCs w:val="20"/>
                <w:lang w:eastAsia="en-AU"/>
              </w:rPr>
              <w:t>1</w:t>
            </w:r>
            <w:r w:rsidR="00AF203B">
              <w:rPr>
                <w:sz w:val="20"/>
                <w:szCs w:val="20"/>
                <w:lang w:eastAsia="en-AU"/>
              </w:rPr>
              <w:t>2</w:t>
            </w:r>
            <w:r w:rsidR="00DD2243" w:rsidRPr="00340715">
              <w:rPr>
                <w:sz w:val="20"/>
                <w:szCs w:val="20"/>
                <w:lang w:eastAsia="en-AU"/>
              </w:rPr>
              <w:t>%</w:t>
            </w:r>
          </w:p>
        </w:tc>
        <w:tc>
          <w:tcPr>
            <w:tcW w:w="0" w:type="auto"/>
          </w:tcPr>
          <w:p w14:paraId="0FC91BCA" w14:textId="149B2F3F" w:rsidR="00DD2243" w:rsidRPr="00DA114A" w:rsidRDefault="00A16D9A" w:rsidP="003D3F27">
            <w:pPr>
              <w:pStyle w:val="TableText"/>
              <w:jc w:val="center"/>
              <w:rPr>
                <w:b/>
                <w:sz w:val="20"/>
                <w:szCs w:val="20"/>
                <w:lang w:eastAsia="en-AU"/>
              </w:rPr>
            </w:pPr>
            <w:r w:rsidRPr="00DA114A">
              <w:rPr>
                <w:b/>
                <w:sz w:val="20"/>
                <w:szCs w:val="20"/>
                <w:lang w:eastAsia="en-AU"/>
              </w:rPr>
              <w:t>100%</w:t>
            </w:r>
          </w:p>
        </w:tc>
      </w:tr>
      <w:tr w:rsidR="00DD2243" w:rsidRPr="00340715" w14:paraId="5FEACD34" w14:textId="3AD4DECF" w:rsidTr="00186784">
        <w:trPr>
          <w:trHeight w:val="747"/>
        </w:trPr>
        <w:tc>
          <w:tcPr>
            <w:tcW w:w="0" w:type="auto"/>
          </w:tcPr>
          <w:p w14:paraId="4AFEF2FA" w14:textId="06075BD0" w:rsidR="00DD2243" w:rsidRPr="00340715" w:rsidRDefault="00DD2243" w:rsidP="003D3F27">
            <w:pPr>
              <w:pStyle w:val="TableText"/>
              <w:rPr>
                <w:sz w:val="20"/>
                <w:szCs w:val="20"/>
                <w:lang w:eastAsia="en-AU"/>
              </w:rPr>
            </w:pPr>
            <w:r w:rsidRPr="00340715">
              <w:rPr>
                <w:sz w:val="20"/>
                <w:szCs w:val="20"/>
                <w:lang w:eastAsia="en-AU"/>
              </w:rPr>
              <w:t>Heterosexual</w:t>
            </w:r>
          </w:p>
        </w:tc>
        <w:tc>
          <w:tcPr>
            <w:tcW w:w="0" w:type="auto"/>
          </w:tcPr>
          <w:p w14:paraId="31BC5017" w14:textId="20704839" w:rsidR="00DD2243" w:rsidRPr="00340715" w:rsidRDefault="00DD2243" w:rsidP="003D3F27">
            <w:pPr>
              <w:pStyle w:val="TableText"/>
              <w:jc w:val="center"/>
              <w:rPr>
                <w:sz w:val="20"/>
                <w:szCs w:val="20"/>
                <w:lang w:eastAsia="en-AU"/>
              </w:rPr>
            </w:pPr>
            <w:r w:rsidRPr="00340715">
              <w:rPr>
                <w:sz w:val="20"/>
                <w:szCs w:val="20"/>
                <w:lang w:eastAsia="en-AU"/>
              </w:rPr>
              <w:t>14%</w:t>
            </w:r>
          </w:p>
        </w:tc>
        <w:tc>
          <w:tcPr>
            <w:tcW w:w="0" w:type="auto"/>
          </w:tcPr>
          <w:p w14:paraId="20595215" w14:textId="0E8F7F5D" w:rsidR="00DD2243" w:rsidRPr="00340715" w:rsidRDefault="00DD2243" w:rsidP="003D3F27">
            <w:pPr>
              <w:pStyle w:val="TableText"/>
              <w:jc w:val="center"/>
              <w:rPr>
                <w:sz w:val="20"/>
                <w:szCs w:val="20"/>
                <w:lang w:eastAsia="en-AU"/>
              </w:rPr>
            </w:pPr>
            <w:r w:rsidRPr="00340715">
              <w:rPr>
                <w:sz w:val="20"/>
                <w:szCs w:val="20"/>
                <w:lang w:eastAsia="en-AU"/>
              </w:rPr>
              <w:t>26%</w:t>
            </w:r>
          </w:p>
        </w:tc>
        <w:tc>
          <w:tcPr>
            <w:tcW w:w="0" w:type="auto"/>
          </w:tcPr>
          <w:p w14:paraId="1DAEAD4C" w14:textId="3215BF4B" w:rsidR="00DD2243" w:rsidRPr="00340715" w:rsidRDefault="00DD2243" w:rsidP="003D3F27">
            <w:pPr>
              <w:pStyle w:val="TableText"/>
              <w:jc w:val="center"/>
              <w:rPr>
                <w:sz w:val="20"/>
                <w:szCs w:val="20"/>
                <w:lang w:eastAsia="en-AU"/>
              </w:rPr>
            </w:pPr>
            <w:r w:rsidRPr="00340715">
              <w:rPr>
                <w:sz w:val="20"/>
                <w:szCs w:val="20"/>
                <w:lang w:eastAsia="en-AU"/>
              </w:rPr>
              <w:t>24%</w:t>
            </w:r>
          </w:p>
        </w:tc>
        <w:tc>
          <w:tcPr>
            <w:tcW w:w="0" w:type="auto"/>
          </w:tcPr>
          <w:p w14:paraId="513B02E4" w14:textId="0758760B" w:rsidR="00DD2243" w:rsidRPr="00340715" w:rsidRDefault="00DD2243" w:rsidP="003D3F27">
            <w:pPr>
              <w:pStyle w:val="TableText"/>
              <w:jc w:val="center"/>
              <w:rPr>
                <w:sz w:val="20"/>
                <w:szCs w:val="20"/>
                <w:lang w:eastAsia="en-AU"/>
              </w:rPr>
            </w:pPr>
            <w:r w:rsidRPr="00340715">
              <w:rPr>
                <w:sz w:val="20"/>
                <w:szCs w:val="20"/>
                <w:lang w:eastAsia="en-AU"/>
              </w:rPr>
              <w:t>35%</w:t>
            </w:r>
          </w:p>
        </w:tc>
        <w:tc>
          <w:tcPr>
            <w:tcW w:w="0" w:type="auto"/>
          </w:tcPr>
          <w:p w14:paraId="137483B1" w14:textId="07E0B378" w:rsidR="00DD2243" w:rsidRPr="00DA114A" w:rsidRDefault="001801B5" w:rsidP="003D3F27">
            <w:pPr>
              <w:pStyle w:val="TableText"/>
              <w:jc w:val="center"/>
              <w:rPr>
                <w:b/>
                <w:sz w:val="20"/>
                <w:szCs w:val="20"/>
                <w:lang w:eastAsia="en-AU"/>
              </w:rPr>
            </w:pPr>
            <w:r w:rsidRPr="00DA114A">
              <w:rPr>
                <w:b/>
                <w:sz w:val="20"/>
                <w:szCs w:val="20"/>
                <w:lang w:eastAsia="en-AU"/>
              </w:rPr>
              <w:t>100%</w:t>
            </w:r>
          </w:p>
        </w:tc>
      </w:tr>
    </w:tbl>
    <w:p w14:paraId="5DFF62D6" w14:textId="13A43DF4" w:rsidR="00260D07" w:rsidRPr="001B762F" w:rsidRDefault="002F3F9B" w:rsidP="001B762F">
      <w:pPr>
        <w:pStyle w:val="FigureCaption"/>
      </w:pPr>
      <w:r w:rsidRPr="001B762F">
        <w:t>Source: ABS, General Social Survey 2014, 2019 and 2020 (Canberra: ABS, 2021); Parliamentary Library calculations.</w:t>
      </w:r>
    </w:p>
    <w:p w14:paraId="0E4E3712" w14:textId="5F0C9F56" w:rsidR="00913B7D" w:rsidRDefault="005C2D3B" w:rsidP="00312596">
      <w:pPr>
        <w:rPr>
          <w:lang w:eastAsia="en-AU"/>
        </w:rPr>
      </w:pPr>
      <w:r>
        <w:rPr>
          <w:lang w:eastAsia="en-AU"/>
        </w:rPr>
        <w:t>The GSS also found that</w:t>
      </w:r>
      <w:r w:rsidR="00E14F44">
        <w:rPr>
          <w:lang w:eastAsia="en-AU"/>
        </w:rPr>
        <w:t xml:space="preserve"> t</w:t>
      </w:r>
      <w:r w:rsidR="00E327C3">
        <w:rPr>
          <w:lang w:eastAsia="en-AU"/>
        </w:rPr>
        <w:t xml:space="preserve">here were no notable differences between the </w:t>
      </w:r>
      <w:r w:rsidR="008201D3">
        <w:rPr>
          <w:lang w:eastAsia="en-AU"/>
        </w:rPr>
        <w:t>GLB+</w:t>
      </w:r>
      <w:r w:rsidR="0046557A">
        <w:rPr>
          <w:lang w:eastAsia="en-AU"/>
        </w:rPr>
        <w:t xml:space="preserve"> </w:t>
      </w:r>
      <w:r w:rsidR="00B7487B">
        <w:rPr>
          <w:lang w:eastAsia="en-AU"/>
        </w:rPr>
        <w:t xml:space="preserve">and </w:t>
      </w:r>
      <w:r w:rsidR="71126110" w:rsidRPr="2816B3E4">
        <w:rPr>
          <w:lang w:eastAsia="en-AU"/>
        </w:rPr>
        <w:t xml:space="preserve">heterosexual </w:t>
      </w:r>
      <w:r w:rsidR="00B7487B">
        <w:rPr>
          <w:lang w:eastAsia="en-AU"/>
        </w:rPr>
        <w:t>respondents in terms of family composition</w:t>
      </w:r>
      <w:r w:rsidR="004155E1">
        <w:rPr>
          <w:lang w:eastAsia="en-AU"/>
        </w:rPr>
        <w:t xml:space="preserve">. However, </w:t>
      </w:r>
      <w:r w:rsidR="000C6F74">
        <w:rPr>
          <w:lang w:eastAsia="en-AU"/>
        </w:rPr>
        <w:t xml:space="preserve">a much lower proportion of </w:t>
      </w:r>
      <w:r w:rsidR="008201D3">
        <w:rPr>
          <w:lang w:eastAsia="en-AU"/>
        </w:rPr>
        <w:t>GLB+</w:t>
      </w:r>
      <w:r w:rsidR="000C6F74">
        <w:rPr>
          <w:lang w:eastAsia="en-AU"/>
        </w:rPr>
        <w:t xml:space="preserve"> reported being in a registered marriage (</w:t>
      </w:r>
      <w:r w:rsidR="000D33AF">
        <w:rPr>
          <w:lang w:eastAsia="en-AU"/>
        </w:rPr>
        <w:t xml:space="preserve">over </w:t>
      </w:r>
      <w:r w:rsidR="00283DDE">
        <w:rPr>
          <w:lang w:eastAsia="en-AU"/>
        </w:rPr>
        <w:t xml:space="preserve">11%, compared to </w:t>
      </w:r>
      <w:r w:rsidR="006A613D">
        <w:rPr>
          <w:lang w:eastAsia="en-AU"/>
        </w:rPr>
        <w:t>nearly 51%</w:t>
      </w:r>
      <w:r w:rsidR="00283DDE">
        <w:rPr>
          <w:lang w:eastAsia="en-AU"/>
        </w:rPr>
        <w:t>)</w:t>
      </w:r>
      <w:r w:rsidR="0092331F">
        <w:rPr>
          <w:lang w:eastAsia="en-AU"/>
        </w:rPr>
        <w:t xml:space="preserve">, </w:t>
      </w:r>
      <w:r w:rsidR="008201D3">
        <w:rPr>
          <w:lang w:eastAsia="en-AU"/>
        </w:rPr>
        <w:t xml:space="preserve">and </w:t>
      </w:r>
      <w:r w:rsidR="0092331F">
        <w:rPr>
          <w:lang w:eastAsia="en-AU"/>
        </w:rPr>
        <w:t>a</w:t>
      </w:r>
      <w:r w:rsidR="00913B7D">
        <w:rPr>
          <w:lang w:eastAsia="en-AU"/>
        </w:rPr>
        <w:t xml:space="preserve"> much higher proportion report</w:t>
      </w:r>
      <w:r w:rsidR="00EF12FB">
        <w:rPr>
          <w:lang w:eastAsia="en-AU"/>
        </w:rPr>
        <w:t>ed</w:t>
      </w:r>
      <w:r w:rsidR="00570361">
        <w:rPr>
          <w:lang w:eastAsia="en-AU"/>
        </w:rPr>
        <w:t xml:space="preserve"> </w:t>
      </w:r>
      <w:r w:rsidR="00913B7D">
        <w:rPr>
          <w:lang w:eastAsia="en-AU"/>
        </w:rPr>
        <w:t xml:space="preserve">being in a de facto </w:t>
      </w:r>
      <w:r w:rsidR="4388F5BF" w:rsidRPr="2816B3E4">
        <w:rPr>
          <w:lang w:eastAsia="en-AU"/>
        </w:rPr>
        <w:t>relationship</w:t>
      </w:r>
      <w:r w:rsidR="00913B7D">
        <w:rPr>
          <w:lang w:eastAsia="en-AU"/>
        </w:rPr>
        <w:t xml:space="preserve"> (30%, compared to 11%). </w:t>
      </w:r>
    </w:p>
    <w:p w14:paraId="72216E18" w14:textId="51646033" w:rsidR="00312596" w:rsidRPr="00312596" w:rsidRDefault="00911C29" w:rsidP="00312596">
      <w:pPr>
        <w:rPr>
          <w:lang w:eastAsia="en-AU"/>
        </w:rPr>
      </w:pPr>
      <w:r>
        <w:rPr>
          <w:lang w:eastAsia="en-AU"/>
        </w:rPr>
        <w:t xml:space="preserve">A higher proportion of </w:t>
      </w:r>
      <w:r w:rsidR="00324CC9">
        <w:rPr>
          <w:lang w:eastAsia="en-AU"/>
        </w:rPr>
        <w:t>GLB+</w:t>
      </w:r>
      <w:r w:rsidDel="00324CC9">
        <w:rPr>
          <w:lang w:eastAsia="en-AU"/>
        </w:rPr>
        <w:t xml:space="preserve"> </w:t>
      </w:r>
      <w:r w:rsidR="0091729B">
        <w:rPr>
          <w:lang w:eastAsia="en-AU"/>
        </w:rPr>
        <w:t>respondents (64%)</w:t>
      </w:r>
      <w:r>
        <w:rPr>
          <w:lang w:eastAsia="en-AU"/>
        </w:rPr>
        <w:t xml:space="preserve"> were fully engaged in either employment or study compared to </w:t>
      </w:r>
      <w:r w:rsidR="00F173A9" w:rsidRPr="2816B3E4">
        <w:rPr>
          <w:lang w:eastAsia="en-AU"/>
        </w:rPr>
        <w:t>heterosexual</w:t>
      </w:r>
      <w:r w:rsidR="20CB61BC" w:rsidRPr="2816B3E4">
        <w:rPr>
          <w:lang w:eastAsia="en-AU"/>
        </w:rPr>
        <w:t xml:space="preserve"> </w:t>
      </w:r>
      <w:r w:rsidR="0091729B">
        <w:rPr>
          <w:lang w:eastAsia="en-AU"/>
        </w:rPr>
        <w:t>respondents (</w:t>
      </w:r>
      <w:r w:rsidR="00F173A9">
        <w:rPr>
          <w:lang w:eastAsia="en-AU"/>
        </w:rPr>
        <w:t>50</w:t>
      </w:r>
      <w:r w:rsidR="00290CFF">
        <w:rPr>
          <w:lang w:eastAsia="en-AU"/>
        </w:rPr>
        <w:t>%).</w:t>
      </w:r>
      <w:r w:rsidR="009605F5">
        <w:rPr>
          <w:lang w:eastAsia="en-AU"/>
        </w:rPr>
        <w:t xml:space="preserve"> </w:t>
      </w:r>
      <w:r w:rsidR="00EF12FB">
        <w:rPr>
          <w:lang w:eastAsia="en-AU"/>
        </w:rPr>
        <w:t>Conversely,</w:t>
      </w:r>
      <w:r w:rsidR="009605F5">
        <w:rPr>
          <w:lang w:eastAsia="en-AU"/>
        </w:rPr>
        <w:t xml:space="preserve"> a slightly lower proportion of </w:t>
      </w:r>
      <w:r w:rsidR="00324CC9">
        <w:rPr>
          <w:lang w:eastAsia="en-AU"/>
        </w:rPr>
        <w:t xml:space="preserve">GLB+ </w:t>
      </w:r>
      <w:r w:rsidR="009605F5">
        <w:rPr>
          <w:lang w:eastAsia="en-AU"/>
        </w:rPr>
        <w:t>respondents reported acting as a carer (</w:t>
      </w:r>
      <w:r w:rsidR="009211EF">
        <w:rPr>
          <w:lang w:eastAsia="en-AU"/>
        </w:rPr>
        <w:t>8.8%</w:t>
      </w:r>
      <w:r w:rsidR="009605F5">
        <w:rPr>
          <w:lang w:eastAsia="en-AU"/>
        </w:rPr>
        <w:t>)</w:t>
      </w:r>
      <w:r w:rsidR="007037E3">
        <w:rPr>
          <w:lang w:eastAsia="en-AU"/>
        </w:rPr>
        <w:t xml:space="preserve"> for a person with either a disability, </w:t>
      </w:r>
      <w:r w:rsidR="005E3624">
        <w:rPr>
          <w:lang w:eastAsia="en-AU"/>
        </w:rPr>
        <w:t>long</w:t>
      </w:r>
      <w:r w:rsidR="00324CC9">
        <w:rPr>
          <w:lang w:eastAsia="en-AU"/>
        </w:rPr>
        <w:t>-</w:t>
      </w:r>
      <w:r w:rsidR="005E3624">
        <w:rPr>
          <w:lang w:eastAsia="en-AU"/>
        </w:rPr>
        <w:t>term health condition or old age</w:t>
      </w:r>
      <w:r w:rsidR="009605F5">
        <w:rPr>
          <w:lang w:eastAsia="en-AU"/>
        </w:rPr>
        <w:t xml:space="preserve"> compared to heterosexual respondents (8.8%). </w:t>
      </w:r>
      <w:r w:rsidR="005E3624">
        <w:rPr>
          <w:lang w:eastAsia="en-AU"/>
        </w:rPr>
        <w:t xml:space="preserve"> </w:t>
      </w:r>
    </w:p>
    <w:p w14:paraId="59B83CB1" w14:textId="18957687" w:rsidR="009C5ECB" w:rsidRPr="00132751" w:rsidRDefault="00791D13" w:rsidP="00820FA2">
      <w:pPr>
        <w:rPr>
          <w:lang w:eastAsia="en-AU"/>
        </w:rPr>
      </w:pPr>
      <w:r>
        <w:rPr>
          <w:lang w:eastAsia="en-AU"/>
        </w:rPr>
        <w:t>The</w:t>
      </w:r>
      <w:r w:rsidR="00A809FF">
        <w:rPr>
          <w:lang w:eastAsia="en-AU"/>
        </w:rPr>
        <w:t xml:space="preserve"> 2021 </w:t>
      </w:r>
      <w:r w:rsidR="005A539E" w:rsidRPr="005A539E">
        <w:rPr>
          <w:lang w:eastAsia="en-AU"/>
        </w:rPr>
        <w:t xml:space="preserve">ABS Census </w:t>
      </w:r>
      <w:r w:rsidR="00E47730">
        <w:rPr>
          <w:lang w:eastAsia="en-AU"/>
        </w:rPr>
        <w:t xml:space="preserve">also captured information on </w:t>
      </w:r>
      <w:r w:rsidR="00960F20">
        <w:rPr>
          <w:lang w:eastAsia="en-AU"/>
        </w:rPr>
        <w:t>living arrangements</w:t>
      </w:r>
      <w:r w:rsidR="00324CC9">
        <w:rPr>
          <w:lang w:eastAsia="en-AU"/>
        </w:rPr>
        <w:t xml:space="preserve">. </w:t>
      </w:r>
      <w:r w:rsidR="00960F20">
        <w:rPr>
          <w:lang w:eastAsia="en-AU"/>
        </w:rPr>
        <w:t xml:space="preserve">While </w:t>
      </w:r>
      <w:r w:rsidR="00E47730">
        <w:rPr>
          <w:lang w:eastAsia="en-AU"/>
        </w:rPr>
        <w:t>the survey</w:t>
      </w:r>
      <w:r w:rsidR="00A809FF">
        <w:rPr>
          <w:lang w:eastAsia="en-AU"/>
        </w:rPr>
        <w:t xml:space="preserve"> did not </w:t>
      </w:r>
      <w:r w:rsidR="00960F20">
        <w:rPr>
          <w:lang w:eastAsia="en-AU"/>
        </w:rPr>
        <w:t xml:space="preserve">explicitly </w:t>
      </w:r>
      <w:r w:rsidR="00A16F8E">
        <w:rPr>
          <w:lang w:eastAsia="en-AU"/>
        </w:rPr>
        <w:t xml:space="preserve">ask </w:t>
      </w:r>
      <w:r w:rsidR="00A809FF">
        <w:rPr>
          <w:lang w:eastAsia="en-AU"/>
        </w:rPr>
        <w:t>sexual orientation</w:t>
      </w:r>
      <w:r w:rsidR="12E2702A" w:rsidRPr="2816B3E4" w:rsidDel="00960F20">
        <w:rPr>
          <w:lang w:eastAsia="en-AU"/>
        </w:rPr>
        <w:t xml:space="preserve"> </w:t>
      </w:r>
      <w:r w:rsidR="00771561">
        <w:rPr>
          <w:lang w:eastAsia="en-AU"/>
        </w:rPr>
        <w:t>questions</w:t>
      </w:r>
      <w:r w:rsidR="00771561" w:rsidDel="00A3205F">
        <w:rPr>
          <w:lang w:eastAsia="en-AU"/>
        </w:rPr>
        <w:t xml:space="preserve"> </w:t>
      </w:r>
      <w:r w:rsidR="00A3205F">
        <w:rPr>
          <w:lang w:eastAsia="en-AU"/>
        </w:rPr>
        <w:t xml:space="preserve">concurrent with </w:t>
      </w:r>
      <w:r w:rsidR="00771561">
        <w:rPr>
          <w:lang w:eastAsia="en-AU"/>
        </w:rPr>
        <w:t xml:space="preserve">cohabitation and </w:t>
      </w:r>
      <w:r w:rsidR="00570361">
        <w:rPr>
          <w:lang w:eastAsia="en-AU"/>
        </w:rPr>
        <w:t>relationship status</w:t>
      </w:r>
      <w:r w:rsidR="00A3205F">
        <w:rPr>
          <w:lang w:eastAsia="en-AU"/>
        </w:rPr>
        <w:t xml:space="preserve">, cross analysis </w:t>
      </w:r>
      <w:r w:rsidR="00B6598C">
        <w:rPr>
          <w:lang w:eastAsia="en-AU"/>
        </w:rPr>
        <w:t>with other</w:t>
      </w:r>
      <w:r w:rsidR="00A3205F">
        <w:rPr>
          <w:lang w:eastAsia="en-AU"/>
        </w:rPr>
        <w:t xml:space="preserve"> variables </w:t>
      </w:r>
      <w:r w:rsidR="00B6598C">
        <w:rPr>
          <w:lang w:eastAsia="en-AU"/>
        </w:rPr>
        <w:t xml:space="preserve">allows some </w:t>
      </w:r>
      <w:r w:rsidR="00835330">
        <w:rPr>
          <w:lang w:eastAsia="en-AU"/>
        </w:rPr>
        <w:t xml:space="preserve">inferences to be </w:t>
      </w:r>
      <w:r w:rsidR="00B6598C">
        <w:rPr>
          <w:lang w:eastAsia="en-AU"/>
        </w:rPr>
        <w:t>drawn</w:t>
      </w:r>
      <w:r w:rsidR="00835330">
        <w:rPr>
          <w:lang w:eastAsia="en-AU"/>
        </w:rPr>
        <w:t>.</w:t>
      </w:r>
      <w:r w:rsidR="00570361" w:rsidDel="00A3205F">
        <w:rPr>
          <w:lang w:eastAsia="en-AU"/>
        </w:rPr>
        <w:t xml:space="preserve"> </w:t>
      </w:r>
      <w:r w:rsidR="00BF6C5E">
        <w:rPr>
          <w:lang w:eastAsia="en-AU"/>
        </w:rPr>
        <w:t xml:space="preserve">For example, </w:t>
      </w:r>
      <w:r w:rsidR="00B6598C">
        <w:rPr>
          <w:lang w:eastAsia="en-AU"/>
        </w:rPr>
        <w:t>t</w:t>
      </w:r>
      <w:r w:rsidR="00037E65">
        <w:rPr>
          <w:lang w:eastAsia="en-AU"/>
        </w:rPr>
        <w:t xml:space="preserve">he 2021 Census </w:t>
      </w:r>
      <w:r w:rsidR="00042257">
        <w:rPr>
          <w:lang w:eastAsia="en-AU"/>
        </w:rPr>
        <w:t xml:space="preserve">counted </w:t>
      </w:r>
      <w:r w:rsidR="00042257" w:rsidRPr="00EA56C6">
        <w:rPr>
          <w:lang w:eastAsia="en-AU"/>
        </w:rPr>
        <w:t>78,425 same</w:t>
      </w:r>
      <w:r w:rsidR="00042257">
        <w:rPr>
          <w:lang w:eastAsia="en-AU"/>
        </w:rPr>
        <w:t xml:space="preserve">-sex couples </w:t>
      </w:r>
      <w:r w:rsidR="5A5A828B">
        <w:rPr>
          <w:lang w:eastAsia="en-AU"/>
        </w:rPr>
        <w:t xml:space="preserve">(identifying as de facto or married) </w:t>
      </w:r>
      <w:r w:rsidR="00042257">
        <w:rPr>
          <w:lang w:eastAsia="en-AU"/>
        </w:rPr>
        <w:t>living together in Australia</w:t>
      </w:r>
      <w:r w:rsidR="00290919">
        <w:rPr>
          <w:lang w:eastAsia="en-AU"/>
        </w:rPr>
        <w:t xml:space="preserve">. </w:t>
      </w:r>
    </w:p>
    <w:p w14:paraId="30935159" w14:textId="27F08FA4" w:rsidR="004F7AE6" w:rsidRDefault="005703E7" w:rsidP="001F1B10">
      <w:pPr>
        <w:rPr>
          <w:lang w:eastAsia="en-AU"/>
        </w:rPr>
      </w:pPr>
      <w:r>
        <w:rPr>
          <w:lang w:eastAsia="en-AU"/>
        </w:rPr>
        <w:t>T</w:t>
      </w:r>
      <w:r w:rsidR="00E273DE">
        <w:rPr>
          <w:lang w:eastAsia="en-AU"/>
        </w:rPr>
        <w:t xml:space="preserve">he </w:t>
      </w:r>
      <w:r>
        <w:rPr>
          <w:lang w:eastAsia="en-AU"/>
        </w:rPr>
        <w:t xml:space="preserve">geographic distribution of same-sex couples </w:t>
      </w:r>
      <w:r w:rsidR="00E273DE">
        <w:rPr>
          <w:lang w:eastAsia="en-AU"/>
        </w:rPr>
        <w:t xml:space="preserve">living together </w:t>
      </w:r>
      <w:r w:rsidR="00447A06">
        <w:rPr>
          <w:lang w:eastAsia="en-AU"/>
        </w:rPr>
        <w:t xml:space="preserve">was not dissimilar to </w:t>
      </w:r>
      <w:r w:rsidR="006D5F84">
        <w:rPr>
          <w:lang w:eastAsia="en-AU"/>
        </w:rPr>
        <w:t>the distribution of c</w:t>
      </w:r>
      <w:r w:rsidR="00227685">
        <w:rPr>
          <w:lang w:eastAsia="en-AU"/>
        </w:rPr>
        <w:t>ouples living together</w:t>
      </w:r>
      <w:r w:rsidR="006D5F84">
        <w:rPr>
          <w:lang w:eastAsia="en-AU"/>
        </w:rPr>
        <w:t xml:space="preserve"> in the general population. </w:t>
      </w:r>
      <w:r w:rsidR="00DE67FD">
        <w:rPr>
          <w:lang w:eastAsia="en-AU"/>
        </w:rPr>
        <w:t>NSW</w:t>
      </w:r>
      <w:r w:rsidR="00E56F84">
        <w:rPr>
          <w:lang w:eastAsia="en-AU"/>
        </w:rPr>
        <w:t xml:space="preserve"> and Victoria </w:t>
      </w:r>
      <w:r w:rsidR="007F41B6">
        <w:rPr>
          <w:lang w:eastAsia="en-AU"/>
        </w:rPr>
        <w:t xml:space="preserve">both accounted for </w:t>
      </w:r>
      <w:proofErr w:type="gramStart"/>
      <w:r w:rsidR="00DE67FD">
        <w:rPr>
          <w:lang w:eastAsia="en-AU"/>
        </w:rPr>
        <w:t>the majority of</w:t>
      </w:r>
      <w:proofErr w:type="gramEnd"/>
      <w:r w:rsidR="00DE67FD">
        <w:rPr>
          <w:lang w:eastAsia="en-AU"/>
        </w:rPr>
        <w:t xml:space="preserve"> </w:t>
      </w:r>
      <w:r w:rsidR="007F41B6">
        <w:rPr>
          <w:lang w:eastAsia="en-AU"/>
        </w:rPr>
        <w:t>same-sex couples living together</w:t>
      </w:r>
      <w:r w:rsidR="007E480C">
        <w:rPr>
          <w:lang w:eastAsia="en-AU"/>
        </w:rPr>
        <w:t xml:space="preserve">, at </w:t>
      </w:r>
      <w:r w:rsidR="008237C8">
        <w:rPr>
          <w:lang w:eastAsia="en-AU"/>
        </w:rPr>
        <w:t>61% of the total.</w:t>
      </w:r>
      <w:r w:rsidR="00E37BC2">
        <w:rPr>
          <w:lang w:eastAsia="en-AU"/>
        </w:rPr>
        <w:t xml:space="preserve"> </w:t>
      </w:r>
      <w:r w:rsidR="004F7AE6">
        <w:rPr>
          <w:lang w:eastAsia="en-AU"/>
        </w:rPr>
        <w:t>Further, s</w:t>
      </w:r>
      <w:r w:rsidR="0018149E">
        <w:rPr>
          <w:lang w:eastAsia="en-AU"/>
        </w:rPr>
        <w:t>ame sex couples were most likely to live in capital cities compared</w:t>
      </w:r>
      <w:r w:rsidR="00BA32F3">
        <w:rPr>
          <w:lang w:eastAsia="en-AU"/>
        </w:rPr>
        <w:t xml:space="preserve"> to all coupl</w:t>
      </w:r>
      <w:r w:rsidR="00245AD3">
        <w:rPr>
          <w:lang w:eastAsia="en-AU"/>
        </w:rPr>
        <w:t>es.</w:t>
      </w:r>
      <w:r w:rsidR="0018149E">
        <w:rPr>
          <w:lang w:eastAsia="en-AU"/>
        </w:rPr>
        <w:t xml:space="preserve"> </w:t>
      </w:r>
    </w:p>
    <w:p w14:paraId="21F885D4" w14:textId="52C34E22" w:rsidR="00BE5D3B" w:rsidRDefault="00245AD3" w:rsidP="001F1B10">
      <w:pPr>
        <w:rPr>
          <w:lang w:eastAsia="en-AU"/>
        </w:rPr>
      </w:pPr>
      <w:r>
        <w:rPr>
          <w:lang w:eastAsia="en-AU"/>
        </w:rPr>
        <w:lastRenderedPageBreak/>
        <w:t xml:space="preserve">Overall, </w:t>
      </w:r>
      <w:r w:rsidR="00BE68BE">
        <w:rPr>
          <w:lang w:eastAsia="en-AU"/>
        </w:rPr>
        <w:t xml:space="preserve">the number of same-sex couples </w:t>
      </w:r>
      <w:r w:rsidR="004F7AE6">
        <w:rPr>
          <w:lang w:eastAsia="en-AU"/>
        </w:rPr>
        <w:t xml:space="preserve">across </w:t>
      </w:r>
      <w:r w:rsidR="00BE68BE">
        <w:rPr>
          <w:lang w:eastAsia="en-AU"/>
        </w:rPr>
        <w:t>all jurisdictions has increased</w:t>
      </w:r>
      <w:r>
        <w:rPr>
          <w:lang w:eastAsia="en-AU"/>
        </w:rPr>
        <w:t xml:space="preserve"> since 2011</w:t>
      </w:r>
      <w:r w:rsidR="00BE68BE">
        <w:rPr>
          <w:lang w:eastAsia="en-AU"/>
        </w:rPr>
        <w:t>.</w:t>
      </w:r>
    </w:p>
    <w:p w14:paraId="5E043971" w14:textId="0C5E9C01" w:rsidR="00AC13AB" w:rsidRPr="005C6659" w:rsidRDefault="006979E5" w:rsidP="009B406F">
      <w:pPr>
        <w:pStyle w:val="NbrHeading3"/>
      </w:pPr>
      <w:bookmarkStart w:id="24" w:name="_Toc153899492"/>
      <w:r w:rsidRPr="005C6659">
        <w:t xml:space="preserve">Mental health and wellbeing in the </w:t>
      </w:r>
      <w:r w:rsidR="000B2D50" w:rsidRPr="005C6659">
        <w:t>LGBT</w:t>
      </w:r>
      <w:r w:rsidR="000311FF">
        <w:t>Q</w:t>
      </w:r>
      <w:r w:rsidRPr="005C6659">
        <w:t>+ community</w:t>
      </w:r>
      <w:bookmarkEnd w:id="24"/>
      <w:r w:rsidRPr="005C6659">
        <w:t xml:space="preserve"> </w:t>
      </w:r>
    </w:p>
    <w:p w14:paraId="2CC0245C" w14:textId="4D429B18" w:rsidR="00B1501E" w:rsidRDefault="006559C1" w:rsidP="00F27ADF">
      <w:pPr>
        <w:rPr>
          <w:lang w:eastAsia="en-AU"/>
        </w:rPr>
      </w:pPr>
      <w:r w:rsidRPr="004E4E79">
        <w:rPr>
          <w:lang w:eastAsia="en-AU"/>
        </w:rPr>
        <w:t xml:space="preserve">While Australia lacks comprehensive data on </w:t>
      </w:r>
      <w:r w:rsidR="000B2D50">
        <w:rPr>
          <w:lang w:eastAsia="en-AU"/>
        </w:rPr>
        <w:t>LGBT</w:t>
      </w:r>
      <w:r w:rsidR="000311FF">
        <w:rPr>
          <w:lang w:eastAsia="en-AU"/>
        </w:rPr>
        <w:t>Q</w:t>
      </w:r>
      <w:r w:rsidR="00255DAB" w:rsidRPr="004E4E79">
        <w:rPr>
          <w:lang w:eastAsia="en-AU"/>
        </w:rPr>
        <w:t xml:space="preserve">+ communities, the </w:t>
      </w:r>
      <w:r w:rsidR="006547DD">
        <w:rPr>
          <w:lang w:eastAsia="en-AU"/>
        </w:rPr>
        <w:t xml:space="preserve">data that is </w:t>
      </w:r>
      <w:r w:rsidR="00255DAB" w:rsidRPr="004E4E79">
        <w:rPr>
          <w:lang w:eastAsia="en-AU"/>
        </w:rPr>
        <w:t xml:space="preserve">available suggests that </w:t>
      </w:r>
      <w:r w:rsidR="005B724F">
        <w:rPr>
          <w:lang w:eastAsia="en-AU"/>
        </w:rPr>
        <w:t>such</w:t>
      </w:r>
      <w:r w:rsidR="00255DAB" w:rsidRPr="004E4E79">
        <w:rPr>
          <w:lang w:eastAsia="en-AU"/>
        </w:rPr>
        <w:t xml:space="preserve"> communitie</w:t>
      </w:r>
      <w:r w:rsidR="00730E14" w:rsidRPr="004E4E79">
        <w:rPr>
          <w:lang w:eastAsia="en-AU"/>
        </w:rPr>
        <w:t xml:space="preserve">s more commonly experience </w:t>
      </w:r>
      <w:r w:rsidR="00A0549C" w:rsidRPr="004E4E79">
        <w:rPr>
          <w:lang w:eastAsia="en-AU"/>
        </w:rPr>
        <w:t xml:space="preserve">poor mental health and suicide outcomes than </w:t>
      </w:r>
      <w:r w:rsidR="6E76C117" w:rsidRPr="2816B3E4">
        <w:rPr>
          <w:lang w:eastAsia="en-AU"/>
        </w:rPr>
        <w:t>the general population.</w:t>
      </w:r>
    </w:p>
    <w:p w14:paraId="01ECBE11" w14:textId="59DC927A" w:rsidR="001974A6" w:rsidRDefault="001974A6" w:rsidP="00F27ADF">
      <w:pPr>
        <w:rPr>
          <w:lang w:eastAsia="en-AU"/>
        </w:rPr>
      </w:pPr>
      <w:r>
        <w:rPr>
          <w:lang w:eastAsia="en-AU"/>
        </w:rPr>
        <w:t xml:space="preserve">The sections </w:t>
      </w:r>
      <w:r w:rsidR="00C176BE">
        <w:rPr>
          <w:lang w:eastAsia="en-AU"/>
        </w:rPr>
        <w:t>below provide a broad summary o</w:t>
      </w:r>
      <w:r w:rsidR="008B36CD">
        <w:rPr>
          <w:lang w:eastAsia="en-AU"/>
        </w:rPr>
        <w:t>f data on LGBT</w:t>
      </w:r>
      <w:r w:rsidR="000311FF">
        <w:rPr>
          <w:lang w:eastAsia="en-AU"/>
        </w:rPr>
        <w:t>Q</w:t>
      </w:r>
      <w:r w:rsidR="008B36CD">
        <w:rPr>
          <w:lang w:eastAsia="en-AU"/>
        </w:rPr>
        <w:t xml:space="preserve">+ </w:t>
      </w:r>
      <w:r w:rsidR="00F90372">
        <w:rPr>
          <w:lang w:eastAsia="en-AU"/>
        </w:rPr>
        <w:t xml:space="preserve">mental health and wellbeing, compared to the general population. A detailed breakdown of available evidence by </w:t>
      </w:r>
      <w:r w:rsidR="00CF7415">
        <w:rPr>
          <w:lang w:eastAsia="en-AU"/>
        </w:rPr>
        <w:t>sub-groups and different mental health conditions can be found in LHA’s</w:t>
      </w:r>
      <w:r w:rsidR="00B13389">
        <w:rPr>
          <w:lang w:eastAsia="en-AU"/>
        </w:rPr>
        <w:t xml:space="preserve"> 2021</w:t>
      </w:r>
      <w:r w:rsidR="00CF7415">
        <w:rPr>
          <w:lang w:eastAsia="en-AU"/>
        </w:rPr>
        <w:t xml:space="preserve"> </w:t>
      </w:r>
      <w:hyperlink r:id="rId38" w:history="1">
        <w:r w:rsidR="00CF7415" w:rsidRPr="00B13389">
          <w:rPr>
            <w:rStyle w:val="Hyperlink"/>
            <w:i/>
            <w:iCs/>
            <w:lang w:eastAsia="en-AU"/>
          </w:rPr>
          <w:t>Snapshot of Mental Health and Suicide Prevention Statistics</w:t>
        </w:r>
      </w:hyperlink>
      <w:r w:rsidR="00CF7415">
        <w:rPr>
          <w:lang w:eastAsia="en-AU"/>
        </w:rPr>
        <w:t>.</w:t>
      </w:r>
    </w:p>
    <w:p w14:paraId="1F13EE59" w14:textId="2AABEC58" w:rsidR="00701929" w:rsidRDefault="00182D05" w:rsidP="009B406F">
      <w:pPr>
        <w:pStyle w:val="NbrHeading3"/>
      </w:pPr>
      <w:bookmarkStart w:id="25" w:name="_Toc153899493"/>
      <w:r>
        <w:t>Mental Health Conditions</w:t>
      </w:r>
      <w:r w:rsidR="007021A7">
        <w:rPr>
          <w:rStyle w:val="FootnoteReference"/>
        </w:rPr>
        <w:footnoteReference w:id="24"/>
      </w:r>
      <w:bookmarkEnd w:id="25"/>
    </w:p>
    <w:p w14:paraId="7A24F96B" w14:textId="1F990B01" w:rsidR="00AB5DCC" w:rsidRDefault="64B15748" w:rsidP="000D07BE">
      <w:pPr>
        <w:rPr>
          <w:lang w:eastAsia="en-AU"/>
        </w:rPr>
      </w:pPr>
      <w:r>
        <w:rPr>
          <w:lang w:eastAsia="en-AU"/>
        </w:rPr>
        <w:t xml:space="preserve">Although </w:t>
      </w:r>
      <w:r w:rsidR="785E8D24" w:rsidRPr="2816B3E4">
        <w:rPr>
          <w:lang w:eastAsia="en-AU"/>
        </w:rPr>
        <w:t>many LGBT</w:t>
      </w:r>
      <w:r w:rsidR="000311FF">
        <w:rPr>
          <w:lang w:eastAsia="en-AU"/>
        </w:rPr>
        <w:t>Q</w:t>
      </w:r>
      <w:r w:rsidR="785E8D24" w:rsidRPr="2816B3E4">
        <w:rPr>
          <w:lang w:eastAsia="en-AU"/>
        </w:rPr>
        <w:t>+ people live happy and health lives, evidence indicates that c</w:t>
      </w:r>
      <w:r w:rsidR="007345E5">
        <w:rPr>
          <w:lang w:eastAsia="en-AU"/>
        </w:rPr>
        <w:t>ompared to the general population</w:t>
      </w:r>
      <w:r w:rsidR="2EFC60D2">
        <w:rPr>
          <w:lang w:eastAsia="en-AU"/>
        </w:rPr>
        <w:t xml:space="preserve"> </w:t>
      </w:r>
      <w:r w:rsidR="0418AA09" w:rsidRPr="2816B3E4">
        <w:rPr>
          <w:lang w:eastAsia="en-AU"/>
        </w:rPr>
        <w:t>they have higher rates of mental distress</w:t>
      </w:r>
      <w:r w:rsidR="00656404">
        <w:rPr>
          <w:lang w:eastAsia="en-AU"/>
        </w:rPr>
        <w:t xml:space="preserve"> and </w:t>
      </w:r>
      <w:r w:rsidR="00CC20CF">
        <w:rPr>
          <w:lang w:eastAsia="en-AU"/>
        </w:rPr>
        <w:t xml:space="preserve">are </w:t>
      </w:r>
      <w:r w:rsidR="00214D01">
        <w:rPr>
          <w:lang w:eastAsia="en-AU"/>
        </w:rPr>
        <w:t xml:space="preserve">more likely to be </w:t>
      </w:r>
      <w:r w:rsidR="00711D40">
        <w:rPr>
          <w:lang w:eastAsia="en-AU"/>
        </w:rPr>
        <w:t xml:space="preserve">diagnosed </w:t>
      </w:r>
      <w:r w:rsidR="00214D01">
        <w:rPr>
          <w:lang w:eastAsia="en-AU"/>
        </w:rPr>
        <w:t>with</w:t>
      </w:r>
      <w:r w:rsidR="00711D40">
        <w:rPr>
          <w:lang w:eastAsia="en-AU"/>
        </w:rPr>
        <w:t xml:space="preserve"> a mental health condition</w:t>
      </w:r>
      <w:r w:rsidR="00324D38">
        <w:rPr>
          <w:lang w:eastAsia="en-AU"/>
        </w:rPr>
        <w:t>.</w:t>
      </w:r>
      <w:r w:rsidR="005A4CD5">
        <w:rPr>
          <w:rStyle w:val="FootnoteReference"/>
          <w:lang w:eastAsia="en-AU"/>
        </w:rPr>
        <w:footnoteReference w:id="25"/>
      </w:r>
      <w:r w:rsidR="00324D38">
        <w:rPr>
          <w:lang w:eastAsia="en-AU"/>
        </w:rPr>
        <w:t xml:space="preserve"> </w:t>
      </w:r>
      <w:r w:rsidR="00776821">
        <w:rPr>
          <w:lang w:eastAsia="en-AU"/>
        </w:rPr>
        <w:t xml:space="preserve">For example, </w:t>
      </w:r>
      <w:r w:rsidR="00A02B6A">
        <w:rPr>
          <w:lang w:eastAsia="en-AU"/>
        </w:rPr>
        <w:t xml:space="preserve">the </w:t>
      </w:r>
      <w:r w:rsidR="00A02B6A" w:rsidRPr="009F3AAE">
        <w:rPr>
          <w:i/>
          <w:iCs/>
          <w:lang w:eastAsia="en-AU"/>
        </w:rPr>
        <w:t>National Study of Mental Health and Wellbeing 2022</w:t>
      </w:r>
      <w:r w:rsidR="00A02B6A">
        <w:rPr>
          <w:lang w:eastAsia="en-AU"/>
        </w:rPr>
        <w:t xml:space="preserve"> </w:t>
      </w:r>
      <w:r w:rsidR="006C4BF6">
        <w:rPr>
          <w:lang w:eastAsia="en-AU"/>
        </w:rPr>
        <w:t xml:space="preserve">(NSMHW 2022) </w:t>
      </w:r>
      <w:r w:rsidR="00A02B6A">
        <w:rPr>
          <w:lang w:eastAsia="en-AU"/>
        </w:rPr>
        <w:t xml:space="preserve">found that </w:t>
      </w:r>
      <w:r w:rsidR="00F75C97">
        <w:rPr>
          <w:lang w:eastAsia="en-AU"/>
        </w:rPr>
        <w:t xml:space="preserve">more than half of </w:t>
      </w:r>
      <w:r w:rsidR="009E78FC">
        <w:rPr>
          <w:lang w:eastAsia="en-AU"/>
        </w:rPr>
        <w:t xml:space="preserve">GLB+ respondents </w:t>
      </w:r>
      <w:r w:rsidR="00F75C97">
        <w:rPr>
          <w:lang w:eastAsia="en-AU"/>
        </w:rPr>
        <w:t xml:space="preserve">reported </w:t>
      </w:r>
      <w:r w:rsidR="00E16A2D">
        <w:rPr>
          <w:lang w:eastAsia="en-AU"/>
        </w:rPr>
        <w:t>having</w:t>
      </w:r>
      <w:r w:rsidR="00F75C97">
        <w:rPr>
          <w:lang w:eastAsia="en-AU"/>
        </w:rPr>
        <w:t xml:space="preserve"> a diagnosis of a mental health disorder in the past 12 months (5</w:t>
      </w:r>
      <w:r w:rsidR="00872178">
        <w:rPr>
          <w:lang w:eastAsia="en-AU"/>
        </w:rPr>
        <w:t>9</w:t>
      </w:r>
      <w:r w:rsidR="00F75C97">
        <w:rPr>
          <w:lang w:eastAsia="en-AU"/>
        </w:rPr>
        <w:t xml:space="preserve">%), compared to only </w:t>
      </w:r>
      <w:r w:rsidR="00872178">
        <w:rPr>
          <w:lang w:eastAsia="en-AU"/>
        </w:rPr>
        <w:t>20</w:t>
      </w:r>
      <w:r w:rsidR="00F75C97">
        <w:rPr>
          <w:lang w:eastAsia="en-AU"/>
        </w:rPr>
        <w:t xml:space="preserve">% of heterosexual respondents. </w:t>
      </w:r>
      <w:r w:rsidR="00F45CC3">
        <w:rPr>
          <w:lang w:eastAsia="en-AU"/>
        </w:rPr>
        <w:t>Almost</w:t>
      </w:r>
      <w:r w:rsidR="00DD412F">
        <w:rPr>
          <w:lang w:eastAsia="en-AU"/>
        </w:rPr>
        <w:t xml:space="preserve"> </w:t>
      </w:r>
      <w:r w:rsidR="001633E9">
        <w:rPr>
          <w:lang w:eastAsia="en-AU"/>
        </w:rPr>
        <w:t>one</w:t>
      </w:r>
      <w:r w:rsidR="00DD412F">
        <w:rPr>
          <w:lang w:eastAsia="en-AU"/>
        </w:rPr>
        <w:t xml:space="preserve"> third (3</w:t>
      </w:r>
      <w:r w:rsidR="00086F4D">
        <w:rPr>
          <w:lang w:eastAsia="en-AU"/>
        </w:rPr>
        <w:t>3</w:t>
      </w:r>
      <w:r w:rsidR="00DD412F">
        <w:rPr>
          <w:lang w:eastAsia="en-AU"/>
        </w:rPr>
        <w:t>%) of transgender respondents had a diagnosis</w:t>
      </w:r>
      <w:r w:rsidR="00794FA0">
        <w:rPr>
          <w:lang w:eastAsia="en-AU"/>
        </w:rPr>
        <w:t xml:space="preserve"> in the 12 months preceding the survey</w:t>
      </w:r>
      <w:r w:rsidR="00DD412F">
        <w:rPr>
          <w:lang w:eastAsia="en-AU"/>
        </w:rPr>
        <w:t>, compared to 21% of cisgender respondents.</w:t>
      </w:r>
      <w:r w:rsidR="007E31C2">
        <w:rPr>
          <w:rStyle w:val="FootnoteReference"/>
          <w:lang w:eastAsia="en-AU"/>
        </w:rPr>
        <w:footnoteReference w:id="26"/>
      </w:r>
      <w:r w:rsidR="00510F0F">
        <w:rPr>
          <w:lang w:eastAsia="en-AU"/>
        </w:rPr>
        <w:t xml:space="preserve"> </w:t>
      </w:r>
    </w:p>
    <w:p w14:paraId="3B338F5B" w14:textId="3803BCFE" w:rsidR="00465E48" w:rsidRPr="00357A1D" w:rsidRDefault="00C44F22" w:rsidP="000D07BE">
      <w:pPr>
        <w:rPr>
          <w:lang w:eastAsia="en-AU"/>
        </w:rPr>
      </w:pPr>
      <w:r>
        <w:rPr>
          <w:lang w:eastAsia="en-AU"/>
        </w:rPr>
        <w:t>The</w:t>
      </w:r>
      <w:r w:rsidR="000C004D">
        <w:rPr>
          <w:lang w:eastAsia="en-AU"/>
        </w:rPr>
        <w:t xml:space="preserve"> data available suggest</w:t>
      </w:r>
      <w:r w:rsidR="0002660E">
        <w:rPr>
          <w:lang w:eastAsia="en-AU"/>
        </w:rPr>
        <w:t xml:space="preserve"> that</w:t>
      </w:r>
      <w:r w:rsidR="00F45CC3">
        <w:rPr>
          <w:lang w:eastAsia="en-AU"/>
        </w:rPr>
        <w:t>, on average,</w:t>
      </w:r>
      <w:r w:rsidR="0002660E">
        <w:rPr>
          <w:lang w:eastAsia="en-AU"/>
        </w:rPr>
        <w:t xml:space="preserve"> LGBTQ</w:t>
      </w:r>
      <w:r w:rsidR="002561A2">
        <w:rPr>
          <w:lang w:eastAsia="en-AU"/>
        </w:rPr>
        <w:t>+</w:t>
      </w:r>
      <w:r w:rsidR="0002660E">
        <w:rPr>
          <w:lang w:eastAsia="en-AU"/>
        </w:rPr>
        <w:t xml:space="preserve"> </w:t>
      </w:r>
      <w:r w:rsidR="007C4155">
        <w:rPr>
          <w:lang w:eastAsia="en-AU"/>
        </w:rPr>
        <w:t>score higher o</w:t>
      </w:r>
      <w:r w:rsidR="00465E48" w:rsidRPr="00357A1D">
        <w:rPr>
          <w:lang w:eastAsia="en-AU"/>
        </w:rPr>
        <w:t>n the Kessler Psychological Distress Scale (K10)</w:t>
      </w:r>
      <w:r w:rsidR="007C4155">
        <w:rPr>
          <w:lang w:eastAsia="en-AU"/>
        </w:rPr>
        <w:t xml:space="preserve"> than their peers, indicating higher levels of psychological distress</w:t>
      </w:r>
      <w:r w:rsidR="005F355F">
        <w:rPr>
          <w:lang w:eastAsia="en-AU"/>
        </w:rPr>
        <w:t xml:space="preserve">. </w:t>
      </w:r>
      <w:r w:rsidR="00664B8B">
        <w:rPr>
          <w:lang w:eastAsia="en-AU"/>
        </w:rPr>
        <w:t>In one study, LGBTI</w:t>
      </w:r>
      <w:r w:rsidR="00950B06">
        <w:rPr>
          <w:lang w:eastAsia="en-AU"/>
        </w:rPr>
        <w:t>Q</w:t>
      </w:r>
      <w:r w:rsidR="00231CB3">
        <w:rPr>
          <w:lang w:eastAsia="en-AU"/>
        </w:rPr>
        <w:t xml:space="preserve"> people over 18</w:t>
      </w:r>
      <w:r w:rsidR="00664B8B">
        <w:rPr>
          <w:lang w:eastAsia="en-AU"/>
        </w:rPr>
        <w:t xml:space="preserve"> reported </w:t>
      </w:r>
      <w:r w:rsidR="00465E48" w:rsidRPr="00357A1D">
        <w:rPr>
          <w:lang w:eastAsia="en-AU"/>
        </w:rPr>
        <w:t>a mean score of 24.3</w:t>
      </w:r>
      <w:r w:rsidR="00664B8B">
        <w:rPr>
          <w:lang w:eastAsia="en-AU"/>
        </w:rPr>
        <w:t xml:space="preserve"> on the K10 scale, indicating high levels of psychological distress.</w:t>
      </w:r>
      <w:r w:rsidR="00664B8B">
        <w:rPr>
          <w:rStyle w:val="FootnoteReference"/>
          <w:lang w:eastAsia="en-AU"/>
        </w:rPr>
        <w:footnoteReference w:id="27"/>
      </w:r>
      <w:r w:rsidR="00664B8B">
        <w:rPr>
          <w:lang w:eastAsia="en-AU"/>
        </w:rPr>
        <w:t xml:space="preserve"> </w:t>
      </w:r>
      <w:r w:rsidR="00465E48" w:rsidRPr="00357A1D">
        <w:rPr>
          <w:lang w:eastAsia="en-AU"/>
        </w:rPr>
        <w:t xml:space="preserve"> </w:t>
      </w:r>
      <w:r w:rsidR="00664B8B">
        <w:rPr>
          <w:lang w:eastAsia="en-AU"/>
        </w:rPr>
        <w:t xml:space="preserve">In comparison, a separate study </w:t>
      </w:r>
      <w:r w:rsidR="00081D01">
        <w:rPr>
          <w:lang w:eastAsia="en-AU"/>
        </w:rPr>
        <w:t>reported a mean score of</w:t>
      </w:r>
      <w:r w:rsidR="00282E6E">
        <w:rPr>
          <w:lang w:eastAsia="en-AU"/>
        </w:rPr>
        <w:t xml:space="preserve"> 14.5 </w:t>
      </w:r>
      <w:r w:rsidR="00081D01">
        <w:rPr>
          <w:lang w:eastAsia="en-AU"/>
        </w:rPr>
        <w:t xml:space="preserve">on the K10 for </w:t>
      </w:r>
      <w:r w:rsidR="00282E6E">
        <w:rPr>
          <w:lang w:eastAsia="en-AU"/>
        </w:rPr>
        <w:t>the general population</w:t>
      </w:r>
      <w:r w:rsidR="00334DCA">
        <w:rPr>
          <w:lang w:eastAsia="en-AU"/>
        </w:rPr>
        <w:t xml:space="preserve"> </w:t>
      </w:r>
      <w:r w:rsidR="00F45CC3">
        <w:rPr>
          <w:lang w:eastAsia="en-AU"/>
        </w:rPr>
        <w:t xml:space="preserve">aged </w:t>
      </w:r>
      <w:r w:rsidR="00334DCA">
        <w:rPr>
          <w:lang w:eastAsia="en-AU"/>
        </w:rPr>
        <w:t>16 and over</w:t>
      </w:r>
      <w:r w:rsidR="00081D01">
        <w:rPr>
          <w:lang w:eastAsia="en-AU"/>
        </w:rPr>
        <w:t>, indicating lower levels of psychological distress</w:t>
      </w:r>
      <w:r w:rsidR="00465E48" w:rsidRPr="00357A1D">
        <w:rPr>
          <w:lang w:eastAsia="en-AU"/>
        </w:rPr>
        <w:t>.</w:t>
      </w:r>
      <w:r w:rsidR="00465E48" w:rsidRPr="00357A1D">
        <w:rPr>
          <w:vertAlign w:val="superscript"/>
          <w:lang w:eastAsia="en-AU"/>
        </w:rPr>
        <w:footnoteReference w:id="28"/>
      </w:r>
      <w:r w:rsidR="00465E48" w:rsidRPr="00357A1D">
        <w:rPr>
          <w:lang w:eastAsia="en-AU"/>
        </w:rPr>
        <w:t xml:space="preserve"> </w:t>
      </w:r>
    </w:p>
    <w:p w14:paraId="0F211554" w14:textId="3105F9B5" w:rsidR="00357A1D" w:rsidRPr="000D07BE" w:rsidRDefault="00357A1D" w:rsidP="009B406F">
      <w:pPr>
        <w:pStyle w:val="NbrHeading3"/>
      </w:pPr>
      <w:bookmarkStart w:id="26" w:name="_Toc153899494"/>
      <w:r w:rsidRPr="000D07BE">
        <w:t>Suicidality</w:t>
      </w:r>
      <w:bookmarkEnd w:id="26"/>
      <w:r w:rsidRPr="000D07BE">
        <w:t xml:space="preserve"> </w:t>
      </w:r>
    </w:p>
    <w:p w14:paraId="13B140CA" w14:textId="5784DA28" w:rsidR="00B73A5E" w:rsidRDefault="00B73A5E" w:rsidP="00B73A5E">
      <w:pPr>
        <w:rPr>
          <w:lang w:eastAsia="en-AU"/>
        </w:rPr>
      </w:pPr>
      <w:r>
        <w:rPr>
          <w:lang w:eastAsia="en-AU"/>
        </w:rPr>
        <w:t>Compared to the general population, research indicate</w:t>
      </w:r>
      <w:r w:rsidR="00BF7404">
        <w:rPr>
          <w:lang w:eastAsia="en-AU"/>
        </w:rPr>
        <w:t>s</w:t>
      </w:r>
      <w:r>
        <w:rPr>
          <w:lang w:eastAsia="en-AU"/>
        </w:rPr>
        <w:t xml:space="preserve"> that LGBT</w:t>
      </w:r>
      <w:r w:rsidR="001C18F3">
        <w:rPr>
          <w:lang w:eastAsia="en-AU"/>
        </w:rPr>
        <w:t>Q</w:t>
      </w:r>
      <w:r>
        <w:rPr>
          <w:lang w:eastAsia="en-AU"/>
        </w:rPr>
        <w:t xml:space="preserve">+ people are at a higher risk of suicidal </w:t>
      </w:r>
      <w:r w:rsidR="2BAD727C" w:rsidRPr="2816B3E4">
        <w:rPr>
          <w:lang w:eastAsia="en-AU"/>
        </w:rPr>
        <w:t>thoughts and behaviours.</w:t>
      </w:r>
      <w:r>
        <w:rPr>
          <w:lang w:eastAsia="en-AU"/>
        </w:rPr>
        <w:t xml:space="preserve"> </w:t>
      </w:r>
    </w:p>
    <w:p w14:paraId="7D4DD69A" w14:textId="371C3A4C" w:rsidR="00357A1D" w:rsidRDefault="00D71FAA" w:rsidP="007545EA">
      <w:r>
        <w:rPr>
          <w:lang w:eastAsia="en-AU"/>
        </w:rPr>
        <w:lastRenderedPageBreak/>
        <w:t xml:space="preserve">Data highlighted in LHA’s 2021 Snapshot </w:t>
      </w:r>
      <w:r w:rsidR="0091102C">
        <w:rPr>
          <w:lang w:eastAsia="en-AU"/>
        </w:rPr>
        <w:t>reports that</w:t>
      </w:r>
      <w:r w:rsidR="00723345">
        <w:rPr>
          <w:lang w:val="en-US"/>
        </w:rPr>
        <w:t xml:space="preserve"> </w:t>
      </w:r>
      <w:r w:rsidR="00357A1D">
        <w:rPr>
          <w:lang w:eastAsia="en-AU"/>
        </w:rPr>
        <w:t>LGBT</w:t>
      </w:r>
      <w:r w:rsidR="00BB095A">
        <w:rPr>
          <w:lang w:eastAsia="en-AU"/>
        </w:rPr>
        <w:t>Q</w:t>
      </w:r>
      <w:r w:rsidR="00357A1D" w:rsidRPr="00F10B21">
        <w:rPr>
          <w:lang w:eastAsia="en-AU"/>
        </w:rPr>
        <w:t>+ people are more likely to attempt suicide</w:t>
      </w:r>
      <w:r w:rsidR="008B21CA">
        <w:rPr>
          <w:lang w:eastAsia="en-AU"/>
        </w:rPr>
        <w:t>,</w:t>
      </w:r>
      <w:r w:rsidR="00EA36ED">
        <w:rPr>
          <w:lang w:eastAsia="en-AU"/>
        </w:rPr>
        <w:t xml:space="preserve"> compared to the general population</w:t>
      </w:r>
      <w:r w:rsidR="003D1FE5">
        <w:rPr>
          <w:lang w:eastAsia="en-AU"/>
        </w:rPr>
        <w:t>. For example</w:t>
      </w:r>
      <w:r w:rsidR="007D4654">
        <w:rPr>
          <w:lang w:eastAsia="en-AU"/>
        </w:rPr>
        <w:t xml:space="preserve">, </w:t>
      </w:r>
      <w:r w:rsidR="007545EA">
        <w:rPr>
          <w:lang w:eastAsia="en-AU"/>
        </w:rPr>
        <w:t>across separate research studies</w:t>
      </w:r>
      <w:r w:rsidR="008B21CA">
        <w:rPr>
          <w:lang w:eastAsia="en-AU"/>
        </w:rPr>
        <w:t>,</w:t>
      </w:r>
      <w:r w:rsidR="007545EA">
        <w:rPr>
          <w:lang w:eastAsia="en-AU"/>
        </w:rPr>
        <w:t xml:space="preserve"> </w:t>
      </w:r>
      <w:r w:rsidR="00357A1D">
        <w:t>30</w:t>
      </w:r>
      <w:r w:rsidR="00357A1D" w:rsidDel="003D1FE5">
        <w:t>.3</w:t>
      </w:r>
      <w:r w:rsidR="00357A1D">
        <w:t>% of LGBTI people aged 18 and over</w:t>
      </w:r>
      <w:r w:rsidR="00357A1D">
        <w:rPr>
          <w:rStyle w:val="FootnoteReference"/>
        </w:rPr>
        <w:footnoteReference w:id="29"/>
      </w:r>
      <w:r w:rsidR="007545EA">
        <w:t xml:space="preserve">, and </w:t>
      </w:r>
      <w:r w:rsidR="00357A1D">
        <w:t>48% of transgender and gender diverse people aged 14 to 25</w:t>
      </w:r>
      <w:r w:rsidR="008B21CA">
        <w:t>,</w:t>
      </w:r>
      <w:r w:rsidR="00357A1D">
        <w:t xml:space="preserve"> reported that they had attempted suicide in their lifetime.</w:t>
      </w:r>
      <w:r w:rsidR="00357A1D" w:rsidRPr="001C4362">
        <w:rPr>
          <w:rStyle w:val="FootnoteTextChar"/>
          <w:vertAlign w:val="superscript"/>
        </w:rPr>
        <w:footnoteReference w:id="30"/>
      </w:r>
      <w:r w:rsidR="00357A1D">
        <w:t xml:space="preserve"> In comparison,</w:t>
      </w:r>
      <w:r w:rsidR="00F24169">
        <w:t xml:space="preserve"> </w:t>
      </w:r>
      <w:r w:rsidR="00E3264E">
        <w:t>in</w:t>
      </w:r>
      <w:r w:rsidR="00FD4037">
        <w:t xml:space="preserve"> </w:t>
      </w:r>
      <w:r w:rsidR="006C4BF6">
        <w:t>the NSMHW 2022</w:t>
      </w:r>
      <w:r w:rsidR="00E3264E">
        <w:t>,</w:t>
      </w:r>
      <w:r w:rsidR="006C4BF6">
        <w:t xml:space="preserve"> </w:t>
      </w:r>
      <w:r w:rsidR="00F24169">
        <w:t xml:space="preserve">4.9% of all persons </w:t>
      </w:r>
      <w:r w:rsidR="00357A1D">
        <w:t>reported that they had attempted suicide in their lifetime.</w:t>
      </w:r>
      <w:r w:rsidR="00357A1D">
        <w:rPr>
          <w:rStyle w:val="FootnoteReference"/>
        </w:rPr>
        <w:footnoteReference w:id="31"/>
      </w:r>
    </w:p>
    <w:p w14:paraId="26F5FBC6" w14:textId="06D6DB8B" w:rsidR="00721CCC" w:rsidRDefault="00CF5569" w:rsidP="00741524">
      <w:pPr>
        <w:pStyle w:val="ListBullet0"/>
        <w:numPr>
          <w:ilvl w:val="0"/>
          <w:numId w:val="0"/>
        </w:numPr>
      </w:pPr>
      <w:r>
        <w:t xml:space="preserve">The </w:t>
      </w:r>
      <w:r w:rsidR="00903453" w:rsidDel="00B900C5">
        <w:t xml:space="preserve">available </w:t>
      </w:r>
      <w:r w:rsidR="00903453">
        <w:t xml:space="preserve">data </w:t>
      </w:r>
      <w:r>
        <w:t xml:space="preserve">also </w:t>
      </w:r>
      <w:r w:rsidR="00903453">
        <w:t>indicate</w:t>
      </w:r>
      <w:r w:rsidR="00C37562">
        <w:t>s</w:t>
      </w:r>
      <w:r w:rsidR="00903453">
        <w:t xml:space="preserve"> that </w:t>
      </w:r>
      <w:r w:rsidR="00357A1D">
        <w:t>L</w:t>
      </w:r>
      <w:r w:rsidR="000B124E">
        <w:t>GBTQ</w:t>
      </w:r>
      <w:r w:rsidR="00357A1D">
        <w:t>+ people are more likely to have experienced suicidal ideation</w:t>
      </w:r>
      <w:r w:rsidR="000B124E">
        <w:t>. For example</w:t>
      </w:r>
      <w:r w:rsidR="005A4C04">
        <w:t>,</w:t>
      </w:r>
      <w:r w:rsidR="00741524">
        <w:t xml:space="preserve"> </w:t>
      </w:r>
      <w:r w:rsidR="00821ADC">
        <w:t xml:space="preserve">one study found that </w:t>
      </w:r>
      <w:r w:rsidR="00357A1D" w:rsidRPr="00FC2781">
        <w:t>7</w:t>
      </w:r>
      <w:r w:rsidR="00A019CB" w:rsidDel="00B900C5">
        <w:t>4.8</w:t>
      </w:r>
      <w:r w:rsidR="00357A1D" w:rsidRPr="00FC2781">
        <w:t>% of LGBTI people aged 18 and over had considered attempting suicide at some point during their lives</w:t>
      </w:r>
      <w:r w:rsidR="00FB5DBB">
        <w:t>.</w:t>
      </w:r>
      <w:r w:rsidR="00695AD5">
        <w:rPr>
          <w:rStyle w:val="FootnoteReference"/>
        </w:rPr>
        <w:footnoteReference w:id="32"/>
      </w:r>
      <w:r w:rsidR="00FB5DBB">
        <w:t xml:space="preserve"> In</w:t>
      </w:r>
      <w:r w:rsidR="00357A1D" w:rsidRPr="00FC2781">
        <w:t xml:space="preserve"> comparison</w:t>
      </w:r>
      <w:r w:rsidR="00FB5DBB">
        <w:t>,</w:t>
      </w:r>
      <w:r w:rsidR="00680155">
        <w:t xml:space="preserve"> in the NSMHW 2022,</w:t>
      </w:r>
      <w:r w:rsidR="00FB5DBB">
        <w:t xml:space="preserve"> 16.7% of the general population </w:t>
      </w:r>
      <w:r w:rsidR="00680155">
        <w:t>reported having suicidal thoughts at some stage in their lifetime.</w:t>
      </w:r>
      <w:r w:rsidR="00680155">
        <w:rPr>
          <w:rStyle w:val="FootnoteReference"/>
        </w:rPr>
        <w:footnoteReference w:id="33"/>
      </w:r>
    </w:p>
    <w:p w14:paraId="607641D2" w14:textId="31DF6920" w:rsidR="00721CCC" w:rsidRDefault="00A443CD" w:rsidP="00A74059">
      <w:pPr>
        <w:pStyle w:val="ListBullet0"/>
        <w:numPr>
          <w:ilvl w:val="0"/>
          <w:numId w:val="0"/>
        </w:numPr>
      </w:pPr>
      <w:r w:rsidRPr="000E2BAE">
        <w:t xml:space="preserve">There is also emerging evidence to </w:t>
      </w:r>
      <w:r w:rsidR="00721CCC" w:rsidRPr="000E2BAE">
        <w:t>suggest that</w:t>
      </w:r>
      <w:r w:rsidRPr="000E2BAE">
        <w:t xml:space="preserve"> L</w:t>
      </w:r>
      <w:r w:rsidR="00721CCC" w:rsidRPr="000E2BAE">
        <w:t>GBT</w:t>
      </w:r>
      <w:r w:rsidR="0042218F">
        <w:t>Q</w:t>
      </w:r>
      <w:r w:rsidR="00721CCC" w:rsidRPr="000E2BAE">
        <w:t xml:space="preserve">+ people </w:t>
      </w:r>
      <w:r w:rsidR="0009389E" w:rsidRPr="000E2BAE">
        <w:t xml:space="preserve">with intersecting </w:t>
      </w:r>
      <w:r w:rsidR="009F2F3D" w:rsidRPr="000E2BAE">
        <w:t xml:space="preserve">issues or </w:t>
      </w:r>
      <w:r w:rsidR="0009389E" w:rsidRPr="000E2BAE">
        <w:t xml:space="preserve">minority </w:t>
      </w:r>
      <w:r w:rsidR="009F2F3D" w:rsidRPr="000E2BAE">
        <w:t>status</w:t>
      </w:r>
      <w:r w:rsidR="00B24227">
        <w:t xml:space="preserve"> – such </w:t>
      </w:r>
      <w:r w:rsidR="009F2F3D" w:rsidRPr="000E2BAE">
        <w:t xml:space="preserve">as </w:t>
      </w:r>
      <w:r w:rsidR="0009389E" w:rsidRPr="000E2BAE">
        <w:t xml:space="preserve">from diverse cultural backgrounds or </w:t>
      </w:r>
      <w:r w:rsidR="003B7678">
        <w:t>those with</w:t>
      </w:r>
      <w:r w:rsidR="0009389E" w:rsidRPr="000E2BAE">
        <w:t xml:space="preserve"> a disability</w:t>
      </w:r>
      <w:r w:rsidR="00B24227">
        <w:t xml:space="preserve"> – are </w:t>
      </w:r>
      <w:r w:rsidR="0009389E" w:rsidRPr="000E2BAE">
        <w:t xml:space="preserve">at even greater risk of poor mental health and suicide outcomes. For example, </w:t>
      </w:r>
      <w:r w:rsidR="00001A54" w:rsidRPr="000E2BAE">
        <w:t>the Disability Royal Commission</w:t>
      </w:r>
      <w:r w:rsidR="000D75CA">
        <w:t>’s</w:t>
      </w:r>
      <w:r w:rsidR="00001A54" w:rsidRPr="000E2BAE">
        <w:t xml:space="preserve"> </w:t>
      </w:r>
      <w:r w:rsidR="00FD5AF4">
        <w:t xml:space="preserve">2023 </w:t>
      </w:r>
      <w:r w:rsidR="00001A54" w:rsidRPr="000E2BAE">
        <w:t xml:space="preserve">Final Report </w:t>
      </w:r>
      <w:r w:rsidR="00FD5AF4">
        <w:t>indicated that</w:t>
      </w:r>
      <w:r w:rsidR="00001A54" w:rsidRPr="000E2BAE">
        <w:t xml:space="preserve"> approximately </w:t>
      </w:r>
      <w:r w:rsidR="00721CCC" w:rsidRPr="000E2BAE">
        <w:t xml:space="preserve">nine in ten LGBTQA+ adults with disability reported experiencing suicidal ideation at </w:t>
      </w:r>
      <w:r w:rsidR="003B7678">
        <w:t>some</w:t>
      </w:r>
      <w:r w:rsidR="003B7678" w:rsidRPr="000E2BAE">
        <w:t xml:space="preserve"> </w:t>
      </w:r>
      <w:r w:rsidR="00721CCC" w:rsidRPr="000E2BAE">
        <w:t>stage in their lifetime (88%)</w:t>
      </w:r>
      <w:r w:rsidR="003B7678">
        <w:t>,</w:t>
      </w:r>
      <w:r w:rsidR="00721CCC" w:rsidRPr="000E2BAE">
        <w:t xml:space="preserve"> compared to one-in-ten of </w:t>
      </w:r>
      <w:r w:rsidR="007D0866" w:rsidRPr="000E2BAE">
        <w:t xml:space="preserve">the </w:t>
      </w:r>
      <w:r w:rsidR="00721CCC" w:rsidRPr="000E2BAE">
        <w:t>general population (13%).</w:t>
      </w:r>
      <w:r w:rsidR="00721CCC" w:rsidRPr="000E2BAE">
        <w:rPr>
          <w:rStyle w:val="FootnoteReference"/>
        </w:rPr>
        <w:footnoteReference w:id="34"/>
      </w:r>
    </w:p>
    <w:p w14:paraId="5B0B0FAB" w14:textId="53B5384F" w:rsidR="00F30090" w:rsidRDefault="00725029" w:rsidP="00A74059">
      <w:pPr>
        <w:pStyle w:val="ListBullet0"/>
        <w:numPr>
          <w:ilvl w:val="0"/>
          <w:numId w:val="0"/>
        </w:numPr>
      </w:pPr>
      <w:r>
        <w:t>Taken together, these statistics</w:t>
      </w:r>
      <w:r w:rsidR="00EF7156">
        <w:t>,</w:t>
      </w:r>
      <w:r w:rsidR="00685679">
        <w:t xml:space="preserve"> </w:t>
      </w:r>
      <w:r w:rsidR="003B7678">
        <w:t xml:space="preserve">while </w:t>
      </w:r>
      <w:r w:rsidR="00685679">
        <w:t xml:space="preserve">noting their limitations, </w:t>
      </w:r>
      <w:r>
        <w:t xml:space="preserve">indicate a pressing need for </w:t>
      </w:r>
      <w:r w:rsidR="00EF7156">
        <w:t>a targ</w:t>
      </w:r>
      <w:r w:rsidR="00685679">
        <w:t>e</w:t>
      </w:r>
      <w:r w:rsidR="00EF7156">
        <w:t>ted response to address mental health distress and suicide risk in Australia</w:t>
      </w:r>
      <w:r w:rsidR="00685679">
        <w:t>.</w:t>
      </w:r>
    </w:p>
    <w:p w14:paraId="0DE5F247" w14:textId="77777777" w:rsidR="00336A8D" w:rsidRPr="00595E32" w:rsidRDefault="00336A8D" w:rsidP="00595E32">
      <w:r w:rsidRPr="00595E32">
        <w:br w:type="page"/>
      </w:r>
    </w:p>
    <w:p w14:paraId="606BC04D" w14:textId="4BA2F1C7" w:rsidR="00D763FD" w:rsidRPr="00721CCC" w:rsidRDefault="00B356B1" w:rsidP="00D763FD">
      <w:pPr>
        <w:pStyle w:val="NbrHeading1"/>
      </w:pPr>
      <w:bookmarkStart w:id="27" w:name="_Toc153899495"/>
      <w:r>
        <w:lastRenderedPageBreak/>
        <w:t xml:space="preserve">Overview </w:t>
      </w:r>
      <w:r w:rsidR="00166927">
        <w:t xml:space="preserve">Australia’s </w:t>
      </w:r>
      <w:r w:rsidR="00B8343A">
        <w:t>policy and</w:t>
      </w:r>
      <w:r w:rsidR="00E90FA3">
        <w:t xml:space="preserve"> </w:t>
      </w:r>
      <w:r w:rsidR="00166927">
        <w:t>service landscape</w:t>
      </w:r>
      <w:bookmarkEnd w:id="27"/>
    </w:p>
    <w:p w14:paraId="660BC3E2" w14:textId="77777777" w:rsidR="00C2399D" w:rsidRDefault="00727C40" w:rsidP="00C2399D">
      <w:pPr>
        <w:rPr>
          <w:i/>
          <w:iCs/>
          <w:color w:val="0F4BEB" w:themeColor="accent1"/>
        </w:rPr>
      </w:pPr>
      <w:r w:rsidRPr="008548CA">
        <w:t>This section outlines the current state of policy and service provision related to mental health, wellbeing, and suicide prevention for LGBT</w:t>
      </w:r>
      <w:r w:rsidR="00A023D8" w:rsidRPr="008548CA">
        <w:t>Q</w:t>
      </w:r>
      <w:r w:rsidRPr="008548CA">
        <w:t>+ people in Australia. It provides the background and context against which other section</w:t>
      </w:r>
      <w:r w:rsidR="00D94CA5" w:rsidRPr="008548CA">
        <w:t>s</w:t>
      </w:r>
      <w:r w:rsidRPr="008548CA">
        <w:t xml:space="preserve"> of this report </w:t>
      </w:r>
      <w:r w:rsidR="00D94CA5" w:rsidRPr="008548CA">
        <w:t>should be read</w:t>
      </w:r>
    </w:p>
    <w:p w14:paraId="043BC2C3" w14:textId="1752FEF5" w:rsidR="00727C40" w:rsidRPr="00C2399D" w:rsidRDefault="00727C40" w:rsidP="00C2399D">
      <w:r w:rsidRPr="0034306E">
        <w:rPr>
          <w:i/>
          <w:iCs/>
          <w:color w:val="0F4BEB" w:themeColor="accent1"/>
        </w:rPr>
        <w:t xml:space="preserve">Further information about method and focus can be found at Section 1.2. </w:t>
      </w:r>
    </w:p>
    <w:p w14:paraId="369F59AA" w14:textId="29AC32FA" w:rsidR="00727C40" w:rsidRPr="00D440BB" w:rsidRDefault="00662686" w:rsidP="009B406F">
      <w:pPr>
        <w:pStyle w:val="NbrHeading2"/>
      </w:pPr>
      <w:bookmarkStart w:id="28" w:name="_Toc153899496"/>
      <w:r>
        <w:t>Introduction to</w:t>
      </w:r>
      <w:r w:rsidR="006E590A">
        <w:t xml:space="preserve"> this Section</w:t>
      </w:r>
      <w:bookmarkEnd w:id="28"/>
    </w:p>
    <w:p w14:paraId="07E677CB" w14:textId="6AAEFF94" w:rsidR="00340F1F" w:rsidRPr="00B33DCC" w:rsidRDefault="00340F1F" w:rsidP="00340F1F">
      <w:pPr>
        <w:rPr>
          <w:lang w:eastAsia="en-AU"/>
        </w:rPr>
      </w:pPr>
      <w:r w:rsidRPr="00B33DCC">
        <w:rPr>
          <w:lang w:eastAsia="en-AU"/>
        </w:rPr>
        <w:t xml:space="preserve">There is a </w:t>
      </w:r>
      <w:r w:rsidR="00B33DCC" w:rsidRPr="00B33DCC">
        <w:rPr>
          <w:lang w:eastAsia="en-AU"/>
        </w:rPr>
        <w:t xml:space="preserve">diverse range and distribution of services for LGBTQ+ people </w:t>
      </w:r>
      <w:r w:rsidRPr="00B33DCC">
        <w:rPr>
          <w:lang w:eastAsia="en-AU"/>
        </w:rPr>
        <w:t>in Australia who need support related to mental health, wellbeing, and suicide prevention. Reflecting the broader health system, these services are administered, funded, and delivered through a mix of Commonwealth, state/territory, private</w:t>
      </w:r>
      <w:r w:rsidR="000B6E6F">
        <w:rPr>
          <w:lang w:eastAsia="en-AU"/>
        </w:rPr>
        <w:t>,</w:t>
      </w:r>
      <w:r w:rsidRPr="00B33DCC">
        <w:rPr>
          <w:lang w:eastAsia="en-AU"/>
        </w:rPr>
        <w:t xml:space="preserve"> and not-for-profit mechanisms. </w:t>
      </w:r>
    </w:p>
    <w:p w14:paraId="5992FBF4" w14:textId="37D8E1D1" w:rsidR="00AB4CFD" w:rsidRDefault="009C11CE" w:rsidP="004E20AB">
      <w:pPr>
        <w:rPr>
          <w:lang w:eastAsia="en-AU"/>
        </w:rPr>
      </w:pPr>
      <w:r>
        <w:rPr>
          <w:lang w:eastAsia="en-AU"/>
        </w:rPr>
        <w:t>Most</w:t>
      </w:r>
      <w:r w:rsidR="00340F1F">
        <w:rPr>
          <w:lang w:eastAsia="en-AU"/>
        </w:rPr>
        <w:t xml:space="preserve"> of the mental health, wellbeing, and suicide prevention services available are designed for the general community (referred to as ‘mainstream services’, see Section 3.4.2)</w:t>
      </w:r>
      <w:r>
        <w:rPr>
          <w:lang w:eastAsia="en-AU"/>
        </w:rPr>
        <w:t>.</w:t>
      </w:r>
      <w:r w:rsidR="000B6E6F">
        <w:rPr>
          <w:lang w:eastAsia="en-AU"/>
        </w:rPr>
        <w:t xml:space="preserve"> However,</w:t>
      </w:r>
      <w:r w:rsidR="00340F1F">
        <w:rPr>
          <w:lang w:eastAsia="en-AU"/>
        </w:rPr>
        <w:t xml:space="preserve"> there is also a patchwork of services which are specifically designed for, and often delivered by, LGBT</w:t>
      </w:r>
      <w:r w:rsidR="00240B6B">
        <w:rPr>
          <w:lang w:eastAsia="en-AU"/>
        </w:rPr>
        <w:t>Q</w:t>
      </w:r>
      <w:r w:rsidR="00340F1F">
        <w:rPr>
          <w:lang w:eastAsia="en-AU"/>
        </w:rPr>
        <w:t>+ people (</w:t>
      </w:r>
      <w:r w:rsidR="000B0DE0">
        <w:rPr>
          <w:lang w:eastAsia="en-AU"/>
        </w:rPr>
        <w:t>referred to as ‘LGBT</w:t>
      </w:r>
      <w:r w:rsidR="00240B6B">
        <w:rPr>
          <w:lang w:eastAsia="en-AU"/>
        </w:rPr>
        <w:t>Q</w:t>
      </w:r>
      <w:r w:rsidR="000B0DE0">
        <w:rPr>
          <w:lang w:eastAsia="en-AU"/>
        </w:rPr>
        <w:t xml:space="preserve">+ specialist services, </w:t>
      </w:r>
      <w:r w:rsidR="00340F1F">
        <w:rPr>
          <w:lang w:eastAsia="en-AU"/>
        </w:rPr>
        <w:t>see Section 3.4.3).</w:t>
      </w:r>
    </w:p>
    <w:p w14:paraId="2F8E5CFF" w14:textId="66DB1159" w:rsidR="00340F1F" w:rsidRPr="006E6202" w:rsidRDefault="004B4B1B" w:rsidP="00B252B5">
      <w:pPr>
        <w:rPr>
          <w:lang w:eastAsia="en-AU"/>
        </w:rPr>
      </w:pPr>
      <w:r w:rsidRPr="006E6202">
        <w:rPr>
          <w:lang w:eastAsia="en-AU"/>
        </w:rPr>
        <w:t xml:space="preserve">It appears, however, that </w:t>
      </w:r>
      <w:r w:rsidR="00340F1F" w:rsidRPr="006E6202">
        <w:rPr>
          <w:lang w:eastAsia="en-AU"/>
        </w:rPr>
        <w:t>LGBT</w:t>
      </w:r>
      <w:r w:rsidR="00240B6B" w:rsidRPr="006E6202">
        <w:rPr>
          <w:lang w:eastAsia="en-AU"/>
        </w:rPr>
        <w:t>Q</w:t>
      </w:r>
      <w:r w:rsidR="00340F1F" w:rsidRPr="006E6202">
        <w:rPr>
          <w:lang w:eastAsia="en-AU"/>
        </w:rPr>
        <w:t xml:space="preserve">+ specialist services are often only available in limited locations – with only a few examples of services with either state-wide or national coverage. </w:t>
      </w:r>
      <w:r w:rsidR="00AB4CFD" w:rsidRPr="006E6202">
        <w:rPr>
          <w:lang w:eastAsia="en-AU"/>
        </w:rPr>
        <w:t>Evidence</w:t>
      </w:r>
      <w:r w:rsidR="007838C7" w:rsidRPr="006E6202">
        <w:rPr>
          <w:lang w:eastAsia="en-AU"/>
        </w:rPr>
        <w:t xml:space="preserve"> </w:t>
      </w:r>
      <w:r w:rsidR="004B0309" w:rsidRPr="006E6202">
        <w:rPr>
          <w:lang w:eastAsia="en-AU"/>
        </w:rPr>
        <w:t xml:space="preserve">also </w:t>
      </w:r>
      <w:r w:rsidR="007838C7" w:rsidRPr="006E6202">
        <w:rPr>
          <w:lang w:eastAsia="en-AU"/>
        </w:rPr>
        <w:t>indicate</w:t>
      </w:r>
      <w:r w:rsidR="004B0309" w:rsidRPr="006E6202">
        <w:rPr>
          <w:lang w:eastAsia="en-AU"/>
        </w:rPr>
        <w:t>s</w:t>
      </w:r>
      <w:r w:rsidR="007838C7" w:rsidRPr="006E6202">
        <w:rPr>
          <w:lang w:eastAsia="en-AU"/>
        </w:rPr>
        <w:t xml:space="preserve"> that mainstream services </w:t>
      </w:r>
      <w:r w:rsidR="00A21407" w:rsidRPr="006E6202">
        <w:rPr>
          <w:lang w:eastAsia="en-AU"/>
        </w:rPr>
        <w:t xml:space="preserve">are, in some cases, not </w:t>
      </w:r>
      <w:r w:rsidR="0069449C" w:rsidRPr="006E6202">
        <w:rPr>
          <w:lang w:eastAsia="en-AU"/>
        </w:rPr>
        <w:t>equipped to provide best practice care for LGBT</w:t>
      </w:r>
      <w:r w:rsidR="00240B6B" w:rsidRPr="006E6202">
        <w:rPr>
          <w:lang w:eastAsia="en-AU"/>
        </w:rPr>
        <w:t>Q</w:t>
      </w:r>
      <w:r w:rsidR="0069449C" w:rsidRPr="006E6202">
        <w:rPr>
          <w:lang w:eastAsia="en-AU"/>
        </w:rPr>
        <w:t xml:space="preserve">+ </w:t>
      </w:r>
      <w:proofErr w:type="gramStart"/>
      <w:r w:rsidR="002D75DC" w:rsidRPr="006E6202">
        <w:rPr>
          <w:lang w:eastAsia="en-AU"/>
        </w:rPr>
        <w:t>people</w:t>
      </w:r>
      <w:r w:rsidR="000B6E6F">
        <w:rPr>
          <w:lang w:eastAsia="en-AU"/>
        </w:rPr>
        <w:t>,</w:t>
      </w:r>
      <w:r w:rsidR="002D75DC" w:rsidRPr="006E6202">
        <w:rPr>
          <w:lang w:eastAsia="en-AU"/>
        </w:rPr>
        <w:t xml:space="preserve"> </w:t>
      </w:r>
      <w:r w:rsidR="004E20AB" w:rsidRPr="006E6202">
        <w:rPr>
          <w:lang w:eastAsia="en-AU"/>
        </w:rPr>
        <w:t>and</w:t>
      </w:r>
      <w:proofErr w:type="gramEnd"/>
      <w:r w:rsidR="004E20AB" w:rsidRPr="006E6202">
        <w:rPr>
          <w:lang w:eastAsia="en-AU"/>
        </w:rPr>
        <w:t xml:space="preserve"> can expose LGBT</w:t>
      </w:r>
      <w:r w:rsidR="00240B6B" w:rsidRPr="006E6202">
        <w:rPr>
          <w:lang w:eastAsia="en-AU"/>
        </w:rPr>
        <w:t>Q</w:t>
      </w:r>
      <w:r w:rsidR="004E20AB" w:rsidRPr="006E6202">
        <w:rPr>
          <w:lang w:eastAsia="en-AU"/>
        </w:rPr>
        <w:t>+ people to stigmatising and harmful experiences (</w:t>
      </w:r>
      <w:r w:rsidR="004E20AB" w:rsidRPr="00D4083B">
        <w:rPr>
          <w:lang w:eastAsia="en-AU"/>
        </w:rPr>
        <w:t>se</w:t>
      </w:r>
      <w:r w:rsidR="00EE6B54" w:rsidRPr="00D4083B">
        <w:rPr>
          <w:lang w:eastAsia="en-AU"/>
        </w:rPr>
        <w:t>e Section 5</w:t>
      </w:r>
      <w:r w:rsidR="004E20AB" w:rsidRPr="006E6202">
        <w:rPr>
          <w:lang w:eastAsia="en-AU"/>
        </w:rPr>
        <w:t xml:space="preserve">). </w:t>
      </w:r>
      <w:r w:rsidR="00340F1F" w:rsidRPr="006E6202">
        <w:rPr>
          <w:lang w:eastAsia="en-AU"/>
        </w:rPr>
        <w:t>As such, LGBT</w:t>
      </w:r>
      <w:r w:rsidR="00240B6B" w:rsidRPr="006E6202">
        <w:rPr>
          <w:lang w:eastAsia="en-AU"/>
        </w:rPr>
        <w:t>Q</w:t>
      </w:r>
      <w:r w:rsidR="00340F1F" w:rsidRPr="006E6202">
        <w:rPr>
          <w:lang w:eastAsia="en-AU"/>
        </w:rPr>
        <w:t xml:space="preserve">+ </w:t>
      </w:r>
      <w:r w:rsidR="00B252B5">
        <w:rPr>
          <w:lang w:eastAsia="en-AU"/>
        </w:rPr>
        <w:t>peak bodies</w:t>
      </w:r>
      <w:r w:rsidR="00340F1F" w:rsidRPr="006E6202">
        <w:rPr>
          <w:lang w:eastAsia="en-AU"/>
        </w:rPr>
        <w:t xml:space="preserve"> have called for improvements to</w:t>
      </w:r>
      <w:r w:rsidR="004E20AB" w:rsidRPr="006E6202">
        <w:rPr>
          <w:lang w:eastAsia="en-AU"/>
        </w:rPr>
        <w:t xml:space="preserve"> mainstream services and</w:t>
      </w:r>
      <w:r w:rsidR="00340F1F" w:rsidRPr="006E6202">
        <w:rPr>
          <w:lang w:eastAsia="en-AU"/>
        </w:rPr>
        <w:t xml:space="preserve"> the availability of LGBT</w:t>
      </w:r>
      <w:r w:rsidR="00240B6B" w:rsidRPr="006E6202">
        <w:rPr>
          <w:lang w:eastAsia="en-AU"/>
        </w:rPr>
        <w:t>Q</w:t>
      </w:r>
      <w:r w:rsidR="00340F1F" w:rsidRPr="006E6202">
        <w:rPr>
          <w:lang w:eastAsia="en-AU"/>
        </w:rPr>
        <w:t>+ specialist services to ensure an adequate continuum of safe and affirming mental health</w:t>
      </w:r>
      <w:r w:rsidR="00C451ED" w:rsidRPr="006E6202">
        <w:rPr>
          <w:lang w:eastAsia="en-AU"/>
        </w:rPr>
        <w:t>, wellbeing</w:t>
      </w:r>
      <w:r w:rsidR="00466863" w:rsidRPr="006E6202">
        <w:rPr>
          <w:lang w:eastAsia="en-AU"/>
        </w:rPr>
        <w:t>,</w:t>
      </w:r>
      <w:r w:rsidR="00C451ED" w:rsidRPr="006E6202">
        <w:rPr>
          <w:lang w:eastAsia="en-AU"/>
        </w:rPr>
        <w:t xml:space="preserve"> and suicide prevention</w:t>
      </w:r>
      <w:r w:rsidR="00340F1F" w:rsidRPr="006E6202">
        <w:rPr>
          <w:lang w:eastAsia="en-AU"/>
        </w:rPr>
        <w:t xml:space="preserve"> care in all locations.</w:t>
      </w:r>
      <w:r w:rsidR="00B252B5" w:rsidRPr="00B252B5">
        <w:rPr>
          <w:vertAlign w:val="superscript"/>
        </w:rPr>
        <w:t xml:space="preserve"> </w:t>
      </w:r>
      <w:r w:rsidR="00B252B5" w:rsidRPr="00B252B5">
        <w:rPr>
          <w:vertAlign w:val="superscript"/>
          <w:lang w:eastAsia="en-AU"/>
        </w:rPr>
        <w:footnoteReference w:id="35"/>
      </w:r>
      <w:r w:rsidR="00340F1F" w:rsidRPr="006E6202">
        <w:rPr>
          <w:lang w:eastAsia="en-AU"/>
        </w:rPr>
        <w:t xml:space="preserve"> </w:t>
      </w:r>
    </w:p>
    <w:p w14:paraId="14A182F3" w14:textId="647968EB" w:rsidR="005C7CE2" w:rsidRDefault="00340F1F" w:rsidP="00340F1F">
      <w:pPr>
        <w:rPr>
          <w:lang w:eastAsia="en-AU"/>
        </w:rPr>
      </w:pPr>
      <w:r w:rsidRPr="006E6202">
        <w:rPr>
          <w:lang w:eastAsia="en-AU"/>
        </w:rPr>
        <w:t>Accompanying the various policy instruments supporting</w:t>
      </w:r>
      <w:r w:rsidR="00EF7DB4" w:rsidRPr="006E6202">
        <w:rPr>
          <w:lang w:eastAsia="en-AU"/>
        </w:rPr>
        <w:t xml:space="preserve"> improvements to</w:t>
      </w:r>
      <w:r w:rsidRPr="006E6202">
        <w:rPr>
          <w:lang w:eastAsia="en-AU"/>
        </w:rPr>
        <w:t xml:space="preserve"> the wider mental health system, there are</w:t>
      </w:r>
      <w:r w:rsidR="00821D06" w:rsidRPr="006E6202">
        <w:rPr>
          <w:lang w:eastAsia="en-AU"/>
        </w:rPr>
        <w:t xml:space="preserve"> </w:t>
      </w:r>
      <w:r w:rsidR="006D12A3" w:rsidRPr="006E6202">
        <w:rPr>
          <w:lang w:eastAsia="en-AU"/>
        </w:rPr>
        <w:t>some</w:t>
      </w:r>
      <w:r w:rsidR="00AE6DC5" w:rsidRPr="006E6202">
        <w:rPr>
          <w:lang w:eastAsia="en-AU"/>
        </w:rPr>
        <w:t xml:space="preserve"> policies</w:t>
      </w:r>
      <w:r w:rsidR="006842B9" w:rsidRPr="006E6202">
        <w:rPr>
          <w:lang w:eastAsia="en-AU"/>
        </w:rPr>
        <w:t>, strategies</w:t>
      </w:r>
      <w:r w:rsidR="007E500B" w:rsidRPr="006E6202">
        <w:rPr>
          <w:lang w:eastAsia="en-AU"/>
        </w:rPr>
        <w:t>,</w:t>
      </w:r>
      <w:r w:rsidR="00AE6DC5" w:rsidRPr="006E6202">
        <w:rPr>
          <w:lang w:eastAsia="en-AU"/>
        </w:rPr>
        <w:t xml:space="preserve"> and </w:t>
      </w:r>
      <w:r w:rsidR="007C29CA" w:rsidRPr="006E6202">
        <w:rPr>
          <w:lang w:eastAsia="en-AU"/>
        </w:rPr>
        <w:t>other mechanisms</w:t>
      </w:r>
      <w:r w:rsidR="00193B20" w:rsidRPr="006E6202">
        <w:rPr>
          <w:lang w:eastAsia="en-AU"/>
        </w:rPr>
        <w:t xml:space="preserve"> already</w:t>
      </w:r>
      <w:r w:rsidRPr="006E6202">
        <w:rPr>
          <w:lang w:eastAsia="en-AU"/>
        </w:rPr>
        <w:t xml:space="preserve"> in place at the Commonwealth (see Section 3.3.1)</w:t>
      </w:r>
      <w:r w:rsidR="000B6E6F">
        <w:rPr>
          <w:lang w:eastAsia="en-AU"/>
        </w:rPr>
        <w:t>,</w:t>
      </w:r>
      <w:r w:rsidRPr="006E6202">
        <w:rPr>
          <w:lang w:eastAsia="en-AU"/>
        </w:rPr>
        <w:t xml:space="preserve"> and the state/territory (see Section 3.3.2) levels</w:t>
      </w:r>
      <w:r w:rsidR="000B6E6F">
        <w:rPr>
          <w:lang w:eastAsia="en-AU"/>
        </w:rPr>
        <w:t>,</w:t>
      </w:r>
      <w:r w:rsidRPr="006E6202">
        <w:rPr>
          <w:lang w:eastAsia="en-AU"/>
        </w:rPr>
        <w:t xml:space="preserve"> which are seeking to improve outcomes for</w:t>
      </w:r>
      <w:r w:rsidR="006B4730" w:rsidRPr="006E6202">
        <w:rPr>
          <w:lang w:eastAsia="en-AU"/>
        </w:rPr>
        <w:t>, and the services available to,</w:t>
      </w:r>
      <w:r w:rsidRPr="006E6202">
        <w:rPr>
          <w:lang w:eastAsia="en-AU"/>
        </w:rPr>
        <w:t xml:space="preserve"> LGBT</w:t>
      </w:r>
      <w:r w:rsidR="006E6202">
        <w:rPr>
          <w:lang w:eastAsia="en-AU"/>
        </w:rPr>
        <w:t>Q</w:t>
      </w:r>
      <w:r w:rsidRPr="006E6202">
        <w:rPr>
          <w:lang w:eastAsia="en-AU"/>
        </w:rPr>
        <w:t xml:space="preserve">+ people. </w:t>
      </w:r>
      <w:r w:rsidR="00363741" w:rsidRPr="006E6202">
        <w:rPr>
          <w:lang w:eastAsia="en-AU"/>
        </w:rPr>
        <w:t>Among other instruments</w:t>
      </w:r>
      <w:r w:rsidR="00363741" w:rsidRPr="007525B2">
        <w:rPr>
          <w:lang w:eastAsia="en-AU"/>
        </w:rPr>
        <w:t>, t</w:t>
      </w:r>
      <w:r w:rsidR="008C5DD5" w:rsidRPr="007525B2">
        <w:rPr>
          <w:lang w:eastAsia="en-AU"/>
        </w:rPr>
        <w:t xml:space="preserve">his includes </w:t>
      </w:r>
      <w:r w:rsidR="00FB430A" w:rsidRPr="007525B2">
        <w:rPr>
          <w:lang w:eastAsia="en-AU"/>
        </w:rPr>
        <w:t>dedicated LGBT</w:t>
      </w:r>
      <w:r w:rsidR="006E6202">
        <w:rPr>
          <w:lang w:eastAsia="en-AU"/>
        </w:rPr>
        <w:t>Q</w:t>
      </w:r>
      <w:r w:rsidR="00FB430A" w:rsidRPr="007525B2">
        <w:rPr>
          <w:lang w:eastAsia="en-AU"/>
        </w:rPr>
        <w:t>+ health or whole-of-government strategies in</w:t>
      </w:r>
      <w:r w:rsidR="00774B64" w:rsidRPr="007525B2">
        <w:rPr>
          <w:lang w:eastAsia="en-AU"/>
        </w:rPr>
        <w:t xml:space="preserve"> at least</w:t>
      </w:r>
      <w:r w:rsidR="00FB430A" w:rsidRPr="007525B2">
        <w:rPr>
          <w:lang w:eastAsia="en-AU"/>
        </w:rPr>
        <w:t xml:space="preserve"> five state and territories</w:t>
      </w:r>
      <w:r w:rsidR="00774B64" w:rsidRPr="007525B2">
        <w:rPr>
          <w:lang w:eastAsia="en-AU"/>
        </w:rPr>
        <w:t xml:space="preserve"> (see Section </w:t>
      </w:r>
      <w:r w:rsidR="007525B2">
        <w:rPr>
          <w:lang w:eastAsia="en-AU"/>
        </w:rPr>
        <w:t>3.3.2.1</w:t>
      </w:r>
      <w:r w:rsidR="00774B64" w:rsidRPr="007525B2">
        <w:rPr>
          <w:lang w:eastAsia="en-AU"/>
        </w:rPr>
        <w:t>)</w:t>
      </w:r>
      <w:r w:rsidR="000F6708" w:rsidRPr="007525B2">
        <w:rPr>
          <w:lang w:eastAsia="en-AU"/>
        </w:rPr>
        <w:t xml:space="preserve">, as well as </w:t>
      </w:r>
      <w:r w:rsidR="00664FCB" w:rsidRPr="007525B2">
        <w:rPr>
          <w:lang w:eastAsia="en-AU"/>
        </w:rPr>
        <w:t xml:space="preserve">ongoing lived experience </w:t>
      </w:r>
      <w:r w:rsidR="003E38B3" w:rsidRPr="007525B2">
        <w:rPr>
          <w:lang w:eastAsia="en-AU"/>
        </w:rPr>
        <w:t>input</w:t>
      </w:r>
      <w:r w:rsidR="00664FCB" w:rsidRPr="007525B2">
        <w:rPr>
          <w:lang w:eastAsia="en-AU"/>
        </w:rPr>
        <w:t xml:space="preserve"> provided through </w:t>
      </w:r>
      <w:r w:rsidR="003E38B3" w:rsidRPr="007525B2">
        <w:rPr>
          <w:lang w:eastAsia="en-AU"/>
        </w:rPr>
        <w:t xml:space="preserve">permanent advisory infrastructure (see Section </w:t>
      </w:r>
      <w:r w:rsidR="007525B2">
        <w:rPr>
          <w:lang w:eastAsia="en-AU"/>
        </w:rPr>
        <w:t>3.3.2.2</w:t>
      </w:r>
      <w:r w:rsidR="003E38B3" w:rsidRPr="007525B2">
        <w:rPr>
          <w:lang w:eastAsia="en-AU"/>
        </w:rPr>
        <w:t xml:space="preserve">). </w:t>
      </w:r>
      <w:r w:rsidR="007E500B" w:rsidRPr="007525B2">
        <w:rPr>
          <w:lang w:eastAsia="en-AU"/>
        </w:rPr>
        <w:t>C</w:t>
      </w:r>
      <w:r w:rsidR="00F47210" w:rsidRPr="007525B2">
        <w:rPr>
          <w:lang w:eastAsia="en-AU"/>
        </w:rPr>
        <w:t>ommunity organisations, education providers</w:t>
      </w:r>
      <w:r w:rsidR="000B6E6F">
        <w:rPr>
          <w:lang w:eastAsia="en-AU"/>
        </w:rPr>
        <w:t>,</w:t>
      </w:r>
      <w:r w:rsidR="00F47210" w:rsidRPr="007525B2">
        <w:rPr>
          <w:lang w:eastAsia="en-AU"/>
        </w:rPr>
        <w:t xml:space="preserve"> and industry bodies have </w:t>
      </w:r>
      <w:r w:rsidR="007E500B" w:rsidRPr="007525B2">
        <w:rPr>
          <w:lang w:eastAsia="en-AU"/>
        </w:rPr>
        <w:t>also invested in the development of strategies, best practice guides</w:t>
      </w:r>
      <w:r w:rsidR="000B6E6F">
        <w:rPr>
          <w:lang w:eastAsia="en-AU"/>
        </w:rPr>
        <w:t>,</w:t>
      </w:r>
      <w:r w:rsidR="007E500B" w:rsidRPr="007525B2">
        <w:rPr>
          <w:lang w:eastAsia="en-AU"/>
        </w:rPr>
        <w:t xml:space="preserve"> and other resources to support improvemen</w:t>
      </w:r>
      <w:r w:rsidR="000019B5" w:rsidRPr="007525B2">
        <w:rPr>
          <w:lang w:eastAsia="en-AU"/>
        </w:rPr>
        <w:t>ts for LGBT</w:t>
      </w:r>
      <w:r w:rsidR="006E6202">
        <w:rPr>
          <w:lang w:eastAsia="en-AU"/>
        </w:rPr>
        <w:t>Q</w:t>
      </w:r>
      <w:r w:rsidR="000019B5" w:rsidRPr="007525B2">
        <w:rPr>
          <w:lang w:eastAsia="en-AU"/>
        </w:rPr>
        <w:t>+ people in Australi</w:t>
      </w:r>
      <w:r w:rsidR="00277271">
        <w:rPr>
          <w:lang w:eastAsia="en-AU"/>
        </w:rPr>
        <w:t>a</w:t>
      </w:r>
      <w:r w:rsidR="000019B5" w:rsidRPr="007525B2">
        <w:rPr>
          <w:lang w:eastAsia="en-AU"/>
        </w:rPr>
        <w:t xml:space="preserve"> (see Section </w:t>
      </w:r>
      <w:r w:rsidR="007525B2">
        <w:rPr>
          <w:lang w:eastAsia="en-AU"/>
        </w:rPr>
        <w:t>3.4</w:t>
      </w:r>
      <w:r w:rsidR="000019B5" w:rsidRPr="007525B2">
        <w:rPr>
          <w:lang w:eastAsia="en-AU"/>
        </w:rPr>
        <w:t>)</w:t>
      </w:r>
      <w:r w:rsidR="000B6E6F">
        <w:rPr>
          <w:lang w:eastAsia="en-AU"/>
        </w:rPr>
        <w:t>,</w:t>
      </w:r>
      <w:r w:rsidR="00277271">
        <w:rPr>
          <w:lang w:eastAsia="en-AU"/>
        </w:rPr>
        <w:t xml:space="preserve"> which continue to provide invaluable </w:t>
      </w:r>
      <w:r w:rsidR="0018392E">
        <w:rPr>
          <w:lang w:eastAsia="en-AU"/>
        </w:rPr>
        <w:t>information and direction to those developed by governments.</w:t>
      </w:r>
      <w:r w:rsidR="00277271">
        <w:rPr>
          <w:lang w:eastAsia="en-AU"/>
        </w:rPr>
        <w:t xml:space="preserve">  </w:t>
      </w:r>
    </w:p>
    <w:p w14:paraId="45BB3790" w14:textId="5F0EB819" w:rsidR="005C7CE2" w:rsidRPr="00A73301" w:rsidRDefault="005C7CE2" w:rsidP="00D13CE5">
      <w:pPr>
        <w:ind w:left="720" w:hanging="720"/>
        <w:rPr>
          <w:i/>
          <w:iCs/>
          <w:lang w:eastAsia="en-AU"/>
        </w:rPr>
      </w:pPr>
      <w:r w:rsidRPr="00A73301">
        <w:rPr>
          <w:i/>
          <w:iCs/>
          <w:lang w:eastAsia="en-AU"/>
        </w:rPr>
        <w:lastRenderedPageBreak/>
        <w:t>Note:</w:t>
      </w:r>
      <w:r w:rsidRPr="00A73301">
        <w:rPr>
          <w:i/>
          <w:iCs/>
          <w:lang w:eastAsia="en-AU"/>
        </w:rPr>
        <w:tab/>
      </w:r>
      <w:r w:rsidR="00937DB7" w:rsidRPr="00A73301">
        <w:rPr>
          <w:i/>
          <w:iCs/>
          <w:lang w:eastAsia="en-AU"/>
        </w:rPr>
        <w:t xml:space="preserve">The information that follows is primarily drawn from the source documents </w:t>
      </w:r>
      <w:r w:rsidR="00A73301" w:rsidRPr="00A73301">
        <w:rPr>
          <w:i/>
          <w:iCs/>
          <w:lang w:eastAsia="en-AU"/>
        </w:rPr>
        <w:t xml:space="preserve">referenced. </w:t>
      </w:r>
      <w:r w:rsidR="00A73301">
        <w:rPr>
          <w:i/>
          <w:iCs/>
          <w:lang w:eastAsia="en-AU"/>
        </w:rPr>
        <w:t xml:space="preserve">The section </w:t>
      </w:r>
      <w:r w:rsidR="00A73301" w:rsidRPr="00A73301">
        <w:rPr>
          <w:i/>
          <w:iCs/>
          <w:lang w:eastAsia="en-AU"/>
        </w:rPr>
        <w:t>does not include any evaluation of the</w:t>
      </w:r>
      <w:r w:rsidR="00A73301">
        <w:rPr>
          <w:i/>
          <w:iCs/>
          <w:lang w:eastAsia="en-AU"/>
        </w:rPr>
        <w:t xml:space="preserve"> initiative</w:t>
      </w:r>
      <w:r w:rsidR="00D13CE5">
        <w:rPr>
          <w:i/>
          <w:iCs/>
          <w:lang w:eastAsia="en-AU"/>
        </w:rPr>
        <w:t xml:space="preserve">’s merits or </w:t>
      </w:r>
      <w:r w:rsidR="00A73301" w:rsidRPr="00A73301">
        <w:rPr>
          <w:i/>
          <w:iCs/>
          <w:lang w:eastAsia="en-AU"/>
        </w:rPr>
        <w:t xml:space="preserve"> impacts</w:t>
      </w:r>
      <w:r w:rsidR="00D13CE5">
        <w:rPr>
          <w:i/>
          <w:iCs/>
          <w:lang w:eastAsia="en-AU"/>
        </w:rPr>
        <w:t>. It is included solely to describe the mental health landscape in Australia</w:t>
      </w:r>
      <w:r w:rsidR="00B34AA2">
        <w:rPr>
          <w:i/>
          <w:iCs/>
          <w:lang w:eastAsia="en-AU"/>
        </w:rPr>
        <w:t xml:space="preserve">, and </w:t>
      </w:r>
      <w:r w:rsidR="00ED46BB">
        <w:rPr>
          <w:i/>
          <w:iCs/>
          <w:lang w:eastAsia="en-AU"/>
        </w:rPr>
        <w:t xml:space="preserve">highlight the </w:t>
      </w:r>
      <w:r w:rsidR="00B34AA2">
        <w:rPr>
          <w:i/>
          <w:iCs/>
          <w:lang w:eastAsia="en-AU"/>
        </w:rPr>
        <w:t xml:space="preserve">complexity of </w:t>
      </w:r>
      <w:r w:rsidR="00ED46BB">
        <w:rPr>
          <w:i/>
          <w:iCs/>
          <w:lang w:eastAsia="en-AU"/>
        </w:rPr>
        <w:t>players, policies</w:t>
      </w:r>
      <w:r w:rsidR="000B6E6F">
        <w:rPr>
          <w:i/>
          <w:iCs/>
          <w:lang w:eastAsia="en-AU"/>
        </w:rPr>
        <w:t>,</w:t>
      </w:r>
      <w:r w:rsidR="00ED46BB">
        <w:rPr>
          <w:i/>
          <w:iCs/>
          <w:lang w:eastAsia="en-AU"/>
        </w:rPr>
        <w:t xml:space="preserve"> and activities </w:t>
      </w:r>
      <w:r w:rsidR="005A7705">
        <w:rPr>
          <w:i/>
          <w:iCs/>
          <w:lang w:eastAsia="en-AU"/>
        </w:rPr>
        <w:t xml:space="preserve">that </w:t>
      </w:r>
      <w:r w:rsidR="009300CD">
        <w:rPr>
          <w:i/>
          <w:iCs/>
          <w:lang w:eastAsia="en-AU"/>
        </w:rPr>
        <w:t xml:space="preserve">may </w:t>
      </w:r>
      <w:r w:rsidR="005A7705">
        <w:rPr>
          <w:i/>
          <w:iCs/>
          <w:lang w:eastAsia="en-AU"/>
        </w:rPr>
        <w:t xml:space="preserve">impact </w:t>
      </w:r>
      <w:r w:rsidR="009300CD">
        <w:rPr>
          <w:i/>
          <w:iCs/>
          <w:lang w:eastAsia="en-AU"/>
        </w:rPr>
        <w:t xml:space="preserve">the future mental health and wellbeing </w:t>
      </w:r>
      <w:r w:rsidR="00EC2D99">
        <w:rPr>
          <w:i/>
          <w:iCs/>
          <w:lang w:eastAsia="en-AU"/>
        </w:rPr>
        <w:t xml:space="preserve">of LGBTQ+ </w:t>
      </w:r>
      <w:r w:rsidR="000B6E6F">
        <w:rPr>
          <w:i/>
          <w:iCs/>
          <w:lang w:eastAsia="en-AU"/>
        </w:rPr>
        <w:t xml:space="preserve">people </w:t>
      </w:r>
      <w:r w:rsidR="00EC2D99">
        <w:rPr>
          <w:i/>
          <w:iCs/>
          <w:lang w:eastAsia="en-AU"/>
        </w:rPr>
        <w:t>across Australia.</w:t>
      </w:r>
    </w:p>
    <w:p w14:paraId="18107891" w14:textId="229B954C" w:rsidR="00167016" w:rsidRPr="00674084" w:rsidRDefault="00FE7A25" w:rsidP="009B406F">
      <w:pPr>
        <w:pStyle w:val="NbrHeading2"/>
      </w:pPr>
      <w:bookmarkStart w:id="29" w:name="_Toc153899497"/>
      <w:r w:rsidRPr="00674084">
        <w:t xml:space="preserve">Relevant </w:t>
      </w:r>
      <w:r w:rsidR="005550AE" w:rsidRPr="00674084">
        <w:t xml:space="preserve">Laws </w:t>
      </w:r>
      <w:r w:rsidR="000E2BAE" w:rsidRPr="00674084">
        <w:t>and Regulations</w:t>
      </w:r>
      <w:bookmarkEnd w:id="29"/>
    </w:p>
    <w:p w14:paraId="554FD823" w14:textId="0EEE7E89" w:rsidR="00257A71" w:rsidRDefault="00167016" w:rsidP="00257A71">
      <w:r>
        <w:t>A</w:t>
      </w:r>
      <w:r w:rsidR="00176FEE">
        <w:t xml:space="preserve">cross Australia, </w:t>
      </w:r>
      <w:r w:rsidR="00D52430">
        <w:t xml:space="preserve">different </w:t>
      </w:r>
      <w:r w:rsidR="00A6610A">
        <w:t>jurisdiction</w:t>
      </w:r>
      <w:r w:rsidR="008A3C08">
        <w:t>s</w:t>
      </w:r>
      <w:r w:rsidR="00A6610A">
        <w:t xml:space="preserve"> have in plac</w:t>
      </w:r>
      <w:r w:rsidR="005709B3">
        <w:t xml:space="preserve">e </w:t>
      </w:r>
      <w:r w:rsidR="006A249D">
        <w:t xml:space="preserve">a </w:t>
      </w:r>
      <w:r w:rsidR="00B97CB6">
        <w:t xml:space="preserve">range of </w:t>
      </w:r>
      <w:r w:rsidR="005709B3">
        <w:t>law</w:t>
      </w:r>
      <w:r w:rsidR="00B97CB6">
        <w:t xml:space="preserve">s, </w:t>
      </w:r>
      <w:r w:rsidR="005709B3">
        <w:t>regulatory instruments</w:t>
      </w:r>
      <w:r w:rsidR="00B5681E">
        <w:t>,</w:t>
      </w:r>
      <w:r w:rsidR="005709B3">
        <w:t xml:space="preserve"> </w:t>
      </w:r>
      <w:r w:rsidR="00B97CB6">
        <w:t xml:space="preserve">and </w:t>
      </w:r>
      <w:r w:rsidR="00AA4959">
        <w:t xml:space="preserve">complaints bodies </w:t>
      </w:r>
      <w:r w:rsidR="00462909">
        <w:t>designed to protect and uphold the rights of LGBT</w:t>
      </w:r>
      <w:r w:rsidR="006E6202">
        <w:t>Q</w:t>
      </w:r>
      <w:r w:rsidR="00462909">
        <w:t xml:space="preserve">+ </w:t>
      </w:r>
      <w:r w:rsidR="00E63AE7">
        <w:t>citizens</w:t>
      </w:r>
      <w:r w:rsidR="00705896">
        <w:t>, some with direct relevance to their rights within health settings</w:t>
      </w:r>
      <w:r w:rsidR="006A2BB6">
        <w:t>.</w:t>
      </w:r>
      <w:r w:rsidR="002461D5">
        <w:t xml:space="preserve"> </w:t>
      </w:r>
      <w:r w:rsidR="000E2BAE">
        <w:t>Some of the key instruments are summarised below</w:t>
      </w:r>
      <w:r w:rsidR="00155FD1">
        <w:t>.</w:t>
      </w:r>
    </w:p>
    <w:p w14:paraId="08224479" w14:textId="7D732730" w:rsidR="00FA5E28" w:rsidRPr="008548CA" w:rsidRDefault="00AE0667" w:rsidP="008548CA">
      <w:r w:rsidRPr="008548CA">
        <w:t>Although most laws affecting LGBT</w:t>
      </w:r>
      <w:r w:rsidR="006E6202" w:rsidRPr="008548CA">
        <w:t>Q</w:t>
      </w:r>
      <w:r w:rsidRPr="008548CA">
        <w:t xml:space="preserve">+ </w:t>
      </w:r>
      <w:r w:rsidR="000E2BAE" w:rsidRPr="008548CA">
        <w:t>people on a day-to-day basis</w:t>
      </w:r>
      <w:r w:rsidRPr="008548CA">
        <w:t xml:space="preserve"> are made by Australia’s states and </w:t>
      </w:r>
      <w:r w:rsidR="004A4B6E" w:rsidRPr="008548CA">
        <w:t xml:space="preserve">territories, </w:t>
      </w:r>
      <w:r w:rsidR="00C52220" w:rsidRPr="008548CA">
        <w:t>t</w:t>
      </w:r>
      <w:r w:rsidR="001D0CC7" w:rsidRPr="008548CA">
        <w:t xml:space="preserve">here are federal laws in place which apply </w:t>
      </w:r>
      <w:r w:rsidR="00BE2A28" w:rsidRPr="008548CA">
        <w:t>across all of Australia</w:t>
      </w:r>
      <w:r w:rsidR="004A4B6E" w:rsidRPr="008548CA">
        <w:t xml:space="preserve">. </w:t>
      </w:r>
      <w:r w:rsidR="00BE2A28" w:rsidRPr="008548CA">
        <w:t xml:space="preserve">For example, </w:t>
      </w:r>
      <w:r w:rsidR="009742F4" w:rsidRPr="008548CA">
        <w:t xml:space="preserve">the </w:t>
      </w:r>
      <w:r w:rsidR="00E51164" w:rsidRPr="008548CA">
        <w:t>national</w:t>
      </w:r>
      <w:r w:rsidR="00834FB4" w:rsidRPr="008548CA">
        <w:t xml:space="preserve"> </w:t>
      </w:r>
      <w:hyperlink r:id="rId39" w:anchor=":~:text=The%20Sex%20Discrimination%20Act%201984,or%20because%20they%20are%20breastfeeding." w:history="1">
        <w:r w:rsidR="00834FB4" w:rsidRPr="008548CA">
          <w:rPr>
            <w:rStyle w:val="Hyperlink"/>
          </w:rPr>
          <w:t>Sex Discrimination Act 1984</w:t>
        </w:r>
      </w:hyperlink>
      <w:r w:rsidR="00834FB4" w:rsidRPr="008548CA">
        <w:t xml:space="preserve"> prohibits discrimination on the basis of</w:t>
      </w:r>
      <w:r w:rsidR="004A21C4" w:rsidRPr="008548CA">
        <w:t xml:space="preserve"> an individual’s</w:t>
      </w:r>
      <w:r w:rsidR="00C95E6D" w:rsidRPr="008548CA">
        <w:t xml:space="preserve"> sex, gender identity, sexual orientation, marital or relationship status, family responsibilities, or </w:t>
      </w:r>
      <w:r w:rsidR="00110940" w:rsidRPr="008548CA">
        <w:t xml:space="preserve">because they are pregnant or might become pregnant. </w:t>
      </w:r>
      <w:r w:rsidR="00FA5E28" w:rsidRPr="008548CA">
        <w:t>There are however some religious exe</w:t>
      </w:r>
      <w:r w:rsidR="00B5681E" w:rsidRPr="008548CA">
        <w:t>m</w:t>
      </w:r>
      <w:r w:rsidR="00FA5E28" w:rsidRPr="008548CA">
        <w:t xml:space="preserve">ptions. </w:t>
      </w:r>
    </w:p>
    <w:p w14:paraId="1601310F" w14:textId="2B457AC3" w:rsidR="00C058A9" w:rsidRPr="008548CA" w:rsidRDefault="00FA5E28" w:rsidP="008548CA">
      <w:r w:rsidRPr="008548CA">
        <w:t xml:space="preserve">The </w:t>
      </w:r>
      <w:r w:rsidR="00CD0AC3" w:rsidRPr="008548CA">
        <w:t xml:space="preserve">federal </w:t>
      </w:r>
      <w:r w:rsidRPr="008548CA">
        <w:t>body responsible for administering this Act</w:t>
      </w:r>
      <w:r w:rsidR="00CD0AC3" w:rsidRPr="008548CA">
        <w:t xml:space="preserve">, </w:t>
      </w:r>
      <w:proofErr w:type="gramStart"/>
      <w:r w:rsidR="00CD0AC3" w:rsidRPr="008548CA">
        <w:t>and also</w:t>
      </w:r>
      <w:proofErr w:type="gramEnd"/>
      <w:r w:rsidR="00CD0AC3" w:rsidRPr="008548CA">
        <w:t xml:space="preserve"> investigating complaints related to it, </w:t>
      </w:r>
      <w:r w:rsidRPr="008548CA">
        <w:t xml:space="preserve">is the </w:t>
      </w:r>
      <w:hyperlink r:id="rId40" w:history="1">
        <w:r w:rsidRPr="008548CA">
          <w:rPr>
            <w:rStyle w:val="Hyperlink"/>
          </w:rPr>
          <w:t>Australian Human Rights Commission</w:t>
        </w:r>
      </w:hyperlink>
      <w:r w:rsidRPr="008548CA">
        <w:t>.</w:t>
      </w:r>
    </w:p>
    <w:p w14:paraId="7D4FA694" w14:textId="5DC7ED30" w:rsidR="00FA5E28" w:rsidRPr="008548CA" w:rsidRDefault="00E9747E" w:rsidP="008548CA">
      <w:r w:rsidRPr="008548CA">
        <w:t xml:space="preserve">The Commonwealth is also responsible for marriage and </w:t>
      </w:r>
      <w:r w:rsidR="00334BE3" w:rsidRPr="008548CA">
        <w:t>family law in Australia. T</w:t>
      </w:r>
      <w:r w:rsidR="00FA5E28" w:rsidRPr="008548CA">
        <w:t xml:space="preserve">he amendment of the </w:t>
      </w:r>
      <w:hyperlink r:id="rId41" w:history="1">
        <w:r w:rsidR="00FA5E28" w:rsidRPr="008548CA">
          <w:rPr>
            <w:rStyle w:val="Hyperlink"/>
          </w:rPr>
          <w:t>Marriage Act 1961</w:t>
        </w:r>
      </w:hyperlink>
      <w:r w:rsidR="00FA5E28" w:rsidRPr="008548CA">
        <w:t xml:space="preserve"> in December 2017</w:t>
      </w:r>
      <w:r w:rsidR="00334BE3" w:rsidRPr="008548CA">
        <w:t>, following the national plebiscite,</w:t>
      </w:r>
      <w:r w:rsidR="00FA5E28" w:rsidRPr="008548CA">
        <w:t xml:space="preserve"> </w:t>
      </w:r>
      <w:r w:rsidR="00F34D29" w:rsidRPr="008548CA">
        <w:t>meant that marriage was</w:t>
      </w:r>
      <w:r w:rsidR="00FA5E28" w:rsidRPr="008548CA">
        <w:t xml:space="preserve"> no longer determined by sex or gender, giving same-sex couples the same right to marry as heterosexual couples. </w:t>
      </w:r>
    </w:p>
    <w:p w14:paraId="38DBF275" w14:textId="35C2A0DE" w:rsidR="00FA1F46" w:rsidRDefault="001627F8" w:rsidP="00522CE0">
      <w:r>
        <w:t xml:space="preserve">Included </w:t>
      </w:r>
      <w:r w:rsidR="00B5681E">
        <w:t>in</w:t>
      </w:r>
      <w:r>
        <w:t xml:space="preserve"> Attachment </w:t>
      </w:r>
      <w:r w:rsidR="00935138">
        <w:t>2</w:t>
      </w:r>
      <w:r>
        <w:t xml:space="preserve"> </w:t>
      </w:r>
      <w:r w:rsidR="00BE303C">
        <w:t>is a summary of related bodies and legislations related to LGBT</w:t>
      </w:r>
      <w:r w:rsidR="00CE3341">
        <w:t>Q</w:t>
      </w:r>
      <w:r w:rsidR="00BE303C">
        <w:t xml:space="preserve">+ rights </w:t>
      </w:r>
      <w:r w:rsidR="00522CE0">
        <w:t>in each of the states and territories.</w:t>
      </w:r>
    </w:p>
    <w:p w14:paraId="75B0A5BA" w14:textId="19C5E690" w:rsidR="001B51FE" w:rsidRPr="00111D92" w:rsidRDefault="008E097A" w:rsidP="009B406F">
      <w:pPr>
        <w:pStyle w:val="NbrHeading2"/>
      </w:pPr>
      <w:bookmarkStart w:id="30" w:name="_Toc153899498"/>
      <w:r>
        <w:t>Overview of the Australian policy landscape</w:t>
      </w:r>
      <w:bookmarkEnd w:id="30"/>
      <w:r>
        <w:t xml:space="preserve"> </w:t>
      </w:r>
    </w:p>
    <w:p w14:paraId="2FBA8214" w14:textId="645788FB" w:rsidR="00223720" w:rsidRDefault="00304060" w:rsidP="001B51FE">
      <w:r>
        <w:t xml:space="preserve">There is a complex interplay of </w:t>
      </w:r>
      <w:r w:rsidR="005729CD">
        <w:t xml:space="preserve">national and state/territory </w:t>
      </w:r>
      <w:r w:rsidR="00E540CE">
        <w:t>policy</w:t>
      </w:r>
      <w:r w:rsidR="00C6692D">
        <w:t>,</w:t>
      </w:r>
      <w:r w:rsidR="00E540CE">
        <w:t xml:space="preserve"> strateg</w:t>
      </w:r>
      <w:r w:rsidR="00C6692D">
        <w:t>ies</w:t>
      </w:r>
      <w:r w:rsidR="00B5681E">
        <w:t>,</w:t>
      </w:r>
      <w:r w:rsidR="00C6692D">
        <w:t xml:space="preserve"> and other mechanisms</w:t>
      </w:r>
      <w:r w:rsidR="00E540CE">
        <w:t xml:space="preserve"> </w:t>
      </w:r>
      <w:r w:rsidR="00E6572C">
        <w:t xml:space="preserve">coordinating improvements to </w:t>
      </w:r>
      <w:r w:rsidR="009E265C">
        <w:t>mental health and wellbeing services</w:t>
      </w:r>
      <w:r w:rsidR="00E540CE">
        <w:t xml:space="preserve">, and </w:t>
      </w:r>
      <w:r w:rsidR="00F40CBA">
        <w:t>mental health and wellbeing outcomes</w:t>
      </w:r>
      <w:r w:rsidR="00C6692D">
        <w:t>,</w:t>
      </w:r>
      <w:r w:rsidR="009E265C">
        <w:t xml:space="preserve"> for LGBT</w:t>
      </w:r>
      <w:r w:rsidR="00CE3341">
        <w:t>Q+</w:t>
      </w:r>
      <w:r w:rsidR="009E265C">
        <w:t xml:space="preserve"> people across Australia. </w:t>
      </w:r>
      <w:r w:rsidR="00F40CBA">
        <w:t xml:space="preserve">These are supported, and often influenced by, </w:t>
      </w:r>
      <w:r w:rsidR="00AB367E">
        <w:t>the development of strategies, resources</w:t>
      </w:r>
      <w:r w:rsidR="00B5681E">
        <w:t>,</w:t>
      </w:r>
      <w:r w:rsidR="00AB367E">
        <w:t xml:space="preserve"> and other instruments by community organisations,</w:t>
      </w:r>
      <w:r w:rsidR="00907A34">
        <w:t xml:space="preserve"> peak and</w:t>
      </w:r>
      <w:r w:rsidR="00AB367E">
        <w:t xml:space="preserve"> industry bodies</w:t>
      </w:r>
      <w:r w:rsidR="00907A34">
        <w:t>,</w:t>
      </w:r>
      <w:r w:rsidR="00AB367E">
        <w:t xml:space="preserve"> and education providers. </w:t>
      </w:r>
    </w:p>
    <w:p w14:paraId="4C760F98" w14:textId="7E6926DE" w:rsidR="00AB27C0" w:rsidRPr="00BE4F4A" w:rsidRDefault="006C6A28" w:rsidP="00C17BCF">
      <w:r w:rsidRPr="00C17BCF">
        <w:t xml:space="preserve">Some of </w:t>
      </w:r>
      <w:r w:rsidRPr="00BE4F4A">
        <w:t xml:space="preserve">the key </w:t>
      </w:r>
      <w:r w:rsidR="00EC09DF" w:rsidRPr="00BE4F4A">
        <w:t xml:space="preserve">instruments </w:t>
      </w:r>
      <w:r w:rsidR="00B13FDA" w:rsidRPr="00BE4F4A">
        <w:t>informing mental health policy</w:t>
      </w:r>
      <w:r w:rsidR="00542D17" w:rsidRPr="00BE4F4A">
        <w:t xml:space="preserve"> and specific improvements for LGBT</w:t>
      </w:r>
      <w:r w:rsidR="00907A34" w:rsidRPr="00BE4F4A">
        <w:t>Q</w:t>
      </w:r>
      <w:r w:rsidR="00542D17" w:rsidRPr="00BE4F4A">
        <w:t>+ people</w:t>
      </w:r>
      <w:r w:rsidRPr="00BE4F4A">
        <w:t xml:space="preserve"> are summarised </w:t>
      </w:r>
      <w:r w:rsidR="00C6692D" w:rsidRPr="00BE4F4A">
        <w:t xml:space="preserve">in the sections </w:t>
      </w:r>
      <w:r w:rsidRPr="00BE4F4A">
        <w:t>below</w:t>
      </w:r>
      <w:r w:rsidR="00C17BCF" w:rsidRPr="00BE4F4A">
        <w:t>.</w:t>
      </w:r>
      <w:r w:rsidR="001B51FE" w:rsidRPr="00BE4F4A">
        <w:t xml:space="preserve"> </w:t>
      </w:r>
      <w:r w:rsidR="00F300E8" w:rsidRPr="00BE4F4A">
        <w:t>Further</w:t>
      </w:r>
      <w:r w:rsidR="00AC67CC" w:rsidRPr="00BE4F4A">
        <w:t xml:space="preserve"> </w:t>
      </w:r>
      <w:r w:rsidR="00C17BCF" w:rsidRPr="00BE4F4A">
        <w:t xml:space="preserve">info on </w:t>
      </w:r>
      <w:r w:rsidR="00AC67CC" w:rsidRPr="00BE4F4A">
        <w:t>relevant</w:t>
      </w:r>
      <w:r w:rsidR="00F300E8" w:rsidRPr="00BE4F4A">
        <w:t xml:space="preserve"> Commonwealth, state</w:t>
      </w:r>
      <w:r w:rsidR="00B5681E" w:rsidRPr="00BE4F4A">
        <w:t>,</w:t>
      </w:r>
      <w:r w:rsidR="00F300E8" w:rsidRPr="00BE4F4A">
        <w:t xml:space="preserve"> and territory </w:t>
      </w:r>
      <w:r w:rsidR="00AC67CC" w:rsidRPr="00BE4F4A">
        <w:t xml:space="preserve">initiatives are summarised in Attachment </w:t>
      </w:r>
      <w:r w:rsidR="000A150E" w:rsidRPr="00BE4F4A">
        <w:t>2</w:t>
      </w:r>
      <w:r w:rsidR="00AC67CC" w:rsidRPr="00BE4F4A">
        <w:t>.</w:t>
      </w:r>
      <w:r w:rsidR="00AA459D" w:rsidRPr="00BE4F4A">
        <w:t xml:space="preserve"> </w:t>
      </w:r>
      <w:r w:rsidR="00AC67CC" w:rsidRPr="00BE4F4A">
        <w:t xml:space="preserve"> </w:t>
      </w:r>
    </w:p>
    <w:p w14:paraId="72FAAC1F" w14:textId="7DE8CF0E" w:rsidR="00AB27C0" w:rsidRPr="00BE4F4A" w:rsidRDefault="002944CF" w:rsidP="009B406F">
      <w:pPr>
        <w:pStyle w:val="NbrHeading3"/>
      </w:pPr>
      <w:bookmarkStart w:id="31" w:name="_Toc153899499"/>
      <w:r w:rsidRPr="00BE4F4A">
        <w:t>Australian</w:t>
      </w:r>
      <w:r w:rsidR="00AB27C0" w:rsidRPr="00BE4F4A">
        <w:t xml:space="preserve"> Government</w:t>
      </w:r>
      <w:r w:rsidR="00B978AE" w:rsidRPr="00BE4F4A">
        <w:t xml:space="preserve"> Policy</w:t>
      </w:r>
      <w:bookmarkEnd w:id="31"/>
      <w:r w:rsidR="00B978AE" w:rsidRPr="00BE4F4A">
        <w:t xml:space="preserve"> </w:t>
      </w:r>
    </w:p>
    <w:p w14:paraId="09932788" w14:textId="06A23341" w:rsidR="001975E6" w:rsidRPr="00BE4F4A" w:rsidRDefault="00442135" w:rsidP="009F64A1">
      <w:pPr>
        <w:rPr>
          <w:lang w:eastAsia="en-AU"/>
        </w:rPr>
      </w:pPr>
      <w:r w:rsidRPr="00BE4F4A">
        <w:rPr>
          <w:lang w:eastAsia="en-AU"/>
        </w:rPr>
        <w:t xml:space="preserve">While </w:t>
      </w:r>
      <w:r w:rsidR="009D7091" w:rsidRPr="00BE4F4A">
        <w:rPr>
          <w:lang w:eastAsia="en-AU"/>
        </w:rPr>
        <w:t xml:space="preserve">mental health and suicide prevention is primarily </w:t>
      </w:r>
      <w:r w:rsidR="009C00B9" w:rsidRPr="00BE4F4A">
        <w:rPr>
          <w:lang w:eastAsia="en-AU"/>
        </w:rPr>
        <w:t>the</w:t>
      </w:r>
      <w:r w:rsidR="009D7091" w:rsidRPr="00BE4F4A">
        <w:rPr>
          <w:lang w:eastAsia="en-AU"/>
        </w:rPr>
        <w:t xml:space="preserve"> responsibility of state and territory governments, the Commonwealth </w:t>
      </w:r>
      <w:r w:rsidR="001975E6" w:rsidRPr="00BE4F4A">
        <w:rPr>
          <w:lang w:eastAsia="en-AU"/>
        </w:rPr>
        <w:t xml:space="preserve">Government </w:t>
      </w:r>
      <w:r w:rsidR="007668DD" w:rsidRPr="00BE4F4A">
        <w:rPr>
          <w:lang w:eastAsia="en-AU"/>
        </w:rPr>
        <w:t>plays a substantive role in priority setting</w:t>
      </w:r>
      <w:r w:rsidR="004363CF" w:rsidRPr="00BE4F4A">
        <w:rPr>
          <w:lang w:eastAsia="en-AU"/>
        </w:rPr>
        <w:t xml:space="preserve"> and regulation</w:t>
      </w:r>
      <w:r w:rsidR="007668DD" w:rsidRPr="00BE4F4A">
        <w:rPr>
          <w:lang w:eastAsia="en-AU"/>
        </w:rPr>
        <w:t xml:space="preserve">, </w:t>
      </w:r>
      <w:r w:rsidR="004363CF" w:rsidRPr="00BE4F4A">
        <w:rPr>
          <w:lang w:eastAsia="en-AU"/>
        </w:rPr>
        <w:t xml:space="preserve">as well as </w:t>
      </w:r>
      <w:r w:rsidR="004D61AB" w:rsidRPr="00BE4F4A">
        <w:rPr>
          <w:lang w:eastAsia="en-AU"/>
        </w:rPr>
        <w:t xml:space="preserve">in </w:t>
      </w:r>
      <w:r w:rsidR="004363CF" w:rsidRPr="00BE4F4A">
        <w:rPr>
          <w:lang w:eastAsia="en-AU"/>
        </w:rPr>
        <w:t xml:space="preserve">the </w:t>
      </w:r>
      <w:r w:rsidR="00C52E68" w:rsidRPr="00BE4F4A">
        <w:rPr>
          <w:lang w:eastAsia="en-AU"/>
        </w:rPr>
        <w:t>funding</w:t>
      </w:r>
      <w:r w:rsidR="004363CF" w:rsidRPr="00BE4F4A">
        <w:rPr>
          <w:lang w:eastAsia="en-AU"/>
        </w:rPr>
        <w:t>, administration</w:t>
      </w:r>
      <w:r w:rsidR="007D06D1" w:rsidRPr="00BE4F4A">
        <w:rPr>
          <w:lang w:eastAsia="en-AU"/>
        </w:rPr>
        <w:t xml:space="preserve">, </w:t>
      </w:r>
      <w:r w:rsidR="004363CF" w:rsidRPr="00BE4F4A">
        <w:rPr>
          <w:lang w:eastAsia="en-AU"/>
        </w:rPr>
        <w:t xml:space="preserve">and delivery of some services. </w:t>
      </w:r>
    </w:p>
    <w:p w14:paraId="6AE0A928" w14:textId="7B7CF00C" w:rsidR="00A30D9F" w:rsidRPr="00BE4F4A" w:rsidRDefault="004363CF" w:rsidP="00946D44">
      <w:r w:rsidRPr="00BE4F4A">
        <w:rPr>
          <w:lang w:eastAsia="en-AU"/>
        </w:rPr>
        <w:t>The</w:t>
      </w:r>
      <w:r w:rsidR="0005448C" w:rsidRPr="00BE4F4A">
        <w:rPr>
          <w:lang w:eastAsia="en-AU"/>
        </w:rPr>
        <w:t xml:space="preserve"> </w:t>
      </w:r>
      <w:r w:rsidR="001838EA" w:rsidRPr="00BE4F4A">
        <w:rPr>
          <w:lang w:eastAsia="en-AU"/>
        </w:rPr>
        <w:t>shared</w:t>
      </w:r>
      <w:r w:rsidR="0005448C" w:rsidRPr="00BE4F4A">
        <w:rPr>
          <w:lang w:eastAsia="en-AU"/>
        </w:rPr>
        <w:t xml:space="preserve"> approach of Commonwealth and state/territory governments </w:t>
      </w:r>
      <w:r w:rsidR="001838EA" w:rsidRPr="00BE4F4A">
        <w:rPr>
          <w:lang w:eastAsia="en-AU"/>
        </w:rPr>
        <w:t xml:space="preserve">toward mental health and suicide prevention is set out in the </w:t>
      </w:r>
      <w:r w:rsidR="009F64A1" w:rsidRPr="00BE4F4A">
        <w:rPr>
          <w:lang w:eastAsia="en-AU"/>
        </w:rPr>
        <w:t>2022</w:t>
      </w:r>
      <w:r w:rsidR="00AB45D8" w:rsidRPr="00BE4F4A">
        <w:t xml:space="preserve"> </w:t>
      </w:r>
      <w:hyperlink r:id="rId42" w:history="1">
        <w:r w:rsidR="00AB45D8" w:rsidRPr="00BE4F4A">
          <w:rPr>
            <w:rStyle w:val="Hyperlink"/>
          </w:rPr>
          <w:t>National Mental Health and Su</w:t>
        </w:r>
        <w:r w:rsidR="009D2300" w:rsidRPr="00BE4F4A">
          <w:rPr>
            <w:rStyle w:val="Hyperlink"/>
          </w:rPr>
          <w:t xml:space="preserve">icide </w:t>
        </w:r>
        <w:r w:rsidR="0083063F" w:rsidRPr="00BE4F4A">
          <w:rPr>
            <w:rStyle w:val="Hyperlink"/>
          </w:rPr>
          <w:lastRenderedPageBreak/>
          <w:t>P</w:t>
        </w:r>
        <w:r w:rsidR="009D2300" w:rsidRPr="00BE4F4A">
          <w:rPr>
            <w:rStyle w:val="Hyperlink"/>
          </w:rPr>
          <w:t>reve</w:t>
        </w:r>
        <w:r w:rsidR="0083063F" w:rsidRPr="00BE4F4A">
          <w:rPr>
            <w:rStyle w:val="Hyperlink"/>
          </w:rPr>
          <w:t>n</w:t>
        </w:r>
        <w:r w:rsidR="009D2300" w:rsidRPr="00BE4F4A">
          <w:rPr>
            <w:rStyle w:val="Hyperlink"/>
          </w:rPr>
          <w:t>tion Agreement</w:t>
        </w:r>
      </w:hyperlink>
      <w:r w:rsidR="009F64A1" w:rsidRPr="00BE4F4A">
        <w:t xml:space="preserve">. </w:t>
      </w:r>
      <w:r w:rsidR="00F906F0" w:rsidRPr="00BE4F4A">
        <w:t xml:space="preserve">The </w:t>
      </w:r>
      <w:r w:rsidR="0023268C" w:rsidRPr="00BE4F4A">
        <w:t xml:space="preserve">National </w:t>
      </w:r>
      <w:r w:rsidR="00F906F0" w:rsidRPr="00BE4F4A">
        <w:t xml:space="preserve">Agreement is underpinned by </w:t>
      </w:r>
      <w:r w:rsidR="006C6206" w:rsidRPr="00BE4F4A">
        <w:t xml:space="preserve">seven Bilateral Agreements </w:t>
      </w:r>
      <w:r w:rsidR="0023268C" w:rsidRPr="00BE4F4A">
        <w:t xml:space="preserve">signed </w:t>
      </w:r>
      <w:r w:rsidR="006C6206" w:rsidRPr="00BE4F4A">
        <w:t>with each state and territory</w:t>
      </w:r>
      <w:r w:rsidR="001838EA" w:rsidRPr="00BE4F4A">
        <w:t xml:space="preserve">, which </w:t>
      </w:r>
      <w:r w:rsidR="009E22E0" w:rsidRPr="00BE4F4A">
        <w:t xml:space="preserve">outline </w:t>
      </w:r>
      <w:r w:rsidR="001838EA" w:rsidRPr="00BE4F4A">
        <w:t>jurisdictional priorities and funding allocation</w:t>
      </w:r>
      <w:r w:rsidR="00467F3F" w:rsidRPr="00BE4F4A">
        <w:t>.</w:t>
      </w:r>
      <w:r w:rsidR="00467F3F" w:rsidRPr="00BE4F4A">
        <w:rPr>
          <w:rStyle w:val="FootnoteReference"/>
        </w:rPr>
        <w:footnoteReference w:id="36"/>
      </w:r>
      <w:r w:rsidR="00946D44" w:rsidRPr="00BE4F4A">
        <w:t xml:space="preserve"> Under the National Agreement, </w:t>
      </w:r>
      <w:r w:rsidR="00FD123F" w:rsidRPr="00BE4F4A">
        <w:t xml:space="preserve">the </w:t>
      </w:r>
      <w:r w:rsidR="00501835" w:rsidRPr="00BE4F4A">
        <w:t>Commonwealth</w:t>
      </w:r>
      <w:r w:rsidR="00987AC8" w:rsidRPr="00BE4F4A">
        <w:t>, s</w:t>
      </w:r>
      <w:r w:rsidR="00FD123F" w:rsidRPr="00BE4F4A">
        <w:t>tate</w:t>
      </w:r>
      <w:r w:rsidR="00242DC4" w:rsidRPr="00BE4F4A">
        <w:t>,</w:t>
      </w:r>
      <w:r w:rsidR="00FD123F" w:rsidRPr="00BE4F4A">
        <w:t xml:space="preserve"> and territor</w:t>
      </w:r>
      <w:r w:rsidR="00946D44" w:rsidRPr="00BE4F4A">
        <w:t>y governments have committed</w:t>
      </w:r>
      <w:r w:rsidR="00FD123F" w:rsidRPr="00BE4F4A">
        <w:t xml:space="preserve"> to</w:t>
      </w:r>
      <w:r w:rsidR="00A30D9F" w:rsidRPr="00BE4F4A">
        <w:t>:</w:t>
      </w:r>
    </w:p>
    <w:p w14:paraId="1AEA46E8" w14:textId="2EA07281" w:rsidR="00A30D9F" w:rsidRPr="00BE4F4A" w:rsidRDefault="00A30D9F" w:rsidP="00A30D9F">
      <w:pPr>
        <w:ind w:left="720" w:hanging="720"/>
      </w:pPr>
      <w:r w:rsidRPr="00BE4F4A">
        <w:tab/>
      </w:r>
      <w:r w:rsidR="00FD123F" w:rsidRPr="00BE4F4A">
        <w:rPr>
          <w:i/>
          <w:iCs/>
        </w:rPr>
        <w:t>“</w:t>
      </w:r>
      <w:proofErr w:type="gramStart"/>
      <w:r w:rsidR="00FD123F" w:rsidRPr="00BE4F4A">
        <w:rPr>
          <w:i/>
          <w:iCs/>
        </w:rPr>
        <w:t>collaborate</w:t>
      </w:r>
      <w:proofErr w:type="gramEnd"/>
      <w:r w:rsidR="00FD123F" w:rsidRPr="00BE4F4A">
        <w:rPr>
          <w:i/>
          <w:iCs/>
        </w:rPr>
        <w:t xml:space="preserve"> on systemic, whole-of-government reform to deliver a comprehensive, coordinated, consumer focused and compassionate mental health and suicide prevention system to benefit all Australians”</w:t>
      </w:r>
      <w:r w:rsidR="005F055E" w:rsidRPr="00BE4F4A">
        <w:rPr>
          <w:i/>
          <w:iCs/>
        </w:rPr>
        <w:t>.</w:t>
      </w:r>
      <w:r w:rsidR="005F055E" w:rsidRPr="00BE4F4A">
        <w:t xml:space="preserve"> </w:t>
      </w:r>
      <w:r w:rsidR="00467F3F" w:rsidRPr="00BE4F4A">
        <w:rPr>
          <w:rStyle w:val="FootnoteReference"/>
        </w:rPr>
        <w:footnoteReference w:id="37"/>
      </w:r>
    </w:p>
    <w:p w14:paraId="493C70DE" w14:textId="35CF6C66" w:rsidR="00A17852" w:rsidRPr="008548CA" w:rsidRDefault="00946D44" w:rsidP="008548CA">
      <w:r w:rsidRPr="008548CA">
        <w:t>The Agreement lists</w:t>
      </w:r>
      <w:r w:rsidR="00FF499F" w:rsidRPr="008548CA">
        <w:t xml:space="preserve"> LGBTQIA+SB people as second </w:t>
      </w:r>
      <w:r w:rsidR="004E5D09" w:rsidRPr="008548CA">
        <w:t xml:space="preserve">of 15 priority population groups </w:t>
      </w:r>
      <w:r w:rsidR="009C00B9" w:rsidRPr="008548CA">
        <w:t>(</w:t>
      </w:r>
      <w:r w:rsidR="004E5D09" w:rsidRPr="008548CA">
        <w:t>after Aboriginal and Torres Strait Islander peoples</w:t>
      </w:r>
      <w:r w:rsidR="004E5D09" w:rsidRPr="008548CA">
        <w:footnoteReference w:id="38"/>
      </w:r>
      <w:proofErr w:type="gramStart"/>
      <w:r w:rsidR="009C00B9" w:rsidRPr="008548CA">
        <w:t>),</w:t>
      </w:r>
      <w:r w:rsidR="004E5D09" w:rsidRPr="008548CA">
        <w:t xml:space="preserve"> </w:t>
      </w:r>
      <w:r w:rsidR="009C00B9" w:rsidRPr="008548CA">
        <w:t>and</w:t>
      </w:r>
      <w:proofErr w:type="gramEnd"/>
      <w:r w:rsidR="00A17852" w:rsidRPr="008548CA">
        <w:t xml:space="preserve"> commits all governments to “work together to close the gap, improve mental health and wellbeing outcomes and reduce suicide”</w:t>
      </w:r>
      <w:r w:rsidR="004E5D09" w:rsidRPr="008548CA">
        <w:t>.</w:t>
      </w:r>
      <w:r w:rsidR="00A17852" w:rsidRPr="008548CA">
        <w:t xml:space="preserve"> </w:t>
      </w:r>
      <w:r w:rsidR="00A17852" w:rsidRPr="008548CA">
        <w:footnoteReference w:id="39"/>
      </w:r>
      <w:r w:rsidR="004E5D09" w:rsidRPr="008548CA">
        <w:t xml:space="preserve"> </w:t>
      </w:r>
    </w:p>
    <w:p w14:paraId="52943D2F" w14:textId="384F171D" w:rsidR="004C5F2F" w:rsidRPr="008548CA" w:rsidRDefault="00DF17DC" w:rsidP="008548CA">
      <w:r w:rsidRPr="008548CA">
        <w:t xml:space="preserve">The Commonwealth Government’s priorities and reform agenda </w:t>
      </w:r>
      <w:r w:rsidR="001E2D9A" w:rsidRPr="008548CA">
        <w:t xml:space="preserve">is also influenced by </w:t>
      </w:r>
      <w:r w:rsidR="000D631B" w:rsidRPr="008548CA">
        <w:t xml:space="preserve">various </w:t>
      </w:r>
      <w:r w:rsidR="001E2D9A" w:rsidRPr="008548CA">
        <w:t xml:space="preserve">policy papers and reports. Perhaps most notably, the </w:t>
      </w:r>
      <w:r w:rsidR="00940B1A" w:rsidRPr="008548CA">
        <w:t xml:space="preserve">Productivity Commission’s 2020 </w:t>
      </w:r>
      <w:hyperlink r:id="rId43" w:history="1">
        <w:r w:rsidR="00B265F6" w:rsidRPr="008548CA">
          <w:rPr>
            <w:rStyle w:val="Hyperlink"/>
          </w:rPr>
          <w:t>Mental Health Report</w:t>
        </w:r>
      </w:hyperlink>
      <w:r w:rsidR="00B265F6" w:rsidRPr="008548CA">
        <w:t xml:space="preserve"> </w:t>
      </w:r>
      <w:r w:rsidR="009339D3" w:rsidRPr="008548CA">
        <w:t xml:space="preserve">and the </w:t>
      </w:r>
      <w:hyperlink r:id="rId44" w:history="1">
        <w:r w:rsidR="009339D3" w:rsidRPr="008548CA">
          <w:rPr>
            <w:rStyle w:val="Hyperlink"/>
          </w:rPr>
          <w:t>National Suicide Prevention Adviser and Taskforce’s 2021 Final Report</w:t>
        </w:r>
      </w:hyperlink>
      <w:r w:rsidR="009339D3" w:rsidRPr="008548CA">
        <w:t xml:space="preserve">. </w:t>
      </w:r>
      <w:r w:rsidR="00940B1A" w:rsidRPr="008548CA">
        <w:t xml:space="preserve">These and other </w:t>
      </w:r>
      <w:r w:rsidR="0008276B" w:rsidRPr="008548CA">
        <w:t>key Commonwealth policy initiatives are summarised in</w:t>
      </w:r>
      <w:r w:rsidR="003C6BE1" w:rsidRPr="008548CA">
        <w:t xml:space="preserve"> Attachment 3. </w:t>
      </w:r>
    </w:p>
    <w:p w14:paraId="5F09EB9D" w14:textId="4E1E0DAD" w:rsidR="000A7899" w:rsidRPr="008548CA" w:rsidRDefault="00837CFD" w:rsidP="008548CA">
      <w:r w:rsidRPr="008548CA">
        <w:t xml:space="preserve">As </w:t>
      </w:r>
      <w:r w:rsidR="00C94B5A" w:rsidRPr="008548CA">
        <w:t>evident by this commissioned</w:t>
      </w:r>
      <w:r w:rsidRPr="008548CA">
        <w:t xml:space="preserve"> research, </w:t>
      </w:r>
      <w:r w:rsidR="00347F4D" w:rsidRPr="008548CA">
        <w:t xml:space="preserve">the </w:t>
      </w:r>
      <w:r w:rsidR="003A67A0" w:rsidRPr="008548CA">
        <w:t xml:space="preserve">Commonwealth Government intends to build upon </w:t>
      </w:r>
      <w:r w:rsidR="00AF6CEA" w:rsidRPr="008548CA">
        <w:t>its existing commitments to LGBTIQA+ mental health</w:t>
      </w:r>
      <w:r w:rsidR="00C8262A" w:rsidRPr="008548CA">
        <w:t xml:space="preserve"> and wellbeing</w:t>
      </w:r>
      <w:r w:rsidR="00AF6CEA" w:rsidRPr="008548CA">
        <w:t xml:space="preserve"> </w:t>
      </w:r>
      <w:r w:rsidR="00967241" w:rsidRPr="008548CA">
        <w:t>through the development of a new National Action Plan for the Health and Wellbeing of LGBTIQA+ People (Action Plan). The Action Plan, announced on 1 March 2023 at the WorldPride 2023 Human Rights Conference, will provide a national framework</w:t>
      </w:r>
      <w:r w:rsidR="00C8262A" w:rsidRPr="008548CA">
        <w:t xml:space="preserve"> for how Australia addresses health disparities and makes improvements across the health system</w:t>
      </w:r>
      <w:r w:rsidR="009C00B9" w:rsidRPr="008548CA">
        <w:t>,</w:t>
      </w:r>
      <w:r w:rsidR="00C8262A" w:rsidRPr="008548CA">
        <w:t xml:space="preserve"> including the mental health system.</w:t>
      </w:r>
      <w:r w:rsidR="00C8262A" w:rsidRPr="008548CA">
        <w:footnoteReference w:id="40"/>
      </w:r>
      <w:r w:rsidR="00C8262A" w:rsidRPr="008548CA">
        <w:t xml:space="preserve"> </w:t>
      </w:r>
    </w:p>
    <w:p w14:paraId="32999A16" w14:textId="06C1D1D5" w:rsidR="000A7899" w:rsidRDefault="000A7899" w:rsidP="0091269B">
      <w:r w:rsidRPr="00BE4F4A">
        <w:t>The announcement was accompanied by a $26 million investment in grant funding through the Medical Research Future Fund. The grants will support projects seeking to improve care and treatment for LGBTIQA+ people, with objectives to develop more sustainable models of care after evaluation of the effectiveness and acceptability of health care.</w:t>
      </w:r>
      <w:r w:rsidRPr="00BE4F4A">
        <w:rPr>
          <w:rStyle w:val="FootnoteReference"/>
        </w:rPr>
        <w:footnoteReference w:id="41"/>
      </w:r>
      <w:r>
        <w:t xml:space="preserve"> </w:t>
      </w:r>
    </w:p>
    <w:p w14:paraId="24619FA1" w14:textId="07616691" w:rsidR="00D61E23" w:rsidRDefault="00B978AE" w:rsidP="009B406F">
      <w:pPr>
        <w:pStyle w:val="NbrHeading3"/>
      </w:pPr>
      <w:bookmarkStart w:id="32" w:name="_Toc153899500"/>
      <w:r>
        <w:lastRenderedPageBreak/>
        <w:t xml:space="preserve">Overview of State and Territory </w:t>
      </w:r>
      <w:r w:rsidR="00C03E03">
        <w:t xml:space="preserve">Government </w:t>
      </w:r>
      <w:r>
        <w:t xml:space="preserve">Policy </w:t>
      </w:r>
      <w:r w:rsidR="00F92BEA">
        <w:t>and Strate</w:t>
      </w:r>
      <w:r w:rsidR="000D4874">
        <w:t>gies</w:t>
      </w:r>
      <w:bookmarkEnd w:id="32"/>
    </w:p>
    <w:p w14:paraId="3D23B513" w14:textId="5821217D" w:rsidR="005A78D2" w:rsidRDefault="003535B5" w:rsidP="00F65D2A">
      <w:pPr>
        <w:rPr>
          <w:lang w:eastAsia="en-AU"/>
        </w:rPr>
      </w:pPr>
      <w:r>
        <w:rPr>
          <w:lang w:eastAsia="en-AU"/>
        </w:rPr>
        <w:t>As noted above, state and territo</w:t>
      </w:r>
      <w:r w:rsidR="005A78D2">
        <w:rPr>
          <w:lang w:eastAsia="en-AU"/>
        </w:rPr>
        <w:t xml:space="preserve">ry governments have </w:t>
      </w:r>
      <w:r w:rsidR="008E42E0">
        <w:rPr>
          <w:lang w:eastAsia="en-AU"/>
        </w:rPr>
        <w:t xml:space="preserve">the </w:t>
      </w:r>
      <w:r w:rsidR="005A78D2">
        <w:rPr>
          <w:lang w:eastAsia="en-AU"/>
        </w:rPr>
        <w:t xml:space="preserve">primary responsibility for the delivery of health services, including mental health services. </w:t>
      </w:r>
    </w:p>
    <w:p w14:paraId="00466EE1" w14:textId="3438A99A" w:rsidR="00F65D2A" w:rsidRDefault="007A5CE9" w:rsidP="00F65D2A">
      <w:pPr>
        <w:rPr>
          <w:lang w:eastAsia="en-AU"/>
        </w:rPr>
      </w:pPr>
      <w:r>
        <w:rPr>
          <w:lang w:eastAsia="en-AU"/>
        </w:rPr>
        <w:t xml:space="preserve">In addition to </w:t>
      </w:r>
      <w:r w:rsidR="0063575E">
        <w:rPr>
          <w:lang w:eastAsia="en-AU"/>
        </w:rPr>
        <w:t xml:space="preserve">commitments made in broader mental health policies and strategies (see Attachment 3), many state and territory governments </w:t>
      </w:r>
      <w:r w:rsidR="0063575E" w:rsidRPr="004C5F14">
        <w:rPr>
          <w:lang w:eastAsia="en-AU"/>
        </w:rPr>
        <w:t xml:space="preserve">have </w:t>
      </w:r>
      <w:r w:rsidR="00E85207" w:rsidRPr="004C5F14">
        <w:rPr>
          <w:lang w:eastAsia="en-AU"/>
        </w:rPr>
        <w:t>developed dedicated LGBT</w:t>
      </w:r>
      <w:r w:rsidR="005A78D2">
        <w:rPr>
          <w:lang w:eastAsia="en-AU"/>
        </w:rPr>
        <w:t>Q</w:t>
      </w:r>
      <w:r w:rsidR="00E85207" w:rsidRPr="004C5F14">
        <w:rPr>
          <w:lang w:eastAsia="en-AU"/>
        </w:rPr>
        <w:t>+ health or whole-of-government strategies</w:t>
      </w:r>
      <w:r w:rsidR="007F3471" w:rsidRPr="004C5F14">
        <w:rPr>
          <w:lang w:eastAsia="en-AU"/>
        </w:rPr>
        <w:t xml:space="preserve"> </w:t>
      </w:r>
      <w:r w:rsidR="003317F0" w:rsidRPr="004C5F14">
        <w:rPr>
          <w:lang w:eastAsia="en-AU"/>
        </w:rPr>
        <w:t>to coordinate improvements to outcomes and services for LGBT</w:t>
      </w:r>
      <w:r w:rsidR="005A78D2">
        <w:rPr>
          <w:lang w:eastAsia="en-AU"/>
        </w:rPr>
        <w:t>Q</w:t>
      </w:r>
      <w:r w:rsidR="003317F0" w:rsidRPr="004C5F14">
        <w:rPr>
          <w:lang w:eastAsia="en-AU"/>
        </w:rPr>
        <w:t>+ people.</w:t>
      </w:r>
      <w:r w:rsidR="003317F0">
        <w:rPr>
          <w:lang w:eastAsia="en-AU"/>
        </w:rPr>
        <w:t xml:space="preserve"> </w:t>
      </w:r>
      <w:r w:rsidR="00502F37">
        <w:rPr>
          <w:lang w:eastAsia="en-AU"/>
        </w:rPr>
        <w:t xml:space="preserve">In some instances, lived experience advisory infrastructure has also been developed to </w:t>
      </w:r>
      <w:r w:rsidR="000864A3">
        <w:rPr>
          <w:lang w:eastAsia="en-AU"/>
        </w:rPr>
        <w:t>enable the government to access ongoing advice on issues impact</w:t>
      </w:r>
      <w:r w:rsidR="00B37C4D">
        <w:rPr>
          <w:lang w:eastAsia="en-AU"/>
        </w:rPr>
        <w:t>ing</w:t>
      </w:r>
      <w:r w:rsidR="000864A3">
        <w:rPr>
          <w:lang w:eastAsia="en-AU"/>
        </w:rPr>
        <w:t xml:space="preserve"> LGBT</w:t>
      </w:r>
      <w:r w:rsidR="005A78D2">
        <w:rPr>
          <w:lang w:eastAsia="en-AU"/>
        </w:rPr>
        <w:t>Q</w:t>
      </w:r>
      <w:r w:rsidR="000864A3">
        <w:rPr>
          <w:lang w:eastAsia="en-AU"/>
        </w:rPr>
        <w:t xml:space="preserve">+ people. </w:t>
      </w:r>
    </w:p>
    <w:p w14:paraId="6C50D80E" w14:textId="5E39B373" w:rsidR="00D65848" w:rsidRPr="00DF343C" w:rsidRDefault="00D65848" w:rsidP="009B406F">
      <w:pPr>
        <w:pStyle w:val="NbrHeading4"/>
      </w:pPr>
      <w:r w:rsidRPr="00DF343C">
        <w:t>LGBT</w:t>
      </w:r>
      <w:r w:rsidR="00533202" w:rsidRPr="00DF343C">
        <w:t>Q</w:t>
      </w:r>
      <w:r w:rsidRPr="00DF343C">
        <w:t xml:space="preserve">+ health strategies </w:t>
      </w:r>
    </w:p>
    <w:p w14:paraId="474DB94E" w14:textId="717E66C2" w:rsidR="004800E7" w:rsidRPr="008548CA" w:rsidRDefault="00D65848" w:rsidP="008548CA">
      <w:r w:rsidRPr="008548CA">
        <w:t>Five state and territory governments have already developed or implemented a dedicated strategy focused on improving</w:t>
      </w:r>
      <w:r w:rsidR="002A0F7A" w:rsidRPr="008548CA">
        <w:t xml:space="preserve"> </w:t>
      </w:r>
      <w:r w:rsidRPr="008548CA">
        <w:t>outcomes for LGBT</w:t>
      </w:r>
      <w:r w:rsidR="00533202" w:rsidRPr="008548CA">
        <w:t>Q</w:t>
      </w:r>
      <w:r w:rsidRPr="008548CA">
        <w:t>+ people</w:t>
      </w:r>
      <w:r w:rsidR="008E42E0" w:rsidRPr="008548CA">
        <w:t>,</w:t>
      </w:r>
      <w:r w:rsidRPr="008548CA">
        <w:t xml:space="preserve"> either </w:t>
      </w:r>
      <w:r w:rsidR="002A0F7A" w:rsidRPr="008548CA">
        <w:t>in the form of a specific health strategy</w:t>
      </w:r>
      <w:r w:rsidR="008E42E0" w:rsidRPr="008548CA">
        <w:t>,</w:t>
      </w:r>
      <w:r w:rsidR="002A0F7A" w:rsidRPr="008548CA">
        <w:t xml:space="preserve"> </w:t>
      </w:r>
      <w:r w:rsidRPr="008548CA">
        <w:t xml:space="preserve">or incorporating health within a whole-of-government strategy. </w:t>
      </w:r>
      <w:r w:rsidR="001B2738" w:rsidRPr="008548CA">
        <w:t>In addition to commitments aimed at directly improving mental health and w</w:t>
      </w:r>
      <w:r w:rsidR="009405BF" w:rsidRPr="008548CA">
        <w:t xml:space="preserve">ellbeing outcomes for LGBTQ+ people, many of these strategies also include commitments to improve data collection practices to support </w:t>
      </w:r>
      <w:r w:rsidR="00D4083B" w:rsidRPr="008548CA">
        <w:t xml:space="preserve">future evidence-based decision-making. </w:t>
      </w:r>
    </w:p>
    <w:p w14:paraId="24E5F77E" w14:textId="77777777" w:rsidR="00701682" w:rsidRPr="008548CA" w:rsidRDefault="00705DF8" w:rsidP="008548CA">
      <w:r w:rsidRPr="008548CA">
        <w:t>While these</w:t>
      </w:r>
      <w:r w:rsidR="00701682" w:rsidRPr="008548CA">
        <w:t xml:space="preserve"> developments have been generally welcomed, </w:t>
      </w:r>
      <w:r w:rsidR="00AE72FC" w:rsidRPr="008548CA">
        <w:t xml:space="preserve">some LGBTQ+ peak bodies have raised concerns regarding the efficacy of some of these initiatives and the progress they are making toward improving outcomes for LGBTQ+ people. </w:t>
      </w:r>
    </w:p>
    <w:p w14:paraId="0DAC331F" w14:textId="3ED88E45" w:rsidR="00D65848" w:rsidRPr="008548CA" w:rsidRDefault="001B6CB4" w:rsidP="008548CA">
      <w:r w:rsidRPr="008548CA">
        <w:t>While assessing the status</w:t>
      </w:r>
      <w:r w:rsidR="007642F2" w:rsidRPr="008548CA">
        <w:t xml:space="preserve"> or effectiveness</w:t>
      </w:r>
      <w:r w:rsidRPr="008548CA">
        <w:t xml:space="preserve"> of these strategies </w:t>
      </w:r>
      <w:r w:rsidR="00C93722" w:rsidRPr="008548CA">
        <w:t xml:space="preserve">was outside the scope of this research, an overview of </w:t>
      </w:r>
      <w:r w:rsidR="00BE7DE2" w:rsidRPr="008548CA">
        <w:t>existing</w:t>
      </w:r>
      <w:r w:rsidR="00D65848" w:rsidRPr="008548CA">
        <w:t xml:space="preserve"> dedicated </w:t>
      </w:r>
      <w:r w:rsidR="00BE7DE2" w:rsidRPr="008548CA">
        <w:t xml:space="preserve">state </w:t>
      </w:r>
      <w:r w:rsidR="00D65848" w:rsidRPr="008548CA">
        <w:t xml:space="preserve">strategies </w:t>
      </w:r>
      <w:r w:rsidR="00C93722" w:rsidRPr="008548CA">
        <w:t xml:space="preserve">is provided </w:t>
      </w:r>
      <w:r w:rsidR="00D65848" w:rsidRPr="008548CA">
        <w:t xml:space="preserve">in Table </w:t>
      </w:r>
      <w:r w:rsidR="00391E8D" w:rsidRPr="008548CA">
        <w:t>1</w:t>
      </w:r>
      <w:r w:rsidR="00D65848" w:rsidRPr="008548CA">
        <w:t xml:space="preserve"> below. For those governments who do not have a dedicated strategy, commitments made through other policy instruments and frameworks are highlighted</w:t>
      </w:r>
      <w:r w:rsidR="00307A89" w:rsidRPr="008548CA">
        <w:t xml:space="preserve"> in the table</w:t>
      </w:r>
      <w:r w:rsidR="00D65848" w:rsidRPr="008548CA">
        <w:t>.</w:t>
      </w:r>
      <w:r w:rsidR="00594B37" w:rsidRPr="008548CA">
        <w:t xml:space="preserve"> Additional</w:t>
      </w:r>
      <w:r w:rsidR="00D65848" w:rsidRPr="008548CA">
        <w:t xml:space="preserve"> detail </w:t>
      </w:r>
      <w:r w:rsidR="00367D34" w:rsidRPr="008548CA">
        <w:t xml:space="preserve">regarding </w:t>
      </w:r>
      <w:r w:rsidR="00594B37" w:rsidRPr="008548CA">
        <w:t>other</w:t>
      </w:r>
      <w:r w:rsidR="00D65848" w:rsidRPr="008548CA">
        <w:t xml:space="preserve"> relevant state and territory policy initiatives which relate to LGBT</w:t>
      </w:r>
      <w:r w:rsidR="00594B37" w:rsidRPr="008548CA">
        <w:t>Q</w:t>
      </w:r>
      <w:r w:rsidR="00D65848" w:rsidRPr="008548CA">
        <w:t>+ mental health and wellbeing</w:t>
      </w:r>
      <w:r w:rsidR="00594B37" w:rsidRPr="008548CA">
        <w:t xml:space="preserve"> is</w:t>
      </w:r>
      <w:r w:rsidR="00D65848" w:rsidRPr="008548CA">
        <w:t xml:space="preserve"> </w:t>
      </w:r>
      <w:r w:rsidR="00594B37" w:rsidRPr="008548CA">
        <w:t>also provided</w:t>
      </w:r>
      <w:r w:rsidR="00D65848" w:rsidRPr="008548CA">
        <w:t xml:space="preserve"> </w:t>
      </w:r>
      <w:r w:rsidR="000C3896" w:rsidRPr="008548CA">
        <w:t>in</w:t>
      </w:r>
      <w:r w:rsidR="00D65848" w:rsidRPr="008548CA">
        <w:t xml:space="preserve"> Attachment 3.</w:t>
      </w:r>
    </w:p>
    <w:p w14:paraId="65FD2DFA" w14:textId="3A72D57D" w:rsidR="008677D9" w:rsidRPr="00DF343C" w:rsidRDefault="008677D9" w:rsidP="009B406F">
      <w:pPr>
        <w:pStyle w:val="NbrHeading4"/>
      </w:pPr>
      <w:r w:rsidRPr="00DF343C">
        <w:t>LGBT</w:t>
      </w:r>
      <w:r w:rsidR="00594B37" w:rsidRPr="00DF343C">
        <w:t>Q</w:t>
      </w:r>
      <w:r w:rsidRPr="00DF343C">
        <w:t>+ lived experience advisory infrastructure</w:t>
      </w:r>
      <w:r w:rsidR="001E2FF0" w:rsidRPr="00DF343C">
        <w:t>.</w:t>
      </w:r>
      <w:r w:rsidRPr="00DF343C">
        <w:t xml:space="preserve"> </w:t>
      </w:r>
    </w:p>
    <w:p w14:paraId="5C7C4470" w14:textId="4963F7D0" w:rsidR="008677D9" w:rsidRPr="008548CA" w:rsidRDefault="0063575E" w:rsidP="008548CA">
      <w:r w:rsidRPr="008548CA">
        <w:t>At</w:t>
      </w:r>
      <w:r w:rsidR="001B2C32" w:rsidRPr="008548CA">
        <w:t xml:space="preserve"> least f</w:t>
      </w:r>
      <w:r w:rsidR="000304E1" w:rsidRPr="008548CA">
        <w:t>our</w:t>
      </w:r>
      <w:r w:rsidR="006A7260" w:rsidRPr="008548CA">
        <w:t xml:space="preserve"> state and territory governments have </w:t>
      </w:r>
      <w:r w:rsidRPr="008548CA">
        <w:t xml:space="preserve">also </w:t>
      </w:r>
      <w:r w:rsidR="00CE17DE" w:rsidRPr="008548CA">
        <w:t>established</w:t>
      </w:r>
      <w:r w:rsidR="000304E1" w:rsidRPr="008548CA">
        <w:t xml:space="preserve"> what appear to be permanent pieces of</w:t>
      </w:r>
      <w:r w:rsidR="0032239B" w:rsidRPr="008548CA">
        <w:t xml:space="preserve"> </w:t>
      </w:r>
      <w:r w:rsidR="00CE17DE" w:rsidRPr="008548CA">
        <w:t>LGBT</w:t>
      </w:r>
      <w:r w:rsidR="00594B37" w:rsidRPr="008548CA">
        <w:t>Q</w:t>
      </w:r>
      <w:r w:rsidR="00CE17DE" w:rsidRPr="008548CA">
        <w:t xml:space="preserve">+ lived experience advisory infrastructure to </w:t>
      </w:r>
      <w:r w:rsidR="00ED612C" w:rsidRPr="008548CA">
        <w:t xml:space="preserve">provide ongoing </w:t>
      </w:r>
      <w:r w:rsidR="00A828A5" w:rsidRPr="008548CA">
        <w:t>advice</w:t>
      </w:r>
      <w:r w:rsidR="00ED612C" w:rsidRPr="008548CA">
        <w:t xml:space="preserve"> </w:t>
      </w:r>
      <w:r w:rsidR="00CA3805" w:rsidRPr="008548CA">
        <w:t xml:space="preserve">to government </w:t>
      </w:r>
      <w:r w:rsidR="00ED612C" w:rsidRPr="008548CA">
        <w:t>on issues</w:t>
      </w:r>
      <w:r w:rsidR="00416B92" w:rsidRPr="008548CA">
        <w:t xml:space="preserve"> impacting</w:t>
      </w:r>
      <w:r w:rsidR="009B5971" w:rsidRPr="008548CA">
        <w:t xml:space="preserve"> LGBT</w:t>
      </w:r>
      <w:r w:rsidR="009151C4" w:rsidRPr="008548CA">
        <w:t>Q</w:t>
      </w:r>
      <w:r w:rsidR="009B5971" w:rsidRPr="008548CA">
        <w:t>+ people</w:t>
      </w:r>
      <w:r w:rsidR="00416B92" w:rsidRPr="008548CA">
        <w:t>, including mental health and wellbeing</w:t>
      </w:r>
      <w:r w:rsidR="009B5971" w:rsidRPr="008548CA">
        <w:t>.</w:t>
      </w:r>
    </w:p>
    <w:p w14:paraId="140EE1DE" w14:textId="2F4A7B08" w:rsidR="00852C12" w:rsidRPr="008548CA" w:rsidRDefault="00D66E76" w:rsidP="008548CA">
      <w:r w:rsidRPr="008548CA">
        <w:t xml:space="preserve">These advisory </w:t>
      </w:r>
      <w:r w:rsidR="004B2FAC" w:rsidRPr="008548CA">
        <w:t xml:space="preserve">bodies </w:t>
      </w:r>
      <w:r w:rsidR="00852922" w:rsidRPr="008548CA">
        <w:t>vary in their membership structure</w:t>
      </w:r>
      <w:r w:rsidR="001A1611" w:rsidRPr="008548CA">
        <w:t xml:space="preserve"> and </w:t>
      </w:r>
      <w:r w:rsidR="00E41A30" w:rsidRPr="008548CA">
        <w:t xml:space="preserve">responsibilities, </w:t>
      </w:r>
      <w:r w:rsidR="00537725" w:rsidRPr="008548CA">
        <w:t xml:space="preserve">with </w:t>
      </w:r>
      <w:r w:rsidR="004B1354" w:rsidRPr="008548CA">
        <w:t>some enjo</w:t>
      </w:r>
      <w:r w:rsidR="00547057" w:rsidRPr="008548CA">
        <w:t xml:space="preserve">ying a wide remit to undertake consultation </w:t>
      </w:r>
      <w:r w:rsidR="00510FBF" w:rsidRPr="008548CA">
        <w:t>with</w:t>
      </w:r>
      <w:r w:rsidR="00367D34" w:rsidRPr="008548CA">
        <w:t>,</w:t>
      </w:r>
      <w:r w:rsidR="00510FBF" w:rsidRPr="008548CA">
        <w:t xml:space="preserve"> </w:t>
      </w:r>
      <w:r w:rsidR="00852C12" w:rsidRPr="008548CA">
        <w:t>and receive submissions from</w:t>
      </w:r>
      <w:r w:rsidR="00367D34" w:rsidRPr="008548CA">
        <w:t>,</w:t>
      </w:r>
      <w:r w:rsidR="00852C12" w:rsidRPr="008548CA">
        <w:t xml:space="preserve"> the community. </w:t>
      </w:r>
      <w:r w:rsidR="009151C4" w:rsidRPr="008548CA">
        <w:t xml:space="preserve">While </w:t>
      </w:r>
      <w:r w:rsidR="00932E5D" w:rsidRPr="008548CA">
        <w:t>assessing the status or effectiveness of these bodies was outside the scope of this research, a</w:t>
      </w:r>
      <w:r w:rsidR="00E44F43" w:rsidRPr="008548CA">
        <w:t xml:space="preserve"> </w:t>
      </w:r>
      <w:r w:rsidR="001B2C32" w:rsidRPr="008548CA">
        <w:t>high-level</w:t>
      </w:r>
      <w:r w:rsidR="00E44F43" w:rsidRPr="008548CA">
        <w:t xml:space="preserve"> summary of </w:t>
      </w:r>
      <w:r w:rsidR="001B2C32" w:rsidRPr="008548CA">
        <w:t xml:space="preserve">the </w:t>
      </w:r>
      <w:r w:rsidR="001A2C3B" w:rsidRPr="008548CA">
        <w:t xml:space="preserve">four permanent advisory bodies identified is provided in Table </w:t>
      </w:r>
      <w:r w:rsidR="00632B75" w:rsidRPr="008548CA">
        <w:t>3</w:t>
      </w:r>
      <w:r w:rsidR="001A2C3B" w:rsidRPr="008548CA">
        <w:t>.</w:t>
      </w:r>
    </w:p>
    <w:p w14:paraId="5C090EC0" w14:textId="2C0C3D7A" w:rsidR="00C57200" w:rsidRPr="008548CA" w:rsidRDefault="00C57200" w:rsidP="008548CA">
      <w:pPr>
        <w:sectPr w:rsidR="00C57200" w:rsidRPr="008548CA" w:rsidSect="00CD06B3">
          <w:footerReference w:type="default" r:id="rId45"/>
          <w:pgSz w:w="11906" w:h="16838" w:code="9"/>
          <w:pgMar w:top="1440" w:right="1440" w:bottom="1440" w:left="1440" w:header="567" w:footer="57" w:gutter="0"/>
          <w:cols w:space="708"/>
          <w:docGrid w:linePitch="360"/>
        </w:sectPr>
      </w:pPr>
      <w:r w:rsidRPr="008548CA">
        <w:t xml:space="preserve">While this section </w:t>
      </w:r>
      <w:r w:rsidR="00083086" w:rsidRPr="008548CA">
        <w:t>describes</w:t>
      </w:r>
      <w:r w:rsidR="001A2C3B" w:rsidRPr="008548CA">
        <w:t xml:space="preserve"> permanent bodies, it should be noted that other states and territories </w:t>
      </w:r>
      <w:r w:rsidR="00E838AA" w:rsidRPr="008548CA">
        <w:t xml:space="preserve">have </w:t>
      </w:r>
      <w:r w:rsidR="00083086" w:rsidRPr="008548CA">
        <w:t xml:space="preserve">also </w:t>
      </w:r>
      <w:r w:rsidR="00E838AA" w:rsidRPr="008548CA">
        <w:t xml:space="preserve">established </w:t>
      </w:r>
      <w:r w:rsidR="00083086" w:rsidRPr="008548CA">
        <w:t xml:space="preserve">short-term advisory bodies to support the development of specific initiatives. For example, the Northern Territory </w:t>
      </w:r>
      <w:r w:rsidR="00DF343C" w:rsidRPr="008548CA">
        <w:t xml:space="preserve">established </w:t>
      </w:r>
      <w:r w:rsidR="007B4D89" w:rsidRPr="008548CA">
        <w:t>a</w:t>
      </w:r>
      <w:r w:rsidR="00083086" w:rsidRPr="008548CA">
        <w:t xml:space="preserve"> </w:t>
      </w:r>
      <w:r w:rsidR="007B4D89" w:rsidRPr="008548CA">
        <w:t>‘</w:t>
      </w:r>
      <w:r w:rsidR="00083086" w:rsidRPr="008548CA">
        <w:t>NT Health Advisory Group for People with Diverse Sexualities and Gender Identities</w:t>
      </w:r>
      <w:r w:rsidR="007B4D89" w:rsidRPr="008548CA">
        <w:t xml:space="preserve">’ to support the development of their Inclusive Health Strategy. </w:t>
      </w:r>
    </w:p>
    <w:p w14:paraId="07764B12" w14:textId="292E1389" w:rsidR="009103EF" w:rsidRDefault="00373F3F" w:rsidP="00373F3F">
      <w:pPr>
        <w:pStyle w:val="Caption"/>
        <w:rPr>
          <w:lang w:eastAsia="en-AU"/>
        </w:rPr>
      </w:pPr>
      <w:r>
        <w:lastRenderedPageBreak/>
        <w:t xml:space="preserve">Table </w:t>
      </w:r>
      <w:r>
        <w:fldChar w:fldCharType="begin"/>
      </w:r>
      <w:r>
        <w:instrText xml:space="preserve"> SEQ Table \* ARABIC </w:instrText>
      </w:r>
      <w:r>
        <w:fldChar w:fldCharType="separate"/>
      </w:r>
      <w:r>
        <w:rPr>
          <w:noProof/>
        </w:rPr>
        <w:t>3</w:t>
      </w:r>
      <w:r>
        <w:fldChar w:fldCharType="end"/>
      </w:r>
      <w:r w:rsidR="00772A0C">
        <w:t>:</w:t>
      </w:r>
      <w:r w:rsidR="009103EF">
        <w:rPr>
          <w:lang w:eastAsia="en-AU"/>
        </w:rPr>
        <w:t xml:space="preserve"> </w:t>
      </w:r>
      <w:r w:rsidR="00175669">
        <w:rPr>
          <w:lang w:eastAsia="en-AU"/>
        </w:rPr>
        <w:t>Key Australian s</w:t>
      </w:r>
      <w:r w:rsidR="001479B4">
        <w:rPr>
          <w:lang w:eastAsia="en-AU"/>
        </w:rPr>
        <w:t>tate and territory LGBT</w:t>
      </w:r>
      <w:r w:rsidR="00F41929">
        <w:rPr>
          <w:lang w:eastAsia="en-AU"/>
        </w:rPr>
        <w:t>Q</w:t>
      </w:r>
      <w:r w:rsidR="001479B4">
        <w:rPr>
          <w:lang w:eastAsia="en-AU"/>
        </w:rPr>
        <w:t>+ health strategies</w:t>
      </w:r>
    </w:p>
    <w:tbl>
      <w:tblPr>
        <w:tblStyle w:val="LinedBlueTable"/>
        <w:tblW w:w="14029" w:type="dxa"/>
        <w:tblLook w:val="04A0" w:firstRow="1" w:lastRow="0" w:firstColumn="1" w:lastColumn="0" w:noHBand="0" w:noVBand="1"/>
      </w:tblPr>
      <w:tblGrid>
        <w:gridCol w:w="1476"/>
        <w:gridCol w:w="2114"/>
        <w:gridCol w:w="10439"/>
      </w:tblGrid>
      <w:tr w:rsidR="00C9792C" w:rsidRPr="00DD1A39" w14:paraId="42C62887" w14:textId="77777777" w:rsidTr="00595E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6" w:type="dxa"/>
          </w:tcPr>
          <w:p w14:paraId="5C5220D3" w14:textId="586035E3" w:rsidR="00E62EF5" w:rsidRPr="00DD1A39" w:rsidRDefault="00A354F5" w:rsidP="00F65D2A">
            <w:pPr>
              <w:spacing w:after="0"/>
              <w:jc w:val="center"/>
              <w:rPr>
                <w:b/>
                <w:bCs/>
                <w:sz w:val="20"/>
                <w:szCs w:val="20"/>
                <w:lang w:eastAsia="en-AU"/>
              </w:rPr>
            </w:pPr>
            <w:r w:rsidRPr="00DD1A39">
              <w:rPr>
                <w:b/>
                <w:bCs/>
                <w:sz w:val="20"/>
                <w:szCs w:val="20"/>
                <w:lang w:eastAsia="en-AU"/>
              </w:rPr>
              <w:t>Jurisdiction</w:t>
            </w:r>
          </w:p>
        </w:tc>
        <w:tc>
          <w:tcPr>
            <w:tcW w:w="2114" w:type="dxa"/>
          </w:tcPr>
          <w:p w14:paraId="55C22454" w14:textId="77777777" w:rsidR="00E62EF5" w:rsidRPr="00DD1A39" w:rsidRDefault="00E62EF5" w:rsidP="00F65D2A">
            <w:pPr>
              <w:spacing w:after="0"/>
              <w:jc w:val="center"/>
              <w:cnfStyle w:val="100000000000" w:firstRow="1" w:lastRow="0" w:firstColumn="0" w:lastColumn="0" w:oddVBand="0" w:evenVBand="0" w:oddHBand="0" w:evenHBand="0" w:firstRowFirstColumn="0" w:firstRowLastColumn="0" w:lastRowFirstColumn="0" w:lastRowLastColumn="0"/>
              <w:rPr>
                <w:b/>
                <w:bCs/>
                <w:sz w:val="20"/>
                <w:szCs w:val="20"/>
                <w:lang w:eastAsia="en-AU"/>
              </w:rPr>
            </w:pPr>
            <w:r w:rsidRPr="00DD1A39">
              <w:rPr>
                <w:b/>
                <w:bCs/>
                <w:sz w:val="20"/>
                <w:szCs w:val="20"/>
                <w:lang w:eastAsia="en-AU"/>
              </w:rPr>
              <w:t>Title</w:t>
            </w:r>
          </w:p>
        </w:tc>
        <w:tc>
          <w:tcPr>
            <w:tcW w:w="10439" w:type="dxa"/>
          </w:tcPr>
          <w:p w14:paraId="13F89704" w14:textId="77777777" w:rsidR="00E62EF5" w:rsidRPr="00DD1A39" w:rsidRDefault="00E62EF5" w:rsidP="00F65D2A">
            <w:pPr>
              <w:pStyle w:val="TableText"/>
              <w:jc w:val="center"/>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DD1A39">
              <w:rPr>
                <w:b/>
                <w:sz w:val="20"/>
                <w:szCs w:val="20"/>
                <w:lang w:eastAsia="en-AU"/>
              </w:rPr>
              <w:t>Description</w:t>
            </w:r>
          </w:p>
        </w:tc>
      </w:tr>
      <w:tr w:rsidR="00C9792C" w:rsidRPr="00DD1A39" w14:paraId="0917CB99" w14:textId="77777777" w:rsidTr="00595E32">
        <w:tc>
          <w:tcPr>
            <w:cnfStyle w:val="001000000000" w:firstRow="0" w:lastRow="0" w:firstColumn="1" w:lastColumn="0" w:oddVBand="0" w:evenVBand="0" w:oddHBand="0" w:evenHBand="0" w:firstRowFirstColumn="0" w:firstRowLastColumn="0" w:lastRowFirstColumn="0" w:lastRowLastColumn="0"/>
            <w:tcW w:w="1476" w:type="dxa"/>
          </w:tcPr>
          <w:p w14:paraId="470DA619" w14:textId="77777777" w:rsidR="00E62EF5" w:rsidRPr="00DD1A39" w:rsidRDefault="00E62EF5" w:rsidP="008B2D34">
            <w:pPr>
              <w:ind w:left="142"/>
              <w:jc w:val="center"/>
              <w:rPr>
                <w:sz w:val="20"/>
                <w:szCs w:val="20"/>
                <w:lang w:eastAsia="en-AU"/>
              </w:rPr>
            </w:pPr>
            <w:r w:rsidRPr="00DD1A39">
              <w:rPr>
                <w:sz w:val="20"/>
                <w:szCs w:val="20"/>
                <w:lang w:eastAsia="en-AU"/>
              </w:rPr>
              <w:t>ACT</w:t>
            </w:r>
          </w:p>
        </w:tc>
        <w:tc>
          <w:tcPr>
            <w:tcW w:w="2114" w:type="dxa"/>
          </w:tcPr>
          <w:p w14:paraId="71A9EBDD" w14:textId="77777777" w:rsidR="00E62EF5" w:rsidRPr="00DD1A39" w:rsidRDefault="00E62EF5" w:rsidP="00E8638A">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hyperlink r:id="rId46" w:history="1">
              <w:r w:rsidRPr="00DD1A39">
                <w:rPr>
                  <w:rStyle w:val="Hyperlink"/>
                  <w:sz w:val="20"/>
                  <w:szCs w:val="20"/>
                  <w:lang w:eastAsia="en-AU"/>
                </w:rPr>
                <w:t>Capital of Equality Strategy</w:t>
              </w:r>
            </w:hyperlink>
          </w:p>
        </w:tc>
        <w:tc>
          <w:tcPr>
            <w:tcW w:w="10439" w:type="dxa"/>
          </w:tcPr>
          <w:p w14:paraId="3232DB3B" w14:textId="50E50586" w:rsidR="00757A0A" w:rsidRPr="00DD1A39" w:rsidRDefault="00E62EF5" w:rsidP="00E8638A">
            <w:pPr>
              <w:pStyle w:val="TableTex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D1A39">
              <w:rPr>
                <w:sz w:val="20"/>
                <w:szCs w:val="20"/>
                <w:lang w:eastAsia="en-AU"/>
              </w:rPr>
              <w:t>The whole-of-government strategy</w:t>
            </w:r>
            <w:r w:rsidR="00CA70EB" w:rsidRPr="00DD1A39">
              <w:rPr>
                <w:sz w:val="20"/>
                <w:szCs w:val="20"/>
                <w:lang w:eastAsia="en-AU"/>
              </w:rPr>
              <w:t xml:space="preserve"> set</w:t>
            </w:r>
            <w:r w:rsidR="004167AB" w:rsidRPr="00DD1A39">
              <w:rPr>
                <w:sz w:val="20"/>
                <w:szCs w:val="20"/>
                <w:lang w:eastAsia="en-AU"/>
              </w:rPr>
              <w:t xml:space="preserve">s </w:t>
            </w:r>
            <w:r w:rsidR="00CA70EB" w:rsidRPr="00DD1A39">
              <w:rPr>
                <w:sz w:val="20"/>
                <w:szCs w:val="20"/>
                <w:lang w:eastAsia="en-AU"/>
              </w:rPr>
              <w:t xml:space="preserve">out the </w:t>
            </w:r>
            <w:r w:rsidR="004167AB" w:rsidRPr="00DD1A39">
              <w:rPr>
                <w:sz w:val="20"/>
                <w:szCs w:val="20"/>
                <w:lang w:eastAsia="en-AU"/>
              </w:rPr>
              <w:t>ACT</w:t>
            </w:r>
            <w:r w:rsidR="00CA70EB" w:rsidRPr="00DD1A39">
              <w:rPr>
                <w:sz w:val="20"/>
                <w:szCs w:val="20"/>
                <w:lang w:eastAsia="en-AU"/>
              </w:rPr>
              <w:t>’s commitment</w:t>
            </w:r>
            <w:r w:rsidRPr="00DD1A39">
              <w:rPr>
                <w:sz w:val="20"/>
                <w:szCs w:val="20"/>
                <w:lang w:eastAsia="en-AU"/>
              </w:rPr>
              <w:t xml:space="preserve"> </w:t>
            </w:r>
            <w:r w:rsidR="005D3143" w:rsidRPr="00DD1A39">
              <w:rPr>
                <w:sz w:val="20"/>
                <w:szCs w:val="20"/>
                <w:lang w:eastAsia="en-AU"/>
              </w:rPr>
              <w:t>for Canberra to be</w:t>
            </w:r>
            <w:r w:rsidRPr="00DD1A39">
              <w:rPr>
                <w:sz w:val="20"/>
                <w:szCs w:val="20"/>
                <w:lang w:eastAsia="en-AU"/>
              </w:rPr>
              <w:t xml:space="preserve"> the most LGBTI</w:t>
            </w:r>
            <w:r w:rsidR="00AF0A30" w:rsidRPr="00DD1A39">
              <w:rPr>
                <w:sz w:val="20"/>
                <w:szCs w:val="20"/>
                <w:lang w:eastAsia="en-AU"/>
              </w:rPr>
              <w:t>Q</w:t>
            </w:r>
            <w:r w:rsidRPr="00DD1A39">
              <w:rPr>
                <w:sz w:val="20"/>
                <w:szCs w:val="20"/>
                <w:lang w:eastAsia="en-AU"/>
              </w:rPr>
              <w:t>+ welcoming and inclusive city in Australia.</w:t>
            </w:r>
            <w:r w:rsidRPr="00DD1A39">
              <w:rPr>
                <w:sz w:val="20"/>
                <w:szCs w:val="20"/>
                <w:vertAlign w:val="superscript"/>
                <w:lang w:eastAsia="en-AU"/>
              </w:rPr>
              <w:footnoteReference w:id="42"/>
            </w:r>
            <w:r w:rsidRPr="00DD1A39">
              <w:rPr>
                <w:sz w:val="20"/>
                <w:szCs w:val="20"/>
                <w:vertAlign w:val="superscript"/>
                <w:lang w:eastAsia="en-AU"/>
              </w:rPr>
              <w:t xml:space="preserve"> </w:t>
            </w:r>
            <w:r w:rsidRPr="00DD1A39">
              <w:rPr>
                <w:sz w:val="20"/>
                <w:szCs w:val="20"/>
                <w:lang w:eastAsia="en-AU"/>
              </w:rPr>
              <w:t>In addition to commitments to reduce discrimination and other forms of inequality, the Strategy includes a variety of actions to improve the delivery of inclusive and accessible services. This, for example, includes</w:t>
            </w:r>
            <w:r w:rsidR="00757A0A" w:rsidRPr="00DD1A39">
              <w:rPr>
                <w:sz w:val="20"/>
                <w:szCs w:val="20"/>
                <w:lang w:eastAsia="en-AU"/>
              </w:rPr>
              <w:t>:</w:t>
            </w:r>
          </w:p>
          <w:p w14:paraId="5E8B9211" w14:textId="14D6C33D" w:rsidR="00757A0A" w:rsidRPr="00DD1A39" w:rsidRDefault="005F1E84" w:rsidP="00757A0A">
            <w:pPr>
              <w:pStyle w:val="TableBulle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00E62EF5" w:rsidRPr="00DD1A39">
              <w:rPr>
                <w:sz w:val="20"/>
                <w:szCs w:val="20"/>
              </w:rPr>
              <w:t>roviding training to mainstream</w:t>
            </w:r>
            <w:r w:rsidR="00757A0A" w:rsidRPr="00DD1A39">
              <w:rPr>
                <w:sz w:val="20"/>
                <w:szCs w:val="20"/>
              </w:rPr>
              <w:t xml:space="preserve"> service</w:t>
            </w:r>
            <w:r w:rsidR="00E62EF5" w:rsidRPr="00DD1A39">
              <w:rPr>
                <w:sz w:val="20"/>
                <w:szCs w:val="20"/>
              </w:rPr>
              <w:t xml:space="preserve"> providers</w:t>
            </w:r>
          </w:p>
          <w:p w14:paraId="1ECA74E0" w14:textId="16EDBC64" w:rsidR="00E62EF5" w:rsidRPr="00DD1A39" w:rsidRDefault="005F1E84" w:rsidP="00757A0A">
            <w:pPr>
              <w:pStyle w:val="TableBulle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r w:rsidR="00E62EF5" w:rsidRPr="00DD1A39">
              <w:rPr>
                <w:sz w:val="20"/>
                <w:szCs w:val="20"/>
              </w:rPr>
              <w:t>mproving the provision of targeted, peer-led services</w:t>
            </w:r>
          </w:p>
          <w:p w14:paraId="57F264F4" w14:textId="39610432" w:rsidR="00E62EF5" w:rsidRPr="00DD1A39" w:rsidRDefault="00E62EF5" w:rsidP="00E8638A">
            <w:pPr>
              <w:pStyle w:val="TableTex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D1A39">
              <w:rPr>
                <w:sz w:val="20"/>
                <w:szCs w:val="20"/>
                <w:lang w:eastAsia="en-AU"/>
              </w:rPr>
              <w:t>The Strategy’s Second Action Plan outlines further commitments to improve access to mental health support for LGBTIQ+ Canberrans: this includes ongoing funding to Meridian and A Gender Agenda; removing barriers to gender affirmation surgeries and procedures; as well as implementation of several mental health recommendations from the LGBTIQ+ Health Scoping Study</w:t>
            </w:r>
            <w:r w:rsidRPr="00B20D37">
              <w:rPr>
                <w:sz w:val="20"/>
                <w:szCs w:val="20"/>
                <w:lang w:eastAsia="en-AU"/>
              </w:rPr>
              <w:t>.</w:t>
            </w:r>
            <w:r w:rsidRPr="00DD1A39">
              <w:rPr>
                <w:sz w:val="20"/>
                <w:szCs w:val="20"/>
                <w:vertAlign w:val="superscript"/>
                <w:lang w:eastAsia="en-AU"/>
              </w:rPr>
              <w:footnoteReference w:id="43"/>
            </w:r>
          </w:p>
        </w:tc>
      </w:tr>
      <w:tr w:rsidR="00E8638A" w:rsidRPr="00DD1A39" w14:paraId="299C05CE" w14:textId="77777777" w:rsidTr="0059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70EA4FB9" w14:textId="77777777" w:rsidR="00E62EF5" w:rsidRPr="00DD1A39" w:rsidRDefault="00E62EF5" w:rsidP="008B2D34">
            <w:pPr>
              <w:ind w:left="142"/>
              <w:jc w:val="center"/>
              <w:rPr>
                <w:sz w:val="20"/>
                <w:szCs w:val="20"/>
                <w:lang w:eastAsia="en-AU"/>
              </w:rPr>
            </w:pPr>
            <w:r w:rsidRPr="00DD1A39">
              <w:rPr>
                <w:sz w:val="20"/>
                <w:szCs w:val="20"/>
                <w:lang w:eastAsia="en-AU"/>
              </w:rPr>
              <w:t>New South Wales</w:t>
            </w:r>
          </w:p>
        </w:tc>
        <w:tc>
          <w:tcPr>
            <w:tcW w:w="2114" w:type="dxa"/>
          </w:tcPr>
          <w:p w14:paraId="68014D50" w14:textId="77777777" w:rsidR="00E62EF5" w:rsidRPr="00DD1A39" w:rsidRDefault="00E62EF5" w:rsidP="00E8638A">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hyperlink r:id="rId47" w:history="1">
              <w:r w:rsidRPr="00DD1A39">
                <w:rPr>
                  <w:rStyle w:val="Hyperlink"/>
                  <w:sz w:val="20"/>
                  <w:szCs w:val="20"/>
                  <w:lang w:eastAsia="en-AU"/>
                </w:rPr>
                <w:t>NSW LGBTIQ+ Health Strategy 2022-2027</w:t>
              </w:r>
            </w:hyperlink>
          </w:p>
        </w:tc>
        <w:tc>
          <w:tcPr>
            <w:tcW w:w="10439" w:type="dxa"/>
          </w:tcPr>
          <w:p w14:paraId="14FFDF7D" w14:textId="012FE8E1" w:rsidR="00E62EF5" w:rsidRPr="00DD1A39" w:rsidRDefault="007F46DD" w:rsidP="00E8638A">
            <w:pPr>
              <w:pStyle w:val="TableText"/>
              <w:cnfStyle w:val="000000010000" w:firstRow="0" w:lastRow="0" w:firstColumn="0" w:lastColumn="0" w:oddVBand="0" w:evenVBand="0" w:oddHBand="0" w:evenHBand="1" w:firstRowFirstColumn="0" w:firstRowLastColumn="0" w:lastRowFirstColumn="0" w:lastRowLastColumn="0"/>
              <w:rPr>
                <w:sz w:val="20"/>
                <w:szCs w:val="20"/>
                <w:lang w:eastAsia="en-AU"/>
              </w:rPr>
            </w:pPr>
            <w:r w:rsidRPr="00DD1A39">
              <w:rPr>
                <w:sz w:val="20"/>
                <w:szCs w:val="20"/>
                <w:lang w:eastAsia="en-AU"/>
              </w:rPr>
              <w:t>The Strategy c</w:t>
            </w:r>
            <w:r w:rsidR="00E62EF5" w:rsidRPr="00DD1A39">
              <w:rPr>
                <w:sz w:val="20"/>
                <w:szCs w:val="20"/>
                <w:lang w:eastAsia="en-AU"/>
              </w:rPr>
              <w:t>ommits the NSW Government to delivering high quality, safe, inclusive, and responsive healthcare – including mental healthcare – to LGBT</w:t>
            </w:r>
            <w:r w:rsidR="001A7F34" w:rsidRPr="00DD1A39">
              <w:rPr>
                <w:sz w:val="20"/>
                <w:szCs w:val="20"/>
                <w:lang w:eastAsia="en-AU"/>
              </w:rPr>
              <w:t>IQ</w:t>
            </w:r>
            <w:r w:rsidR="00E62EF5" w:rsidRPr="00DD1A39">
              <w:rPr>
                <w:sz w:val="20"/>
                <w:szCs w:val="20"/>
                <w:lang w:eastAsia="en-AU"/>
              </w:rPr>
              <w:t xml:space="preserve">+ people across the state. It proposes to do so </w:t>
            </w:r>
            <w:r w:rsidR="008050CB" w:rsidRPr="00DD1A39">
              <w:rPr>
                <w:sz w:val="20"/>
                <w:szCs w:val="20"/>
                <w:lang w:eastAsia="en-AU"/>
              </w:rPr>
              <w:t xml:space="preserve">through numerous </w:t>
            </w:r>
            <w:r w:rsidR="00E62EF5" w:rsidRPr="00DD1A39">
              <w:rPr>
                <w:sz w:val="20"/>
                <w:szCs w:val="20"/>
                <w:lang w:eastAsia="en-AU"/>
              </w:rPr>
              <w:t>interlinked measures</w:t>
            </w:r>
            <w:r w:rsidR="008050CB" w:rsidRPr="00DD1A39">
              <w:rPr>
                <w:sz w:val="20"/>
                <w:szCs w:val="20"/>
                <w:lang w:eastAsia="en-AU"/>
              </w:rPr>
              <w:t>,</w:t>
            </w:r>
            <w:r w:rsidR="00E62EF5" w:rsidRPr="00DD1A39">
              <w:rPr>
                <w:sz w:val="20"/>
                <w:szCs w:val="20"/>
                <w:lang w:eastAsia="en-AU"/>
              </w:rPr>
              <w:t xml:space="preserve"> including:</w:t>
            </w:r>
          </w:p>
          <w:p w14:paraId="372D87B1" w14:textId="59EAD106" w:rsidR="00E62EF5" w:rsidRPr="00DD1A39" w:rsidRDefault="005F1E84" w:rsidP="00E8638A">
            <w:pPr>
              <w:pStyle w:val="TableBulle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w:t>
            </w:r>
            <w:r w:rsidR="00E62EF5" w:rsidRPr="00DD1A39">
              <w:rPr>
                <w:sz w:val="20"/>
                <w:szCs w:val="20"/>
              </w:rPr>
              <w:t>roviding training to mental health professionals and support staff in mainstream services</w:t>
            </w:r>
          </w:p>
          <w:p w14:paraId="68BB5D80" w14:textId="2061AB5F" w:rsidR="00E62EF5" w:rsidRPr="00DD1A39" w:rsidRDefault="005F1E84" w:rsidP="00E8638A">
            <w:pPr>
              <w:pStyle w:val="TableBulle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w:t>
            </w:r>
            <w:r w:rsidR="00E62EF5" w:rsidRPr="00DD1A39">
              <w:rPr>
                <w:sz w:val="20"/>
                <w:szCs w:val="20"/>
              </w:rPr>
              <w:t>eveloping and distributing LGBT</w:t>
            </w:r>
            <w:r w:rsidR="001A7F34" w:rsidRPr="00DD1A39">
              <w:rPr>
                <w:sz w:val="20"/>
                <w:szCs w:val="20"/>
              </w:rPr>
              <w:t>IQ+</w:t>
            </w:r>
            <w:r w:rsidR="00E62EF5" w:rsidRPr="00DD1A39">
              <w:rPr>
                <w:sz w:val="20"/>
                <w:szCs w:val="20"/>
              </w:rPr>
              <w:t xml:space="preserve"> resources to providers</w:t>
            </w:r>
          </w:p>
          <w:p w14:paraId="76FEED49" w14:textId="5DF82D55" w:rsidR="00E62EF5" w:rsidRPr="00DD1A39" w:rsidRDefault="005F1E84" w:rsidP="00E8638A">
            <w:pPr>
              <w:pStyle w:val="TableBulle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w:t>
            </w:r>
            <w:r w:rsidR="00E62EF5" w:rsidRPr="00DD1A39">
              <w:rPr>
                <w:sz w:val="20"/>
                <w:szCs w:val="20"/>
              </w:rPr>
              <w:t>nsuring co-design is embedded in the development of LGBT</w:t>
            </w:r>
            <w:r w:rsidR="001A7F34" w:rsidRPr="00DD1A39">
              <w:rPr>
                <w:sz w:val="20"/>
                <w:szCs w:val="20"/>
              </w:rPr>
              <w:t>IQ</w:t>
            </w:r>
            <w:r w:rsidR="00E62EF5" w:rsidRPr="00DD1A39">
              <w:rPr>
                <w:sz w:val="20"/>
                <w:szCs w:val="20"/>
              </w:rPr>
              <w:t>+ specific initiatives</w:t>
            </w:r>
          </w:p>
          <w:p w14:paraId="2CE1F80A" w14:textId="55D1A03C" w:rsidR="00E62EF5" w:rsidRPr="00DD1A39" w:rsidRDefault="005F1E84" w:rsidP="00C951FB">
            <w:pPr>
              <w:pStyle w:val="TableBulle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w:t>
            </w:r>
            <w:r w:rsidR="00E62EF5" w:rsidRPr="00DD1A39">
              <w:rPr>
                <w:sz w:val="20"/>
                <w:szCs w:val="20"/>
              </w:rPr>
              <w:t>onsulting with communities to identify service gaps</w:t>
            </w:r>
          </w:p>
          <w:p w14:paraId="73F56E79" w14:textId="03032C63" w:rsidR="00E62EF5" w:rsidRPr="00DD1A39" w:rsidRDefault="00E62EF5" w:rsidP="00E8638A">
            <w:pPr>
              <w:pStyle w:val="TableText"/>
              <w:cnfStyle w:val="000000010000" w:firstRow="0" w:lastRow="0" w:firstColumn="0" w:lastColumn="0" w:oddVBand="0" w:evenVBand="0" w:oddHBand="0" w:evenHBand="1" w:firstRowFirstColumn="0" w:firstRowLastColumn="0" w:lastRowFirstColumn="0" w:lastRowLastColumn="0"/>
              <w:rPr>
                <w:sz w:val="20"/>
                <w:szCs w:val="20"/>
                <w:lang w:eastAsia="en-AU"/>
              </w:rPr>
            </w:pPr>
            <w:r w:rsidRPr="00DD1A39">
              <w:rPr>
                <w:sz w:val="20"/>
                <w:szCs w:val="20"/>
                <w:lang w:eastAsia="en-AU"/>
              </w:rPr>
              <w:t xml:space="preserve">The strategy also includes specific initiatives for gender diverse people; </w:t>
            </w:r>
            <w:r w:rsidR="001F5F4C" w:rsidRPr="00DD1A39">
              <w:rPr>
                <w:sz w:val="20"/>
                <w:szCs w:val="20"/>
                <w:lang w:eastAsia="en-AU"/>
              </w:rPr>
              <w:t>people with innate variations of sex characteristic</w:t>
            </w:r>
            <w:r w:rsidRPr="00DD1A39">
              <w:rPr>
                <w:sz w:val="20"/>
                <w:szCs w:val="20"/>
                <w:lang w:eastAsia="en-AU"/>
              </w:rPr>
              <w:t xml:space="preserve">; and to improve data collection instruments to capture information on </w:t>
            </w:r>
            <w:r w:rsidR="001F5F4C" w:rsidRPr="00DD1A39">
              <w:rPr>
                <w:sz w:val="20"/>
                <w:szCs w:val="20"/>
                <w:lang w:eastAsia="en-AU"/>
              </w:rPr>
              <w:t>sexual orientation and gender diversity</w:t>
            </w:r>
            <w:r w:rsidRPr="00DD1A39">
              <w:rPr>
                <w:sz w:val="20"/>
                <w:szCs w:val="20"/>
                <w:lang w:eastAsia="en-AU"/>
              </w:rPr>
              <w:t>.</w:t>
            </w:r>
            <w:r w:rsidRPr="00DD1A39">
              <w:rPr>
                <w:sz w:val="20"/>
                <w:szCs w:val="20"/>
                <w:vertAlign w:val="superscript"/>
                <w:lang w:eastAsia="en-AU"/>
              </w:rPr>
              <w:footnoteReference w:id="44"/>
            </w:r>
            <w:r w:rsidRPr="00DD1A39">
              <w:rPr>
                <w:sz w:val="20"/>
                <w:szCs w:val="20"/>
                <w:lang w:eastAsia="en-AU"/>
              </w:rPr>
              <w:t xml:space="preserve"> </w:t>
            </w:r>
          </w:p>
        </w:tc>
      </w:tr>
      <w:tr w:rsidR="00C9792C" w:rsidRPr="00DD1A39" w14:paraId="06C70A2D" w14:textId="77777777" w:rsidTr="00595E32">
        <w:tc>
          <w:tcPr>
            <w:cnfStyle w:val="001000000000" w:firstRow="0" w:lastRow="0" w:firstColumn="1" w:lastColumn="0" w:oddVBand="0" w:evenVBand="0" w:oddHBand="0" w:evenHBand="0" w:firstRowFirstColumn="0" w:firstRowLastColumn="0" w:lastRowFirstColumn="0" w:lastRowLastColumn="0"/>
            <w:tcW w:w="1476" w:type="dxa"/>
          </w:tcPr>
          <w:p w14:paraId="61976E66" w14:textId="77777777" w:rsidR="00E62EF5" w:rsidRPr="00DD1A39" w:rsidRDefault="00E62EF5" w:rsidP="008B2D34">
            <w:pPr>
              <w:ind w:left="142"/>
              <w:jc w:val="center"/>
              <w:rPr>
                <w:sz w:val="20"/>
                <w:szCs w:val="20"/>
                <w:lang w:eastAsia="en-AU"/>
              </w:rPr>
            </w:pPr>
            <w:r w:rsidRPr="00DD1A39">
              <w:rPr>
                <w:sz w:val="20"/>
                <w:szCs w:val="20"/>
                <w:lang w:eastAsia="en-AU"/>
              </w:rPr>
              <w:lastRenderedPageBreak/>
              <w:t>Northern Territory</w:t>
            </w:r>
          </w:p>
        </w:tc>
        <w:tc>
          <w:tcPr>
            <w:tcW w:w="2114" w:type="dxa"/>
          </w:tcPr>
          <w:p w14:paraId="09733299" w14:textId="2065ADA2" w:rsidR="00E62EF5" w:rsidRPr="00DD1A39" w:rsidRDefault="00E62EF5" w:rsidP="00E8638A">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hyperlink r:id="rId48" w:history="1">
              <w:r w:rsidRPr="00DD1A39">
                <w:rPr>
                  <w:rStyle w:val="Hyperlink"/>
                  <w:sz w:val="20"/>
                  <w:szCs w:val="20"/>
                  <w:lang w:eastAsia="en-AU"/>
                </w:rPr>
                <w:t>NT Health Inclusion Strategy Plan of Actions 2019-2022</w:t>
              </w:r>
            </w:hyperlink>
            <w:r w:rsidRPr="00DD1A39">
              <w:rPr>
                <w:sz w:val="20"/>
                <w:szCs w:val="20"/>
                <w:lang w:eastAsia="en-AU"/>
              </w:rPr>
              <w:t>: Respecting people with diverse sexualities and gender identities</w:t>
            </w:r>
          </w:p>
        </w:tc>
        <w:tc>
          <w:tcPr>
            <w:tcW w:w="10439" w:type="dxa"/>
          </w:tcPr>
          <w:p w14:paraId="1CA8A260" w14:textId="12800120" w:rsidR="00E62EF5" w:rsidRPr="00DD1A39" w:rsidRDefault="00AF32D9" w:rsidP="00E8638A">
            <w:pPr>
              <w:pStyle w:val="TableTex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D1A39">
              <w:rPr>
                <w:sz w:val="20"/>
                <w:szCs w:val="20"/>
                <w:lang w:eastAsia="en-AU"/>
              </w:rPr>
              <w:t xml:space="preserve">The NT Inclusion Strategy Plan aimed </w:t>
            </w:r>
            <w:r w:rsidR="00E62EF5" w:rsidRPr="00DD1A39">
              <w:rPr>
                <w:sz w:val="20"/>
                <w:szCs w:val="20"/>
                <w:lang w:eastAsia="en-AU"/>
              </w:rPr>
              <w:t>to</w:t>
            </w:r>
            <w:r w:rsidR="007E612C" w:rsidRPr="00DD1A39">
              <w:rPr>
                <w:sz w:val="20"/>
                <w:szCs w:val="20"/>
                <w:lang w:eastAsia="en-AU"/>
              </w:rPr>
              <w:t xml:space="preserve"> support health and wellbeing for the territory’s </w:t>
            </w:r>
            <w:r w:rsidR="00F01D90" w:rsidRPr="00DD1A39">
              <w:rPr>
                <w:sz w:val="20"/>
                <w:szCs w:val="20"/>
                <w:lang w:eastAsia="en-AU"/>
              </w:rPr>
              <w:t xml:space="preserve">LGBTQ+ people </w:t>
            </w:r>
            <w:r w:rsidR="004F0283" w:rsidRPr="00DD1A39">
              <w:rPr>
                <w:sz w:val="20"/>
                <w:szCs w:val="20"/>
                <w:lang w:eastAsia="en-AU"/>
              </w:rPr>
              <w:t xml:space="preserve">through a variety of interlinked goals and actions. For example: </w:t>
            </w:r>
          </w:p>
          <w:p w14:paraId="139C1EEB" w14:textId="22E4B27C" w:rsidR="004F0283" w:rsidRPr="00DD1A39" w:rsidRDefault="005F1E84" w:rsidP="004F0283">
            <w:pPr>
              <w:pStyle w:val="TableBulle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r w:rsidR="001A1D73" w:rsidRPr="00DD1A39">
              <w:rPr>
                <w:sz w:val="20"/>
                <w:szCs w:val="20"/>
              </w:rPr>
              <w:t>nsuring physical spaces, services and</w:t>
            </w:r>
            <w:r>
              <w:rPr>
                <w:sz w:val="20"/>
                <w:szCs w:val="20"/>
              </w:rPr>
              <w:t>,</w:t>
            </w:r>
            <w:r w:rsidR="001A1D73" w:rsidRPr="00DD1A39">
              <w:rPr>
                <w:sz w:val="20"/>
                <w:szCs w:val="20"/>
              </w:rPr>
              <w:t xml:space="preserve"> promotions materials are inclusive</w:t>
            </w:r>
          </w:p>
          <w:p w14:paraId="100E3A80" w14:textId="285DEB5E" w:rsidR="001A1D73" w:rsidRPr="00DD1A39" w:rsidRDefault="005F1E84" w:rsidP="004F0283">
            <w:pPr>
              <w:pStyle w:val="TableBulle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w:t>
            </w:r>
            <w:r w:rsidRPr="00DD1A39">
              <w:rPr>
                <w:sz w:val="20"/>
                <w:szCs w:val="20"/>
              </w:rPr>
              <w:t xml:space="preserve">pdating </w:t>
            </w:r>
            <w:r w:rsidR="001A1D73" w:rsidRPr="00DD1A39">
              <w:rPr>
                <w:sz w:val="20"/>
                <w:szCs w:val="20"/>
              </w:rPr>
              <w:t xml:space="preserve">and providing staff training on </w:t>
            </w:r>
            <w:r w:rsidR="00134907" w:rsidRPr="00DD1A39">
              <w:rPr>
                <w:sz w:val="20"/>
                <w:szCs w:val="20"/>
              </w:rPr>
              <w:t>awareness, language, and unconscious bias</w:t>
            </w:r>
          </w:p>
          <w:p w14:paraId="0E0AE193" w14:textId="361B32D1" w:rsidR="00134907" w:rsidRPr="00DD1A39" w:rsidRDefault="005F1E84" w:rsidP="004F0283">
            <w:pPr>
              <w:pStyle w:val="TableBulle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r w:rsidRPr="00DD1A39">
              <w:rPr>
                <w:sz w:val="20"/>
                <w:szCs w:val="20"/>
              </w:rPr>
              <w:t xml:space="preserve">nvesting </w:t>
            </w:r>
            <w:r w:rsidR="00134907" w:rsidRPr="00DD1A39">
              <w:rPr>
                <w:sz w:val="20"/>
                <w:szCs w:val="20"/>
              </w:rPr>
              <w:t xml:space="preserve">in research on </w:t>
            </w:r>
            <w:r w:rsidR="00F01D90" w:rsidRPr="00DD1A39">
              <w:rPr>
                <w:sz w:val="20"/>
                <w:szCs w:val="20"/>
              </w:rPr>
              <w:t xml:space="preserve">LGBTQ+ </w:t>
            </w:r>
            <w:r w:rsidR="00134907" w:rsidRPr="00DD1A39">
              <w:rPr>
                <w:sz w:val="20"/>
                <w:szCs w:val="20"/>
              </w:rPr>
              <w:t>health issues</w:t>
            </w:r>
          </w:p>
          <w:p w14:paraId="7E549937" w14:textId="62EDD3A1" w:rsidR="00134907" w:rsidRPr="00DD1A39" w:rsidRDefault="005F1E84" w:rsidP="004F0283">
            <w:pPr>
              <w:pStyle w:val="TableBulle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w:t>
            </w:r>
            <w:r w:rsidRPr="00DD1A39">
              <w:rPr>
                <w:sz w:val="20"/>
                <w:szCs w:val="20"/>
              </w:rPr>
              <w:t xml:space="preserve">orking </w:t>
            </w:r>
            <w:r w:rsidR="00D840E4" w:rsidRPr="00DD1A39">
              <w:rPr>
                <w:sz w:val="20"/>
                <w:szCs w:val="20"/>
              </w:rPr>
              <w:t xml:space="preserve">with </w:t>
            </w:r>
            <w:r w:rsidR="00F01D90" w:rsidRPr="00DD1A39">
              <w:rPr>
                <w:sz w:val="20"/>
                <w:szCs w:val="20"/>
              </w:rPr>
              <w:t>LGBTQ+</w:t>
            </w:r>
            <w:r w:rsidR="00D840E4" w:rsidRPr="00DD1A39">
              <w:rPr>
                <w:sz w:val="20"/>
                <w:szCs w:val="20"/>
              </w:rPr>
              <w:t xml:space="preserve"> communities to address stigma </w:t>
            </w:r>
          </w:p>
          <w:p w14:paraId="2368CE82" w14:textId="4211EF52" w:rsidR="00176B57" w:rsidRPr="00DD1A39" w:rsidRDefault="00176B57" w:rsidP="00176B57">
            <w:pPr>
              <w:pStyle w:val="TableBullet"/>
              <w:numPr>
                <w:ilvl w:val="0"/>
                <w:numId w:val="0"/>
              </w:numPr>
              <w:ind w:left="113"/>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D1A39">
              <w:rPr>
                <w:sz w:val="20"/>
                <w:szCs w:val="20"/>
              </w:rPr>
              <w:t xml:space="preserve">It is unclear whether </w:t>
            </w:r>
            <w:r w:rsidR="00DF6FB5" w:rsidRPr="00DD1A39">
              <w:rPr>
                <w:sz w:val="20"/>
                <w:szCs w:val="20"/>
              </w:rPr>
              <w:t xml:space="preserve">this strategy has been fully implemented, or if an updated strategy is in development. </w:t>
            </w:r>
          </w:p>
        </w:tc>
      </w:tr>
      <w:tr w:rsidR="0021595F" w:rsidRPr="00DD1A39" w14:paraId="6C848AC2" w14:textId="77777777" w:rsidTr="0059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569093D0" w14:textId="77777777" w:rsidR="00E62EF5" w:rsidRPr="00DD1A39" w:rsidRDefault="00E62EF5" w:rsidP="008B2D34">
            <w:pPr>
              <w:ind w:left="142"/>
              <w:jc w:val="center"/>
              <w:rPr>
                <w:sz w:val="20"/>
                <w:szCs w:val="20"/>
                <w:lang w:eastAsia="en-AU"/>
              </w:rPr>
            </w:pPr>
            <w:r w:rsidRPr="00DD1A39">
              <w:rPr>
                <w:sz w:val="20"/>
                <w:szCs w:val="20"/>
                <w:lang w:eastAsia="en-AU"/>
              </w:rPr>
              <w:t>Queensland</w:t>
            </w:r>
          </w:p>
        </w:tc>
        <w:tc>
          <w:tcPr>
            <w:tcW w:w="2114" w:type="dxa"/>
          </w:tcPr>
          <w:p w14:paraId="0383892E" w14:textId="77777777" w:rsidR="00E62EF5" w:rsidRPr="00DD1A39" w:rsidRDefault="00E62EF5" w:rsidP="00E8638A">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DD1A39">
              <w:rPr>
                <w:sz w:val="20"/>
                <w:szCs w:val="20"/>
                <w:lang w:eastAsia="en-AU"/>
              </w:rPr>
              <w:t>N/A</w:t>
            </w:r>
          </w:p>
        </w:tc>
        <w:tc>
          <w:tcPr>
            <w:tcW w:w="10439" w:type="dxa"/>
          </w:tcPr>
          <w:p w14:paraId="32323C01" w14:textId="55AE1D38" w:rsidR="00E62EF5" w:rsidRPr="00DD1A39" w:rsidRDefault="00934EAD" w:rsidP="00E8638A">
            <w:pPr>
              <w:pStyle w:val="TableText"/>
              <w:cnfStyle w:val="000000010000" w:firstRow="0" w:lastRow="0" w:firstColumn="0" w:lastColumn="0" w:oddVBand="0" w:evenVBand="0" w:oddHBand="0" w:evenHBand="1" w:firstRowFirstColumn="0" w:firstRowLastColumn="0" w:lastRowFirstColumn="0" w:lastRowLastColumn="0"/>
              <w:rPr>
                <w:sz w:val="20"/>
                <w:szCs w:val="20"/>
                <w:lang w:eastAsia="en-AU"/>
              </w:rPr>
            </w:pPr>
            <w:r w:rsidRPr="00DD1A39">
              <w:rPr>
                <w:sz w:val="20"/>
                <w:szCs w:val="20"/>
                <w:lang w:eastAsia="en-AU"/>
              </w:rPr>
              <w:t>Queensland does not appear to have a dedicated LGBT</w:t>
            </w:r>
            <w:r w:rsidR="00417486" w:rsidRPr="00DD1A39">
              <w:rPr>
                <w:sz w:val="20"/>
                <w:szCs w:val="20"/>
                <w:lang w:eastAsia="en-AU"/>
              </w:rPr>
              <w:t>Q</w:t>
            </w:r>
            <w:r w:rsidRPr="00DD1A39">
              <w:rPr>
                <w:sz w:val="20"/>
                <w:szCs w:val="20"/>
                <w:lang w:eastAsia="en-AU"/>
              </w:rPr>
              <w:t xml:space="preserve">+ health or whole-of-government </w:t>
            </w:r>
            <w:proofErr w:type="gramStart"/>
            <w:r w:rsidRPr="00DD1A39">
              <w:rPr>
                <w:sz w:val="20"/>
                <w:szCs w:val="20"/>
                <w:lang w:eastAsia="en-AU"/>
              </w:rPr>
              <w:t>strategy,</w:t>
            </w:r>
            <w:proofErr w:type="gramEnd"/>
            <w:r w:rsidRPr="00DD1A39">
              <w:rPr>
                <w:sz w:val="20"/>
                <w:szCs w:val="20"/>
                <w:lang w:eastAsia="en-AU"/>
              </w:rPr>
              <w:t xml:space="preserve"> however, </w:t>
            </w:r>
            <w:r w:rsidR="004073E3" w:rsidRPr="00DD1A39">
              <w:rPr>
                <w:sz w:val="20"/>
                <w:szCs w:val="20"/>
                <w:lang w:eastAsia="en-AU"/>
              </w:rPr>
              <w:t>their broader mental health and suicide prevention plan</w:t>
            </w:r>
            <w:r w:rsidR="00CC4F8B" w:rsidRPr="00DD1A39">
              <w:rPr>
                <w:sz w:val="20"/>
                <w:szCs w:val="20"/>
                <w:lang w:eastAsia="en-AU"/>
              </w:rPr>
              <w:t>s</w:t>
            </w:r>
            <w:r w:rsidR="004073E3" w:rsidRPr="00DD1A39">
              <w:rPr>
                <w:sz w:val="20"/>
                <w:szCs w:val="20"/>
                <w:lang w:eastAsia="en-AU"/>
              </w:rPr>
              <w:t xml:space="preserve"> include commitments to:</w:t>
            </w:r>
          </w:p>
          <w:p w14:paraId="04C72638" w14:textId="234B4382" w:rsidR="004073E3" w:rsidRPr="00DD1A39" w:rsidRDefault="005F1E84" w:rsidP="00CC4F8B">
            <w:pPr>
              <w:pStyle w:val="TableBulle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w:t>
            </w:r>
            <w:r w:rsidRPr="00DD1A39">
              <w:rPr>
                <w:sz w:val="20"/>
                <w:szCs w:val="20"/>
              </w:rPr>
              <w:t>o</w:t>
            </w:r>
            <w:r w:rsidR="00CC4F8B" w:rsidRPr="00DD1A39">
              <w:rPr>
                <w:sz w:val="20"/>
                <w:szCs w:val="20"/>
              </w:rPr>
              <w:t>-design and implement initiatives aimed at improving inclusivity and community attitudes</w:t>
            </w:r>
            <w:r w:rsidR="00CC4F8B" w:rsidRPr="00DD1A39">
              <w:rPr>
                <w:rStyle w:val="FootnoteReference"/>
                <w:sz w:val="20"/>
                <w:szCs w:val="20"/>
              </w:rPr>
              <w:footnoteReference w:id="45"/>
            </w:r>
          </w:p>
          <w:p w14:paraId="68324B6D" w14:textId="03A214E1" w:rsidR="005D5986" w:rsidRPr="00DD1A39" w:rsidRDefault="005F1E84" w:rsidP="00FD0CF0">
            <w:pPr>
              <w:pStyle w:val="TableBulle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w:t>
            </w:r>
            <w:r w:rsidRPr="00DD1A39">
              <w:rPr>
                <w:sz w:val="20"/>
                <w:szCs w:val="20"/>
              </w:rPr>
              <w:t xml:space="preserve">xplore </w:t>
            </w:r>
            <w:r w:rsidR="00AD7BED" w:rsidRPr="00DD1A39">
              <w:rPr>
                <w:sz w:val="20"/>
                <w:szCs w:val="20"/>
              </w:rPr>
              <w:t>and expand service models to address health inequity for LGBT</w:t>
            </w:r>
            <w:r w:rsidR="00924FEA" w:rsidRPr="00DD1A39">
              <w:rPr>
                <w:sz w:val="20"/>
                <w:szCs w:val="20"/>
              </w:rPr>
              <w:t>Q</w:t>
            </w:r>
            <w:r w:rsidR="00AD7BED" w:rsidRPr="00DD1A39">
              <w:rPr>
                <w:sz w:val="20"/>
                <w:szCs w:val="20"/>
              </w:rPr>
              <w:t>+ people</w:t>
            </w:r>
            <w:r w:rsidR="00AD7BED" w:rsidRPr="00DD1A39">
              <w:rPr>
                <w:rStyle w:val="FootnoteReference"/>
                <w:sz w:val="20"/>
                <w:szCs w:val="20"/>
              </w:rPr>
              <w:footnoteReference w:id="46"/>
            </w:r>
          </w:p>
        </w:tc>
      </w:tr>
      <w:tr w:rsidR="0021595F" w:rsidRPr="00DD1A39" w14:paraId="58A0E84F" w14:textId="77777777" w:rsidTr="00595E32">
        <w:tc>
          <w:tcPr>
            <w:cnfStyle w:val="001000000000" w:firstRow="0" w:lastRow="0" w:firstColumn="1" w:lastColumn="0" w:oddVBand="0" w:evenVBand="0" w:oddHBand="0" w:evenHBand="0" w:firstRowFirstColumn="0" w:firstRowLastColumn="0" w:lastRowFirstColumn="0" w:lastRowLastColumn="0"/>
            <w:tcW w:w="1476" w:type="dxa"/>
          </w:tcPr>
          <w:p w14:paraId="33CC1F7A" w14:textId="77777777" w:rsidR="00E62EF5" w:rsidRPr="00DD1A39" w:rsidRDefault="00E62EF5" w:rsidP="00FD0CF0">
            <w:pPr>
              <w:ind w:left="142"/>
              <w:jc w:val="center"/>
              <w:rPr>
                <w:sz w:val="20"/>
                <w:szCs w:val="20"/>
                <w:lang w:eastAsia="en-AU"/>
              </w:rPr>
            </w:pPr>
            <w:r w:rsidRPr="00DD1A39">
              <w:rPr>
                <w:sz w:val="20"/>
                <w:szCs w:val="20"/>
                <w:lang w:eastAsia="en-AU"/>
              </w:rPr>
              <w:t>South Australia</w:t>
            </w:r>
          </w:p>
        </w:tc>
        <w:tc>
          <w:tcPr>
            <w:tcW w:w="2114" w:type="dxa"/>
          </w:tcPr>
          <w:p w14:paraId="38E04D7C" w14:textId="77777777" w:rsidR="00E62EF5" w:rsidRPr="00DD1A39" w:rsidRDefault="00E62EF5" w:rsidP="00E8638A">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DD1A39">
              <w:rPr>
                <w:sz w:val="20"/>
                <w:szCs w:val="20"/>
                <w:lang w:eastAsia="en-AU"/>
              </w:rPr>
              <w:t>N/A</w:t>
            </w:r>
          </w:p>
        </w:tc>
        <w:tc>
          <w:tcPr>
            <w:tcW w:w="10439" w:type="dxa"/>
          </w:tcPr>
          <w:p w14:paraId="10095070" w14:textId="5060658E" w:rsidR="00E62EF5" w:rsidRPr="00DD1A39" w:rsidRDefault="00E62EF5" w:rsidP="00E8638A">
            <w:pPr>
              <w:pStyle w:val="TableTex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D1A39">
              <w:rPr>
                <w:sz w:val="20"/>
                <w:szCs w:val="20"/>
                <w:lang w:eastAsia="en-AU"/>
              </w:rPr>
              <w:t>While South Australia does not have a dedicated LGBT</w:t>
            </w:r>
            <w:r w:rsidR="0036191C" w:rsidRPr="00DD1A39">
              <w:rPr>
                <w:sz w:val="20"/>
                <w:szCs w:val="20"/>
                <w:lang w:eastAsia="en-AU"/>
              </w:rPr>
              <w:t>Q</w:t>
            </w:r>
            <w:r w:rsidRPr="00DD1A39">
              <w:rPr>
                <w:sz w:val="20"/>
                <w:szCs w:val="20"/>
                <w:lang w:eastAsia="en-AU"/>
              </w:rPr>
              <w:t>+ health strategy, specific commitments are made to improving services to LGBT</w:t>
            </w:r>
            <w:r w:rsidR="006C2E86" w:rsidRPr="00DD1A39">
              <w:rPr>
                <w:sz w:val="20"/>
                <w:szCs w:val="20"/>
                <w:lang w:eastAsia="en-AU"/>
              </w:rPr>
              <w:t>I</w:t>
            </w:r>
            <w:r w:rsidRPr="00DD1A39">
              <w:rPr>
                <w:sz w:val="20"/>
                <w:szCs w:val="20"/>
                <w:lang w:eastAsia="en-AU"/>
              </w:rPr>
              <w:t xml:space="preserve"> people in the state’s </w:t>
            </w:r>
            <w:r w:rsidRPr="00DD1A39">
              <w:rPr>
                <w:i/>
                <w:iCs/>
                <w:sz w:val="20"/>
                <w:szCs w:val="20"/>
                <w:lang w:eastAsia="en-AU"/>
              </w:rPr>
              <w:t>Mental Health Services Plan 2020–2025</w:t>
            </w:r>
            <w:r w:rsidRPr="00DD1A39">
              <w:rPr>
                <w:sz w:val="20"/>
                <w:szCs w:val="20"/>
                <w:vertAlign w:val="superscript"/>
                <w:lang w:eastAsia="en-AU"/>
              </w:rPr>
              <w:footnoteReference w:id="47"/>
            </w:r>
            <w:r w:rsidRPr="00DD1A39">
              <w:rPr>
                <w:i/>
                <w:iCs/>
                <w:sz w:val="20"/>
                <w:szCs w:val="20"/>
                <w:lang w:eastAsia="en-AU"/>
              </w:rPr>
              <w:t>,</w:t>
            </w:r>
            <w:r w:rsidRPr="00DD1A39">
              <w:rPr>
                <w:sz w:val="20"/>
                <w:szCs w:val="20"/>
                <w:lang w:eastAsia="en-AU"/>
              </w:rPr>
              <w:t xml:space="preserve"> including:</w:t>
            </w:r>
          </w:p>
          <w:p w14:paraId="505F899D" w14:textId="1D24CB89" w:rsidR="00E62EF5" w:rsidRPr="00DD1A39" w:rsidRDefault="005F1E84" w:rsidP="001B7952">
            <w:pPr>
              <w:pStyle w:val="TableBulle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P</w:t>
            </w:r>
            <w:r w:rsidR="00E62EF5" w:rsidRPr="00DD1A39">
              <w:rPr>
                <w:rFonts w:eastAsiaTheme="minorHAnsi"/>
                <w:sz w:val="20"/>
                <w:szCs w:val="20"/>
              </w:rPr>
              <w:t xml:space="preserve">roviding staff training </w:t>
            </w:r>
          </w:p>
          <w:p w14:paraId="7C2F3D53" w14:textId="27A0FD2B" w:rsidR="00E62EF5" w:rsidRPr="00DD1A39" w:rsidRDefault="005F1E84" w:rsidP="001B7952">
            <w:pPr>
              <w:pStyle w:val="TableBulle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D</w:t>
            </w:r>
            <w:r w:rsidR="00E62EF5" w:rsidRPr="00DD1A39">
              <w:rPr>
                <w:rFonts w:eastAsiaTheme="minorHAnsi"/>
                <w:sz w:val="20"/>
                <w:szCs w:val="20"/>
              </w:rPr>
              <w:t xml:space="preserve">eveloping an LGBTI clinical standards document </w:t>
            </w:r>
          </w:p>
          <w:p w14:paraId="3B508B92" w14:textId="08B4AD14" w:rsidR="00E62EF5" w:rsidRPr="00DD1A39" w:rsidRDefault="005F1E84" w:rsidP="001B7952">
            <w:pPr>
              <w:pStyle w:val="TableBulle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C</w:t>
            </w:r>
            <w:r w:rsidR="00E62EF5" w:rsidRPr="00DD1A39">
              <w:rPr>
                <w:rFonts w:eastAsiaTheme="minorHAnsi"/>
                <w:sz w:val="20"/>
                <w:szCs w:val="20"/>
              </w:rPr>
              <w:t>onsulting with LGBTI people about service priorities</w:t>
            </w:r>
          </w:p>
          <w:p w14:paraId="1C07219B" w14:textId="1150C487" w:rsidR="00E62EF5" w:rsidRPr="00DD1A39" w:rsidRDefault="005F1E84" w:rsidP="001B7952">
            <w:pPr>
              <w:pStyle w:val="TableBulle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S</w:t>
            </w:r>
            <w:r w:rsidRPr="00DD1A39">
              <w:rPr>
                <w:rFonts w:eastAsiaTheme="minorHAnsi"/>
                <w:sz w:val="20"/>
                <w:szCs w:val="20"/>
              </w:rPr>
              <w:t xml:space="preserve">coping </w:t>
            </w:r>
            <w:r w:rsidR="00E62EF5" w:rsidRPr="00DD1A39">
              <w:rPr>
                <w:rFonts w:eastAsiaTheme="minorHAnsi"/>
                <w:sz w:val="20"/>
                <w:szCs w:val="20"/>
              </w:rPr>
              <w:t>an anti-stigma initiative inclusive of all people “known to face inequality in service access across health services”, including LGBTI people</w:t>
            </w:r>
          </w:p>
        </w:tc>
      </w:tr>
      <w:tr w:rsidR="0021595F" w:rsidRPr="00DD1A39" w14:paraId="30150C4E" w14:textId="77777777" w:rsidTr="0059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2FFD16F6" w14:textId="77777777" w:rsidR="00E62EF5" w:rsidRPr="00DD1A39" w:rsidRDefault="00E62EF5" w:rsidP="00FD0CF0">
            <w:pPr>
              <w:ind w:left="142"/>
              <w:jc w:val="center"/>
              <w:rPr>
                <w:sz w:val="20"/>
                <w:szCs w:val="20"/>
                <w:lang w:eastAsia="en-AU"/>
              </w:rPr>
            </w:pPr>
            <w:r w:rsidRPr="00DD1A39">
              <w:rPr>
                <w:sz w:val="20"/>
                <w:szCs w:val="20"/>
                <w:lang w:eastAsia="en-AU"/>
              </w:rPr>
              <w:lastRenderedPageBreak/>
              <w:t>Tasmania</w:t>
            </w:r>
          </w:p>
        </w:tc>
        <w:tc>
          <w:tcPr>
            <w:tcW w:w="2114" w:type="dxa"/>
          </w:tcPr>
          <w:p w14:paraId="1B66A34D" w14:textId="77777777" w:rsidR="00E62EF5" w:rsidRPr="00DD1A39" w:rsidRDefault="00E62EF5" w:rsidP="00E8638A">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DD1A39">
              <w:rPr>
                <w:sz w:val="20"/>
                <w:szCs w:val="20"/>
                <w:lang w:eastAsia="en-AU"/>
              </w:rPr>
              <w:t>N/A</w:t>
            </w:r>
          </w:p>
        </w:tc>
        <w:tc>
          <w:tcPr>
            <w:tcW w:w="10439" w:type="dxa"/>
          </w:tcPr>
          <w:p w14:paraId="4B9382D6" w14:textId="5F60B4FC" w:rsidR="00E62EF5" w:rsidRPr="00BE4F4A" w:rsidRDefault="00E62EF5" w:rsidP="00E8638A">
            <w:pPr>
              <w:pStyle w:val="TableText"/>
              <w:cnfStyle w:val="000000010000" w:firstRow="0" w:lastRow="0" w:firstColumn="0" w:lastColumn="0" w:oddVBand="0" w:evenVBand="0" w:oddHBand="0" w:evenHBand="1" w:firstRowFirstColumn="0" w:firstRowLastColumn="0" w:lastRowFirstColumn="0" w:lastRowLastColumn="0"/>
              <w:rPr>
                <w:sz w:val="20"/>
                <w:szCs w:val="20"/>
                <w:lang w:eastAsia="en-AU"/>
              </w:rPr>
            </w:pPr>
            <w:r w:rsidRPr="00BE4F4A">
              <w:rPr>
                <w:sz w:val="20"/>
                <w:szCs w:val="20"/>
                <w:lang w:eastAsia="en-AU"/>
              </w:rPr>
              <w:t>While Tasmania does not have a dedicated LGBT</w:t>
            </w:r>
            <w:r w:rsidR="001A7F34" w:rsidRPr="00BE4F4A">
              <w:rPr>
                <w:sz w:val="20"/>
                <w:szCs w:val="20"/>
                <w:lang w:eastAsia="en-AU"/>
              </w:rPr>
              <w:t xml:space="preserve">Q+ </w:t>
            </w:r>
            <w:r w:rsidRPr="00BE4F4A">
              <w:rPr>
                <w:sz w:val="20"/>
                <w:szCs w:val="20"/>
                <w:lang w:eastAsia="en-AU"/>
              </w:rPr>
              <w:t xml:space="preserve">Health Strategy, the </w:t>
            </w:r>
            <w:hyperlink r:id="rId49" w:history="1">
              <w:r w:rsidRPr="00BE4F4A">
                <w:rPr>
                  <w:rStyle w:val="Hyperlink"/>
                  <w:i/>
                  <w:iCs/>
                  <w:sz w:val="20"/>
                  <w:szCs w:val="20"/>
                  <w:lang w:eastAsia="en-AU"/>
                </w:rPr>
                <w:t>Whole-of-Government Framework for LGBTI Tasmanians</w:t>
              </w:r>
            </w:hyperlink>
            <w:r w:rsidRPr="00BE4F4A">
              <w:rPr>
                <w:sz w:val="20"/>
                <w:szCs w:val="20"/>
                <w:lang w:eastAsia="en-AU"/>
              </w:rPr>
              <w:t xml:space="preserve"> sets out various principles related to the delivery of services to LGBTI people in the state including: </w:t>
            </w:r>
          </w:p>
          <w:p w14:paraId="750F189E" w14:textId="722A890F" w:rsidR="00E62EF5" w:rsidRPr="00BE4F4A" w:rsidRDefault="00E62EF5" w:rsidP="00615BB0">
            <w:pPr>
              <w:pStyle w:val="TableBullet"/>
              <w:cnfStyle w:val="000000010000" w:firstRow="0" w:lastRow="0" w:firstColumn="0" w:lastColumn="0" w:oddVBand="0" w:evenVBand="0" w:oddHBand="0" w:evenHBand="1" w:firstRowFirstColumn="0" w:firstRowLastColumn="0" w:lastRowFirstColumn="0" w:lastRowLastColumn="0"/>
              <w:rPr>
                <w:rFonts w:eastAsiaTheme="minorHAnsi"/>
                <w:sz w:val="20"/>
                <w:szCs w:val="20"/>
              </w:rPr>
            </w:pPr>
            <w:r w:rsidRPr="00BE4F4A">
              <w:rPr>
                <w:rFonts w:eastAsiaTheme="minorHAnsi"/>
                <w:sz w:val="20"/>
                <w:szCs w:val="20"/>
              </w:rPr>
              <w:t>Diverse characteristics and experiences are both recognised and respected</w:t>
            </w:r>
          </w:p>
          <w:p w14:paraId="5F304D2C" w14:textId="64D8FD15" w:rsidR="00E62EF5" w:rsidRPr="00BE4F4A" w:rsidRDefault="00E62EF5" w:rsidP="00615BB0">
            <w:pPr>
              <w:pStyle w:val="TableBullet"/>
              <w:cnfStyle w:val="000000010000" w:firstRow="0" w:lastRow="0" w:firstColumn="0" w:lastColumn="0" w:oddVBand="0" w:evenVBand="0" w:oddHBand="0" w:evenHBand="1" w:firstRowFirstColumn="0" w:firstRowLastColumn="0" w:lastRowFirstColumn="0" w:lastRowLastColumn="0"/>
              <w:rPr>
                <w:rFonts w:eastAsiaTheme="minorHAnsi"/>
                <w:sz w:val="20"/>
                <w:szCs w:val="20"/>
              </w:rPr>
            </w:pPr>
            <w:r w:rsidRPr="00BE4F4A">
              <w:rPr>
                <w:rFonts w:eastAsiaTheme="minorHAnsi"/>
                <w:sz w:val="20"/>
                <w:szCs w:val="20"/>
              </w:rPr>
              <w:t>All Tasmanians have equal rights to access government services and be involved in their design and delivery</w:t>
            </w:r>
          </w:p>
          <w:p w14:paraId="47342AF7" w14:textId="7371F98C" w:rsidR="00E62EF5" w:rsidRPr="00BE4F4A" w:rsidRDefault="00E62EF5" w:rsidP="00615BB0">
            <w:pPr>
              <w:pStyle w:val="TableBullet"/>
              <w:cnfStyle w:val="000000010000" w:firstRow="0" w:lastRow="0" w:firstColumn="0" w:lastColumn="0" w:oddVBand="0" w:evenVBand="0" w:oddHBand="0" w:evenHBand="1" w:firstRowFirstColumn="0" w:firstRowLastColumn="0" w:lastRowFirstColumn="0" w:lastRowLastColumn="0"/>
              <w:rPr>
                <w:rFonts w:eastAsiaTheme="minorHAnsi"/>
                <w:sz w:val="20"/>
                <w:szCs w:val="20"/>
              </w:rPr>
            </w:pPr>
            <w:r w:rsidRPr="00BE4F4A">
              <w:rPr>
                <w:rFonts w:eastAsiaTheme="minorHAnsi"/>
                <w:sz w:val="20"/>
                <w:szCs w:val="20"/>
              </w:rPr>
              <w:t xml:space="preserve">All services (non-government included) are expected to coordinate and collaborate efforts to develop evidence-based, innovative service delivery </w:t>
            </w:r>
          </w:p>
          <w:p w14:paraId="4052B52D" w14:textId="1F61331B" w:rsidR="00836D1D" w:rsidRPr="00BE4F4A" w:rsidRDefault="001F5CB5" w:rsidP="00CC1F0A">
            <w:pPr>
              <w:pStyle w:val="TableText"/>
              <w:cnfStyle w:val="000000010000" w:firstRow="0" w:lastRow="0" w:firstColumn="0" w:lastColumn="0" w:oddVBand="0" w:evenVBand="0" w:oddHBand="0" w:evenHBand="1" w:firstRowFirstColumn="0" w:firstRowLastColumn="0" w:lastRowFirstColumn="0" w:lastRowLastColumn="0"/>
              <w:rPr>
                <w:sz w:val="20"/>
                <w:szCs w:val="20"/>
              </w:rPr>
            </w:pPr>
            <w:r w:rsidRPr="00BE4F4A">
              <w:rPr>
                <w:sz w:val="20"/>
                <w:szCs w:val="20"/>
              </w:rPr>
              <w:t xml:space="preserve">Tasmania’s broader mental health </w:t>
            </w:r>
            <w:r w:rsidR="00822F36" w:rsidRPr="00BE4F4A">
              <w:rPr>
                <w:sz w:val="20"/>
                <w:szCs w:val="20"/>
              </w:rPr>
              <w:t>and suicide prevention plan</w:t>
            </w:r>
            <w:r w:rsidRPr="00BE4F4A">
              <w:rPr>
                <w:sz w:val="20"/>
                <w:szCs w:val="20"/>
              </w:rPr>
              <w:t xml:space="preserve"> </w:t>
            </w:r>
            <w:hyperlink r:id="rId50" w:history="1">
              <w:r w:rsidRPr="00BE4F4A">
                <w:rPr>
                  <w:rStyle w:val="Hyperlink"/>
                  <w:i/>
                  <w:iCs/>
                  <w:sz w:val="20"/>
                  <w:szCs w:val="20"/>
                </w:rPr>
                <w:t>Rethink 2020</w:t>
              </w:r>
            </w:hyperlink>
            <w:r w:rsidRPr="00BE4F4A">
              <w:rPr>
                <w:i/>
                <w:iCs/>
                <w:sz w:val="20"/>
                <w:szCs w:val="20"/>
              </w:rPr>
              <w:t xml:space="preserve"> </w:t>
            </w:r>
            <w:r w:rsidRPr="00BE4F4A">
              <w:rPr>
                <w:sz w:val="20"/>
                <w:szCs w:val="20"/>
              </w:rPr>
              <w:t xml:space="preserve">also identifies </w:t>
            </w:r>
            <w:r w:rsidR="00D9718C" w:rsidRPr="00BE4F4A">
              <w:rPr>
                <w:sz w:val="20"/>
                <w:szCs w:val="20"/>
              </w:rPr>
              <w:t>LGBTQIA+ people as a priority population</w:t>
            </w:r>
            <w:r w:rsidR="00051512" w:rsidRPr="00BE4F4A">
              <w:rPr>
                <w:sz w:val="20"/>
                <w:szCs w:val="20"/>
              </w:rPr>
              <w:t xml:space="preserve"> </w:t>
            </w:r>
            <w:r w:rsidR="008B62C1" w:rsidRPr="00BE4F4A">
              <w:rPr>
                <w:sz w:val="20"/>
                <w:szCs w:val="20"/>
              </w:rPr>
              <w:t>under their 7</w:t>
            </w:r>
            <w:r w:rsidR="008B62C1" w:rsidRPr="00BE4F4A">
              <w:rPr>
                <w:sz w:val="20"/>
                <w:szCs w:val="20"/>
                <w:vertAlign w:val="superscript"/>
              </w:rPr>
              <w:t>th</w:t>
            </w:r>
            <w:r w:rsidR="008B62C1" w:rsidRPr="00BE4F4A">
              <w:rPr>
                <w:sz w:val="20"/>
                <w:szCs w:val="20"/>
              </w:rPr>
              <w:t xml:space="preserve"> Reform Direction ‘Responding to the needs of specific population groups’, which includes specific commitments to:</w:t>
            </w:r>
          </w:p>
          <w:p w14:paraId="0D0C45F5" w14:textId="76A3C49C" w:rsidR="001F5CB5" w:rsidRPr="00BE4F4A" w:rsidRDefault="007B1BDA" w:rsidP="00836D1D">
            <w:pPr>
              <w:pStyle w:val="TableBullet"/>
              <w:cnfStyle w:val="000000010000" w:firstRow="0" w:lastRow="0" w:firstColumn="0" w:lastColumn="0" w:oddVBand="0" w:evenVBand="0" w:oddHBand="0" w:evenHBand="1" w:firstRowFirstColumn="0" w:firstRowLastColumn="0" w:lastRowFirstColumn="0" w:lastRowLastColumn="0"/>
              <w:rPr>
                <w:rFonts w:eastAsiaTheme="minorHAnsi"/>
                <w:sz w:val="20"/>
                <w:szCs w:val="20"/>
              </w:rPr>
            </w:pPr>
            <w:r w:rsidRPr="00BE4F4A">
              <w:rPr>
                <w:rFonts w:eastAsiaTheme="minorHAnsi"/>
                <w:sz w:val="20"/>
                <w:szCs w:val="20"/>
              </w:rPr>
              <w:t xml:space="preserve">Developing a concept model for a LGBTQIA+ specific mental health and alcohol/other drugs service </w:t>
            </w:r>
          </w:p>
          <w:p w14:paraId="59F8C67E" w14:textId="77777777" w:rsidR="007B1BDA" w:rsidRPr="00BE4F4A" w:rsidRDefault="007B1BDA" w:rsidP="00836D1D">
            <w:pPr>
              <w:pStyle w:val="TableBullet"/>
              <w:cnfStyle w:val="000000010000" w:firstRow="0" w:lastRow="0" w:firstColumn="0" w:lastColumn="0" w:oddVBand="0" w:evenVBand="0" w:oddHBand="0" w:evenHBand="1" w:firstRowFirstColumn="0" w:firstRowLastColumn="0" w:lastRowFirstColumn="0" w:lastRowLastColumn="0"/>
              <w:rPr>
                <w:rFonts w:eastAsiaTheme="minorHAnsi"/>
                <w:sz w:val="20"/>
                <w:szCs w:val="20"/>
              </w:rPr>
            </w:pPr>
            <w:r w:rsidRPr="00BE4F4A">
              <w:rPr>
                <w:rFonts w:eastAsiaTheme="minorHAnsi"/>
                <w:sz w:val="20"/>
                <w:szCs w:val="20"/>
              </w:rPr>
              <w:t xml:space="preserve">Embedding LGBTIQA+ inclusive practice online training modules for all DOH staff </w:t>
            </w:r>
          </w:p>
          <w:p w14:paraId="5B0D80DA" w14:textId="47EDF356" w:rsidR="00917249" w:rsidRPr="00BE4F4A" w:rsidRDefault="00917249" w:rsidP="00C40F1A">
            <w:pPr>
              <w:pStyle w:val="TableBullet"/>
              <w:cnfStyle w:val="000000010000" w:firstRow="0" w:lastRow="0" w:firstColumn="0" w:lastColumn="0" w:oddVBand="0" w:evenVBand="0" w:oddHBand="0" w:evenHBand="1" w:firstRowFirstColumn="0" w:firstRowLastColumn="0" w:lastRowFirstColumn="0" w:lastRowLastColumn="0"/>
              <w:rPr>
                <w:rFonts w:eastAsiaTheme="minorHAnsi"/>
                <w:sz w:val="20"/>
                <w:szCs w:val="20"/>
              </w:rPr>
            </w:pPr>
            <w:r w:rsidRPr="00BE4F4A">
              <w:rPr>
                <w:rFonts w:eastAsiaTheme="minorHAnsi"/>
                <w:sz w:val="20"/>
                <w:szCs w:val="20"/>
              </w:rPr>
              <w:t>Developing and implementing a LGBTIQ+ inclusive audit tool</w:t>
            </w:r>
            <w:r w:rsidR="00C40F1A" w:rsidRPr="00BE4F4A">
              <w:rPr>
                <w:rStyle w:val="FootnoteReference"/>
                <w:rFonts w:eastAsiaTheme="minorHAnsi"/>
                <w:sz w:val="20"/>
                <w:szCs w:val="20"/>
              </w:rPr>
              <w:footnoteReference w:id="48"/>
            </w:r>
          </w:p>
        </w:tc>
      </w:tr>
      <w:tr w:rsidR="00C9792C" w:rsidRPr="00DD1A39" w14:paraId="566F409A" w14:textId="77777777" w:rsidTr="00595E32">
        <w:tc>
          <w:tcPr>
            <w:cnfStyle w:val="001000000000" w:firstRow="0" w:lastRow="0" w:firstColumn="1" w:lastColumn="0" w:oddVBand="0" w:evenVBand="0" w:oddHBand="0" w:evenHBand="0" w:firstRowFirstColumn="0" w:firstRowLastColumn="0" w:lastRowFirstColumn="0" w:lastRowLastColumn="0"/>
            <w:tcW w:w="1476" w:type="dxa"/>
          </w:tcPr>
          <w:p w14:paraId="3285CF66" w14:textId="77777777" w:rsidR="00E62EF5" w:rsidRPr="00DD1A39" w:rsidRDefault="00E62EF5" w:rsidP="00FD0CF0">
            <w:pPr>
              <w:ind w:left="142"/>
              <w:jc w:val="center"/>
              <w:rPr>
                <w:sz w:val="20"/>
                <w:szCs w:val="20"/>
                <w:lang w:eastAsia="en-AU"/>
              </w:rPr>
            </w:pPr>
            <w:r w:rsidRPr="00DD1A39">
              <w:rPr>
                <w:sz w:val="20"/>
                <w:szCs w:val="20"/>
                <w:lang w:eastAsia="en-AU"/>
              </w:rPr>
              <w:lastRenderedPageBreak/>
              <w:t>Victoria</w:t>
            </w:r>
          </w:p>
        </w:tc>
        <w:tc>
          <w:tcPr>
            <w:tcW w:w="2114" w:type="dxa"/>
          </w:tcPr>
          <w:p w14:paraId="52724555" w14:textId="77777777" w:rsidR="00E62EF5" w:rsidRPr="00DD1A39" w:rsidRDefault="00E62EF5" w:rsidP="00E8638A">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hyperlink r:id="rId51" w:history="1">
              <w:r w:rsidRPr="00DD1A39">
                <w:rPr>
                  <w:rStyle w:val="Hyperlink"/>
                  <w:i/>
                  <w:iCs/>
                  <w:sz w:val="20"/>
                  <w:szCs w:val="20"/>
                  <w:lang w:eastAsia="en-AU"/>
                </w:rPr>
                <w:t xml:space="preserve">Pride in our future: Victoria’s LGBTIQ+ strategy 2022-32 </w:t>
              </w:r>
            </w:hyperlink>
          </w:p>
        </w:tc>
        <w:tc>
          <w:tcPr>
            <w:tcW w:w="10439" w:type="dxa"/>
          </w:tcPr>
          <w:p w14:paraId="04DAC073" w14:textId="374FF9FC" w:rsidR="00E62EF5" w:rsidRPr="00DD1A39" w:rsidRDefault="00E62EF5" w:rsidP="00E8638A">
            <w:pPr>
              <w:pStyle w:val="TableTex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D1A39">
              <w:rPr>
                <w:sz w:val="20"/>
                <w:szCs w:val="20"/>
                <w:lang w:eastAsia="en-AU"/>
              </w:rPr>
              <w:t xml:space="preserve">The Victorian Government’s </w:t>
            </w:r>
            <w:hyperlink r:id="rId52" w:history="1">
              <w:r w:rsidRPr="00DD1A39">
                <w:rPr>
                  <w:rStyle w:val="Hyperlink"/>
                  <w:i/>
                  <w:iCs/>
                  <w:sz w:val="20"/>
                  <w:szCs w:val="20"/>
                  <w:lang w:eastAsia="en-AU"/>
                </w:rPr>
                <w:t>Pride in our future: Victoria’s LGBTIQ+ strategy 2022</w:t>
              </w:r>
              <w:r w:rsidR="00E83989">
                <w:rPr>
                  <w:rStyle w:val="Hyperlink"/>
                  <w:i/>
                  <w:iCs/>
                  <w:sz w:val="20"/>
                  <w:szCs w:val="20"/>
                  <w:lang w:eastAsia="en-AU"/>
                </w:rPr>
                <w:t>–</w:t>
              </w:r>
              <w:r w:rsidRPr="00DD1A39">
                <w:rPr>
                  <w:rStyle w:val="Hyperlink"/>
                  <w:i/>
                  <w:iCs/>
                  <w:sz w:val="20"/>
                  <w:szCs w:val="20"/>
                  <w:lang w:eastAsia="en-AU"/>
                </w:rPr>
                <w:t xml:space="preserve">32 </w:t>
              </w:r>
            </w:hyperlink>
            <w:r w:rsidRPr="00DD1A39">
              <w:rPr>
                <w:sz w:val="20"/>
                <w:szCs w:val="20"/>
                <w:lang w:eastAsia="en-AU"/>
              </w:rPr>
              <w:t xml:space="preserve">is a </w:t>
            </w:r>
            <w:r w:rsidR="00E83989">
              <w:rPr>
                <w:sz w:val="20"/>
                <w:szCs w:val="20"/>
                <w:lang w:eastAsia="en-AU"/>
              </w:rPr>
              <w:t>10</w:t>
            </w:r>
            <w:r w:rsidRPr="00DD1A39">
              <w:rPr>
                <w:sz w:val="20"/>
                <w:szCs w:val="20"/>
                <w:lang w:eastAsia="en-AU"/>
              </w:rPr>
              <w:t>-year, whole-of-government strategy</w:t>
            </w:r>
            <w:r w:rsidR="00E83989">
              <w:rPr>
                <w:sz w:val="20"/>
                <w:szCs w:val="20"/>
                <w:lang w:eastAsia="en-AU"/>
              </w:rPr>
              <w:t>,</w:t>
            </w:r>
            <w:r w:rsidRPr="00DD1A39">
              <w:rPr>
                <w:sz w:val="20"/>
                <w:szCs w:val="20"/>
                <w:lang w:eastAsia="en-AU"/>
              </w:rPr>
              <w:t xml:space="preserve"> </w:t>
            </w:r>
            <w:r w:rsidRPr="001E1418">
              <w:rPr>
                <w:sz w:val="20"/>
                <w:szCs w:val="20"/>
                <w:lang w:eastAsia="en-AU"/>
              </w:rPr>
              <w:t>set</w:t>
            </w:r>
            <w:r w:rsidR="00E83989" w:rsidRPr="001E1418">
              <w:rPr>
                <w:sz w:val="20"/>
                <w:szCs w:val="20"/>
                <w:lang w:eastAsia="en-AU"/>
              </w:rPr>
              <w:t>t</w:t>
            </w:r>
            <w:r w:rsidR="00E83989" w:rsidRPr="001E1418">
              <w:rPr>
                <w:sz w:val="20"/>
                <w:szCs w:val="20"/>
              </w:rPr>
              <w:t>ing</w:t>
            </w:r>
            <w:r w:rsidRPr="001E1418">
              <w:rPr>
                <w:sz w:val="20"/>
                <w:szCs w:val="20"/>
                <w:lang w:eastAsia="en-AU"/>
              </w:rPr>
              <w:t xml:space="preserve"> up the state’s</w:t>
            </w:r>
            <w:r w:rsidRPr="00DD1A39">
              <w:rPr>
                <w:sz w:val="20"/>
                <w:szCs w:val="20"/>
                <w:lang w:eastAsia="en-AU"/>
              </w:rPr>
              <w:t>:</w:t>
            </w:r>
          </w:p>
          <w:p w14:paraId="5715A4D6" w14:textId="02152ECC" w:rsidR="00E62EF5" w:rsidRPr="00DD1A39" w:rsidRDefault="00E62EF5" w:rsidP="00E8638A">
            <w:pPr>
              <w:pStyle w:val="TableText"/>
              <w:cnfStyle w:val="000000000000" w:firstRow="0" w:lastRow="0" w:firstColumn="0" w:lastColumn="0" w:oddVBand="0" w:evenVBand="0" w:oddHBand="0" w:evenHBand="0" w:firstRowFirstColumn="0" w:firstRowLastColumn="0" w:lastRowFirstColumn="0" w:lastRowLastColumn="0"/>
              <w:rPr>
                <w:i/>
                <w:iCs/>
                <w:sz w:val="20"/>
                <w:szCs w:val="20"/>
                <w:lang w:eastAsia="en-AU"/>
              </w:rPr>
            </w:pPr>
            <w:r w:rsidRPr="00DD1A39">
              <w:rPr>
                <w:i/>
                <w:sz w:val="20"/>
                <w:szCs w:val="20"/>
                <w:lang w:eastAsia="en-AU"/>
              </w:rPr>
              <w:t>“</w:t>
            </w:r>
            <w:proofErr w:type="gramStart"/>
            <w:r w:rsidRPr="00DD1A39">
              <w:rPr>
                <w:i/>
                <w:sz w:val="20"/>
                <w:szCs w:val="20"/>
                <w:lang w:eastAsia="en-AU"/>
              </w:rPr>
              <w:t>vision</w:t>
            </w:r>
            <w:proofErr w:type="gramEnd"/>
            <w:r w:rsidRPr="00DD1A39">
              <w:rPr>
                <w:i/>
                <w:sz w:val="20"/>
                <w:szCs w:val="20"/>
                <w:lang w:eastAsia="en-AU"/>
              </w:rPr>
              <w:t xml:space="preserve"> and plan to drive equality and inclusion for Victoria’s diverse lesbian, gay, bisexual, trans and gender diverse, intersex and queer (LGBTIQ+) communities within all aspects of government work over the next decade”.</w:t>
            </w:r>
            <w:r w:rsidRPr="00DD1A39">
              <w:rPr>
                <w:i/>
                <w:sz w:val="20"/>
                <w:szCs w:val="20"/>
                <w:vertAlign w:val="superscript"/>
                <w:lang w:eastAsia="en-AU"/>
              </w:rPr>
              <w:footnoteReference w:id="49"/>
            </w:r>
            <w:r w:rsidRPr="00DD1A39">
              <w:rPr>
                <w:i/>
                <w:sz w:val="20"/>
                <w:szCs w:val="20"/>
                <w:lang w:eastAsia="en-AU"/>
              </w:rPr>
              <w:t xml:space="preserve"> </w:t>
            </w:r>
          </w:p>
          <w:p w14:paraId="74619442" w14:textId="2A303A27" w:rsidR="00E62EF5" w:rsidRPr="00DD1A39" w:rsidRDefault="00E62EF5" w:rsidP="00E8638A">
            <w:pPr>
              <w:pStyle w:val="TableTex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D1A39">
              <w:rPr>
                <w:sz w:val="20"/>
                <w:szCs w:val="20"/>
                <w:lang w:eastAsia="en-AU"/>
              </w:rPr>
              <w:t>The strategy includes a range of priorities</w:t>
            </w:r>
            <w:r w:rsidR="00B42FF1" w:rsidRPr="00DD1A39">
              <w:rPr>
                <w:sz w:val="20"/>
                <w:szCs w:val="20"/>
                <w:lang w:eastAsia="en-AU"/>
              </w:rPr>
              <w:t xml:space="preserve"> across sectors. </w:t>
            </w:r>
            <w:r w:rsidR="0035661E" w:rsidRPr="00DD1A39">
              <w:rPr>
                <w:sz w:val="20"/>
                <w:szCs w:val="20"/>
                <w:lang w:eastAsia="en-AU"/>
              </w:rPr>
              <w:t>Among others, s</w:t>
            </w:r>
            <w:r w:rsidR="00B42FF1" w:rsidRPr="00DD1A39">
              <w:rPr>
                <w:sz w:val="20"/>
                <w:szCs w:val="20"/>
                <w:lang w:eastAsia="en-AU"/>
              </w:rPr>
              <w:t>ome notable actions related</w:t>
            </w:r>
            <w:r w:rsidR="00E83989">
              <w:rPr>
                <w:sz w:val="20"/>
                <w:szCs w:val="20"/>
                <w:lang w:eastAsia="en-AU"/>
              </w:rPr>
              <w:t xml:space="preserve"> to </w:t>
            </w:r>
            <w:r w:rsidR="00B42FF1" w:rsidRPr="00DD1A39">
              <w:rPr>
                <w:sz w:val="20"/>
                <w:szCs w:val="20"/>
                <w:lang w:eastAsia="en-AU"/>
              </w:rPr>
              <w:t xml:space="preserve">mental health and wellbeing </w:t>
            </w:r>
            <w:r w:rsidR="0035661E" w:rsidRPr="00DD1A39">
              <w:rPr>
                <w:sz w:val="20"/>
                <w:szCs w:val="20"/>
                <w:lang w:eastAsia="en-AU"/>
              </w:rPr>
              <w:t>include:</w:t>
            </w:r>
          </w:p>
          <w:p w14:paraId="5E81A51B" w14:textId="1733C55C" w:rsidR="00E62EF5" w:rsidRPr="00DD1A39" w:rsidRDefault="00E83989" w:rsidP="002A71A1">
            <w:pPr>
              <w:pStyle w:val="TableBulle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00E62EF5" w:rsidRPr="00DD1A39">
              <w:rPr>
                <w:sz w:val="20"/>
                <w:szCs w:val="20"/>
              </w:rPr>
              <w:t>educing discrimination and harmful practices against LGBT</w:t>
            </w:r>
            <w:r w:rsidR="001A7F34" w:rsidRPr="00DD1A39">
              <w:rPr>
                <w:sz w:val="20"/>
                <w:szCs w:val="20"/>
              </w:rPr>
              <w:t>IQ</w:t>
            </w:r>
            <w:r w:rsidR="00E62EF5" w:rsidRPr="00DD1A39">
              <w:rPr>
                <w:sz w:val="20"/>
                <w:szCs w:val="20"/>
              </w:rPr>
              <w:t>+ people (e.g., conversion therapies)</w:t>
            </w:r>
          </w:p>
          <w:p w14:paraId="2EA7E3D6" w14:textId="38271012" w:rsidR="00E62EF5" w:rsidRPr="00DD1A39" w:rsidRDefault="00E83989" w:rsidP="002A71A1">
            <w:pPr>
              <w:pStyle w:val="TableBulle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r w:rsidR="00E62EF5" w:rsidRPr="00DD1A39">
              <w:rPr>
                <w:sz w:val="20"/>
                <w:szCs w:val="20"/>
              </w:rPr>
              <w:t>mproving data collection</w:t>
            </w:r>
          </w:p>
          <w:p w14:paraId="79DC5936" w14:textId="1C55434B" w:rsidR="00E62EF5" w:rsidRPr="00DD1A39" w:rsidRDefault="00E83989" w:rsidP="002A71A1">
            <w:pPr>
              <w:pStyle w:val="TableBulle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r w:rsidR="00E62EF5" w:rsidRPr="00DD1A39">
              <w:rPr>
                <w:sz w:val="20"/>
                <w:szCs w:val="20"/>
              </w:rPr>
              <w:t>nsuring all government services are equitable, inclusive</w:t>
            </w:r>
            <w:r w:rsidR="002A71A1" w:rsidRPr="00DD1A39">
              <w:rPr>
                <w:sz w:val="20"/>
                <w:szCs w:val="20"/>
              </w:rPr>
              <w:t>,</w:t>
            </w:r>
            <w:r w:rsidR="00E62EF5" w:rsidRPr="00DD1A39">
              <w:rPr>
                <w:sz w:val="20"/>
                <w:szCs w:val="20"/>
              </w:rPr>
              <w:t xml:space="preserve"> and accessible </w:t>
            </w:r>
          </w:p>
          <w:p w14:paraId="15576FF8" w14:textId="2B618CDD" w:rsidR="00E62EF5" w:rsidRPr="00DD1A39" w:rsidRDefault="00E62EF5" w:rsidP="00E8638A">
            <w:pPr>
              <w:pStyle w:val="TableTex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D1A39">
              <w:rPr>
                <w:sz w:val="20"/>
                <w:szCs w:val="20"/>
                <w:lang w:eastAsia="en-AU"/>
              </w:rPr>
              <w:t>Among other actions, the strategy proposes to provide training to both LGBT</w:t>
            </w:r>
            <w:r w:rsidR="001A7F34" w:rsidRPr="00DD1A39">
              <w:rPr>
                <w:sz w:val="20"/>
                <w:szCs w:val="20"/>
                <w:lang w:eastAsia="en-AU"/>
              </w:rPr>
              <w:t>IQ</w:t>
            </w:r>
            <w:r w:rsidRPr="00DD1A39">
              <w:rPr>
                <w:sz w:val="20"/>
                <w:szCs w:val="20"/>
                <w:lang w:eastAsia="en-AU"/>
              </w:rPr>
              <w:t>+ specialist and mainstream service providers; foster social programs; and embed lived experiences voices in the development of relevant frameworks, governance models</w:t>
            </w:r>
            <w:r w:rsidR="00E83989">
              <w:rPr>
                <w:sz w:val="20"/>
                <w:szCs w:val="20"/>
                <w:lang w:eastAsia="en-AU"/>
              </w:rPr>
              <w:t>,</w:t>
            </w:r>
            <w:r w:rsidRPr="00DD1A39">
              <w:rPr>
                <w:sz w:val="20"/>
                <w:szCs w:val="20"/>
                <w:lang w:eastAsia="en-AU"/>
              </w:rPr>
              <w:t xml:space="preserve"> and services.</w:t>
            </w:r>
            <w:r w:rsidRPr="00DD1A39">
              <w:rPr>
                <w:sz w:val="20"/>
                <w:szCs w:val="20"/>
                <w:vertAlign w:val="superscript"/>
                <w:lang w:eastAsia="en-AU"/>
              </w:rPr>
              <w:footnoteReference w:id="50"/>
            </w:r>
          </w:p>
        </w:tc>
      </w:tr>
      <w:tr w:rsidR="0021595F" w:rsidRPr="00DD1A39" w14:paraId="0359BCDD" w14:textId="77777777" w:rsidTr="0059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050E470A" w14:textId="77777777" w:rsidR="00E62EF5" w:rsidRPr="00DD1A39" w:rsidRDefault="00E62EF5" w:rsidP="00352D8B">
            <w:pPr>
              <w:ind w:left="142"/>
              <w:jc w:val="center"/>
              <w:rPr>
                <w:sz w:val="20"/>
                <w:szCs w:val="20"/>
                <w:lang w:eastAsia="en-AU"/>
              </w:rPr>
            </w:pPr>
            <w:r w:rsidRPr="00DD1A39">
              <w:rPr>
                <w:sz w:val="20"/>
                <w:szCs w:val="20"/>
                <w:lang w:eastAsia="en-AU"/>
              </w:rPr>
              <w:t>Western Australia</w:t>
            </w:r>
          </w:p>
        </w:tc>
        <w:tc>
          <w:tcPr>
            <w:tcW w:w="2114" w:type="dxa"/>
          </w:tcPr>
          <w:p w14:paraId="0FC7FE1D" w14:textId="0E0346FA" w:rsidR="00E62EF5" w:rsidRPr="00DD1A39" w:rsidRDefault="00E62EF5" w:rsidP="00E8638A">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hyperlink r:id="rId53" w:history="1">
              <w:r w:rsidRPr="00DD1A39">
                <w:rPr>
                  <w:rStyle w:val="Hyperlink"/>
                  <w:sz w:val="20"/>
                  <w:szCs w:val="20"/>
                  <w:lang w:eastAsia="en-AU"/>
                </w:rPr>
                <w:t>Western Australian LGBTI Health Strategy 2019</w:t>
              </w:r>
              <w:r w:rsidR="00E83989">
                <w:rPr>
                  <w:rStyle w:val="Hyperlink"/>
                  <w:sz w:val="20"/>
                  <w:szCs w:val="20"/>
                  <w:lang w:eastAsia="en-AU"/>
                </w:rPr>
                <w:t>–</w:t>
              </w:r>
              <w:r w:rsidRPr="00DD1A39">
                <w:rPr>
                  <w:rStyle w:val="Hyperlink"/>
                  <w:sz w:val="20"/>
                  <w:szCs w:val="20"/>
                  <w:lang w:eastAsia="en-AU"/>
                </w:rPr>
                <w:t>2024</w:t>
              </w:r>
            </w:hyperlink>
          </w:p>
        </w:tc>
        <w:tc>
          <w:tcPr>
            <w:tcW w:w="10439" w:type="dxa"/>
          </w:tcPr>
          <w:p w14:paraId="066C49D9" w14:textId="115A50C9" w:rsidR="00E62EF5" w:rsidRPr="00DD1A39" w:rsidRDefault="00E62EF5" w:rsidP="00E8638A">
            <w:pPr>
              <w:pStyle w:val="TableText"/>
              <w:cnfStyle w:val="000000010000" w:firstRow="0" w:lastRow="0" w:firstColumn="0" w:lastColumn="0" w:oddVBand="0" w:evenVBand="0" w:oddHBand="0" w:evenHBand="1" w:firstRowFirstColumn="0" w:firstRowLastColumn="0" w:lastRowFirstColumn="0" w:lastRowLastColumn="0"/>
              <w:rPr>
                <w:sz w:val="20"/>
                <w:szCs w:val="20"/>
                <w:lang w:eastAsia="en-AU"/>
              </w:rPr>
            </w:pPr>
            <w:r w:rsidRPr="00DD1A39">
              <w:rPr>
                <w:sz w:val="20"/>
                <w:szCs w:val="20"/>
                <w:lang w:eastAsia="en-AU"/>
              </w:rPr>
              <w:t>Western Australia’s 5-year strategy outlined 6 priorities to develop an “equitable, accessible, culturally safe and inclusive WA health system and health services” which are responsive to LGBT</w:t>
            </w:r>
            <w:r w:rsidR="001A7F34" w:rsidRPr="00DD1A39">
              <w:rPr>
                <w:sz w:val="20"/>
                <w:szCs w:val="20"/>
                <w:lang w:eastAsia="en-AU"/>
              </w:rPr>
              <w:t>I</w:t>
            </w:r>
            <w:r w:rsidRPr="00DD1A39">
              <w:rPr>
                <w:sz w:val="20"/>
                <w:szCs w:val="20"/>
                <w:lang w:eastAsia="en-AU"/>
              </w:rPr>
              <w:t xml:space="preserve"> health and wellbeing needs. Among other actions, the Strategy committed to improving data collection; undertaking research; providing training to mainstream service staff; including LGBTI voices in service planning; and improving access to LGBTI specialist health services.  </w:t>
            </w:r>
          </w:p>
        </w:tc>
      </w:tr>
    </w:tbl>
    <w:p w14:paraId="561EFDDB" w14:textId="77777777" w:rsidR="00A958D3" w:rsidRDefault="00A958D3">
      <w:pPr>
        <w:spacing w:before="80" w:after="80" w:line="240" w:lineRule="auto"/>
        <w:rPr>
          <w:b/>
        </w:rPr>
      </w:pPr>
      <w:r>
        <w:br w:type="page"/>
      </w:r>
    </w:p>
    <w:p w14:paraId="61C9C638" w14:textId="6501BE68" w:rsidR="00A354F5" w:rsidRDefault="00A354F5" w:rsidP="00772A0C">
      <w:pPr>
        <w:pStyle w:val="Caption"/>
        <w:rPr>
          <w:lang w:eastAsia="en-AU"/>
        </w:rPr>
      </w:pPr>
      <w:r>
        <w:lastRenderedPageBreak/>
        <w:t xml:space="preserve">Table </w:t>
      </w:r>
      <w:r>
        <w:fldChar w:fldCharType="begin"/>
      </w:r>
      <w:r>
        <w:instrText>SEQ Table \* ARABIC</w:instrText>
      </w:r>
      <w:r>
        <w:fldChar w:fldCharType="separate"/>
      </w:r>
      <w:r w:rsidR="00373F3F">
        <w:rPr>
          <w:noProof/>
        </w:rPr>
        <w:t>4</w:t>
      </w:r>
      <w:r>
        <w:fldChar w:fldCharType="end"/>
      </w:r>
      <w:r>
        <w:rPr>
          <w:lang w:eastAsia="en-AU"/>
        </w:rPr>
        <w:t xml:space="preserve">: State and Territory lived experience advisory infrastructure </w:t>
      </w:r>
    </w:p>
    <w:tbl>
      <w:tblPr>
        <w:tblStyle w:val="LinedBlueTable"/>
        <w:tblW w:w="14029" w:type="dxa"/>
        <w:tblLook w:val="04A0" w:firstRow="1" w:lastRow="0" w:firstColumn="1" w:lastColumn="0" w:noHBand="0" w:noVBand="1"/>
      </w:tblPr>
      <w:tblGrid>
        <w:gridCol w:w="1442"/>
        <w:gridCol w:w="2403"/>
        <w:gridCol w:w="4531"/>
        <w:gridCol w:w="5653"/>
      </w:tblGrid>
      <w:tr w:rsidR="00CA3805" w:rsidRPr="00A354F5" w14:paraId="2DA5443D" w14:textId="77777777" w:rsidTr="00595E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1" w:type="dxa"/>
          </w:tcPr>
          <w:p w14:paraId="2B0742DF" w14:textId="77777777" w:rsidR="00A354F5" w:rsidRPr="00A354F5" w:rsidRDefault="00A354F5" w:rsidP="00A354F5">
            <w:pPr>
              <w:pStyle w:val="TableText"/>
              <w:jc w:val="center"/>
              <w:rPr>
                <w:lang w:eastAsia="en-AU"/>
              </w:rPr>
            </w:pPr>
            <w:r w:rsidRPr="00A354F5">
              <w:rPr>
                <w:lang w:eastAsia="en-AU"/>
              </w:rPr>
              <w:t>Jurisdiction</w:t>
            </w:r>
          </w:p>
        </w:tc>
        <w:tc>
          <w:tcPr>
            <w:tcW w:w="2407" w:type="dxa"/>
          </w:tcPr>
          <w:p w14:paraId="509D3E40" w14:textId="44A3D695" w:rsidR="00A354F5" w:rsidRPr="00A354F5" w:rsidRDefault="00A354F5" w:rsidP="00A354F5">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Name</w:t>
            </w:r>
          </w:p>
        </w:tc>
        <w:tc>
          <w:tcPr>
            <w:tcW w:w="4536" w:type="dxa"/>
          </w:tcPr>
          <w:p w14:paraId="3B6A03E7" w14:textId="77777777" w:rsidR="00A354F5" w:rsidRPr="00A354F5" w:rsidRDefault="00A354F5" w:rsidP="00A354F5">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A354F5">
              <w:rPr>
                <w:lang w:eastAsia="en-AU"/>
              </w:rPr>
              <w:t>Structure</w:t>
            </w:r>
          </w:p>
        </w:tc>
        <w:tc>
          <w:tcPr>
            <w:tcW w:w="5665" w:type="dxa"/>
          </w:tcPr>
          <w:p w14:paraId="6D2488E9" w14:textId="77777777" w:rsidR="00A354F5" w:rsidRPr="00A354F5" w:rsidRDefault="00A354F5" w:rsidP="00A354F5">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A354F5">
              <w:rPr>
                <w:lang w:eastAsia="en-AU"/>
              </w:rPr>
              <w:t>Responsibilities</w:t>
            </w:r>
          </w:p>
        </w:tc>
      </w:tr>
      <w:tr w:rsidR="00E941CB" w:rsidRPr="00A354F5" w14:paraId="7D4662DB" w14:textId="77777777" w:rsidTr="00595E32">
        <w:tc>
          <w:tcPr>
            <w:cnfStyle w:val="001000000000" w:firstRow="0" w:lastRow="0" w:firstColumn="1" w:lastColumn="0" w:oddVBand="0" w:evenVBand="0" w:oddHBand="0" w:evenHBand="0" w:firstRowFirstColumn="0" w:firstRowLastColumn="0" w:lastRowFirstColumn="0" w:lastRowLastColumn="0"/>
            <w:tcW w:w="1421" w:type="dxa"/>
          </w:tcPr>
          <w:p w14:paraId="2A371165" w14:textId="77777777" w:rsidR="00A354F5" w:rsidRPr="00A354F5" w:rsidRDefault="00A354F5" w:rsidP="00352D8B">
            <w:pPr>
              <w:ind w:left="142"/>
              <w:jc w:val="center"/>
              <w:rPr>
                <w:lang w:eastAsia="en-AU"/>
              </w:rPr>
            </w:pPr>
            <w:r w:rsidRPr="00A354F5">
              <w:rPr>
                <w:lang w:eastAsia="en-AU"/>
              </w:rPr>
              <w:t>ACT</w:t>
            </w:r>
          </w:p>
        </w:tc>
        <w:tc>
          <w:tcPr>
            <w:tcW w:w="2407" w:type="dxa"/>
          </w:tcPr>
          <w:p w14:paraId="1DA31813" w14:textId="416E74EA" w:rsidR="00A354F5" w:rsidRPr="00A354F5" w:rsidRDefault="00A354F5" w:rsidP="00A354F5">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hyperlink r:id="rId54" w:history="1">
              <w:r w:rsidRPr="00A354F5">
                <w:rPr>
                  <w:rStyle w:val="Hyperlink"/>
                  <w:lang w:eastAsia="en-AU"/>
                </w:rPr>
                <w:t>LGBTIQ+ Ministerial Advisory Council</w:t>
              </w:r>
            </w:hyperlink>
          </w:p>
        </w:tc>
        <w:tc>
          <w:tcPr>
            <w:tcW w:w="4536" w:type="dxa"/>
          </w:tcPr>
          <w:p w14:paraId="277DBF50" w14:textId="430D4E8C" w:rsidR="00A354F5" w:rsidRPr="00E0439E" w:rsidRDefault="003840AE" w:rsidP="00C3774A">
            <w:pPr>
              <w:pStyle w:val="TableBullet"/>
              <w:cnfStyle w:val="000000000000" w:firstRow="0" w:lastRow="0" w:firstColumn="0" w:lastColumn="0" w:oddVBand="0" w:evenVBand="0" w:oddHBand="0" w:evenHBand="0" w:firstRowFirstColumn="0" w:firstRowLastColumn="0" w:lastRowFirstColumn="0" w:lastRowLastColumn="0"/>
              <w:rPr>
                <w:rFonts w:eastAsiaTheme="minorHAnsi"/>
              </w:rPr>
            </w:pPr>
            <w:r w:rsidRPr="00E0439E">
              <w:rPr>
                <w:rFonts w:eastAsiaTheme="minorHAnsi"/>
              </w:rPr>
              <w:t xml:space="preserve">Reports directly </w:t>
            </w:r>
            <w:r w:rsidR="00E0439E" w:rsidRPr="00E0439E">
              <w:rPr>
                <w:rFonts w:eastAsiaTheme="minorHAnsi"/>
              </w:rPr>
              <w:t>to</w:t>
            </w:r>
            <w:r w:rsidRPr="00E0439E">
              <w:rPr>
                <w:rFonts w:eastAsiaTheme="minorHAnsi"/>
              </w:rPr>
              <w:t xml:space="preserve"> the Chief Minister</w:t>
            </w:r>
            <w:r w:rsidR="00F562E8" w:rsidRPr="00E0439E">
              <w:rPr>
                <w:rFonts w:eastAsiaTheme="minorHAnsi"/>
              </w:rPr>
              <w:t>.</w:t>
            </w:r>
          </w:p>
          <w:p w14:paraId="436942A6" w14:textId="0BC9912B" w:rsidR="00C3774A" w:rsidRDefault="00C3774A" w:rsidP="00C3774A">
            <w:pPr>
              <w:pStyle w:val="TableBulle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 xml:space="preserve">Currently has 14 members, selected for their expertise and experience in LGBTIQ+ rights and care. </w:t>
            </w:r>
          </w:p>
          <w:p w14:paraId="56FB3021" w14:textId="7C9E7224" w:rsidR="00F562E8" w:rsidRPr="00C3774A" w:rsidRDefault="00F562E8" w:rsidP="00C3774A">
            <w:pPr>
              <w:pStyle w:val="TableBulle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 xml:space="preserve">Appointments up to 3 years, with no members able to serve more than two terms. </w:t>
            </w:r>
          </w:p>
        </w:tc>
        <w:tc>
          <w:tcPr>
            <w:tcW w:w="5665" w:type="dxa"/>
          </w:tcPr>
          <w:p w14:paraId="7D724C02" w14:textId="1D579B42" w:rsidR="00A354F5" w:rsidRPr="00EE5C86" w:rsidRDefault="00A354F5" w:rsidP="00C3774A">
            <w:pPr>
              <w:pStyle w:val="TableBullet"/>
              <w:cnfStyle w:val="000000000000" w:firstRow="0" w:lastRow="0" w:firstColumn="0" w:lastColumn="0" w:oddVBand="0" w:evenVBand="0" w:oddHBand="0" w:evenHBand="0" w:firstRowFirstColumn="0" w:firstRowLastColumn="0" w:lastRowFirstColumn="0" w:lastRowLastColumn="0"/>
              <w:rPr>
                <w:rFonts w:eastAsiaTheme="minorHAnsi"/>
              </w:rPr>
            </w:pPr>
            <w:r w:rsidRPr="00EE5C86">
              <w:t>Multiple policy portfolios</w:t>
            </w:r>
            <w:r w:rsidR="003840AE">
              <w:t xml:space="preserve"> with a strong focus on non-discrimination, aged care, education</w:t>
            </w:r>
            <w:r w:rsidR="00281EFE">
              <w:t>,</w:t>
            </w:r>
            <w:r w:rsidR="003840AE">
              <w:t xml:space="preserve"> and health delivery. </w:t>
            </w:r>
          </w:p>
          <w:p w14:paraId="0255ADFF" w14:textId="64FEAD6F" w:rsidR="00255323" w:rsidRDefault="00893F50" w:rsidP="00C3774A">
            <w:pPr>
              <w:pStyle w:val="TableBullet"/>
              <w:cnfStyle w:val="000000000000" w:firstRow="0" w:lastRow="0" w:firstColumn="0" w:lastColumn="0" w:oddVBand="0" w:evenVBand="0" w:oddHBand="0" w:evenHBand="0" w:firstRowFirstColumn="0" w:firstRowLastColumn="0" w:lastRowFirstColumn="0" w:lastRowLastColumn="0"/>
            </w:pPr>
            <w:r>
              <w:t>Provides advice on i</w:t>
            </w:r>
            <w:r w:rsidR="00255323">
              <w:t xml:space="preserve">ssues referred by the </w:t>
            </w:r>
            <w:r w:rsidR="00F562E8">
              <w:t xml:space="preserve">Chief Minister, the Office of LGBTIQ+ Affairs </w:t>
            </w:r>
            <w:r w:rsidR="00255323">
              <w:t>or raised by the community.</w:t>
            </w:r>
          </w:p>
          <w:p w14:paraId="43064906" w14:textId="57195819" w:rsidR="00EE5C86" w:rsidRDefault="00EE5C86" w:rsidP="00C3774A">
            <w:pPr>
              <w:pStyle w:val="TableBullet"/>
              <w:cnfStyle w:val="000000000000" w:firstRow="0" w:lastRow="0" w:firstColumn="0" w:lastColumn="0" w:oddVBand="0" w:evenVBand="0" w:oddHBand="0" w:evenHBand="0" w:firstRowFirstColumn="0" w:firstRowLastColumn="0" w:lastRowFirstColumn="0" w:lastRowLastColumn="0"/>
            </w:pPr>
            <w:r w:rsidRPr="00EE5C86">
              <w:t>Undertakes consultation with the LGBTIQ+ community and relevant organisations</w:t>
            </w:r>
            <w:r w:rsidR="00C3774A">
              <w:t>.</w:t>
            </w:r>
          </w:p>
          <w:p w14:paraId="24DAE9C1" w14:textId="291FDFE0" w:rsidR="00A354F5" w:rsidRPr="0005458D" w:rsidRDefault="00C3774A" w:rsidP="0005458D">
            <w:pPr>
              <w:pStyle w:val="TableBullet"/>
              <w:cnfStyle w:val="000000000000" w:firstRow="0" w:lastRow="0" w:firstColumn="0" w:lastColumn="0" w:oddVBand="0" w:evenVBand="0" w:oddHBand="0" w:evenHBand="0" w:firstRowFirstColumn="0" w:firstRowLastColumn="0" w:lastRowFirstColumn="0" w:lastRowLastColumn="0"/>
            </w:pPr>
            <w:r>
              <w:t>The Council additiona</w:t>
            </w:r>
            <w:r w:rsidR="00281EFE">
              <w:t>l</w:t>
            </w:r>
            <w:r>
              <w:t>l</w:t>
            </w:r>
            <w:r w:rsidR="00281EFE">
              <w:t>y</w:t>
            </w:r>
            <w:r>
              <w:t xml:space="preserve"> has an </w:t>
            </w:r>
            <w:r w:rsidR="0005458D">
              <w:t>open submission</w:t>
            </w:r>
            <w:r>
              <w:t xml:space="preserve"> email welcoming input from the community. </w:t>
            </w:r>
          </w:p>
        </w:tc>
      </w:tr>
      <w:tr w:rsidR="00B36FE0" w:rsidRPr="00A354F5" w14:paraId="619F94B6" w14:textId="77777777" w:rsidTr="0059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4FD7127" w14:textId="77777777" w:rsidR="00A354F5" w:rsidRPr="00A354F5" w:rsidRDefault="00A354F5" w:rsidP="00352D8B">
            <w:pPr>
              <w:ind w:left="142"/>
              <w:jc w:val="center"/>
              <w:rPr>
                <w:lang w:eastAsia="en-AU"/>
              </w:rPr>
            </w:pPr>
            <w:r w:rsidRPr="00A354F5">
              <w:rPr>
                <w:lang w:eastAsia="en-AU"/>
              </w:rPr>
              <w:t>Queensland</w:t>
            </w:r>
          </w:p>
        </w:tc>
        <w:tc>
          <w:tcPr>
            <w:tcW w:w="2407" w:type="dxa"/>
          </w:tcPr>
          <w:p w14:paraId="09EA89E3" w14:textId="14EE3B7C" w:rsidR="00A354F5" w:rsidRPr="00A354F5" w:rsidRDefault="00A354F5" w:rsidP="00A354F5">
            <w:pPr>
              <w:pStyle w:val="TableText"/>
              <w:jc w:val="center"/>
              <w:cnfStyle w:val="000000010000" w:firstRow="0" w:lastRow="0" w:firstColumn="0" w:lastColumn="0" w:oddVBand="0" w:evenVBand="0" w:oddHBand="0" w:evenHBand="1" w:firstRowFirstColumn="0" w:firstRowLastColumn="0" w:lastRowFirstColumn="0" w:lastRowLastColumn="0"/>
              <w:rPr>
                <w:lang w:eastAsia="en-AU"/>
              </w:rPr>
            </w:pPr>
            <w:hyperlink r:id="rId55" w:history="1">
              <w:r w:rsidRPr="00A354F5">
                <w:rPr>
                  <w:rStyle w:val="Hyperlink"/>
                  <w:lang w:eastAsia="en-AU"/>
                </w:rPr>
                <w:t>LGBTIQ+ Roundtable</w:t>
              </w:r>
            </w:hyperlink>
          </w:p>
        </w:tc>
        <w:tc>
          <w:tcPr>
            <w:tcW w:w="4536" w:type="dxa"/>
          </w:tcPr>
          <w:p w14:paraId="64D3FE6B" w14:textId="30ABB692" w:rsidR="00E941CB" w:rsidRDefault="00E941CB" w:rsidP="00B36FE0">
            <w:pPr>
              <w:pStyle w:val="TableBullet"/>
              <w:cnfStyle w:val="000000010000" w:firstRow="0" w:lastRow="0" w:firstColumn="0" w:lastColumn="0" w:oddVBand="0" w:evenVBand="0" w:oddHBand="0" w:evenHBand="1" w:firstRowFirstColumn="0" w:firstRowLastColumn="0" w:lastRowFirstColumn="0" w:lastRowLastColumn="0"/>
              <w:rPr>
                <w:rFonts w:eastAsiaTheme="minorHAnsi"/>
              </w:rPr>
            </w:pPr>
            <w:r>
              <w:rPr>
                <w:rFonts w:eastAsiaTheme="minorHAnsi"/>
              </w:rPr>
              <w:t xml:space="preserve">Administered by the Department of Communities, Housing and Digital Economy. </w:t>
            </w:r>
          </w:p>
          <w:p w14:paraId="7861843C" w14:textId="3E4B2B96" w:rsidR="00B36FE0" w:rsidRDefault="00E941CB" w:rsidP="00B36FE0">
            <w:pPr>
              <w:pStyle w:val="TableBullet"/>
              <w:cnfStyle w:val="000000010000" w:firstRow="0" w:lastRow="0" w:firstColumn="0" w:lastColumn="0" w:oddVBand="0" w:evenVBand="0" w:oddHBand="0" w:evenHBand="1" w:firstRowFirstColumn="0" w:firstRowLastColumn="0" w:lastRowFirstColumn="0" w:lastRowLastColumn="0"/>
              <w:rPr>
                <w:rFonts w:eastAsiaTheme="minorHAnsi"/>
              </w:rPr>
            </w:pPr>
            <w:r>
              <w:rPr>
                <w:rFonts w:eastAsiaTheme="minorHAnsi"/>
              </w:rPr>
              <w:t>Currently comprised of 15 members, including</w:t>
            </w:r>
            <w:r w:rsidR="00B36FE0">
              <w:rPr>
                <w:rFonts w:eastAsiaTheme="minorHAnsi"/>
              </w:rPr>
              <w:t>:</w:t>
            </w:r>
          </w:p>
          <w:p w14:paraId="207B72AD" w14:textId="77777777" w:rsidR="00B36FE0" w:rsidRDefault="00A354F5" w:rsidP="00B36FE0">
            <w:pPr>
              <w:pStyle w:val="TableBullet2"/>
              <w:cnfStyle w:val="000000010000" w:firstRow="0" w:lastRow="0" w:firstColumn="0" w:lastColumn="0" w:oddVBand="0" w:evenVBand="0" w:oddHBand="0" w:evenHBand="1" w:firstRowFirstColumn="0" w:firstRowLastColumn="0" w:lastRowFirstColumn="0" w:lastRowLastColumn="0"/>
              <w:rPr>
                <w:rFonts w:eastAsiaTheme="minorHAnsi"/>
              </w:rPr>
            </w:pPr>
            <w:r w:rsidRPr="00A354F5">
              <w:t xml:space="preserve">individuals and network/organisational representatives </w:t>
            </w:r>
          </w:p>
          <w:p w14:paraId="05B87D18" w14:textId="18889D1A" w:rsidR="00A354F5" w:rsidRDefault="00E941CB" w:rsidP="00B36FE0">
            <w:pPr>
              <w:pStyle w:val="TableBullet2"/>
              <w:cnfStyle w:val="000000010000" w:firstRow="0" w:lastRow="0" w:firstColumn="0" w:lastColumn="0" w:oddVBand="0" w:evenVBand="0" w:oddHBand="0" w:evenHBand="1" w:firstRowFirstColumn="0" w:firstRowLastColumn="0" w:lastRowFirstColumn="0" w:lastRowLastColumn="0"/>
            </w:pPr>
            <w:r>
              <w:rPr>
                <w:rFonts w:eastAsiaTheme="minorHAnsi"/>
              </w:rPr>
              <w:t>r</w:t>
            </w:r>
            <w:r w:rsidR="00A354F5" w:rsidRPr="00A354F5">
              <w:rPr>
                <w:rFonts w:eastAsiaTheme="minorHAnsi"/>
              </w:rPr>
              <w:t>ep</w:t>
            </w:r>
            <w:r w:rsidR="00B36FE0">
              <w:rPr>
                <w:rFonts w:eastAsiaTheme="minorHAnsi"/>
              </w:rPr>
              <w:t>resentative</w:t>
            </w:r>
            <w:r w:rsidR="00A354F5" w:rsidRPr="00A354F5">
              <w:rPr>
                <w:rFonts w:eastAsiaTheme="minorHAnsi"/>
              </w:rPr>
              <w:t>s</w:t>
            </w:r>
            <w:r w:rsidR="00A354F5" w:rsidRPr="00A354F5">
              <w:t xml:space="preserve"> from</w:t>
            </w:r>
            <w:r w:rsidR="00B36FE0" w:rsidRPr="00A354F5">
              <w:rPr>
                <w:rFonts w:eastAsiaTheme="minorHAnsi"/>
              </w:rPr>
              <w:t xml:space="preserve"> </w:t>
            </w:r>
            <w:r w:rsidR="00B36FE0">
              <w:rPr>
                <w:rFonts w:eastAsiaTheme="minorHAnsi"/>
              </w:rPr>
              <w:t xml:space="preserve">various </w:t>
            </w:r>
            <w:r w:rsidR="00A354F5" w:rsidRPr="00A354F5">
              <w:t>government departments</w:t>
            </w:r>
            <w:r w:rsidR="000C74B9">
              <w:t>.</w:t>
            </w:r>
          </w:p>
          <w:p w14:paraId="6BD38350" w14:textId="27197F7D" w:rsidR="00A354F5" w:rsidRPr="00A354F5" w:rsidRDefault="00B22CAA" w:rsidP="000C74B9">
            <w:pPr>
              <w:pStyle w:val="TableBullet"/>
              <w:cnfStyle w:val="000000010000" w:firstRow="0" w:lastRow="0" w:firstColumn="0" w:lastColumn="0" w:oddVBand="0" w:evenVBand="0" w:oddHBand="0" w:evenHBand="1" w:firstRowFirstColumn="0" w:firstRowLastColumn="0" w:lastRowFirstColumn="0" w:lastRowLastColumn="0"/>
            </w:pPr>
            <w:r>
              <w:t>Appointments are for 2 year</w:t>
            </w:r>
            <w:r w:rsidR="00CA6DA5">
              <w:t>-terms</w:t>
            </w:r>
            <w:r>
              <w:t>.</w:t>
            </w:r>
          </w:p>
          <w:p w14:paraId="11A3BAF8" w14:textId="77777777" w:rsidR="00A354F5" w:rsidRPr="00A354F5" w:rsidRDefault="00A354F5" w:rsidP="00A354F5">
            <w:pPr>
              <w:pStyle w:val="Table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5665" w:type="dxa"/>
          </w:tcPr>
          <w:p w14:paraId="3CFAE3AA" w14:textId="77777777" w:rsidR="00A354F5" w:rsidRPr="00B36FE0" w:rsidRDefault="0095755D" w:rsidP="00B36FE0">
            <w:pPr>
              <w:pStyle w:val="TableBullet"/>
              <w:cnfStyle w:val="000000010000" w:firstRow="0" w:lastRow="0" w:firstColumn="0" w:lastColumn="0" w:oddVBand="0" w:evenVBand="0" w:oddHBand="0" w:evenHBand="1" w:firstRowFirstColumn="0" w:firstRowLastColumn="0" w:lastRowFirstColumn="0" w:lastRowLastColumn="0"/>
              <w:rPr>
                <w:rFonts w:eastAsiaTheme="minorHAnsi"/>
              </w:rPr>
            </w:pPr>
            <w:r>
              <w:t xml:space="preserve">Aims to provide an </w:t>
            </w:r>
            <w:r w:rsidR="00B36FE0">
              <w:t>“</w:t>
            </w:r>
            <w:r>
              <w:t>engagement mechanism f</w:t>
            </w:r>
            <w:r w:rsidR="00B36FE0">
              <w:t xml:space="preserve">or the LGBTIQ+ community to highlight opportunities to strengthen community outcomes”. </w:t>
            </w:r>
          </w:p>
          <w:p w14:paraId="514866E1" w14:textId="56BCC6D0" w:rsidR="00B36FE0" w:rsidRPr="00A354F5" w:rsidRDefault="00971CC0" w:rsidP="00360B18">
            <w:pPr>
              <w:pStyle w:val="TableBullet"/>
              <w:cnfStyle w:val="000000010000" w:firstRow="0" w:lastRow="0" w:firstColumn="0" w:lastColumn="0" w:oddVBand="0" w:evenVBand="0" w:oddHBand="0" w:evenHBand="1" w:firstRowFirstColumn="0" w:firstRowLastColumn="0" w:lastRowFirstColumn="0" w:lastRowLastColumn="0"/>
            </w:pPr>
            <w:r>
              <w:t xml:space="preserve">Members </w:t>
            </w:r>
            <w:r w:rsidR="00A5531F">
              <w:t xml:space="preserve">provide </w:t>
            </w:r>
            <w:r w:rsidR="00E46269">
              <w:t xml:space="preserve">feedback </w:t>
            </w:r>
            <w:r w:rsidR="00482219">
              <w:t>through quarterly meetings</w:t>
            </w:r>
            <w:r w:rsidR="00841841">
              <w:t xml:space="preserve"> and through </w:t>
            </w:r>
            <w:r w:rsidR="00482219">
              <w:t xml:space="preserve">out-of-session </w:t>
            </w:r>
            <w:r w:rsidR="00841841">
              <w:t>channels (e.g., providing feedback on strategies).</w:t>
            </w:r>
          </w:p>
        </w:tc>
      </w:tr>
      <w:tr w:rsidR="00E941CB" w:rsidRPr="00A354F5" w14:paraId="7FFF7B95" w14:textId="77777777" w:rsidTr="00595E32">
        <w:tc>
          <w:tcPr>
            <w:cnfStyle w:val="001000000000" w:firstRow="0" w:lastRow="0" w:firstColumn="1" w:lastColumn="0" w:oddVBand="0" w:evenVBand="0" w:oddHBand="0" w:evenHBand="0" w:firstRowFirstColumn="0" w:firstRowLastColumn="0" w:lastRowFirstColumn="0" w:lastRowLastColumn="0"/>
            <w:tcW w:w="1421" w:type="dxa"/>
          </w:tcPr>
          <w:p w14:paraId="4218F531" w14:textId="77777777" w:rsidR="00A354F5" w:rsidRPr="00A354F5" w:rsidRDefault="00A354F5" w:rsidP="00352D8B">
            <w:pPr>
              <w:ind w:left="142"/>
              <w:jc w:val="center"/>
              <w:rPr>
                <w:lang w:eastAsia="en-AU"/>
              </w:rPr>
            </w:pPr>
            <w:r w:rsidRPr="00A354F5">
              <w:rPr>
                <w:lang w:eastAsia="en-AU"/>
              </w:rPr>
              <w:t>South Australia</w:t>
            </w:r>
          </w:p>
        </w:tc>
        <w:tc>
          <w:tcPr>
            <w:tcW w:w="2407" w:type="dxa"/>
          </w:tcPr>
          <w:p w14:paraId="528321EE" w14:textId="77777777" w:rsidR="00A354F5" w:rsidRPr="00A354F5" w:rsidRDefault="00A354F5" w:rsidP="00A354F5">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hyperlink r:id="rId56" w:history="1">
              <w:r w:rsidRPr="00A354F5">
                <w:rPr>
                  <w:rStyle w:val="Hyperlink"/>
                  <w:lang w:eastAsia="en-AU"/>
                </w:rPr>
                <w:t>LGBTIQA+ Minister’s Advisory Council</w:t>
              </w:r>
            </w:hyperlink>
          </w:p>
        </w:tc>
        <w:tc>
          <w:tcPr>
            <w:tcW w:w="4536" w:type="dxa"/>
          </w:tcPr>
          <w:p w14:paraId="7F9A0860" w14:textId="347E3AA3" w:rsidR="008D1E26" w:rsidRDefault="008D1E26" w:rsidP="008D1E26">
            <w:pPr>
              <w:pStyle w:val="TableBulle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Provides advice to the Minister for Human Services</w:t>
            </w:r>
            <w:r w:rsidR="00FB3CB4">
              <w:rPr>
                <w:rFonts w:eastAsiaTheme="minorHAnsi"/>
              </w:rPr>
              <w:t>.</w:t>
            </w:r>
            <w:r w:rsidR="0045297A">
              <w:rPr>
                <w:rFonts w:eastAsiaTheme="minorHAnsi"/>
              </w:rPr>
              <w:t xml:space="preserve"> </w:t>
            </w:r>
          </w:p>
          <w:p w14:paraId="0BB98C18" w14:textId="06999C98" w:rsidR="00A354F5" w:rsidRPr="00A354F5" w:rsidRDefault="00D96683" w:rsidP="008D1E26">
            <w:pPr>
              <w:pStyle w:val="TableBullet"/>
              <w:cnfStyle w:val="000000000000" w:firstRow="0" w:lastRow="0" w:firstColumn="0" w:lastColumn="0" w:oddVBand="0" w:evenVBand="0" w:oddHBand="0" w:evenHBand="0" w:firstRowFirstColumn="0" w:firstRowLastColumn="0" w:lastRowFirstColumn="0" w:lastRowLastColumn="0"/>
            </w:pPr>
            <w:r>
              <w:t xml:space="preserve">Currently comprised of 13 </w:t>
            </w:r>
            <w:r w:rsidR="00A354F5" w:rsidRPr="00A354F5">
              <w:t>members</w:t>
            </w:r>
          </w:p>
        </w:tc>
        <w:tc>
          <w:tcPr>
            <w:tcW w:w="5665" w:type="dxa"/>
          </w:tcPr>
          <w:p w14:paraId="39906DE3" w14:textId="77777777" w:rsidR="00A354F5" w:rsidRDefault="008A59B1" w:rsidP="00CD2323">
            <w:pPr>
              <w:pStyle w:val="TableBulle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Broad remit to provide advice on issues affecting LGBTIQA+ people.</w:t>
            </w:r>
          </w:p>
          <w:p w14:paraId="68402605" w14:textId="183C9F9A" w:rsidR="008A59B1" w:rsidRPr="00A354F5" w:rsidRDefault="00BC5ADA" w:rsidP="00CD2323">
            <w:pPr>
              <w:pStyle w:val="TableBulle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 xml:space="preserve">Members provide feedback in quarterly meetings </w:t>
            </w:r>
          </w:p>
        </w:tc>
      </w:tr>
      <w:tr w:rsidR="00E941CB" w:rsidRPr="00A354F5" w14:paraId="12276374" w14:textId="77777777" w:rsidTr="0059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DD450BD" w14:textId="77777777" w:rsidR="00A354F5" w:rsidRPr="00A354F5" w:rsidRDefault="00A354F5" w:rsidP="00352D8B">
            <w:pPr>
              <w:ind w:left="142"/>
              <w:jc w:val="center"/>
              <w:rPr>
                <w:lang w:eastAsia="en-AU"/>
              </w:rPr>
            </w:pPr>
            <w:r w:rsidRPr="00A354F5">
              <w:rPr>
                <w:lang w:eastAsia="en-AU"/>
              </w:rPr>
              <w:lastRenderedPageBreak/>
              <w:t>Victoria</w:t>
            </w:r>
          </w:p>
        </w:tc>
        <w:tc>
          <w:tcPr>
            <w:tcW w:w="2407" w:type="dxa"/>
          </w:tcPr>
          <w:p w14:paraId="652A33BB" w14:textId="7AEEF704" w:rsidR="00EE10BA" w:rsidRPr="00A354F5" w:rsidRDefault="00A354F5" w:rsidP="00EE10BA">
            <w:pPr>
              <w:pStyle w:val="TableText"/>
              <w:jc w:val="center"/>
              <w:cnfStyle w:val="000000010000" w:firstRow="0" w:lastRow="0" w:firstColumn="0" w:lastColumn="0" w:oddVBand="0" w:evenVBand="0" w:oddHBand="0" w:evenHBand="1" w:firstRowFirstColumn="0" w:firstRowLastColumn="0" w:lastRowFirstColumn="0" w:lastRowLastColumn="0"/>
              <w:rPr>
                <w:lang w:eastAsia="en-AU"/>
              </w:rPr>
            </w:pPr>
            <w:hyperlink r:id="rId57" w:history="1">
              <w:r w:rsidRPr="00BF2A69">
                <w:rPr>
                  <w:rStyle w:val="Hyperlink"/>
                  <w:lang w:eastAsia="en-AU"/>
                </w:rPr>
                <w:t>LGBTIQ+ Taskforce</w:t>
              </w:r>
            </w:hyperlink>
          </w:p>
        </w:tc>
        <w:tc>
          <w:tcPr>
            <w:tcW w:w="4536" w:type="dxa"/>
          </w:tcPr>
          <w:p w14:paraId="2293E9E1" w14:textId="6880950B" w:rsidR="00FD032D" w:rsidRDefault="00FD032D" w:rsidP="00FD032D">
            <w:pPr>
              <w:pStyle w:val="TableBullet"/>
              <w:cnfStyle w:val="000000010000" w:firstRow="0" w:lastRow="0" w:firstColumn="0" w:lastColumn="0" w:oddVBand="0" w:evenVBand="0" w:oddHBand="0" w:evenHBand="1" w:firstRowFirstColumn="0" w:firstRowLastColumn="0" w:lastRowFirstColumn="0" w:lastRowLastColumn="0"/>
              <w:rPr>
                <w:rFonts w:eastAsiaTheme="minorHAnsi"/>
              </w:rPr>
            </w:pPr>
            <w:r>
              <w:rPr>
                <w:rFonts w:eastAsiaTheme="minorHAnsi"/>
              </w:rPr>
              <w:t xml:space="preserve">Convened by the Minister for </w:t>
            </w:r>
            <w:r w:rsidR="00CA6DA5">
              <w:rPr>
                <w:rFonts w:eastAsiaTheme="minorHAnsi"/>
              </w:rPr>
              <w:t>Equality</w:t>
            </w:r>
            <w:r w:rsidR="00E6741B">
              <w:rPr>
                <w:rFonts w:eastAsiaTheme="minorHAnsi"/>
              </w:rPr>
              <w:t xml:space="preserve"> </w:t>
            </w:r>
            <w:r w:rsidR="00CA6DA5">
              <w:rPr>
                <w:rFonts w:eastAsiaTheme="minorHAnsi"/>
              </w:rPr>
              <w:t>and</w:t>
            </w:r>
            <w:r w:rsidR="00FB3CB4">
              <w:rPr>
                <w:rFonts w:eastAsiaTheme="minorHAnsi"/>
              </w:rPr>
              <w:t xml:space="preserve"> works closely with the Commissioner for LGBTIQ+ communities.</w:t>
            </w:r>
          </w:p>
          <w:p w14:paraId="6BDC33A1" w14:textId="140CB32A" w:rsidR="004F4F66" w:rsidRDefault="00A354F5" w:rsidP="00FD032D">
            <w:pPr>
              <w:pStyle w:val="TableBullet"/>
              <w:cnfStyle w:val="000000010000" w:firstRow="0" w:lastRow="0" w:firstColumn="0" w:lastColumn="0" w:oddVBand="0" w:evenVBand="0" w:oddHBand="0" w:evenHBand="1" w:firstRowFirstColumn="0" w:firstRowLastColumn="0" w:lastRowFirstColumn="0" w:lastRowLastColumn="0"/>
              <w:rPr>
                <w:rFonts w:eastAsiaTheme="minorHAnsi"/>
              </w:rPr>
            </w:pPr>
            <w:r w:rsidRPr="00A354F5">
              <w:rPr>
                <w:rFonts w:eastAsiaTheme="minorHAnsi"/>
              </w:rPr>
              <w:t>Comprised of</w:t>
            </w:r>
            <w:r w:rsidR="004F4F66">
              <w:rPr>
                <w:rFonts w:eastAsiaTheme="minorHAnsi"/>
              </w:rPr>
              <w:t xml:space="preserve"> </w:t>
            </w:r>
            <w:r w:rsidR="00F70573">
              <w:rPr>
                <w:rFonts w:eastAsiaTheme="minorHAnsi"/>
              </w:rPr>
              <w:t xml:space="preserve">9 </w:t>
            </w:r>
            <w:r w:rsidR="004F4F66">
              <w:rPr>
                <w:rFonts w:eastAsiaTheme="minorHAnsi"/>
              </w:rPr>
              <w:t>community members</w:t>
            </w:r>
            <w:r w:rsidR="00F70573">
              <w:rPr>
                <w:rFonts w:eastAsiaTheme="minorHAnsi"/>
              </w:rPr>
              <w:t xml:space="preserve">, with </w:t>
            </w:r>
            <w:r w:rsidR="00244C03">
              <w:rPr>
                <w:rFonts w:eastAsiaTheme="minorHAnsi"/>
              </w:rPr>
              <w:t xml:space="preserve">Deputy secretaries from relevant departments acting as “ex-officio” members. </w:t>
            </w:r>
            <w:r w:rsidR="004F4F66">
              <w:rPr>
                <w:rFonts w:eastAsiaTheme="minorHAnsi"/>
              </w:rPr>
              <w:t xml:space="preserve"> </w:t>
            </w:r>
          </w:p>
          <w:p w14:paraId="7D85C125" w14:textId="68C38B78" w:rsidR="00A354F5" w:rsidRDefault="004F4F66" w:rsidP="00566F77">
            <w:pPr>
              <w:pStyle w:val="TableBullet"/>
              <w:cnfStyle w:val="000000010000" w:firstRow="0" w:lastRow="0" w:firstColumn="0" w:lastColumn="0" w:oddVBand="0" w:evenVBand="0" w:oddHBand="0" w:evenHBand="1" w:firstRowFirstColumn="0" w:firstRowLastColumn="0" w:lastRowFirstColumn="0" w:lastRowLastColumn="0"/>
              <w:rPr>
                <w:rFonts w:eastAsiaTheme="minorHAnsi"/>
              </w:rPr>
            </w:pPr>
            <w:r>
              <w:rPr>
                <w:rFonts w:eastAsiaTheme="minorHAnsi"/>
              </w:rPr>
              <w:t xml:space="preserve">Appointments are for 2 year-terms. </w:t>
            </w:r>
            <w:r w:rsidR="00A354F5" w:rsidRPr="00566F77">
              <w:rPr>
                <w:rFonts w:eastAsiaTheme="minorHAnsi"/>
              </w:rPr>
              <w:t xml:space="preserve"> </w:t>
            </w:r>
          </w:p>
          <w:p w14:paraId="1F0F7B4E" w14:textId="046674E3" w:rsidR="006678D2" w:rsidRPr="006678D2" w:rsidRDefault="006678D2" w:rsidP="006678D2">
            <w:pPr>
              <w:pStyle w:val="TableBullet"/>
              <w:cnfStyle w:val="000000010000" w:firstRow="0" w:lastRow="0" w:firstColumn="0" w:lastColumn="0" w:oddVBand="0" w:evenVBand="0" w:oddHBand="0" w:evenHBand="1" w:firstRowFirstColumn="0" w:firstRowLastColumn="0" w:lastRowFirstColumn="0" w:lastRowLastColumn="0"/>
              <w:rPr>
                <w:rFonts w:eastAsiaTheme="minorHAnsi"/>
              </w:rPr>
            </w:pPr>
            <w:r>
              <w:rPr>
                <w:rFonts w:eastAsiaTheme="minorHAnsi"/>
              </w:rPr>
              <w:t>S</w:t>
            </w:r>
            <w:r w:rsidRPr="006678D2">
              <w:rPr>
                <w:rFonts w:eastAsiaTheme="minorHAnsi"/>
              </w:rPr>
              <w:t xml:space="preserve">upported by </w:t>
            </w:r>
            <w:r w:rsidRPr="006678D2">
              <w:t xml:space="preserve">two dedicated </w:t>
            </w:r>
            <w:r w:rsidR="00A354F5" w:rsidRPr="006678D2">
              <w:t>working groups</w:t>
            </w:r>
            <w:r w:rsidR="004B74FE">
              <w:t>, which comprise additional members and</w:t>
            </w:r>
            <w:r w:rsidR="00CF486C">
              <w:t xml:space="preserve"> SMEs:</w:t>
            </w:r>
            <w:r w:rsidR="00A354F5" w:rsidRPr="006678D2">
              <w:t xml:space="preserve"> </w:t>
            </w:r>
          </w:p>
          <w:p w14:paraId="28C7FA46" w14:textId="1C254260" w:rsidR="006678D2" w:rsidRPr="006678D2" w:rsidRDefault="006678D2" w:rsidP="006678D2">
            <w:pPr>
              <w:pStyle w:val="TableBullet2"/>
              <w:cnfStyle w:val="000000010000" w:firstRow="0" w:lastRow="0" w:firstColumn="0" w:lastColumn="0" w:oddVBand="0" w:evenVBand="0" w:oddHBand="0" w:evenHBand="1" w:firstRowFirstColumn="0" w:firstRowLastColumn="0" w:lastRowFirstColumn="0" w:lastRowLastColumn="0"/>
            </w:pPr>
            <w:r w:rsidRPr="006678D2">
              <w:t>The Health and Wellbeing Working Group, which covers mental health policy</w:t>
            </w:r>
            <w:r w:rsidR="00045BCB">
              <w:t xml:space="preserve"> among other health areas.</w:t>
            </w:r>
          </w:p>
          <w:p w14:paraId="2FFA282B" w14:textId="3C81BC39" w:rsidR="00A354F5" w:rsidRPr="00566F77" w:rsidRDefault="006678D2" w:rsidP="006678D2">
            <w:pPr>
              <w:pStyle w:val="TableBullet2"/>
              <w:cnfStyle w:val="000000010000" w:firstRow="0" w:lastRow="0" w:firstColumn="0" w:lastColumn="0" w:oddVBand="0" w:evenVBand="0" w:oddHBand="0" w:evenHBand="1" w:firstRowFirstColumn="0" w:firstRowLastColumn="0" w:lastRowFirstColumn="0" w:lastRowLastColumn="0"/>
            </w:pPr>
            <w:r w:rsidRPr="006678D2">
              <w:t>The Justice Working Group</w:t>
            </w:r>
            <w:r w:rsidR="00352D8B">
              <w:t>.</w:t>
            </w:r>
            <w:r w:rsidRPr="006678D2">
              <w:t xml:space="preserve">  </w:t>
            </w:r>
          </w:p>
        </w:tc>
        <w:tc>
          <w:tcPr>
            <w:tcW w:w="5665" w:type="dxa"/>
          </w:tcPr>
          <w:p w14:paraId="2DF2B1AB" w14:textId="5353D926" w:rsidR="004F4F66" w:rsidRDefault="004F4F66" w:rsidP="004F4F66">
            <w:pPr>
              <w:pStyle w:val="TableBullet"/>
              <w:cnfStyle w:val="000000010000" w:firstRow="0" w:lastRow="0" w:firstColumn="0" w:lastColumn="0" w:oddVBand="0" w:evenVBand="0" w:oddHBand="0" w:evenHBand="1" w:firstRowFirstColumn="0" w:firstRowLastColumn="0" w:lastRowFirstColumn="0" w:lastRowLastColumn="0"/>
              <w:rPr>
                <w:rFonts w:eastAsiaTheme="minorHAnsi"/>
              </w:rPr>
            </w:pPr>
            <w:r>
              <w:rPr>
                <w:rFonts w:eastAsiaTheme="minorHAnsi"/>
              </w:rPr>
              <w:t>Aims to ensure that government equality initiatives are “underpinned by genuine community consultation”.</w:t>
            </w:r>
          </w:p>
          <w:p w14:paraId="7EA4C506" w14:textId="32AC247F" w:rsidR="00CF486C" w:rsidRPr="00CF486C" w:rsidRDefault="00A354F5" w:rsidP="00CF486C">
            <w:pPr>
              <w:pStyle w:val="TableBullet"/>
              <w:cnfStyle w:val="000000010000" w:firstRow="0" w:lastRow="0" w:firstColumn="0" w:lastColumn="0" w:oddVBand="0" w:evenVBand="0" w:oddHBand="0" w:evenHBand="1" w:firstRowFirstColumn="0" w:firstRowLastColumn="0" w:lastRowFirstColumn="0" w:lastRowLastColumn="0"/>
              <w:rPr>
                <w:rFonts w:eastAsiaTheme="minorHAnsi"/>
              </w:rPr>
            </w:pPr>
            <w:r w:rsidRPr="00A354F5">
              <w:t xml:space="preserve">Sits across multiple policy portfolios, </w:t>
            </w:r>
            <w:r w:rsidR="00CF486C">
              <w:t xml:space="preserve">with targeted advice provided through Working Groups and Expert Advisory Panels. </w:t>
            </w:r>
          </w:p>
        </w:tc>
      </w:tr>
    </w:tbl>
    <w:p w14:paraId="19C0C624" w14:textId="77777777" w:rsidR="00A354F5" w:rsidRDefault="00A354F5" w:rsidP="00A354F5">
      <w:pPr>
        <w:rPr>
          <w:lang w:eastAsia="en-AU"/>
        </w:rPr>
        <w:sectPr w:rsidR="00A354F5" w:rsidSect="00CD06B3">
          <w:footerReference w:type="default" r:id="rId58"/>
          <w:pgSz w:w="16838" w:h="11906" w:orient="landscape" w:code="9"/>
          <w:pgMar w:top="1440" w:right="1440" w:bottom="1440" w:left="1440" w:header="567" w:footer="57" w:gutter="0"/>
          <w:cols w:space="708"/>
          <w:docGrid w:linePitch="360"/>
        </w:sectPr>
      </w:pPr>
    </w:p>
    <w:p w14:paraId="356C0C7F" w14:textId="79DA2D4A" w:rsidR="00B45315" w:rsidRPr="00EA6C33" w:rsidRDefault="00C1356F" w:rsidP="00C2399D">
      <w:pPr>
        <w:pStyle w:val="NbrHeading3"/>
      </w:pPr>
      <w:bookmarkStart w:id="33" w:name="_Toc153899501"/>
      <w:r w:rsidRPr="00EA6C33">
        <w:lastRenderedPageBreak/>
        <w:t>Other</w:t>
      </w:r>
      <w:r w:rsidR="00B45315" w:rsidRPr="00EA6C33">
        <w:t xml:space="preserve"> </w:t>
      </w:r>
      <w:r w:rsidR="00900C25" w:rsidRPr="00C2399D">
        <w:t>p</w:t>
      </w:r>
      <w:r w:rsidR="00B45315" w:rsidRPr="00C2399D">
        <w:t>olicy</w:t>
      </w:r>
      <w:r w:rsidR="00B45315" w:rsidRPr="00EA6C33">
        <w:t xml:space="preserve"> and </w:t>
      </w:r>
      <w:r w:rsidR="00900C25" w:rsidRPr="00EA6C33">
        <w:t>a</w:t>
      </w:r>
      <w:r w:rsidR="00B45315" w:rsidRPr="00EA6C33">
        <w:t>dvocacy document</w:t>
      </w:r>
      <w:r w:rsidR="00AF1672" w:rsidRPr="00EA6C33">
        <w:t>s</w:t>
      </w:r>
      <w:bookmarkEnd w:id="33"/>
    </w:p>
    <w:p w14:paraId="38E65DF4" w14:textId="300A33B6" w:rsidR="0020203D" w:rsidRDefault="0096106A" w:rsidP="0028712D">
      <w:pPr>
        <w:rPr>
          <w:lang w:eastAsia="en-AU"/>
        </w:rPr>
      </w:pPr>
      <w:r>
        <w:rPr>
          <w:lang w:eastAsia="en-AU"/>
        </w:rPr>
        <w:t xml:space="preserve">Peak bodies, </w:t>
      </w:r>
      <w:r w:rsidR="005A310D">
        <w:rPr>
          <w:lang w:eastAsia="en-AU"/>
        </w:rPr>
        <w:t>c</w:t>
      </w:r>
      <w:r w:rsidR="003E1915" w:rsidRPr="00FD0CF0">
        <w:rPr>
          <w:lang w:eastAsia="en-AU"/>
        </w:rPr>
        <w:t>ommunity organisations</w:t>
      </w:r>
      <w:r w:rsidR="00C66D9B" w:rsidRPr="00FD0CF0">
        <w:rPr>
          <w:lang w:eastAsia="en-AU"/>
        </w:rPr>
        <w:t>, education providers</w:t>
      </w:r>
      <w:r w:rsidR="005C5367" w:rsidRPr="00FD0CF0">
        <w:rPr>
          <w:lang w:eastAsia="en-AU"/>
        </w:rPr>
        <w:t xml:space="preserve"> and industry bodies</w:t>
      </w:r>
      <w:r w:rsidR="003E1915" w:rsidRPr="00FD0CF0">
        <w:rPr>
          <w:lang w:eastAsia="en-AU"/>
        </w:rPr>
        <w:t xml:space="preserve"> have </w:t>
      </w:r>
      <w:r w:rsidR="00370826" w:rsidRPr="00FD0CF0">
        <w:rPr>
          <w:lang w:eastAsia="en-AU"/>
        </w:rPr>
        <w:t xml:space="preserve">also </w:t>
      </w:r>
      <w:r w:rsidR="003E1915" w:rsidRPr="00FD0CF0">
        <w:rPr>
          <w:lang w:eastAsia="en-AU"/>
        </w:rPr>
        <w:t xml:space="preserve">invested in </w:t>
      </w:r>
      <w:r>
        <w:rPr>
          <w:lang w:eastAsia="en-AU"/>
        </w:rPr>
        <w:t>a range of policy</w:t>
      </w:r>
      <w:r w:rsidR="005A310D">
        <w:rPr>
          <w:lang w:eastAsia="en-AU"/>
        </w:rPr>
        <w:t>, research,</w:t>
      </w:r>
      <w:r>
        <w:rPr>
          <w:lang w:eastAsia="en-AU"/>
        </w:rPr>
        <w:t xml:space="preserve"> </w:t>
      </w:r>
      <w:r w:rsidR="005A310D">
        <w:rPr>
          <w:lang w:eastAsia="en-AU"/>
        </w:rPr>
        <w:t>advocacy</w:t>
      </w:r>
      <w:r>
        <w:rPr>
          <w:lang w:eastAsia="en-AU"/>
        </w:rPr>
        <w:t xml:space="preserve"> and </w:t>
      </w:r>
      <w:r w:rsidR="005A310D">
        <w:rPr>
          <w:lang w:eastAsia="en-AU"/>
        </w:rPr>
        <w:t>education options</w:t>
      </w:r>
      <w:r>
        <w:rPr>
          <w:lang w:eastAsia="en-AU"/>
        </w:rPr>
        <w:t xml:space="preserve"> </w:t>
      </w:r>
      <w:r w:rsidR="005A310D">
        <w:rPr>
          <w:lang w:eastAsia="en-AU"/>
        </w:rPr>
        <w:t>related to</w:t>
      </w:r>
      <w:r w:rsidR="006024D3">
        <w:rPr>
          <w:lang w:eastAsia="en-AU"/>
        </w:rPr>
        <w:t xml:space="preserve"> LGBT</w:t>
      </w:r>
      <w:r w:rsidR="00D761F6">
        <w:rPr>
          <w:lang w:eastAsia="en-AU"/>
        </w:rPr>
        <w:t>Q</w:t>
      </w:r>
      <w:r w:rsidR="006024D3">
        <w:rPr>
          <w:lang w:eastAsia="en-AU"/>
        </w:rPr>
        <w:t xml:space="preserve">+ mental health and suicide prevention. </w:t>
      </w:r>
      <w:proofErr w:type="gramStart"/>
      <w:r w:rsidR="00223760">
        <w:rPr>
          <w:lang w:eastAsia="en-AU"/>
        </w:rPr>
        <w:t>A number of</w:t>
      </w:r>
      <w:proofErr w:type="gramEnd"/>
      <w:r w:rsidR="00223760">
        <w:rPr>
          <w:lang w:eastAsia="en-AU"/>
        </w:rPr>
        <w:t xml:space="preserve"> </w:t>
      </w:r>
      <w:r w:rsidR="008B084A">
        <w:rPr>
          <w:lang w:eastAsia="en-AU"/>
        </w:rPr>
        <w:t>well-known</w:t>
      </w:r>
      <w:r w:rsidR="00410033">
        <w:rPr>
          <w:lang w:eastAsia="en-AU"/>
        </w:rPr>
        <w:t xml:space="preserve"> </w:t>
      </w:r>
      <w:r w:rsidR="006024D3">
        <w:rPr>
          <w:lang w:eastAsia="en-AU"/>
        </w:rPr>
        <w:t>example</w:t>
      </w:r>
      <w:r w:rsidR="00EC494E">
        <w:rPr>
          <w:lang w:eastAsia="en-AU"/>
        </w:rPr>
        <w:t>s include</w:t>
      </w:r>
      <w:r w:rsidR="0020203D">
        <w:rPr>
          <w:lang w:eastAsia="en-AU"/>
        </w:rPr>
        <w:t>:</w:t>
      </w:r>
    </w:p>
    <w:p w14:paraId="0D28258D" w14:textId="30CA6119" w:rsidR="00B45315" w:rsidRDefault="004F700F" w:rsidP="0020203D">
      <w:pPr>
        <w:pStyle w:val="ListBullet0"/>
      </w:pPr>
      <w:r w:rsidRPr="00C64A08">
        <w:rPr>
          <w:b/>
          <w:bCs/>
        </w:rPr>
        <w:t>LHA</w:t>
      </w:r>
      <w:r w:rsidR="00A34038">
        <w:t xml:space="preserve"> released its </w:t>
      </w:r>
      <w:r w:rsidR="001E61A5">
        <w:t>s</w:t>
      </w:r>
      <w:r w:rsidR="00A34038">
        <w:t xml:space="preserve">econd </w:t>
      </w:r>
      <w:hyperlink r:id="rId59" w:history="1">
        <w:r w:rsidR="00A34038" w:rsidRPr="00957CEC">
          <w:rPr>
            <w:rStyle w:val="Hyperlink"/>
          </w:rPr>
          <w:t xml:space="preserve">National LGBTIQ+ Mental Health and Suicide Prevention </w:t>
        </w:r>
        <w:r w:rsidR="004122E9" w:rsidRPr="00957CEC">
          <w:rPr>
            <w:rStyle w:val="Hyperlink"/>
          </w:rPr>
          <w:t>Strategy</w:t>
        </w:r>
      </w:hyperlink>
      <w:r w:rsidR="004122E9">
        <w:t xml:space="preserve"> </w:t>
      </w:r>
      <w:r w:rsidR="00A34038">
        <w:t>in 2021</w:t>
      </w:r>
      <w:r w:rsidR="00B8291C">
        <w:t>: i</w:t>
      </w:r>
      <w:r w:rsidR="00593637">
        <w:t xml:space="preserve">n addition to setting </w:t>
      </w:r>
      <w:r w:rsidR="004122E9">
        <w:t xml:space="preserve">out the actions LHA will take, the </w:t>
      </w:r>
      <w:r w:rsidR="002F2C3C">
        <w:t>Strategy set</w:t>
      </w:r>
      <w:r w:rsidR="00682B6D">
        <w:t>s</w:t>
      </w:r>
      <w:r w:rsidR="002F2C3C">
        <w:t xml:space="preserve"> out priorities for coordinated action among all </w:t>
      </w:r>
      <w:r w:rsidR="00682B6D">
        <w:t xml:space="preserve">relevant </w:t>
      </w:r>
      <w:r w:rsidR="002F2C3C">
        <w:t>stakeholders</w:t>
      </w:r>
      <w:r w:rsidR="001E61A5">
        <w:t>,</w:t>
      </w:r>
      <w:r w:rsidR="002F2C3C">
        <w:t xml:space="preserve"> including government, service delivery organisations</w:t>
      </w:r>
      <w:r w:rsidR="001E61A5">
        <w:t>,</w:t>
      </w:r>
      <w:r w:rsidR="00682B6D">
        <w:t xml:space="preserve"> and</w:t>
      </w:r>
      <w:r w:rsidR="002F2C3C">
        <w:t xml:space="preserve"> </w:t>
      </w:r>
      <w:r w:rsidR="006032EE">
        <w:t>community organisation</w:t>
      </w:r>
      <w:r w:rsidR="00682B6D">
        <w:t>s, as well as</w:t>
      </w:r>
      <w:r w:rsidR="006032EE">
        <w:t xml:space="preserve"> research and data collection bodies.</w:t>
      </w:r>
      <w:r w:rsidR="006032EE">
        <w:rPr>
          <w:rStyle w:val="FootnoteReference"/>
        </w:rPr>
        <w:footnoteReference w:id="51"/>
      </w:r>
    </w:p>
    <w:p w14:paraId="71D4F4BF" w14:textId="37E53F4E" w:rsidR="00720C4F" w:rsidRDefault="00720C4F" w:rsidP="0020203D">
      <w:pPr>
        <w:pStyle w:val="ListBullet0"/>
      </w:pPr>
      <w:r>
        <w:rPr>
          <w:b/>
          <w:bCs/>
        </w:rPr>
        <w:t xml:space="preserve">LHA </w:t>
      </w:r>
      <w:r w:rsidR="000E4D88">
        <w:rPr>
          <w:b/>
          <w:bCs/>
        </w:rPr>
        <w:t xml:space="preserve">has </w:t>
      </w:r>
      <w:r>
        <w:t xml:space="preserve">also released a </w:t>
      </w:r>
      <w:r w:rsidR="00A73E74">
        <w:t xml:space="preserve">synthesis of </w:t>
      </w:r>
      <w:hyperlink r:id="rId60" w:history="1">
        <w:r w:rsidR="00A73E74" w:rsidRPr="0020610E">
          <w:rPr>
            <w:rStyle w:val="Hyperlink"/>
          </w:rPr>
          <w:t>Current Evidence for Good Practice in Suicide Prevention for LGBTIQ+ People</w:t>
        </w:r>
      </w:hyperlink>
      <w:r w:rsidR="000E4D88">
        <w:t xml:space="preserve">: this </w:t>
      </w:r>
      <w:r w:rsidR="009235E3">
        <w:t xml:space="preserve">report provides an overview of </w:t>
      </w:r>
      <w:r w:rsidR="00CE5EF5">
        <w:t xml:space="preserve">the </w:t>
      </w:r>
      <w:r w:rsidR="009235E3">
        <w:t>evidence</w:t>
      </w:r>
      <w:r w:rsidR="00CE5EF5">
        <w:t xml:space="preserve"> for good practice</w:t>
      </w:r>
      <w:r w:rsidR="009235E3">
        <w:t xml:space="preserve"> from 2010 to 2020, with a focus on peer-reviewed literature released after 2018.</w:t>
      </w:r>
      <w:r w:rsidR="00CE5EF5">
        <w:rPr>
          <w:rStyle w:val="FootnoteReference"/>
        </w:rPr>
        <w:footnoteReference w:id="52"/>
      </w:r>
      <w:r w:rsidR="009235E3">
        <w:t xml:space="preserve"> </w:t>
      </w:r>
    </w:p>
    <w:p w14:paraId="0362E8FB" w14:textId="5EFBC223" w:rsidR="00B66515" w:rsidRDefault="00D740F8" w:rsidP="00C64A08">
      <w:pPr>
        <w:pStyle w:val="ListBullet0"/>
      </w:pPr>
      <w:r w:rsidRPr="00C64A08">
        <w:rPr>
          <w:b/>
          <w:bCs/>
        </w:rPr>
        <w:t>Transcultural</w:t>
      </w:r>
      <w:r w:rsidR="007B1C16" w:rsidRPr="00C64A08">
        <w:rPr>
          <w:b/>
          <w:bCs/>
        </w:rPr>
        <w:t xml:space="preserve"> Mental Health Centre</w:t>
      </w:r>
      <w:r w:rsidR="00946F23">
        <w:t xml:space="preserve">’s </w:t>
      </w:r>
      <w:hyperlink r:id="rId61" w:history="1">
        <w:r w:rsidR="00B66515" w:rsidRPr="00D91AEF">
          <w:rPr>
            <w:rStyle w:val="Hyperlink"/>
          </w:rPr>
          <w:t>LGBTIQ+ People from CALD Communities and Mental Health</w:t>
        </w:r>
      </w:hyperlink>
      <w:r w:rsidR="00D91AEF">
        <w:t xml:space="preserve"> resources, including </w:t>
      </w:r>
      <w:r w:rsidR="005B5E54">
        <w:t>links to terminology, organisations and service</w:t>
      </w:r>
      <w:r w:rsidR="00FC4F49">
        <w:t>, translated resources</w:t>
      </w:r>
      <w:r w:rsidR="00F675D6" w:rsidRPr="00F675D6">
        <w:t>, related articles and resources</w:t>
      </w:r>
      <w:r w:rsidR="001E61A5">
        <w:t>,</w:t>
      </w:r>
      <w:r w:rsidR="00F675D6" w:rsidRPr="00F675D6">
        <w:t xml:space="preserve"> </w:t>
      </w:r>
      <w:r w:rsidR="00FC4F49">
        <w:t>and more.</w:t>
      </w:r>
    </w:p>
    <w:p w14:paraId="1A3C5DC9" w14:textId="6927F95E" w:rsidR="00C66D9B" w:rsidRDefault="00972C97" w:rsidP="00C66D9B">
      <w:pPr>
        <w:pStyle w:val="ListBullet0"/>
      </w:pPr>
      <w:r w:rsidRPr="00C64A08">
        <w:rPr>
          <w:b/>
          <w:bCs/>
        </w:rPr>
        <w:t xml:space="preserve">La Trobe University’s </w:t>
      </w:r>
      <w:r w:rsidR="007C314C" w:rsidRPr="00C64A08">
        <w:rPr>
          <w:b/>
          <w:bCs/>
        </w:rPr>
        <w:t>Rainbow Health Australia Program</w:t>
      </w:r>
      <w:r w:rsidR="007C314C">
        <w:t xml:space="preserve">, including </w:t>
      </w:r>
      <w:hyperlink r:id="rId62" w:history="1">
        <w:r w:rsidR="007C314C" w:rsidRPr="00F675D6">
          <w:rPr>
            <w:rStyle w:val="Hyperlink"/>
          </w:rPr>
          <w:t>Rainbow Tick</w:t>
        </w:r>
      </w:hyperlink>
      <w:r w:rsidR="007C314C" w:rsidRPr="00F675D6">
        <w:t xml:space="preserve"> quality framework and accreditation system for LGBTIQ inclusive service provision</w:t>
      </w:r>
      <w:r w:rsidR="002F2EBD">
        <w:t xml:space="preserve"> in the health and human services sector</w:t>
      </w:r>
      <w:r w:rsidR="007C314C" w:rsidRPr="00F675D6">
        <w:t xml:space="preserve">, </w:t>
      </w:r>
      <w:r w:rsidR="007C314C">
        <w:t xml:space="preserve">along with </w:t>
      </w:r>
      <w:r w:rsidR="00183347">
        <w:t xml:space="preserve">other resources and training programs. </w:t>
      </w:r>
    </w:p>
    <w:p w14:paraId="11AFB62D" w14:textId="36164DB2" w:rsidR="001E738C" w:rsidRDefault="005C5367" w:rsidP="006E619A">
      <w:pPr>
        <w:pStyle w:val="ListBullet0"/>
      </w:pPr>
      <w:r w:rsidRPr="00A62B9F">
        <w:rPr>
          <w:b/>
          <w:bCs/>
        </w:rPr>
        <w:t>Mental Health Coordinating Council</w:t>
      </w:r>
      <w:r w:rsidR="0015375E">
        <w:t xml:space="preserve">’s Mental Health Rights Manual </w:t>
      </w:r>
      <w:r w:rsidR="00EF3B1C">
        <w:t xml:space="preserve">including a section on </w:t>
      </w:r>
      <w:hyperlink r:id="rId63" w:history="1">
        <w:r w:rsidR="00EF3B1C" w:rsidRPr="00496EAC">
          <w:rPr>
            <w:rStyle w:val="Hyperlink"/>
          </w:rPr>
          <w:t>LGBTIQ+</w:t>
        </w:r>
        <w:r w:rsidR="00496EAC">
          <w:rPr>
            <w:rStyle w:val="Hyperlink"/>
          </w:rPr>
          <w:t xml:space="preserve"> </w:t>
        </w:r>
        <w:r w:rsidR="00EF3B1C" w:rsidRPr="00496EAC">
          <w:rPr>
            <w:rStyle w:val="Hyperlink"/>
          </w:rPr>
          <w:t>and mental health conditions</w:t>
        </w:r>
      </w:hyperlink>
      <w:r w:rsidR="00C35C4D">
        <w:t xml:space="preserve"> (2021)</w:t>
      </w:r>
      <w:r w:rsidR="00EF3B1C">
        <w:t xml:space="preserve">, plus its </w:t>
      </w:r>
      <w:r w:rsidR="00DC2D07">
        <w:t xml:space="preserve">2022 </w:t>
      </w:r>
      <w:hyperlink r:id="rId64" w:history="1">
        <w:r w:rsidR="0041001A" w:rsidRPr="00DC2D07">
          <w:rPr>
            <w:rStyle w:val="Hyperlink"/>
          </w:rPr>
          <w:t>Recovery Oriented Language Guide</w:t>
        </w:r>
      </w:hyperlink>
      <w:r w:rsidR="001E61A5" w:rsidRPr="007B5226">
        <w:rPr>
          <w:rStyle w:val="Hyperlink"/>
          <w:color w:val="000000" w:themeColor="text1"/>
          <w:u w:val="none"/>
        </w:rPr>
        <w:t>,</w:t>
      </w:r>
      <w:r w:rsidR="0041001A">
        <w:t xml:space="preserve"> which outlines </w:t>
      </w:r>
      <w:r w:rsidR="00D43DF9">
        <w:t>language and communication principles</w:t>
      </w:r>
      <w:r w:rsidR="001E61A5">
        <w:t>,</w:t>
      </w:r>
      <w:r w:rsidR="00D43DF9">
        <w:t xml:space="preserve"> and best practice related to mental health and suicide prevention, including a dedicated section on LGBTIQ+ people.</w:t>
      </w:r>
      <w:r w:rsidR="00D43DF9">
        <w:rPr>
          <w:rStyle w:val="FootnoteReference"/>
        </w:rPr>
        <w:footnoteReference w:id="53"/>
      </w:r>
      <w:r w:rsidR="00D43DF9">
        <w:t xml:space="preserve"> </w:t>
      </w:r>
    </w:p>
    <w:p w14:paraId="18A04D41" w14:textId="0484DAB7" w:rsidR="00530110" w:rsidRPr="002E36F3" w:rsidRDefault="00534E58" w:rsidP="009B406F">
      <w:pPr>
        <w:pStyle w:val="NbrHeading2"/>
      </w:pPr>
      <w:bookmarkStart w:id="34" w:name="_Toc153899502"/>
      <w:r w:rsidRPr="002E36F3">
        <w:t xml:space="preserve">Australia’s </w:t>
      </w:r>
      <w:r w:rsidR="00530110" w:rsidRPr="002E36F3">
        <w:t xml:space="preserve">Mental Health Services </w:t>
      </w:r>
      <w:r w:rsidR="00C82AF8" w:rsidRPr="002E36F3">
        <w:t>Landscape</w:t>
      </w:r>
      <w:bookmarkEnd w:id="34"/>
    </w:p>
    <w:p w14:paraId="3EBE9A4C" w14:textId="52C9C572" w:rsidR="00D86D63" w:rsidRDefault="00A36D09" w:rsidP="00D86D63">
      <w:proofErr w:type="gramStart"/>
      <w:r>
        <w:t>Similar</w:t>
      </w:r>
      <w:r w:rsidR="00D86D63">
        <w:t xml:space="preserve"> to</w:t>
      </w:r>
      <w:proofErr w:type="gramEnd"/>
      <w:r w:rsidR="00D86D63">
        <w:t xml:space="preserve"> the legal and policy landscape that exists across Australia</w:t>
      </w:r>
      <w:r w:rsidR="006C4B6E">
        <w:t xml:space="preserve"> (see above)</w:t>
      </w:r>
      <w:r w:rsidR="00D86D63">
        <w:t>, the mental health service system that LGBT</w:t>
      </w:r>
      <w:r w:rsidR="008D71E0">
        <w:t>Q</w:t>
      </w:r>
      <w:r w:rsidR="00D86D63">
        <w:t>+ people interface with on a daily basis is complex. There are numerous</w:t>
      </w:r>
      <w:r w:rsidR="00E21347">
        <w:t xml:space="preserve"> </w:t>
      </w:r>
      <w:r w:rsidR="00D86D63">
        <w:t xml:space="preserve">pathways, types of professionals and support options that </w:t>
      </w:r>
      <w:r w:rsidR="00B93CA2">
        <w:t xml:space="preserve">any one individual or group might </w:t>
      </w:r>
      <w:r w:rsidR="003F3DA4">
        <w:t>intersect with</w:t>
      </w:r>
      <w:r w:rsidR="00284BE0">
        <w:t xml:space="preserve">, ranging from </w:t>
      </w:r>
      <w:r w:rsidR="00164A8D">
        <w:t xml:space="preserve">the </w:t>
      </w:r>
      <w:r w:rsidR="00284BE0">
        <w:t xml:space="preserve">mainstream </w:t>
      </w:r>
      <w:r w:rsidR="00164A8D">
        <w:t xml:space="preserve">public health system, through </w:t>
      </w:r>
      <w:r w:rsidR="00284BE0">
        <w:t>to</w:t>
      </w:r>
      <w:r w:rsidR="00E21347">
        <w:t xml:space="preserve"> </w:t>
      </w:r>
      <w:r w:rsidR="00164A8D">
        <w:t>private clinical or community support options</w:t>
      </w:r>
      <w:r w:rsidR="00FC42E9">
        <w:t>.</w:t>
      </w:r>
      <w:r w:rsidR="00E21347">
        <w:t xml:space="preserve"> </w:t>
      </w:r>
    </w:p>
    <w:p w14:paraId="7AA904C9" w14:textId="2EC9A376" w:rsidR="005F729F" w:rsidRPr="002E36F3" w:rsidRDefault="005F729F" w:rsidP="005F729F">
      <w:r w:rsidRPr="002E36F3">
        <w:t xml:space="preserve">Most of the mental health, wellbeing, and suicide prevention services available are designed for the general community (referred to as ‘mainstream services’). </w:t>
      </w:r>
      <w:r w:rsidR="001E61A5">
        <w:t>However,</w:t>
      </w:r>
      <w:r w:rsidRPr="002E36F3">
        <w:t xml:space="preserve"> there is also a </w:t>
      </w:r>
      <w:r w:rsidRPr="002E36F3">
        <w:lastRenderedPageBreak/>
        <w:t>patchwork of services which are specifically designed for, and often delivered by, LGBTQ+ people (referred to as ‘LGBTQ+ specialist services</w:t>
      </w:r>
      <w:r w:rsidR="00BF1DE3" w:rsidRPr="002E36F3">
        <w:t>).</w:t>
      </w:r>
    </w:p>
    <w:p w14:paraId="0AC04E1D" w14:textId="04A14497" w:rsidR="002E36F3" w:rsidRDefault="008F0BCB" w:rsidP="00D86604">
      <w:r w:rsidRPr="002E36F3">
        <w:t>This section provide</w:t>
      </w:r>
      <w:r w:rsidR="002E36F3" w:rsidRPr="002E36F3">
        <w:t>s</w:t>
      </w:r>
      <w:r w:rsidRPr="002E36F3">
        <w:t xml:space="preserve"> a general overview of the funding and administration of mental health services in Australia </w:t>
      </w:r>
      <w:r w:rsidR="00BF1DE3" w:rsidRPr="002E36F3">
        <w:t>(Section 3.4.1)</w:t>
      </w:r>
      <w:r w:rsidR="001E61A5">
        <w:t>,</w:t>
      </w:r>
      <w:r w:rsidR="00BF1DE3" w:rsidRPr="002E36F3">
        <w:t xml:space="preserve"> </w:t>
      </w:r>
      <w:r w:rsidRPr="002E36F3">
        <w:t xml:space="preserve">and the </w:t>
      </w:r>
      <w:r w:rsidR="00BF1DE3" w:rsidRPr="002E36F3">
        <w:t xml:space="preserve">mainstream mental health services that LGBTQ+ interface with (Section 3.4.2), before summarising the variety of LGBTQ+ specific services available (Section 3.4.3). </w:t>
      </w:r>
    </w:p>
    <w:p w14:paraId="7D90B056" w14:textId="0E816B01" w:rsidR="00D86604" w:rsidRDefault="00D86604" w:rsidP="00D86604">
      <w:r w:rsidRPr="002E36F3">
        <w:t>It should be noted that some of what follows</w:t>
      </w:r>
      <w:r w:rsidRPr="008B084A">
        <w:t xml:space="preserve"> may not fully align with recent policy initiatives outlined above, as they are still in the process of being implemented.</w:t>
      </w:r>
      <w:r>
        <w:t xml:space="preserve">  </w:t>
      </w:r>
    </w:p>
    <w:p w14:paraId="22F2738C" w14:textId="4CCC0C20" w:rsidR="000544E8" w:rsidRPr="000544E8" w:rsidRDefault="00D8491F" w:rsidP="009B406F">
      <w:pPr>
        <w:pStyle w:val="NbrHeading3"/>
      </w:pPr>
      <w:bookmarkStart w:id="35" w:name="_Toc149549968"/>
      <w:bookmarkStart w:id="36" w:name="_Toc153899503"/>
      <w:bookmarkEnd w:id="35"/>
      <w:r>
        <w:t xml:space="preserve">Service </w:t>
      </w:r>
      <w:r w:rsidR="000544E8" w:rsidRPr="000544E8">
        <w:t>Funding and Administration</w:t>
      </w:r>
      <w:bookmarkEnd w:id="36"/>
      <w:r w:rsidR="000544E8" w:rsidRPr="000544E8">
        <w:t xml:space="preserve"> </w:t>
      </w:r>
    </w:p>
    <w:p w14:paraId="4A478332" w14:textId="77777777" w:rsidR="003A7B21" w:rsidRDefault="003A7B21" w:rsidP="003A7B21">
      <w:pPr>
        <w:rPr>
          <w:rFonts w:cs="Times New Roman"/>
          <w:color w:val="000000" w:themeColor="text1"/>
          <w:szCs w:val="20"/>
        </w:rPr>
      </w:pPr>
      <w:r w:rsidRPr="004D1CFD">
        <w:rPr>
          <w:rFonts w:cs="Times New Roman"/>
          <w:color w:val="000000" w:themeColor="text1"/>
          <w:szCs w:val="20"/>
        </w:rPr>
        <w:t xml:space="preserve">Although Australia is increasingly taking a “cross-portfolio approach” to </w:t>
      </w:r>
      <w:r>
        <w:rPr>
          <w:rFonts w:cs="Times New Roman"/>
          <w:color w:val="000000" w:themeColor="text1"/>
          <w:szCs w:val="20"/>
        </w:rPr>
        <w:t xml:space="preserve">supporting </w:t>
      </w:r>
      <w:r w:rsidRPr="004D1CFD">
        <w:rPr>
          <w:rFonts w:cs="Times New Roman"/>
          <w:color w:val="000000" w:themeColor="text1"/>
          <w:szCs w:val="20"/>
        </w:rPr>
        <w:t xml:space="preserve">mental health, responsibility for the funding and administration of mental health-specific services </w:t>
      </w:r>
      <w:r>
        <w:rPr>
          <w:rFonts w:cs="Times New Roman"/>
          <w:color w:val="000000" w:themeColor="text1"/>
          <w:szCs w:val="20"/>
        </w:rPr>
        <w:t>currently sits primarily with</w:t>
      </w:r>
      <w:r w:rsidRPr="004D1CFD">
        <w:rPr>
          <w:rFonts w:cs="Times New Roman"/>
          <w:color w:val="000000" w:themeColor="text1"/>
          <w:szCs w:val="20"/>
        </w:rPr>
        <w:t xml:space="preserve"> the Commonwealth Department of Health</w:t>
      </w:r>
      <w:r>
        <w:rPr>
          <w:rFonts w:cs="Times New Roman"/>
          <w:color w:val="000000" w:themeColor="text1"/>
          <w:szCs w:val="20"/>
        </w:rPr>
        <w:t xml:space="preserve"> </w:t>
      </w:r>
      <w:r w:rsidRPr="004D1CFD">
        <w:rPr>
          <w:rFonts w:cs="Times New Roman"/>
          <w:color w:val="000000" w:themeColor="text1"/>
          <w:szCs w:val="20"/>
        </w:rPr>
        <w:t xml:space="preserve">and </w:t>
      </w:r>
      <w:r w:rsidR="003D6031">
        <w:rPr>
          <w:rFonts w:cs="Times New Roman"/>
          <w:color w:val="000000" w:themeColor="text1"/>
          <w:szCs w:val="20"/>
        </w:rPr>
        <w:t>Aged Care</w:t>
      </w:r>
      <w:r>
        <w:rPr>
          <w:rFonts w:cs="Times New Roman"/>
          <w:color w:val="000000" w:themeColor="text1"/>
          <w:szCs w:val="20"/>
        </w:rPr>
        <w:t xml:space="preserve"> </w:t>
      </w:r>
      <w:r w:rsidRPr="004D1CFD">
        <w:rPr>
          <w:rFonts w:cs="Times New Roman"/>
          <w:color w:val="000000" w:themeColor="text1"/>
          <w:szCs w:val="20"/>
        </w:rPr>
        <w:t>and its counterparts within state and territory governments.</w:t>
      </w:r>
      <w:r w:rsidRPr="004D1CFD">
        <w:rPr>
          <w:rFonts w:cs="Times New Roman"/>
          <w:color w:val="000000" w:themeColor="text1"/>
          <w:szCs w:val="20"/>
          <w:vertAlign w:val="superscript"/>
        </w:rPr>
        <w:footnoteReference w:id="54"/>
      </w:r>
      <w:r>
        <w:rPr>
          <w:rFonts w:cs="Times New Roman"/>
          <w:color w:val="000000" w:themeColor="text1"/>
          <w:szCs w:val="20"/>
        </w:rPr>
        <w:t xml:space="preserve"> </w:t>
      </w:r>
      <w:r w:rsidR="00AE2235">
        <w:rPr>
          <w:rFonts w:cs="Times New Roman"/>
          <w:color w:val="000000" w:themeColor="text1"/>
          <w:szCs w:val="20"/>
        </w:rPr>
        <w:t>Funding</w:t>
      </w:r>
      <w:r w:rsidRPr="004D1CFD">
        <w:rPr>
          <w:rFonts w:cs="Times New Roman"/>
          <w:color w:val="000000" w:themeColor="text1"/>
          <w:szCs w:val="20"/>
        </w:rPr>
        <w:t xml:space="preserve"> for services </w:t>
      </w:r>
      <w:r>
        <w:rPr>
          <w:rFonts w:cs="Times New Roman"/>
          <w:color w:val="000000" w:themeColor="text1"/>
          <w:szCs w:val="20"/>
        </w:rPr>
        <w:t>that target</w:t>
      </w:r>
      <w:r w:rsidRPr="004D1CFD">
        <w:rPr>
          <w:rFonts w:cs="Times New Roman"/>
          <w:color w:val="000000" w:themeColor="text1"/>
          <w:szCs w:val="20"/>
        </w:rPr>
        <w:t xml:space="preserve"> specific consumer groups are in some cases administered by their relevant agency: for example, the Department of Veteran’s Affairs administers funding for mental health services and prescription medications for veterans, though this funding is provided by </w:t>
      </w:r>
      <w:r>
        <w:rPr>
          <w:rFonts w:cs="Times New Roman"/>
          <w:color w:val="000000" w:themeColor="text1"/>
          <w:szCs w:val="20"/>
        </w:rPr>
        <w:t>the Department of Health</w:t>
      </w:r>
      <w:r w:rsidR="0098383D">
        <w:rPr>
          <w:rFonts w:cs="Times New Roman"/>
          <w:color w:val="000000" w:themeColor="text1"/>
          <w:szCs w:val="20"/>
        </w:rPr>
        <w:t xml:space="preserve"> and Aged Care</w:t>
      </w:r>
      <w:r w:rsidRPr="00BE1D36">
        <w:rPr>
          <w:rFonts w:cs="Times New Roman"/>
          <w:color w:val="000000" w:themeColor="text1"/>
          <w:szCs w:val="20"/>
        </w:rPr>
        <w:t>.</w:t>
      </w:r>
      <w:r w:rsidRPr="00BE1D36">
        <w:rPr>
          <w:rFonts w:cs="Times New Roman"/>
          <w:color w:val="000000" w:themeColor="text1"/>
          <w:szCs w:val="20"/>
          <w:vertAlign w:val="superscript"/>
        </w:rPr>
        <w:footnoteReference w:id="55"/>
      </w:r>
      <w:r w:rsidRPr="00BE1D36">
        <w:rPr>
          <w:rFonts w:cs="Times New Roman"/>
          <w:color w:val="000000" w:themeColor="text1"/>
          <w:szCs w:val="20"/>
        </w:rPr>
        <w:t xml:space="preserve"> </w:t>
      </w:r>
    </w:p>
    <w:p w14:paraId="30DEE181" w14:textId="563A0075" w:rsidR="00DD5B30" w:rsidRDefault="000544E8" w:rsidP="000544E8">
      <w:pPr>
        <w:rPr>
          <w:rFonts w:cs="Times New Roman"/>
          <w:color w:val="000000" w:themeColor="text1"/>
        </w:rPr>
      </w:pPr>
      <w:r w:rsidRPr="1DDD8BFA">
        <w:rPr>
          <w:rFonts w:cs="Times New Roman"/>
          <w:color w:val="000000" w:themeColor="text1"/>
        </w:rPr>
        <w:t xml:space="preserve">While different levels of government provide funding for different mental health and related services, it is currently estimated that </w:t>
      </w:r>
      <w:r w:rsidR="007E794C">
        <w:rPr>
          <w:rFonts w:cs="Times New Roman"/>
          <w:color w:val="000000" w:themeColor="text1"/>
        </w:rPr>
        <w:t xml:space="preserve">spending </w:t>
      </w:r>
      <w:r w:rsidRPr="1DDD8BFA">
        <w:rPr>
          <w:rFonts w:cs="Times New Roman"/>
          <w:color w:val="000000" w:themeColor="text1"/>
        </w:rPr>
        <w:t>from state and territory governments account for roughly two-thirds of Australia’s annual expenditure on mental health.</w:t>
      </w:r>
      <w:r w:rsidRPr="1DDD8BFA">
        <w:rPr>
          <w:rStyle w:val="FootnoteReference"/>
          <w:rFonts w:cs="Times New Roman"/>
          <w:color w:val="000000" w:themeColor="text1"/>
        </w:rPr>
        <w:footnoteReference w:id="56"/>
      </w:r>
      <w:r w:rsidRPr="1DDD8BFA">
        <w:rPr>
          <w:rFonts w:cs="Times New Roman"/>
          <w:color w:val="000000" w:themeColor="text1"/>
        </w:rPr>
        <w:t xml:space="preserve"> </w:t>
      </w:r>
      <w:r w:rsidR="000D767E">
        <w:rPr>
          <w:rFonts w:cs="Times New Roman"/>
          <w:color w:val="000000" w:themeColor="text1"/>
        </w:rPr>
        <w:t xml:space="preserve">Much of this funding is linked to the </w:t>
      </w:r>
      <w:r w:rsidR="00D03ADC">
        <w:rPr>
          <w:rFonts w:cs="Times New Roman"/>
          <w:color w:val="000000" w:themeColor="text1"/>
        </w:rPr>
        <w:t xml:space="preserve">National Mental Health </w:t>
      </w:r>
      <w:r w:rsidR="00F417C7">
        <w:rPr>
          <w:rFonts w:cs="Times New Roman"/>
          <w:color w:val="000000" w:themeColor="text1"/>
        </w:rPr>
        <w:t xml:space="preserve">Bi-Lateral </w:t>
      </w:r>
      <w:r w:rsidR="00D03ADC">
        <w:rPr>
          <w:rFonts w:cs="Times New Roman"/>
          <w:color w:val="000000" w:themeColor="text1"/>
        </w:rPr>
        <w:t xml:space="preserve">Agreements </w:t>
      </w:r>
      <w:r w:rsidR="00277352">
        <w:rPr>
          <w:rFonts w:cs="Times New Roman"/>
          <w:color w:val="000000" w:themeColor="text1"/>
        </w:rPr>
        <w:t xml:space="preserve">described in Section </w:t>
      </w:r>
      <w:r w:rsidR="00F417C7">
        <w:rPr>
          <w:rFonts w:cs="Times New Roman"/>
          <w:color w:val="000000" w:themeColor="text1"/>
        </w:rPr>
        <w:t>2.1.4</w:t>
      </w:r>
      <w:r w:rsidR="00370AA8">
        <w:rPr>
          <w:rFonts w:cs="Times New Roman"/>
          <w:color w:val="000000" w:themeColor="text1"/>
        </w:rPr>
        <w:t>, with curr</w:t>
      </w:r>
      <w:r w:rsidR="003B5AC6">
        <w:rPr>
          <w:rFonts w:cs="Times New Roman"/>
          <w:color w:val="000000" w:themeColor="text1"/>
        </w:rPr>
        <w:t xml:space="preserve">ent allocations listed in </w:t>
      </w:r>
      <w:r w:rsidR="00391E8D" w:rsidRPr="00391E8D">
        <w:rPr>
          <w:rFonts w:cs="Times New Roman"/>
          <w:color w:val="000000" w:themeColor="text1"/>
        </w:rPr>
        <w:t>Attachment 3</w:t>
      </w:r>
      <w:r w:rsidR="003B5AC6" w:rsidRPr="00391E8D">
        <w:rPr>
          <w:rFonts w:cs="Times New Roman"/>
          <w:color w:val="000000" w:themeColor="text1"/>
        </w:rPr>
        <w:t>.</w:t>
      </w:r>
    </w:p>
    <w:p w14:paraId="3480FDFD" w14:textId="3109779B" w:rsidR="000544E8" w:rsidRDefault="00822476" w:rsidP="000544E8">
      <w:pPr>
        <w:rPr>
          <w:rFonts w:cs="Times New Roman"/>
          <w:color w:val="000000" w:themeColor="text1"/>
        </w:rPr>
      </w:pPr>
      <w:r>
        <w:rPr>
          <w:rFonts w:cs="Times New Roman"/>
          <w:color w:val="000000" w:themeColor="text1"/>
        </w:rPr>
        <w:t xml:space="preserve">Further, </w:t>
      </w:r>
      <w:r w:rsidR="00667723">
        <w:rPr>
          <w:rFonts w:cs="Times New Roman"/>
          <w:color w:val="000000" w:themeColor="text1"/>
        </w:rPr>
        <w:t>s</w:t>
      </w:r>
      <w:r w:rsidR="00667723" w:rsidRPr="1DDD8BFA">
        <w:rPr>
          <w:rFonts w:cs="Times New Roman"/>
          <w:color w:val="000000" w:themeColor="text1"/>
        </w:rPr>
        <w:t xml:space="preserve">tate </w:t>
      </w:r>
      <w:r w:rsidR="000544E8" w:rsidRPr="1DDD8BFA">
        <w:rPr>
          <w:rFonts w:cs="Times New Roman"/>
          <w:color w:val="000000" w:themeColor="text1"/>
        </w:rPr>
        <w:t xml:space="preserve">and </w:t>
      </w:r>
      <w:r w:rsidR="00667723">
        <w:rPr>
          <w:rFonts w:cs="Times New Roman"/>
          <w:color w:val="000000" w:themeColor="text1"/>
        </w:rPr>
        <w:t>t</w:t>
      </w:r>
      <w:r w:rsidR="00667723" w:rsidRPr="1DDD8BFA">
        <w:rPr>
          <w:rFonts w:cs="Times New Roman"/>
          <w:color w:val="000000" w:themeColor="text1"/>
        </w:rPr>
        <w:t xml:space="preserve">erritory </w:t>
      </w:r>
      <w:r w:rsidR="000544E8" w:rsidRPr="1DDD8BFA">
        <w:rPr>
          <w:rFonts w:cs="Times New Roman"/>
          <w:color w:val="000000" w:themeColor="text1"/>
        </w:rPr>
        <w:t>governments generally have responsibility for funding residential mental health care and some community-based mental health services, as well as specific initiatives.</w:t>
      </w:r>
      <w:r w:rsidR="000544E8" w:rsidRPr="1DDD8BFA">
        <w:rPr>
          <w:rStyle w:val="FootnoteReference"/>
          <w:rFonts w:cs="Times New Roman"/>
          <w:color w:val="000000" w:themeColor="text1"/>
        </w:rPr>
        <w:footnoteReference w:id="57"/>
      </w:r>
      <w:r>
        <w:rPr>
          <w:rFonts w:cs="Times New Roman"/>
          <w:color w:val="000000" w:themeColor="text1"/>
        </w:rPr>
        <w:t xml:space="preserve"> </w:t>
      </w:r>
    </w:p>
    <w:p w14:paraId="539CB12B" w14:textId="4D4CF7E4" w:rsidR="00D7106D" w:rsidRDefault="003A7B21" w:rsidP="003A7B21">
      <w:pPr>
        <w:rPr>
          <w:rFonts w:cs="Times New Roman"/>
          <w:color w:val="000000" w:themeColor="text1"/>
          <w:szCs w:val="20"/>
        </w:rPr>
      </w:pPr>
      <w:r>
        <w:rPr>
          <w:rFonts w:cs="Times New Roman"/>
          <w:color w:val="000000" w:themeColor="text1"/>
          <w:szCs w:val="20"/>
        </w:rPr>
        <w:t>T</w:t>
      </w:r>
      <w:r w:rsidRPr="00BE1D36">
        <w:rPr>
          <w:rFonts w:cs="Times New Roman"/>
          <w:color w:val="000000" w:themeColor="text1"/>
          <w:szCs w:val="20"/>
        </w:rPr>
        <w:t>he</w:t>
      </w:r>
      <w:r>
        <w:rPr>
          <w:rFonts w:cs="Times New Roman"/>
          <w:color w:val="000000" w:themeColor="text1"/>
          <w:szCs w:val="20"/>
        </w:rPr>
        <w:t xml:space="preserve"> Commonwealth Government is primarily responsible for subsidising mental health treatment through the Medicare Benefits Scheme </w:t>
      </w:r>
      <w:r w:rsidRPr="00BE1D36">
        <w:rPr>
          <w:rFonts w:cs="Times New Roman"/>
          <w:color w:val="000000" w:themeColor="text1"/>
          <w:szCs w:val="20"/>
        </w:rPr>
        <w:t>(MBS)</w:t>
      </w:r>
      <w:r>
        <w:rPr>
          <w:rFonts w:cs="Times New Roman"/>
          <w:color w:val="000000" w:themeColor="text1"/>
          <w:szCs w:val="20"/>
        </w:rPr>
        <w:t xml:space="preserve">, the </w:t>
      </w:r>
      <w:r w:rsidRPr="00E24007">
        <w:rPr>
          <w:rFonts w:cs="Times New Roman"/>
          <w:color w:val="000000" w:themeColor="text1"/>
          <w:szCs w:val="20"/>
        </w:rPr>
        <w:t xml:space="preserve">Pharmaceutical Benefits Scheme </w:t>
      </w:r>
      <w:r w:rsidRPr="00BE1D36">
        <w:rPr>
          <w:rFonts w:cs="Times New Roman"/>
          <w:color w:val="000000" w:themeColor="text1"/>
          <w:szCs w:val="20"/>
        </w:rPr>
        <w:t>(PBS)</w:t>
      </w:r>
      <w:r w:rsidR="00667723">
        <w:rPr>
          <w:rFonts w:cs="Times New Roman"/>
          <w:color w:val="000000" w:themeColor="text1"/>
          <w:szCs w:val="20"/>
        </w:rPr>
        <w:t>,</w:t>
      </w:r>
      <w:r w:rsidRPr="00E24007">
        <w:rPr>
          <w:rFonts w:cs="Times New Roman"/>
          <w:color w:val="000000" w:themeColor="text1"/>
          <w:szCs w:val="20"/>
        </w:rPr>
        <w:t xml:space="preserve"> and</w:t>
      </w:r>
      <w:r>
        <w:rPr>
          <w:rFonts w:cs="Times New Roman"/>
          <w:color w:val="000000" w:themeColor="text1"/>
          <w:szCs w:val="20"/>
        </w:rPr>
        <w:t xml:space="preserve"> the</w:t>
      </w:r>
      <w:r w:rsidRPr="00E24007">
        <w:rPr>
          <w:rFonts w:cs="Times New Roman"/>
          <w:color w:val="000000" w:themeColor="text1"/>
          <w:szCs w:val="20"/>
        </w:rPr>
        <w:t xml:space="preserve"> Repatriation Pharmaceutical Benefits Scheme </w:t>
      </w:r>
      <w:r w:rsidRPr="00BE1D36">
        <w:rPr>
          <w:rFonts w:cs="Times New Roman"/>
          <w:color w:val="000000" w:themeColor="text1"/>
          <w:szCs w:val="20"/>
        </w:rPr>
        <w:t>(RPBS)</w:t>
      </w:r>
      <w:r>
        <w:rPr>
          <w:rFonts w:cs="Times New Roman"/>
          <w:color w:val="000000" w:themeColor="text1"/>
          <w:szCs w:val="20"/>
        </w:rPr>
        <w:t>. The Commonwealth Government additionally funds mental health-related services, such as the National Psychosocial Support Measure, through Primary Health Networks</w:t>
      </w:r>
      <w:r w:rsidR="005E7D1D">
        <w:rPr>
          <w:rFonts w:cs="Times New Roman"/>
          <w:color w:val="000000" w:themeColor="text1"/>
          <w:szCs w:val="20"/>
        </w:rPr>
        <w:t xml:space="preserve"> (PHN)</w:t>
      </w:r>
      <w:r>
        <w:rPr>
          <w:rFonts w:cs="Times New Roman"/>
          <w:color w:val="000000" w:themeColor="text1"/>
          <w:szCs w:val="20"/>
        </w:rPr>
        <w:t xml:space="preserve"> and through specific initiatives</w:t>
      </w:r>
      <w:r w:rsidR="00667723">
        <w:rPr>
          <w:rFonts w:cs="Times New Roman"/>
          <w:color w:val="000000" w:themeColor="text1"/>
          <w:szCs w:val="20"/>
        </w:rPr>
        <w:t>,</w:t>
      </w:r>
      <w:r>
        <w:rPr>
          <w:rFonts w:cs="Times New Roman"/>
          <w:color w:val="000000" w:themeColor="text1"/>
          <w:szCs w:val="20"/>
        </w:rPr>
        <w:t xml:space="preserve"> such as Headspace.</w:t>
      </w:r>
    </w:p>
    <w:p w14:paraId="3D45ABCB" w14:textId="13E02AFC" w:rsidR="003A7B21" w:rsidRDefault="003A7B21" w:rsidP="003A7B21">
      <w:pPr>
        <w:rPr>
          <w:rFonts w:cs="Times New Roman"/>
          <w:color w:val="000000" w:themeColor="text1"/>
          <w:szCs w:val="20"/>
        </w:rPr>
      </w:pPr>
      <w:r>
        <w:rPr>
          <w:rFonts w:cs="Times New Roman"/>
          <w:color w:val="000000" w:themeColor="text1"/>
          <w:szCs w:val="20"/>
        </w:rPr>
        <w:t xml:space="preserve">In addition, a number of services receive joint Commonwealth-State funding, such as: mental health services provided through public hospital, crisis support services (e.g., Lifeline </w:t>
      </w:r>
      <w:r>
        <w:rPr>
          <w:rFonts w:cs="Times New Roman"/>
          <w:color w:val="000000" w:themeColor="text1"/>
          <w:szCs w:val="20"/>
        </w:rPr>
        <w:lastRenderedPageBreak/>
        <w:t>and Beyond Blue), and psychosocial support services provided through the NDIS.</w:t>
      </w:r>
      <w:r w:rsidRPr="004D1CFD">
        <w:rPr>
          <w:rFonts w:cs="Times New Roman"/>
          <w:color w:val="000000" w:themeColor="text1"/>
          <w:szCs w:val="20"/>
          <w:vertAlign w:val="superscript"/>
        </w:rPr>
        <w:footnoteReference w:id="58"/>
      </w:r>
      <w:r>
        <w:rPr>
          <w:rFonts w:cs="Times New Roman"/>
          <w:color w:val="000000" w:themeColor="text1"/>
          <w:szCs w:val="20"/>
        </w:rPr>
        <w:t xml:space="preserve"> Further, Commonwealth, </w:t>
      </w:r>
      <w:r w:rsidR="00667723">
        <w:rPr>
          <w:rFonts w:cs="Times New Roman"/>
          <w:color w:val="000000" w:themeColor="text1"/>
          <w:szCs w:val="20"/>
        </w:rPr>
        <w:t>state,</w:t>
      </w:r>
      <w:r>
        <w:rPr>
          <w:rFonts w:cs="Times New Roman"/>
          <w:color w:val="000000" w:themeColor="text1"/>
          <w:szCs w:val="20"/>
        </w:rPr>
        <w:t xml:space="preserve"> and </w:t>
      </w:r>
      <w:r w:rsidR="00667723">
        <w:rPr>
          <w:rFonts w:cs="Times New Roman"/>
          <w:color w:val="000000" w:themeColor="text1"/>
          <w:szCs w:val="20"/>
        </w:rPr>
        <w:t xml:space="preserve">territory </w:t>
      </w:r>
      <w:r>
        <w:rPr>
          <w:rFonts w:cs="Times New Roman"/>
          <w:color w:val="000000" w:themeColor="text1"/>
          <w:szCs w:val="20"/>
        </w:rPr>
        <w:t>governments are jointly responsible for the a</w:t>
      </w:r>
      <w:r w:rsidRPr="004D1CFD">
        <w:rPr>
          <w:rFonts w:cs="Times New Roman"/>
          <w:color w:val="000000" w:themeColor="text1"/>
          <w:szCs w:val="20"/>
        </w:rPr>
        <w:t>ccreditation and registration of mental health professionals through the Australian Health Practitioner Regulation Agency</w:t>
      </w:r>
      <w:r w:rsidR="00646B7D">
        <w:rPr>
          <w:rFonts w:cs="Times New Roman"/>
          <w:color w:val="000000" w:themeColor="text1"/>
          <w:szCs w:val="20"/>
        </w:rPr>
        <w:t>.</w:t>
      </w:r>
    </w:p>
    <w:p w14:paraId="34DC572D" w14:textId="77777777" w:rsidR="0095321D" w:rsidRPr="008548CA" w:rsidRDefault="003A7B21" w:rsidP="008548CA">
      <w:r w:rsidRPr="008548CA">
        <w:t xml:space="preserve">Non-government organisations and private providers are </w:t>
      </w:r>
      <w:r w:rsidR="00636309" w:rsidRPr="008548CA">
        <w:t>also</w:t>
      </w:r>
      <w:r w:rsidRPr="008548CA">
        <w:t xml:space="preserve"> often contracted by government bodies to deliver various services, such as psychosocial support programs, in addition to their independent service delivery, research and advocacy work. </w:t>
      </w:r>
    </w:p>
    <w:p w14:paraId="4EAA2973" w14:textId="40B6C844" w:rsidR="00C74633" w:rsidRPr="00111D92" w:rsidRDefault="00E41FD9" w:rsidP="009B406F">
      <w:pPr>
        <w:pStyle w:val="NbrHeading4"/>
      </w:pPr>
      <w:bookmarkStart w:id="37" w:name="_Toc153899504"/>
      <w:r>
        <w:t>Mainstream</w:t>
      </w:r>
      <w:r w:rsidR="00D0183A">
        <w:t xml:space="preserve"> </w:t>
      </w:r>
      <w:r w:rsidR="002F3F1C">
        <w:t>mental health</w:t>
      </w:r>
      <w:r w:rsidR="00D0183A">
        <w:t xml:space="preserve"> services</w:t>
      </w:r>
      <w:bookmarkEnd w:id="37"/>
      <w:r w:rsidR="000137A4" w:rsidRPr="00111D92">
        <w:t xml:space="preserve"> </w:t>
      </w:r>
    </w:p>
    <w:p w14:paraId="1E8AA858" w14:textId="7AFCC7C0" w:rsidR="00A34804" w:rsidRPr="008548CA" w:rsidRDefault="00A34804" w:rsidP="008548CA">
      <w:r w:rsidRPr="008548CA">
        <w:t xml:space="preserve">The </w:t>
      </w:r>
      <w:r w:rsidR="00CF5BE6" w:rsidRPr="008548CA">
        <w:t>majority</w:t>
      </w:r>
      <w:r w:rsidRPr="008548CA">
        <w:t xml:space="preserve"> of </w:t>
      </w:r>
      <w:r w:rsidR="000F6FCA" w:rsidRPr="008548CA">
        <w:t>mainstream</w:t>
      </w:r>
      <w:r w:rsidR="0012414A" w:rsidRPr="008548CA">
        <w:t xml:space="preserve"> </w:t>
      </w:r>
      <w:r w:rsidR="00A36D09" w:rsidRPr="008548CA">
        <w:t>(i.e.</w:t>
      </w:r>
      <w:r w:rsidR="00667723" w:rsidRPr="008548CA">
        <w:t>,</w:t>
      </w:r>
      <w:r w:rsidR="00A36D09" w:rsidRPr="008548CA">
        <w:t xml:space="preserve"> </w:t>
      </w:r>
      <w:r w:rsidR="0012414A" w:rsidRPr="008548CA">
        <w:t>not LGB</w:t>
      </w:r>
      <w:r w:rsidR="00A03A9D" w:rsidRPr="008548CA">
        <w:t>TQ+ specific</w:t>
      </w:r>
      <w:r w:rsidR="00A36D09" w:rsidRPr="008548CA">
        <w:t xml:space="preserve">) </w:t>
      </w:r>
      <w:r w:rsidRPr="008548CA">
        <w:t xml:space="preserve">mental health services </w:t>
      </w:r>
      <w:r w:rsidR="001D60C0" w:rsidRPr="008548CA">
        <w:t>i</w:t>
      </w:r>
      <w:r w:rsidRPr="008548CA">
        <w:t xml:space="preserve">n Australia </w:t>
      </w:r>
      <w:r w:rsidR="00CF5BE6" w:rsidRPr="008548CA">
        <w:t>can be</w:t>
      </w:r>
      <w:r w:rsidRPr="008548CA">
        <w:t xml:space="preserve"> categorised </w:t>
      </w:r>
      <w:r w:rsidR="004C7915" w:rsidRPr="008548CA">
        <w:t>as follows</w:t>
      </w:r>
      <w:r w:rsidRPr="008548CA">
        <w:t>:</w:t>
      </w:r>
    </w:p>
    <w:p w14:paraId="538B2956" w14:textId="4E88191E" w:rsidR="000F6FCA" w:rsidRPr="00052657" w:rsidRDefault="00667723" w:rsidP="000F6FCA">
      <w:pPr>
        <w:pStyle w:val="ListBullet0"/>
      </w:pPr>
      <w:r>
        <w:t>P</w:t>
      </w:r>
      <w:r w:rsidR="000F6FCA" w:rsidRPr="00052657">
        <w:t>rimary health care</w:t>
      </w:r>
    </w:p>
    <w:p w14:paraId="4868F0FD" w14:textId="56388437" w:rsidR="00A34804" w:rsidRDefault="00667723" w:rsidP="00A74059">
      <w:pPr>
        <w:pStyle w:val="ListBullet0"/>
        <w:rPr>
          <w:color w:val="000000" w:themeColor="text1"/>
        </w:rPr>
      </w:pPr>
      <w:r>
        <w:t>C</w:t>
      </w:r>
      <w:r w:rsidR="00A34804">
        <w:t xml:space="preserve">risis </w:t>
      </w:r>
      <w:r w:rsidR="0C73E3BC">
        <w:t>services</w:t>
      </w:r>
    </w:p>
    <w:p w14:paraId="133013E9" w14:textId="51351689" w:rsidR="00A34804" w:rsidRDefault="00667723" w:rsidP="00A74059">
      <w:pPr>
        <w:pStyle w:val="ListBullet0"/>
      </w:pPr>
      <w:r>
        <w:t>S</w:t>
      </w:r>
      <w:r w:rsidR="00FE19C8">
        <w:t xml:space="preserve">pecialist </w:t>
      </w:r>
      <w:r w:rsidR="0635900B">
        <w:t>m</w:t>
      </w:r>
      <w:r w:rsidR="62B0BAB1">
        <w:t>ental health services</w:t>
      </w:r>
    </w:p>
    <w:p w14:paraId="4759F5B9" w14:textId="4738051F" w:rsidR="00A34804" w:rsidRDefault="00667723" w:rsidP="00A74059">
      <w:pPr>
        <w:pStyle w:val="ListBullet0"/>
      </w:pPr>
      <w:r>
        <w:t>P</w:t>
      </w:r>
      <w:r w:rsidR="00A34804">
        <w:t>revention and early intervention services</w:t>
      </w:r>
    </w:p>
    <w:p w14:paraId="7B52175F" w14:textId="0C6BDEEC" w:rsidR="000F6FCA" w:rsidRPr="00A03A9D" w:rsidRDefault="000F6FCA" w:rsidP="009B406F">
      <w:pPr>
        <w:pStyle w:val="NbrHeading4"/>
      </w:pPr>
      <w:r w:rsidRPr="00A03A9D">
        <w:t>Primary Health Care</w:t>
      </w:r>
    </w:p>
    <w:p w14:paraId="54399C0F" w14:textId="0B7CC0EA" w:rsidR="002E6FD8" w:rsidRDefault="00A03A9D" w:rsidP="002E6FD8">
      <w:pPr>
        <w:rPr>
          <w:lang w:eastAsia="en-AU"/>
        </w:rPr>
      </w:pPr>
      <w:r>
        <w:rPr>
          <w:lang w:eastAsia="en-AU"/>
        </w:rPr>
        <w:t xml:space="preserve">Primary health care is </w:t>
      </w:r>
      <w:r w:rsidR="00701823">
        <w:rPr>
          <w:lang w:eastAsia="en-AU"/>
        </w:rPr>
        <w:t>generally accessed as a</w:t>
      </w:r>
      <w:r w:rsidR="005376F0">
        <w:rPr>
          <w:lang w:eastAsia="en-AU"/>
        </w:rPr>
        <w:t xml:space="preserve"> first</w:t>
      </w:r>
      <w:r w:rsidR="00CD0A8E">
        <w:rPr>
          <w:lang w:eastAsia="en-AU"/>
        </w:rPr>
        <w:t xml:space="preserve"> </w:t>
      </w:r>
      <w:r w:rsidR="005376F0">
        <w:rPr>
          <w:lang w:eastAsia="en-AU"/>
        </w:rPr>
        <w:t>port</w:t>
      </w:r>
      <w:r w:rsidR="00667723">
        <w:rPr>
          <w:lang w:eastAsia="en-AU"/>
        </w:rPr>
        <w:t xml:space="preserve"> </w:t>
      </w:r>
      <w:r w:rsidR="005376F0">
        <w:rPr>
          <w:lang w:eastAsia="en-AU"/>
        </w:rPr>
        <w:t>of</w:t>
      </w:r>
      <w:r w:rsidR="00667723">
        <w:rPr>
          <w:lang w:eastAsia="en-AU"/>
        </w:rPr>
        <w:t xml:space="preserve"> </w:t>
      </w:r>
      <w:r w:rsidR="005376F0">
        <w:rPr>
          <w:lang w:eastAsia="en-AU"/>
        </w:rPr>
        <w:t>call</w:t>
      </w:r>
      <w:r>
        <w:rPr>
          <w:lang w:eastAsia="en-AU"/>
        </w:rPr>
        <w:t xml:space="preserve"> </w:t>
      </w:r>
      <w:r w:rsidR="005376F0">
        <w:rPr>
          <w:lang w:eastAsia="en-AU"/>
        </w:rPr>
        <w:t>when</w:t>
      </w:r>
      <w:r w:rsidR="00E90863">
        <w:rPr>
          <w:lang w:eastAsia="en-AU"/>
        </w:rPr>
        <w:t xml:space="preserve"> a person is</w:t>
      </w:r>
      <w:r w:rsidR="005376F0">
        <w:rPr>
          <w:lang w:eastAsia="en-AU"/>
        </w:rPr>
        <w:t xml:space="preserve"> unwell, requiring a</w:t>
      </w:r>
      <w:r>
        <w:rPr>
          <w:lang w:eastAsia="en-AU"/>
        </w:rPr>
        <w:t xml:space="preserve"> diagnosis</w:t>
      </w:r>
      <w:r w:rsidR="002F3F1C">
        <w:rPr>
          <w:lang w:eastAsia="en-AU"/>
        </w:rPr>
        <w:t>,</w:t>
      </w:r>
      <w:r>
        <w:rPr>
          <w:lang w:eastAsia="en-AU"/>
        </w:rPr>
        <w:t xml:space="preserve"> and</w:t>
      </w:r>
      <w:r w:rsidR="002F3F1C">
        <w:rPr>
          <w:lang w:eastAsia="en-AU"/>
        </w:rPr>
        <w:t>/or</w:t>
      </w:r>
      <w:r>
        <w:rPr>
          <w:lang w:eastAsia="en-AU"/>
        </w:rPr>
        <w:t xml:space="preserve"> </w:t>
      </w:r>
      <w:r w:rsidR="005376F0">
        <w:rPr>
          <w:lang w:eastAsia="en-AU"/>
        </w:rPr>
        <w:t xml:space="preserve">needing </w:t>
      </w:r>
      <w:r>
        <w:rPr>
          <w:lang w:eastAsia="en-AU"/>
        </w:rPr>
        <w:t xml:space="preserve">treatment </w:t>
      </w:r>
      <w:r w:rsidR="003372E7">
        <w:rPr>
          <w:lang w:eastAsia="en-AU"/>
        </w:rPr>
        <w:t>for</w:t>
      </w:r>
      <w:r>
        <w:rPr>
          <w:lang w:eastAsia="en-AU"/>
        </w:rPr>
        <w:t xml:space="preserve"> health conditions</w:t>
      </w:r>
      <w:r w:rsidR="006379F0">
        <w:rPr>
          <w:lang w:eastAsia="en-AU"/>
        </w:rPr>
        <w:t>. In some instances, this includes long-</w:t>
      </w:r>
      <w:r>
        <w:rPr>
          <w:lang w:eastAsia="en-AU"/>
        </w:rPr>
        <w:t>term care</w:t>
      </w:r>
      <w:r w:rsidR="002E6FD8">
        <w:rPr>
          <w:lang w:eastAsia="en-AU"/>
        </w:rPr>
        <w:t xml:space="preserve"> for chronic conditions</w:t>
      </w:r>
      <w:r w:rsidR="00C5048F">
        <w:rPr>
          <w:lang w:eastAsia="en-AU"/>
        </w:rPr>
        <w:t xml:space="preserve">, </w:t>
      </w:r>
      <w:r w:rsidR="006379F0">
        <w:rPr>
          <w:lang w:eastAsia="en-AU"/>
        </w:rPr>
        <w:t>such as</w:t>
      </w:r>
      <w:r w:rsidR="00C5048F">
        <w:rPr>
          <w:lang w:eastAsia="en-AU"/>
        </w:rPr>
        <w:t xml:space="preserve"> some forms of mental health conditions</w:t>
      </w:r>
      <w:r w:rsidR="002E6FD8">
        <w:rPr>
          <w:lang w:eastAsia="en-AU"/>
        </w:rPr>
        <w:t>.</w:t>
      </w:r>
    </w:p>
    <w:p w14:paraId="7050F87B" w14:textId="4D7F1B89" w:rsidR="007C3039" w:rsidRDefault="002112AE" w:rsidP="002112AE">
      <w:pPr>
        <w:rPr>
          <w:lang w:eastAsia="en-AU"/>
        </w:rPr>
      </w:pPr>
      <w:r>
        <w:rPr>
          <w:lang w:eastAsia="en-AU"/>
        </w:rPr>
        <w:t xml:space="preserve">The most </w:t>
      </w:r>
      <w:r w:rsidR="005B40CD">
        <w:rPr>
          <w:lang w:eastAsia="en-AU"/>
        </w:rPr>
        <w:t>common t</w:t>
      </w:r>
      <w:r w:rsidR="00A03A9D">
        <w:rPr>
          <w:lang w:eastAsia="en-AU"/>
        </w:rPr>
        <w:t xml:space="preserve">ypes of primary care </w:t>
      </w:r>
      <w:r>
        <w:rPr>
          <w:lang w:eastAsia="en-AU"/>
        </w:rPr>
        <w:t>are</w:t>
      </w:r>
      <w:r w:rsidR="005B40CD">
        <w:rPr>
          <w:lang w:eastAsia="en-AU"/>
        </w:rPr>
        <w:t xml:space="preserve"> provided by</w:t>
      </w:r>
      <w:r w:rsidR="007C3039">
        <w:rPr>
          <w:lang w:eastAsia="en-AU"/>
        </w:rPr>
        <w:t>:</w:t>
      </w:r>
    </w:p>
    <w:p w14:paraId="0CFB7BCA" w14:textId="704D25D7" w:rsidR="007C3039" w:rsidRDefault="00667723" w:rsidP="007C3039">
      <w:pPr>
        <w:pStyle w:val="ListBullet0"/>
      </w:pPr>
      <w:r>
        <w:t>G</w:t>
      </w:r>
      <w:r w:rsidR="00A03A9D">
        <w:t xml:space="preserve">eneral </w:t>
      </w:r>
      <w:r>
        <w:t>P</w:t>
      </w:r>
      <w:r w:rsidR="005B40CD">
        <w:t xml:space="preserve">ractitioners </w:t>
      </w:r>
      <w:r w:rsidR="002E6FD8">
        <w:t xml:space="preserve">or </w:t>
      </w:r>
      <w:r w:rsidR="007C3039">
        <w:t xml:space="preserve">private </w:t>
      </w:r>
      <w:r w:rsidR="00E968E3">
        <w:t>medical practices in the community</w:t>
      </w:r>
    </w:p>
    <w:p w14:paraId="4763ACE2" w14:textId="6846C0A8" w:rsidR="00D72076" w:rsidRDefault="00667723" w:rsidP="00D72076">
      <w:pPr>
        <w:pStyle w:val="ListBullet0"/>
      </w:pPr>
      <w:r>
        <w:t>C</w:t>
      </w:r>
      <w:r w:rsidR="00A03A9D">
        <w:t>ommunity health centres</w:t>
      </w:r>
      <w:r w:rsidR="007C3039">
        <w:t xml:space="preserve"> funded </w:t>
      </w:r>
      <w:r w:rsidR="003B268C">
        <w:t xml:space="preserve">or other publicly funded </w:t>
      </w:r>
      <w:r w:rsidR="007B7A80">
        <w:t xml:space="preserve">services such as Aboriginal </w:t>
      </w:r>
      <w:r w:rsidR="001D67A2">
        <w:t xml:space="preserve">Community </w:t>
      </w:r>
      <w:r w:rsidR="00C33DF7">
        <w:t>C</w:t>
      </w:r>
      <w:r w:rsidR="001D67A2">
        <w:t xml:space="preserve">ontrolled </w:t>
      </w:r>
      <w:r w:rsidR="00C33DF7">
        <w:t>Health Organisations</w:t>
      </w:r>
      <w:r w:rsidR="002112AE">
        <w:t xml:space="preserve"> </w:t>
      </w:r>
    </w:p>
    <w:p w14:paraId="5F8217E0" w14:textId="7C429BBC" w:rsidR="00D72076" w:rsidRDefault="00667723" w:rsidP="00D72076">
      <w:pPr>
        <w:pStyle w:val="ListBullet0"/>
      </w:pPr>
      <w:r>
        <w:t>P</w:t>
      </w:r>
      <w:r w:rsidR="00D72076">
        <w:t>ublic or privately funded allied health professionals</w:t>
      </w:r>
      <w:r w:rsidR="00836B92">
        <w:t xml:space="preserve"> </w:t>
      </w:r>
      <w:r w:rsidR="00A6183D">
        <w:t xml:space="preserve">including </w:t>
      </w:r>
      <w:r w:rsidR="00836B92">
        <w:t>psychologists</w:t>
      </w:r>
      <w:r w:rsidR="00D27B09">
        <w:t>,</w:t>
      </w:r>
      <w:r w:rsidR="00D72076">
        <w:t xml:space="preserve"> </w:t>
      </w:r>
      <w:r w:rsidR="00A6183D">
        <w:t xml:space="preserve">plus </w:t>
      </w:r>
      <w:r w:rsidR="00D72076">
        <w:t>nurses</w:t>
      </w:r>
      <w:r w:rsidR="00864270">
        <w:t xml:space="preserve">, </w:t>
      </w:r>
      <w:r w:rsidR="00372FF6">
        <w:t xml:space="preserve">and </w:t>
      </w:r>
      <w:r w:rsidR="00864270">
        <w:t>pharm</w:t>
      </w:r>
      <w:r w:rsidR="00372FF6">
        <w:t>acists</w:t>
      </w:r>
      <w:r w:rsidR="00A6183D">
        <w:t xml:space="preserve"> </w:t>
      </w:r>
      <w:r w:rsidR="00D27B09">
        <w:t>(also see Section 2.5.3.2)</w:t>
      </w:r>
    </w:p>
    <w:p w14:paraId="221E850F" w14:textId="225D7B5A" w:rsidR="00D460B9" w:rsidRDefault="00C3553C" w:rsidP="00C3553C">
      <w:r>
        <w:t>Access</w:t>
      </w:r>
      <w:r w:rsidR="00FE50C3">
        <w:t xml:space="preserve"> to </w:t>
      </w:r>
      <w:proofErr w:type="gramStart"/>
      <w:r w:rsidR="00FE50C3">
        <w:t xml:space="preserve">the </w:t>
      </w:r>
      <w:r>
        <w:t xml:space="preserve">vast majority </w:t>
      </w:r>
      <w:r w:rsidR="00667723">
        <w:t>of</w:t>
      </w:r>
      <w:proofErr w:type="gramEnd"/>
      <w:r w:rsidR="00667723">
        <w:t xml:space="preserve"> </w:t>
      </w:r>
      <w:r>
        <w:t>these</w:t>
      </w:r>
      <w:r w:rsidR="00FE50C3">
        <w:t xml:space="preserve"> service </w:t>
      </w:r>
      <w:r>
        <w:t xml:space="preserve">options </w:t>
      </w:r>
      <w:r w:rsidR="00667723">
        <w:t>is</w:t>
      </w:r>
      <w:r>
        <w:t xml:space="preserve"> subsidi</w:t>
      </w:r>
      <w:r w:rsidR="00FF773E">
        <w:t xml:space="preserve">sed </w:t>
      </w:r>
      <w:r w:rsidR="003443DF">
        <w:t xml:space="preserve">or free </w:t>
      </w:r>
      <w:r w:rsidR="00FF773E">
        <w:t xml:space="preserve">under the </w:t>
      </w:r>
      <w:r w:rsidR="001323A7">
        <w:t xml:space="preserve">Commonwealth </w:t>
      </w:r>
      <w:r w:rsidR="00FF773E">
        <w:t>Government</w:t>
      </w:r>
      <w:r w:rsidR="0017264C">
        <w:t xml:space="preserve"> MBS</w:t>
      </w:r>
      <w:r w:rsidR="00FF773E">
        <w:t xml:space="preserve">. </w:t>
      </w:r>
      <w:r w:rsidR="00D460B9">
        <w:t xml:space="preserve">Specifically, the Better Access initiative gives Medicare rebates to help people access mental health professionals and care, regardless of where they live. </w:t>
      </w:r>
    </w:p>
    <w:p w14:paraId="5DB065E2" w14:textId="7751EF81" w:rsidR="005A740A" w:rsidRDefault="00B90E6D" w:rsidP="00C3553C">
      <w:r>
        <w:t>Primary care services</w:t>
      </w:r>
      <w:r w:rsidR="008D0218">
        <w:t xml:space="preserve"> can also </w:t>
      </w:r>
      <w:r w:rsidR="005A740A">
        <w:t>facilitate</w:t>
      </w:r>
      <w:r w:rsidR="004C45AC">
        <w:t xml:space="preserve"> </w:t>
      </w:r>
      <w:r w:rsidR="008D0218">
        <w:t xml:space="preserve">access to </w:t>
      </w:r>
      <w:r w:rsidR="00A31FAD">
        <w:t>prescription medication and</w:t>
      </w:r>
      <w:r w:rsidR="0090478E">
        <w:t xml:space="preserve"> to</w:t>
      </w:r>
      <w:r w:rsidR="00A31FAD">
        <w:t xml:space="preserve"> </w:t>
      </w:r>
      <w:r w:rsidR="008D0218">
        <w:t>mental health treatment plans</w:t>
      </w:r>
      <w:r w:rsidR="004C45AC">
        <w:t xml:space="preserve">, </w:t>
      </w:r>
      <w:r w:rsidR="0090478E">
        <w:t>which</w:t>
      </w:r>
      <w:r w:rsidR="004C45AC">
        <w:t xml:space="preserve"> can help individuals claim up to 10 individual or 10 group se</w:t>
      </w:r>
      <w:r w:rsidR="00A87FAE">
        <w:t>ssions with a mental health professional</w:t>
      </w:r>
      <w:r w:rsidR="00667723">
        <w:t>,</w:t>
      </w:r>
      <w:r w:rsidR="00A87FAE">
        <w:t xml:space="preserve"> each </w:t>
      </w:r>
      <w:r w:rsidR="005A740A">
        <w:t>calendar</w:t>
      </w:r>
      <w:r w:rsidR="00A87FAE">
        <w:t xml:space="preserve"> year</w:t>
      </w:r>
      <w:r w:rsidR="00FB5878">
        <w:t>.</w:t>
      </w:r>
      <w:r w:rsidR="00584569">
        <w:rPr>
          <w:rStyle w:val="FootnoteReference"/>
        </w:rPr>
        <w:footnoteReference w:id="59"/>
      </w:r>
    </w:p>
    <w:p w14:paraId="69101BDC" w14:textId="716143A9" w:rsidR="00FD0B54" w:rsidRDefault="00667723" w:rsidP="00C3553C">
      <w:r>
        <w:lastRenderedPageBreak/>
        <w:t>T</w:t>
      </w:r>
      <w:r w:rsidR="00FD0B54">
        <w:t>he Commonwealth Government also fu</w:t>
      </w:r>
      <w:r>
        <w:t>nds</w:t>
      </w:r>
      <w:r w:rsidR="00FD0B54">
        <w:t xml:space="preserve"> the Better Access initiative</w:t>
      </w:r>
      <w:r>
        <w:t>,</w:t>
      </w:r>
      <w:r w:rsidR="00FD0B54">
        <w:t xml:space="preserve"> </w:t>
      </w:r>
      <w:r>
        <w:t>which</w:t>
      </w:r>
      <w:r w:rsidR="00FD0B54">
        <w:t xml:space="preserve"> gives Medicare rebates to help people access mental health professionals and care, regardless of where they live.</w:t>
      </w:r>
    </w:p>
    <w:p w14:paraId="7BE8398C" w14:textId="30A9C0B1" w:rsidR="00A34804" w:rsidRDefault="00A34804" w:rsidP="009B406F">
      <w:pPr>
        <w:pStyle w:val="NbrHeading4"/>
        <w:rPr>
          <w:rFonts w:ascii="Arial" w:hAnsi="Arial"/>
          <w:color w:val="EB4B0F"/>
        </w:rPr>
      </w:pPr>
      <w:r>
        <w:t xml:space="preserve">Crisis </w:t>
      </w:r>
      <w:r w:rsidR="003577CC">
        <w:t xml:space="preserve">mental health </w:t>
      </w:r>
      <w:r w:rsidR="453AB257">
        <w:t>services</w:t>
      </w:r>
    </w:p>
    <w:p w14:paraId="3DC79C27" w14:textId="0F295AB2" w:rsidR="007C0856" w:rsidRDefault="00DF4967" w:rsidP="007C0856">
      <w:pPr>
        <w:rPr>
          <w:lang w:eastAsia="en-AU"/>
        </w:rPr>
      </w:pPr>
      <w:r w:rsidRPr="00DF4967">
        <w:rPr>
          <w:lang w:eastAsia="en-AU"/>
        </w:rPr>
        <w:t xml:space="preserve">Historically, mental health crisis </w:t>
      </w:r>
      <w:r w:rsidR="7C613BD2" w:rsidRPr="2816B3E4">
        <w:rPr>
          <w:lang w:eastAsia="en-AU"/>
        </w:rPr>
        <w:t>services</w:t>
      </w:r>
      <w:r w:rsidRPr="00DF4967">
        <w:rPr>
          <w:lang w:eastAsia="en-AU"/>
        </w:rPr>
        <w:t xml:space="preserve"> have primarily been managed by public and private hospitals, in part due to the presentation of individuals in crisis to hospital emergency departments. However, in recent years the availability of alternative crisis services has been expanded through dedicated helplines, digital gateways, and adult mental health centres, as well as suicide aftercare and postvention services.  More detail on these services is provided below</w:t>
      </w:r>
      <w:r w:rsidR="00EE3128">
        <w:rPr>
          <w:lang w:eastAsia="en-AU"/>
        </w:rPr>
        <w:t>.</w:t>
      </w:r>
    </w:p>
    <w:p w14:paraId="44E92760" w14:textId="03D4A1A7" w:rsidR="004C79C4" w:rsidRPr="00722C4E" w:rsidRDefault="004C79C4">
      <w:pPr>
        <w:pStyle w:val="ListBullet0"/>
        <w:rPr>
          <w:color w:val="000000" w:themeColor="text1"/>
        </w:rPr>
      </w:pPr>
      <w:r w:rsidRPr="00722C4E">
        <w:rPr>
          <w:b/>
          <w:bCs/>
        </w:rPr>
        <w:t>Hospital</w:t>
      </w:r>
      <w:r w:rsidR="004B4683" w:rsidRPr="00722C4E">
        <w:rPr>
          <w:b/>
          <w:bCs/>
        </w:rPr>
        <w:t>-</w:t>
      </w:r>
      <w:r w:rsidRPr="00722C4E">
        <w:rPr>
          <w:b/>
          <w:bCs/>
        </w:rPr>
        <w:t>based care</w:t>
      </w:r>
      <w:r w:rsidR="00722C4E" w:rsidRPr="00722C4E">
        <w:rPr>
          <w:b/>
          <w:bCs/>
        </w:rPr>
        <w:t>:</w:t>
      </w:r>
      <w:r w:rsidR="00722C4E">
        <w:rPr>
          <w:b/>
          <w:bCs/>
        </w:rPr>
        <w:t xml:space="preserve"> </w:t>
      </w:r>
      <w:r w:rsidR="00722C4E">
        <w:t>c</w:t>
      </w:r>
      <w:r w:rsidR="0032742C" w:rsidRPr="0032742C">
        <w:t xml:space="preserve">risis </w:t>
      </w:r>
      <w:r w:rsidR="2377627D" w:rsidRPr="0032742C">
        <w:t xml:space="preserve">services </w:t>
      </w:r>
      <w:r w:rsidR="0032742C" w:rsidRPr="0032742C">
        <w:t>are</w:t>
      </w:r>
      <w:r w:rsidRPr="00B3024D">
        <w:t xml:space="preserve"> provided in public and private hospitals through emergency department presentations and through same-day or overnight hospitalisation in </w:t>
      </w:r>
      <w:r w:rsidR="2395DC78" w:rsidRPr="00B3024D">
        <w:t xml:space="preserve">acute </w:t>
      </w:r>
      <w:r w:rsidRPr="00B3024D">
        <w:t>general and psychiatric wards</w:t>
      </w:r>
      <w:r w:rsidR="175FBB0D" w:rsidRPr="00B3024D">
        <w:t>.</w:t>
      </w:r>
      <w:r w:rsidRPr="00B3024D">
        <w:t xml:space="preserve"> Various </w:t>
      </w:r>
      <w:r w:rsidR="408826D2" w:rsidRPr="00B3024D">
        <w:t>forms of care and treatment</w:t>
      </w:r>
      <w:r w:rsidRPr="00B3024D">
        <w:t xml:space="preserve"> are provided within th</w:t>
      </w:r>
      <w:r w:rsidR="02271BF6" w:rsidRPr="00B3024D">
        <w:t>ese</w:t>
      </w:r>
      <w:r w:rsidRPr="00B3024D">
        <w:t xml:space="preserve"> setting</w:t>
      </w:r>
      <w:r w:rsidR="439A652B" w:rsidRPr="00B3024D">
        <w:t>s</w:t>
      </w:r>
      <w:r w:rsidR="00380FE9">
        <w:t>,</w:t>
      </w:r>
      <w:r w:rsidRPr="00B3024D">
        <w:t xml:space="preserve"> depending on </w:t>
      </w:r>
      <w:r w:rsidR="153C90D2">
        <w:t>distress</w:t>
      </w:r>
      <w:r w:rsidRPr="00B3024D">
        <w:t xml:space="preserve"> type</w:t>
      </w:r>
      <w:r w:rsidR="3466EDCA" w:rsidRPr="00B3024D">
        <w:t>,</w:t>
      </w:r>
      <w:r w:rsidRPr="00B3024D">
        <w:t xml:space="preserve"> severity</w:t>
      </w:r>
      <w:r w:rsidR="6F740B84" w:rsidRPr="00B3024D">
        <w:t xml:space="preserve"> and duration, and complicating factors </w:t>
      </w:r>
      <w:r w:rsidR="00380FE9">
        <w:t>(</w:t>
      </w:r>
      <w:r w:rsidR="6F740B84" w:rsidRPr="00B3024D">
        <w:t>e.g., co-</w:t>
      </w:r>
      <w:r w:rsidR="61E85738" w:rsidRPr="00B3024D">
        <w:t>occurring</w:t>
      </w:r>
      <w:r w:rsidR="6F740B84" w:rsidRPr="00B3024D">
        <w:t xml:space="preserve"> drug and alcohol issues</w:t>
      </w:r>
      <w:r w:rsidR="00380FE9">
        <w:t>)</w:t>
      </w:r>
      <w:r w:rsidR="6F740B84" w:rsidRPr="00B3024D">
        <w:t>. Service provision often</w:t>
      </w:r>
      <w:r w:rsidRPr="00B3024D">
        <w:t xml:space="preserve"> include</w:t>
      </w:r>
      <w:r w:rsidR="29AA086B" w:rsidRPr="00B3024D">
        <w:t>s</w:t>
      </w:r>
      <w:r w:rsidRPr="00B3024D">
        <w:t xml:space="preserve"> </w:t>
      </w:r>
      <w:r w:rsidR="789E489F" w:rsidRPr="00B3024D">
        <w:t>peer support, mental health nursing,</w:t>
      </w:r>
      <w:r w:rsidRPr="00B3024D">
        <w:t xml:space="preserve"> allied health</w:t>
      </w:r>
      <w:r w:rsidR="00380FE9">
        <w:t>,</w:t>
      </w:r>
      <w:r w:rsidRPr="00B3024D">
        <w:t xml:space="preserve"> </w:t>
      </w:r>
      <w:r w:rsidR="64041D6B" w:rsidRPr="00B3024D">
        <w:t>and psychological</w:t>
      </w:r>
      <w:r w:rsidRPr="00B3024D">
        <w:t xml:space="preserve"> </w:t>
      </w:r>
      <w:r w:rsidR="3A4ECA20">
        <w:t>care</w:t>
      </w:r>
      <w:r w:rsidR="00380FE9">
        <w:t>,</w:t>
      </w:r>
      <w:r w:rsidRPr="00B3024D">
        <w:t xml:space="preserve"> as well as</w:t>
      </w:r>
      <w:r w:rsidR="52A82D98" w:rsidRPr="00B3024D">
        <w:t xml:space="preserve"> medical</w:t>
      </w:r>
      <w:r w:rsidR="53FCFFD9" w:rsidRPr="00B3024D">
        <w:t xml:space="preserve"> and psychiatric</w:t>
      </w:r>
      <w:r w:rsidR="52A82D98" w:rsidRPr="00B3024D">
        <w:t xml:space="preserve"> care, including</w:t>
      </w:r>
      <w:r w:rsidRPr="00B3024D">
        <w:t xml:space="preserve"> </w:t>
      </w:r>
      <w:r w:rsidR="38B0690C" w:rsidRPr="00B3024D">
        <w:t>pharmaceutical</w:t>
      </w:r>
      <w:r w:rsidRPr="00B3024D">
        <w:t xml:space="preserve"> medication, electroconvulsive therapy, or cerebral anaesthesia.</w:t>
      </w:r>
      <w:r w:rsidRPr="00B3024D">
        <w:rPr>
          <w:vertAlign w:val="superscript"/>
        </w:rPr>
        <w:footnoteReference w:id="60"/>
      </w:r>
      <w:r w:rsidRPr="00722C4E">
        <w:rPr>
          <w:vertAlign w:val="superscript"/>
        </w:rPr>
        <w:t xml:space="preserve"> </w:t>
      </w:r>
      <w:r w:rsidR="001947E7" w:rsidRPr="00722C4E">
        <w:rPr>
          <w:vertAlign w:val="superscript"/>
        </w:rPr>
        <w:t xml:space="preserve"> </w:t>
      </w:r>
      <w:r w:rsidRPr="00722C4E">
        <w:rPr>
          <w:color w:val="000000" w:themeColor="text1"/>
        </w:rPr>
        <w:t xml:space="preserve">Emergency departments still act as the initial access point to the mental health care system for many Australians </w:t>
      </w:r>
      <w:r w:rsidR="1E2240E0" w:rsidRPr="00722C4E">
        <w:rPr>
          <w:color w:val="000000" w:themeColor="text1"/>
        </w:rPr>
        <w:t>living</w:t>
      </w:r>
      <w:r w:rsidRPr="00722C4E">
        <w:rPr>
          <w:color w:val="000000" w:themeColor="text1"/>
        </w:rPr>
        <w:t xml:space="preserve"> with a mental health c</w:t>
      </w:r>
      <w:r w:rsidR="372DBD8D" w:rsidRPr="00722C4E">
        <w:rPr>
          <w:color w:val="000000" w:themeColor="text1"/>
        </w:rPr>
        <w:t>hallenge</w:t>
      </w:r>
      <w:r w:rsidRPr="00722C4E">
        <w:rPr>
          <w:color w:val="000000" w:themeColor="text1"/>
        </w:rPr>
        <w:t xml:space="preserve">. </w:t>
      </w:r>
    </w:p>
    <w:p w14:paraId="3A3ECEAA" w14:textId="4DDD5D2C" w:rsidR="007057B7" w:rsidRPr="00D56815" w:rsidRDefault="00A45A04">
      <w:pPr>
        <w:pStyle w:val="ListBullet0"/>
      </w:pPr>
      <w:r w:rsidRPr="00722C4E">
        <w:rPr>
          <w:b/>
          <w:bCs/>
        </w:rPr>
        <w:t xml:space="preserve">Adult </w:t>
      </w:r>
      <w:r w:rsidR="3544399C" w:rsidRPr="00722C4E">
        <w:rPr>
          <w:b/>
          <w:bCs/>
        </w:rPr>
        <w:t>m</w:t>
      </w:r>
      <w:r w:rsidRPr="00722C4E">
        <w:rPr>
          <w:b/>
          <w:bCs/>
        </w:rPr>
        <w:t xml:space="preserve">ental </w:t>
      </w:r>
      <w:r w:rsidR="072F9BFC" w:rsidRPr="00722C4E">
        <w:rPr>
          <w:b/>
          <w:bCs/>
        </w:rPr>
        <w:t>h</w:t>
      </w:r>
      <w:r w:rsidRPr="00722C4E">
        <w:rPr>
          <w:b/>
          <w:bCs/>
        </w:rPr>
        <w:t xml:space="preserve">ealth </w:t>
      </w:r>
      <w:r w:rsidR="0C65AAA2" w:rsidRPr="00722C4E">
        <w:rPr>
          <w:b/>
          <w:bCs/>
        </w:rPr>
        <w:t>centres</w:t>
      </w:r>
      <w:r w:rsidR="00722C4E" w:rsidRPr="00722C4E">
        <w:rPr>
          <w:b/>
          <w:bCs/>
        </w:rPr>
        <w:t>:</w:t>
      </w:r>
      <w:r w:rsidR="00722C4E">
        <w:rPr>
          <w:b/>
          <w:bCs/>
        </w:rPr>
        <w:t xml:space="preserve"> </w:t>
      </w:r>
      <w:r w:rsidR="00380FE9">
        <w:t>these</w:t>
      </w:r>
      <w:r w:rsidR="001947E7" w:rsidRPr="2816B3E4">
        <w:t xml:space="preserve"> </w:t>
      </w:r>
      <w:r w:rsidR="74A857AB" w:rsidRPr="2816B3E4">
        <w:t>services</w:t>
      </w:r>
      <w:r w:rsidR="001947E7" w:rsidRPr="2816B3E4">
        <w:t xml:space="preserve"> </w:t>
      </w:r>
      <w:r w:rsidR="00A3390D">
        <w:t>are designed</w:t>
      </w:r>
      <w:r w:rsidR="001947E7" w:rsidRPr="2816B3E4">
        <w:t xml:space="preserve"> to reduce</w:t>
      </w:r>
      <w:r w:rsidRPr="2816B3E4">
        <w:t xml:space="preserve"> the number of mental health-related emergency department presentations</w:t>
      </w:r>
      <w:r w:rsidR="001947E7" w:rsidRPr="2816B3E4">
        <w:t>,</w:t>
      </w:r>
      <w:r w:rsidRPr="00B3024D">
        <w:rPr>
          <w:vertAlign w:val="superscript"/>
        </w:rPr>
        <w:footnoteReference w:id="61"/>
      </w:r>
      <w:r w:rsidRPr="00722C4E">
        <w:rPr>
          <w:vertAlign w:val="superscript"/>
        </w:rPr>
        <w:t xml:space="preserve"> </w:t>
      </w:r>
      <w:r w:rsidR="001947E7" w:rsidRPr="00722C4E">
        <w:rPr>
          <w:vertAlign w:val="superscript"/>
        </w:rPr>
        <w:t xml:space="preserve"> </w:t>
      </w:r>
      <w:r w:rsidR="001947E7" w:rsidRPr="2816B3E4">
        <w:t xml:space="preserve">by </w:t>
      </w:r>
      <w:r w:rsidRPr="2816B3E4">
        <w:t>provid</w:t>
      </w:r>
      <w:r w:rsidR="001947E7" w:rsidRPr="2816B3E4">
        <w:t>ing</w:t>
      </w:r>
      <w:r w:rsidRPr="2816B3E4">
        <w:t xml:space="preserve"> immediate treatment </w:t>
      </w:r>
      <w:r w:rsidR="0389528C" w:rsidRPr="2816B3E4">
        <w:t>and care</w:t>
      </w:r>
      <w:r w:rsidR="00380FE9">
        <w:t>,</w:t>
      </w:r>
      <w:r w:rsidRPr="2816B3E4">
        <w:t xml:space="preserve"> as well as referrals to longer-term medical and social support services. </w:t>
      </w:r>
      <w:r w:rsidR="001947E7" w:rsidRPr="2816B3E4">
        <w:t xml:space="preserve">These newly launched centres are funded by the Australian </w:t>
      </w:r>
      <w:r w:rsidRPr="2816B3E4">
        <w:t>Government, in partnership with state and territory governments.</w:t>
      </w:r>
      <w:r w:rsidRPr="2816B3E4">
        <w:rPr>
          <w:rStyle w:val="FootnoteReference"/>
          <w:color w:val="000000" w:themeColor="text1"/>
        </w:rPr>
        <w:footnoteReference w:id="62"/>
      </w:r>
      <w:r w:rsidR="003A6DDE" w:rsidRPr="2816B3E4">
        <w:t xml:space="preserve"> </w:t>
      </w:r>
    </w:p>
    <w:p w14:paraId="3D6CDDC9" w14:textId="404C51D4" w:rsidR="002C216E" w:rsidRDefault="00A45A04">
      <w:pPr>
        <w:pStyle w:val="ListBullet0"/>
      </w:pPr>
      <w:r w:rsidRPr="0044198D">
        <w:rPr>
          <w:b/>
          <w:bCs/>
        </w:rPr>
        <w:t xml:space="preserve">Crisis helplines and </w:t>
      </w:r>
      <w:r w:rsidR="364E377F" w:rsidRPr="0044198D">
        <w:rPr>
          <w:b/>
          <w:bCs/>
        </w:rPr>
        <w:t xml:space="preserve">online </w:t>
      </w:r>
      <w:r w:rsidRPr="0044198D">
        <w:rPr>
          <w:b/>
          <w:bCs/>
        </w:rPr>
        <w:t>support</w:t>
      </w:r>
      <w:r w:rsidR="00A3390D" w:rsidRPr="0044198D">
        <w:rPr>
          <w:b/>
          <w:bCs/>
        </w:rPr>
        <w:t>s</w:t>
      </w:r>
      <w:r w:rsidR="0044198D" w:rsidRPr="0044198D">
        <w:rPr>
          <w:b/>
          <w:bCs/>
        </w:rPr>
        <w:t>:</w:t>
      </w:r>
      <w:r w:rsidR="0044198D">
        <w:rPr>
          <w:b/>
          <w:bCs/>
        </w:rPr>
        <w:t xml:space="preserve"> </w:t>
      </w:r>
      <w:r w:rsidR="00722C4E">
        <w:t>a</w:t>
      </w:r>
      <w:r w:rsidR="004D0C98" w:rsidRPr="00713912">
        <w:t xml:space="preserve">cross </w:t>
      </w:r>
      <w:r w:rsidR="00713912" w:rsidRPr="00713912">
        <w:t>Australia</w:t>
      </w:r>
      <w:r w:rsidR="00380FE9">
        <w:t>,</w:t>
      </w:r>
      <w:r w:rsidR="004D0C98" w:rsidRPr="00713912">
        <w:t xml:space="preserve"> </w:t>
      </w:r>
      <w:proofErr w:type="gramStart"/>
      <w:r w:rsidR="004D0C98" w:rsidRPr="00713912">
        <w:t>a number of</w:t>
      </w:r>
      <w:proofErr w:type="gramEnd"/>
      <w:r w:rsidR="004D0C98" w:rsidRPr="00713912">
        <w:t xml:space="preserve"> telephone services and online</w:t>
      </w:r>
      <w:r w:rsidRPr="00713912">
        <w:t xml:space="preserve"> sites </w:t>
      </w:r>
      <w:r w:rsidRPr="2816B3E4">
        <w:t xml:space="preserve">have been established to provide immediate support and information to individuals in crisis, often </w:t>
      </w:r>
      <w:r w:rsidRPr="00713912">
        <w:t>operat</w:t>
      </w:r>
      <w:r w:rsidR="00C505BE">
        <w:t>ing</w:t>
      </w:r>
      <w:r w:rsidRPr="2816B3E4">
        <w:t xml:space="preserve"> 24/7. </w:t>
      </w:r>
      <w:r w:rsidR="00191937">
        <w:t xml:space="preserve">The most </w:t>
      </w:r>
      <w:r w:rsidR="00A958D3">
        <w:t>high-profile</w:t>
      </w:r>
      <w:r w:rsidRPr="2816B3E4">
        <w:t xml:space="preserve"> crisis helplines </w:t>
      </w:r>
      <w:r w:rsidR="00191937">
        <w:t>are</w:t>
      </w:r>
      <w:r w:rsidRPr="2816B3E4">
        <w:t xml:space="preserve"> Lifeline and Beyond Blue, </w:t>
      </w:r>
      <w:r w:rsidR="00CA5B0E">
        <w:t>with other</w:t>
      </w:r>
      <w:r w:rsidRPr="2816B3E4">
        <w:t xml:space="preserve"> dedicated </w:t>
      </w:r>
      <w:r w:rsidRPr="00713912">
        <w:t xml:space="preserve">helplines </w:t>
      </w:r>
      <w:r w:rsidR="00F32EC1">
        <w:t xml:space="preserve">available to </w:t>
      </w:r>
      <w:r w:rsidRPr="2816B3E4">
        <w:t xml:space="preserve">specific populations </w:t>
      </w:r>
      <w:r w:rsidR="00191937">
        <w:t>including</w:t>
      </w:r>
      <w:r w:rsidR="002C216E">
        <w:t>:</w:t>
      </w:r>
    </w:p>
    <w:p w14:paraId="7912C149" w14:textId="199EF657" w:rsidR="002C216E" w:rsidRPr="0044198D" w:rsidRDefault="00440044" w:rsidP="00C80E1D">
      <w:pPr>
        <w:pStyle w:val="ListAlpha2"/>
      </w:pPr>
      <w:r w:rsidRPr="0044198D">
        <w:t xml:space="preserve">13YARN </w:t>
      </w:r>
      <w:r w:rsidR="002C216E" w:rsidRPr="0044198D">
        <w:t xml:space="preserve">and Brother to Brother Support Line for </w:t>
      </w:r>
      <w:r w:rsidR="00E414C8" w:rsidRPr="0044198D">
        <w:t>Aboriginal and Torres Strait Islanders</w:t>
      </w:r>
    </w:p>
    <w:p w14:paraId="1F2CE074" w14:textId="77777777" w:rsidR="002C216E" w:rsidRPr="0044198D" w:rsidRDefault="00A45A04" w:rsidP="00C80E1D">
      <w:pPr>
        <w:pStyle w:val="ListAlpha2"/>
      </w:pPr>
      <w:r w:rsidRPr="0044198D">
        <w:t>Kids Helpline for consumers aged 5 to 25</w:t>
      </w:r>
    </w:p>
    <w:p w14:paraId="04095FA3" w14:textId="227664AD" w:rsidR="00A45A04" w:rsidRPr="0044198D" w:rsidRDefault="00A45A04" w:rsidP="00C80E1D">
      <w:pPr>
        <w:pStyle w:val="ListAlpha2"/>
      </w:pPr>
      <w:r w:rsidRPr="0044198D">
        <w:t>Defence Family Helpline for veterans and their families</w:t>
      </w:r>
      <w:r w:rsidR="00421E64">
        <w:t>.</w:t>
      </w:r>
      <w:r w:rsidRPr="00AD0921">
        <w:rPr>
          <w:rStyle w:val="FootnoteReference"/>
          <w:color w:val="000000" w:themeColor="text1"/>
        </w:rPr>
        <w:footnoteReference w:id="63"/>
      </w:r>
      <w:r w:rsidRPr="00AD0921">
        <w:rPr>
          <w:rStyle w:val="FootnoteReference"/>
          <w:color w:val="000000" w:themeColor="text1"/>
        </w:rPr>
        <w:t xml:space="preserve"> </w:t>
      </w:r>
    </w:p>
    <w:p w14:paraId="1E1A14CD" w14:textId="077FA5F3" w:rsidR="000304F7" w:rsidRDefault="00A45A04" w:rsidP="00722C4E">
      <w:pPr>
        <w:pStyle w:val="ListBullet0"/>
      </w:pPr>
      <w:r w:rsidRPr="2816B3E4">
        <w:rPr>
          <w:b/>
          <w:bCs/>
        </w:rPr>
        <w:lastRenderedPageBreak/>
        <w:t>Suicide Aftercare and Postvention services</w:t>
      </w:r>
      <w:r>
        <w:rPr>
          <w:b/>
        </w:rPr>
        <w:t xml:space="preserve"> </w:t>
      </w:r>
      <w:r w:rsidR="00722C4E" w:rsidRPr="00722C4E">
        <w:rPr>
          <w:bCs/>
        </w:rPr>
        <w:t xml:space="preserve">are also </w:t>
      </w:r>
      <w:r w:rsidRPr="2816B3E4">
        <w:t xml:space="preserve">available in select locations to provide recovery support to individuals who have </w:t>
      </w:r>
      <w:r w:rsidR="51025D8D" w:rsidRPr="2816B3E4">
        <w:t>engaged in</w:t>
      </w:r>
      <w:r w:rsidRPr="2816B3E4">
        <w:t xml:space="preserve"> suicid</w:t>
      </w:r>
      <w:r w:rsidR="67000A01" w:rsidRPr="2816B3E4">
        <w:t>al behaviour</w:t>
      </w:r>
      <w:r w:rsidRPr="2816B3E4">
        <w:t xml:space="preserve"> or who have been impacted by suicide. </w:t>
      </w:r>
    </w:p>
    <w:p w14:paraId="76A6B572" w14:textId="08EB1918" w:rsidR="00A45A04" w:rsidRPr="00B3024D" w:rsidRDefault="00A45A04" w:rsidP="00722C4E">
      <w:pPr>
        <w:pStyle w:val="ListBullet0"/>
        <w:numPr>
          <w:ilvl w:val="0"/>
          <w:numId w:val="0"/>
        </w:numPr>
        <w:ind w:left="425"/>
      </w:pPr>
      <w:r w:rsidRPr="2816B3E4">
        <w:t xml:space="preserve">Aftercare services provide dedicated support to individuals in the months </w:t>
      </w:r>
      <w:r w:rsidR="27ECD425" w:rsidRPr="2816B3E4">
        <w:t>following</w:t>
      </w:r>
      <w:r w:rsidRPr="2816B3E4">
        <w:t xml:space="preserve"> a suicide attempt, when they are most at-risk of re-attempting</w:t>
      </w:r>
      <w:r w:rsidR="00380FE9">
        <w:t>,</w:t>
      </w:r>
      <w:r w:rsidR="001909F5" w:rsidRPr="2816B3E4">
        <w:t xml:space="preserve"> e.g.,</w:t>
      </w:r>
      <w:r w:rsidRPr="2816B3E4">
        <w:t xml:space="preserve"> </w:t>
      </w:r>
      <w:r w:rsidR="00610EC0" w:rsidRPr="2816B3E4">
        <w:t xml:space="preserve">the </w:t>
      </w:r>
      <w:r w:rsidR="00610EC0" w:rsidRPr="2816B3E4">
        <w:rPr>
          <w:i/>
          <w:iCs/>
        </w:rPr>
        <w:t>Way Back Support Service</w:t>
      </w:r>
      <w:r w:rsidR="00B25B4C" w:rsidRPr="2816B3E4">
        <w:t>.</w:t>
      </w:r>
      <w:r w:rsidR="002E7E7C" w:rsidRPr="2816B3E4">
        <w:t xml:space="preserve"> </w:t>
      </w:r>
    </w:p>
    <w:p w14:paraId="748BD052" w14:textId="1866078C" w:rsidR="00A45A04" w:rsidRDefault="00A45A04" w:rsidP="00722C4E">
      <w:pPr>
        <w:ind w:left="425"/>
        <w:rPr>
          <w:color w:val="000000" w:themeColor="text1"/>
          <w:szCs w:val="20"/>
        </w:rPr>
      </w:pPr>
      <w:r w:rsidRPr="00B3024D">
        <w:t>The Departmen</w:t>
      </w:r>
      <w:r w:rsidR="00AC42B4">
        <w:t>t</w:t>
      </w:r>
      <w:r w:rsidRPr="00B3024D">
        <w:t xml:space="preserve"> additionally funds two dedicated suicide postvention services to support individuals and communities impacted by suicide, including families, witnesses, first responders</w:t>
      </w:r>
      <w:r w:rsidR="00380FE9">
        <w:t>,</w:t>
      </w:r>
      <w:r w:rsidRPr="00B3024D">
        <w:t xml:space="preserve"> and service providers. The </w:t>
      </w:r>
      <w:r w:rsidRPr="00B3024D">
        <w:rPr>
          <w:i/>
        </w:rPr>
        <w:t>Suicide Call Back Service</w:t>
      </w:r>
      <w:r w:rsidRPr="00B3024D">
        <w:t xml:space="preserve"> and </w:t>
      </w:r>
      <w:r w:rsidRPr="00B3024D">
        <w:rPr>
          <w:i/>
        </w:rPr>
        <w:t>Stand by</w:t>
      </w:r>
      <w:r w:rsidRPr="00B3024D">
        <w:t xml:space="preserve"> </w:t>
      </w:r>
      <w:r w:rsidRPr="00B3024D">
        <w:rPr>
          <w:i/>
        </w:rPr>
        <w:t>Support After Suicide Program</w:t>
      </w:r>
      <w:r w:rsidRPr="00B3024D">
        <w:t xml:space="preserve"> both provide 24-hour telephone, face-to-face</w:t>
      </w:r>
      <w:r w:rsidR="00380FE9">
        <w:t>,</w:t>
      </w:r>
      <w:r w:rsidRPr="00B3024D">
        <w:t xml:space="preserve"> and online counselling services.</w:t>
      </w:r>
      <w:r>
        <w:rPr>
          <w:rStyle w:val="FootnoteReference"/>
        </w:rPr>
        <w:footnoteReference w:id="64"/>
      </w:r>
      <w:r w:rsidRPr="00B3024D">
        <w:t xml:space="preserve">  </w:t>
      </w:r>
      <w:r>
        <w:rPr>
          <w:color w:val="000000" w:themeColor="text1"/>
          <w:szCs w:val="20"/>
        </w:rPr>
        <w:t xml:space="preserve"> </w:t>
      </w:r>
    </w:p>
    <w:p w14:paraId="7E3EDA07" w14:textId="61E663B0" w:rsidR="00E41FD9" w:rsidRPr="00E41FD9" w:rsidRDefault="00E41FD9" w:rsidP="009B406F">
      <w:pPr>
        <w:pStyle w:val="NbrHeading4"/>
        <w:rPr>
          <w:rFonts w:eastAsiaTheme="minorHAnsi"/>
        </w:rPr>
      </w:pPr>
      <w:r>
        <w:rPr>
          <w:rFonts w:eastAsiaTheme="minorEastAsia"/>
        </w:rPr>
        <w:t>Specialist m</w:t>
      </w:r>
      <w:r w:rsidR="00D40153" w:rsidRPr="00E41FD9">
        <w:rPr>
          <w:rFonts w:eastAsiaTheme="minorEastAsia"/>
        </w:rPr>
        <w:t xml:space="preserve">ental </w:t>
      </w:r>
      <w:r w:rsidR="00196C8D">
        <w:rPr>
          <w:rFonts w:eastAsiaTheme="minorEastAsia"/>
        </w:rPr>
        <w:t>h</w:t>
      </w:r>
      <w:r w:rsidR="00D40153" w:rsidRPr="00E41FD9">
        <w:rPr>
          <w:rFonts w:eastAsiaTheme="minorEastAsia"/>
        </w:rPr>
        <w:t xml:space="preserve">ealth </w:t>
      </w:r>
      <w:r w:rsidR="00196C8D">
        <w:rPr>
          <w:rFonts w:eastAsiaTheme="minorEastAsia"/>
        </w:rPr>
        <w:t>s</w:t>
      </w:r>
      <w:r w:rsidR="00D40153" w:rsidRPr="00E41FD9">
        <w:rPr>
          <w:rFonts w:eastAsiaTheme="minorEastAsia"/>
        </w:rPr>
        <w:t xml:space="preserve">ervices </w:t>
      </w:r>
    </w:p>
    <w:p w14:paraId="27D740BA" w14:textId="33010F86" w:rsidR="00283BD4" w:rsidRPr="00283BD4" w:rsidRDefault="00283BD4" w:rsidP="00283BD4">
      <w:r>
        <w:t>Dedicated</w:t>
      </w:r>
      <w:r w:rsidR="00DF7370">
        <w:t>,</w:t>
      </w:r>
      <w:r w:rsidR="001E6BE3">
        <w:t xml:space="preserve"> and promoted specialist </w:t>
      </w:r>
      <w:r>
        <w:t xml:space="preserve">mental health services are offered </w:t>
      </w:r>
      <w:r w:rsidR="00DF7370">
        <w:t>in a range of settings</w:t>
      </w:r>
      <w:r w:rsidR="00F117C8">
        <w:t>, including as part of hospitals or other public or private health facilities, as well as in community heath settings. These have been traditionally divided into ‘inpatient’ services that are residential in nature, and where the individual temporarily resides in the facility or service, and ‘outpatient’ services where the individual seeks assistance through an appointment or drop-in option.  These are briefly expanded upon below</w:t>
      </w:r>
      <w:r w:rsidR="00380FE9">
        <w:t>:</w:t>
      </w:r>
    </w:p>
    <w:p w14:paraId="474D94D0" w14:textId="45F2076F" w:rsidR="00F117C8" w:rsidRDefault="00F117C8">
      <w:pPr>
        <w:pStyle w:val="ListBullet0"/>
      </w:pPr>
      <w:r w:rsidRPr="0044198D">
        <w:rPr>
          <w:b/>
          <w:bCs/>
        </w:rPr>
        <w:t>Residential Mental Health Care</w:t>
      </w:r>
      <w:r w:rsidR="0044198D" w:rsidRPr="0044198D">
        <w:rPr>
          <w:b/>
          <w:bCs/>
        </w:rPr>
        <w:t xml:space="preserve">: </w:t>
      </w:r>
      <w:r w:rsidRPr="003D1482">
        <w:t>Residential Mental Health Care (RMHC) services</w:t>
      </w:r>
      <w:r>
        <w:t xml:space="preserve"> are non-acute services provided</w:t>
      </w:r>
      <w:r w:rsidR="00430AE5">
        <w:t>,</w:t>
      </w:r>
      <w:r>
        <w:t xml:space="preserve"> often includ</w:t>
      </w:r>
      <w:r w:rsidR="00430AE5">
        <w:t>ing</w:t>
      </w:r>
      <w:r>
        <w:t xml:space="preserve"> rehabilitation or long-term care,</w:t>
      </w:r>
      <w:r w:rsidRPr="004D1CFD">
        <w:rPr>
          <w:vertAlign w:val="superscript"/>
        </w:rPr>
        <w:footnoteReference w:id="65"/>
      </w:r>
      <w:r>
        <w:t xml:space="preserve"> and are either hospital-based or provided in the community by government and non-government agencies, in locked hospital units or unlocked “domestic living” type units. The most recent data from 2020</w:t>
      </w:r>
      <w:r w:rsidR="00430AE5">
        <w:t>–</w:t>
      </w:r>
      <w:r>
        <w:t>21 shows that 7,180 residents received 9,051 episodes of residential care: 58% completed RMHC episodes of 2 weeks or less, whilst 2.7% of RMHC episodes lasted a year or more. Approximately 17% of admissions to RHMC were involuntary.</w:t>
      </w:r>
      <w:r w:rsidRPr="2816B3E4">
        <w:rPr>
          <w:rStyle w:val="FootnoteReference"/>
          <w:color w:val="000000" w:themeColor="text1"/>
        </w:rPr>
        <w:footnoteReference w:id="66"/>
      </w:r>
    </w:p>
    <w:p w14:paraId="0652C762" w14:textId="357DE8FE" w:rsidR="00F117C8" w:rsidRDefault="00F117C8" w:rsidP="0044198D">
      <w:pPr>
        <w:pStyle w:val="ListBullet0"/>
        <w:numPr>
          <w:ilvl w:val="0"/>
          <w:numId w:val="0"/>
        </w:numPr>
        <w:ind w:left="425"/>
        <w:rPr>
          <w:color w:val="000000" w:themeColor="text1"/>
        </w:rPr>
      </w:pPr>
      <w:r>
        <w:t>RMHC services are primarily used for people with lived experience who are perceived to have more complex support needs, such as those living with a diagnosis of schizophrenia, and are often provided as a “step up” from outpatient care when a person’s mental health challenge worsens</w:t>
      </w:r>
      <w:r w:rsidR="00430AE5">
        <w:t>,</w:t>
      </w:r>
      <w:r>
        <w:t xml:space="preserve"> or an intermediary “step down” from acute inpatient care after a person’s mental health challenges improve.</w:t>
      </w:r>
      <w:r w:rsidRPr="2816B3E4">
        <w:rPr>
          <w:rStyle w:val="FootnoteReference"/>
          <w:color w:val="000000" w:themeColor="text1"/>
        </w:rPr>
        <w:footnoteReference w:id="67"/>
      </w:r>
      <w:r>
        <w:t xml:space="preserve"> </w:t>
      </w:r>
    </w:p>
    <w:p w14:paraId="6164341B" w14:textId="3E4AB3EB" w:rsidR="00DF4967" w:rsidRPr="004D1CFD" w:rsidRDefault="002D7832">
      <w:pPr>
        <w:pStyle w:val="ListBullet0"/>
      </w:pPr>
      <w:r w:rsidRPr="0044198D">
        <w:rPr>
          <w:rFonts w:eastAsiaTheme="minorEastAsia"/>
          <w:b/>
        </w:rPr>
        <w:t>Outpatient services</w:t>
      </w:r>
      <w:r w:rsidR="0044198D" w:rsidRPr="0044198D">
        <w:rPr>
          <w:rFonts w:eastAsiaTheme="minorEastAsia"/>
          <w:b/>
        </w:rPr>
        <w:t>:</w:t>
      </w:r>
      <w:r w:rsidR="0044198D">
        <w:rPr>
          <w:rFonts w:eastAsiaTheme="minorEastAsia"/>
          <w:b/>
        </w:rPr>
        <w:t xml:space="preserve"> </w:t>
      </w:r>
      <w:r w:rsidR="00430AE5">
        <w:t xml:space="preserve">most </w:t>
      </w:r>
      <w:r w:rsidR="00387DA6">
        <w:t xml:space="preserve">frequently </w:t>
      </w:r>
      <w:r w:rsidR="00B324A9">
        <w:t>accessed through</w:t>
      </w:r>
      <w:r w:rsidR="00EF061B">
        <w:t xml:space="preserve"> hospitals and other public health facilities, </w:t>
      </w:r>
      <w:r w:rsidR="00430AE5">
        <w:t>but</w:t>
      </w:r>
      <w:r w:rsidR="00B324A9">
        <w:t xml:space="preserve"> </w:t>
      </w:r>
      <w:r w:rsidR="002D4652">
        <w:t>includ</w:t>
      </w:r>
      <w:r w:rsidR="00430AE5">
        <w:t>ing</w:t>
      </w:r>
      <w:r w:rsidR="002D4652">
        <w:t xml:space="preserve"> </w:t>
      </w:r>
      <w:r w:rsidR="00B324A9" w:rsidRPr="004D1CFD">
        <w:t>community-based services, consulting rooms, home visits</w:t>
      </w:r>
      <w:r w:rsidR="00430AE5">
        <w:t>,</w:t>
      </w:r>
      <w:r w:rsidR="00B324A9" w:rsidRPr="004D1CFD">
        <w:t xml:space="preserve"> and telehealth</w:t>
      </w:r>
      <w:r w:rsidR="002D4652">
        <w:t>,</w:t>
      </w:r>
      <w:r w:rsidR="00B324A9">
        <w:t xml:space="preserve"> </w:t>
      </w:r>
      <w:r w:rsidR="00EF061B">
        <w:t xml:space="preserve">these clinical care services </w:t>
      </w:r>
      <w:r w:rsidR="00DF4967">
        <w:t>are</w:t>
      </w:r>
      <w:r w:rsidR="00DF4967" w:rsidRPr="004D1CFD">
        <w:t xml:space="preserve"> </w:t>
      </w:r>
      <w:r w:rsidR="00EF061B">
        <w:t xml:space="preserve">delivered </w:t>
      </w:r>
      <w:r w:rsidR="00DF4967" w:rsidRPr="004D1CFD">
        <w:t xml:space="preserve">by </w:t>
      </w:r>
      <w:r w:rsidR="00EF061B">
        <w:t xml:space="preserve">a mix of professional health staff including </w:t>
      </w:r>
      <w:r w:rsidR="65B2EEBE" w:rsidRPr="004D1CFD">
        <w:t xml:space="preserve">mental health nurses, </w:t>
      </w:r>
      <w:r w:rsidR="00DF4967" w:rsidRPr="004D1CFD">
        <w:t>psychologists, psychiatrists</w:t>
      </w:r>
      <w:r w:rsidR="00DF4967">
        <w:t xml:space="preserve">, </w:t>
      </w:r>
      <w:r w:rsidR="00DF4967" w:rsidRPr="004D1CFD">
        <w:t>general practitioners</w:t>
      </w:r>
      <w:r w:rsidR="00430AE5">
        <w:t>,</w:t>
      </w:r>
      <w:r w:rsidR="00EF061B">
        <w:t xml:space="preserve"> and/or </w:t>
      </w:r>
      <w:r w:rsidR="00EF061B" w:rsidRPr="004D1CFD">
        <w:t>peer workers</w:t>
      </w:r>
      <w:r w:rsidR="00EF061B">
        <w:t>.</w:t>
      </w:r>
      <w:r w:rsidR="00E4063D">
        <w:t xml:space="preserve"> Individuals receiving care </w:t>
      </w:r>
      <w:r w:rsidR="00EF061B">
        <w:t xml:space="preserve">often </w:t>
      </w:r>
      <w:r w:rsidR="00E4063D">
        <w:t>can receive assistance from</w:t>
      </w:r>
      <w:r w:rsidR="00DF4967">
        <w:t xml:space="preserve"> </w:t>
      </w:r>
      <w:r w:rsidR="00DF4967" w:rsidRPr="004D1CFD">
        <w:t xml:space="preserve">allied </w:t>
      </w:r>
      <w:r w:rsidR="00DF4967" w:rsidRPr="004D1CFD">
        <w:lastRenderedPageBreak/>
        <w:t>health professionals</w:t>
      </w:r>
      <w:r w:rsidR="00E4063D">
        <w:t>,</w:t>
      </w:r>
      <w:r w:rsidR="00DF4967" w:rsidRPr="004D1CFD">
        <w:t xml:space="preserve"> </w:t>
      </w:r>
      <w:r w:rsidR="00DF4967">
        <w:t xml:space="preserve">such as </w:t>
      </w:r>
      <w:r w:rsidR="00DF4967" w:rsidRPr="004D1CFD">
        <w:t>social workers</w:t>
      </w:r>
      <w:r w:rsidR="00DF4967">
        <w:t xml:space="preserve"> and </w:t>
      </w:r>
      <w:r w:rsidR="00DF4967" w:rsidRPr="004D1CFD">
        <w:t>occupation</w:t>
      </w:r>
      <w:r w:rsidR="00DF4967">
        <w:t>al</w:t>
      </w:r>
      <w:r w:rsidR="00DF4967" w:rsidRPr="004D1CFD">
        <w:t xml:space="preserve"> therapists</w:t>
      </w:r>
      <w:r w:rsidR="00E4063D">
        <w:t>.</w:t>
      </w:r>
      <w:r w:rsidR="00DF4967" w:rsidRPr="004D1CFD">
        <w:rPr>
          <w:vertAlign w:val="superscript"/>
        </w:rPr>
        <w:footnoteReference w:id="68"/>
      </w:r>
      <w:r w:rsidR="00DF4967" w:rsidRPr="004D1CFD">
        <w:t xml:space="preserve"> </w:t>
      </w:r>
      <w:r w:rsidR="00430AE5">
        <w:t>Although m</w:t>
      </w:r>
      <w:r w:rsidR="00DF4967" w:rsidRPr="00E16217">
        <w:t>ental health care is primarily funded by the MBS, some services for specific consumer groups are funded through other streams</w:t>
      </w:r>
      <w:r w:rsidR="00430AE5">
        <w:t>,</w:t>
      </w:r>
      <w:r w:rsidR="00DF4967" w:rsidRPr="00E16217">
        <w:t xml:space="preserve"> such as the NDIS </w:t>
      </w:r>
      <w:r w:rsidR="00DF4967">
        <w:t xml:space="preserve">and </w:t>
      </w:r>
      <w:r w:rsidR="00DF4967" w:rsidRPr="00E16217">
        <w:t>the Department of Veterans Affairs</w:t>
      </w:r>
      <w:r w:rsidR="00DF4967">
        <w:t xml:space="preserve">. </w:t>
      </w:r>
    </w:p>
    <w:p w14:paraId="665D3093" w14:textId="251629A8" w:rsidR="009A5FEA" w:rsidRPr="009A5FEA" w:rsidRDefault="009A5FEA">
      <w:pPr>
        <w:pStyle w:val="ListBullet0"/>
      </w:pPr>
      <w:r w:rsidRPr="0044198D">
        <w:rPr>
          <w:b/>
        </w:rPr>
        <w:t xml:space="preserve">Community-based </w:t>
      </w:r>
      <w:r w:rsidR="00F117C8" w:rsidRPr="0044198D">
        <w:rPr>
          <w:b/>
          <w:bCs/>
        </w:rPr>
        <w:t xml:space="preserve">mental health </w:t>
      </w:r>
      <w:r w:rsidRPr="0044198D">
        <w:rPr>
          <w:b/>
        </w:rPr>
        <w:t>wellbeing programs</w:t>
      </w:r>
      <w:r w:rsidR="0044198D" w:rsidRPr="0044198D">
        <w:rPr>
          <w:b/>
        </w:rPr>
        <w:t>:</w:t>
      </w:r>
      <w:r w:rsidR="0044198D">
        <w:rPr>
          <w:b/>
        </w:rPr>
        <w:t xml:space="preserve"> </w:t>
      </w:r>
      <w:r w:rsidRPr="009A5FEA">
        <w:t xml:space="preserve">There is a wide array of community-based </w:t>
      </w:r>
      <w:r w:rsidR="00F117C8">
        <w:t xml:space="preserve">mental health, </w:t>
      </w:r>
      <w:r w:rsidRPr="009A5FEA">
        <w:t>wellbeing</w:t>
      </w:r>
      <w:r w:rsidR="00430AE5">
        <w:t>,</w:t>
      </w:r>
      <w:r w:rsidRPr="009A5FEA">
        <w:t xml:space="preserve"> and support programs available across Australia</w:t>
      </w:r>
      <w:r w:rsidR="00430AE5">
        <w:t>,</w:t>
      </w:r>
      <w:r w:rsidRPr="009A5FEA">
        <w:t xml:space="preserve"> which target the unique needs of different consumer groups. These programs are funded through various mechanisms and are often delivered through non-government organisations as well as Primary Health Networks</w:t>
      </w:r>
      <w:r w:rsidR="005E7D1D">
        <w:t xml:space="preserve"> (PHN)</w:t>
      </w:r>
      <w:r w:rsidRPr="009A5FEA">
        <w:t xml:space="preserve">. </w:t>
      </w:r>
    </w:p>
    <w:p w14:paraId="23ECF938" w14:textId="6F7640FD" w:rsidR="009A5FEA" w:rsidRPr="009A5FEA" w:rsidRDefault="00C81C7E" w:rsidP="0044198D">
      <w:pPr>
        <w:spacing w:after="120"/>
        <w:ind w:left="425"/>
      </w:pPr>
      <w:r>
        <w:t xml:space="preserve">For example, the </w:t>
      </w:r>
      <w:r w:rsidR="009A5FEA" w:rsidRPr="00C81C7E">
        <w:rPr>
          <w:bCs/>
        </w:rPr>
        <w:t>New South Wales’s Community Living Supports</w:t>
      </w:r>
      <w:r w:rsidR="009A5FEA" w:rsidRPr="009A5FEA">
        <w:t xml:space="preserve"> program provides support to individuals with severe mental illness to “live and </w:t>
      </w:r>
      <w:r w:rsidR="00275520" w:rsidRPr="008423C5">
        <w:t>recover</w:t>
      </w:r>
      <w:r w:rsidR="009A5FEA" w:rsidRPr="009A5FEA">
        <w:t xml:space="preserve"> in the community in the way they want to”. These services are usually provided by support workers from community organisations</w:t>
      </w:r>
      <w:r w:rsidR="00430AE5">
        <w:t>,</w:t>
      </w:r>
      <w:r w:rsidR="001F3651" w:rsidRPr="008423C5">
        <w:t xml:space="preserve"> or clinician</w:t>
      </w:r>
      <w:r w:rsidR="00126760" w:rsidRPr="008423C5">
        <w:t xml:space="preserve">s from a local mental </w:t>
      </w:r>
      <w:r w:rsidR="008E0580" w:rsidRPr="008423C5">
        <w:t>health</w:t>
      </w:r>
      <w:r w:rsidR="00126760" w:rsidRPr="008423C5">
        <w:t xml:space="preserve"> service</w:t>
      </w:r>
      <w:r w:rsidR="00430AE5">
        <w:t>,</w:t>
      </w:r>
      <w:r w:rsidR="00126760" w:rsidRPr="008423C5">
        <w:t xml:space="preserve"> </w:t>
      </w:r>
      <w:r w:rsidR="009A5FEA" w:rsidRPr="009A5FEA">
        <w:t xml:space="preserve">and may include support </w:t>
      </w:r>
      <w:r w:rsidR="00442C72" w:rsidRPr="008423C5">
        <w:t xml:space="preserve">with mental and physical health appointments, medication management, </w:t>
      </w:r>
      <w:r w:rsidR="000854A2" w:rsidRPr="008423C5">
        <w:t xml:space="preserve">daily living skills, </w:t>
      </w:r>
      <w:r w:rsidR="00226067" w:rsidRPr="008423C5">
        <w:t>access</w:t>
      </w:r>
      <w:r w:rsidR="00AB537F" w:rsidRPr="008423C5">
        <w:t xml:space="preserve">ing education or employment, learning new skills, </w:t>
      </w:r>
      <w:r w:rsidR="0064387F" w:rsidRPr="008423C5">
        <w:t xml:space="preserve">and participation in </w:t>
      </w:r>
      <w:r w:rsidR="0035299B" w:rsidRPr="008423C5">
        <w:t>social, leisure, or sporting activities.</w:t>
      </w:r>
      <w:r w:rsidR="009A5FEA" w:rsidRPr="008423C5">
        <w:rPr>
          <w:vertAlign w:val="superscript"/>
        </w:rPr>
        <w:footnoteReference w:id="69"/>
      </w:r>
    </w:p>
    <w:p w14:paraId="55CBB236" w14:textId="77777777" w:rsidR="009A5FEA" w:rsidRPr="009A5FEA" w:rsidRDefault="009A5FEA" w:rsidP="009B406F">
      <w:pPr>
        <w:pStyle w:val="NbrHeading4"/>
        <w:rPr>
          <w:szCs w:val="24"/>
        </w:rPr>
      </w:pPr>
      <w:r w:rsidRPr="009A5FEA">
        <w:t>Prevention and Early Intervention Services</w:t>
      </w:r>
    </w:p>
    <w:p w14:paraId="0280A9B2" w14:textId="70B4E6EF" w:rsidR="009A5FEA" w:rsidRPr="009A5FEA" w:rsidRDefault="009A5FEA" w:rsidP="009A5FEA">
      <w:pPr>
        <w:spacing w:after="120"/>
      </w:pPr>
      <w:r w:rsidRPr="009A5FEA">
        <w:t>Increasing</w:t>
      </w:r>
      <w:r w:rsidR="00F117C8">
        <w:t>ly</w:t>
      </w:r>
      <w:r w:rsidR="00930EE7">
        <w:t>,</w:t>
      </w:r>
      <w:r w:rsidR="00F117C8">
        <w:t xml:space="preserve"> health</w:t>
      </w:r>
      <w:r w:rsidRPr="009A5FEA">
        <w:t xml:space="preserve"> investments are being made to develop and improve the availability of prevention and early intervention services, and to embed these services into workplaces, schools, and social services.</w:t>
      </w:r>
      <w:r w:rsidRPr="009A5FEA">
        <w:rPr>
          <w:vertAlign w:val="superscript"/>
        </w:rPr>
        <w:footnoteReference w:id="70"/>
      </w:r>
      <w:r w:rsidRPr="009A5FEA">
        <w:t xml:space="preserve"> </w:t>
      </w:r>
    </w:p>
    <w:p w14:paraId="1CFAD09B" w14:textId="77777777" w:rsidR="009A5FEA" w:rsidRPr="00E74D14" w:rsidRDefault="009A5FEA" w:rsidP="009A5FEA">
      <w:pPr>
        <w:spacing w:before="80" w:after="80" w:line="240" w:lineRule="auto"/>
      </w:pPr>
      <w:r w:rsidRPr="00E74D14">
        <w:t>Some examples of existing prevention and early intervention services include:</w:t>
      </w:r>
    </w:p>
    <w:p w14:paraId="3AA8E7A4" w14:textId="535DDC2F" w:rsidR="00F117C8" w:rsidRPr="00C8293F" w:rsidRDefault="00F117C8">
      <w:pPr>
        <w:pStyle w:val="ListBullet0"/>
        <w:rPr>
          <w:color w:val="000000" w:themeColor="text1"/>
        </w:rPr>
      </w:pPr>
      <w:r w:rsidRPr="00C8293F">
        <w:rPr>
          <w:b/>
          <w:bCs/>
        </w:rPr>
        <w:t>Mental health screening tools</w:t>
      </w:r>
      <w:r w:rsidR="00C8293F" w:rsidRPr="00C8293F">
        <w:rPr>
          <w:b/>
          <w:bCs/>
        </w:rPr>
        <w:t>:</w:t>
      </w:r>
      <w:r w:rsidR="00C8293F">
        <w:rPr>
          <w:b/>
          <w:bCs/>
        </w:rPr>
        <w:t xml:space="preserve"> </w:t>
      </w:r>
      <w:r w:rsidR="00930EE7">
        <w:t>these</w:t>
      </w:r>
      <w:r>
        <w:t xml:space="preserve"> </w:t>
      </w:r>
      <w:r w:rsidR="00E41FD9">
        <w:t xml:space="preserve">are </w:t>
      </w:r>
      <w:r>
        <w:t>used to detect</w:t>
      </w:r>
      <w:r w:rsidRPr="00E74D14">
        <w:t xml:space="preserve"> early warning signs of mental health </w:t>
      </w:r>
      <w:r>
        <w:t>challenges</w:t>
      </w:r>
      <w:r w:rsidRPr="00E74D14">
        <w:t xml:space="preserve"> </w:t>
      </w:r>
      <w:r>
        <w:t>in</w:t>
      </w:r>
      <w:r w:rsidRPr="00E74D14">
        <w:t xml:space="preserve"> various settings</w:t>
      </w:r>
      <w:r w:rsidR="00930EE7">
        <w:t>,</w:t>
      </w:r>
      <w:r w:rsidRPr="00E74D14">
        <w:t xml:space="preserve"> </w:t>
      </w:r>
      <w:r>
        <w:t>with the aim of supporting</w:t>
      </w:r>
      <w:r w:rsidRPr="00E74D14">
        <w:t xml:space="preserve"> </w:t>
      </w:r>
      <w:r>
        <w:t>people to</w:t>
      </w:r>
      <w:r w:rsidRPr="00E74D14">
        <w:t xml:space="preserve"> access effective </w:t>
      </w:r>
      <w:r w:rsidRPr="009F3AAE">
        <w:t xml:space="preserve">care and treatment </w:t>
      </w:r>
      <w:r w:rsidRPr="00E74D14">
        <w:t xml:space="preserve">before </w:t>
      </w:r>
      <w:r w:rsidRPr="009F3AAE">
        <w:t>d</w:t>
      </w:r>
      <w:r>
        <w:t>istress becomes</w:t>
      </w:r>
      <w:r w:rsidRPr="00E74D14">
        <w:t xml:space="preserve"> more severe</w:t>
      </w:r>
      <w:r>
        <w:t xml:space="preserve"> and life-interrupting.</w:t>
      </w:r>
      <w:r w:rsidRPr="00E74D14">
        <w:t xml:space="preserve"> </w:t>
      </w:r>
      <w:r>
        <w:t xml:space="preserve">Various </w:t>
      </w:r>
      <w:r w:rsidRPr="00E74D14">
        <w:t>tools have been developed</w:t>
      </w:r>
      <w:r>
        <w:t xml:space="preserve"> and are being promoted, such as the Initial Assessment and Referral tool used by General Practitioners</w:t>
      </w:r>
      <w:r w:rsidRPr="00E74D14">
        <w:t xml:space="preserve">. </w:t>
      </w:r>
    </w:p>
    <w:p w14:paraId="5D2193F7" w14:textId="26DD6670" w:rsidR="009A5FEA" w:rsidRPr="00E74D14" w:rsidRDefault="009A5FEA">
      <w:pPr>
        <w:pStyle w:val="ListBullet0"/>
      </w:pPr>
      <w:r w:rsidRPr="00C8293F">
        <w:rPr>
          <w:b/>
        </w:rPr>
        <w:t>Digital gateways</w:t>
      </w:r>
      <w:r w:rsidR="00C8293F" w:rsidRPr="00C8293F">
        <w:rPr>
          <w:b/>
        </w:rPr>
        <w:t>:</w:t>
      </w:r>
      <w:r w:rsidR="00C8293F">
        <w:rPr>
          <w:b/>
        </w:rPr>
        <w:t xml:space="preserve"> </w:t>
      </w:r>
      <w:r w:rsidR="00930EE7">
        <w:rPr>
          <w:bCs/>
        </w:rPr>
        <w:t>t</w:t>
      </w:r>
      <w:r w:rsidRPr="00C8293F">
        <w:rPr>
          <w:bCs/>
        </w:rPr>
        <w:t xml:space="preserve">hese </w:t>
      </w:r>
      <w:r w:rsidR="00F117C8" w:rsidRPr="00C8293F">
        <w:rPr>
          <w:bCs/>
        </w:rPr>
        <w:t>online</w:t>
      </w:r>
      <w:r w:rsidRPr="00E74D14">
        <w:t xml:space="preserve"> platforms</w:t>
      </w:r>
      <w:r w:rsidRPr="00F117C8">
        <w:t xml:space="preserve"> </w:t>
      </w:r>
      <w:r w:rsidRPr="00E74D14">
        <w:t>are being developed to “break down various access barriers” and increase the number of consumers receiving effective treat</w:t>
      </w:r>
      <w:r w:rsidRPr="00FB3470">
        <w:t>ment</w:t>
      </w:r>
      <w:r w:rsidR="00FB3470" w:rsidRPr="003D1482">
        <w:t xml:space="preserve">. </w:t>
      </w:r>
      <w:r w:rsidRPr="00FB3470">
        <w:t>For</w:t>
      </w:r>
      <w:r w:rsidRPr="00E74D14">
        <w:t xml:space="preserve"> example, the </w:t>
      </w:r>
      <w:r w:rsidRPr="00C8293F">
        <w:rPr>
          <w:i/>
        </w:rPr>
        <w:t>Head to Health</w:t>
      </w:r>
      <w:r w:rsidRPr="00E74D14">
        <w:t xml:space="preserve"> website collates hundreds of digital mental health resources available from government and non-government providers, including online programs and apps, online forums, email and telephone services, and other dedicated websites.</w:t>
      </w:r>
      <w:r w:rsidRPr="00E74D14">
        <w:rPr>
          <w:vertAlign w:val="superscript"/>
        </w:rPr>
        <w:footnoteReference w:id="71"/>
      </w:r>
      <w:r w:rsidRPr="00E74D14">
        <w:t xml:space="preserve"> Digital gateways for specific consumer groups have also been developed such as </w:t>
      </w:r>
      <w:r w:rsidR="0097049F">
        <w:rPr>
          <w:i/>
        </w:rPr>
        <w:t>H</w:t>
      </w:r>
      <w:r w:rsidRPr="00C8293F">
        <w:rPr>
          <w:i/>
        </w:rPr>
        <w:t>eadspace</w:t>
      </w:r>
      <w:r w:rsidRPr="00E74D14">
        <w:rPr>
          <w:i/>
          <w:vertAlign w:val="superscript"/>
        </w:rPr>
        <w:footnoteReference w:id="72"/>
      </w:r>
      <w:r w:rsidRPr="00E74D14">
        <w:t xml:space="preserve">, which aims to support younger people, and </w:t>
      </w:r>
      <w:r w:rsidRPr="00C8293F">
        <w:rPr>
          <w:i/>
        </w:rPr>
        <w:t>Wellmob</w:t>
      </w:r>
      <w:r w:rsidRPr="00E74D14">
        <w:t xml:space="preserve">, which </w:t>
      </w:r>
      <w:r w:rsidRPr="00E74D14">
        <w:lastRenderedPageBreak/>
        <w:t xml:space="preserve">provides social and </w:t>
      </w:r>
      <w:r w:rsidR="00427608" w:rsidRPr="00E74D14">
        <w:t xml:space="preserve">emotional </w:t>
      </w:r>
      <w:r w:rsidRPr="00E74D14">
        <w:t xml:space="preserve">wellbeing online resources </w:t>
      </w:r>
      <w:r w:rsidR="00930EE7" w:rsidRPr="00E74D14">
        <w:t xml:space="preserve">that are culturally relevant and accessible </w:t>
      </w:r>
      <w:r w:rsidRPr="00E74D14">
        <w:t>for Aboriginal and Torres Strait Islander People.</w:t>
      </w:r>
      <w:r w:rsidRPr="00E74D14">
        <w:rPr>
          <w:vertAlign w:val="superscript"/>
        </w:rPr>
        <w:footnoteReference w:id="73"/>
      </w:r>
    </w:p>
    <w:p w14:paraId="18CE5E97" w14:textId="01C4635C" w:rsidR="003E2B92" w:rsidRPr="00A72345" w:rsidRDefault="000B2D50" w:rsidP="00F4021A">
      <w:pPr>
        <w:pStyle w:val="NbrHeading3"/>
      </w:pPr>
      <w:bookmarkStart w:id="38" w:name="_Toc153899505"/>
      <w:r w:rsidRPr="00A72345">
        <w:t>LGBT</w:t>
      </w:r>
      <w:r w:rsidR="00A60094">
        <w:t>Q</w:t>
      </w:r>
      <w:r w:rsidR="003E2B92" w:rsidRPr="00A72345">
        <w:t xml:space="preserve">+ </w:t>
      </w:r>
      <w:r w:rsidR="004E3CA0" w:rsidRPr="00A72345">
        <w:t>speci</w:t>
      </w:r>
      <w:r w:rsidR="00915B0F" w:rsidRPr="00A72345">
        <w:t xml:space="preserve">alist </w:t>
      </w:r>
      <w:r w:rsidR="004E3CA0" w:rsidRPr="00A72345">
        <w:t>services</w:t>
      </w:r>
      <w:bookmarkEnd w:id="38"/>
      <w:r w:rsidR="003E2B92" w:rsidRPr="00A72345">
        <w:t xml:space="preserve"> </w:t>
      </w:r>
    </w:p>
    <w:p w14:paraId="7EEF4794" w14:textId="19076C8D" w:rsidR="007C66BC" w:rsidRPr="001A6B82" w:rsidRDefault="008A380D" w:rsidP="0063767F">
      <w:pPr>
        <w:spacing w:after="120"/>
      </w:pPr>
      <w:r w:rsidRPr="0089536B">
        <w:t xml:space="preserve">In addition to </w:t>
      </w:r>
      <w:r w:rsidR="00E506ED" w:rsidRPr="0089536B">
        <w:t xml:space="preserve">the </w:t>
      </w:r>
      <w:r w:rsidR="00465165" w:rsidRPr="0089536B">
        <w:t xml:space="preserve">general </w:t>
      </w:r>
      <w:r w:rsidR="00DE33A8" w:rsidRPr="0089536B">
        <w:t>mental health</w:t>
      </w:r>
      <w:r w:rsidR="00E710FF" w:rsidRPr="0089536B">
        <w:t xml:space="preserve">, </w:t>
      </w:r>
      <w:r w:rsidR="00DE33A8" w:rsidRPr="0089536B">
        <w:t>wellbeing</w:t>
      </w:r>
      <w:r w:rsidR="00AE5115">
        <w:t>,</w:t>
      </w:r>
      <w:r w:rsidR="00DE33A8">
        <w:t xml:space="preserve"> </w:t>
      </w:r>
      <w:r w:rsidR="00E710FF">
        <w:t xml:space="preserve">and suicide prevention </w:t>
      </w:r>
      <w:r w:rsidR="00B40529">
        <w:t>services</w:t>
      </w:r>
      <w:r w:rsidR="00E506ED">
        <w:t xml:space="preserve"> described above</w:t>
      </w:r>
      <w:r w:rsidR="00F14706">
        <w:t>,</w:t>
      </w:r>
      <w:r w:rsidR="00B55610">
        <w:t xml:space="preserve"> t</w:t>
      </w:r>
      <w:r w:rsidR="00BE3B90">
        <w:t xml:space="preserve">here is a complex </w:t>
      </w:r>
      <w:r w:rsidR="00993C12">
        <w:t>variety and distribution of</w:t>
      </w:r>
      <w:r w:rsidR="00DA56AB">
        <w:t xml:space="preserve"> </w:t>
      </w:r>
      <w:r w:rsidR="00BE3B90">
        <w:t>services</w:t>
      </w:r>
      <w:r w:rsidR="00DA56AB">
        <w:t xml:space="preserve"> which</w:t>
      </w:r>
      <w:r w:rsidR="00BE3B90">
        <w:t xml:space="preserve"> specifically cater </w:t>
      </w:r>
      <w:r w:rsidR="00DA56AB">
        <w:t xml:space="preserve">to </w:t>
      </w:r>
      <w:r w:rsidR="00BE3B90">
        <w:t xml:space="preserve">people in the </w:t>
      </w:r>
      <w:r w:rsidR="000B2D50">
        <w:t>LGBT</w:t>
      </w:r>
      <w:r w:rsidR="00993C12">
        <w:t>Q</w:t>
      </w:r>
      <w:r w:rsidR="00BE3B90">
        <w:t>+ community</w:t>
      </w:r>
      <w:r w:rsidR="003B775B">
        <w:t>.</w:t>
      </w:r>
      <w:r w:rsidR="00983873">
        <w:t xml:space="preserve"> </w:t>
      </w:r>
      <w:r w:rsidR="0085690F" w:rsidRPr="00AB45BB">
        <w:t>T</w:t>
      </w:r>
      <w:r w:rsidR="00E506ED" w:rsidRPr="00AB45BB">
        <w:t xml:space="preserve">hese </w:t>
      </w:r>
      <w:r w:rsidR="00774A0F" w:rsidRPr="00AB45BB">
        <w:t>targeted</w:t>
      </w:r>
      <w:r w:rsidR="00715363" w:rsidRPr="00AB45BB">
        <w:t xml:space="preserve"> </w:t>
      </w:r>
      <w:r w:rsidR="0085690F" w:rsidRPr="00AB45BB">
        <w:t xml:space="preserve">services </w:t>
      </w:r>
      <w:r w:rsidR="00FE19C8">
        <w:t>are promoted as delivering</w:t>
      </w:r>
      <w:r w:rsidR="0063767F" w:rsidRPr="00AB45BB">
        <w:t xml:space="preserve"> </w:t>
      </w:r>
      <w:r w:rsidR="00D94F30" w:rsidRPr="00AB45BB">
        <w:t>an affirmative and supportive service</w:t>
      </w:r>
      <w:r w:rsidR="00365CF2" w:rsidRPr="00AB45BB">
        <w:t xml:space="preserve"> option</w:t>
      </w:r>
      <w:r w:rsidR="0063767F" w:rsidRPr="00AB45BB">
        <w:t xml:space="preserve">, </w:t>
      </w:r>
      <w:r w:rsidR="00FE19C8">
        <w:t xml:space="preserve">thereby </w:t>
      </w:r>
      <w:r w:rsidR="000C7379" w:rsidRPr="00AB45BB">
        <w:t>reduc</w:t>
      </w:r>
      <w:r w:rsidR="0063767F" w:rsidRPr="00AB45BB">
        <w:t>ing</w:t>
      </w:r>
      <w:r w:rsidR="000C7379" w:rsidRPr="00AB45BB">
        <w:t xml:space="preserve"> barriers </w:t>
      </w:r>
      <w:r w:rsidR="00B16F2C" w:rsidRPr="00AB45BB">
        <w:t xml:space="preserve">to care </w:t>
      </w:r>
      <w:r w:rsidR="00FE19C8">
        <w:t xml:space="preserve">and support </w:t>
      </w:r>
      <w:r w:rsidR="00936282" w:rsidRPr="00AB45BB">
        <w:t>(</w:t>
      </w:r>
      <w:r w:rsidR="00715363" w:rsidRPr="00AB45BB">
        <w:t xml:space="preserve">see Section </w:t>
      </w:r>
      <w:r w:rsidR="001D79DB">
        <w:t>5</w:t>
      </w:r>
      <w:r w:rsidR="00562C8E" w:rsidRPr="00AB45BB">
        <w:t>)</w:t>
      </w:r>
      <w:r w:rsidR="00AE5115">
        <w:t>,</w:t>
      </w:r>
      <w:r w:rsidR="0063767F" w:rsidRPr="00AB45BB">
        <w:t xml:space="preserve"> and support</w:t>
      </w:r>
      <w:r w:rsidR="002C2BAC" w:rsidRPr="00AB45BB">
        <w:t>ing</w:t>
      </w:r>
      <w:r w:rsidR="0063767F" w:rsidRPr="00AB45BB">
        <w:t xml:space="preserve"> LGBT</w:t>
      </w:r>
      <w:r w:rsidR="001D79DB">
        <w:t>Q</w:t>
      </w:r>
      <w:r w:rsidR="0063767F" w:rsidRPr="00AB45BB">
        <w:t xml:space="preserve">+ people to access care tailored to </w:t>
      </w:r>
      <w:r w:rsidR="002455C7">
        <w:t xml:space="preserve">the </w:t>
      </w:r>
      <w:r w:rsidR="0063767F" w:rsidRPr="00AB45BB">
        <w:t xml:space="preserve">specific needs related to their </w:t>
      </w:r>
      <w:r w:rsidR="001D79DB">
        <w:t xml:space="preserve">experiences as an </w:t>
      </w:r>
      <w:r w:rsidR="0063767F" w:rsidRPr="001A6B82">
        <w:t>LGBT</w:t>
      </w:r>
      <w:r w:rsidR="001D79DB">
        <w:t>Q</w:t>
      </w:r>
      <w:r w:rsidR="0063767F" w:rsidRPr="001A6B82">
        <w:t xml:space="preserve">+ </w:t>
      </w:r>
      <w:r w:rsidR="001D79DB">
        <w:t>person</w:t>
      </w:r>
      <w:r w:rsidR="0063767F" w:rsidRPr="001A6B82">
        <w:t xml:space="preserve"> (see Section </w:t>
      </w:r>
      <w:r w:rsidR="001D79DB">
        <w:t>4</w:t>
      </w:r>
      <w:r w:rsidR="0063767F" w:rsidRPr="001A6B82">
        <w:t>).</w:t>
      </w:r>
    </w:p>
    <w:p w14:paraId="4562EBE3" w14:textId="3A3B449E" w:rsidR="000737CB" w:rsidRDefault="00306F70" w:rsidP="00A74059">
      <w:pPr>
        <w:pStyle w:val="ListBullet0"/>
        <w:numPr>
          <w:ilvl w:val="0"/>
          <w:numId w:val="0"/>
        </w:numPr>
        <w:rPr>
          <w:color w:val="000000" w:themeColor="text1"/>
        </w:rPr>
      </w:pPr>
      <w:r w:rsidRPr="001A6B82">
        <w:t xml:space="preserve">These services vary </w:t>
      </w:r>
      <w:r w:rsidR="00A9018F" w:rsidRPr="001A6B82">
        <w:t xml:space="preserve">in terms of </w:t>
      </w:r>
      <w:r w:rsidR="00C119FD" w:rsidRPr="001A6B82">
        <w:t>their models of funding and delivery</w:t>
      </w:r>
      <w:r w:rsidR="00A9018F" w:rsidRPr="001A6B82">
        <w:t>, as well as</w:t>
      </w:r>
      <w:r w:rsidR="00A9018F" w:rsidRPr="00A9018F">
        <w:t xml:space="preserve"> the types of care provided</w:t>
      </w:r>
      <w:r w:rsidR="00302B3E">
        <w:t xml:space="preserve">. </w:t>
      </w:r>
      <w:r w:rsidR="001F487C" w:rsidRPr="00C62724">
        <w:t>Many services</w:t>
      </w:r>
      <w:r w:rsidR="00B35631" w:rsidRPr="00C62724">
        <w:t xml:space="preserve"> are</w:t>
      </w:r>
      <w:r w:rsidR="001F487C" w:rsidRPr="00C62724">
        <w:t xml:space="preserve"> delivered by community-controlled organisations which are governed by and operated for affected communities, enabling them to deliver trusted and </w:t>
      </w:r>
      <w:r w:rsidR="00BD145E" w:rsidRPr="00C62724">
        <w:t>culturally appropriate</w:t>
      </w:r>
      <w:r w:rsidR="001F487C" w:rsidRPr="00C62724">
        <w:t xml:space="preserve"> services.</w:t>
      </w:r>
      <w:r w:rsidR="00161DAC" w:rsidRPr="00C62724">
        <w:t xml:space="preserve"> </w:t>
      </w:r>
      <w:r w:rsidR="00556B1A" w:rsidRPr="00C62724">
        <w:t xml:space="preserve">There are also </w:t>
      </w:r>
      <w:proofErr w:type="gramStart"/>
      <w:r w:rsidR="00556B1A" w:rsidRPr="00C62724">
        <w:t>a number of</w:t>
      </w:r>
      <w:proofErr w:type="gramEnd"/>
      <w:r w:rsidR="00556B1A" w:rsidRPr="00C62724">
        <w:t xml:space="preserve"> services delivered directly through publicly funded </w:t>
      </w:r>
      <w:r w:rsidR="4D99CBF9">
        <w:t>services</w:t>
      </w:r>
      <w:r w:rsidR="00556B1A" w:rsidRPr="00C62724">
        <w:t xml:space="preserve"> and local </w:t>
      </w:r>
      <w:r w:rsidR="00E20FE7" w:rsidRPr="00C62724">
        <w:t>health districts</w:t>
      </w:r>
      <w:r w:rsidR="008B61E4">
        <w:t xml:space="preserve"> (LHD)</w:t>
      </w:r>
      <w:r w:rsidR="003D62E5" w:rsidRPr="00C62724">
        <w:t xml:space="preserve">, as well as by private </w:t>
      </w:r>
      <w:r w:rsidR="6192C35F">
        <w:t>providers</w:t>
      </w:r>
      <w:r w:rsidR="003D62E5">
        <w:t>.</w:t>
      </w:r>
      <w:r w:rsidR="00E70EA4" w:rsidRPr="00C62724">
        <w:t xml:space="preserve"> I</w:t>
      </w:r>
      <w:r w:rsidR="00D77FE6" w:rsidRPr="00C62724">
        <w:t>n</w:t>
      </w:r>
      <w:r w:rsidR="00E70EA4" w:rsidRPr="00C62724">
        <w:t xml:space="preserve"> add</w:t>
      </w:r>
      <w:r w:rsidR="00D77FE6" w:rsidRPr="00C62724">
        <w:t>ition,</w:t>
      </w:r>
      <w:r w:rsidR="00D77FE6">
        <w:t xml:space="preserve"> </w:t>
      </w:r>
      <w:r w:rsidR="0A5EDC84">
        <w:t>formal and</w:t>
      </w:r>
      <w:r w:rsidR="00D77FE6" w:rsidRPr="00C62724">
        <w:t xml:space="preserve"> </w:t>
      </w:r>
      <w:r w:rsidR="000737CB" w:rsidRPr="00C62724">
        <w:t xml:space="preserve">informal mental health and peer support services </w:t>
      </w:r>
      <w:r w:rsidR="00D77FE6" w:rsidRPr="00C62724">
        <w:t xml:space="preserve">are </w:t>
      </w:r>
      <w:r w:rsidR="000737CB" w:rsidRPr="00C62724">
        <w:t>provided to LGBT</w:t>
      </w:r>
      <w:r w:rsidR="004D4B1E">
        <w:t>Q</w:t>
      </w:r>
      <w:r w:rsidR="000737CB" w:rsidRPr="00C62724">
        <w:t>+ people in a variety of other settings</w:t>
      </w:r>
      <w:r w:rsidR="00AE5115">
        <w:t>,</w:t>
      </w:r>
      <w:r w:rsidR="000737CB" w:rsidRPr="00C62724">
        <w:t xml:space="preserve"> including through local councils, education providers</w:t>
      </w:r>
      <w:r w:rsidR="00AE5115">
        <w:t>,</w:t>
      </w:r>
      <w:r w:rsidR="00697C65" w:rsidRPr="00C62724">
        <w:t xml:space="preserve"> and through online platforms</w:t>
      </w:r>
      <w:r w:rsidR="000737CB" w:rsidRPr="00C62724">
        <w:t>.</w:t>
      </w:r>
    </w:p>
    <w:p w14:paraId="6E3BB159" w14:textId="08958E53" w:rsidR="0006529E" w:rsidRPr="001A6B82" w:rsidRDefault="0006529E" w:rsidP="00A74059">
      <w:pPr>
        <w:pStyle w:val="ListBullet0"/>
        <w:numPr>
          <w:ilvl w:val="0"/>
          <w:numId w:val="0"/>
        </w:numPr>
      </w:pPr>
      <w:r w:rsidRPr="001A6B82">
        <w:t>M</w:t>
      </w:r>
      <w:r w:rsidR="00B9173F" w:rsidRPr="001A6B82">
        <w:t>any</w:t>
      </w:r>
      <w:r w:rsidRPr="001A6B82">
        <w:t xml:space="preserve"> LGBT</w:t>
      </w:r>
      <w:r w:rsidR="004D4B1E">
        <w:t>Q</w:t>
      </w:r>
      <w:r w:rsidRPr="001A6B82">
        <w:t xml:space="preserve">+ specialist service options have been established by the community in response to local need </w:t>
      </w:r>
      <w:r w:rsidR="00B9173F" w:rsidRPr="001A6B82">
        <w:t>and,</w:t>
      </w:r>
      <w:r w:rsidRPr="001A6B82">
        <w:t xml:space="preserve"> in some cases</w:t>
      </w:r>
      <w:r w:rsidR="00B9173F" w:rsidRPr="001A6B82">
        <w:t>,</w:t>
      </w:r>
      <w:r w:rsidRPr="001A6B82">
        <w:t xml:space="preserve"> upscaled with government funding. There is, therefore, a patchwork of LGBT</w:t>
      </w:r>
      <w:r w:rsidR="004D4B1E">
        <w:t>Q</w:t>
      </w:r>
      <w:r w:rsidRPr="001A6B82">
        <w:t>+ specialist services available in Australia, with only a few examples of services with either state-wide or national coverage</w:t>
      </w:r>
      <w:r w:rsidR="006B676B">
        <w:t xml:space="preserve"> (e.g., Q Life)</w:t>
      </w:r>
      <w:r w:rsidRPr="001A6B82">
        <w:t>. As such, the availability of different types of LGBT</w:t>
      </w:r>
      <w:r w:rsidR="004D4B1E">
        <w:t>Q</w:t>
      </w:r>
      <w:r w:rsidRPr="001A6B82">
        <w:t>+ specific mental health care services va</w:t>
      </w:r>
      <w:r w:rsidR="006B676B">
        <w:t>r</w:t>
      </w:r>
      <w:r w:rsidR="00AE5115">
        <w:t>ies</w:t>
      </w:r>
      <w:r w:rsidR="009C2021" w:rsidRPr="001A6B82">
        <w:t xml:space="preserve"> substantially </w:t>
      </w:r>
      <w:r w:rsidRPr="001A6B82">
        <w:t>by location.</w:t>
      </w:r>
      <w:r w:rsidR="004D4B1E">
        <w:t xml:space="preserve"> </w:t>
      </w:r>
      <w:r w:rsidR="00322B66" w:rsidRPr="001A6B82">
        <w:t>LGBT</w:t>
      </w:r>
      <w:r w:rsidR="004D4B1E">
        <w:t>Q</w:t>
      </w:r>
      <w:r w:rsidR="00322B66" w:rsidRPr="001A6B82">
        <w:t>+ advocacy groups have called for improvements to the specialist services available</w:t>
      </w:r>
      <w:r w:rsidR="00AE5115">
        <w:t>,</w:t>
      </w:r>
      <w:r w:rsidR="00322B66" w:rsidRPr="001A6B82">
        <w:t xml:space="preserve"> to ensure an adequate continuum of </w:t>
      </w:r>
      <w:r w:rsidR="00B96CD0" w:rsidRPr="001A6B82">
        <w:t>safe and affirming mental health care</w:t>
      </w:r>
      <w:r w:rsidR="00724F00" w:rsidRPr="001A6B82">
        <w:t xml:space="preserve"> in all locations</w:t>
      </w:r>
      <w:r w:rsidR="00B96CD0" w:rsidRPr="001A6B82">
        <w:t>.</w:t>
      </w:r>
      <w:r w:rsidR="00A74C02" w:rsidRPr="001A6B82">
        <w:rPr>
          <w:rStyle w:val="FootnoteReference"/>
        </w:rPr>
        <w:footnoteReference w:id="74"/>
      </w:r>
    </w:p>
    <w:p w14:paraId="470F5D19" w14:textId="688F5C3F" w:rsidR="0062448A" w:rsidRDefault="002007FE" w:rsidP="00A74059">
      <w:pPr>
        <w:pStyle w:val="ListBullet0"/>
        <w:numPr>
          <w:ilvl w:val="0"/>
          <w:numId w:val="0"/>
        </w:numPr>
      </w:pPr>
      <w:r>
        <w:t>The discussion below out</w:t>
      </w:r>
      <w:r w:rsidR="009F2456">
        <w:t xml:space="preserve">lines the major types of </w:t>
      </w:r>
      <w:r w:rsidR="00822419">
        <w:t xml:space="preserve">mental health </w:t>
      </w:r>
      <w:r w:rsidR="009F2456">
        <w:t>services available</w:t>
      </w:r>
      <w:r w:rsidR="002C2E36">
        <w:t xml:space="preserve">, categorised </w:t>
      </w:r>
      <w:r w:rsidR="00620C2A">
        <w:t>as</w:t>
      </w:r>
      <w:r w:rsidR="002C2E36">
        <w:t xml:space="preserve"> follow</w:t>
      </w:r>
      <w:r w:rsidR="00620C2A">
        <w:t>s</w:t>
      </w:r>
      <w:r w:rsidR="002C2E36">
        <w:t>:</w:t>
      </w:r>
      <w:r w:rsidR="009F2456">
        <w:t xml:space="preserve"> </w:t>
      </w:r>
    </w:p>
    <w:p w14:paraId="2CCEA99C" w14:textId="475318BA" w:rsidR="00FE19C8" w:rsidRPr="00FE19C8" w:rsidRDefault="00FE19C8" w:rsidP="00FE19C8">
      <w:pPr>
        <w:pStyle w:val="ListBullet0"/>
      </w:pPr>
      <w:r w:rsidRPr="00FE19C8">
        <w:t>Dedicated LGBT</w:t>
      </w:r>
      <w:r w:rsidR="006B676B">
        <w:t>Q</w:t>
      </w:r>
      <w:r w:rsidRPr="00FE19C8">
        <w:t xml:space="preserve">+ </w:t>
      </w:r>
      <w:r w:rsidR="009E4AC8">
        <w:t>s</w:t>
      </w:r>
      <w:r w:rsidRPr="00FE19C8">
        <w:t xml:space="preserve">ervice hubs </w:t>
      </w:r>
    </w:p>
    <w:p w14:paraId="0F4DA31C" w14:textId="47368517" w:rsidR="00FE19C8" w:rsidRPr="00FE19C8" w:rsidRDefault="00FE19C8" w:rsidP="00FE19C8">
      <w:pPr>
        <w:pStyle w:val="ListBullet0"/>
        <w:rPr>
          <w:color w:val="000000" w:themeColor="text1"/>
        </w:rPr>
      </w:pPr>
      <w:r w:rsidRPr="00FE19C8">
        <w:t>Specialist LGBT</w:t>
      </w:r>
      <w:r w:rsidR="006B676B">
        <w:t>Q</w:t>
      </w:r>
      <w:r w:rsidRPr="00FE19C8">
        <w:t xml:space="preserve">+ </w:t>
      </w:r>
      <w:r w:rsidR="0086077F">
        <w:t>services in PHNs</w:t>
      </w:r>
    </w:p>
    <w:p w14:paraId="769B52D4" w14:textId="77777777" w:rsidR="002213DB" w:rsidRDefault="002213DB" w:rsidP="00FE19C8">
      <w:pPr>
        <w:pStyle w:val="ListBullet0"/>
      </w:pPr>
      <w:r>
        <w:t>Private Options</w:t>
      </w:r>
    </w:p>
    <w:p w14:paraId="3077300E" w14:textId="1100E618" w:rsidR="00FE19C8" w:rsidRPr="00FE19C8" w:rsidRDefault="00FE19C8" w:rsidP="00FE19C8">
      <w:pPr>
        <w:pStyle w:val="ListBullet0"/>
      </w:pPr>
      <w:r w:rsidRPr="00FE19C8">
        <w:t>Digital gateways, helplines</w:t>
      </w:r>
      <w:r w:rsidR="001A6B82">
        <w:t>,</w:t>
      </w:r>
      <w:r w:rsidRPr="00FE19C8">
        <w:t xml:space="preserve"> and webchat platforms </w:t>
      </w:r>
    </w:p>
    <w:p w14:paraId="677B5C7B" w14:textId="3FDF4DA1" w:rsidR="00FE19C8" w:rsidRPr="00FE19C8" w:rsidRDefault="00FE19C8" w:rsidP="00FE19C8">
      <w:pPr>
        <w:pStyle w:val="ListBullet0"/>
      </w:pPr>
      <w:r w:rsidRPr="00FE19C8">
        <w:t xml:space="preserve">Digital resource platforms and wellbeing apps </w:t>
      </w:r>
    </w:p>
    <w:p w14:paraId="335DE217" w14:textId="65630277" w:rsidR="00FA14A1" w:rsidRDefault="00FA14A1" w:rsidP="00A74059">
      <w:pPr>
        <w:pStyle w:val="ListBullet0"/>
      </w:pPr>
      <w:r w:rsidRPr="00FE19C8">
        <w:t xml:space="preserve">Social programs </w:t>
      </w:r>
      <w:r>
        <w:t>which aim to provide preventative mental health care by reducing social isolation and loneliness for LGTB</w:t>
      </w:r>
      <w:r w:rsidR="006B676B">
        <w:t>Q</w:t>
      </w:r>
      <w:r>
        <w:t>+ people</w:t>
      </w:r>
      <w:r w:rsidR="00285902">
        <w:t>.</w:t>
      </w:r>
    </w:p>
    <w:p w14:paraId="6BFE5619" w14:textId="5B8B4ACD" w:rsidR="00FE19C8" w:rsidRPr="00FE19C8" w:rsidRDefault="00FE19C8" w:rsidP="00FE19C8">
      <w:r>
        <w:t>Each of these are expanded upon below.</w:t>
      </w:r>
    </w:p>
    <w:p w14:paraId="24DE8956" w14:textId="4E9D31D0" w:rsidR="00856AE3" w:rsidRDefault="007F3EE5" w:rsidP="009B406F">
      <w:pPr>
        <w:pStyle w:val="NbrHeading4"/>
      </w:pPr>
      <w:r>
        <w:lastRenderedPageBreak/>
        <w:t xml:space="preserve">Dedicated </w:t>
      </w:r>
      <w:r w:rsidR="00FE1B49">
        <w:t xml:space="preserve">Service </w:t>
      </w:r>
      <w:r>
        <w:t xml:space="preserve">Hubs </w:t>
      </w:r>
    </w:p>
    <w:p w14:paraId="0B6DBAAF" w14:textId="2998D35F" w:rsidR="00FE19C8" w:rsidRDefault="00C1125A" w:rsidP="00C1125A">
      <w:pPr>
        <w:rPr>
          <w:lang w:eastAsia="en-AU"/>
        </w:rPr>
      </w:pPr>
      <w:r>
        <w:rPr>
          <w:lang w:eastAsia="en-AU"/>
        </w:rPr>
        <w:t xml:space="preserve">There are </w:t>
      </w:r>
      <w:proofErr w:type="gramStart"/>
      <w:r>
        <w:rPr>
          <w:lang w:eastAsia="en-AU"/>
        </w:rPr>
        <w:t>a number o</w:t>
      </w:r>
      <w:r w:rsidR="00AE49CE">
        <w:rPr>
          <w:lang w:eastAsia="en-AU"/>
        </w:rPr>
        <w:t>f</w:t>
      </w:r>
      <w:proofErr w:type="gramEnd"/>
      <w:r w:rsidR="003577A4">
        <w:rPr>
          <w:lang w:eastAsia="en-AU"/>
        </w:rPr>
        <w:t xml:space="preserve"> organisations</w:t>
      </w:r>
      <w:r w:rsidR="00D52435">
        <w:rPr>
          <w:lang w:eastAsia="en-AU"/>
        </w:rPr>
        <w:t xml:space="preserve"> </w:t>
      </w:r>
      <w:r w:rsidR="00B63E70">
        <w:rPr>
          <w:lang w:eastAsia="en-AU"/>
        </w:rPr>
        <w:t>operating</w:t>
      </w:r>
      <w:r w:rsidR="00FE19C8">
        <w:rPr>
          <w:lang w:eastAsia="en-AU"/>
        </w:rPr>
        <w:t xml:space="preserve"> in Australia that</w:t>
      </w:r>
      <w:r w:rsidR="0013710B">
        <w:rPr>
          <w:lang w:eastAsia="en-AU"/>
        </w:rPr>
        <w:t xml:space="preserve"> </w:t>
      </w:r>
      <w:r w:rsidR="00FE19C8">
        <w:rPr>
          <w:lang w:eastAsia="en-AU"/>
        </w:rPr>
        <w:t>offer a broad arrange of services, supports</w:t>
      </w:r>
      <w:r w:rsidR="00AE5115">
        <w:rPr>
          <w:lang w:eastAsia="en-AU"/>
        </w:rPr>
        <w:t>,</w:t>
      </w:r>
      <w:r w:rsidR="00FE19C8">
        <w:rPr>
          <w:lang w:eastAsia="en-AU"/>
        </w:rPr>
        <w:t xml:space="preserve"> and activities</w:t>
      </w:r>
      <w:r w:rsidR="00AE5115">
        <w:rPr>
          <w:lang w:eastAsia="en-AU"/>
        </w:rPr>
        <w:t>,</w:t>
      </w:r>
      <w:r w:rsidR="00FE19C8">
        <w:rPr>
          <w:lang w:eastAsia="en-AU"/>
        </w:rPr>
        <w:t xml:space="preserve"> specifically for the </w:t>
      </w:r>
      <w:r w:rsidR="0013710B">
        <w:rPr>
          <w:lang w:eastAsia="en-AU"/>
        </w:rPr>
        <w:t>LGBT</w:t>
      </w:r>
      <w:r w:rsidR="006B676B">
        <w:rPr>
          <w:lang w:eastAsia="en-AU"/>
        </w:rPr>
        <w:t>Q</w:t>
      </w:r>
      <w:r w:rsidR="0013710B">
        <w:rPr>
          <w:lang w:eastAsia="en-AU"/>
        </w:rPr>
        <w:t xml:space="preserve">+ </w:t>
      </w:r>
      <w:r w:rsidR="00FE19C8">
        <w:rPr>
          <w:lang w:eastAsia="en-AU"/>
        </w:rPr>
        <w:t xml:space="preserve">community. Included amongst these are </w:t>
      </w:r>
      <w:r w:rsidR="0013710B">
        <w:rPr>
          <w:lang w:eastAsia="en-AU"/>
        </w:rPr>
        <w:t>heath, mental health</w:t>
      </w:r>
      <w:r w:rsidR="00AE5115">
        <w:rPr>
          <w:lang w:eastAsia="en-AU"/>
        </w:rPr>
        <w:t>,</w:t>
      </w:r>
      <w:r w:rsidR="0013710B">
        <w:rPr>
          <w:lang w:eastAsia="en-AU"/>
        </w:rPr>
        <w:t xml:space="preserve"> and wellbeing</w:t>
      </w:r>
      <w:r w:rsidR="00B63E70">
        <w:rPr>
          <w:lang w:eastAsia="en-AU"/>
        </w:rPr>
        <w:t xml:space="preserve"> </w:t>
      </w:r>
      <w:r w:rsidR="00FE19C8">
        <w:rPr>
          <w:lang w:eastAsia="en-AU"/>
        </w:rPr>
        <w:t>services and supports</w:t>
      </w:r>
      <w:r w:rsidR="00AE5115">
        <w:rPr>
          <w:lang w:eastAsia="en-AU"/>
        </w:rPr>
        <w:t>,</w:t>
      </w:r>
      <w:r w:rsidR="00FE19C8">
        <w:rPr>
          <w:lang w:eastAsia="en-AU"/>
        </w:rPr>
        <w:t xml:space="preserve"> designed to </w:t>
      </w:r>
      <w:r w:rsidR="007F78E6">
        <w:rPr>
          <w:lang w:eastAsia="en-AU"/>
        </w:rPr>
        <w:t xml:space="preserve">suit different needs and </w:t>
      </w:r>
      <w:r w:rsidR="00FE19C8">
        <w:rPr>
          <w:lang w:eastAsia="en-AU"/>
        </w:rPr>
        <w:t xml:space="preserve">individual </w:t>
      </w:r>
      <w:r w:rsidR="007F78E6">
        <w:rPr>
          <w:lang w:eastAsia="en-AU"/>
        </w:rPr>
        <w:t>preferences.</w:t>
      </w:r>
      <w:r w:rsidR="00A00EBA">
        <w:rPr>
          <w:lang w:eastAsia="en-AU"/>
        </w:rPr>
        <w:t xml:space="preserve"> </w:t>
      </w:r>
    </w:p>
    <w:p w14:paraId="7E82F63C" w14:textId="1EEA98FF" w:rsidR="00D31330" w:rsidRDefault="00D31330" w:rsidP="00D31330">
      <w:pPr>
        <w:rPr>
          <w:lang w:eastAsia="en-AU"/>
        </w:rPr>
      </w:pPr>
      <w:r>
        <w:rPr>
          <w:lang w:eastAsia="en-AU"/>
        </w:rPr>
        <w:t>T</w:t>
      </w:r>
      <w:r w:rsidR="00A00EBA">
        <w:rPr>
          <w:lang w:eastAsia="en-AU"/>
        </w:rPr>
        <w:t xml:space="preserve">hese </w:t>
      </w:r>
      <w:r>
        <w:rPr>
          <w:lang w:eastAsia="en-AU"/>
        </w:rPr>
        <w:t>dedicated LGBT</w:t>
      </w:r>
      <w:r w:rsidR="0020688A">
        <w:rPr>
          <w:lang w:eastAsia="en-AU"/>
        </w:rPr>
        <w:t>Q</w:t>
      </w:r>
      <w:r>
        <w:rPr>
          <w:lang w:eastAsia="en-AU"/>
        </w:rPr>
        <w:t xml:space="preserve">+ hubs </w:t>
      </w:r>
      <w:r w:rsidR="00EC5EC4">
        <w:rPr>
          <w:lang w:eastAsia="en-AU"/>
        </w:rPr>
        <w:t>of</w:t>
      </w:r>
      <w:r w:rsidR="00AE5115">
        <w:rPr>
          <w:lang w:eastAsia="en-AU"/>
        </w:rPr>
        <w:t>fer</w:t>
      </w:r>
      <w:r w:rsidR="00EC5EC4">
        <w:rPr>
          <w:lang w:eastAsia="en-AU"/>
        </w:rPr>
        <w:t xml:space="preserve"> </w:t>
      </w:r>
      <w:r>
        <w:rPr>
          <w:lang w:eastAsia="en-AU"/>
        </w:rPr>
        <w:t xml:space="preserve">a </w:t>
      </w:r>
      <w:r w:rsidR="00A00EBA">
        <w:rPr>
          <w:lang w:eastAsia="en-AU"/>
        </w:rPr>
        <w:t xml:space="preserve">range </w:t>
      </w:r>
      <w:r>
        <w:rPr>
          <w:lang w:eastAsia="en-AU"/>
        </w:rPr>
        <w:t>of options</w:t>
      </w:r>
      <w:r w:rsidR="00AE5115">
        <w:rPr>
          <w:lang w:eastAsia="en-AU"/>
        </w:rPr>
        <w:t>,</w:t>
      </w:r>
      <w:r>
        <w:rPr>
          <w:lang w:eastAsia="en-AU"/>
        </w:rPr>
        <w:t xml:space="preserve"> </w:t>
      </w:r>
      <w:r w:rsidR="00A00EBA">
        <w:rPr>
          <w:lang w:eastAsia="en-AU"/>
        </w:rPr>
        <w:t xml:space="preserve">from </w:t>
      </w:r>
      <w:r w:rsidR="00EC5EC4">
        <w:rPr>
          <w:lang w:eastAsia="en-AU"/>
        </w:rPr>
        <w:t>counselling through to peer support, case management</w:t>
      </w:r>
      <w:r w:rsidR="00AE5115">
        <w:rPr>
          <w:lang w:eastAsia="en-AU"/>
        </w:rPr>
        <w:t>,</w:t>
      </w:r>
      <w:r w:rsidR="00914F6C">
        <w:rPr>
          <w:lang w:eastAsia="en-AU"/>
        </w:rPr>
        <w:t xml:space="preserve"> and general life support,</w:t>
      </w:r>
      <w:r w:rsidR="00EC5EC4">
        <w:rPr>
          <w:lang w:eastAsia="en-AU"/>
        </w:rPr>
        <w:t xml:space="preserve"> </w:t>
      </w:r>
      <w:r w:rsidR="005D4EBB">
        <w:rPr>
          <w:lang w:eastAsia="en-AU"/>
        </w:rPr>
        <w:t xml:space="preserve">as well as </w:t>
      </w:r>
      <w:r w:rsidR="00EC5EC4">
        <w:rPr>
          <w:lang w:eastAsia="en-AU"/>
        </w:rPr>
        <w:t>the creation of safe spaces</w:t>
      </w:r>
      <w:r w:rsidR="00BD20DC">
        <w:rPr>
          <w:lang w:eastAsia="en-AU"/>
        </w:rPr>
        <w:t xml:space="preserve"> and opportunities to socialise with LGBT</w:t>
      </w:r>
      <w:r w:rsidR="0020688A">
        <w:rPr>
          <w:lang w:eastAsia="en-AU"/>
        </w:rPr>
        <w:t>Q</w:t>
      </w:r>
      <w:r w:rsidR="00BD20DC">
        <w:rPr>
          <w:lang w:eastAsia="en-AU"/>
        </w:rPr>
        <w:t>+ peers</w:t>
      </w:r>
      <w:r w:rsidR="00EC5EC4">
        <w:rPr>
          <w:lang w:eastAsia="en-AU"/>
        </w:rPr>
        <w:t>.</w:t>
      </w:r>
      <w:r>
        <w:rPr>
          <w:lang w:eastAsia="en-AU"/>
        </w:rPr>
        <w:t xml:space="preserve"> Below are short descriptions of the two largest of these, noting that equivalent broad-based centres operate in most other states and territories.</w:t>
      </w:r>
    </w:p>
    <w:p w14:paraId="092CC856" w14:textId="5DADDA4B" w:rsidR="000E2430" w:rsidRDefault="000E2430">
      <w:pPr>
        <w:pStyle w:val="ListBullet0"/>
      </w:pPr>
      <w:hyperlink r:id="rId65" w:history="1">
        <w:r w:rsidRPr="005A3143">
          <w:rPr>
            <w:rStyle w:val="Hyperlink"/>
          </w:rPr>
          <w:t>ACON</w:t>
        </w:r>
      </w:hyperlink>
      <w:r w:rsidR="006440BC">
        <w:rPr>
          <w:b/>
          <w:bCs/>
        </w:rPr>
        <w:t xml:space="preserve">: </w:t>
      </w:r>
      <w:r w:rsidR="006440BC" w:rsidRPr="0094082E">
        <w:t>a</w:t>
      </w:r>
      <w:r w:rsidR="000F7B50" w:rsidRPr="000F7B50">
        <w:t xml:space="preserve"> NSW</w:t>
      </w:r>
      <w:r w:rsidR="00D31330">
        <w:t>-based</w:t>
      </w:r>
      <w:r w:rsidR="000F7B50" w:rsidRPr="000F7B50">
        <w:t xml:space="preserve"> community </w:t>
      </w:r>
      <w:r w:rsidR="007B767B">
        <w:t xml:space="preserve">controlled </w:t>
      </w:r>
      <w:r w:rsidR="000F7B50" w:rsidRPr="000F7B50">
        <w:t>organisation</w:t>
      </w:r>
      <w:r w:rsidR="00D31330">
        <w:t>, ACON</w:t>
      </w:r>
      <w:r w:rsidR="00F223E9">
        <w:t xml:space="preserve"> provides a range of services to LGTBQ+ people</w:t>
      </w:r>
      <w:r w:rsidR="007E47E1">
        <w:t>,</w:t>
      </w:r>
      <w:r w:rsidR="00F223E9">
        <w:t xml:space="preserve"> </w:t>
      </w:r>
      <w:r w:rsidR="002E3346" w:rsidRPr="005A3143">
        <w:t>includ</w:t>
      </w:r>
      <w:r w:rsidR="002E3346">
        <w:t>ing</w:t>
      </w:r>
      <w:r w:rsidR="002E3346" w:rsidRPr="005A3143">
        <w:t xml:space="preserve"> short-term </w:t>
      </w:r>
      <w:r w:rsidR="004D6CA8">
        <w:t xml:space="preserve">PRIDE </w:t>
      </w:r>
      <w:r w:rsidR="002E3346" w:rsidRPr="005A3143">
        <w:t>counsellin</w:t>
      </w:r>
      <w:r w:rsidR="004D6CA8">
        <w:t>g</w:t>
      </w:r>
      <w:r w:rsidR="002E3346" w:rsidRPr="005A3143">
        <w:t>,</w:t>
      </w:r>
      <w:r w:rsidR="00992C8A">
        <w:t xml:space="preserve"> as well as</w:t>
      </w:r>
      <w:r w:rsidR="002E3346" w:rsidRPr="005A3143">
        <w:t xml:space="preserve"> care coordination and peer support</w:t>
      </w:r>
      <w:r w:rsidR="004D6CA8">
        <w:t xml:space="preserve"> targeted to a range of different issues (e.g., </w:t>
      </w:r>
      <w:r w:rsidR="001757CF">
        <w:t>depression and anxiety</w:t>
      </w:r>
      <w:r w:rsidR="004D6CA8">
        <w:t xml:space="preserve">, substance use, domestic and family violence, suicide prevention and </w:t>
      </w:r>
      <w:r w:rsidR="00AE14E6">
        <w:t>HIV diagnosis)</w:t>
      </w:r>
      <w:r w:rsidR="00992C8A">
        <w:t>.</w:t>
      </w:r>
      <w:r w:rsidR="00634E07" w:rsidRPr="005A3143">
        <w:rPr>
          <w:rStyle w:val="FootnoteReference"/>
        </w:rPr>
        <w:footnoteReference w:id="75"/>
      </w:r>
      <w:r w:rsidR="00634E07" w:rsidRPr="005A3143">
        <w:t xml:space="preserve"> </w:t>
      </w:r>
      <w:r w:rsidR="00992C8A">
        <w:t>These services are</w:t>
      </w:r>
      <w:r w:rsidR="002E3346" w:rsidRPr="005A3143">
        <w:t xml:space="preserve"> offered via telehealth</w:t>
      </w:r>
      <w:r w:rsidR="00992C8A">
        <w:t xml:space="preserve"> across NSW</w:t>
      </w:r>
      <w:r w:rsidR="007E47E1">
        <w:t>,</w:t>
      </w:r>
      <w:r w:rsidR="002E3346" w:rsidRPr="005A3143">
        <w:t xml:space="preserve"> and in-person through ACON offices in Surry Hills and Newcastle. </w:t>
      </w:r>
      <w:r w:rsidR="002E3346">
        <w:t xml:space="preserve"> </w:t>
      </w:r>
      <w:r w:rsidR="00F621B8">
        <w:t xml:space="preserve">ACON funds their services through </w:t>
      </w:r>
      <w:r w:rsidR="002421FA">
        <w:t>income generated through fees, as well as Medicare rebates</w:t>
      </w:r>
      <w:r w:rsidR="007E47E1">
        <w:t>,</w:t>
      </w:r>
      <w:r w:rsidR="002421FA">
        <w:t xml:space="preserve"> and targeted</w:t>
      </w:r>
      <w:r w:rsidRPr="005A3143">
        <w:t xml:space="preserve"> funding from the NSW Government</w:t>
      </w:r>
      <w:r w:rsidR="002421FA">
        <w:t>. For example, ACON’s suicide prevention services were established through funding from the NSW Government’s</w:t>
      </w:r>
      <w:r w:rsidRPr="005A3143">
        <w:t xml:space="preserve"> Suicide Prevention Fund.</w:t>
      </w:r>
      <w:r w:rsidRPr="005A3143">
        <w:rPr>
          <w:rStyle w:val="FootnoteReference"/>
        </w:rPr>
        <w:footnoteReference w:id="76"/>
      </w:r>
      <w:r w:rsidRPr="005A3143">
        <w:t xml:space="preserve"> </w:t>
      </w:r>
    </w:p>
    <w:p w14:paraId="2EA971A6" w14:textId="7C4DAA39" w:rsidR="00DA1A81" w:rsidRPr="00151B5A" w:rsidRDefault="000300C4">
      <w:pPr>
        <w:pStyle w:val="ListBullet0"/>
      </w:pPr>
      <w:hyperlink r:id="rId66" w:history="1">
        <w:r w:rsidRPr="00151B5A">
          <w:rPr>
            <w:rStyle w:val="Hyperlink"/>
          </w:rPr>
          <w:t>Thorne Harbour Health</w:t>
        </w:r>
      </w:hyperlink>
      <w:r w:rsidRPr="00151B5A">
        <w:t xml:space="preserve">: a </w:t>
      </w:r>
      <w:r w:rsidR="00211975" w:rsidRPr="00151B5A">
        <w:t>V</w:t>
      </w:r>
      <w:r w:rsidR="007C1F3F" w:rsidRPr="00151B5A">
        <w:t xml:space="preserve">ictorian community-controlled organisation </w:t>
      </w:r>
      <w:r w:rsidRPr="00151B5A">
        <w:t xml:space="preserve">which </w:t>
      </w:r>
      <w:r w:rsidR="00F3244F" w:rsidRPr="00151B5A">
        <w:t>provides mental health counselling, AOD individual and group-based therapeutic interventions,</w:t>
      </w:r>
      <w:r w:rsidR="00283074" w:rsidRPr="00151B5A">
        <w:t xml:space="preserve"> as well as</w:t>
      </w:r>
      <w:r w:rsidR="00F3244F" w:rsidRPr="00151B5A">
        <w:t xml:space="preserve"> family violence services (both victim-survivors and perpetrators), housing and homelessness support</w:t>
      </w:r>
      <w:r w:rsidR="007E47E1">
        <w:t>,</w:t>
      </w:r>
      <w:r w:rsidR="00F3244F" w:rsidRPr="00151B5A">
        <w:t xml:space="preserve"> and sexual health testing and treatment.</w:t>
      </w:r>
      <w:r w:rsidR="00283074" w:rsidRPr="00151B5A">
        <w:rPr>
          <w:rStyle w:val="FootnoteReference"/>
        </w:rPr>
        <w:footnoteReference w:id="77"/>
      </w:r>
    </w:p>
    <w:p w14:paraId="319622E4" w14:textId="4BD177A2" w:rsidR="003E63DD" w:rsidRPr="000B158E" w:rsidRDefault="00C24A25" w:rsidP="009F18C2">
      <w:r>
        <w:t xml:space="preserve">There are also </w:t>
      </w:r>
      <w:proofErr w:type="gramStart"/>
      <w:r>
        <w:t>a nu</w:t>
      </w:r>
      <w:r w:rsidR="00107AEF">
        <w:t xml:space="preserve">mber </w:t>
      </w:r>
      <w:r w:rsidR="00BB14A6">
        <w:t>of</w:t>
      </w:r>
      <w:proofErr w:type="gramEnd"/>
      <w:r w:rsidR="00BB14A6">
        <w:t xml:space="preserve"> </w:t>
      </w:r>
      <w:r w:rsidR="00047F67">
        <w:t>LGBTQ</w:t>
      </w:r>
      <w:r w:rsidR="00BB14A6">
        <w:t xml:space="preserve">+ </w:t>
      </w:r>
      <w:r w:rsidR="00592FC5">
        <w:t xml:space="preserve">general service and support options that specifically cater to sub-groups within the </w:t>
      </w:r>
      <w:r w:rsidR="00047F67">
        <w:t>LGBTQ</w:t>
      </w:r>
      <w:r w:rsidR="00592FC5">
        <w:t>+ community, most specifically young people and Aboriginal and Torres Strait Islander peoples. Some examples of these services include:</w:t>
      </w:r>
    </w:p>
    <w:p w14:paraId="59702EA7" w14:textId="781CCDE5" w:rsidR="00592FC5" w:rsidRDefault="00592FC5" w:rsidP="00CC5BB8">
      <w:pPr>
        <w:numPr>
          <w:ilvl w:val="0"/>
          <w:numId w:val="8"/>
        </w:numPr>
        <w:rPr>
          <w:lang w:eastAsia="en-AU"/>
        </w:rPr>
      </w:pPr>
      <w:hyperlink r:id="rId67" w:history="1">
        <w:r w:rsidRPr="00592FC5">
          <w:rPr>
            <w:rStyle w:val="Hyperlink"/>
            <w:lang w:eastAsia="en-AU"/>
          </w:rPr>
          <w:t>Twenty10</w:t>
        </w:r>
      </w:hyperlink>
      <w:r w:rsidR="006440BC">
        <w:rPr>
          <w:rStyle w:val="Hyperlink"/>
          <w:lang w:eastAsia="en-AU"/>
        </w:rPr>
        <w:t>:</w:t>
      </w:r>
      <w:r w:rsidR="006440BC">
        <w:rPr>
          <w:lang w:eastAsia="en-AU"/>
        </w:rPr>
        <w:t xml:space="preserve"> </w:t>
      </w:r>
      <w:r w:rsidR="007E47E1">
        <w:rPr>
          <w:lang w:eastAsia="en-AU"/>
        </w:rPr>
        <w:t>t</w:t>
      </w:r>
      <w:r w:rsidR="006440BC">
        <w:rPr>
          <w:lang w:eastAsia="en-AU"/>
        </w:rPr>
        <w:t>h</w:t>
      </w:r>
      <w:r>
        <w:rPr>
          <w:lang w:eastAsia="en-AU"/>
        </w:rPr>
        <w:t>is NSW ba</w:t>
      </w:r>
      <w:r w:rsidR="001A33D6">
        <w:rPr>
          <w:lang w:eastAsia="en-AU"/>
        </w:rPr>
        <w:t>s</w:t>
      </w:r>
      <w:r>
        <w:rPr>
          <w:lang w:eastAsia="en-AU"/>
        </w:rPr>
        <w:t xml:space="preserve">ed youth service </w:t>
      </w:r>
      <w:r>
        <w:t xml:space="preserve">provides a broad range of free, accessible mental health and psychosocial support programs, as well as creative and digital programs, events, safe spaces, and delivering specialist capacity building training all over NSW to continue building a world where </w:t>
      </w:r>
      <w:r w:rsidR="007E47E1">
        <w:t xml:space="preserve">NSW </w:t>
      </w:r>
      <w:r>
        <w:t>LGBT</w:t>
      </w:r>
      <w:r w:rsidR="00852440">
        <w:t>IQ</w:t>
      </w:r>
      <w:r>
        <w:t>A+ people are</w:t>
      </w:r>
      <w:r w:rsidR="007E47E1">
        <w:t xml:space="preserve"> </w:t>
      </w:r>
      <w:r>
        <w:t>secure, connected</w:t>
      </w:r>
      <w:r w:rsidR="007E47E1">
        <w:t>,</w:t>
      </w:r>
      <w:r>
        <w:t xml:space="preserve"> and celebrated. Specifically</w:t>
      </w:r>
      <w:r w:rsidR="00B4206C">
        <w:t>,</w:t>
      </w:r>
      <w:r>
        <w:t xml:space="preserve"> it offers </w:t>
      </w:r>
      <w:r w:rsidR="002213DB">
        <w:t xml:space="preserve">young people </w:t>
      </w:r>
      <w:r>
        <w:t xml:space="preserve">information and referral services, </w:t>
      </w:r>
      <w:r w:rsidR="002213DB">
        <w:t>housing and case management, counselling options, plus social support programs.</w:t>
      </w:r>
      <w:r w:rsidR="00B4276E">
        <w:rPr>
          <w:rStyle w:val="FootnoteReference"/>
        </w:rPr>
        <w:footnoteReference w:id="78"/>
      </w:r>
    </w:p>
    <w:p w14:paraId="41655762" w14:textId="17555BE7" w:rsidR="00E647C4" w:rsidRPr="00151B5A" w:rsidRDefault="00E647C4" w:rsidP="00CC5BB8">
      <w:pPr>
        <w:numPr>
          <w:ilvl w:val="0"/>
          <w:numId w:val="8"/>
        </w:numPr>
        <w:rPr>
          <w:lang w:eastAsia="en-AU"/>
        </w:rPr>
      </w:pPr>
      <w:hyperlink r:id="rId68" w:history="1">
        <w:r w:rsidRPr="00151B5A">
          <w:rPr>
            <w:rStyle w:val="Hyperlink"/>
          </w:rPr>
          <w:t>The Freedom Centre</w:t>
        </w:r>
      </w:hyperlink>
      <w:r w:rsidR="007E47E1">
        <w:rPr>
          <w:rStyle w:val="Hyperlink"/>
        </w:rPr>
        <w:t>:</w:t>
      </w:r>
      <w:r w:rsidRPr="00151B5A">
        <w:t xml:space="preserve"> </w:t>
      </w:r>
      <w:r w:rsidR="006E7109" w:rsidRPr="00151B5A">
        <w:t xml:space="preserve">a </w:t>
      </w:r>
      <w:r w:rsidR="00C23015" w:rsidRPr="00151B5A">
        <w:t>Perth</w:t>
      </w:r>
      <w:r w:rsidR="006E7109" w:rsidRPr="00151B5A">
        <w:t>-based youth centre</w:t>
      </w:r>
      <w:r w:rsidR="00CF5840" w:rsidRPr="00151B5A">
        <w:t xml:space="preserve"> supporting LGBTIQA+ people aged 12 to 25</w:t>
      </w:r>
      <w:r w:rsidR="006E7109" w:rsidRPr="00151B5A">
        <w:t>,</w:t>
      </w:r>
      <w:r w:rsidRPr="00151B5A">
        <w:t xml:space="preserve"> </w:t>
      </w:r>
      <w:r w:rsidR="00F973C8" w:rsidRPr="00151B5A">
        <w:t>run by the not-for-profit organisation WAAC</w:t>
      </w:r>
      <w:r w:rsidR="006E7109" w:rsidRPr="00151B5A">
        <w:t xml:space="preserve"> with funding from the Mental </w:t>
      </w:r>
      <w:r w:rsidR="006E7109" w:rsidRPr="00151B5A">
        <w:lastRenderedPageBreak/>
        <w:t xml:space="preserve">Health Commission. </w:t>
      </w:r>
      <w:r w:rsidR="005232FD" w:rsidRPr="00151B5A">
        <w:t>The Centre provid</w:t>
      </w:r>
      <w:r w:rsidR="000C4F78" w:rsidRPr="00151B5A">
        <w:t xml:space="preserve">es </w:t>
      </w:r>
      <w:r w:rsidR="00BF6AD5" w:rsidRPr="00151B5A">
        <w:t xml:space="preserve">free counselling services, </w:t>
      </w:r>
      <w:r w:rsidR="000C4F78" w:rsidRPr="00151B5A">
        <w:t>peer support and informal safe social spaces</w:t>
      </w:r>
      <w:r w:rsidR="00452EE4" w:rsidRPr="00151B5A">
        <w:t>, as well as wellbeing and training workshops.</w:t>
      </w:r>
      <w:r w:rsidR="00452EE4" w:rsidRPr="00151B5A">
        <w:rPr>
          <w:rStyle w:val="FootnoteReference"/>
        </w:rPr>
        <w:footnoteReference w:id="79"/>
      </w:r>
      <w:r w:rsidR="00452EE4" w:rsidRPr="00151B5A">
        <w:t xml:space="preserve"> </w:t>
      </w:r>
      <w:r w:rsidR="000C4F78" w:rsidRPr="00151B5A">
        <w:t xml:space="preserve"> </w:t>
      </w:r>
    </w:p>
    <w:p w14:paraId="0E4A56E4" w14:textId="40B35947" w:rsidR="00D01A51" w:rsidRDefault="00D01A51" w:rsidP="00CC5BB8">
      <w:pPr>
        <w:numPr>
          <w:ilvl w:val="0"/>
          <w:numId w:val="8"/>
        </w:numPr>
        <w:rPr>
          <w:lang w:eastAsia="en-AU"/>
        </w:rPr>
      </w:pPr>
      <w:hyperlink r:id="rId69" w:history="1">
        <w:r w:rsidRPr="00EF0477">
          <w:rPr>
            <w:rStyle w:val="Hyperlink"/>
            <w:lang w:eastAsia="en-AU"/>
          </w:rPr>
          <w:t>Open Doors Youth Services</w:t>
        </w:r>
      </w:hyperlink>
      <w:r w:rsidR="0065749B">
        <w:rPr>
          <w:rStyle w:val="Hyperlink"/>
          <w:color w:val="auto"/>
          <w:u w:val="none"/>
          <w:lang w:eastAsia="en-AU"/>
        </w:rPr>
        <w:t xml:space="preserve">: </w:t>
      </w:r>
      <w:r w:rsidR="007E47E1">
        <w:rPr>
          <w:lang w:eastAsia="en-AU"/>
        </w:rPr>
        <w:t>t</w:t>
      </w:r>
      <w:r w:rsidR="00592FC5" w:rsidRPr="00592FC5">
        <w:rPr>
          <w:lang w:eastAsia="en-AU"/>
        </w:rPr>
        <w:t xml:space="preserve">his Queensland </w:t>
      </w:r>
      <w:r w:rsidR="00BD20DC">
        <w:rPr>
          <w:lang w:eastAsia="en-AU"/>
        </w:rPr>
        <w:t xml:space="preserve">community organisation </w:t>
      </w:r>
      <w:r w:rsidR="0067708D">
        <w:rPr>
          <w:lang w:eastAsia="en-AU"/>
        </w:rPr>
        <w:t>provides various services to young LGBTIQ</w:t>
      </w:r>
      <w:r w:rsidR="00C263D4">
        <w:rPr>
          <w:lang w:eastAsia="en-AU"/>
        </w:rPr>
        <w:t>AP</w:t>
      </w:r>
      <w:r w:rsidR="00796307">
        <w:rPr>
          <w:lang w:eastAsia="en-AU"/>
        </w:rPr>
        <w:t>+</w:t>
      </w:r>
      <w:r w:rsidR="00C263D4">
        <w:rPr>
          <w:lang w:eastAsia="en-AU"/>
        </w:rPr>
        <w:t>SB</w:t>
      </w:r>
      <w:r w:rsidR="0067708D">
        <w:rPr>
          <w:lang w:eastAsia="en-AU"/>
        </w:rPr>
        <w:t xml:space="preserve"> people </w:t>
      </w:r>
      <w:r w:rsidR="00814B3C">
        <w:rPr>
          <w:lang w:eastAsia="en-AU"/>
        </w:rPr>
        <w:t>aged 12 to 24</w:t>
      </w:r>
      <w:r w:rsidR="00BD20DC">
        <w:rPr>
          <w:lang w:eastAsia="en-AU"/>
        </w:rPr>
        <w:t>. This</w:t>
      </w:r>
      <w:r w:rsidR="00814B3C">
        <w:rPr>
          <w:lang w:eastAsia="en-AU"/>
        </w:rPr>
        <w:t xml:space="preserve"> includ</w:t>
      </w:r>
      <w:r w:rsidR="00BD20DC">
        <w:rPr>
          <w:lang w:eastAsia="en-AU"/>
        </w:rPr>
        <w:t>es</w:t>
      </w:r>
      <w:r w:rsidR="00814B3C">
        <w:rPr>
          <w:lang w:eastAsia="en-AU"/>
        </w:rPr>
        <w:t xml:space="preserve"> </w:t>
      </w:r>
      <w:r w:rsidR="00542475">
        <w:rPr>
          <w:lang w:eastAsia="en-AU"/>
        </w:rPr>
        <w:t>c</w:t>
      </w:r>
      <w:r w:rsidR="003C035B">
        <w:rPr>
          <w:lang w:eastAsia="en-AU"/>
        </w:rPr>
        <w:t xml:space="preserve">are coordination and </w:t>
      </w:r>
      <w:r w:rsidR="00D57CE9">
        <w:rPr>
          <w:lang w:eastAsia="en-AU"/>
        </w:rPr>
        <w:t xml:space="preserve">general </w:t>
      </w:r>
      <w:r w:rsidR="003C035B">
        <w:rPr>
          <w:lang w:eastAsia="en-AU"/>
        </w:rPr>
        <w:t xml:space="preserve">counselling, </w:t>
      </w:r>
      <w:r w:rsidR="00542475">
        <w:rPr>
          <w:lang w:eastAsia="en-AU"/>
        </w:rPr>
        <w:t xml:space="preserve">case management and external referrals, </w:t>
      </w:r>
      <w:r w:rsidR="00074F69">
        <w:rPr>
          <w:lang w:eastAsia="en-AU"/>
        </w:rPr>
        <w:t>social groups, and assistance securing ongoing access to structures resources (</w:t>
      </w:r>
      <w:r w:rsidR="0058501C">
        <w:rPr>
          <w:lang w:eastAsia="en-AU"/>
        </w:rPr>
        <w:t xml:space="preserve">e.g., </w:t>
      </w:r>
      <w:r w:rsidR="00074F69">
        <w:rPr>
          <w:lang w:eastAsia="en-AU"/>
        </w:rPr>
        <w:t>housing, employment</w:t>
      </w:r>
      <w:r w:rsidR="002509A8">
        <w:rPr>
          <w:lang w:eastAsia="en-AU"/>
        </w:rPr>
        <w:t>,</w:t>
      </w:r>
      <w:r w:rsidR="00074F69">
        <w:rPr>
          <w:lang w:eastAsia="en-AU"/>
        </w:rPr>
        <w:t xml:space="preserve"> and education) as well as nec</w:t>
      </w:r>
      <w:r w:rsidR="0058501C">
        <w:rPr>
          <w:lang w:eastAsia="en-AU"/>
        </w:rPr>
        <w:t>essities (e.g., food, toiletries</w:t>
      </w:r>
      <w:r w:rsidR="00B4206C">
        <w:rPr>
          <w:lang w:eastAsia="en-AU"/>
        </w:rPr>
        <w:t>,</w:t>
      </w:r>
      <w:r w:rsidR="0058501C">
        <w:rPr>
          <w:lang w:eastAsia="en-AU"/>
        </w:rPr>
        <w:t xml:space="preserve"> and clothing). </w:t>
      </w:r>
      <w:r w:rsidR="00D57CE9">
        <w:rPr>
          <w:lang w:eastAsia="en-AU"/>
        </w:rPr>
        <w:t xml:space="preserve">However, the ODYS website </w:t>
      </w:r>
      <w:r w:rsidR="0097245E">
        <w:rPr>
          <w:lang w:eastAsia="en-AU"/>
        </w:rPr>
        <w:t xml:space="preserve">makes it clear that </w:t>
      </w:r>
      <w:r w:rsidR="00EC54B5">
        <w:rPr>
          <w:lang w:eastAsia="en-AU"/>
        </w:rPr>
        <w:t>their “services can complement and work alongside other support, however, is not a replacement for acute mental health services” and is not fit for addressi</w:t>
      </w:r>
      <w:r w:rsidR="00902603">
        <w:rPr>
          <w:lang w:eastAsia="en-AU"/>
        </w:rPr>
        <w:t>ng crisis care, or severe and complex mental health care.</w:t>
      </w:r>
      <w:r w:rsidR="00902603">
        <w:rPr>
          <w:rStyle w:val="FootnoteReference"/>
          <w:lang w:eastAsia="en-AU"/>
        </w:rPr>
        <w:footnoteReference w:id="80"/>
      </w:r>
      <w:r w:rsidR="00902603">
        <w:rPr>
          <w:lang w:eastAsia="en-AU"/>
        </w:rPr>
        <w:t xml:space="preserve"> </w:t>
      </w:r>
    </w:p>
    <w:p w14:paraId="1E6F016D" w14:textId="32EA4250" w:rsidR="00320C08" w:rsidRDefault="00320C08" w:rsidP="00CC5BB8">
      <w:pPr>
        <w:numPr>
          <w:ilvl w:val="0"/>
          <w:numId w:val="8"/>
        </w:numPr>
        <w:rPr>
          <w:lang w:eastAsia="en-AU"/>
        </w:rPr>
      </w:pPr>
      <w:hyperlink r:id="rId70" w:history="1">
        <w:r w:rsidRPr="00744FA1">
          <w:rPr>
            <w:rStyle w:val="Hyperlink"/>
            <w:lang w:eastAsia="en-AU"/>
          </w:rPr>
          <w:t>B</w:t>
        </w:r>
        <w:r w:rsidR="007E47E1">
          <w:rPr>
            <w:rStyle w:val="Hyperlink"/>
            <w:lang w:eastAsia="en-AU"/>
          </w:rPr>
          <w:t>la</w:t>
        </w:r>
        <w:r w:rsidRPr="00744FA1">
          <w:rPr>
            <w:rStyle w:val="Hyperlink"/>
            <w:lang w:eastAsia="en-AU"/>
          </w:rPr>
          <w:t>Q Aboriginal Corporation</w:t>
        </w:r>
      </w:hyperlink>
      <w:r w:rsidR="0065749B">
        <w:rPr>
          <w:rStyle w:val="Hyperlink"/>
          <w:lang w:eastAsia="en-AU"/>
        </w:rPr>
        <w:t>:</w:t>
      </w:r>
      <w:r w:rsidR="0065749B">
        <w:rPr>
          <w:lang w:eastAsia="en-AU"/>
        </w:rPr>
        <w:t xml:space="preserve"> </w:t>
      </w:r>
      <w:r w:rsidR="002213DB">
        <w:rPr>
          <w:lang w:eastAsia="en-AU"/>
        </w:rPr>
        <w:t xml:space="preserve">BlaQ is </w:t>
      </w:r>
      <w:proofErr w:type="gramStart"/>
      <w:r w:rsidR="002213DB">
        <w:rPr>
          <w:lang w:eastAsia="en-AU"/>
        </w:rPr>
        <w:t>a</w:t>
      </w:r>
      <w:proofErr w:type="gramEnd"/>
      <w:r w:rsidR="002213DB">
        <w:rPr>
          <w:lang w:eastAsia="en-AU"/>
        </w:rPr>
        <w:t xml:space="preserve"> NSW</w:t>
      </w:r>
      <w:r w:rsidRPr="009F3AAE">
        <w:rPr>
          <w:lang w:eastAsia="en-AU"/>
        </w:rPr>
        <w:t xml:space="preserve"> peak organisation for First Nations </w:t>
      </w:r>
      <w:r w:rsidR="00263378" w:rsidRPr="009F3AAE">
        <w:rPr>
          <w:lang w:eastAsia="en-AU"/>
        </w:rPr>
        <w:t>LGBTQ</w:t>
      </w:r>
      <w:r w:rsidR="00263378">
        <w:rPr>
          <w:lang w:eastAsia="en-AU"/>
        </w:rPr>
        <w:t>+SB</w:t>
      </w:r>
      <w:r w:rsidRPr="009F3AAE">
        <w:rPr>
          <w:lang w:eastAsia="en-AU"/>
        </w:rPr>
        <w:t xml:space="preserve"> peoples in NSW. </w:t>
      </w:r>
      <w:r w:rsidR="00214909">
        <w:rPr>
          <w:lang w:eastAsia="en-AU"/>
        </w:rPr>
        <w:t xml:space="preserve">While </w:t>
      </w:r>
      <w:r w:rsidRPr="009F3AAE">
        <w:rPr>
          <w:lang w:eastAsia="en-AU"/>
        </w:rPr>
        <w:t>B</w:t>
      </w:r>
      <w:r w:rsidR="007E47E1">
        <w:rPr>
          <w:lang w:eastAsia="en-AU"/>
        </w:rPr>
        <w:t>la</w:t>
      </w:r>
      <w:r w:rsidRPr="009F3AAE">
        <w:rPr>
          <w:lang w:eastAsia="en-AU"/>
        </w:rPr>
        <w:t xml:space="preserve">Q </w:t>
      </w:r>
      <w:r w:rsidR="00214909">
        <w:rPr>
          <w:lang w:eastAsia="en-AU"/>
        </w:rPr>
        <w:t>does not offer</w:t>
      </w:r>
      <w:r w:rsidR="00C0084E">
        <w:rPr>
          <w:lang w:eastAsia="en-AU"/>
        </w:rPr>
        <w:t xml:space="preserve"> formal mental health</w:t>
      </w:r>
      <w:r w:rsidR="00214909">
        <w:rPr>
          <w:lang w:eastAsia="en-AU"/>
        </w:rPr>
        <w:t xml:space="preserve"> counselling</w:t>
      </w:r>
      <w:r w:rsidR="00C0084E">
        <w:rPr>
          <w:lang w:eastAsia="en-AU"/>
        </w:rPr>
        <w:t>,</w:t>
      </w:r>
      <w:r w:rsidR="00214909">
        <w:rPr>
          <w:lang w:eastAsia="en-AU"/>
        </w:rPr>
        <w:t xml:space="preserve"> it does provide support through case management in ar</w:t>
      </w:r>
      <w:r w:rsidRPr="009F3AAE">
        <w:rPr>
          <w:lang w:eastAsia="en-AU"/>
        </w:rPr>
        <w:t>eas such as referrals, life administration, support letters, provide community networking and relationship building, essential crisis support</w:t>
      </w:r>
      <w:r w:rsidR="007E47E1">
        <w:rPr>
          <w:lang w:eastAsia="en-AU"/>
        </w:rPr>
        <w:t>,</w:t>
      </w:r>
      <w:r w:rsidRPr="009F3AAE">
        <w:rPr>
          <w:lang w:eastAsia="en-AU"/>
        </w:rPr>
        <w:t xml:space="preserve"> as well as housing assistance. They are also involved in numerous research and training projects.</w:t>
      </w:r>
      <w:r w:rsidRPr="009F3AAE">
        <w:rPr>
          <w:vertAlign w:val="superscript"/>
          <w:lang w:eastAsia="en-AU"/>
        </w:rPr>
        <w:footnoteReference w:id="81"/>
      </w:r>
    </w:p>
    <w:p w14:paraId="310303AC" w14:textId="4B934F41" w:rsidR="00F3364E" w:rsidRPr="00847F98" w:rsidRDefault="00493ABC" w:rsidP="009B406F">
      <w:pPr>
        <w:pStyle w:val="NbrHeading4"/>
      </w:pPr>
      <w:r w:rsidRPr="00847F98">
        <w:t>Specialist services in PHN</w:t>
      </w:r>
    </w:p>
    <w:p w14:paraId="780CE87F" w14:textId="49E98A65" w:rsidR="00F3364E" w:rsidRPr="008548CA" w:rsidRDefault="00024684" w:rsidP="008548CA">
      <w:r w:rsidRPr="008548CA">
        <w:t>S</w:t>
      </w:r>
      <w:r w:rsidR="00747B49" w:rsidRPr="008548CA">
        <w:t xml:space="preserve">ome </w:t>
      </w:r>
      <w:proofErr w:type="gramStart"/>
      <w:r w:rsidR="00747B49" w:rsidRPr="008548CA">
        <w:t>PHN</w:t>
      </w:r>
      <w:proofErr w:type="gramEnd"/>
      <w:r w:rsidR="00747B49" w:rsidRPr="008548CA">
        <w:t xml:space="preserve"> </w:t>
      </w:r>
      <w:r w:rsidR="00FC642D" w:rsidRPr="008548CA">
        <w:t xml:space="preserve">have also established </w:t>
      </w:r>
      <w:r w:rsidR="00F975C5" w:rsidRPr="008548CA">
        <w:t xml:space="preserve">or funded </w:t>
      </w:r>
      <w:r w:rsidR="004B2232" w:rsidRPr="008548CA">
        <w:t xml:space="preserve">dedicated services, or </w:t>
      </w:r>
      <w:r w:rsidR="004F4B2C" w:rsidRPr="008548CA">
        <w:t>communities-of-practice,</w:t>
      </w:r>
      <w:r w:rsidR="00447125" w:rsidRPr="008548CA">
        <w:t xml:space="preserve"> </w:t>
      </w:r>
      <w:r w:rsidR="005E7D30" w:rsidRPr="008548CA">
        <w:t>focused on providing safe and affirming care for LGBT</w:t>
      </w:r>
      <w:r w:rsidR="00BD3FB8" w:rsidRPr="008548CA">
        <w:t>Q</w:t>
      </w:r>
      <w:r w:rsidR="005E7D30" w:rsidRPr="008548CA">
        <w:t>+ people. For example</w:t>
      </w:r>
      <w:r w:rsidR="00DB3710" w:rsidRPr="008548CA">
        <w:t>: t</w:t>
      </w:r>
      <w:r w:rsidR="00DB3A67" w:rsidRPr="008548CA">
        <w:t xml:space="preserve">he </w:t>
      </w:r>
      <w:hyperlink r:id="rId71" w:history="1">
        <w:r w:rsidR="00DB3A67" w:rsidRPr="008548CA">
          <w:rPr>
            <w:rStyle w:val="Hyperlink"/>
          </w:rPr>
          <w:t>Supporting Minds service</w:t>
        </w:r>
      </w:hyperlink>
      <w:r w:rsidR="00DB3A67" w:rsidRPr="008548CA">
        <w:t>, funded by t</w:t>
      </w:r>
      <w:r w:rsidR="00F642FA" w:rsidRPr="008548CA">
        <w:t xml:space="preserve">he Gold Coast PHN </w:t>
      </w:r>
      <w:r w:rsidR="00DB3A67" w:rsidRPr="008548CA">
        <w:t xml:space="preserve">and delivered by </w:t>
      </w:r>
      <w:r w:rsidR="00F3364E" w:rsidRPr="008548CA">
        <w:t>Wesley Mission Queensland</w:t>
      </w:r>
      <w:r w:rsidR="00DB3A67" w:rsidRPr="008548CA">
        <w:t>, includes a dedicated stream targeted to people aged 12–65</w:t>
      </w:r>
      <w:r w:rsidR="004C69BA" w:rsidRPr="008548CA">
        <w:t xml:space="preserve"> who identify as LGBTQ+</w:t>
      </w:r>
      <w:r w:rsidR="000C762A" w:rsidRPr="008548CA">
        <w:t xml:space="preserve">. </w:t>
      </w:r>
      <w:r w:rsidR="00E128D9" w:rsidRPr="008548CA">
        <w:t xml:space="preserve">It </w:t>
      </w:r>
      <w:r w:rsidR="000C762A" w:rsidRPr="008548CA">
        <w:t>provides</w:t>
      </w:r>
      <w:r w:rsidR="00E128D9" w:rsidRPr="008548CA">
        <w:t xml:space="preserve"> short term clinical and non-clinical services to people with mild to moderate support needs.</w:t>
      </w:r>
      <w:r w:rsidR="0070386D" w:rsidRPr="008548CA">
        <w:footnoteReference w:id="82"/>
      </w:r>
      <w:r w:rsidR="00E128D9" w:rsidRPr="008548CA">
        <w:t xml:space="preserve"> </w:t>
      </w:r>
    </w:p>
    <w:p w14:paraId="63A9299D" w14:textId="441DC9B8" w:rsidR="00C16293" w:rsidRPr="00C16293" w:rsidRDefault="0086077F" w:rsidP="00DB3710">
      <w:pPr>
        <w:rPr>
          <w:b/>
          <w:bCs/>
          <w:lang w:eastAsia="en-AU"/>
        </w:rPr>
      </w:pPr>
      <w:r w:rsidRPr="00B678E7">
        <w:rPr>
          <w:lang w:eastAsia="en-AU"/>
        </w:rPr>
        <w:t>The</w:t>
      </w:r>
      <w:r w:rsidR="00C16293" w:rsidRPr="00B678E7">
        <w:rPr>
          <w:b/>
          <w:bCs/>
          <w:lang w:eastAsia="en-AU"/>
        </w:rPr>
        <w:t xml:space="preserve"> </w:t>
      </w:r>
      <w:r w:rsidR="00C16293" w:rsidRPr="00C16293">
        <w:rPr>
          <w:lang w:eastAsia="en-AU"/>
        </w:rPr>
        <w:t xml:space="preserve">Western Victoria </w:t>
      </w:r>
      <w:r w:rsidR="00FC005B">
        <w:rPr>
          <w:lang w:eastAsia="en-AU"/>
        </w:rPr>
        <w:t>PHN</w:t>
      </w:r>
      <w:r>
        <w:rPr>
          <w:lang w:eastAsia="en-AU"/>
        </w:rPr>
        <w:t xml:space="preserve"> also</w:t>
      </w:r>
      <w:r w:rsidR="00C16293" w:rsidRPr="00C16293">
        <w:rPr>
          <w:lang w:eastAsia="en-AU"/>
        </w:rPr>
        <w:t xml:space="preserve"> supports a </w:t>
      </w:r>
      <w:hyperlink r:id="rId72" w:history="1">
        <w:r w:rsidR="00C16293" w:rsidRPr="00C070E5">
          <w:rPr>
            <w:rStyle w:val="Hyperlink"/>
            <w:lang w:eastAsia="en-AU"/>
          </w:rPr>
          <w:t>community-of-practice group</w:t>
        </w:r>
      </w:hyperlink>
      <w:r w:rsidR="00C16293" w:rsidRPr="00C16293">
        <w:rPr>
          <w:lang w:eastAsia="en-AU"/>
        </w:rPr>
        <w:t xml:space="preserve">, comprised of primary health professionals who care for people identifying as trans and gender diverse. The group meets monthly and aims to improve the practice of providers through a range of actions: for example, providing </w:t>
      </w:r>
      <w:r w:rsidR="007E47E1">
        <w:rPr>
          <w:lang w:eastAsia="en-AU"/>
        </w:rPr>
        <w:t xml:space="preserve">a </w:t>
      </w:r>
      <w:r w:rsidR="00C16293" w:rsidRPr="00C16293">
        <w:rPr>
          <w:lang w:eastAsia="en-AU"/>
        </w:rPr>
        <w:t xml:space="preserve">multi-disciplinary forum </w:t>
      </w:r>
      <w:r w:rsidR="007E47E1">
        <w:rPr>
          <w:lang w:eastAsia="en-AU"/>
        </w:rPr>
        <w:t xml:space="preserve">where </w:t>
      </w:r>
      <w:r w:rsidR="00C16293" w:rsidRPr="00C16293">
        <w:rPr>
          <w:lang w:eastAsia="en-AU"/>
        </w:rPr>
        <w:t>health professionals collaborate and communicate new research, providing peer-to-peer support, and delivering continuing professional development. The group also explores opportunities to develop new</w:t>
      </w:r>
      <w:r w:rsidR="007E47E1">
        <w:rPr>
          <w:lang w:eastAsia="en-AU"/>
        </w:rPr>
        <w:t>,</w:t>
      </w:r>
      <w:r w:rsidR="00C16293" w:rsidRPr="00C16293">
        <w:rPr>
          <w:lang w:eastAsia="en-AU"/>
        </w:rPr>
        <w:t xml:space="preserve"> and/or enhanced</w:t>
      </w:r>
      <w:r w:rsidR="007E47E1">
        <w:rPr>
          <w:lang w:eastAsia="en-AU"/>
        </w:rPr>
        <w:t>,</w:t>
      </w:r>
      <w:r w:rsidR="00C16293" w:rsidRPr="00C16293">
        <w:rPr>
          <w:lang w:eastAsia="en-AU"/>
        </w:rPr>
        <w:t xml:space="preserve"> </w:t>
      </w:r>
      <w:r w:rsidRPr="00C16293">
        <w:rPr>
          <w:lang w:eastAsia="en-AU"/>
        </w:rPr>
        <w:t>services</w:t>
      </w:r>
      <w:r w:rsidR="007E47E1">
        <w:rPr>
          <w:lang w:eastAsia="en-AU"/>
        </w:rPr>
        <w:t>,</w:t>
      </w:r>
      <w:r w:rsidRPr="00C16293">
        <w:rPr>
          <w:lang w:eastAsia="en-AU"/>
        </w:rPr>
        <w:t xml:space="preserve"> and</w:t>
      </w:r>
      <w:r w:rsidR="00C16293" w:rsidRPr="00C16293">
        <w:rPr>
          <w:lang w:eastAsia="en-AU"/>
        </w:rPr>
        <w:t xml:space="preserve"> </w:t>
      </w:r>
      <w:r w:rsidR="007E47E1">
        <w:rPr>
          <w:lang w:eastAsia="en-AU"/>
        </w:rPr>
        <w:t xml:space="preserve">to </w:t>
      </w:r>
      <w:r w:rsidR="00C16293" w:rsidRPr="00C16293">
        <w:rPr>
          <w:lang w:eastAsia="en-AU"/>
        </w:rPr>
        <w:t>expand access to support the affirmative healthcare needs of trans and gender diverse people.</w:t>
      </w:r>
      <w:r w:rsidR="00BD3FB8">
        <w:rPr>
          <w:rStyle w:val="FootnoteReference"/>
          <w:lang w:eastAsia="en-AU"/>
        </w:rPr>
        <w:footnoteReference w:id="83"/>
      </w:r>
    </w:p>
    <w:p w14:paraId="31485D35" w14:textId="6490CD0D" w:rsidR="005A1D6A" w:rsidRDefault="00E41FD9" w:rsidP="009B406F">
      <w:pPr>
        <w:pStyle w:val="NbrHeading4"/>
      </w:pPr>
      <w:r>
        <w:lastRenderedPageBreak/>
        <w:t>Private Options</w:t>
      </w:r>
    </w:p>
    <w:p w14:paraId="1538DB16" w14:textId="3C11F0CC" w:rsidR="002C6C21" w:rsidRPr="00D03815" w:rsidRDefault="002C6C21" w:rsidP="002C6C21">
      <w:pPr>
        <w:rPr>
          <w:lang w:eastAsia="en-AU"/>
        </w:rPr>
      </w:pPr>
      <w:r w:rsidRPr="009F3AAE">
        <w:rPr>
          <w:lang w:eastAsia="en-AU"/>
        </w:rPr>
        <w:t xml:space="preserve">Within the </w:t>
      </w:r>
      <w:r w:rsidR="21A2FE55" w:rsidRPr="2816B3E4">
        <w:rPr>
          <w:lang w:eastAsia="en-AU"/>
        </w:rPr>
        <w:t xml:space="preserve">mental health </w:t>
      </w:r>
      <w:r w:rsidRPr="009F3AAE">
        <w:rPr>
          <w:lang w:eastAsia="en-AU"/>
        </w:rPr>
        <w:t xml:space="preserve">care services described in </w:t>
      </w:r>
      <w:r w:rsidRPr="007F5155">
        <w:rPr>
          <w:lang w:eastAsia="en-AU"/>
        </w:rPr>
        <w:t xml:space="preserve">Section </w:t>
      </w:r>
      <w:r w:rsidR="007F5155" w:rsidRPr="007F5155">
        <w:rPr>
          <w:lang w:eastAsia="en-AU"/>
        </w:rPr>
        <w:t>3</w:t>
      </w:r>
      <w:r w:rsidRPr="007F5155">
        <w:rPr>
          <w:lang w:eastAsia="en-AU"/>
        </w:rPr>
        <w:t>.</w:t>
      </w:r>
      <w:r w:rsidR="007F5155" w:rsidRPr="007F5155">
        <w:rPr>
          <w:lang w:eastAsia="en-AU"/>
        </w:rPr>
        <w:t>4.</w:t>
      </w:r>
      <w:r w:rsidRPr="007F5155">
        <w:rPr>
          <w:lang w:eastAsia="en-AU"/>
        </w:rPr>
        <w:t>2</w:t>
      </w:r>
      <w:r w:rsidRPr="009F3AAE">
        <w:rPr>
          <w:lang w:eastAsia="en-AU"/>
        </w:rPr>
        <w:t xml:space="preserve"> above, there are </w:t>
      </w:r>
      <w:proofErr w:type="gramStart"/>
      <w:r w:rsidRPr="009F3AAE">
        <w:rPr>
          <w:lang w:eastAsia="en-AU"/>
        </w:rPr>
        <w:t>a number of</w:t>
      </w:r>
      <w:proofErr w:type="gramEnd"/>
      <w:r w:rsidRPr="009F3AAE">
        <w:rPr>
          <w:lang w:eastAsia="en-AU"/>
        </w:rPr>
        <w:t xml:space="preserve"> </w:t>
      </w:r>
      <w:r w:rsidRPr="00D03815">
        <w:rPr>
          <w:lang w:eastAsia="en-AU"/>
        </w:rPr>
        <w:t xml:space="preserve">private </w:t>
      </w:r>
      <w:r w:rsidR="0B59F3B7" w:rsidRPr="2816B3E4">
        <w:rPr>
          <w:lang w:eastAsia="en-AU"/>
        </w:rPr>
        <w:t xml:space="preserve">mental health professionals, including </w:t>
      </w:r>
      <w:r w:rsidRPr="00D03815">
        <w:rPr>
          <w:lang w:eastAsia="en-AU"/>
        </w:rPr>
        <w:t xml:space="preserve">clinical psychologists, </w:t>
      </w:r>
      <w:r w:rsidR="097A4274" w:rsidRPr="2816B3E4">
        <w:rPr>
          <w:lang w:eastAsia="en-AU"/>
        </w:rPr>
        <w:t xml:space="preserve">who have </w:t>
      </w:r>
      <w:r w:rsidRPr="00D03815">
        <w:rPr>
          <w:lang w:eastAsia="en-AU"/>
        </w:rPr>
        <w:t xml:space="preserve">dedicated teams within </w:t>
      </w:r>
      <w:r w:rsidR="2EF2A95B" w:rsidRPr="2816B3E4">
        <w:rPr>
          <w:lang w:eastAsia="en-AU"/>
        </w:rPr>
        <w:t xml:space="preserve">services, </w:t>
      </w:r>
      <w:r w:rsidRPr="00D03815">
        <w:rPr>
          <w:lang w:eastAsia="en-AU"/>
        </w:rPr>
        <w:t xml:space="preserve">and dedicated </w:t>
      </w:r>
      <w:r w:rsidR="6A0A67B9" w:rsidRPr="2816B3E4">
        <w:rPr>
          <w:lang w:eastAsia="en-AU"/>
        </w:rPr>
        <w:t>services</w:t>
      </w:r>
      <w:r w:rsidR="2678B3F7" w:rsidRPr="2816B3E4">
        <w:rPr>
          <w:lang w:eastAsia="en-AU"/>
        </w:rPr>
        <w:t xml:space="preserve">, </w:t>
      </w:r>
      <w:r w:rsidRPr="00D03815">
        <w:rPr>
          <w:lang w:eastAsia="en-AU"/>
        </w:rPr>
        <w:t>which s</w:t>
      </w:r>
      <w:r w:rsidRPr="009F3AAE">
        <w:rPr>
          <w:lang w:eastAsia="en-AU"/>
        </w:rPr>
        <w:t>pecialise in providing</w:t>
      </w:r>
      <w:r w:rsidR="007B79B9">
        <w:rPr>
          <w:lang w:eastAsia="en-AU"/>
        </w:rPr>
        <w:t xml:space="preserve"> </w:t>
      </w:r>
      <w:r w:rsidR="1FF1DC3A" w:rsidRPr="2816B3E4">
        <w:rPr>
          <w:lang w:eastAsia="en-AU"/>
        </w:rPr>
        <w:t>care</w:t>
      </w:r>
      <w:r w:rsidRPr="009F3AAE">
        <w:rPr>
          <w:lang w:eastAsia="en-AU"/>
        </w:rPr>
        <w:t xml:space="preserve"> to LGBTQ+ c</w:t>
      </w:r>
      <w:r w:rsidRPr="00D03815">
        <w:rPr>
          <w:lang w:eastAsia="en-AU"/>
        </w:rPr>
        <w:t>lients. Some examples include:</w:t>
      </w:r>
    </w:p>
    <w:p w14:paraId="09B3764E" w14:textId="45D06013" w:rsidR="002C6C21" w:rsidRDefault="002C6C21" w:rsidP="00DF32BE">
      <w:pPr>
        <w:pStyle w:val="ListBullet0"/>
      </w:pPr>
      <w:hyperlink r:id="rId73" w:history="1">
        <w:r w:rsidRPr="007617AA">
          <w:rPr>
            <w:rStyle w:val="Hyperlink"/>
          </w:rPr>
          <w:t>Q Psychology</w:t>
        </w:r>
      </w:hyperlink>
      <w:r w:rsidR="00384F92">
        <w:t>:</w:t>
      </w:r>
      <w:r>
        <w:t xml:space="preserve"> an LGBTQIA</w:t>
      </w:r>
      <w:r w:rsidR="004A0809">
        <w:t>P</w:t>
      </w:r>
      <w:r>
        <w:t xml:space="preserve">+ owned and operated </w:t>
      </w:r>
      <w:r w:rsidR="3DB85126">
        <w:t>service</w:t>
      </w:r>
      <w:r>
        <w:t xml:space="preserve"> providing dedicated </w:t>
      </w:r>
      <w:r w:rsidR="2AAC01FD" w:rsidRPr="00723950">
        <w:rPr>
          <w:rStyle w:val="Hyperlink"/>
          <w:color w:val="auto"/>
          <w:u w:val="none"/>
        </w:rPr>
        <w:t>care</w:t>
      </w:r>
      <w:r w:rsidRPr="00F3364E">
        <w:t xml:space="preserve"> </w:t>
      </w:r>
      <w:r>
        <w:t>across Victoria.</w:t>
      </w:r>
      <w:r w:rsidR="00195795">
        <w:rPr>
          <w:rStyle w:val="FootnoteReference"/>
        </w:rPr>
        <w:footnoteReference w:id="84"/>
      </w:r>
      <w:r>
        <w:t xml:space="preserve"> </w:t>
      </w:r>
    </w:p>
    <w:p w14:paraId="760A3760" w14:textId="5CF8D3DA" w:rsidR="002C6C21" w:rsidRDefault="002C6C21" w:rsidP="00DF32BE">
      <w:pPr>
        <w:pStyle w:val="ListBullet0"/>
      </w:pPr>
      <w:hyperlink r:id="rId74" w:anchor="lgbtproviders" w:history="1">
        <w:r w:rsidRPr="009D0999">
          <w:rPr>
            <w:rStyle w:val="Hyperlink"/>
          </w:rPr>
          <w:t>Here Completely</w:t>
        </w:r>
      </w:hyperlink>
      <w:r w:rsidR="00384F92">
        <w:t>:</w:t>
      </w:r>
      <w:r>
        <w:t xml:space="preserve"> a Sydney-based </w:t>
      </w:r>
      <w:r w:rsidR="00384F92">
        <w:t>organisation</w:t>
      </w:r>
      <w:r>
        <w:t xml:space="preserve"> which provides dedicated LGBTQI</w:t>
      </w:r>
      <w:r w:rsidR="00140EE6">
        <w:t>+</w:t>
      </w:r>
      <w:r>
        <w:t xml:space="preserve"> Counselling Psychology &amp; Relationship Counselling services through a team of </w:t>
      </w:r>
      <w:r w:rsidR="00384F92">
        <w:t xml:space="preserve">approximately </w:t>
      </w:r>
      <w:r>
        <w:t>10 dedicated LGBTQI-affirming therapists</w:t>
      </w:r>
      <w:r w:rsidR="005A4DE7">
        <w:t>, in addition to services to the general population.</w:t>
      </w:r>
      <w:r w:rsidR="00E55763">
        <w:rPr>
          <w:rStyle w:val="FootnoteReference"/>
        </w:rPr>
        <w:footnoteReference w:id="85"/>
      </w:r>
    </w:p>
    <w:p w14:paraId="68F3995C" w14:textId="50E44D01" w:rsidR="002C6C21" w:rsidRDefault="002C6C21" w:rsidP="00DF32BE">
      <w:pPr>
        <w:pStyle w:val="ListBullet0"/>
      </w:pPr>
      <w:hyperlink r:id="rId75" w:history="1">
        <w:r w:rsidRPr="002737AB">
          <w:rPr>
            <w:rStyle w:val="Hyperlink"/>
          </w:rPr>
          <w:t>Someone Health</w:t>
        </w:r>
      </w:hyperlink>
      <w:r w:rsidR="00384F92">
        <w:t>:</w:t>
      </w:r>
      <w:r>
        <w:t xml:space="preserve"> an Australia-wide clinical telehealth provider which has a dedicated page for accessing LGBTQ</w:t>
      </w:r>
      <w:r w:rsidR="00B8047C">
        <w:t xml:space="preserve"> </w:t>
      </w:r>
      <w:r>
        <w:t>friendly psychologists.</w:t>
      </w:r>
      <w:r w:rsidR="00B8047C">
        <w:rPr>
          <w:rStyle w:val="FootnoteReference"/>
        </w:rPr>
        <w:footnoteReference w:id="86"/>
      </w:r>
      <w:r>
        <w:t xml:space="preserve"> </w:t>
      </w:r>
    </w:p>
    <w:p w14:paraId="2C739AE0" w14:textId="646B4964" w:rsidR="002C6C21" w:rsidRPr="00D03815" w:rsidRDefault="002C6C21" w:rsidP="2816B3E4">
      <w:r w:rsidRPr="00D03815">
        <w:rPr>
          <w:lang w:eastAsia="en-AU"/>
        </w:rPr>
        <w:t xml:space="preserve">In addition, when accessing health services such as gender affirming care through dedicated </w:t>
      </w:r>
      <w:r w:rsidR="2D53FE80" w:rsidRPr="2816B3E4">
        <w:rPr>
          <w:lang w:eastAsia="en-AU"/>
        </w:rPr>
        <w:t>LGBT</w:t>
      </w:r>
      <w:r w:rsidR="00B85719">
        <w:rPr>
          <w:lang w:eastAsia="en-AU"/>
        </w:rPr>
        <w:t>Q</w:t>
      </w:r>
      <w:r w:rsidR="2D53FE80" w:rsidRPr="2816B3E4">
        <w:rPr>
          <w:lang w:eastAsia="en-AU"/>
        </w:rPr>
        <w:t xml:space="preserve">+ </w:t>
      </w:r>
      <w:r w:rsidR="0CA43619" w:rsidRPr="2816B3E4">
        <w:rPr>
          <w:lang w:eastAsia="en-AU"/>
        </w:rPr>
        <w:t>services</w:t>
      </w:r>
      <w:r w:rsidRPr="00D03815">
        <w:rPr>
          <w:lang w:eastAsia="en-AU"/>
        </w:rPr>
        <w:t xml:space="preserve">, specialist psychological support is often provided to the </w:t>
      </w:r>
      <w:r w:rsidR="25B8F674" w:rsidRPr="2816B3E4">
        <w:rPr>
          <w:lang w:eastAsia="en-AU"/>
        </w:rPr>
        <w:t>trans and gender diverse</w:t>
      </w:r>
      <w:r w:rsidRPr="00D03815">
        <w:rPr>
          <w:lang w:eastAsia="en-AU"/>
        </w:rPr>
        <w:t xml:space="preserve"> </w:t>
      </w:r>
      <w:r w:rsidR="3095BC50" w:rsidRPr="2816B3E4">
        <w:rPr>
          <w:lang w:eastAsia="en-AU"/>
        </w:rPr>
        <w:t>people</w:t>
      </w:r>
      <w:r w:rsidRPr="00D03815">
        <w:rPr>
          <w:lang w:eastAsia="en-AU"/>
        </w:rPr>
        <w:t xml:space="preserve">, as well as </w:t>
      </w:r>
      <w:r w:rsidR="00C05577">
        <w:rPr>
          <w:lang w:eastAsia="en-AU"/>
        </w:rPr>
        <w:t xml:space="preserve">to </w:t>
      </w:r>
      <w:r w:rsidRPr="00D03815">
        <w:rPr>
          <w:lang w:eastAsia="en-AU"/>
        </w:rPr>
        <w:t>their</w:t>
      </w:r>
      <w:r w:rsidRPr="009F3AAE">
        <w:rPr>
          <w:lang w:eastAsia="en-AU"/>
        </w:rPr>
        <w:t xml:space="preserve"> families.</w:t>
      </w:r>
      <w:r w:rsidRPr="00D33B87">
        <w:rPr>
          <w:vertAlign w:val="superscript"/>
        </w:rPr>
        <w:footnoteReference w:id="87"/>
      </w:r>
      <w:r w:rsidRPr="006052F1">
        <w:rPr>
          <w:vertAlign w:val="superscript"/>
          <w:lang w:eastAsia="en-AU"/>
        </w:rPr>
        <w:t xml:space="preserve"> </w:t>
      </w:r>
      <w:r w:rsidRPr="00D03815">
        <w:rPr>
          <w:lang w:eastAsia="en-AU"/>
        </w:rPr>
        <w:t xml:space="preserve">For example, Melbourne’s Monash Health </w:t>
      </w:r>
      <w:hyperlink r:id="rId76" w:history="1">
        <w:r w:rsidRPr="00D03815">
          <w:rPr>
            <w:rStyle w:val="Hyperlink"/>
            <w:lang w:eastAsia="en-AU"/>
          </w:rPr>
          <w:t>Gender Clinic</w:t>
        </w:r>
      </w:hyperlink>
      <w:r w:rsidRPr="00D03815">
        <w:rPr>
          <w:lang w:eastAsia="en-AU"/>
        </w:rPr>
        <w:t xml:space="preserve"> – currently operating </w:t>
      </w:r>
      <w:r w:rsidR="007B79B9">
        <w:rPr>
          <w:lang w:eastAsia="en-AU"/>
        </w:rPr>
        <w:t>out of the Victorian</w:t>
      </w:r>
      <w:r w:rsidRPr="00D03815">
        <w:rPr>
          <w:lang w:eastAsia="en-AU"/>
        </w:rPr>
        <w:t xml:space="preserve"> Pride Centre – includes the provision of psychological support as one of its core services.</w:t>
      </w:r>
      <w:r w:rsidRPr="00D03815">
        <w:rPr>
          <w:vertAlign w:val="superscript"/>
          <w:lang w:eastAsia="en-AU"/>
        </w:rPr>
        <w:footnoteReference w:id="88"/>
      </w:r>
    </w:p>
    <w:p w14:paraId="3D8D69D4" w14:textId="1D4D71E4" w:rsidR="008726E7" w:rsidRDefault="008726E7" w:rsidP="009B406F">
      <w:pPr>
        <w:pStyle w:val="NbrHeading4"/>
      </w:pPr>
      <w:r>
        <w:t>Digital gateways, helplines and chat options</w:t>
      </w:r>
    </w:p>
    <w:p w14:paraId="63256337" w14:textId="5F837218" w:rsidR="00A24969" w:rsidRDefault="00A24969" w:rsidP="00A24969">
      <w:pPr>
        <w:rPr>
          <w:lang w:eastAsia="en-AU"/>
        </w:rPr>
      </w:pPr>
      <w:r>
        <w:rPr>
          <w:lang w:eastAsia="en-AU"/>
        </w:rPr>
        <w:t xml:space="preserve">There are also </w:t>
      </w:r>
      <w:proofErr w:type="gramStart"/>
      <w:r>
        <w:rPr>
          <w:lang w:eastAsia="en-AU"/>
        </w:rPr>
        <w:t>a number of</w:t>
      </w:r>
      <w:proofErr w:type="gramEnd"/>
      <w:r>
        <w:rPr>
          <w:lang w:eastAsia="en-AU"/>
        </w:rPr>
        <w:t xml:space="preserve"> organisations which provide remote support through call, text</w:t>
      </w:r>
      <w:r w:rsidR="00384F92">
        <w:rPr>
          <w:lang w:eastAsia="en-AU"/>
        </w:rPr>
        <w:t>,</w:t>
      </w:r>
      <w:r>
        <w:rPr>
          <w:lang w:eastAsia="en-AU"/>
        </w:rPr>
        <w:t xml:space="preserve"> and webchat lines staffed </w:t>
      </w:r>
      <w:r w:rsidRPr="0028282D">
        <w:rPr>
          <w:lang w:eastAsia="en-AU"/>
        </w:rPr>
        <w:t>by mental health professionals and/or</w:t>
      </w:r>
      <w:r>
        <w:rPr>
          <w:lang w:eastAsia="en-AU"/>
        </w:rPr>
        <w:t xml:space="preserve"> LGBT</w:t>
      </w:r>
      <w:r w:rsidR="00547678">
        <w:rPr>
          <w:lang w:eastAsia="en-AU"/>
        </w:rPr>
        <w:t>Q</w:t>
      </w:r>
      <w:r>
        <w:rPr>
          <w:lang w:eastAsia="en-AU"/>
        </w:rPr>
        <w:t>+ peers. These services tend to provide a wider geographic coverage – facilitating the provision of specialist LGTB</w:t>
      </w:r>
      <w:r w:rsidR="00B72094">
        <w:rPr>
          <w:lang w:eastAsia="en-AU"/>
        </w:rPr>
        <w:t>Q</w:t>
      </w:r>
      <w:r>
        <w:rPr>
          <w:lang w:eastAsia="en-AU"/>
        </w:rPr>
        <w:t>+ services at a state-wide or nation-wide level. Examples include:</w:t>
      </w:r>
    </w:p>
    <w:p w14:paraId="2C5C266C" w14:textId="4139925A" w:rsidR="00A24969" w:rsidRDefault="00AF7DF4" w:rsidP="00A24969">
      <w:pPr>
        <w:pStyle w:val="ListBullet0"/>
        <w:rPr>
          <w:color w:val="000000" w:themeColor="text1"/>
        </w:rPr>
      </w:pPr>
      <w:hyperlink r:id="rId77" w:history="1">
        <w:r>
          <w:rPr>
            <w:rStyle w:val="Hyperlink"/>
          </w:rPr>
          <w:t>QL</w:t>
        </w:r>
        <w:r w:rsidR="00B72094">
          <w:rPr>
            <w:rStyle w:val="Hyperlink"/>
          </w:rPr>
          <w:t>i</w:t>
        </w:r>
        <w:r w:rsidR="00B72094" w:rsidRPr="28F2AAE0">
          <w:rPr>
            <w:rStyle w:val="Hyperlink"/>
          </w:rPr>
          <w:t>fe</w:t>
        </w:r>
      </w:hyperlink>
      <w:r w:rsidR="00384F92">
        <w:t>:</w:t>
      </w:r>
      <w:r w:rsidR="00A24969">
        <w:t xml:space="preserve"> </w:t>
      </w:r>
      <w:r w:rsidR="00B72094">
        <w:t xml:space="preserve">a service delivered by LHA, </w:t>
      </w:r>
      <w:r w:rsidR="00A24969">
        <w:t>rel</w:t>
      </w:r>
      <w:r w:rsidR="00384F92">
        <w:t>ying</w:t>
      </w:r>
      <w:r w:rsidR="00A24969">
        <w:t xml:space="preserve"> on a mix of Australian Government funding and community donations to provide free </w:t>
      </w:r>
      <w:r w:rsidR="008D0804">
        <w:t xml:space="preserve">teleweb </w:t>
      </w:r>
      <w:r w:rsidR="00A24969">
        <w:t xml:space="preserve">peer support for LGBTIQ+ people or their networks </w:t>
      </w:r>
      <w:r w:rsidR="00384F92">
        <w:t>who want</w:t>
      </w:r>
      <w:r w:rsidR="00A24969">
        <w:t xml:space="preserve"> to talk about </w:t>
      </w:r>
      <w:r w:rsidR="00AD6E41">
        <w:t>sexual orientation</w:t>
      </w:r>
      <w:r w:rsidR="00A24969">
        <w:t>, identity, gender, bodies, feelings, or relationships.</w:t>
      </w:r>
      <w:r w:rsidR="00BA7CBC">
        <w:rPr>
          <w:rStyle w:val="FootnoteReference"/>
        </w:rPr>
        <w:footnoteReference w:id="89"/>
      </w:r>
      <w:r w:rsidR="00A24969">
        <w:t xml:space="preserve"> The peer support text</w:t>
      </w:r>
      <w:r w:rsidR="00384F92">
        <w:t>,</w:t>
      </w:r>
      <w:r w:rsidR="00A24969">
        <w:t xml:space="preserve"> and call-lines, as well as web-chat </w:t>
      </w:r>
      <w:r w:rsidR="00A24969">
        <w:lastRenderedPageBreak/>
        <w:t>options</w:t>
      </w:r>
      <w:r w:rsidR="00384F92">
        <w:t>,</w:t>
      </w:r>
      <w:r w:rsidR="00A24969">
        <w:t xml:space="preserve"> are made available across Australia through its various state partners including </w:t>
      </w:r>
      <w:hyperlink r:id="rId78" w:history="1">
        <w:r w:rsidR="00A24969" w:rsidRPr="28F2AAE0">
          <w:rPr>
            <w:rStyle w:val="Hyperlink"/>
          </w:rPr>
          <w:t>Living Proud</w:t>
        </w:r>
      </w:hyperlink>
      <w:r w:rsidR="00A24969">
        <w:t xml:space="preserve"> (Western Australia), </w:t>
      </w:r>
      <w:hyperlink r:id="rId79" w:history="1">
        <w:r w:rsidR="00A24969" w:rsidRPr="28F2AAE0">
          <w:rPr>
            <w:rStyle w:val="Hyperlink"/>
          </w:rPr>
          <w:t>Diverse Voices</w:t>
        </w:r>
      </w:hyperlink>
      <w:r w:rsidR="00A24969">
        <w:t xml:space="preserve"> (Queensland), </w:t>
      </w:r>
      <w:hyperlink r:id="rId80" w:history="1">
        <w:r w:rsidR="00A24969" w:rsidRPr="28F2AAE0">
          <w:rPr>
            <w:rStyle w:val="Hyperlink"/>
          </w:rPr>
          <w:t>Twenty 10</w:t>
        </w:r>
      </w:hyperlink>
      <w:r w:rsidR="00A24969">
        <w:t xml:space="preserve"> (NSW) and </w:t>
      </w:r>
      <w:hyperlink r:id="rId81" w:history="1">
        <w:r w:rsidR="00A651DA" w:rsidRPr="00555CC2">
          <w:rPr>
            <w:rStyle w:val="Hyperlink"/>
          </w:rPr>
          <w:t>Switchboard</w:t>
        </w:r>
      </w:hyperlink>
      <w:r w:rsidR="00A24969">
        <w:t xml:space="preserve"> (Victoria).</w:t>
      </w:r>
    </w:p>
    <w:p w14:paraId="663AD739" w14:textId="7FED4B07" w:rsidR="00A24969" w:rsidRPr="00484EC6" w:rsidRDefault="00A24969" w:rsidP="00A24969">
      <w:pPr>
        <w:numPr>
          <w:ilvl w:val="0"/>
          <w:numId w:val="8"/>
        </w:numPr>
        <w:rPr>
          <w:rFonts w:eastAsia="Times New Roman" w:cs="Times New Roman"/>
          <w:szCs w:val="24"/>
          <w:lang w:eastAsia="en-AU"/>
        </w:rPr>
      </w:pPr>
      <w:hyperlink r:id="rId82" w:history="1">
        <w:r w:rsidRPr="00484EC6">
          <w:rPr>
            <w:rStyle w:val="Hyperlink"/>
            <w:rFonts w:eastAsia="Times New Roman" w:cs="Times New Roman"/>
            <w:szCs w:val="24"/>
            <w:lang w:eastAsia="en-AU"/>
          </w:rPr>
          <w:t>qheadspace</w:t>
        </w:r>
      </w:hyperlink>
      <w:r w:rsidR="00F92943">
        <w:rPr>
          <w:rFonts w:eastAsia="Times New Roman" w:cs="Times New Roman"/>
          <w:szCs w:val="24"/>
          <w:lang w:eastAsia="en-AU"/>
        </w:rPr>
        <w:t>:</w:t>
      </w:r>
      <w:r>
        <w:rPr>
          <w:rFonts w:eastAsia="Times New Roman" w:cs="Times New Roman"/>
          <w:szCs w:val="24"/>
          <w:lang w:eastAsia="en-AU"/>
        </w:rPr>
        <w:t xml:space="preserve"> a part of the national youth mental health digital gateway headspace, administered by the Australian government, provid</w:t>
      </w:r>
      <w:r w:rsidR="00C727D0">
        <w:rPr>
          <w:rFonts w:eastAsia="Times New Roman" w:cs="Times New Roman"/>
          <w:szCs w:val="24"/>
          <w:lang w:eastAsia="en-AU"/>
        </w:rPr>
        <w:t>ing</w:t>
      </w:r>
      <w:r>
        <w:rPr>
          <w:rFonts w:eastAsia="Times New Roman" w:cs="Times New Roman"/>
          <w:szCs w:val="24"/>
          <w:lang w:eastAsia="en-AU"/>
        </w:rPr>
        <w:t xml:space="preserve"> a dedicated platform for LGBT</w:t>
      </w:r>
      <w:r w:rsidR="00216CEA">
        <w:rPr>
          <w:rFonts w:eastAsia="Times New Roman" w:cs="Times New Roman"/>
          <w:szCs w:val="24"/>
          <w:lang w:eastAsia="en-AU"/>
        </w:rPr>
        <w:t>IQ</w:t>
      </w:r>
      <w:r>
        <w:rPr>
          <w:rFonts w:eastAsia="Times New Roman" w:cs="Times New Roman"/>
          <w:szCs w:val="24"/>
          <w:lang w:eastAsia="en-AU"/>
        </w:rPr>
        <w:t xml:space="preserve">A+ young people to access peer support and other mental health resources. </w:t>
      </w:r>
      <w:r w:rsidRPr="00FD6800">
        <w:rPr>
          <w:rFonts w:eastAsia="Times New Roman" w:cs="Times New Roman"/>
          <w:szCs w:val="24"/>
          <w:lang w:eastAsia="en-AU"/>
        </w:rPr>
        <w:t>Through the platform, users can also access phone and webchat support from trained mental health professionals.</w:t>
      </w:r>
      <w:r w:rsidR="00324710">
        <w:rPr>
          <w:rStyle w:val="FootnoteReference"/>
          <w:rFonts w:eastAsia="Times New Roman" w:cs="Times New Roman"/>
          <w:szCs w:val="24"/>
          <w:lang w:eastAsia="en-AU"/>
        </w:rPr>
        <w:footnoteReference w:id="90"/>
      </w:r>
    </w:p>
    <w:p w14:paraId="37732821" w14:textId="227354EA" w:rsidR="0071425F" w:rsidRPr="0036597A" w:rsidRDefault="00484EC6" w:rsidP="009B406F">
      <w:pPr>
        <w:pStyle w:val="NbrHeading4"/>
      </w:pPr>
      <w:r>
        <w:t>R</w:t>
      </w:r>
      <w:r w:rsidR="0071425F" w:rsidRPr="0036597A">
        <w:t xml:space="preserve">esource platforms </w:t>
      </w:r>
      <w:r w:rsidR="000C76FC">
        <w:t>and</w:t>
      </w:r>
      <w:r w:rsidR="00A17A4C">
        <w:t xml:space="preserve"> wellbeing</w:t>
      </w:r>
      <w:r w:rsidR="000C76FC">
        <w:t xml:space="preserve"> apps</w:t>
      </w:r>
    </w:p>
    <w:p w14:paraId="27A0F689" w14:textId="2F2FE0E5" w:rsidR="009144F1" w:rsidRDefault="00F229C2" w:rsidP="00A64FCE">
      <w:proofErr w:type="gramStart"/>
      <w:r>
        <w:t>A number of</w:t>
      </w:r>
      <w:proofErr w:type="gramEnd"/>
      <w:r>
        <w:t xml:space="preserve"> digital resource platforms and wellbeing apps have also been</w:t>
      </w:r>
      <w:r w:rsidR="00EE4576">
        <w:t xml:space="preserve"> developed to enable LGTB</w:t>
      </w:r>
      <w:r w:rsidR="00670A92">
        <w:t>Q</w:t>
      </w:r>
      <w:r w:rsidR="00EE4576">
        <w:t xml:space="preserve">+ to access </w:t>
      </w:r>
      <w:r w:rsidR="00A002D0">
        <w:t>specialised mental health resources individually</w:t>
      </w:r>
      <w:r w:rsidR="00F234BF">
        <w:t>,</w:t>
      </w:r>
      <w:r w:rsidR="00A002D0">
        <w:t xml:space="preserve"> at their own pace. </w:t>
      </w:r>
      <w:r w:rsidR="00A64FCE">
        <w:t>Some examples include:</w:t>
      </w:r>
    </w:p>
    <w:p w14:paraId="7856591A" w14:textId="196A8AC7" w:rsidR="0071425F" w:rsidRPr="009F3AAE" w:rsidRDefault="0071425F" w:rsidP="00A74059">
      <w:pPr>
        <w:pStyle w:val="ListBullet0"/>
        <w:rPr>
          <w:color w:val="000000" w:themeColor="text1"/>
        </w:rPr>
      </w:pPr>
      <w:hyperlink r:id="rId83" w:history="1">
        <w:r w:rsidRPr="0036597A">
          <w:rPr>
            <w:rStyle w:val="Hyperlink"/>
          </w:rPr>
          <w:t>HERE</w:t>
        </w:r>
      </w:hyperlink>
      <w:r w:rsidR="00C727D0">
        <w:t>:</w:t>
      </w:r>
      <w:r w:rsidR="000E20FB">
        <w:t xml:space="preserve"> a</w:t>
      </w:r>
      <w:r w:rsidRPr="0036597A">
        <w:t xml:space="preserve"> digital suicide prevention hub for LGBTQ+ </w:t>
      </w:r>
      <w:r w:rsidR="00B01CFB">
        <w:t>people</w:t>
      </w:r>
      <w:r w:rsidRPr="0036597A">
        <w:t>, their</w:t>
      </w:r>
      <w:r w:rsidR="002330B6">
        <w:t xml:space="preserve"> networks</w:t>
      </w:r>
      <w:r w:rsidR="00C727D0">
        <w:t>,</w:t>
      </w:r>
      <w:r>
        <w:t xml:space="preserve"> </w:t>
      </w:r>
      <w:r w:rsidRPr="0036597A">
        <w:t>and service providers.</w:t>
      </w:r>
      <w:r w:rsidR="00D51BB5">
        <w:rPr>
          <w:rStyle w:val="FootnoteReference"/>
        </w:rPr>
        <w:footnoteReference w:id="91"/>
      </w:r>
      <w:r w:rsidR="00C07152">
        <w:t xml:space="preserve"> </w:t>
      </w:r>
    </w:p>
    <w:p w14:paraId="23A53182" w14:textId="275AB33C" w:rsidR="0071425F" w:rsidRDefault="0071425F" w:rsidP="00A74059">
      <w:pPr>
        <w:pStyle w:val="ListBullet0"/>
        <w:rPr>
          <w:color w:val="000000" w:themeColor="text1"/>
        </w:rPr>
      </w:pPr>
      <w:hyperlink r:id="rId84" w:history="1">
        <w:r w:rsidRPr="28F2AAE0">
          <w:rPr>
            <w:rStyle w:val="Hyperlink"/>
          </w:rPr>
          <w:t>TransHub</w:t>
        </w:r>
      </w:hyperlink>
      <w:r w:rsidR="00C727D0">
        <w:t>:</w:t>
      </w:r>
      <w:r>
        <w:t xml:space="preserve"> a digital information and resource platform for </w:t>
      </w:r>
      <w:r w:rsidR="4E4DA6F2">
        <w:t xml:space="preserve">trans and </w:t>
      </w:r>
      <w:r w:rsidR="00B01CFB">
        <w:t xml:space="preserve">gender </w:t>
      </w:r>
      <w:r w:rsidR="4C1C4322" w:rsidRPr="00FC1379">
        <w:rPr>
          <w:rStyle w:val="Hyperlink"/>
          <w:color w:val="auto"/>
          <w:u w:val="none"/>
        </w:rPr>
        <w:t>diverse</w:t>
      </w:r>
      <w:r w:rsidR="1EF4D110" w:rsidRPr="00FC1379">
        <w:rPr>
          <w:rStyle w:val="Hyperlink"/>
          <w:color w:val="auto"/>
          <w:u w:val="none"/>
        </w:rPr>
        <w:t xml:space="preserve"> </w:t>
      </w:r>
      <w:r>
        <w:t xml:space="preserve">people in NSW, including providing accessible and clear information about gender affirmation and </w:t>
      </w:r>
      <w:r w:rsidR="00B01CFB">
        <w:t xml:space="preserve">gender </w:t>
      </w:r>
      <w:r w:rsidR="44523A30">
        <w:t>related</w:t>
      </w:r>
      <w:r w:rsidR="6AC5CB4F">
        <w:t xml:space="preserve"> health and social support</w:t>
      </w:r>
      <w:r>
        <w:t>.</w:t>
      </w:r>
      <w:r w:rsidRPr="0036597A">
        <w:rPr>
          <w:vertAlign w:val="superscript"/>
        </w:rPr>
        <w:footnoteReference w:id="92"/>
      </w:r>
      <w:r>
        <w:t xml:space="preserve"> TransHub is an initiative from ACON, which receives funding from the NSW Government.</w:t>
      </w:r>
      <w:r w:rsidRPr="0036597A">
        <w:rPr>
          <w:vertAlign w:val="superscript"/>
        </w:rPr>
        <w:footnoteReference w:id="93"/>
      </w:r>
      <w:r>
        <w:t xml:space="preserve">  </w:t>
      </w:r>
    </w:p>
    <w:p w14:paraId="10FA7B26" w14:textId="16EF00D3" w:rsidR="000C76FC" w:rsidRDefault="00764C86" w:rsidP="00A74059">
      <w:pPr>
        <w:pStyle w:val="ListBullet0"/>
        <w:rPr>
          <w:color w:val="000000" w:themeColor="text1"/>
        </w:rPr>
      </w:pPr>
      <w:hyperlink r:id="rId85" w:history="1">
        <w:r w:rsidRPr="000B2E0D">
          <w:rPr>
            <w:rStyle w:val="Hyperlink"/>
          </w:rPr>
          <w:t>Voda</w:t>
        </w:r>
      </w:hyperlink>
      <w:r w:rsidR="00C727D0">
        <w:t>:</w:t>
      </w:r>
      <w:r w:rsidR="00A002D0">
        <w:t xml:space="preserve"> a r</w:t>
      </w:r>
      <w:r w:rsidR="002903BF">
        <w:t xml:space="preserve">ecently launched </w:t>
      </w:r>
      <w:r w:rsidR="00970C21">
        <w:t>LGBTQIA+ mental wellness app</w:t>
      </w:r>
      <w:r w:rsidR="004B4DE8">
        <w:t xml:space="preserve"> which is developing on-demand programmes based on mindfulness, C</w:t>
      </w:r>
      <w:r w:rsidR="009A1059">
        <w:t>ognitive Behaviour</w:t>
      </w:r>
      <w:r w:rsidR="004E0C10">
        <w:t>al</w:t>
      </w:r>
      <w:r w:rsidR="009A1059">
        <w:t xml:space="preserve"> Therapy </w:t>
      </w:r>
      <w:r w:rsidR="004E0C10">
        <w:t>(CBT)</w:t>
      </w:r>
      <w:r w:rsidR="00C727D0">
        <w:t>,</w:t>
      </w:r>
      <w:r w:rsidR="004E0C10">
        <w:t xml:space="preserve"> </w:t>
      </w:r>
      <w:r w:rsidR="004B4DE8">
        <w:t>and A</w:t>
      </w:r>
      <w:r w:rsidR="009A1059">
        <w:t xml:space="preserve">cceptance </w:t>
      </w:r>
      <w:r w:rsidR="004B4DE8">
        <w:t>C</w:t>
      </w:r>
      <w:r w:rsidR="009A1059">
        <w:t xml:space="preserve">ommitment </w:t>
      </w:r>
      <w:r w:rsidR="004B4DE8">
        <w:t>T</w:t>
      </w:r>
      <w:r w:rsidR="009A1059">
        <w:t>herapy</w:t>
      </w:r>
      <w:r w:rsidR="004B4DE8">
        <w:t>.</w:t>
      </w:r>
      <w:r w:rsidR="00A64159">
        <w:t xml:space="preserve"> The app</w:t>
      </w:r>
      <w:r w:rsidR="0059167F">
        <w:t xml:space="preserve"> was seeded by DigitalHealth.London Launchpad and is</w:t>
      </w:r>
      <w:r w:rsidR="00A64159">
        <w:t xml:space="preserve"> still in the process of being fully developed</w:t>
      </w:r>
      <w:r w:rsidR="001D751C">
        <w:t xml:space="preserve">. It </w:t>
      </w:r>
      <w:r w:rsidR="5C56B43D">
        <w:t>began</w:t>
      </w:r>
      <w:r w:rsidR="001D751C">
        <w:t xml:space="preserve"> </w:t>
      </w:r>
      <w:r w:rsidR="00A64159">
        <w:t xml:space="preserve">by </w:t>
      </w:r>
      <w:r w:rsidR="00187207">
        <w:t>sharing a series of digital mental health support resources for the trans and non-binary community</w:t>
      </w:r>
      <w:r w:rsidR="00C727D0">
        <w:t>,</w:t>
      </w:r>
      <w:r w:rsidR="00187207">
        <w:t xml:space="preserve"> called “Coping with Gender Dysphoria”. </w:t>
      </w:r>
      <w:r w:rsidR="002903BF">
        <w:t xml:space="preserve"> </w:t>
      </w:r>
      <w:r w:rsidR="00A002D0">
        <w:t xml:space="preserve">While the app was developed </w:t>
      </w:r>
      <w:r w:rsidR="000E20FB">
        <w:t xml:space="preserve">in </w:t>
      </w:r>
      <w:r w:rsidR="7855BA19">
        <w:t>the UK</w:t>
      </w:r>
      <w:r w:rsidR="000E20FB">
        <w:t xml:space="preserve">, it is available in Australia. </w:t>
      </w:r>
    </w:p>
    <w:p w14:paraId="01DA325F" w14:textId="55A44F0C" w:rsidR="00707879" w:rsidRDefault="008F0CBB" w:rsidP="009B406F">
      <w:pPr>
        <w:pStyle w:val="NbrHeading4"/>
      </w:pPr>
      <w:r>
        <w:t>S</w:t>
      </w:r>
      <w:r w:rsidR="00C24A25">
        <w:t xml:space="preserve">ocial programs </w:t>
      </w:r>
    </w:p>
    <w:p w14:paraId="6F6A8E1C" w14:textId="3C06C747" w:rsidR="00B11E92" w:rsidRDefault="00CE4DD1" w:rsidP="00CE4DD1">
      <w:r>
        <w:t xml:space="preserve">There are also various examples across Australia of social programs </w:t>
      </w:r>
      <w:r w:rsidR="008F0CBB">
        <w:t>which aim to</w:t>
      </w:r>
      <w:r w:rsidR="001A2E33">
        <w:t xml:space="preserve"> </w:t>
      </w:r>
      <w:r w:rsidR="1E1CB726">
        <w:t>promote wellbeing and prevent mental distress</w:t>
      </w:r>
      <w:r w:rsidR="00182305">
        <w:t xml:space="preserve"> by</w:t>
      </w:r>
      <w:r w:rsidR="008F0CBB">
        <w:t xml:space="preserve"> reduc</w:t>
      </w:r>
      <w:r w:rsidR="00182305">
        <w:t>ing</w:t>
      </w:r>
      <w:r w:rsidR="008F0CBB">
        <w:t xml:space="preserve"> social isolation and loneliness </w:t>
      </w:r>
      <w:r w:rsidR="001A2E33">
        <w:t>for LG</w:t>
      </w:r>
      <w:r w:rsidR="00855E98">
        <w:t>BTQ</w:t>
      </w:r>
      <w:r w:rsidR="001A2E33">
        <w:t xml:space="preserve">+ people. These are often </w:t>
      </w:r>
      <w:r>
        <w:t xml:space="preserve">delivered by </w:t>
      </w:r>
      <w:r w:rsidR="00B94396">
        <w:t>community organisations, as well as local councils and education providers. Some examples include:</w:t>
      </w:r>
    </w:p>
    <w:p w14:paraId="027DC558" w14:textId="69FF5978" w:rsidR="00C24A25" w:rsidRPr="00C24A25" w:rsidRDefault="00B94396" w:rsidP="00A74059">
      <w:pPr>
        <w:pStyle w:val="ListBullet0"/>
      </w:pPr>
      <w:r>
        <w:t xml:space="preserve">The </w:t>
      </w:r>
      <w:hyperlink r:id="rId86">
        <w:r w:rsidR="00C24A25" w:rsidRPr="28F2AAE0">
          <w:rPr>
            <w:rStyle w:val="Hyperlink"/>
          </w:rPr>
          <w:t>Queer Sisterhood Project</w:t>
        </w:r>
      </w:hyperlink>
      <w:r w:rsidR="00C727D0">
        <w:t>:</w:t>
      </w:r>
      <w:r w:rsidR="00C24A25">
        <w:t xml:space="preserve"> delivered by the Forcibly Displaced People Network, this peer-run support group aims to provide a safe space for</w:t>
      </w:r>
      <w:r w:rsidR="004554E7">
        <w:t xml:space="preserve"> self-identifying women who </w:t>
      </w:r>
      <w:r w:rsidR="00413BF2">
        <w:t xml:space="preserve">also </w:t>
      </w:r>
      <w:r w:rsidR="00413BF2">
        <w:lastRenderedPageBreak/>
        <w:t>identify as queer (homosexual, bisexual, lesbian, same-sex attracted</w:t>
      </w:r>
      <w:r w:rsidR="00C75A29">
        <w:t xml:space="preserve">, pansexual) </w:t>
      </w:r>
      <w:r w:rsidR="007808EE">
        <w:t>and have sought asylum in Australia on the ground of stigma-driven persecution.</w:t>
      </w:r>
      <w:r w:rsidR="00A36846">
        <w:rPr>
          <w:rStyle w:val="FootnoteReference"/>
        </w:rPr>
        <w:footnoteReference w:id="94"/>
      </w:r>
      <w:r w:rsidR="007808EE">
        <w:t xml:space="preserve"> </w:t>
      </w:r>
    </w:p>
    <w:p w14:paraId="4F460391" w14:textId="041840FD" w:rsidR="001F021B" w:rsidRDefault="004A4A80" w:rsidP="00A74059">
      <w:pPr>
        <w:pStyle w:val="ListBullet0"/>
      </w:pPr>
      <w:hyperlink r:id="rId87">
        <w:r w:rsidRPr="28F2AAE0">
          <w:rPr>
            <w:rStyle w:val="Hyperlink"/>
          </w:rPr>
          <w:t xml:space="preserve">Out and </w:t>
        </w:r>
        <w:proofErr w:type="gramStart"/>
        <w:r w:rsidRPr="28F2AAE0">
          <w:rPr>
            <w:rStyle w:val="Hyperlink"/>
          </w:rPr>
          <w:t>About</w:t>
        </w:r>
        <w:proofErr w:type="gramEnd"/>
      </w:hyperlink>
      <w:r w:rsidR="00C727D0">
        <w:t>:</w:t>
      </w:r>
      <w:r>
        <w:t xml:space="preserve"> </w:t>
      </w:r>
      <w:r w:rsidR="000B467B">
        <w:t xml:space="preserve">aims to reduce isolation and loneliness among LGBTI+ seniors in Victoria by </w:t>
      </w:r>
      <w:r w:rsidR="009B22A9">
        <w:t xml:space="preserve">coordinating fortnightly </w:t>
      </w:r>
      <w:r w:rsidR="000B467B">
        <w:t xml:space="preserve">visits from </w:t>
      </w:r>
      <w:r w:rsidR="009B22A9">
        <w:t xml:space="preserve">peer volunteers. </w:t>
      </w:r>
      <w:r w:rsidR="0021530D">
        <w:t xml:space="preserve">This service is delivered by Switchboard Victoria </w:t>
      </w:r>
      <w:r w:rsidR="00CB035D">
        <w:t>(a partner of Q life) with funding from the Federal Department of Health and Aged Care, under the Aged Care Volunteer Visitors Scheme.</w:t>
      </w:r>
      <w:r w:rsidR="00F361C6">
        <w:rPr>
          <w:rStyle w:val="FootnoteReference"/>
        </w:rPr>
        <w:footnoteReference w:id="95"/>
      </w:r>
      <w:r w:rsidR="00CB035D">
        <w:t xml:space="preserve"> </w:t>
      </w:r>
    </w:p>
    <w:p w14:paraId="3346C12D" w14:textId="60BD521D" w:rsidR="00D67E15" w:rsidRDefault="00874D42" w:rsidP="00A74059">
      <w:pPr>
        <w:pStyle w:val="ListBullet0"/>
      </w:pPr>
      <w:hyperlink r:id="rId88">
        <w:r w:rsidRPr="28F2AAE0">
          <w:rPr>
            <w:rStyle w:val="Hyperlink"/>
          </w:rPr>
          <w:t>Albany Pride</w:t>
        </w:r>
      </w:hyperlink>
      <w:r w:rsidR="00C727D0">
        <w:t>:</w:t>
      </w:r>
      <w:r w:rsidR="001F021B">
        <w:t xml:space="preserve"> a volunteer-run community organisation in Western Australia</w:t>
      </w:r>
      <w:r w:rsidR="00ED68BA">
        <w:t xml:space="preserve"> which</w:t>
      </w:r>
      <w:r w:rsidR="001F021B">
        <w:t xml:space="preserve"> </w:t>
      </w:r>
      <w:r w:rsidR="00390CBE">
        <w:t>organises various social events</w:t>
      </w:r>
      <w:r w:rsidR="00241479">
        <w:t xml:space="preserve"> for Albany and its surrounds</w:t>
      </w:r>
      <w:r w:rsidR="00390CBE">
        <w:t xml:space="preserve">, including </w:t>
      </w:r>
      <w:r w:rsidR="00817916">
        <w:t xml:space="preserve">for specific communities (e.g., </w:t>
      </w:r>
      <w:r w:rsidR="00C55BB1">
        <w:t>Transverse</w:t>
      </w:r>
      <w:r w:rsidR="00C727D0">
        <w:t>,</w:t>
      </w:r>
      <w:r w:rsidR="00C55BB1">
        <w:t xml:space="preserve"> </w:t>
      </w:r>
      <w:r w:rsidR="00DC2CB0">
        <w:t>for trans, nonbinary and gender diverse people, and Spectrum</w:t>
      </w:r>
      <w:r w:rsidR="00C727D0">
        <w:t>,</w:t>
      </w:r>
      <w:r w:rsidR="00DC2CB0">
        <w:t xml:space="preserve"> for LGBTI</w:t>
      </w:r>
      <w:r w:rsidR="001D3CBC">
        <w:t>Q</w:t>
      </w:r>
      <w:r w:rsidR="00DC2CB0">
        <w:t>A+ people under 25)</w:t>
      </w:r>
      <w:r w:rsidR="00816B03">
        <w:t xml:space="preserve">, as well as </w:t>
      </w:r>
      <w:r w:rsidR="00F95B4D">
        <w:t xml:space="preserve">to provide a “safe and affirming place” for </w:t>
      </w:r>
      <w:r w:rsidR="001D3CBC">
        <w:t>LGBTIQA</w:t>
      </w:r>
      <w:r w:rsidR="00817916">
        <w:t>+ people with disabilities, neurodivergence</w:t>
      </w:r>
      <w:r w:rsidR="00C727D0">
        <w:t>,</w:t>
      </w:r>
      <w:r w:rsidR="00817916">
        <w:t xml:space="preserve"> or mental health challenges</w:t>
      </w:r>
      <w:r w:rsidR="00C727D0">
        <w:t>,</w:t>
      </w:r>
      <w:r w:rsidR="00817916">
        <w:t xml:space="preserve"> such as depression or anxiety</w:t>
      </w:r>
      <w:r w:rsidR="00F95B4D">
        <w:t>.</w:t>
      </w:r>
      <w:r w:rsidR="008B7ED5">
        <w:rPr>
          <w:rStyle w:val="FootnoteReference"/>
        </w:rPr>
        <w:footnoteReference w:id="96"/>
      </w:r>
      <w:r w:rsidR="00390CBE">
        <w:t xml:space="preserve"> </w:t>
      </w:r>
    </w:p>
    <w:p w14:paraId="7FEEA45F" w14:textId="644B3A45" w:rsidR="00E128D9" w:rsidRPr="008548CA" w:rsidRDefault="00E128D9" w:rsidP="008548CA">
      <w:pPr>
        <w:sectPr w:rsidR="00E128D9" w:rsidRPr="008548CA" w:rsidSect="00CD06B3">
          <w:footerReference w:type="default" r:id="rId89"/>
          <w:pgSz w:w="11906" w:h="16838" w:code="9"/>
          <w:pgMar w:top="1440" w:right="1440" w:bottom="1440" w:left="1440" w:header="567" w:footer="57" w:gutter="0"/>
          <w:cols w:space="708"/>
          <w:docGrid w:linePitch="360"/>
        </w:sectPr>
      </w:pPr>
      <w:r w:rsidRPr="008548CA">
        <w:t>As summarised in the above Section, the Australian policy, funding</w:t>
      </w:r>
      <w:r w:rsidR="007702C8" w:rsidRPr="008548CA">
        <w:t>,</w:t>
      </w:r>
      <w:r w:rsidRPr="008548CA">
        <w:t xml:space="preserve"> and services landscape related to mental health is complex and involves a highly diverse range of service types</w:t>
      </w:r>
      <w:r w:rsidR="00C727D0" w:rsidRPr="008548CA">
        <w:t>,</w:t>
      </w:r>
      <w:r w:rsidRPr="008548CA">
        <w:t xml:space="preserve"> as well as health professionals and other staff. These all need to be factored into any reforms designed to better support the mental wellbeing of the LGBT</w:t>
      </w:r>
      <w:r w:rsidR="009F23E1" w:rsidRPr="008548CA">
        <w:t>Q</w:t>
      </w:r>
      <w:r w:rsidRPr="008548CA">
        <w:t>+ peoples nationally.</w:t>
      </w:r>
    </w:p>
    <w:p w14:paraId="68EA0F42" w14:textId="6A286498" w:rsidR="00B7545E" w:rsidRDefault="00521F0C" w:rsidP="009B406F">
      <w:pPr>
        <w:pStyle w:val="NbrHeading1"/>
        <w:rPr>
          <w:color w:val="FF2305" w:themeColor="accent2"/>
        </w:rPr>
      </w:pPr>
      <w:bookmarkStart w:id="39" w:name="_Toc149549972"/>
      <w:bookmarkStart w:id="40" w:name="_Toc149549980"/>
      <w:bookmarkStart w:id="41" w:name="_Toc153899506"/>
      <w:bookmarkEnd w:id="39"/>
      <w:bookmarkEnd w:id="40"/>
      <w:r>
        <w:lastRenderedPageBreak/>
        <w:t>Stressors, r</w:t>
      </w:r>
      <w:r w:rsidR="00214D0A">
        <w:t>isks</w:t>
      </w:r>
      <w:r w:rsidR="004B7C73">
        <w:t>,</w:t>
      </w:r>
      <w:r w:rsidR="00214D0A">
        <w:t xml:space="preserve"> and protective factors</w:t>
      </w:r>
      <w:bookmarkEnd w:id="41"/>
    </w:p>
    <w:p w14:paraId="3E1CFA31" w14:textId="336A3884" w:rsidR="00214D0A" w:rsidRPr="00FE0D5D" w:rsidRDefault="00E46099" w:rsidP="00FE0D5D">
      <w:pPr>
        <w:shd w:val="clear" w:color="auto" w:fill="FFFFFF" w:themeFill="background1"/>
        <w:ind w:left="1134"/>
        <w:rPr>
          <w:i/>
          <w:iCs/>
          <w:color w:val="0F4BEB" w:themeColor="accent1"/>
        </w:rPr>
      </w:pPr>
      <w:bookmarkStart w:id="42" w:name="_Toc147225844"/>
      <w:r w:rsidRPr="00FE0D5D">
        <w:rPr>
          <w:i/>
          <w:iCs/>
          <w:color w:val="0F4BEB" w:themeColor="accent1"/>
        </w:rPr>
        <w:t xml:space="preserve">This section </w:t>
      </w:r>
      <w:r w:rsidR="000742F5" w:rsidRPr="00FE0D5D">
        <w:rPr>
          <w:i/>
          <w:iCs/>
          <w:color w:val="0F4BEB" w:themeColor="accent1"/>
        </w:rPr>
        <w:t>addresse</w:t>
      </w:r>
      <w:r w:rsidR="0033649D" w:rsidRPr="00FE0D5D">
        <w:rPr>
          <w:i/>
          <w:iCs/>
          <w:color w:val="0F4BEB" w:themeColor="accent1"/>
        </w:rPr>
        <w:t>s</w:t>
      </w:r>
      <w:r w:rsidR="000742F5" w:rsidRPr="00FE0D5D">
        <w:rPr>
          <w:i/>
          <w:iCs/>
          <w:color w:val="0F4BEB" w:themeColor="accent1"/>
        </w:rPr>
        <w:t xml:space="preserve"> KRQ </w:t>
      </w:r>
      <w:r w:rsidR="004F4A46" w:rsidRPr="00FE0D5D">
        <w:rPr>
          <w:i/>
          <w:iCs/>
          <w:color w:val="0F4BEB" w:themeColor="accent1"/>
        </w:rPr>
        <w:t>1, namely</w:t>
      </w:r>
      <w:r w:rsidR="00214D0A" w:rsidRPr="00FE0D5D">
        <w:rPr>
          <w:i/>
          <w:iCs/>
          <w:color w:val="0F4BEB" w:themeColor="accent1"/>
        </w:rPr>
        <w:t>:</w:t>
      </w:r>
    </w:p>
    <w:p w14:paraId="66115670" w14:textId="054A3A8C" w:rsidR="00673307" w:rsidRDefault="00BB3691" w:rsidP="009B406F">
      <w:pPr>
        <w:pStyle w:val="ListAlpha5"/>
        <w:numPr>
          <w:ilvl w:val="0"/>
          <w:numId w:val="0"/>
        </w:numPr>
        <w:ind w:left="2125"/>
      </w:pPr>
      <w:r w:rsidRPr="00C2399D">
        <w:rPr>
          <w:color w:val="0F4BEB" w:themeColor="accent1"/>
        </w:rPr>
        <w:t xml:space="preserve">What are the key causes of distress experienced </w:t>
      </w:r>
      <w:r w:rsidR="00F84259" w:rsidRPr="00C2399D">
        <w:rPr>
          <w:color w:val="0F4BEB" w:themeColor="accent1"/>
        </w:rPr>
        <w:t>by LG</w:t>
      </w:r>
      <w:r w:rsidR="002D061A" w:rsidRPr="00C2399D">
        <w:rPr>
          <w:color w:val="0F4BEB" w:themeColor="accent1"/>
        </w:rPr>
        <w:t>B</w:t>
      </w:r>
      <w:r w:rsidR="009F23E1" w:rsidRPr="00C2399D">
        <w:rPr>
          <w:color w:val="0F4BEB" w:themeColor="accent1"/>
        </w:rPr>
        <w:t>TQ</w:t>
      </w:r>
      <w:r w:rsidR="002D061A" w:rsidRPr="00C2399D">
        <w:rPr>
          <w:color w:val="0F4BEB" w:themeColor="accent1"/>
        </w:rPr>
        <w:t xml:space="preserve">+ </w:t>
      </w:r>
      <w:r w:rsidR="00CE4E41" w:rsidRPr="00C2399D">
        <w:rPr>
          <w:color w:val="0F4BEB" w:themeColor="accent1"/>
        </w:rPr>
        <w:t xml:space="preserve">people </w:t>
      </w:r>
      <w:r w:rsidRPr="00C2399D">
        <w:rPr>
          <w:color w:val="0F4BEB" w:themeColor="accent1"/>
        </w:rPr>
        <w:t>that impact on their mental health or wellbeing, and/or increase their risk of suicidal behaviours?</w:t>
      </w:r>
      <w:r w:rsidR="00517CF2" w:rsidRPr="00C2399D">
        <w:rPr>
          <w:color w:val="0F4BEB" w:themeColor="accent1"/>
        </w:rPr>
        <w:t xml:space="preserve"> </w:t>
      </w:r>
    </w:p>
    <w:p w14:paraId="028AADEB" w14:textId="32883EE7" w:rsidR="00E87B1D" w:rsidRPr="00FE0D5D" w:rsidRDefault="00517CF2" w:rsidP="00FE0D5D">
      <w:pPr>
        <w:shd w:val="clear" w:color="auto" w:fill="FFFFFF" w:themeFill="background1"/>
        <w:tabs>
          <w:tab w:val="left" w:pos="851"/>
        </w:tabs>
        <w:ind w:left="1134"/>
        <w:rPr>
          <w:i/>
          <w:iCs/>
          <w:color w:val="0F4BEB" w:themeColor="accent1"/>
        </w:rPr>
      </w:pPr>
      <w:r w:rsidRPr="00FE0D5D">
        <w:rPr>
          <w:i/>
          <w:iCs/>
          <w:color w:val="0F4BEB" w:themeColor="accent1"/>
        </w:rPr>
        <w:t xml:space="preserve">This section </w:t>
      </w:r>
      <w:r w:rsidR="00673307">
        <w:rPr>
          <w:i/>
          <w:iCs/>
          <w:color w:val="0F4BEB" w:themeColor="accent1"/>
        </w:rPr>
        <w:t xml:space="preserve">also covers </w:t>
      </w:r>
      <w:r w:rsidRPr="00FE0D5D">
        <w:rPr>
          <w:i/>
          <w:iCs/>
          <w:color w:val="0F4BEB" w:themeColor="accent1"/>
        </w:rPr>
        <w:t xml:space="preserve">various social determinants </w:t>
      </w:r>
      <w:r w:rsidR="00FB68FF" w:rsidRPr="00FE0D5D">
        <w:rPr>
          <w:i/>
          <w:iCs/>
          <w:color w:val="0F4BEB" w:themeColor="accent1"/>
        </w:rPr>
        <w:t xml:space="preserve">which </w:t>
      </w:r>
      <w:r w:rsidR="002A3979" w:rsidRPr="00FE0D5D">
        <w:rPr>
          <w:i/>
          <w:iCs/>
          <w:color w:val="0F4BEB" w:themeColor="accent1"/>
        </w:rPr>
        <w:t>impact mental health and wellbeing</w:t>
      </w:r>
      <w:r w:rsidR="00C64404" w:rsidRPr="00FE0D5D">
        <w:rPr>
          <w:i/>
          <w:iCs/>
          <w:color w:val="0F4BEB" w:themeColor="accent1"/>
        </w:rPr>
        <w:t>.</w:t>
      </w:r>
      <w:r w:rsidR="002A3979" w:rsidRPr="00FE0D5D">
        <w:rPr>
          <w:i/>
          <w:iCs/>
          <w:color w:val="0F4BEB" w:themeColor="accent1"/>
        </w:rPr>
        <w:t xml:space="preserve"> </w:t>
      </w:r>
    </w:p>
    <w:p w14:paraId="41DBE7B3" w14:textId="699ED662" w:rsidR="004E6073" w:rsidRPr="00FE0D5D" w:rsidRDefault="0036597A" w:rsidP="00FE0D5D">
      <w:pPr>
        <w:shd w:val="clear" w:color="auto" w:fill="FFFFFF" w:themeFill="background1"/>
        <w:tabs>
          <w:tab w:val="left" w:pos="851"/>
        </w:tabs>
        <w:ind w:left="1134"/>
        <w:rPr>
          <w:i/>
          <w:iCs/>
          <w:color w:val="0F4BEB" w:themeColor="accent1"/>
        </w:rPr>
      </w:pPr>
      <w:r w:rsidRPr="00FE0D5D">
        <w:rPr>
          <w:i/>
          <w:iCs/>
          <w:color w:val="0F4BEB" w:themeColor="accent1"/>
        </w:rPr>
        <w:t>Further information about method and focus can be found at Section 1.2.</w:t>
      </w:r>
      <w:r w:rsidR="004E6073" w:rsidRPr="00FE0D5D">
        <w:rPr>
          <w:i/>
          <w:iCs/>
          <w:color w:val="0F4BEB" w:themeColor="accent1"/>
        </w:rPr>
        <w:t xml:space="preserve"> </w:t>
      </w:r>
    </w:p>
    <w:p w14:paraId="37B6CE32" w14:textId="0675C537" w:rsidR="001729AB" w:rsidRDefault="00753C93" w:rsidP="009B406F">
      <w:pPr>
        <w:pStyle w:val="NbrHeading2"/>
      </w:pPr>
      <w:bookmarkStart w:id="43" w:name="_Toc153899507"/>
      <w:bookmarkEnd w:id="42"/>
      <w:r>
        <w:t>About this</w:t>
      </w:r>
      <w:r w:rsidR="006242F3">
        <w:t xml:space="preserve"> Section</w:t>
      </w:r>
      <w:bookmarkEnd w:id="43"/>
    </w:p>
    <w:p w14:paraId="74D7C7DB" w14:textId="0D936C9C" w:rsidR="0073064B" w:rsidRPr="007467BE" w:rsidRDefault="00CB62F0" w:rsidP="008E013A">
      <w:pPr>
        <w:rPr>
          <w:rFonts w:ascii="Arial" w:eastAsia="Arial" w:hAnsi="Arial" w:cs="Arial"/>
          <w:color w:val="000000" w:themeColor="text1"/>
        </w:rPr>
      </w:pPr>
      <w:r w:rsidRPr="007467BE">
        <w:t>M</w:t>
      </w:r>
      <w:r w:rsidRPr="007467BE">
        <w:rPr>
          <w:rFonts w:ascii="Arial" w:eastAsia="Arial" w:hAnsi="Arial" w:cs="Arial"/>
          <w:color w:val="000000" w:themeColor="text1"/>
        </w:rPr>
        <w:t>any LGBTQ+ people in Australia live healthy and fulfilling lives, often bolstered by the love and support of the LGBTQ+ people, and allies, that form their family</w:t>
      </w:r>
      <w:r w:rsidR="009F23E1">
        <w:rPr>
          <w:rFonts w:ascii="Arial" w:eastAsia="Arial" w:hAnsi="Arial" w:cs="Arial"/>
          <w:color w:val="000000" w:themeColor="text1"/>
        </w:rPr>
        <w:t xml:space="preserve"> (biological and chosen)</w:t>
      </w:r>
      <w:r w:rsidRPr="007467BE">
        <w:rPr>
          <w:rFonts w:ascii="Arial" w:eastAsia="Arial" w:hAnsi="Arial" w:cs="Arial"/>
          <w:color w:val="000000" w:themeColor="text1"/>
        </w:rPr>
        <w:t>, friends, extended kinship networks</w:t>
      </w:r>
      <w:r w:rsidR="00BF73AA">
        <w:rPr>
          <w:rFonts w:ascii="Arial" w:eastAsia="Arial" w:hAnsi="Arial" w:cs="Arial"/>
          <w:color w:val="000000" w:themeColor="text1"/>
        </w:rPr>
        <w:t xml:space="preserve">, </w:t>
      </w:r>
      <w:r w:rsidRPr="007467BE">
        <w:rPr>
          <w:rFonts w:ascii="Arial" w:eastAsia="Arial" w:hAnsi="Arial" w:cs="Arial"/>
          <w:color w:val="000000" w:themeColor="text1"/>
        </w:rPr>
        <w:t xml:space="preserve">and community. </w:t>
      </w:r>
      <w:r w:rsidR="0073064B" w:rsidRPr="007467BE">
        <w:rPr>
          <w:rFonts w:ascii="Arial" w:eastAsia="Arial" w:hAnsi="Arial" w:cs="Arial"/>
          <w:color w:val="000000" w:themeColor="text1"/>
        </w:rPr>
        <w:t xml:space="preserve">However, as outlined in Section 2, </w:t>
      </w:r>
      <w:r w:rsidR="007544A9" w:rsidRPr="007467BE">
        <w:rPr>
          <w:rFonts w:ascii="Arial" w:eastAsia="Arial" w:hAnsi="Arial" w:cs="Arial"/>
          <w:color w:val="000000" w:themeColor="text1"/>
        </w:rPr>
        <w:t xml:space="preserve">the available data suggest that </w:t>
      </w:r>
      <w:r w:rsidR="005412E1" w:rsidRPr="007467BE">
        <w:rPr>
          <w:rFonts w:ascii="Arial" w:eastAsia="Arial" w:hAnsi="Arial" w:cs="Arial"/>
          <w:color w:val="000000" w:themeColor="text1"/>
        </w:rPr>
        <w:t>a significant proportion</w:t>
      </w:r>
      <w:r w:rsidR="00001AC0">
        <w:rPr>
          <w:rFonts w:ascii="Arial" w:eastAsia="Arial" w:hAnsi="Arial" w:cs="Arial"/>
          <w:color w:val="000000" w:themeColor="text1"/>
        </w:rPr>
        <w:t xml:space="preserve"> of those in the community</w:t>
      </w:r>
      <w:r w:rsidR="005412E1" w:rsidRPr="007467BE">
        <w:rPr>
          <w:rFonts w:ascii="Arial" w:eastAsia="Arial" w:hAnsi="Arial" w:cs="Arial"/>
          <w:color w:val="000000" w:themeColor="text1"/>
        </w:rPr>
        <w:t xml:space="preserve"> also expe</w:t>
      </w:r>
      <w:r w:rsidR="0021058C" w:rsidRPr="007467BE">
        <w:rPr>
          <w:rFonts w:ascii="Arial" w:eastAsia="Arial" w:hAnsi="Arial" w:cs="Arial"/>
          <w:color w:val="000000" w:themeColor="text1"/>
        </w:rPr>
        <w:t xml:space="preserve">rience </w:t>
      </w:r>
      <w:r w:rsidR="00814DA8" w:rsidRPr="007467BE">
        <w:rPr>
          <w:rFonts w:ascii="Arial" w:eastAsia="Arial" w:hAnsi="Arial" w:cs="Arial"/>
          <w:color w:val="000000" w:themeColor="text1"/>
        </w:rPr>
        <w:t xml:space="preserve">mental </w:t>
      </w:r>
      <w:r w:rsidR="00963443" w:rsidRPr="007467BE">
        <w:rPr>
          <w:rFonts w:ascii="Arial" w:eastAsia="Arial" w:hAnsi="Arial" w:cs="Arial"/>
          <w:color w:val="000000" w:themeColor="text1"/>
        </w:rPr>
        <w:t xml:space="preserve">distress and </w:t>
      </w:r>
      <w:r w:rsidR="00814DA8" w:rsidRPr="007467BE">
        <w:t>suicidality</w:t>
      </w:r>
      <w:r w:rsidR="00C15D99" w:rsidRPr="007467BE">
        <w:t xml:space="preserve">, at a higher rate than the general population. </w:t>
      </w:r>
    </w:p>
    <w:p w14:paraId="3C3D9649" w14:textId="02B0FCB7" w:rsidR="00CB62F0" w:rsidRPr="007467BE" w:rsidRDefault="008E013A" w:rsidP="008E013A">
      <w:r w:rsidRPr="007467BE">
        <w:t>The</w:t>
      </w:r>
      <w:r w:rsidR="314EE6D7" w:rsidRPr="007467BE">
        <w:t xml:space="preserve"> research indicates that there</w:t>
      </w:r>
      <w:r w:rsidRPr="007467BE">
        <w:t xml:space="preserve"> is no single or uniform set of factors which determine mental health, wellbeing, and suicide prevention outcomes for Australia’s </w:t>
      </w:r>
      <w:r w:rsidR="009F23E1">
        <w:t>LGBTQ</w:t>
      </w:r>
      <w:r w:rsidRPr="007467BE">
        <w:t>+ population, nor for any of the specific subgroups which comprise this population. Similar</w:t>
      </w:r>
      <w:r w:rsidR="00570B5D" w:rsidRPr="007467BE">
        <w:t>ly</w:t>
      </w:r>
      <w:r w:rsidRPr="007467BE">
        <w:t xml:space="preserve"> to the general population, the </w:t>
      </w:r>
      <w:r w:rsidR="007C5A44" w:rsidRPr="007467BE">
        <w:t xml:space="preserve">causes </w:t>
      </w:r>
      <w:r w:rsidRPr="007467BE">
        <w:t xml:space="preserve">of mental distress and suicidality </w:t>
      </w:r>
      <w:r w:rsidR="008815ED" w:rsidRPr="007467BE">
        <w:t>are</w:t>
      </w:r>
      <w:r w:rsidRPr="007467BE">
        <w:t xml:space="preserve"> complex and include </w:t>
      </w:r>
      <w:r w:rsidR="000E403D" w:rsidRPr="007467BE">
        <w:t xml:space="preserve">a diversity of </w:t>
      </w:r>
      <w:r w:rsidRPr="007467BE">
        <w:t xml:space="preserve">structural, social, cultural, psychosocial, and biological </w:t>
      </w:r>
      <w:r w:rsidR="000E403D" w:rsidRPr="007467BE">
        <w:t>factors or de</w:t>
      </w:r>
      <w:r w:rsidR="00CB62F0" w:rsidRPr="007467BE">
        <w:t>terminants</w:t>
      </w:r>
      <w:r w:rsidRPr="007467BE">
        <w:t xml:space="preserve">. </w:t>
      </w:r>
    </w:p>
    <w:p w14:paraId="4FE6D39E" w14:textId="2265492A" w:rsidR="008E013A" w:rsidRPr="007467BE" w:rsidRDefault="008E013A" w:rsidP="008E013A">
      <w:r w:rsidRPr="007467BE">
        <w:t xml:space="preserve">Researchers have, however, identified </w:t>
      </w:r>
      <w:r w:rsidR="00984B52" w:rsidRPr="007467BE">
        <w:t>specific</w:t>
      </w:r>
      <w:r w:rsidRPr="007467BE">
        <w:t xml:space="preserve"> stressors </w:t>
      </w:r>
      <w:r w:rsidR="001F44D7" w:rsidRPr="007467BE">
        <w:t xml:space="preserve">impacting </w:t>
      </w:r>
      <w:r w:rsidRPr="007467BE">
        <w:t xml:space="preserve">mental health and wellbeing </w:t>
      </w:r>
      <w:r w:rsidR="001F44D7" w:rsidRPr="007467BE">
        <w:t>which</w:t>
      </w:r>
      <w:r w:rsidR="009F23E1">
        <w:t xml:space="preserve"> LGBTQ</w:t>
      </w:r>
      <w:r w:rsidR="001F44D7" w:rsidRPr="007467BE">
        <w:t xml:space="preserve">+ people have a heightened or, in some cases, unique risk of experiencing. </w:t>
      </w:r>
      <w:r w:rsidR="00642374" w:rsidRPr="007467BE">
        <w:t xml:space="preserve">Key stressors, for example include </w:t>
      </w:r>
      <w:r w:rsidR="00F3159C" w:rsidRPr="007467BE">
        <w:t>various</w:t>
      </w:r>
      <w:r w:rsidRPr="007467BE">
        <w:t xml:space="preserve"> forms of stigma, discrimination, </w:t>
      </w:r>
      <w:r w:rsidR="00F3159C" w:rsidRPr="007467BE">
        <w:t xml:space="preserve">plus </w:t>
      </w:r>
      <w:r w:rsidRPr="007467BE">
        <w:t>rejection and alienation in social structures and institutions.</w:t>
      </w:r>
      <w:r w:rsidR="005E1B78" w:rsidRPr="007467BE">
        <w:rPr>
          <w:vertAlign w:val="superscript"/>
        </w:rPr>
        <w:footnoteReference w:id="97"/>
      </w:r>
      <w:r w:rsidR="00642374" w:rsidRPr="007467BE">
        <w:t xml:space="preserve"> </w:t>
      </w:r>
      <w:r w:rsidR="00D42AE0" w:rsidRPr="007467BE">
        <w:t>These</w:t>
      </w:r>
      <w:r w:rsidRPr="007467BE">
        <w:t xml:space="preserve"> stressors</w:t>
      </w:r>
      <w:r w:rsidR="009F23E1">
        <w:t xml:space="preserve"> </w:t>
      </w:r>
      <w:r w:rsidRPr="007467BE">
        <w:t>– described in Meyer</w:t>
      </w:r>
      <w:r w:rsidR="00344266">
        <w:t>’s</w:t>
      </w:r>
      <w:r w:rsidRPr="007467BE">
        <w:t xml:space="preserve"> Minority Stress Model </w:t>
      </w:r>
      <w:r w:rsidR="00344266">
        <w:t xml:space="preserve">(2003) </w:t>
      </w:r>
      <w:r w:rsidRPr="007467BE">
        <w:t>as ‘distal’ LGBT</w:t>
      </w:r>
      <w:r w:rsidR="009F23E1">
        <w:t>-</w:t>
      </w:r>
      <w:r w:rsidRPr="007467BE">
        <w:t>specific ‘minority stressors’</w:t>
      </w:r>
      <w:r w:rsidR="009F23E1">
        <w:t xml:space="preserve"> – can </w:t>
      </w:r>
      <w:r w:rsidRPr="007467BE">
        <w:t xml:space="preserve">create an excess burden of risk </w:t>
      </w:r>
      <w:r w:rsidR="002C4445" w:rsidRPr="007467BE">
        <w:t>in terms of</w:t>
      </w:r>
      <w:r w:rsidRPr="007467BE">
        <w:t xml:space="preserve"> poor mental health outcomes and suicidality.</w:t>
      </w:r>
      <w:r w:rsidRPr="007467BE">
        <w:rPr>
          <w:vertAlign w:val="superscript"/>
        </w:rPr>
        <w:footnoteReference w:id="98"/>
      </w:r>
      <w:r w:rsidRPr="007467BE">
        <w:t xml:space="preserve"> </w:t>
      </w:r>
    </w:p>
    <w:p w14:paraId="6551276B" w14:textId="6BBA4B93" w:rsidR="008E013A" w:rsidRPr="007467BE" w:rsidRDefault="00255600" w:rsidP="008E013A">
      <w:r w:rsidRPr="007467BE">
        <w:t>According to Meyer,</w:t>
      </w:r>
      <w:r w:rsidR="008E013A" w:rsidRPr="007467BE">
        <w:t xml:space="preserve"> exposure to external or ‘distal’ stressors can drive internal or ‘proximal’ stressors</w:t>
      </w:r>
      <w:r w:rsidR="009F23E1">
        <w:t xml:space="preserve"> (</w:t>
      </w:r>
      <w:r w:rsidR="008E013A" w:rsidRPr="007467BE">
        <w:t>such as internalised stigma, the anticipation of rejection, fear of harm, and identity concealmen</w:t>
      </w:r>
      <w:r w:rsidR="009F23E1">
        <w:t>t)</w:t>
      </w:r>
      <w:r w:rsidR="00B6040A">
        <w:t>,</w:t>
      </w:r>
      <w:r w:rsidR="009F23E1">
        <w:t xml:space="preserve"> </w:t>
      </w:r>
      <w:r w:rsidR="008E013A" w:rsidRPr="007467BE">
        <w:t>which further exacerbate the risk of poor mental health outcomes.</w:t>
      </w:r>
      <w:r w:rsidR="008E013A" w:rsidRPr="007467BE">
        <w:rPr>
          <w:vertAlign w:val="superscript"/>
        </w:rPr>
        <w:footnoteReference w:id="99"/>
      </w:r>
      <w:r w:rsidR="008E013A" w:rsidRPr="007467BE">
        <w:t xml:space="preserve">  These external and internal stressors can also directly and indirectly undermine access to protective factors which support resilience and positive mental health</w:t>
      </w:r>
      <w:r w:rsidR="00B6040A">
        <w:t>,</w:t>
      </w:r>
      <w:r w:rsidR="008E013A" w:rsidRPr="007467BE">
        <w:t xml:space="preserve"> such as coping skills, </w:t>
      </w:r>
      <w:r w:rsidR="008E013A" w:rsidRPr="007467BE">
        <w:lastRenderedPageBreak/>
        <w:t>access to social support and safe, affirming environments, and structural resources (e.g., access to employment, housing, and healthcare).</w:t>
      </w:r>
    </w:p>
    <w:p w14:paraId="75621799" w14:textId="3E1B485A" w:rsidR="008E013A" w:rsidRPr="008E013A" w:rsidRDefault="008E013A" w:rsidP="008E013A">
      <w:r w:rsidRPr="008E013A">
        <w:t xml:space="preserve">This section of the report will first provide an overview of the unique external and internal </w:t>
      </w:r>
      <w:r w:rsidR="004B2D50">
        <w:t>stressors or risks</w:t>
      </w:r>
      <w:r w:rsidRPr="008E013A">
        <w:t xml:space="preserve"> impacting mental health and wellbeing for </w:t>
      </w:r>
      <w:r w:rsidR="009F23E1">
        <w:t>LGBTQ</w:t>
      </w:r>
      <w:r w:rsidRPr="008E013A">
        <w:t xml:space="preserve">+ people (see Section </w:t>
      </w:r>
      <w:r w:rsidR="008A215D">
        <w:t>4</w:t>
      </w:r>
      <w:r w:rsidRPr="008E013A">
        <w:t xml:space="preserve">.2). It will then highlight evidence related to stressors experienced by specific subgroups in the </w:t>
      </w:r>
      <w:r w:rsidR="009F23E1">
        <w:t>LGBTQ+</w:t>
      </w:r>
      <w:r w:rsidRPr="008E013A">
        <w:t xml:space="preserve"> community (see Section </w:t>
      </w:r>
      <w:r w:rsidR="008A215D">
        <w:t>4</w:t>
      </w:r>
      <w:r w:rsidRPr="008E013A">
        <w:t xml:space="preserve">.3). Finally, it will address the unique mental health and wellbeing needs of </w:t>
      </w:r>
      <w:r w:rsidR="009F23E1">
        <w:t>LGBTQ+</w:t>
      </w:r>
      <w:r w:rsidRPr="008E013A">
        <w:t xml:space="preserve"> people who have multiple, intersecting minority identities (see Section 4.4 – </w:t>
      </w:r>
      <w:r w:rsidR="008A215D">
        <w:t>4</w:t>
      </w:r>
      <w:r w:rsidRPr="008E013A">
        <w:t xml:space="preserve">.5). </w:t>
      </w:r>
    </w:p>
    <w:p w14:paraId="79C77798" w14:textId="31B9BA48" w:rsidR="003C5C8D" w:rsidRDefault="008E013A" w:rsidP="008E013A">
      <w:r w:rsidRPr="008E013A">
        <w:t>It should be noted</w:t>
      </w:r>
      <w:r w:rsidR="00A273EF">
        <w:t>,</w:t>
      </w:r>
      <w:r w:rsidRPr="008E013A">
        <w:t xml:space="preserve"> </w:t>
      </w:r>
      <w:r w:rsidR="00D74007">
        <w:t xml:space="preserve">however, </w:t>
      </w:r>
      <w:r w:rsidRPr="008E013A">
        <w:t xml:space="preserve">that </w:t>
      </w:r>
      <w:r w:rsidR="00D74007">
        <w:t>what follows should</w:t>
      </w:r>
      <w:r w:rsidRPr="008E013A">
        <w:t xml:space="preserve"> not </w:t>
      </w:r>
      <w:r w:rsidR="00D74007">
        <w:t xml:space="preserve">be considered </w:t>
      </w:r>
      <w:r w:rsidRPr="008E013A">
        <w:t xml:space="preserve">exhaustive </w:t>
      </w:r>
      <w:r w:rsidR="00C00348">
        <w:t>n</w:t>
      </w:r>
      <w:r w:rsidRPr="008E013A">
        <w:t>or comprehensive</w:t>
      </w:r>
      <w:r w:rsidR="008D6482">
        <w:t xml:space="preserve">, but rather an overview of the research evidence </w:t>
      </w:r>
      <w:r w:rsidR="001E0FCF">
        <w:t>analysed within the limits of the research window</w:t>
      </w:r>
      <w:r w:rsidRPr="008E013A">
        <w:t xml:space="preserve">. </w:t>
      </w:r>
      <w:r w:rsidR="00AB5F2C">
        <w:t>Further</w:t>
      </w:r>
      <w:r w:rsidR="009E26DF">
        <w:t>,</w:t>
      </w:r>
      <w:r w:rsidR="00AB5F2C">
        <w:t xml:space="preserve"> </w:t>
      </w:r>
      <w:proofErr w:type="gramStart"/>
      <w:r w:rsidR="00AB5F2C">
        <w:t>t</w:t>
      </w:r>
      <w:r w:rsidRPr="008E013A">
        <w:t xml:space="preserve">he </w:t>
      </w:r>
      <w:r w:rsidR="009E26DF">
        <w:t>majority of</w:t>
      </w:r>
      <w:proofErr w:type="gramEnd"/>
      <w:r w:rsidR="009E26DF">
        <w:t xml:space="preserve"> the </w:t>
      </w:r>
      <w:r w:rsidRPr="008E013A">
        <w:t>stressors outlined are complex and overlapping</w:t>
      </w:r>
      <w:r w:rsidR="009E26DF">
        <w:t xml:space="preserve">, </w:t>
      </w:r>
      <w:r w:rsidR="00032475">
        <w:t xml:space="preserve">significantly </w:t>
      </w:r>
      <w:r w:rsidR="00083415">
        <w:t>limit</w:t>
      </w:r>
      <w:r w:rsidR="007D2D2C">
        <w:t>in</w:t>
      </w:r>
      <w:r w:rsidR="00C200CA">
        <w:t xml:space="preserve">g </w:t>
      </w:r>
      <w:r w:rsidR="00F20AC1">
        <w:t xml:space="preserve">options to identify and recommend clear options and </w:t>
      </w:r>
      <w:r w:rsidR="003C5C8D">
        <w:t xml:space="preserve">solutions. </w:t>
      </w:r>
    </w:p>
    <w:p w14:paraId="4F303FB8" w14:textId="3AD8526A" w:rsidR="008E013A" w:rsidRPr="008E013A" w:rsidRDefault="008E013A" w:rsidP="008E013A">
      <w:r w:rsidRPr="008E013A">
        <w:t xml:space="preserve">Despite </w:t>
      </w:r>
      <w:r w:rsidR="003C5C8D">
        <w:t>th</w:t>
      </w:r>
      <w:r w:rsidR="00271CC1">
        <w:t>ese</w:t>
      </w:r>
      <w:r w:rsidRPr="008E013A">
        <w:t xml:space="preserve"> </w:t>
      </w:r>
      <w:r w:rsidR="00942B69">
        <w:t>qualifications,</w:t>
      </w:r>
      <w:r w:rsidRPr="008E013A">
        <w:t xml:space="preserve"> this section </w:t>
      </w:r>
      <w:r w:rsidR="00AE07B5">
        <w:t>offers a structured way</w:t>
      </w:r>
      <w:r w:rsidR="00942B69">
        <w:t xml:space="preserve"> to </w:t>
      </w:r>
      <w:r w:rsidR="00691A6E">
        <w:t>approach</w:t>
      </w:r>
      <w:r w:rsidRPr="008E013A">
        <w:t xml:space="preserve"> </w:t>
      </w:r>
      <w:r w:rsidR="00604A30">
        <w:t xml:space="preserve">mental </w:t>
      </w:r>
      <w:r w:rsidRPr="008E013A">
        <w:t xml:space="preserve">health and suicide </w:t>
      </w:r>
      <w:r w:rsidR="00271CC1">
        <w:rPr>
          <w:lang w:eastAsia="en-AU"/>
        </w:rPr>
        <w:t>related stressors</w:t>
      </w:r>
      <w:r w:rsidR="00DC6ABE">
        <w:rPr>
          <w:lang w:eastAsia="en-AU"/>
        </w:rPr>
        <w:t>, risks</w:t>
      </w:r>
      <w:r w:rsidR="00B6040A">
        <w:rPr>
          <w:lang w:eastAsia="en-AU"/>
        </w:rPr>
        <w:t>,</w:t>
      </w:r>
      <w:r w:rsidR="00DC6ABE">
        <w:rPr>
          <w:lang w:eastAsia="en-AU"/>
        </w:rPr>
        <w:t xml:space="preserve"> and protective factors </w:t>
      </w:r>
      <w:r w:rsidR="00AE7570">
        <w:rPr>
          <w:lang w:eastAsia="en-AU"/>
        </w:rPr>
        <w:t xml:space="preserve">that are currently </w:t>
      </w:r>
      <w:r w:rsidR="00AE7570">
        <w:t>evident in</w:t>
      </w:r>
      <w:r w:rsidRPr="008E013A">
        <w:t xml:space="preserve"> the </w:t>
      </w:r>
      <w:r w:rsidR="00AE7570">
        <w:t xml:space="preserve">Australian </w:t>
      </w:r>
      <w:r w:rsidR="009F23E1">
        <w:t>LGBTQ+</w:t>
      </w:r>
      <w:r w:rsidRPr="008E013A">
        <w:t xml:space="preserve"> population. </w:t>
      </w:r>
    </w:p>
    <w:p w14:paraId="0909487E" w14:textId="5DA8FEE7" w:rsidR="008E013A" w:rsidRPr="002F6FA1" w:rsidRDefault="00344304" w:rsidP="009B406F">
      <w:pPr>
        <w:pStyle w:val="NbrHeading2"/>
      </w:pPr>
      <w:bookmarkStart w:id="44" w:name="_Toc147218565"/>
      <w:bookmarkStart w:id="45" w:name="_Toc147218820"/>
      <w:bookmarkStart w:id="46" w:name="_Toc147225845"/>
      <w:bookmarkStart w:id="47" w:name="_Toc147225846"/>
      <w:bookmarkStart w:id="48" w:name="_Toc153899508"/>
      <w:bookmarkEnd w:id="44"/>
      <w:bookmarkEnd w:id="45"/>
      <w:bookmarkEnd w:id="46"/>
      <w:r w:rsidRPr="002F6FA1">
        <w:t xml:space="preserve">Stressors impacting </w:t>
      </w:r>
      <w:r w:rsidR="00C368B8" w:rsidRPr="002F6FA1">
        <w:t>LGBTQ</w:t>
      </w:r>
      <w:r w:rsidR="008E013A" w:rsidRPr="002F6FA1">
        <w:t>+ people</w:t>
      </w:r>
      <w:bookmarkEnd w:id="47"/>
      <w:bookmarkEnd w:id="48"/>
    </w:p>
    <w:p w14:paraId="442ECAA9" w14:textId="0A26D264" w:rsidR="008E013A" w:rsidRPr="008E013A" w:rsidRDefault="008E013A" w:rsidP="008E013A">
      <w:pPr>
        <w:rPr>
          <w:lang w:eastAsia="en-AU"/>
        </w:rPr>
      </w:pPr>
      <w:r w:rsidRPr="008E013A">
        <w:rPr>
          <w:lang w:eastAsia="en-AU"/>
        </w:rPr>
        <w:t xml:space="preserve">The external and internal stressors which </w:t>
      </w:r>
      <w:r w:rsidR="00C368B8">
        <w:rPr>
          <w:lang w:eastAsia="en-AU"/>
        </w:rPr>
        <w:t>LGBTQ</w:t>
      </w:r>
      <w:r w:rsidRPr="008E013A">
        <w:rPr>
          <w:lang w:eastAsia="en-AU"/>
        </w:rPr>
        <w:t xml:space="preserve">+ people have a </w:t>
      </w:r>
      <w:r w:rsidR="002D6EF8">
        <w:rPr>
          <w:lang w:eastAsia="en-AU"/>
        </w:rPr>
        <w:t xml:space="preserve">heightened or </w:t>
      </w:r>
      <w:r w:rsidRPr="008E013A">
        <w:rPr>
          <w:lang w:eastAsia="en-AU"/>
        </w:rPr>
        <w:t>unique risk of experiencing have been described and categorised in various ways in the literature.</w:t>
      </w:r>
      <w:r w:rsidRPr="008E013A">
        <w:rPr>
          <w:vertAlign w:val="superscript"/>
          <w:lang w:eastAsia="en-AU"/>
        </w:rPr>
        <w:footnoteReference w:id="100"/>
      </w:r>
      <w:r w:rsidRPr="008E013A">
        <w:rPr>
          <w:lang w:eastAsia="en-AU"/>
        </w:rPr>
        <w:t xml:space="preserve"> For the purposes of this report, these risk factors</w:t>
      </w:r>
      <w:r w:rsidR="006A3CE0">
        <w:rPr>
          <w:lang w:eastAsia="en-AU"/>
        </w:rPr>
        <w:t xml:space="preserve"> or stressors</w:t>
      </w:r>
      <w:r w:rsidRPr="008E013A">
        <w:rPr>
          <w:lang w:eastAsia="en-AU"/>
        </w:rPr>
        <w:t xml:space="preserve"> are </w:t>
      </w:r>
      <w:r w:rsidR="00764623">
        <w:rPr>
          <w:lang w:eastAsia="en-AU"/>
        </w:rPr>
        <w:t xml:space="preserve">grouped </w:t>
      </w:r>
      <w:r w:rsidRPr="008E013A">
        <w:rPr>
          <w:lang w:eastAsia="en-AU"/>
        </w:rPr>
        <w:t xml:space="preserve">under the following </w:t>
      </w:r>
      <w:r w:rsidR="00764623">
        <w:rPr>
          <w:lang w:eastAsia="en-AU"/>
        </w:rPr>
        <w:t xml:space="preserve">four </w:t>
      </w:r>
      <w:r w:rsidRPr="008E013A">
        <w:rPr>
          <w:lang w:eastAsia="en-AU"/>
        </w:rPr>
        <w:t>headings:</w:t>
      </w:r>
    </w:p>
    <w:p w14:paraId="52219AC6" w14:textId="77777777" w:rsidR="008E013A" w:rsidRPr="00A65BD2" w:rsidRDefault="008E013A" w:rsidP="006205ED">
      <w:pPr>
        <w:pStyle w:val="ListNumber0"/>
        <w:numPr>
          <w:ilvl w:val="0"/>
          <w:numId w:val="28"/>
        </w:numPr>
      </w:pPr>
      <w:r w:rsidRPr="00A65BD2">
        <w:t xml:space="preserve">Stigmatisation, discrimination, and marginalisation </w:t>
      </w:r>
    </w:p>
    <w:p w14:paraId="6E3B6E8D" w14:textId="64F23B5D" w:rsidR="008E013A" w:rsidRPr="00A65BD2" w:rsidRDefault="008E013A" w:rsidP="00A65BD2">
      <w:pPr>
        <w:pStyle w:val="ListNumber0"/>
      </w:pPr>
      <w:r w:rsidRPr="00A65BD2">
        <w:t>Victimisation, bullying</w:t>
      </w:r>
      <w:r w:rsidR="00B6040A">
        <w:t>,</w:t>
      </w:r>
      <w:r w:rsidRPr="00A65BD2">
        <w:t xml:space="preserve"> and violence</w:t>
      </w:r>
    </w:p>
    <w:p w14:paraId="790D0224" w14:textId="3BDC4D74" w:rsidR="008E013A" w:rsidRPr="00A65BD2" w:rsidRDefault="008E013A" w:rsidP="00A65BD2">
      <w:pPr>
        <w:pStyle w:val="ListNumber0"/>
      </w:pPr>
      <w:r w:rsidRPr="00A65BD2">
        <w:t>Rejection, isolation, and loneliness</w:t>
      </w:r>
    </w:p>
    <w:p w14:paraId="03182714" w14:textId="0B62201B" w:rsidR="008E013A" w:rsidRPr="00A65BD2" w:rsidRDefault="008E013A" w:rsidP="00A65BD2">
      <w:pPr>
        <w:pStyle w:val="ListNumber0"/>
      </w:pPr>
      <w:r w:rsidRPr="00A65BD2">
        <w:t xml:space="preserve">Factors related to </w:t>
      </w:r>
      <w:r w:rsidR="00AA00EC">
        <w:t>LGBTQ</w:t>
      </w:r>
      <w:r w:rsidRPr="00A65BD2">
        <w:t>+</w:t>
      </w:r>
      <w:r w:rsidR="00B6040A">
        <w:t xml:space="preserve"> </w:t>
      </w:r>
      <w:r w:rsidRPr="00A65BD2">
        <w:t>specific milestones</w:t>
      </w:r>
    </w:p>
    <w:p w14:paraId="509FD174" w14:textId="5F962557" w:rsidR="008E013A" w:rsidRPr="008E013A" w:rsidRDefault="008E013A" w:rsidP="009B406F">
      <w:pPr>
        <w:pStyle w:val="NbrHeading3"/>
      </w:pPr>
      <w:bookmarkStart w:id="49" w:name="_Toc147225847"/>
      <w:bookmarkStart w:id="50" w:name="_Toc153899509"/>
      <w:r w:rsidRPr="008E013A">
        <w:t>Stigmatisation, discrimination</w:t>
      </w:r>
      <w:bookmarkEnd w:id="49"/>
      <w:r w:rsidR="00874BC7">
        <w:t>,</w:t>
      </w:r>
      <w:r w:rsidR="1451BA37">
        <w:t xml:space="preserve"> and marginalisation</w:t>
      </w:r>
      <w:bookmarkEnd w:id="50"/>
    </w:p>
    <w:p w14:paraId="1E3328E9" w14:textId="1E3F4178" w:rsidR="008E013A" w:rsidRPr="008E013A" w:rsidRDefault="008E013A" w:rsidP="008E013A">
      <w:r w:rsidRPr="008E013A">
        <w:t>Both the experience and anticipation of stigmatisation, discrimination</w:t>
      </w:r>
      <w:r w:rsidR="00B6040A">
        <w:t>,</w:t>
      </w:r>
      <w:r w:rsidRPr="008E013A">
        <w:t xml:space="preserve"> </w:t>
      </w:r>
      <w:r w:rsidR="1A3F9DAD" w:rsidRPr="008E013A">
        <w:t xml:space="preserve">and marginalisation, </w:t>
      </w:r>
      <w:r w:rsidRPr="008E013A">
        <w:t xml:space="preserve">have consistently been linked to increased risk of </w:t>
      </w:r>
      <w:r w:rsidR="2EBC8DEF" w:rsidRPr="008E013A">
        <w:t>social, emotional</w:t>
      </w:r>
      <w:r w:rsidR="00B6040A">
        <w:t>,</w:t>
      </w:r>
      <w:r w:rsidR="2EBC8DEF" w:rsidRPr="008E013A">
        <w:t xml:space="preserve"> and mental </w:t>
      </w:r>
      <w:r w:rsidRPr="008E013A">
        <w:t>distress, and poor mental health and suicide outcomes.</w:t>
      </w:r>
      <w:r w:rsidRPr="008E013A">
        <w:rPr>
          <w:vertAlign w:val="superscript"/>
        </w:rPr>
        <w:footnoteReference w:id="101"/>
      </w:r>
      <w:r w:rsidRPr="008E013A">
        <w:t xml:space="preserve"> As noted above, these experiences can also </w:t>
      </w:r>
      <w:r w:rsidR="005B4B68">
        <w:t xml:space="preserve">undermine </w:t>
      </w:r>
      <w:r w:rsidR="00CC7412">
        <w:t xml:space="preserve">access to </w:t>
      </w:r>
      <w:r w:rsidRPr="008E013A">
        <w:t>essential structural resources (e.g., healthcare</w:t>
      </w:r>
      <w:r w:rsidR="00DD5C93">
        <w:t xml:space="preserve"> </w:t>
      </w:r>
      <w:r w:rsidRPr="008E013A">
        <w:t>and employment)</w:t>
      </w:r>
      <w:r w:rsidR="00E31F84">
        <w:t xml:space="preserve">, as </w:t>
      </w:r>
      <w:r w:rsidR="00E31F84">
        <w:lastRenderedPageBreak/>
        <w:t xml:space="preserve">well as the development of coping </w:t>
      </w:r>
      <w:r w:rsidR="00E31F84" w:rsidRPr="008E013A">
        <w:t xml:space="preserve">resources, </w:t>
      </w:r>
      <w:r w:rsidR="00D50AD7">
        <w:t xml:space="preserve">and </w:t>
      </w:r>
      <w:r w:rsidR="00E31F84" w:rsidRPr="008E013A">
        <w:t>social and community supports</w:t>
      </w:r>
      <w:r w:rsidR="00D50AD7">
        <w:t>,</w:t>
      </w:r>
      <w:r w:rsidRPr="008E013A">
        <w:t xml:space="preserve"> which act as protective factors supporting mental health and wellbeing.</w:t>
      </w:r>
      <w:r w:rsidRPr="008E013A">
        <w:rPr>
          <w:vertAlign w:val="superscript"/>
        </w:rPr>
        <w:footnoteReference w:id="102"/>
      </w:r>
      <w:r w:rsidRPr="008E013A">
        <w:t xml:space="preserve"> </w:t>
      </w:r>
    </w:p>
    <w:p w14:paraId="3F5C7260" w14:textId="108ECF3F" w:rsidR="008E013A" w:rsidRDefault="008E013A" w:rsidP="008E013A">
      <w:r w:rsidRPr="008E013A">
        <w:t>While there is limited research data, the available evidence suggests that both</w:t>
      </w:r>
      <w:r w:rsidR="007240D9">
        <w:t xml:space="preserve"> people who have diverse sexual orientations</w:t>
      </w:r>
      <w:r w:rsidRPr="008E013A">
        <w:rPr>
          <w:vertAlign w:val="superscript"/>
        </w:rPr>
        <w:footnoteReference w:id="103"/>
      </w:r>
      <w:r w:rsidRPr="008E013A">
        <w:t xml:space="preserve"> and gender</w:t>
      </w:r>
      <w:r w:rsidR="0022423A">
        <w:t xml:space="preserve"> identities</w:t>
      </w:r>
      <w:r w:rsidRPr="008E013A">
        <w:rPr>
          <w:vertAlign w:val="superscript"/>
        </w:rPr>
        <w:footnoteReference w:id="104"/>
      </w:r>
      <w:r w:rsidRPr="008E013A">
        <w:t xml:space="preserve"> continue to experience alarming rates of stigmatisation, </w:t>
      </w:r>
      <w:r w:rsidR="382B7643" w:rsidRPr="008E013A">
        <w:t>discrimination</w:t>
      </w:r>
      <w:r w:rsidR="007457A8">
        <w:t>,</w:t>
      </w:r>
      <w:r w:rsidR="382B7643" w:rsidRPr="008E013A">
        <w:t xml:space="preserve"> and </w:t>
      </w:r>
      <w:r w:rsidRPr="008E013A">
        <w:t>marginalisatio</w:t>
      </w:r>
      <w:r w:rsidR="003068E7">
        <w:t>n</w:t>
      </w:r>
      <w:r w:rsidR="00083CF1">
        <w:t xml:space="preserve"> at </w:t>
      </w:r>
      <w:r w:rsidR="008F58DF">
        <w:t>structural, institutional</w:t>
      </w:r>
      <w:r w:rsidR="00163C98">
        <w:t>,</w:t>
      </w:r>
      <w:r w:rsidR="008F58DF">
        <w:t xml:space="preserve"> and interpersonal levels. </w:t>
      </w:r>
      <w:r w:rsidR="008564F6">
        <w:t xml:space="preserve"> </w:t>
      </w:r>
    </w:p>
    <w:p w14:paraId="731BD5CE" w14:textId="65A71718" w:rsidR="00B8776C" w:rsidRPr="008E013A" w:rsidRDefault="00CF4207" w:rsidP="009B406F">
      <w:pPr>
        <w:pStyle w:val="NbrHeading4"/>
      </w:pPr>
      <w:r>
        <w:t>Structural</w:t>
      </w:r>
      <w:r w:rsidR="00163C98">
        <w:t xml:space="preserve"> and institutional</w:t>
      </w:r>
      <w:r w:rsidR="00257159">
        <w:t xml:space="preserve"> discrimination and marginalisation</w:t>
      </w:r>
    </w:p>
    <w:p w14:paraId="65B3B719" w14:textId="1D2DF832" w:rsidR="005B62A1" w:rsidRPr="00186894" w:rsidRDefault="00A145FB" w:rsidP="00830CD8">
      <w:pPr>
        <w:rPr>
          <w:lang w:val="en-US"/>
        </w:rPr>
      </w:pPr>
      <w:r>
        <w:t>Alth</w:t>
      </w:r>
      <w:r w:rsidR="008E013A" w:rsidRPr="005B62A1">
        <w:t>ough there are various legal protections against</w:t>
      </w:r>
      <w:r w:rsidR="00AF6471" w:rsidRPr="005B62A1">
        <w:t xml:space="preserve"> </w:t>
      </w:r>
      <w:r w:rsidR="008E013A" w:rsidRPr="005B62A1">
        <w:t xml:space="preserve">discrimination in Australia, evidence indicates that </w:t>
      </w:r>
      <w:r w:rsidR="005302EE" w:rsidRPr="005B62A1">
        <w:t>forms of</w:t>
      </w:r>
      <w:r w:rsidR="00581819">
        <w:t xml:space="preserve"> overt</w:t>
      </w:r>
      <w:r w:rsidR="005302EE" w:rsidRPr="005B62A1">
        <w:t xml:space="preserve"> discrimination</w:t>
      </w:r>
      <w:r w:rsidR="00A16A13">
        <w:t xml:space="preserve"> and marginalisation</w:t>
      </w:r>
      <w:r w:rsidR="005302EE" w:rsidRPr="005B62A1">
        <w:t xml:space="preserve"> </w:t>
      </w:r>
      <w:r w:rsidR="008E013A" w:rsidRPr="005B62A1">
        <w:t xml:space="preserve">still exist in </w:t>
      </w:r>
      <w:r w:rsidR="00733109">
        <w:t>law</w:t>
      </w:r>
      <w:r w:rsidR="00614200">
        <w:t xml:space="preserve">, </w:t>
      </w:r>
      <w:r w:rsidR="008E013A" w:rsidRPr="005B62A1">
        <w:t>institutions</w:t>
      </w:r>
      <w:r w:rsidR="00263ABF">
        <w:t>,</w:t>
      </w:r>
      <w:r w:rsidR="00614200">
        <w:t xml:space="preserve"> and broader society</w:t>
      </w:r>
      <w:r w:rsidR="008E013A" w:rsidRPr="005B62A1">
        <w:t>.</w:t>
      </w:r>
      <w:r w:rsidR="6891B9E5" w:rsidRPr="005B62A1">
        <w:t xml:space="preserve"> For example</w:t>
      </w:r>
      <w:r w:rsidR="00B6040A">
        <w:t>,</w:t>
      </w:r>
      <w:r w:rsidR="6891B9E5" w:rsidRPr="005B62A1">
        <w:t xml:space="preserve"> while commitments have been made to improve data collection instruments, </w:t>
      </w:r>
      <w:r w:rsidR="00D4208F">
        <w:t>previous failure</w:t>
      </w:r>
      <w:r w:rsidR="007D5F3B">
        <w:t>s</w:t>
      </w:r>
      <w:r w:rsidR="00D4208F">
        <w:t xml:space="preserve"> to meaningfully include </w:t>
      </w:r>
      <w:r w:rsidR="00F226B8">
        <w:t>LGBT</w:t>
      </w:r>
      <w:r w:rsidR="0022423A">
        <w:t>Q</w:t>
      </w:r>
      <w:r w:rsidR="00D4208F">
        <w:t xml:space="preserve">+ populations </w:t>
      </w:r>
      <w:r w:rsidR="007D5F3B">
        <w:t>ha</w:t>
      </w:r>
      <w:r w:rsidR="00186894">
        <w:t>ve</w:t>
      </w:r>
      <w:r w:rsidR="007D5F3B">
        <w:t xml:space="preserve"> resulted in an</w:t>
      </w:r>
      <w:r w:rsidR="6891B9E5" w:rsidRPr="005B62A1">
        <w:t xml:space="preserve"> absence of data in many settings</w:t>
      </w:r>
      <w:r w:rsidR="00B6040A">
        <w:t>,</w:t>
      </w:r>
      <w:r w:rsidR="007D5F3B">
        <w:t xml:space="preserve"> which</w:t>
      </w:r>
      <w:r w:rsidR="6891B9E5" w:rsidRPr="005B62A1">
        <w:t xml:space="preserve"> undermines the provision of appropriate services, including mental healthcare.</w:t>
      </w:r>
      <w:r w:rsidR="008E013A" w:rsidRPr="005B62A1">
        <w:rPr>
          <w:vertAlign w:val="superscript"/>
        </w:rPr>
        <w:footnoteReference w:id="105"/>
      </w:r>
      <w:r w:rsidR="6891B9E5" w:rsidRPr="005B62A1">
        <w:t xml:space="preserve"> </w:t>
      </w:r>
    </w:p>
    <w:p w14:paraId="60B2175A" w14:textId="07974B11" w:rsidR="008E013A" w:rsidRPr="008E013A" w:rsidRDefault="00B60A2E" w:rsidP="006B58C3">
      <w:r w:rsidRPr="00C26308">
        <w:t>T</w:t>
      </w:r>
      <w:r w:rsidR="004240D0" w:rsidRPr="00C26308">
        <w:t>he extent of legal protections provided</w:t>
      </w:r>
      <w:r w:rsidR="000B0A5E" w:rsidRPr="00C26308">
        <w:t xml:space="preserve"> to </w:t>
      </w:r>
      <w:r w:rsidR="0022423A">
        <w:t>LGBTQ+</w:t>
      </w:r>
      <w:r w:rsidR="000B0A5E" w:rsidRPr="00C26308">
        <w:t xml:space="preserve"> people</w:t>
      </w:r>
      <w:r w:rsidR="004240D0" w:rsidRPr="00C26308">
        <w:t xml:space="preserve"> by </w:t>
      </w:r>
      <w:r w:rsidR="00E80117" w:rsidRPr="00C26308">
        <w:t>anti-</w:t>
      </w:r>
      <w:r w:rsidR="001E6656" w:rsidRPr="00C26308">
        <w:t xml:space="preserve">discrimination laws </w:t>
      </w:r>
      <w:r w:rsidR="004A6ABD" w:rsidRPr="00C26308">
        <w:t xml:space="preserve">(see Section </w:t>
      </w:r>
      <w:r w:rsidR="00426006">
        <w:t>3</w:t>
      </w:r>
      <w:r w:rsidR="00C3045E" w:rsidRPr="00C26308">
        <w:t>.</w:t>
      </w:r>
      <w:r w:rsidR="00426006">
        <w:t>2</w:t>
      </w:r>
      <w:r w:rsidR="00C3045E" w:rsidRPr="00C26308">
        <w:t xml:space="preserve">) </w:t>
      </w:r>
      <w:r w:rsidRPr="00C26308">
        <w:t xml:space="preserve">also </w:t>
      </w:r>
      <w:r w:rsidR="003004CD" w:rsidRPr="00C26308">
        <w:t>var</w:t>
      </w:r>
      <w:r w:rsidR="0052512D" w:rsidRPr="00C26308">
        <w:t xml:space="preserve">ies </w:t>
      </w:r>
      <w:r w:rsidR="001E6656" w:rsidRPr="00C26308">
        <w:t xml:space="preserve">at the state </w:t>
      </w:r>
      <w:r w:rsidR="000C44F9" w:rsidRPr="00C26308">
        <w:t>level</w:t>
      </w:r>
      <w:r w:rsidR="0062515B" w:rsidRPr="00C26308">
        <w:t xml:space="preserve">. </w:t>
      </w:r>
      <w:r w:rsidR="000B0A5E" w:rsidRPr="00C26308">
        <w:t>L</w:t>
      </w:r>
      <w:r w:rsidR="00D45247" w:rsidRPr="00C26308">
        <w:t>egal exemptions</w:t>
      </w:r>
      <w:r w:rsidR="00E47D24" w:rsidRPr="00C26308">
        <w:t xml:space="preserve"> still</w:t>
      </w:r>
      <w:r w:rsidR="00D45247" w:rsidRPr="00C26308">
        <w:t xml:space="preserve"> exist</w:t>
      </w:r>
      <w:r w:rsidR="004C123E" w:rsidRPr="00C26308">
        <w:t xml:space="preserve"> </w:t>
      </w:r>
      <w:r w:rsidR="00E47D24" w:rsidRPr="00C26308">
        <w:t>in many Australian jurisdictions</w:t>
      </w:r>
      <w:r w:rsidR="00B6040A">
        <w:t>,</w:t>
      </w:r>
      <w:r w:rsidR="00E47D24" w:rsidRPr="00C26308">
        <w:t xml:space="preserve"> </w:t>
      </w:r>
      <w:r w:rsidR="00D45247" w:rsidRPr="00C26308">
        <w:t xml:space="preserve">which </w:t>
      </w:r>
      <w:r w:rsidR="00FC351D" w:rsidRPr="00C26308">
        <w:t xml:space="preserve">make it lawful to discriminate against </w:t>
      </w:r>
      <w:r w:rsidR="005133F8">
        <w:t>LGBTQ+</w:t>
      </w:r>
      <w:r w:rsidR="00FC351D" w:rsidRPr="00C26308">
        <w:t xml:space="preserve"> people </w:t>
      </w:r>
      <w:r w:rsidR="004C123E" w:rsidRPr="00C26308">
        <w:t>in</w:t>
      </w:r>
      <w:r w:rsidR="00FA6626" w:rsidRPr="00C26308">
        <w:t xml:space="preserve"> </w:t>
      </w:r>
      <w:r w:rsidR="005562EC" w:rsidRPr="00C26308">
        <w:t>some</w:t>
      </w:r>
      <w:r w:rsidR="00FA6626" w:rsidRPr="00C26308">
        <w:t xml:space="preserve"> instances</w:t>
      </w:r>
      <w:r w:rsidR="00FA6626" w:rsidRPr="00E80117">
        <w:t>.</w:t>
      </w:r>
      <w:r w:rsidR="006042EF" w:rsidRPr="00E80117">
        <w:t xml:space="preserve"> In Queensland, </w:t>
      </w:r>
      <w:r w:rsidR="00C67A0B" w:rsidRPr="00E80117">
        <w:t xml:space="preserve">for example, it is lawful to </w:t>
      </w:r>
      <w:r w:rsidR="00511E67" w:rsidRPr="00E80117">
        <w:t xml:space="preserve">prevent </w:t>
      </w:r>
      <w:r w:rsidR="00FC3FAD" w:rsidRPr="00E80117">
        <w:t xml:space="preserve">people </w:t>
      </w:r>
      <w:r w:rsidR="00026590" w:rsidRPr="00E80117">
        <w:t>from working with children</w:t>
      </w:r>
      <w:r w:rsidR="00BD22A7">
        <w:t xml:space="preserve"> on the basis of their </w:t>
      </w:r>
      <w:r w:rsidR="00BD22A7" w:rsidRPr="00B301E9">
        <w:t>sexual activity</w:t>
      </w:r>
      <w:r w:rsidR="00BD22A7">
        <w:t xml:space="preserve"> or gender identity</w:t>
      </w:r>
      <w:r w:rsidR="00026590" w:rsidRPr="00E80117">
        <w:t xml:space="preserve"> </w:t>
      </w:r>
      <w:r w:rsidR="00FC3FAD" w:rsidRPr="00E80117">
        <w:t>if “the discrimination is reasonably necessary to protect the physical, psychological or emotional we</w:t>
      </w:r>
      <w:r w:rsidR="00026590" w:rsidRPr="00E80117">
        <w:t>llbeing of minors”</w:t>
      </w:r>
      <w:r w:rsidR="00794088" w:rsidRPr="00E80117">
        <w:t>.</w:t>
      </w:r>
      <w:r w:rsidR="00794088" w:rsidRPr="00E80117">
        <w:rPr>
          <w:rStyle w:val="FootnoteReference"/>
        </w:rPr>
        <w:footnoteReference w:id="106"/>
      </w:r>
      <w:r w:rsidR="00E80117">
        <w:t xml:space="preserve"> </w:t>
      </w:r>
      <w:r w:rsidR="00973BAF">
        <w:t xml:space="preserve">A number of </w:t>
      </w:r>
      <w:r w:rsidR="00E80117" w:rsidRPr="009B44C8">
        <w:t xml:space="preserve">states also retain religious exemptions </w:t>
      </w:r>
      <w:r w:rsidR="006B58C3" w:rsidRPr="009B44C8">
        <w:t>which</w:t>
      </w:r>
      <w:r w:rsidR="00830CD8" w:rsidRPr="009B44C8">
        <w:t xml:space="preserve"> </w:t>
      </w:r>
      <w:r w:rsidR="008E013A" w:rsidRPr="009B44C8">
        <w:t xml:space="preserve">expose </w:t>
      </w:r>
      <w:r w:rsidR="005133F8">
        <w:t>LGBTQ+</w:t>
      </w:r>
      <w:r w:rsidR="008E013A" w:rsidRPr="009B44C8">
        <w:t xml:space="preserve"> populations to discrimination when attempting to access health, mental health, and aged care services operated by religious organisations.</w:t>
      </w:r>
      <w:r w:rsidR="008E013A" w:rsidRPr="009B44C8">
        <w:rPr>
          <w:vertAlign w:val="superscript"/>
        </w:rPr>
        <w:footnoteReference w:id="107"/>
      </w:r>
      <w:r w:rsidR="008E013A" w:rsidRPr="009B44C8">
        <w:t xml:space="preserve"> </w:t>
      </w:r>
      <w:r w:rsidR="00B6040A">
        <w:t>I</w:t>
      </w:r>
      <w:r w:rsidR="008E013A" w:rsidRPr="009B44C8">
        <w:t>t should</w:t>
      </w:r>
      <w:r w:rsidR="00B6040A">
        <w:t>, however,</w:t>
      </w:r>
      <w:r w:rsidR="008E013A" w:rsidRPr="009B44C8">
        <w:t xml:space="preserve"> be noted that protections against religious exe</w:t>
      </w:r>
      <w:r w:rsidR="009B44C8" w:rsidRPr="009B44C8">
        <w:t>mp</w:t>
      </w:r>
      <w:r w:rsidR="008E013A" w:rsidRPr="009B44C8">
        <w:t>tions are currently undergoing review at the federal level</w:t>
      </w:r>
      <w:r w:rsidR="008E013A" w:rsidRPr="009B44C8">
        <w:rPr>
          <w:vertAlign w:val="superscript"/>
        </w:rPr>
        <w:footnoteReference w:id="108"/>
      </w:r>
      <w:r w:rsidR="008E013A" w:rsidRPr="009B44C8">
        <w:t xml:space="preserve"> and</w:t>
      </w:r>
      <w:r w:rsidR="009B44C8" w:rsidRPr="009B44C8">
        <w:t xml:space="preserve"> in various states. </w:t>
      </w:r>
      <w:r w:rsidR="009B3988" w:rsidRPr="00F5371D">
        <w:t xml:space="preserve">In addition, </w:t>
      </w:r>
      <w:r w:rsidR="004076CD" w:rsidRPr="00F5371D">
        <w:t xml:space="preserve">definitions covering </w:t>
      </w:r>
      <w:r w:rsidR="00812FBD">
        <w:t>sexual orientation</w:t>
      </w:r>
      <w:r w:rsidR="00293780">
        <w:t xml:space="preserve"> and</w:t>
      </w:r>
      <w:r w:rsidR="004076CD" w:rsidRPr="00F5371D">
        <w:t xml:space="preserve"> gender diversity </w:t>
      </w:r>
      <w:r w:rsidR="00171D16" w:rsidRPr="00F5371D">
        <w:t xml:space="preserve">in anti-discrimination legislation are inconsistent and, in many cases, </w:t>
      </w:r>
      <w:r w:rsidR="00FE1596" w:rsidRPr="00F5371D">
        <w:t>incomplete</w:t>
      </w:r>
      <w:r w:rsidR="005133F8">
        <w:t>.</w:t>
      </w:r>
    </w:p>
    <w:p w14:paraId="68A0D5F3" w14:textId="4DFEB61E" w:rsidR="46A69C06" w:rsidRDefault="00C40B60" w:rsidP="1CEF5F41">
      <w:pPr>
        <w:spacing w:before="120" w:after="120"/>
        <w:rPr>
          <w:rFonts w:eastAsia="Times New Roman" w:cs="Times New Roman"/>
          <w:lang w:eastAsia="en-AU"/>
        </w:rPr>
      </w:pPr>
      <w:r>
        <w:rPr>
          <w:rFonts w:eastAsia="Times New Roman" w:cs="Times New Roman"/>
          <w:lang w:eastAsia="en-AU"/>
        </w:rPr>
        <w:t>These</w:t>
      </w:r>
      <w:r w:rsidR="005C4144">
        <w:rPr>
          <w:rFonts w:eastAsia="Times New Roman" w:cs="Times New Roman"/>
          <w:lang w:eastAsia="en-AU"/>
        </w:rPr>
        <w:t xml:space="preserve"> overt</w:t>
      </w:r>
      <w:r w:rsidR="002E61D8">
        <w:rPr>
          <w:rFonts w:eastAsia="Times New Roman" w:cs="Times New Roman"/>
          <w:lang w:eastAsia="en-AU"/>
        </w:rPr>
        <w:t xml:space="preserve"> </w:t>
      </w:r>
      <w:r w:rsidR="00641BB8">
        <w:rPr>
          <w:rFonts w:eastAsia="Times New Roman" w:cs="Times New Roman"/>
          <w:lang w:eastAsia="en-AU"/>
        </w:rPr>
        <w:t>structural and institutional</w:t>
      </w:r>
      <w:r w:rsidR="002E61D8">
        <w:rPr>
          <w:rFonts w:eastAsia="Times New Roman" w:cs="Times New Roman"/>
          <w:lang w:eastAsia="en-AU"/>
        </w:rPr>
        <w:t xml:space="preserve"> forms of </w:t>
      </w:r>
      <w:r w:rsidR="00723FED">
        <w:rPr>
          <w:rFonts w:eastAsia="Times New Roman" w:cs="Times New Roman"/>
          <w:lang w:eastAsia="en-AU"/>
        </w:rPr>
        <w:t>marginalisation</w:t>
      </w:r>
      <w:r w:rsidR="00743E27">
        <w:rPr>
          <w:rFonts w:eastAsia="Times New Roman" w:cs="Times New Roman"/>
          <w:lang w:eastAsia="en-AU"/>
        </w:rPr>
        <w:t xml:space="preserve"> and discrimination</w:t>
      </w:r>
      <w:r w:rsidR="00723FED">
        <w:rPr>
          <w:rFonts w:eastAsia="Times New Roman" w:cs="Times New Roman"/>
          <w:lang w:eastAsia="en-AU"/>
        </w:rPr>
        <w:t xml:space="preserve"> can “facilitate a culture of intolerance</w:t>
      </w:r>
      <w:r w:rsidR="00CD01BB">
        <w:rPr>
          <w:rFonts w:eastAsia="Times New Roman" w:cs="Times New Roman"/>
          <w:lang w:eastAsia="en-AU"/>
        </w:rPr>
        <w:t xml:space="preserve">” which </w:t>
      </w:r>
      <w:r w:rsidR="00F17568">
        <w:rPr>
          <w:rFonts w:eastAsia="Times New Roman" w:cs="Times New Roman"/>
          <w:lang w:eastAsia="en-AU"/>
        </w:rPr>
        <w:t>contribute</w:t>
      </w:r>
      <w:r w:rsidR="00B6040A">
        <w:rPr>
          <w:rFonts w:eastAsia="Times New Roman" w:cs="Times New Roman"/>
          <w:lang w:eastAsia="en-AU"/>
        </w:rPr>
        <w:t>s</w:t>
      </w:r>
      <w:r w:rsidR="00F17568">
        <w:rPr>
          <w:rFonts w:eastAsia="Times New Roman" w:cs="Times New Roman"/>
          <w:lang w:eastAsia="en-AU"/>
        </w:rPr>
        <w:t xml:space="preserve"> to </w:t>
      </w:r>
      <w:r w:rsidR="002B6FE0">
        <w:rPr>
          <w:rFonts w:eastAsia="Times New Roman" w:cs="Times New Roman"/>
          <w:lang w:eastAsia="en-AU"/>
        </w:rPr>
        <w:t xml:space="preserve">interpersonal discrimination, </w:t>
      </w:r>
      <w:r w:rsidR="002B6FE0">
        <w:rPr>
          <w:rFonts w:eastAsia="Times New Roman" w:cs="Times New Roman"/>
          <w:lang w:eastAsia="en-AU"/>
        </w:rPr>
        <w:lastRenderedPageBreak/>
        <w:t>st</w:t>
      </w:r>
      <w:r w:rsidR="00C53EAF">
        <w:rPr>
          <w:rFonts w:eastAsia="Times New Roman" w:cs="Times New Roman"/>
          <w:lang w:eastAsia="en-AU"/>
        </w:rPr>
        <w:t>igmatisation, harassment and violence</w:t>
      </w:r>
      <w:r>
        <w:rPr>
          <w:rFonts w:eastAsia="Times New Roman" w:cs="Times New Roman"/>
          <w:lang w:eastAsia="en-AU"/>
        </w:rPr>
        <w:t>, and increase</w:t>
      </w:r>
      <w:r w:rsidR="00B6040A">
        <w:rPr>
          <w:rFonts w:eastAsia="Times New Roman" w:cs="Times New Roman"/>
          <w:lang w:eastAsia="en-AU"/>
        </w:rPr>
        <w:t>d</w:t>
      </w:r>
      <w:r>
        <w:rPr>
          <w:rFonts w:eastAsia="Times New Roman" w:cs="Times New Roman"/>
          <w:lang w:eastAsia="en-AU"/>
        </w:rPr>
        <w:t xml:space="preserve"> mental health and wellbeing </w:t>
      </w:r>
      <w:r w:rsidR="002B6FE0">
        <w:rPr>
          <w:rFonts w:eastAsia="Times New Roman" w:cs="Times New Roman"/>
          <w:lang w:eastAsia="en-AU"/>
        </w:rPr>
        <w:t>risks</w:t>
      </w:r>
      <w:r w:rsidR="00C53EAF">
        <w:rPr>
          <w:rFonts w:eastAsia="Times New Roman" w:cs="Times New Roman"/>
          <w:lang w:eastAsia="en-AU"/>
        </w:rPr>
        <w:t>.</w:t>
      </w:r>
      <w:r w:rsidR="00C53EAF">
        <w:rPr>
          <w:rStyle w:val="FootnoteReference"/>
          <w:rFonts w:eastAsia="Times New Roman" w:cs="Times New Roman"/>
          <w:lang w:eastAsia="en-AU"/>
        </w:rPr>
        <w:footnoteReference w:id="109"/>
      </w:r>
      <w:r w:rsidR="00C53EAF">
        <w:rPr>
          <w:rFonts w:eastAsia="Times New Roman" w:cs="Times New Roman"/>
          <w:lang w:eastAsia="en-AU"/>
        </w:rPr>
        <w:t xml:space="preserve"> </w:t>
      </w:r>
      <w:r w:rsidR="001E35BB">
        <w:rPr>
          <w:rFonts w:eastAsia="Times New Roman" w:cs="Times New Roman"/>
          <w:lang w:eastAsia="en-AU"/>
        </w:rPr>
        <w:t xml:space="preserve">This </w:t>
      </w:r>
      <w:r w:rsidR="001760FB">
        <w:rPr>
          <w:rFonts w:eastAsia="Times New Roman" w:cs="Times New Roman"/>
          <w:lang w:eastAsia="en-AU"/>
        </w:rPr>
        <w:t xml:space="preserve">has been </w:t>
      </w:r>
      <w:r w:rsidR="46A69C06" w:rsidRPr="003D2C01">
        <w:rPr>
          <w:rFonts w:eastAsia="Times New Roman" w:cs="Times New Roman"/>
          <w:lang w:eastAsia="en-AU"/>
        </w:rPr>
        <w:t>clearly demonstrated</w:t>
      </w:r>
      <w:r w:rsidR="001E35BB">
        <w:rPr>
          <w:rFonts w:eastAsia="Times New Roman" w:cs="Times New Roman"/>
          <w:lang w:eastAsia="en-AU"/>
        </w:rPr>
        <w:t xml:space="preserve"> in the Australian context</w:t>
      </w:r>
      <w:r w:rsidR="46A69C06" w:rsidRPr="003D2C01">
        <w:rPr>
          <w:rFonts w:eastAsia="Times New Roman" w:cs="Times New Roman"/>
          <w:lang w:eastAsia="en-AU"/>
        </w:rPr>
        <w:t xml:space="preserve"> through research on the national plebiscite on same-sex marriage</w:t>
      </w:r>
      <w:r w:rsidR="006A6D83">
        <w:rPr>
          <w:rFonts w:eastAsia="Times New Roman" w:cs="Times New Roman"/>
          <w:lang w:eastAsia="en-AU"/>
        </w:rPr>
        <w:t>,</w:t>
      </w:r>
      <w:r w:rsidR="46A69C06" w:rsidRPr="003D2C01">
        <w:rPr>
          <w:rFonts w:eastAsia="Times New Roman" w:cs="Times New Roman"/>
          <w:lang w:eastAsia="en-AU"/>
        </w:rPr>
        <w:t xml:space="preserve"> held in late 2017</w:t>
      </w:r>
      <w:r w:rsidR="006A6D83">
        <w:rPr>
          <w:rFonts w:eastAsia="Times New Roman" w:cs="Times New Roman"/>
          <w:lang w:eastAsia="en-AU"/>
        </w:rPr>
        <w:t>, which was</w:t>
      </w:r>
      <w:r w:rsidR="001E35BB">
        <w:rPr>
          <w:rFonts w:eastAsia="Times New Roman" w:cs="Times New Roman"/>
          <w:lang w:eastAsia="en-AU"/>
        </w:rPr>
        <w:t xml:space="preserve"> characterised</w:t>
      </w:r>
      <w:r w:rsidR="46A69C06" w:rsidRPr="003D2C01">
        <w:rPr>
          <w:rFonts w:eastAsia="Times New Roman" w:cs="Times New Roman"/>
          <w:lang w:eastAsia="en-AU"/>
        </w:rPr>
        <w:t xml:space="preserve"> a</w:t>
      </w:r>
      <w:r w:rsidR="001760FB">
        <w:rPr>
          <w:rFonts w:eastAsia="Times New Roman" w:cs="Times New Roman"/>
          <w:lang w:eastAsia="en-AU"/>
        </w:rPr>
        <w:t>s a</w:t>
      </w:r>
      <w:r w:rsidR="46A69C06" w:rsidRPr="003D2C01">
        <w:rPr>
          <w:rFonts w:eastAsia="Times New Roman" w:cs="Times New Roman"/>
          <w:lang w:eastAsia="en-AU"/>
        </w:rPr>
        <w:t xml:space="preserve"> “pervasive and predominantly negative event” and </w:t>
      </w:r>
      <w:r w:rsidR="006365A1">
        <w:rPr>
          <w:rFonts w:eastAsia="Times New Roman" w:cs="Times New Roman"/>
          <w:lang w:eastAsia="en-AU"/>
        </w:rPr>
        <w:t>a</w:t>
      </w:r>
      <w:r w:rsidR="46A69C06" w:rsidRPr="003D2C01">
        <w:rPr>
          <w:rFonts w:eastAsia="Times New Roman" w:cs="Times New Roman"/>
          <w:lang w:eastAsia="en-AU"/>
        </w:rPr>
        <w:t xml:space="preserve"> “highly stressful, socially fracturing process” for </w:t>
      </w:r>
      <w:r w:rsidR="004E6A40">
        <w:rPr>
          <w:rFonts w:eastAsia="Times New Roman" w:cs="Times New Roman"/>
          <w:lang w:eastAsia="en-AU"/>
        </w:rPr>
        <w:t>LGBTQ+</w:t>
      </w:r>
      <w:r w:rsidR="46A69C06" w:rsidRPr="003D2C01">
        <w:rPr>
          <w:rFonts w:eastAsia="Times New Roman" w:cs="Times New Roman"/>
          <w:lang w:eastAsia="en-AU"/>
        </w:rPr>
        <w:t xml:space="preserve"> Australians. </w:t>
      </w:r>
      <w:r w:rsidR="006A6D83">
        <w:rPr>
          <w:rFonts w:eastAsia="Times New Roman" w:cs="Times New Roman"/>
          <w:lang w:eastAsia="en-AU"/>
        </w:rPr>
        <w:t xml:space="preserve">Research indicates that it </w:t>
      </w:r>
      <w:r w:rsidR="46A69C06" w:rsidRPr="003D2C01">
        <w:rPr>
          <w:rFonts w:eastAsia="Times New Roman" w:cs="Times New Roman"/>
          <w:lang w:eastAsia="en-AU"/>
        </w:rPr>
        <w:t>more than doubled the reported rate</w:t>
      </w:r>
      <w:r w:rsidR="00B6040A">
        <w:rPr>
          <w:rFonts w:eastAsia="Times New Roman" w:cs="Times New Roman"/>
          <w:lang w:eastAsia="en-AU"/>
        </w:rPr>
        <w:t>s</w:t>
      </w:r>
      <w:r w:rsidR="46A69C06" w:rsidRPr="003D2C01">
        <w:rPr>
          <w:rFonts w:eastAsia="Times New Roman" w:cs="Times New Roman"/>
          <w:lang w:eastAsia="en-AU"/>
        </w:rPr>
        <w:t xml:space="preserve"> of physical and verbal assault</w:t>
      </w:r>
      <w:r w:rsidR="00B6040A">
        <w:rPr>
          <w:rFonts w:eastAsia="Times New Roman" w:cs="Times New Roman"/>
          <w:lang w:eastAsia="en-AU"/>
        </w:rPr>
        <w:t>s</w:t>
      </w:r>
      <w:r w:rsidR="46A69C06" w:rsidRPr="003D2C01">
        <w:rPr>
          <w:rFonts w:eastAsia="Times New Roman" w:cs="Times New Roman"/>
          <w:lang w:eastAsia="en-AU"/>
        </w:rPr>
        <w:t xml:space="preserve"> o</w:t>
      </w:r>
      <w:r w:rsidR="00B6040A">
        <w:rPr>
          <w:rFonts w:eastAsia="Times New Roman" w:cs="Times New Roman"/>
          <w:lang w:eastAsia="en-AU"/>
        </w:rPr>
        <w:t>n</w:t>
      </w:r>
      <w:r w:rsidR="46A69C06" w:rsidRPr="003D2C01">
        <w:rPr>
          <w:rFonts w:eastAsia="Times New Roman" w:cs="Times New Roman"/>
          <w:lang w:eastAsia="en-AU"/>
        </w:rPr>
        <w:t xml:space="preserve"> </w:t>
      </w:r>
      <w:r w:rsidR="004E6A40">
        <w:rPr>
          <w:rFonts w:eastAsia="Times New Roman" w:cs="Times New Roman"/>
          <w:lang w:eastAsia="en-AU"/>
        </w:rPr>
        <w:t>LGBTQ</w:t>
      </w:r>
      <w:r w:rsidR="46A69C06" w:rsidRPr="003D2C01">
        <w:rPr>
          <w:rFonts w:eastAsia="Times New Roman" w:cs="Times New Roman"/>
          <w:lang w:eastAsia="en-AU"/>
        </w:rPr>
        <w:t>+ people, increased risk of mental distress</w:t>
      </w:r>
      <w:r w:rsidR="00B6040A">
        <w:rPr>
          <w:rFonts w:eastAsia="Times New Roman" w:cs="Times New Roman"/>
          <w:lang w:eastAsia="en-AU"/>
        </w:rPr>
        <w:t>,</w:t>
      </w:r>
      <w:r w:rsidR="46A69C06" w:rsidRPr="003D2C01">
        <w:rPr>
          <w:rFonts w:eastAsia="Times New Roman" w:cs="Times New Roman"/>
          <w:lang w:eastAsia="en-AU"/>
        </w:rPr>
        <w:t xml:space="preserve"> and damaged relationships with self, others, workplaces</w:t>
      </w:r>
      <w:r w:rsidR="00CE25AB">
        <w:rPr>
          <w:rFonts w:eastAsia="Times New Roman" w:cs="Times New Roman"/>
          <w:lang w:eastAsia="en-AU"/>
        </w:rPr>
        <w:t>,</w:t>
      </w:r>
      <w:r w:rsidR="46A69C06" w:rsidRPr="003D2C01">
        <w:rPr>
          <w:rFonts w:eastAsia="Times New Roman" w:cs="Times New Roman"/>
          <w:lang w:eastAsia="en-AU"/>
        </w:rPr>
        <w:t xml:space="preserve"> and country.</w:t>
      </w:r>
      <w:r w:rsidR="46A69C06" w:rsidRPr="003D2C01">
        <w:rPr>
          <w:rFonts w:eastAsia="Times New Roman" w:cs="Times New Roman"/>
          <w:vertAlign w:val="superscript"/>
          <w:lang w:eastAsia="en-AU"/>
        </w:rPr>
        <w:footnoteReference w:id="110"/>
      </w:r>
      <w:r w:rsidR="46A69C06" w:rsidRPr="003D2C01">
        <w:rPr>
          <w:rFonts w:eastAsia="Times New Roman" w:cs="Times New Roman"/>
          <w:lang w:eastAsia="en-AU"/>
        </w:rPr>
        <w:t xml:space="preserve"> Participants in a 2019 study on the plebiscite’s impacts described “feeling betrayed by the government, country and Church”, as negative messages about the </w:t>
      </w:r>
      <w:r w:rsidR="004E6A40">
        <w:rPr>
          <w:rFonts w:eastAsia="Times New Roman" w:cs="Times New Roman"/>
          <w:lang w:eastAsia="en-AU"/>
        </w:rPr>
        <w:t>LGBTQ+</w:t>
      </w:r>
      <w:r w:rsidR="46A69C06" w:rsidRPr="003D2C01">
        <w:rPr>
          <w:rFonts w:eastAsia="Times New Roman" w:cs="Times New Roman"/>
          <w:lang w:eastAsia="en-AU"/>
        </w:rPr>
        <w:t xml:space="preserve"> community “were given legitimacy in the process of public debate”.</w:t>
      </w:r>
      <w:r w:rsidR="46A69C06" w:rsidRPr="003D2C01">
        <w:rPr>
          <w:rFonts w:eastAsia="Times New Roman" w:cs="Times New Roman"/>
          <w:vertAlign w:val="superscript"/>
          <w:lang w:eastAsia="en-AU"/>
        </w:rPr>
        <w:footnoteReference w:id="111"/>
      </w:r>
    </w:p>
    <w:p w14:paraId="54F198B6" w14:textId="16BFF983" w:rsidR="009F23DF" w:rsidRDefault="006A6D83" w:rsidP="009F23DF">
      <w:pPr>
        <w:spacing w:before="120" w:after="120"/>
        <w:rPr>
          <w:rFonts w:eastAsia="Times New Roman" w:cs="Times New Roman"/>
          <w:lang w:eastAsia="en-AU"/>
        </w:rPr>
      </w:pPr>
      <w:r>
        <w:rPr>
          <w:rFonts w:eastAsia="Times New Roman" w:cs="Times New Roman"/>
          <w:lang w:eastAsia="en-AU"/>
        </w:rPr>
        <w:t>A</w:t>
      </w:r>
      <w:r w:rsidR="009F23DF" w:rsidRPr="003D2C01">
        <w:rPr>
          <w:rFonts w:eastAsia="Times New Roman" w:cs="Times New Roman"/>
          <w:lang w:eastAsia="en-AU"/>
        </w:rPr>
        <w:t xml:space="preserve"> 2018 </w:t>
      </w:r>
      <w:r w:rsidR="00F64442">
        <w:rPr>
          <w:rFonts w:eastAsia="Times New Roman" w:cs="Times New Roman"/>
          <w:lang w:eastAsia="en-AU"/>
        </w:rPr>
        <w:t xml:space="preserve">Australian </w:t>
      </w:r>
      <w:r w:rsidR="009F23DF" w:rsidRPr="003D2C01">
        <w:rPr>
          <w:rFonts w:eastAsia="Times New Roman" w:cs="Times New Roman"/>
          <w:lang w:eastAsia="en-AU"/>
        </w:rPr>
        <w:t xml:space="preserve">study </w:t>
      </w:r>
      <w:r w:rsidR="001F6E44">
        <w:rPr>
          <w:rFonts w:eastAsia="Times New Roman" w:cs="Times New Roman"/>
          <w:lang w:eastAsia="en-AU"/>
        </w:rPr>
        <w:t>(</w:t>
      </w:r>
      <w:r w:rsidR="00F64442">
        <w:rPr>
          <w:rFonts w:eastAsia="Times New Roman" w:cs="Times New Roman"/>
          <w:lang w:eastAsia="en-AU"/>
        </w:rPr>
        <w:t xml:space="preserve">drawing on the same sex </w:t>
      </w:r>
      <w:r w:rsidR="001F6E44">
        <w:rPr>
          <w:rFonts w:eastAsia="Times New Roman" w:cs="Times New Roman"/>
          <w:lang w:eastAsia="en-AU"/>
        </w:rPr>
        <w:t xml:space="preserve">plebiscite debates and data) </w:t>
      </w:r>
      <w:r w:rsidR="009F23DF" w:rsidRPr="003D2C01">
        <w:rPr>
          <w:rFonts w:eastAsia="Times New Roman" w:cs="Times New Roman"/>
          <w:lang w:eastAsia="en-AU"/>
        </w:rPr>
        <w:t xml:space="preserve">found a correlation between low community levels of support for same-sex marriage and poorer life satisfaction, mental health, and overall health of </w:t>
      </w:r>
      <w:r w:rsidR="00AD6E41">
        <w:rPr>
          <w:rFonts w:eastAsia="Times New Roman" w:cs="Times New Roman"/>
          <w:lang w:eastAsia="en-AU"/>
        </w:rPr>
        <w:t>LGBQ+ people</w:t>
      </w:r>
      <w:r w:rsidR="009F23DF" w:rsidRPr="003D2C01">
        <w:rPr>
          <w:rFonts w:eastAsia="Times New Roman" w:cs="Times New Roman"/>
          <w:lang w:eastAsia="en-AU"/>
        </w:rPr>
        <w:t>.</w:t>
      </w:r>
      <w:r w:rsidR="009F23DF" w:rsidRPr="003D2C01">
        <w:rPr>
          <w:rFonts w:eastAsia="Times New Roman" w:cs="Times New Roman"/>
          <w:vertAlign w:val="superscript"/>
          <w:lang w:eastAsia="en-AU"/>
        </w:rPr>
        <w:footnoteReference w:id="112"/>
      </w:r>
      <w:r w:rsidR="009F23DF" w:rsidRPr="003D2C01">
        <w:rPr>
          <w:rFonts w:eastAsia="Times New Roman" w:cs="Times New Roman"/>
          <w:lang w:eastAsia="en-AU"/>
        </w:rPr>
        <w:t xml:space="preserve"> The impact of low-level community support was </w:t>
      </w:r>
      <w:r w:rsidR="0053788A">
        <w:rPr>
          <w:rFonts w:eastAsia="Times New Roman" w:cs="Times New Roman"/>
          <w:lang w:eastAsia="en-AU"/>
        </w:rPr>
        <w:t xml:space="preserve">also </w:t>
      </w:r>
      <w:r w:rsidR="009F23DF" w:rsidRPr="003D2C01">
        <w:rPr>
          <w:rFonts w:eastAsia="Times New Roman" w:cs="Times New Roman"/>
          <w:lang w:eastAsia="en-AU"/>
        </w:rPr>
        <w:t>found to be 2</w:t>
      </w:r>
      <w:r w:rsidR="00B6040A">
        <w:rPr>
          <w:rFonts w:eastAsia="Times New Roman" w:cs="Times New Roman"/>
          <w:lang w:eastAsia="en-AU"/>
        </w:rPr>
        <w:t>–</w:t>
      </w:r>
      <w:r w:rsidR="009F23DF" w:rsidRPr="003D2C01">
        <w:rPr>
          <w:rFonts w:eastAsia="Times New Roman" w:cs="Times New Roman"/>
          <w:lang w:eastAsia="en-AU"/>
        </w:rPr>
        <w:t>4 times greater than the estimated impact of other general risk factors</w:t>
      </w:r>
      <w:r w:rsidR="00B6040A">
        <w:rPr>
          <w:rFonts w:eastAsia="Times New Roman" w:cs="Times New Roman"/>
          <w:lang w:eastAsia="en-AU"/>
        </w:rPr>
        <w:t>,</w:t>
      </w:r>
      <w:r w:rsidR="009F23DF" w:rsidRPr="003D2C01">
        <w:rPr>
          <w:rFonts w:eastAsia="Times New Roman" w:cs="Times New Roman"/>
          <w:lang w:eastAsia="en-AU"/>
        </w:rPr>
        <w:t xml:space="preserve"> such as being unemployed.</w:t>
      </w:r>
      <w:r w:rsidR="009F23DF" w:rsidRPr="003D2C01">
        <w:rPr>
          <w:rFonts w:eastAsia="Times New Roman" w:cs="Times New Roman"/>
          <w:vertAlign w:val="superscript"/>
          <w:lang w:eastAsia="en-AU"/>
        </w:rPr>
        <w:footnoteReference w:id="113"/>
      </w:r>
      <w:r w:rsidR="009F23DF" w:rsidRPr="003D2C01">
        <w:rPr>
          <w:rFonts w:eastAsia="Times New Roman" w:cs="Times New Roman"/>
          <w:lang w:eastAsia="en-AU"/>
        </w:rPr>
        <w:t xml:space="preserve"> </w:t>
      </w:r>
      <w:r w:rsidR="00170D3D">
        <w:rPr>
          <w:rFonts w:eastAsia="Times New Roman" w:cs="Times New Roman"/>
          <w:lang w:eastAsia="en-AU"/>
        </w:rPr>
        <w:t>P</w:t>
      </w:r>
      <w:r w:rsidR="009F23DF" w:rsidRPr="003D2C01">
        <w:rPr>
          <w:rFonts w:eastAsia="Times New Roman" w:cs="Times New Roman"/>
          <w:lang w:eastAsia="en-AU"/>
        </w:rPr>
        <w:t>redicted differences in health outcomes between LGB and heterosexual populations also increasingly diverged as levels of community support decreased.</w:t>
      </w:r>
      <w:r w:rsidR="009F23DF" w:rsidRPr="003D2C01">
        <w:rPr>
          <w:rFonts w:eastAsia="Times New Roman" w:cs="Times New Roman"/>
          <w:vertAlign w:val="superscript"/>
          <w:lang w:eastAsia="en-AU"/>
        </w:rPr>
        <w:t xml:space="preserve"> </w:t>
      </w:r>
      <w:r w:rsidR="009F23DF" w:rsidRPr="003D2C01">
        <w:rPr>
          <w:rFonts w:eastAsia="Times New Roman" w:cs="Times New Roman"/>
          <w:vertAlign w:val="superscript"/>
          <w:lang w:eastAsia="en-AU"/>
        </w:rPr>
        <w:footnoteReference w:id="114"/>
      </w:r>
      <w:r w:rsidR="009F23DF" w:rsidRPr="003D2C01">
        <w:rPr>
          <w:rFonts w:eastAsia="Times New Roman" w:cs="Times New Roman"/>
          <w:lang w:eastAsia="en-AU"/>
        </w:rPr>
        <w:t xml:space="preserve"> </w:t>
      </w:r>
      <w:r w:rsidR="005222E2">
        <w:rPr>
          <w:rFonts w:eastAsia="Times New Roman" w:cs="Times New Roman"/>
          <w:lang w:eastAsia="en-AU"/>
        </w:rPr>
        <w:t>The study’s authors concluded that this indicated that</w:t>
      </w:r>
      <w:r w:rsidR="009F23DF" w:rsidRPr="003D2C01">
        <w:rPr>
          <w:rFonts w:eastAsia="Times New Roman" w:cs="Times New Roman"/>
          <w:lang w:eastAsia="en-AU"/>
        </w:rPr>
        <w:t xml:space="preserve"> social support provided or withheld by the general community has a substantive impact on psychological distress</w:t>
      </w:r>
      <w:r w:rsidR="005222E2">
        <w:rPr>
          <w:rFonts w:eastAsia="Times New Roman" w:cs="Times New Roman"/>
          <w:lang w:eastAsia="en-AU"/>
        </w:rPr>
        <w:t>,</w:t>
      </w:r>
      <w:r w:rsidR="009F23DF" w:rsidRPr="003D2C01">
        <w:rPr>
          <w:rFonts w:eastAsia="Times New Roman" w:cs="Times New Roman"/>
          <w:lang w:eastAsia="en-AU"/>
        </w:rPr>
        <w:t xml:space="preserve"> independent to the availability of </w:t>
      </w:r>
      <w:r w:rsidR="004E6A40">
        <w:rPr>
          <w:rFonts w:eastAsia="Times New Roman" w:cs="Times New Roman"/>
          <w:lang w:eastAsia="en-AU"/>
        </w:rPr>
        <w:t>LGBTQ+</w:t>
      </w:r>
      <w:r w:rsidR="005222E2">
        <w:rPr>
          <w:rFonts w:eastAsia="Times New Roman" w:cs="Times New Roman"/>
          <w:lang w:eastAsia="en-AU"/>
        </w:rPr>
        <w:t xml:space="preserve"> </w:t>
      </w:r>
      <w:r w:rsidR="009F23DF" w:rsidRPr="003D2C01">
        <w:rPr>
          <w:rFonts w:eastAsia="Times New Roman" w:cs="Times New Roman"/>
          <w:lang w:eastAsia="en-AU"/>
        </w:rPr>
        <w:t>community support.</w:t>
      </w:r>
    </w:p>
    <w:p w14:paraId="1D25E8C5" w14:textId="66A01F7B" w:rsidR="1CEF5F41" w:rsidRDefault="00D90121" w:rsidP="009B406F">
      <w:pPr>
        <w:pStyle w:val="NbrHeading4"/>
      </w:pPr>
      <w:r>
        <w:t>Interpersonal</w:t>
      </w:r>
      <w:r w:rsidR="00C55E48">
        <w:t xml:space="preserve"> discrimination and microaggressions</w:t>
      </w:r>
    </w:p>
    <w:p w14:paraId="283CC4C5" w14:textId="4447E018" w:rsidR="002C3DBC" w:rsidRDefault="008E013A" w:rsidP="002C3DBC">
      <w:r w:rsidRPr="00691211">
        <w:t xml:space="preserve">Many </w:t>
      </w:r>
      <w:r w:rsidR="004E6A40">
        <w:t>LGBTQ+</w:t>
      </w:r>
      <w:r w:rsidRPr="00691211">
        <w:t xml:space="preserve"> people </w:t>
      </w:r>
      <w:r w:rsidR="00461691" w:rsidRPr="00691211">
        <w:t>are know</w:t>
      </w:r>
      <w:r w:rsidR="006D5778" w:rsidRPr="00691211">
        <w:t>n</w:t>
      </w:r>
      <w:r w:rsidR="00461691" w:rsidRPr="00691211">
        <w:t xml:space="preserve"> to </w:t>
      </w:r>
      <w:r w:rsidRPr="00691211">
        <w:t>experience commonplace forms of discrimination</w:t>
      </w:r>
      <w:r w:rsidR="005F458A" w:rsidRPr="00691211">
        <w:t xml:space="preserve"> or </w:t>
      </w:r>
      <w:r w:rsidR="00655D88" w:rsidRPr="00691211">
        <w:t>inappropriate</w:t>
      </w:r>
      <w:r w:rsidR="005F458A" w:rsidRPr="00691211">
        <w:t xml:space="preserve"> or </w:t>
      </w:r>
      <w:r w:rsidR="00655D88" w:rsidRPr="00691211">
        <w:t>offensive</w:t>
      </w:r>
      <w:r w:rsidR="005F458A" w:rsidRPr="00691211">
        <w:t xml:space="preserve"> </w:t>
      </w:r>
      <w:r w:rsidR="00655D88" w:rsidRPr="00691211">
        <w:t>interp</w:t>
      </w:r>
      <w:r w:rsidR="00020AF8" w:rsidRPr="00691211">
        <w:t>ersonal exchanges</w:t>
      </w:r>
      <w:r w:rsidRPr="00691211">
        <w:t>,</w:t>
      </w:r>
      <w:r w:rsidRPr="00691211">
        <w:rPr>
          <w:b/>
        </w:rPr>
        <w:t xml:space="preserve"> </w:t>
      </w:r>
      <w:r w:rsidRPr="00691211">
        <w:t>sometimes referred to as ‘microaggressions’.</w:t>
      </w:r>
      <w:r w:rsidRPr="00691211">
        <w:rPr>
          <w:vertAlign w:val="superscript"/>
        </w:rPr>
        <w:footnoteReference w:id="115"/>
      </w:r>
      <w:r w:rsidRPr="00691211">
        <w:t xml:space="preserve"> These are behaviours and </w:t>
      </w:r>
      <w:r w:rsidR="00504AC1" w:rsidRPr="00691211">
        <w:t>attitudes</w:t>
      </w:r>
      <w:r w:rsidRPr="00691211">
        <w:t xml:space="preserve"> towards</w:t>
      </w:r>
      <w:r w:rsidR="00DB748F">
        <w:t xml:space="preserve"> LGBTQ</w:t>
      </w:r>
      <w:r w:rsidRPr="00691211">
        <w:t>+ people that may be intentional or unintentional</w:t>
      </w:r>
      <w:r w:rsidR="00B6040A">
        <w:t>,</w:t>
      </w:r>
      <w:r w:rsidRPr="00691211">
        <w:t xml:space="preserve"> and</w:t>
      </w:r>
      <w:r w:rsidR="009271F6" w:rsidRPr="00691211">
        <w:t>/or</w:t>
      </w:r>
      <w:r w:rsidRPr="00691211">
        <w:t xml:space="preserve"> </w:t>
      </w:r>
      <w:r w:rsidR="1BA1870A" w:rsidRPr="00691211">
        <w:t xml:space="preserve">within or </w:t>
      </w:r>
      <w:r w:rsidRPr="00691211">
        <w:t xml:space="preserve">outside of conscious awareness. </w:t>
      </w:r>
      <w:r w:rsidR="00FD0A47" w:rsidRPr="00691211">
        <w:t>In</w:t>
      </w:r>
      <w:r w:rsidR="00FD0A47" w:rsidRPr="000D7532">
        <w:t xml:space="preserve"> addition to </w:t>
      </w:r>
      <w:r w:rsidR="0024154C" w:rsidRPr="000D7532">
        <w:t>various negative internal impacts</w:t>
      </w:r>
      <w:r w:rsidR="00C97D96" w:rsidRPr="000D7532">
        <w:t xml:space="preserve"> </w:t>
      </w:r>
      <w:r w:rsidR="00FF50E1" w:rsidRPr="000D7532">
        <w:t xml:space="preserve">(e.g., </w:t>
      </w:r>
      <w:r w:rsidR="00207AAA" w:rsidRPr="000D7532">
        <w:t>internalised stigma)</w:t>
      </w:r>
      <w:r w:rsidR="00EF1304">
        <w:t>, when enacted by people in positions of authority,</w:t>
      </w:r>
      <w:r w:rsidRPr="000D7532">
        <w:t xml:space="preserve"> these </w:t>
      </w:r>
      <w:r w:rsidR="00FD0A47" w:rsidRPr="000D7532">
        <w:t>forms</w:t>
      </w:r>
      <w:r w:rsidR="004F682A" w:rsidRPr="000D7532">
        <w:t xml:space="preserve"> of </w:t>
      </w:r>
      <w:r w:rsidR="00207AAA" w:rsidRPr="000D7532">
        <w:t>discrimination</w:t>
      </w:r>
      <w:r w:rsidR="004F682A" w:rsidRPr="000D7532">
        <w:t xml:space="preserve"> can also </w:t>
      </w:r>
      <w:r w:rsidR="00945A28" w:rsidRPr="000D7532">
        <w:t>inhibit</w:t>
      </w:r>
      <w:r w:rsidR="004F682A" w:rsidRPr="000D7532">
        <w:t xml:space="preserve"> </w:t>
      </w:r>
      <w:r w:rsidR="00DB748F">
        <w:t>LGBTQ</w:t>
      </w:r>
      <w:r w:rsidR="00146AC0" w:rsidRPr="000D7532">
        <w:t xml:space="preserve">+ people’s </w:t>
      </w:r>
      <w:r w:rsidR="00C737D1" w:rsidRPr="000D7532">
        <w:t xml:space="preserve">access </w:t>
      </w:r>
      <w:r w:rsidR="00C737D1" w:rsidRPr="000D7532">
        <w:lastRenderedPageBreak/>
        <w:t>to employment, housing, education, and community activities</w:t>
      </w:r>
      <w:r w:rsidR="00EF1304">
        <w:t xml:space="preserve"> </w:t>
      </w:r>
      <w:r w:rsidR="00146AC0" w:rsidRPr="000D7532">
        <w:t>or undermine</w:t>
      </w:r>
      <w:r w:rsidR="00811C7A" w:rsidRPr="000D7532">
        <w:t xml:space="preserve"> the </w:t>
      </w:r>
      <w:r w:rsidR="00146AC0" w:rsidRPr="000D7532">
        <w:t>quality of the services they receive.</w:t>
      </w:r>
    </w:p>
    <w:p w14:paraId="2B36CCBC" w14:textId="6A42782B" w:rsidR="008E013A" w:rsidRPr="008E013A" w:rsidRDefault="00811C7A" w:rsidP="002C3DBC">
      <w:pPr>
        <w:rPr>
          <w:rFonts w:eastAsiaTheme="minorEastAsia"/>
        </w:rPr>
      </w:pPr>
      <w:r>
        <w:t>F</w:t>
      </w:r>
      <w:r w:rsidR="008E013A" w:rsidRPr="008E013A">
        <w:t xml:space="preserve">or example, </w:t>
      </w:r>
      <w:r w:rsidR="00C3387F">
        <w:t xml:space="preserve">research </w:t>
      </w:r>
      <w:r w:rsidR="008E4AF7">
        <w:t>has indicated t</w:t>
      </w:r>
      <w:r w:rsidR="008E013A" w:rsidRPr="008E013A">
        <w:t>hat when accessing healthcare</w:t>
      </w:r>
      <w:r w:rsidR="00C3387F">
        <w:t>,</w:t>
      </w:r>
      <w:r w:rsidR="008E013A" w:rsidRPr="008E013A">
        <w:t xml:space="preserve"> some </w:t>
      </w:r>
      <w:r w:rsidR="00DB748F">
        <w:t>LGBTQ</w:t>
      </w:r>
      <w:r w:rsidR="008E013A" w:rsidRPr="008E013A">
        <w:t xml:space="preserve">+ patients reported that health issues were ‘overlooked’ by providers who held stereotypical ideas about the expected health concerns of </w:t>
      </w:r>
      <w:r w:rsidR="00DB748F">
        <w:t>LGBTQ</w:t>
      </w:r>
      <w:r w:rsidR="008E013A" w:rsidRPr="008E013A">
        <w:t>+ people.</w:t>
      </w:r>
      <w:r w:rsidR="008E013A" w:rsidRPr="008E013A">
        <w:rPr>
          <w:vertAlign w:val="superscript"/>
        </w:rPr>
        <w:footnoteReference w:id="116"/>
      </w:r>
      <w:r w:rsidR="008E013A" w:rsidRPr="008E013A">
        <w:t xml:space="preserve"> </w:t>
      </w:r>
      <w:r w:rsidR="00804B11">
        <w:rPr>
          <w:rFonts w:eastAsiaTheme="minorEastAsia"/>
        </w:rPr>
        <w:t xml:space="preserve">The interactions were also </w:t>
      </w:r>
      <w:r w:rsidR="00E74EC3">
        <w:rPr>
          <w:rFonts w:eastAsiaTheme="minorEastAsia"/>
        </w:rPr>
        <w:t xml:space="preserve">impaired by </w:t>
      </w:r>
      <w:r w:rsidR="009C29C9">
        <w:rPr>
          <w:rFonts w:eastAsiaTheme="minorEastAsia"/>
        </w:rPr>
        <w:t>personnel making</w:t>
      </w:r>
      <w:r w:rsidR="008E013A" w:rsidRPr="008E013A">
        <w:rPr>
          <w:rFonts w:eastAsiaTheme="minorEastAsia"/>
        </w:rPr>
        <w:t xml:space="preserve"> </w:t>
      </w:r>
      <w:r w:rsidR="006B66FC">
        <w:rPr>
          <w:rFonts w:eastAsiaTheme="minorEastAsia"/>
        </w:rPr>
        <w:t xml:space="preserve">overt or covert </w:t>
      </w:r>
      <w:r w:rsidR="000D5242" w:rsidRPr="008E013A">
        <w:rPr>
          <w:rFonts w:eastAsiaTheme="minorEastAsia"/>
        </w:rPr>
        <w:t>assumption</w:t>
      </w:r>
      <w:r w:rsidR="000D5242">
        <w:rPr>
          <w:rFonts w:eastAsiaTheme="minorEastAsia"/>
        </w:rPr>
        <w:t>s</w:t>
      </w:r>
      <w:r w:rsidR="000D5242" w:rsidRPr="008E013A">
        <w:rPr>
          <w:rFonts w:eastAsiaTheme="minorEastAsia"/>
        </w:rPr>
        <w:t xml:space="preserve"> that all people are heterosexual and </w:t>
      </w:r>
      <w:r w:rsidR="008E013A" w:rsidRPr="008E013A">
        <w:rPr>
          <w:rFonts w:eastAsiaTheme="minorEastAsia"/>
        </w:rPr>
        <w:t>cis-normative</w:t>
      </w:r>
      <w:r w:rsidR="006B66FC">
        <w:rPr>
          <w:rFonts w:eastAsiaTheme="minorEastAsia"/>
        </w:rPr>
        <w:t>,</w:t>
      </w:r>
      <w:r w:rsidR="008E013A" w:rsidRPr="008E013A">
        <w:rPr>
          <w:rFonts w:eastAsiaTheme="minorEastAsia"/>
        </w:rPr>
        <w:t xml:space="preserve"> </w:t>
      </w:r>
      <w:r w:rsidR="00154650">
        <w:rPr>
          <w:rFonts w:eastAsiaTheme="minorEastAsia"/>
        </w:rPr>
        <w:t xml:space="preserve">thereby </w:t>
      </w:r>
      <w:r w:rsidR="008E013A" w:rsidRPr="008E013A">
        <w:rPr>
          <w:rFonts w:eastAsiaTheme="minorEastAsia"/>
        </w:rPr>
        <w:t xml:space="preserve">privileging heterosexual and cisgender identities </w:t>
      </w:r>
      <w:r w:rsidR="006A05EE">
        <w:rPr>
          <w:rFonts w:eastAsiaTheme="minorEastAsia"/>
        </w:rPr>
        <w:t>within the</w:t>
      </w:r>
      <w:r w:rsidR="008E013A" w:rsidRPr="008E013A">
        <w:rPr>
          <w:rFonts w:eastAsiaTheme="minorEastAsia"/>
        </w:rPr>
        <w:t xml:space="preserve"> </w:t>
      </w:r>
      <w:r w:rsidR="0030405C">
        <w:rPr>
          <w:rFonts w:eastAsiaTheme="minorEastAsia"/>
        </w:rPr>
        <w:t>health setting or wider</w:t>
      </w:r>
      <w:r w:rsidR="008E013A" w:rsidRPr="008E013A">
        <w:rPr>
          <w:rFonts w:eastAsiaTheme="minorEastAsia"/>
        </w:rPr>
        <w:t xml:space="preserve"> institutions.</w:t>
      </w:r>
      <w:r w:rsidR="008E013A" w:rsidRPr="008E013A">
        <w:rPr>
          <w:rFonts w:eastAsiaTheme="minorEastAsia"/>
          <w:vertAlign w:val="superscript"/>
        </w:rPr>
        <w:footnoteReference w:id="117"/>
      </w:r>
    </w:p>
    <w:p w14:paraId="2F0C8768" w14:textId="3B8B89B0" w:rsidR="00C06D0B" w:rsidRPr="009F23DF" w:rsidRDefault="008E013A" w:rsidP="009F23DF">
      <w:r w:rsidRPr="0092020E">
        <w:t>The</w:t>
      </w:r>
      <w:r w:rsidR="0C19AFE8" w:rsidRPr="0092020E">
        <w:t xml:space="preserve"> internalised</w:t>
      </w:r>
      <w:r w:rsidRPr="0092020E">
        <w:t xml:space="preserve"> anticipation of discrimination or hetero- and cis-normativity has also been linked to mental distress</w:t>
      </w:r>
      <w:r w:rsidR="00171711" w:rsidRPr="0092020E">
        <w:t>,</w:t>
      </w:r>
      <w:r w:rsidRPr="0092020E">
        <w:t xml:space="preserve"> and the experience of “threat” to the identities</w:t>
      </w:r>
      <w:r w:rsidRPr="008E013A">
        <w:t xml:space="preserve"> of </w:t>
      </w:r>
      <w:r w:rsidR="00DB748F">
        <w:t>LGBTQ</w:t>
      </w:r>
      <w:r w:rsidRPr="008E013A">
        <w:t>+ people, particularly in relation to accessing services such as healthcare.</w:t>
      </w:r>
      <w:r w:rsidRPr="008E013A">
        <w:rPr>
          <w:vertAlign w:val="superscript"/>
        </w:rPr>
        <w:footnoteReference w:id="118"/>
      </w:r>
      <w:r w:rsidRPr="008E013A">
        <w:t xml:space="preserve"> </w:t>
      </w:r>
      <w:r w:rsidR="00BA3741">
        <w:t>F</w:t>
      </w:r>
      <w:r w:rsidR="003B2938">
        <w:t>o</w:t>
      </w:r>
      <w:r w:rsidRPr="008E013A">
        <w:t xml:space="preserve">r example, </w:t>
      </w:r>
      <w:r w:rsidR="00BA3741">
        <w:t>recent research</w:t>
      </w:r>
      <w:r w:rsidR="003B2938">
        <w:t xml:space="preserve"> has</w:t>
      </w:r>
      <w:r w:rsidRPr="008E013A">
        <w:t xml:space="preserve"> demonstrated that this can lead to </w:t>
      </w:r>
      <w:r w:rsidR="00F23CED">
        <w:t xml:space="preserve">poorer service outcomes </w:t>
      </w:r>
      <w:r w:rsidR="003C0593">
        <w:t>associated with the</w:t>
      </w:r>
      <w:r w:rsidR="00F23CED">
        <w:t xml:space="preserve"> </w:t>
      </w:r>
      <w:r w:rsidRPr="008E013A">
        <w:t>non-disclosure of relevant information</w:t>
      </w:r>
      <w:r w:rsidRPr="008E013A">
        <w:rPr>
          <w:vertAlign w:val="superscript"/>
        </w:rPr>
        <w:footnoteReference w:id="119"/>
      </w:r>
      <w:r w:rsidRPr="008E013A">
        <w:t>, delays in help-seeking and treatment, and even avoidance of formal healthcare settings altogether</w:t>
      </w:r>
      <w:r w:rsidR="00B346F5">
        <w:t>.</w:t>
      </w:r>
      <w:r w:rsidRPr="008E013A">
        <w:rPr>
          <w:vertAlign w:val="superscript"/>
        </w:rPr>
        <w:footnoteReference w:id="120"/>
      </w:r>
      <w:r w:rsidRPr="008E013A">
        <w:t xml:space="preserve"> </w:t>
      </w:r>
      <w:r w:rsidR="00CA421F">
        <w:t>This can</w:t>
      </w:r>
      <w:r w:rsidR="008A23AD">
        <w:t xml:space="preserve"> </w:t>
      </w:r>
      <w:r w:rsidRPr="008E013A">
        <w:t xml:space="preserve">compromise both </w:t>
      </w:r>
      <w:r w:rsidR="00414E42">
        <w:t xml:space="preserve">the </w:t>
      </w:r>
      <w:r w:rsidRPr="008E013A">
        <w:t>access to, and the quality of</w:t>
      </w:r>
      <w:r w:rsidR="00B6040A">
        <w:t>,</w:t>
      </w:r>
      <w:r w:rsidRPr="008E013A">
        <w:t xml:space="preserve"> health and social services, including mental health, aged care</w:t>
      </w:r>
      <w:r w:rsidR="00B6040A">
        <w:t>,</w:t>
      </w:r>
      <w:r w:rsidRPr="008E013A">
        <w:t xml:space="preserve"> and other </w:t>
      </w:r>
      <w:r w:rsidR="00414E42">
        <w:t>community supports</w:t>
      </w:r>
      <w:r w:rsidRPr="008E013A">
        <w:t xml:space="preserve">. </w:t>
      </w:r>
    </w:p>
    <w:p w14:paraId="267DCBE0" w14:textId="64A0B2E9" w:rsidR="008E013A" w:rsidRPr="008E013A" w:rsidRDefault="008E013A" w:rsidP="009B406F">
      <w:pPr>
        <w:pStyle w:val="NbrHeading3"/>
      </w:pPr>
      <w:bookmarkStart w:id="51" w:name="_Toc147225848"/>
      <w:bookmarkStart w:id="52" w:name="_Toc153899510"/>
      <w:r w:rsidRPr="008E013A">
        <w:t>Victimisation, bullying and violence</w:t>
      </w:r>
      <w:bookmarkEnd w:id="51"/>
      <w:bookmarkEnd w:id="52"/>
    </w:p>
    <w:p w14:paraId="430326B1" w14:textId="766247A4" w:rsidR="008E013A" w:rsidRPr="008E013A" w:rsidRDefault="008E013A" w:rsidP="008E013A">
      <w:pPr>
        <w:spacing w:before="120" w:after="120"/>
        <w:rPr>
          <w:rFonts w:eastAsia="Times New Roman" w:cs="Times New Roman"/>
          <w:lang w:eastAsia="en-AU"/>
        </w:rPr>
      </w:pPr>
      <w:r w:rsidRPr="1CEF5F41">
        <w:rPr>
          <w:rFonts w:eastAsia="Times New Roman" w:cs="Times New Roman"/>
          <w:lang w:eastAsia="en-AU"/>
        </w:rPr>
        <w:t xml:space="preserve">The </w:t>
      </w:r>
      <w:r w:rsidR="00460FF4">
        <w:rPr>
          <w:rFonts w:eastAsia="Times New Roman" w:cs="Times New Roman"/>
          <w:lang w:eastAsia="en-AU"/>
        </w:rPr>
        <w:t>personal</w:t>
      </w:r>
      <w:r w:rsidRPr="1CEF5F41">
        <w:rPr>
          <w:rFonts w:eastAsia="Times New Roman" w:cs="Times New Roman"/>
          <w:lang w:eastAsia="en-AU"/>
        </w:rPr>
        <w:t xml:space="preserve"> experience, as well as the anticipation of victimisation, bullying</w:t>
      </w:r>
      <w:r w:rsidR="00B6040A">
        <w:rPr>
          <w:rFonts w:eastAsia="Times New Roman" w:cs="Times New Roman"/>
          <w:lang w:eastAsia="en-AU"/>
        </w:rPr>
        <w:t>,</w:t>
      </w:r>
      <w:r w:rsidRPr="1CEF5F41">
        <w:rPr>
          <w:rFonts w:eastAsia="Times New Roman" w:cs="Times New Roman"/>
          <w:lang w:eastAsia="en-AU"/>
        </w:rPr>
        <w:t xml:space="preserve"> and violence</w:t>
      </w:r>
      <w:r w:rsidR="00B6040A">
        <w:rPr>
          <w:rFonts w:eastAsia="Times New Roman" w:cs="Times New Roman"/>
          <w:lang w:eastAsia="en-AU"/>
        </w:rPr>
        <w:t>,</w:t>
      </w:r>
      <w:r w:rsidRPr="1CEF5F41">
        <w:rPr>
          <w:rFonts w:eastAsia="Times New Roman" w:cs="Times New Roman"/>
          <w:lang w:eastAsia="en-AU"/>
        </w:rPr>
        <w:t xml:space="preserve"> has been consistently linked to increased risks of mental distress and suicidal </w:t>
      </w:r>
      <w:r w:rsidR="48085F7C" w:rsidRPr="1CEF5F41">
        <w:rPr>
          <w:rFonts w:eastAsia="Times New Roman" w:cs="Times New Roman"/>
          <w:lang w:eastAsia="en-AU"/>
        </w:rPr>
        <w:t xml:space="preserve">thoughts and </w:t>
      </w:r>
      <w:r w:rsidRPr="1CEF5F41">
        <w:rPr>
          <w:rFonts w:eastAsia="Times New Roman" w:cs="Times New Roman"/>
          <w:lang w:eastAsia="en-AU"/>
        </w:rPr>
        <w:t>behaviours in both the general and LGBT</w:t>
      </w:r>
      <w:r w:rsidR="002C6C2A">
        <w:rPr>
          <w:rFonts w:eastAsia="Times New Roman" w:cs="Times New Roman"/>
          <w:lang w:eastAsia="en-AU"/>
        </w:rPr>
        <w:t>Q</w:t>
      </w:r>
      <w:r w:rsidRPr="1CEF5F41">
        <w:rPr>
          <w:rFonts w:eastAsia="Times New Roman" w:cs="Times New Roman"/>
          <w:lang w:eastAsia="en-AU"/>
        </w:rPr>
        <w:t>+ populations.</w:t>
      </w:r>
    </w:p>
    <w:p w14:paraId="30DA8C42" w14:textId="2B148E3B" w:rsidR="00302B0D" w:rsidRPr="00BF7A18" w:rsidRDefault="00460FF4" w:rsidP="008E013A">
      <w:pPr>
        <w:spacing w:before="120" w:after="120"/>
        <w:rPr>
          <w:rFonts w:eastAsia="Times New Roman" w:cs="Times New Roman"/>
          <w:szCs w:val="24"/>
          <w:lang w:eastAsia="en-AU"/>
        </w:rPr>
      </w:pPr>
      <w:r w:rsidRPr="00BF7A18">
        <w:rPr>
          <w:rFonts w:eastAsia="Times New Roman" w:cs="Times New Roman"/>
          <w:szCs w:val="24"/>
          <w:lang w:eastAsia="en-AU"/>
        </w:rPr>
        <w:t>While</w:t>
      </w:r>
      <w:r w:rsidR="0052506B" w:rsidRPr="00BF7A18">
        <w:rPr>
          <w:rFonts w:eastAsia="Times New Roman" w:cs="Times New Roman"/>
          <w:szCs w:val="24"/>
          <w:lang w:eastAsia="en-AU"/>
        </w:rPr>
        <w:t xml:space="preserve"> there are substantial gaps in available data</w:t>
      </w:r>
      <w:r w:rsidR="00D141FF" w:rsidRPr="00BF7A18">
        <w:rPr>
          <w:rFonts w:eastAsia="Times New Roman" w:cs="Times New Roman"/>
          <w:szCs w:val="24"/>
          <w:lang w:eastAsia="en-AU"/>
        </w:rPr>
        <w:t xml:space="preserve">, </w:t>
      </w:r>
      <w:r w:rsidR="0052506B" w:rsidRPr="00BF7A18">
        <w:rPr>
          <w:rFonts w:eastAsia="Times New Roman" w:cs="Times New Roman"/>
          <w:szCs w:val="24"/>
          <w:lang w:eastAsia="en-AU"/>
        </w:rPr>
        <w:t xml:space="preserve">the </w:t>
      </w:r>
      <w:r w:rsidR="008D091E" w:rsidRPr="00BF7A18">
        <w:rPr>
          <w:rFonts w:eastAsia="Times New Roman" w:cs="Times New Roman"/>
          <w:szCs w:val="24"/>
          <w:lang w:eastAsia="en-AU"/>
        </w:rPr>
        <w:t>evidence does s</w:t>
      </w:r>
      <w:r w:rsidR="008E013A" w:rsidRPr="00BF7A18">
        <w:rPr>
          <w:rFonts w:eastAsia="Times New Roman" w:cs="Times New Roman"/>
          <w:szCs w:val="24"/>
          <w:lang w:eastAsia="en-AU"/>
        </w:rPr>
        <w:t>uggest that Australia’s LGBT</w:t>
      </w:r>
      <w:r w:rsidR="002C6C2A">
        <w:rPr>
          <w:rFonts w:eastAsia="Times New Roman" w:cs="Times New Roman"/>
          <w:szCs w:val="24"/>
          <w:lang w:eastAsia="en-AU"/>
        </w:rPr>
        <w:t>Q</w:t>
      </w:r>
      <w:r w:rsidR="008E013A" w:rsidRPr="00BF7A18">
        <w:rPr>
          <w:rFonts w:eastAsia="Times New Roman" w:cs="Times New Roman"/>
          <w:szCs w:val="24"/>
          <w:lang w:eastAsia="en-AU"/>
        </w:rPr>
        <w:t>+ populations are subjected to overt victimisation, bullying</w:t>
      </w:r>
      <w:r w:rsidR="00B6040A">
        <w:rPr>
          <w:rFonts w:eastAsia="Times New Roman" w:cs="Times New Roman"/>
          <w:szCs w:val="24"/>
          <w:lang w:eastAsia="en-AU"/>
        </w:rPr>
        <w:t>,</w:t>
      </w:r>
      <w:r w:rsidR="008E013A" w:rsidRPr="00BF7A18">
        <w:rPr>
          <w:rFonts w:eastAsia="Times New Roman" w:cs="Times New Roman"/>
          <w:szCs w:val="24"/>
          <w:lang w:eastAsia="en-AU"/>
        </w:rPr>
        <w:t xml:space="preserve"> and violence</w:t>
      </w:r>
      <w:r w:rsidR="00B6040A">
        <w:rPr>
          <w:rFonts w:eastAsia="Times New Roman" w:cs="Times New Roman"/>
          <w:szCs w:val="24"/>
          <w:lang w:eastAsia="en-AU"/>
        </w:rPr>
        <w:t>,</w:t>
      </w:r>
      <w:r w:rsidR="008E013A" w:rsidRPr="00BF7A18">
        <w:rPr>
          <w:rFonts w:eastAsia="Times New Roman" w:cs="Times New Roman"/>
          <w:szCs w:val="24"/>
          <w:lang w:eastAsia="en-AU"/>
        </w:rPr>
        <w:t xml:space="preserve"> at </w:t>
      </w:r>
      <w:r w:rsidRPr="00BF7A18">
        <w:rPr>
          <w:rFonts w:eastAsia="Times New Roman" w:cs="Times New Roman"/>
          <w:szCs w:val="24"/>
          <w:lang w:eastAsia="en-AU"/>
        </w:rPr>
        <w:t>significantly</w:t>
      </w:r>
      <w:r w:rsidR="008E013A" w:rsidRPr="00BF7A18">
        <w:rPr>
          <w:rFonts w:eastAsia="Times New Roman" w:cs="Times New Roman"/>
          <w:szCs w:val="24"/>
          <w:lang w:eastAsia="en-AU"/>
        </w:rPr>
        <w:t xml:space="preserve"> higher rates than the general population.</w:t>
      </w:r>
      <w:r w:rsidR="002305CD" w:rsidRPr="00BF7A18">
        <w:rPr>
          <w:rStyle w:val="FootnoteReference"/>
          <w:rFonts w:eastAsia="Times New Roman" w:cs="Times New Roman"/>
          <w:szCs w:val="24"/>
          <w:lang w:eastAsia="en-AU"/>
        </w:rPr>
        <w:footnoteReference w:id="121"/>
      </w:r>
      <w:r w:rsidR="008E013A" w:rsidRPr="00BF7A18">
        <w:rPr>
          <w:rFonts w:eastAsia="Times New Roman" w:cs="Times New Roman"/>
          <w:szCs w:val="24"/>
          <w:lang w:eastAsia="en-AU"/>
        </w:rPr>
        <w:t xml:space="preserve"> </w:t>
      </w:r>
      <w:r w:rsidRPr="00BF7A18">
        <w:rPr>
          <w:rFonts w:eastAsia="Times New Roman" w:cs="Times New Roman"/>
          <w:szCs w:val="24"/>
          <w:lang w:eastAsia="en-AU"/>
        </w:rPr>
        <w:t>For</w:t>
      </w:r>
      <w:r w:rsidR="008D091E" w:rsidRPr="00BF7A18">
        <w:rPr>
          <w:rFonts w:eastAsia="Times New Roman" w:cs="Times New Roman"/>
          <w:szCs w:val="24"/>
          <w:lang w:eastAsia="en-AU"/>
        </w:rPr>
        <w:t xml:space="preserve"> example,</w:t>
      </w:r>
      <w:r w:rsidR="008E013A" w:rsidRPr="00BF7A18">
        <w:rPr>
          <w:rFonts w:eastAsia="Times New Roman" w:cs="Times New Roman"/>
          <w:szCs w:val="24"/>
          <w:lang w:eastAsia="en-AU"/>
        </w:rPr>
        <w:t xml:space="preserve"> </w:t>
      </w:r>
      <w:r w:rsidRPr="00BF7A18">
        <w:rPr>
          <w:rFonts w:eastAsia="Times New Roman" w:cs="Times New Roman"/>
          <w:szCs w:val="24"/>
          <w:lang w:eastAsia="en-AU"/>
        </w:rPr>
        <w:t>t</w:t>
      </w:r>
      <w:r w:rsidR="00C4340E" w:rsidRPr="00BF7A18">
        <w:rPr>
          <w:rFonts w:eastAsia="Times New Roman" w:cs="Times New Roman"/>
          <w:szCs w:val="24"/>
          <w:lang w:eastAsia="en-AU"/>
        </w:rPr>
        <w:t>he</w:t>
      </w:r>
      <w:r w:rsidR="008E013A" w:rsidRPr="00BF7A18">
        <w:rPr>
          <w:rFonts w:eastAsia="Times New Roman" w:cs="Times New Roman"/>
          <w:szCs w:val="24"/>
          <w:lang w:eastAsia="en-AU"/>
        </w:rPr>
        <w:t xml:space="preserve"> </w:t>
      </w:r>
      <w:r w:rsidR="00A66CE2">
        <w:rPr>
          <w:rFonts w:eastAsia="Times New Roman" w:cs="Times New Roman"/>
          <w:szCs w:val="24"/>
          <w:lang w:eastAsia="en-AU"/>
        </w:rPr>
        <w:t xml:space="preserve">2020 </w:t>
      </w:r>
      <w:r w:rsidR="008E013A" w:rsidRPr="00BF7A18">
        <w:rPr>
          <w:rFonts w:eastAsia="Times New Roman" w:cs="Times New Roman"/>
          <w:szCs w:val="24"/>
          <w:lang w:eastAsia="en-AU"/>
        </w:rPr>
        <w:t xml:space="preserve">ABS </w:t>
      </w:r>
      <w:r w:rsidRPr="00BF7A18">
        <w:rPr>
          <w:rFonts w:eastAsia="Times New Roman" w:cs="Times New Roman"/>
          <w:szCs w:val="24"/>
          <w:lang w:eastAsia="en-AU"/>
        </w:rPr>
        <w:t>GSS</w:t>
      </w:r>
      <w:r w:rsidR="008E013A" w:rsidRPr="00BF7A18">
        <w:rPr>
          <w:rFonts w:eastAsia="Times New Roman" w:cs="Times New Roman"/>
          <w:szCs w:val="24"/>
          <w:lang w:eastAsia="en-AU"/>
        </w:rPr>
        <w:t xml:space="preserve"> </w:t>
      </w:r>
      <w:r w:rsidRPr="00BF7A18">
        <w:rPr>
          <w:rFonts w:eastAsia="Times New Roman" w:cs="Times New Roman"/>
          <w:szCs w:val="24"/>
          <w:lang w:eastAsia="en-AU"/>
        </w:rPr>
        <w:t xml:space="preserve"> </w:t>
      </w:r>
      <w:r w:rsidR="008E013A" w:rsidRPr="00BF7A18">
        <w:rPr>
          <w:rFonts w:eastAsia="Times New Roman" w:cs="Times New Roman"/>
          <w:szCs w:val="24"/>
          <w:lang w:eastAsia="en-AU"/>
        </w:rPr>
        <w:t xml:space="preserve">found that Australia’s </w:t>
      </w:r>
      <w:r w:rsidR="00A66CE2">
        <w:rPr>
          <w:rFonts w:eastAsia="Times New Roman" w:cs="Times New Roman"/>
          <w:szCs w:val="24"/>
          <w:lang w:eastAsia="en-AU"/>
        </w:rPr>
        <w:t>GLB+</w:t>
      </w:r>
      <w:r w:rsidRPr="00BF7A18">
        <w:rPr>
          <w:rFonts w:eastAsia="Times New Roman" w:cs="Times New Roman"/>
          <w:szCs w:val="24"/>
          <w:lang w:eastAsia="en-AU"/>
        </w:rPr>
        <w:t xml:space="preserve"> </w:t>
      </w:r>
      <w:r w:rsidR="008E013A" w:rsidRPr="00BF7A18">
        <w:rPr>
          <w:rFonts w:eastAsia="Times New Roman" w:cs="Times New Roman"/>
          <w:szCs w:val="24"/>
          <w:lang w:eastAsia="en-AU"/>
        </w:rPr>
        <w:t>population</w:t>
      </w:r>
      <w:r w:rsidR="00556222" w:rsidRPr="00BF7A18">
        <w:rPr>
          <w:rFonts w:eastAsia="Times New Roman" w:cs="Times New Roman"/>
          <w:szCs w:val="24"/>
          <w:lang w:eastAsia="en-AU"/>
        </w:rPr>
        <w:t>s</w:t>
      </w:r>
      <w:r w:rsidR="008E013A" w:rsidRPr="00BF7A18">
        <w:rPr>
          <w:rFonts w:eastAsia="Times New Roman" w:cs="Times New Roman"/>
          <w:szCs w:val="24"/>
          <w:lang w:eastAsia="en-AU"/>
        </w:rPr>
        <w:t xml:space="preserve"> w</w:t>
      </w:r>
      <w:r w:rsidR="00556222" w:rsidRPr="00BF7A18">
        <w:rPr>
          <w:rFonts w:eastAsia="Times New Roman" w:cs="Times New Roman"/>
          <w:szCs w:val="24"/>
          <w:lang w:eastAsia="en-AU"/>
        </w:rPr>
        <w:t>ere</w:t>
      </w:r>
      <w:r w:rsidR="008E013A" w:rsidRPr="00BF7A18">
        <w:rPr>
          <w:rFonts w:eastAsia="Times New Roman" w:cs="Times New Roman"/>
          <w:szCs w:val="24"/>
          <w:lang w:eastAsia="en-AU"/>
        </w:rPr>
        <w:t xml:space="preserve"> more than twice as likely to report being threatened with, or experiencing, an assault in the 12 months preceding the survey (8.6%)</w:t>
      </w:r>
      <w:r w:rsidR="00B6040A">
        <w:rPr>
          <w:rFonts w:eastAsia="Times New Roman" w:cs="Times New Roman"/>
          <w:szCs w:val="24"/>
          <w:lang w:eastAsia="en-AU"/>
        </w:rPr>
        <w:t>,</w:t>
      </w:r>
      <w:r w:rsidR="008E013A" w:rsidRPr="00BF7A18">
        <w:rPr>
          <w:rFonts w:eastAsia="Times New Roman" w:cs="Times New Roman"/>
          <w:szCs w:val="24"/>
          <w:lang w:eastAsia="en-AU"/>
        </w:rPr>
        <w:t xml:space="preserve"> compared to the general population (4%). </w:t>
      </w:r>
    </w:p>
    <w:p w14:paraId="6AF037BA" w14:textId="07C0A935" w:rsidR="008E013A" w:rsidRPr="000B4819" w:rsidRDefault="004C69E8" w:rsidP="008E013A">
      <w:pPr>
        <w:spacing w:before="120" w:after="120"/>
        <w:rPr>
          <w:rFonts w:eastAsia="Times New Roman" w:cs="Times New Roman"/>
          <w:strike/>
          <w:szCs w:val="24"/>
          <w:lang w:eastAsia="en-AU"/>
        </w:rPr>
      </w:pPr>
      <w:r>
        <w:rPr>
          <w:rFonts w:eastAsia="Times New Roman" w:cs="Times New Roman"/>
          <w:szCs w:val="24"/>
          <w:lang w:eastAsia="en-AU"/>
        </w:rPr>
        <w:t>Similarly</w:t>
      </w:r>
      <w:r w:rsidR="00C4340E">
        <w:rPr>
          <w:rFonts w:eastAsia="Times New Roman" w:cs="Times New Roman"/>
          <w:szCs w:val="24"/>
          <w:lang w:eastAsia="en-AU"/>
        </w:rPr>
        <w:t>,</w:t>
      </w:r>
      <w:r>
        <w:rPr>
          <w:rFonts w:eastAsia="Times New Roman" w:cs="Times New Roman"/>
          <w:szCs w:val="24"/>
          <w:lang w:eastAsia="en-AU"/>
        </w:rPr>
        <w:t xml:space="preserve"> a 2023 national s</w:t>
      </w:r>
      <w:r w:rsidR="00173848">
        <w:rPr>
          <w:rFonts w:eastAsia="Times New Roman" w:cs="Times New Roman"/>
          <w:szCs w:val="24"/>
          <w:lang w:eastAsia="en-AU"/>
        </w:rPr>
        <w:t xml:space="preserve">urvey </w:t>
      </w:r>
      <w:r>
        <w:rPr>
          <w:rFonts w:eastAsia="Times New Roman" w:cs="Times New Roman"/>
          <w:szCs w:val="24"/>
          <w:lang w:eastAsia="en-AU"/>
        </w:rPr>
        <w:t>focused on transphobic victimisation and violence</w:t>
      </w:r>
      <w:r w:rsidR="00173848">
        <w:t xml:space="preserve"> </w:t>
      </w:r>
      <w:r w:rsidR="00302B0D">
        <w:t xml:space="preserve">found that </w:t>
      </w:r>
      <w:r w:rsidR="00C677C2">
        <w:rPr>
          <w:rFonts w:eastAsia="Times New Roman" w:cs="Times New Roman"/>
          <w:szCs w:val="24"/>
          <w:lang w:eastAsia="en-AU"/>
        </w:rPr>
        <w:t xml:space="preserve">approximately one in six </w:t>
      </w:r>
      <w:r w:rsidR="00BE496A">
        <w:rPr>
          <w:rFonts w:eastAsia="Times New Roman" w:cs="Times New Roman"/>
          <w:szCs w:val="24"/>
          <w:lang w:eastAsia="en-AU"/>
        </w:rPr>
        <w:t>(1</w:t>
      </w:r>
      <w:r w:rsidR="001321DD">
        <w:rPr>
          <w:rFonts w:eastAsia="Times New Roman" w:cs="Times New Roman"/>
          <w:szCs w:val="24"/>
          <w:lang w:eastAsia="en-AU"/>
        </w:rPr>
        <w:t>6</w:t>
      </w:r>
      <w:r w:rsidR="00BE496A">
        <w:rPr>
          <w:rFonts w:eastAsia="Times New Roman" w:cs="Times New Roman"/>
          <w:szCs w:val="24"/>
          <w:lang w:eastAsia="en-AU"/>
        </w:rPr>
        <w:t>%)</w:t>
      </w:r>
      <w:r w:rsidR="007B5B09">
        <w:rPr>
          <w:rFonts w:eastAsia="Times New Roman" w:cs="Times New Roman"/>
          <w:szCs w:val="24"/>
          <w:lang w:eastAsia="en-AU"/>
        </w:rPr>
        <w:t xml:space="preserve"> </w:t>
      </w:r>
      <w:r>
        <w:rPr>
          <w:rFonts w:eastAsia="Times New Roman" w:cs="Times New Roman"/>
          <w:szCs w:val="24"/>
          <w:lang w:eastAsia="en-AU"/>
        </w:rPr>
        <w:t>of the sample</w:t>
      </w:r>
      <w:r w:rsidR="00065F21">
        <w:rPr>
          <w:rFonts w:eastAsia="Times New Roman" w:cs="Times New Roman"/>
          <w:szCs w:val="24"/>
          <w:lang w:eastAsia="en-AU"/>
        </w:rPr>
        <w:t xml:space="preserve"> of</w:t>
      </w:r>
      <w:r>
        <w:rPr>
          <w:rFonts w:eastAsia="Times New Roman" w:cs="Times New Roman"/>
          <w:szCs w:val="24"/>
          <w:lang w:eastAsia="en-AU"/>
        </w:rPr>
        <w:t xml:space="preserve"> transgender participants </w:t>
      </w:r>
      <w:r w:rsidR="009C040F">
        <w:rPr>
          <w:rFonts w:eastAsia="Times New Roman" w:cs="Times New Roman"/>
          <w:szCs w:val="24"/>
          <w:lang w:eastAsia="en-AU"/>
        </w:rPr>
        <w:t xml:space="preserve">reported experiencing </w:t>
      </w:r>
      <w:r w:rsidR="00BE496A">
        <w:rPr>
          <w:rFonts w:eastAsia="Times New Roman" w:cs="Times New Roman"/>
          <w:szCs w:val="24"/>
          <w:lang w:eastAsia="en-AU"/>
        </w:rPr>
        <w:t xml:space="preserve">“anti-trans” violence </w:t>
      </w:r>
      <w:r w:rsidR="001F5CC4">
        <w:rPr>
          <w:rFonts w:eastAsia="Times New Roman" w:cs="Times New Roman"/>
          <w:szCs w:val="24"/>
          <w:lang w:eastAsia="en-AU"/>
        </w:rPr>
        <w:t>in the 12 months preceding the survey</w:t>
      </w:r>
      <w:r>
        <w:rPr>
          <w:rFonts w:eastAsia="Times New Roman" w:cs="Times New Roman"/>
          <w:szCs w:val="24"/>
          <w:lang w:eastAsia="en-AU"/>
        </w:rPr>
        <w:t>. T</w:t>
      </w:r>
      <w:r w:rsidR="00715895">
        <w:rPr>
          <w:rFonts w:eastAsia="Times New Roman" w:cs="Times New Roman"/>
          <w:szCs w:val="24"/>
          <w:lang w:eastAsia="en-AU"/>
        </w:rPr>
        <w:t xml:space="preserve">his included </w:t>
      </w:r>
      <w:r w:rsidR="00D353F4">
        <w:rPr>
          <w:rFonts w:eastAsia="Times New Roman" w:cs="Times New Roman"/>
          <w:szCs w:val="24"/>
          <w:lang w:eastAsia="en-AU"/>
        </w:rPr>
        <w:lastRenderedPageBreak/>
        <w:t>physical and sexual assault in various forms</w:t>
      </w:r>
      <w:r w:rsidR="007E757C">
        <w:rPr>
          <w:rFonts w:eastAsia="Times New Roman" w:cs="Times New Roman"/>
          <w:szCs w:val="24"/>
          <w:lang w:eastAsia="en-AU"/>
        </w:rPr>
        <w:t>, with som</w:t>
      </w:r>
      <w:r w:rsidR="000E5231">
        <w:rPr>
          <w:rFonts w:eastAsia="Times New Roman" w:cs="Times New Roman"/>
          <w:szCs w:val="24"/>
          <w:lang w:eastAsia="en-AU"/>
        </w:rPr>
        <w:t xml:space="preserve">e instances </w:t>
      </w:r>
      <w:r w:rsidR="0062087F">
        <w:rPr>
          <w:rFonts w:eastAsia="Times New Roman" w:cs="Times New Roman"/>
          <w:szCs w:val="24"/>
          <w:lang w:eastAsia="en-AU"/>
        </w:rPr>
        <w:t>so severe</w:t>
      </w:r>
      <w:r w:rsidR="00173848">
        <w:rPr>
          <w:rFonts w:eastAsia="Times New Roman" w:cs="Times New Roman"/>
          <w:szCs w:val="24"/>
          <w:lang w:eastAsia="en-AU"/>
        </w:rPr>
        <w:t xml:space="preserve"> that </w:t>
      </w:r>
      <w:r w:rsidR="0062087F">
        <w:rPr>
          <w:rFonts w:eastAsia="Times New Roman" w:cs="Times New Roman"/>
          <w:szCs w:val="24"/>
          <w:lang w:eastAsia="en-AU"/>
        </w:rPr>
        <w:t>the</w:t>
      </w:r>
      <w:r w:rsidR="00065F21">
        <w:rPr>
          <w:rFonts w:eastAsia="Times New Roman" w:cs="Times New Roman"/>
          <w:szCs w:val="24"/>
          <w:lang w:eastAsia="en-AU"/>
        </w:rPr>
        <w:t xml:space="preserve"> study’s authors concluded they</w:t>
      </w:r>
      <w:r w:rsidR="0066483C">
        <w:rPr>
          <w:rFonts w:eastAsia="Times New Roman" w:cs="Times New Roman"/>
          <w:szCs w:val="24"/>
          <w:lang w:eastAsia="en-AU"/>
        </w:rPr>
        <w:t xml:space="preserve"> “may have amounted to attempted murder”.</w:t>
      </w:r>
      <w:r w:rsidR="0066483C">
        <w:rPr>
          <w:rStyle w:val="FootnoteReference"/>
          <w:rFonts w:eastAsia="Times New Roman" w:cs="Times New Roman"/>
          <w:szCs w:val="24"/>
          <w:lang w:eastAsia="en-AU"/>
        </w:rPr>
        <w:footnoteReference w:id="122"/>
      </w:r>
      <w:r w:rsidR="00173848">
        <w:rPr>
          <w:rFonts w:eastAsia="Times New Roman" w:cs="Times New Roman"/>
          <w:szCs w:val="24"/>
          <w:lang w:eastAsia="en-AU"/>
        </w:rPr>
        <w:t xml:space="preserve"> </w:t>
      </w:r>
      <w:r w:rsidR="00CC5ECA" w:rsidRPr="00F33696">
        <w:rPr>
          <w:rFonts w:eastAsia="Times New Roman" w:cs="Times New Roman"/>
          <w:szCs w:val="24"/>
          <w:lang w:eastAsia="en-AU"/>
        </w:rPr>
        <w:t>In addition, a</w:t>
      </w:r>
      <w:r w:rsidR="00EA6F35" w:rsidRPr="00F33696">
        <w:rPr>
          <w:rFonts w:eastAsia="Times New Roman" w:cs="Times New Roman"/>
          <w:szCs w:val="24"/>
          <w:lang w:eastAsia="en-AU"/>
        </w:rPr>
        <w:t>lmost half (47.9%) of the transgender respondents to the</w:t>
      </w:r>
      <w:r w:rsidR="00EA6F35" w:rsidRPr="00F33696">
        <w:rPr>
          <w:rFonts w:eastAsia="Times New Roman" w:cs="Times New Roman"/>
          <w:i/>
          <w:szCs w:val="24"/>
          <w:lang w:eastAsia="en-AU"/>
        </w:rPr>
        <w:t xml:space="preserve"> </w:t>
      </w:r>
      <w:r w:rsidR="00CC5ECA" w:rsidRPr="00F33696">
        <w:rPr>
          <w:rFonts w:eastAsia="Times New Roman" w:cs="Times New Roman"/>
          <w:szCs w:val="24"/>
          <w:lang w:eastAsia="en-AU"/>
        </w:rPr>
        <w:t xml:space="preserve">survey </w:t>
      </w:r>
      <w:r w:rsidRPr="00F33696">
        <w:rPr>
          <w:rFonts w:eastAsia="Times New Roman" w:cs="Times New Roman"/>
          <w:szCs w:val="24"/>
          <w:lang w:eastAsia="en-AU"/>
        </w:rPr>
        <w:t>reported experiencing “anti-trans abuse, harassment or vilification in-person”</w:t>
      </w:r>
      <w:r w:rsidR="00CC5ECA" w:rsidRPr="00F33696">
        <w:rPr>
          <w:rFonts w:eastAsia="Times New Roman" w:cs="Times New Roman"/>
          <w:szCs w:val="24"/>
          <w:lang w:eastAsia="en-AU"/>
        </w:rPr>
        <w:t xml:space="preserve"> in the 12 months preceding</w:t>
      </w:r>
      <w:r w:rsidRPr="00F33696">
        <w:rPr>
          <w:rFonts w:eastAsia="Times New Roman" w:cs="Times New Roman"/>
          <w:szCs w:val="24"/>
          <w:lang w:eastAsia="en-AU"/>
        </w:rPr>
        <w:t>.</w:t>
      </w:r>
      <w:r w:rsidRPr="00F33696">
        <w:rPr>
          <w:rStyle w:val="FootnoteReference"/>
          <w:rFonts w:eastAsia="Times New Roman" w:cs="Times New Roman"/>
          <w:szCs w:val="24"/>
          <w:lang w:eastAsia="en-AU"/>
        </w:rPr>
        <w:footnoteReference w:id="123"/>
      </w:r>
    </w:p>
    <w:p w14:paraId="1C96DC33" w14:textId="1CAEAB49" w:rsidR="008E013A" w:rsidRPr="00DA6C91" w:rsidRDefault="00DA6C91" w:rsidP="008E013A">
      <w:pPr>
        <w:spacing w:before="120" w:after="120"/>
        <w:rPr>
          <w:rFonts w:eastAsia="Times New Roman" w:cs="Times New Roman"/>
          <w:lang w:eastAsia="en-AU"/>
        </w:rPr>
      </w:pPr>
      <w:r>
        <w:rPr>
          <w:rFonts w:eastAsia="Times New Roman" w:cs="Times New Roman"/>
          <w:lang w:eastAsia="en-AU"/>
        </w:rPr>
        <w:t>Research also indicates</w:t>
      </w:r>
      <w:r w:rsidR="001809DE" w:rsidRPr="00DA6C91">
        <w:rPr>
          <w:rFonts w:eastAsia="Times New Roman" w:cs="Times New Roman"/>
          <w:lang w:eastAsia="en-AU"/>
        </w:rPr>
        <w:t xml:space="preserve"> that</w:t>
      </w:r>
      <w:r w:rsidR="00CE15BF" w:rsidRPr="00DA6C91">
        <w:rPr>
          <w:rFonts w:eastAsia="Times New Roman" w:cs="Times New Roman"/>
          <w:lang w:eastAsia="en-AU"/>
        </w:rPr>
        <w:t xml:space="preserve"> the</w:t>
      </w:r>
      <w:r w:rsidR="00DC1D6B" w:rsidRPr="00DA6C91">
        <w:rPr>
          <w:rFonts w:eastAsia="Times New Roman" w:cs="Times New Roman"/>
          <w:lang w:eastAsia="en-AU"/>
        </w:rPr>
        <w:t xml:space="preserve"> risks to mental health and wellbeing</w:t>
      </w:r>
      <w:r w:rsidR="00CE15BF" w:rsidRPr="00DA6C91">
        <w:rPr>
          <w:rFonts w:eastAsia="Times New Roman" w:cs="Times New Roman"/>
          <w:lang w:eastAsia="en-AU"/>
        </w:rPr>
        <w:t xml:space="preserve"> posed by </w:t>
      </w:r>
      <w:r w:rsidR="00C460CF" w:rsidRPr="00DA6C91">
        <w:rPr>
          <w:rFonts w:eastAsia="Times New Roman" w:cs="Times New Roman"/>
          <w:lang w:eastAsia="en-AU"/>
        </w:rPr>
        <w:t>victimisation</w:t>
      </w:r>
      <w:r w:rsidR="00CE15BF" w:rsidRPr="00DA6C91">
        <w:rPr>
          <w:rFonts w:eastAsia="Times New Roman" w:cs="Times New Roman"/>
          <w:lang w:eastAsia="en-AU"/>
        </w:rPr>
        <w:t>, bullying</w:t>
      </w:r>
      <w:r w:rsidR="00B6040A">
        <w:rPr>
          <w:rFonts w:eastAsia="Times New Roman" w:cs="Times New Roman"/>
          <w:lang w:eastAsia="en-AU"/>
        </w:rPr>
        <w:t>,</w:t>
      </w:r>
      <w:r w:rsidR="00CE15BF" w:rsidRPr="00DA6C91">
        <w:rPr>
          <w:rFonts w:eastAsia="Times New Roman" w:cs="Times New Roman"/>
          <w:lang w:eastAsia="en-AU"/>
        </w:rPr>
        <w:t xml:space="preserve"> and violence</w:t>
      </w:r>
      <w:r w:rsidR="00B6040A">
        <w:rPr>
          <w:rFonts w:eastAsia="Times New Roman" w:cs="Times New Roman"/>
          <w:lang w:eastAsia="en-AU"/>
        </w:rPr>
        <w:t>,</w:t>
      </w:r>
      <w:r w:rsidR="00DC1D6B" w:rsidRPr="00DA6C91">
        <w:rPr>
          <w:rFonts w:eastAsia="Times New Roman" w:cs="Times New Roman"/>
          <w:lang w:eastAsia="en-AU"/>
        </w:rPr>
        <w:t xml:space="preserve"> are </w:t>
      </w:r>
      <w:r w:rsidR="000E5B9D" w:rsidRPr="00DA6C91">
        <w:rPr>
          <w:rFonts w:eastAsia="Times New Roman" w:cs="Times New Roman"/>
          <w:lang w:eastAsia="en-AU"/>
        </w:rPr>
        <w:t>heightened</w:t>
      </w:r>
      <w:r w:rsidR="008E013A" w:rsidRPr="00DA6C91">
        <w:rPr>
          <w:rFonts w:eastAsia="Times New Roman" w:cs="Times New Roman"/>
          <w:lang w:eastAsia="en-AU"/>
        </w:rPr>
        <w:t xml:space="preserve"> </w:t>
      </w:r>
      <w:r w:rsidR="00102D94" w:rsidRPr="00DA6C91">
        <w:rPr>
          <w:rFonts w:eastAsia="Times New Roman" w:cs="Times New Roman"/>
          <w:lang w:eastAsia="en-AU"/>
        </w:rPr>
        <w:t xml:space="preserve">in cases </w:t>
      </w:r>
      <w:r w:rsidR="00071DA6" w:rsidRPr="00DA6C91">
        <w:rPr>
          <w:rFonts w:eastAsia="Times New Roman" w:cs="Times New Roman"/>
          <w:lang w:eastAsia="en-AU"/>
        </w:rPr>
        <w:t xml:space="preserve">where </w:t>
      </w:r>
      <w:r w:rsidR="006345C7" w:rsidRPr="00DA6C91">
        <w:rPr>
          <w:rFonts w:eastAsia="Times New Roman" w:cs="Times New Roman"/>
          <w:lang w:eastAsia="en-AU"/>
        </w:rPr>
        <w:t xml:space="preserve">an individual is explicitly targeted </w:t>
      </w:r>
      <w:r w:rsidR="00FA1213" w:rsidRPr="00DA6C91">
        <w:rPr>
          <w:rFonts w:eastAsia="Times New Roman" w:cs="Times New Roman"/>
          <w:lang w:eastAsia="en-AU"/>
        </w:rPr>
        <w:t xml:space="preserve">due to </w:t>
      </w:r>
      <w:r w:rsidR="001809DE" w:rsidRPr="00DA6C91">
        <w:rPr>
          <w:rFonts w:eastAsia="Times New Roman" w:cs="Times New Roman"/>
          <w:lang w:eastAsia="en-AU"/>
        </w:rPr>
        <w:t xml:space="preserve">their </w:t>
      </w:r>
      <w:r w:rsidR="008A47A8">
        <w:rPr>
          <w:rFonts w:eastAsia="Times New Roman" w:cs="Times New Roman"/>
          <w:lang w:eastAsia="en-AU"/>
        </w:rPr>
        <w:t>sexual orientation and/or</w:t>
      </w:r>
      <w:r w:rsidR="0036102C">
        <w:rPr>
          <w:rFonts w:eastAsia="Times New Roman" w:cs="Times New Roman"/>
          <w:lang w:eastAsia="en-AU"/>
        </w:rPr>
        <w:t xml:space="preserve"> </w:t>
      </w:r>
      <w:r w:rsidR="001809DE" w:rsidRPr="00DA6C91">
        <w:rPr>
          <w:rFonts w:eastAsia="Times New Roman" w:cs="Times New Roman"/>
          <w:lang w:eastAsia="en-AU"/>
        </w:rPr>
        <w:t>gender identity</w:t>
      </w:r>
      <w:r w:rsidR="008E013A" w:rsidRPr="00DA6C91">
        <w:rPr>
          <w:rFonts w:eastAsia="Times New Roman" w:cs="Times New Roman"/>
          <w:lang w:eastAsia="en-AU"/>
        </w:rPr>
        <w:t>.</w:t>
      </w:r>
      <w:r w:rsidR="008E013A" w:rsidRPr="00DA6C91">
        <w:rPr>
          <w:rFonts w:eastAsia="Times New Roman" w:cs="Times New Roman"/>
          <w:vertAlign w:val="superscript"/>
          <w:lang w:eastAsia="en-AU"/>
        </w:rPr>
        <w:footnoteReference w:id="124"/>
      </w:r>
      <w:r w:rsidR="00E95BC6" w:rsidRPr="00DA6C91">
        <w:rPr>
          <w:rFonts w:eastAsia="Times New Roman" w:cs="Times New Roman"/>
          <w:lang w:eastAsia="en-AU"/>
        </w:rPr>
        <w:t xml:space="preserve"> </w:t>
      </w:r>
      <w:r w:rsidR="000D7DAD">
        <w:rPr>
          <w:rFonts w:eastAsia="Times New Roman" w:cs="Times New Roman"/>
          <w:lang w:eastAsia="en-AU"/>
        </w:rPr>
        <w:t>Some researchers have theorised</w:t>
      </w:r>
      <w:r w:rsidR="00C460CF" w:rsidRPr="00DA6C91">
        <w:rPr>
          <w:rFonts w:eastAsia="Times New Roman" w:cs="Times New Roman"/>
          <w:lang w:eastAsia="en-AU"/>
        </w:rPr>
        <w:t xml:space="preserve"> that </w:t>
      </w:r>
      <w:r w:rsidR="0008017F" w:rsidRPr="00DA6C91">
        <w:rPr>
          <w:rFonts w:eastAsia="Times New Roman" w:cs="Times New Roman"/>
          <w:lang w:eastAsia="en-AU"/>
        </w:rPr>
        <w:t>this</w:t>
      </w:r>
      <w:r w:rsidR="00E95BC6" w:rsidRPr="00DA6C91">
        <w:rPr>
          <w:rFonts w:eastAsia="Times New Roman" w:cs="Times New Roman"/>
          <w:lang w:eastAsia="en-AU"/>
        </w:rPr>
        <w:t xml:space="preserve"> </w:t>
      </w:r>
      <w:r w:rsidR="00C460CF" w:rsidRPr="00DA6C91">
        <w:rPr>
          <w:rFonts w:eastAsia="Times New Roman" w:cs="Times New Roman"/>
          <w:lang w:eastAsia="en-AU"/>
        </w:rPr>
        <w:t xml:space="preserve">may be due </w:t>
      </w:r>
      <w:r w:rsidR="00B6040A">
        <w:rPr>
          <w:rFonts w:eastAsia="Times New Roman" w:cs="Times New Roman"/>
          <w:lang w:eastAsia="en-AU"/>
        </w:rPr>
        <w:t xml:space="preserve">to </w:t>
      </w:r>
      <w:r w:rsidR="00322B30" w:rsidRPr="00DA6C91">
        <w:rPr>
          <w:rFonts w:eastAsia="Times New Roman" w:cs="Times New Roman"/>
          <w:lang w:eastAsia="en-AU"/>
        </w:rPr>
        <w:t>an increased l</w:t>
      </w:r>
      <w:r w:rsidR="007B506E" w:rsidRPr="00DA6C91">
        <w:rPr>
          <w:rFonts w:eastAsia="Times New Roman" w:cs="Times New Roman"/>
          <w:lang w:eastAsia="en-AU"/>
        </w:rPr>
        <w:t xml:space="preserve">ikelihood </w:t>
      </w:r>
      <w:r w:rsidR="000D7DAD">
        <w:rPr>
          <w:rFonts w:eastAsia="Times New Roman" w:cs="Times New Roman"/>
          <w:lang w:eastAsia="en-AU"/>
        </w:rPr>
        <w:t>that</w:t>
      </w:r>
      <w:r w:rsidR="007B506E" w:rsidRPr="00DA6C91">
        <w:rPr>
          <w:rFonts w:eastAsia="Times New Roman" w:cs="Times New Roman"/>
          <w:lang w:eastAsia="en-AU"/>
        </w:rPr>
        <w:t xml:space="preserve"> </w:t>
      </w:r>
      <w:r w:rsidR="00E95BC6" w:rsidRPr="00DA6C91">
        <w:rPr>
          <w:rFonts w:eastAsia="Times New Roman" w:cs="Times New Roman"/>
          <w:lang w:eastAsia="en-AU"/>
        </w:rPr>
        <w:t>stigma</w:t>
      </w:r>
      <w:r w:rsidR="009518C3" w:rsidRPr="00DA6C91">
        <w:rPr>
          <w:rFonts w:eastAsia="Times New Roman" w:cs="Times New Roman"/>
          <w:lang w:eastAsia="en-AU"/>
        </w:rPr>
        <w:t xml:space="preserve">-driven victimisation and violence </w:t>
      </w:r>
      <w:r w:rsidR="000D7DAD">
        <w:rPr>
          <w:rFonts w:eastAsia="Times New Roman" w:cs="Times New Roman"/>
          <w:lang w:eastAsia="en-AU"/>
        </w:rPr>
        <w:t>will fuel</w:t>
      </w:r>
      <w:r w:rsidR="007B506E" w:rsidRPr="00DA6C91">
        <w:rPr>
          <w:rFonts w:eastAsia="Times New Roman" w:cs="Times New Roman"/>
          <w:lang w:eastAsia="en-AU"/>
        </w:rPr>
        <w:t xml:space="preserve"> </w:t>
      </w:r>
      <w:r w:rsidR="009518C3" w:rsidRPr="00DA6C91">
        <w:rPr>
          <w:rFonts w:eastAsia="Times New Roman" w:cs="Times New Roman"/>
          <w:lang w:eastAsia="en-AU"/>
        </w:rPr>
        <w:t>internal stressors</w:t>
      </w:r>
      <w:r w:rsidR="00B6040A">
        <w:rPr>
          <w:rFonts w:eastAsia="Times New Roman" w:cs="Times New Roman"/>
          <w:lang w:eastAsia="en-AU"/>
        </w:rPr>
        <w:t>,</w:t>
      </w:r>
      <w:r w:rsidR="009518C3" w:rsidRPr="00DA6C91">
        <w:rPr>
          <w:rFonts w:eastAsia="Times New Roman" w:cs="Times New Roman"/>
          <w:lang w:eastAsia="en-AU"/>
        </w:rPr>
        <w:t xml:space="preserve"> such as internalised stigma (</w:t>
      </w:r>
      <w:r w:rsidR="00EC09CD" w:rsidRPr="00DA6C91">
        <w:rPr>
          <w:rFonts w:eastAsia="Times New Roman" w:cs="Times New Roman"/>
          <w:lang w:eastAsia="en-AU"/>
        </w:rPr>
        <w:t xml:space="preserve">sometimes </w:t>
      </w:r>
      <w:r>
        <w:rPr>
          <w:rFonts w:eastAsia="Times New Roman" w:cs="Times New Roman"/>
          <w:lang w:eastAsia="en-AU"/>
        </w:rPr>
        <w:t xml:space="preserve">referred to as </w:t>
      </w:r>
      <w:r w:rsidR="009518C3" w:rsidRPr="00DA6C91">
        <w:rPr>
          <w:rFonts w:eastAsia="Times New Roman" w:cs="Times New Roman"/>
          <w:lang w:eastAsia="en-AU"/>
        </w:rPr>
        <w:t>internalised</w:t>
      </w:r>
      <w:r w:rsidR="0008017F" w:rsidRPr="00DA6C91">
        <w:rPr>
          <w:rFonts w:eastAsia="Times New Roman" w:cs="Times New Roman"/>
          <w:lang w:eastAsia="en-AU"/>
        </w:rPr>
        <w:t xml:space="preserve"> </w:t>
      </w:r>
      <w:r w:rsidR="008E013A" w:rsidRPr="00DA6C91">
        <w:rPr>
          <w:rFonts w:eastAsia="Times New Roman" w:cs="Times New Roman"/>
          <w:lang w:eastAsia="en-AU"/>
        </w:rPr>
        <w:t>homophobia</w:t>
      </w:r>
      <w:r>
        <w:rPr>
          <w:rFonts w:eastAsia="Times New Roman" w:cs="Times New Roman"/>
          <w:lang w:eastAsia="en-AU"/>
        </w:rPr>
        <w:t xml:space="preserve">, </w:t>
      </w:r>
      <w:r w:rsidR="008E013A" w:rsidRPr="00DA6C91">
        <w:rPr>
          <w:rFonts w:eastAsia="Times New Roman" w:cs="Times New Roman"/>
          <w:lang w:eastAsia="en-AU"/>
        </w:rPr>
        <w:t>transphobia</w:t>
      </w:r>
      <w:r w:rsidR="00B6040A">
        <w:rPr>
          <w:rFonts w:eastAsia="Times New Roman" w:cs="Times New Roman"/>
          <w:lang w:eastAsia="en-AU"/>
        </w:rPr>
        <w:t>,</w:t>
      </w:r>
      <w:r>
        <w:rPr>
          <w:rFonts w:eastAsia="Times New Roman" w:cs="Times New Roman"/>
          <w:lang w:eastAsia="en-AU"/>
        </w:rPr>
        <w:t xml:space="preserve"> etc</w:t>
      </w:r>
      <w:r w:rsidR="00B6040A">
        <w:rPr>
          <w:rFonts w:eastAsia="Times New Roman" w:cs="Times New Roman"/>
          <w:lang w:eastAsia="en-AU"/>
        </w:rPr>
        <w:t>.</w:t>
      </w:r>
      <w:r w:rsidR="009518C3" w:rsidRPr="00DA6C91">
        <w:rPr>
          <w:rFonts w:eastAsia="Times New Roman" w:cs="Times New Roman"/>
          <w:lang w:eastAsia="en-AU"/>
        </w:rPr>
        <w:t>)</w:t>
      </w:r>
      <w:r w:rsidR="008E013A" w:rsidRPr="00DA6C91">
        <w:rPr>
          <w:rFonts w:eastAsia="Times New Roman" w:cs="Times New Roman"/>
          <w:lang w:eastAsia="en-AU"/>
        </w:rPr>
        <w:t>.</w:t>
      </w:r>
      <w:r w:rsidR="008E013A" w:rsidRPr="00DA6C91">
        <w:rPr>
          <w:rFonts w:eastAsia="Times New Roman" w:cs="Times New Roman"/>
          <w:vertAlign w:val="superscript"/>
          <w:lang w:eastAsia="en-AU"/>
        </w:rPr>
        <w:footnoteReference w:id="125"/>
      </w:r>
    </w:p>
    <w:p w14:paraId="628A4D4B" w14:textId="301DC397" w:rsidR="008E013A" w:rsidRPr="008E013A" w:rsidRDefault="00CF3463" w:rsidP="00867CEE">
      <w:pPr>
        <w:spacing w:before="120" w:after="120"/>
        <w:rPr>
          <w:rFonts w:eastAsia="Times New Roman" w:cs="Times New Roman"/>
          <w:szCs w:val="24"/>
          <w:lang w:eastAsia="en-AU"/>
        </w:rPr>
      </w:pPr>
      <w:r w:rsidRPr="00D942A1">
        <w:rPr>
          <w:rFonts w:eastAsia="Times New Roman" w:cs="Times New Roman"/>
          <w:szCs w:val="24"/>
          <w:lang w:eastAsia="en-AU"/>
        </w:rPr>
        <w:t xml:space="preserve">In addition, </w:t>
      </w:r>
      <w:r w:rsidR="008E013A" w:rsidRPr="00D942A1">
        <w:rPr>
          <w:rFonts w:eastAsia="Times New Roman" w:cs="Times New Roman"/>
          <w:szCs w:val="24"/>
          <w:lang w:eastAsia="en-AU"/>
        </w:rPr>
        <w:t>LGBT</w:t>
      </w:r>
      <w:r w:rsidR="00232F6E">
        <w:rPr>
          <w:rFonts w:eastAsia="Times New Roman" w:cs="Times New Roman"/>
          <w:szCs w:val="24"/>
          <w:lang w:eastAsia="en-AU"/>
        </w:rPr>
        <w:t>Q</w:t>
      </w:r>
      <w:r w:rsidR="008E013A" w:rsidRPr="00D942A1">
        <w:rPr>
          <w:rFonts w:eastAsia="Times New Roman" w:cs="Times New Roman"/>
          <w:szCs w:val="24"/>
          <w:lang w:eastAsia="en-AU"/>
        </w:rPr>
        <w:t>+ populations are at</w:t>
      </w:r>
      <w:r w:rsidR="003B45DF">
        <w:rPr>
          <w:rFonts w:eastAsia="Times New Roman" w:cs="Times New Roman"/>
          <w:szCs w:val="24"/>
          <w:lang w:eastAsia="en-AU"/>
        </w:rPr>
        <w:t xml:space="preserve"> uniq</w:t>
      </w:r>
      <w:r w:rsidR="00E2526D">
        <w:rPr>
          <w:rFonts w:eastAsia="Times New Roman" w:cs="Times New Roman"/>
          <w:szCs w:val="24"/>
          <w:lang w:eastAsia="en-AU"/>
        </w:rPr>
        <w:t>u</w:t>
      </w:r>
      <w:r w:rsidR="003B45DF">
        <w:rPr>
          <w:rFonts w:eastAsia="Times New Roman" w:cs="Times New Roman"/>
          <w:szCs w:val="24"/>
          <w:lang w:eastAsia="en-AU"/>
        </w:rPr>
        <w:t>e</w:t>
      </w:r>
      <w:r w:rsidR="008E013A" w:rsidRPr="00D942A1">
        <w:rPr>
          <w:rFonts w:eastAsia="Times New Roman" w:cs="Times New Roman"/>
          <w:szCs w:val="24"/>
          <w:lang w:eastAsia="en-AU"/>
        </w:rPr>
        <w:t xml:space="preserve"> risk of being coerced or threatened with the revelation </w:t>
      </w:r>
      <w:r w:rsidR="004A3D43" w:rsidRPr="00D942A1">
        <w:rPr>
          <w:rFonts w:eastAsia="Times New Roman" w:cs="Times New Roman"/>
          <w:szCs w:val="24"/>
          <w:lang w:eastAsia="en-AU"/>
        </w:rPr>
        <w:t xml:space="preserve">of </w:t>
      </w:r>
      <w:r w:rsidR="008E013A" w:rsidRPr="00D942A1">
        <w:rPr>
          <w:rFonts w:eastAsia="Times New Roman" w:cs="Times New Roman"/>
          <w:szCs w:val="24"/>
          <w:lang w:eastAsia="en-AU"/>
        </w:rPr>
        <w:t>their</w:t>
      </w:r>
      <w:r w:rsidR="00867CEE">
        <w:rPr>
          <w:rFonts w:eastAsia="Times New Roman" w:cs="Times New Roman"/>
          <w:szCs w:val="24"/>
          <w:lang w:eastAsia="en-AU"/>
        </w:rPr>
        <w:t xml:space="preserve"> </w:t>
      </w:r>
      <w:r w:rsidR="00CC1986">
        <w:rPr>
          <w:rFonts w:eastAsia="Times New Roman" w:cs="Times New Roman"/>
          <w:szCs w:val="24"/>
          <w:lang w:eastAsia="en-AU"/>
        </w:rPr>
        <w:t>sexual orientation</w:t>
      </w:r>
      <w:r w:rsidR="00CC1986" w:rsidRPr="00D942A1">
        <w:rPr>
          <w:rFonts w:eastAsia="Times New Roman" w:cs="Times New Roman"/>
          <w:szCs w:val="24"/>
          <w:lang w:eastAsia="en-AU"/>
        </w:rPr>
        <w:t xml:space="preserve"> </w:t>
      </w:r>
      <w:r w:rsidR="008E013A" w:rsidRPr="00D942A1">
        <w:rPr>
          <w:rFonts w:eastAsia="Times New Roman" w:cs="Times New Roman"/>
          <w:szCs w:val="24"/>
          <w:lang w:eastAsia="en-AU"/>
        </w:rPr>
        <w:t>or gender identity.</w:t>
      </w:r>
      <w:r w:rsidR="008E013A" w:rsidRPr="00D942A1">
        <w:rPr>
          <w:rFonts w:eastAsia="Times New Roman" w:cs="Times New Roman"/>
          <w:szCs w:val="24"/>
          <w:vertAlign w:val="superscript"/>
          <w:lang w:eastAsia="en-AU"/>
        </w:rPr>
        <w:footnoteReference w:id="126"/>
      </w:r>
      <w:r w:rsidR="008E013A" w:rsidRPr="00D942A1">
        <w:rPr>
          <w:rFonts w:eastAsia="Times New Roman" w:cs="Times New Roman"/>
          <w:szCs w:val="24"/>
          <w:lang w:eastAsia="en-AU"/>
        </w:rPr>
        <w:t xml:space="preserve"> </w:t>
      </w:r>
      <w:r w:rsidR="00E7628D" w:rsidRPr="00AD7B27">
        <w:rPr>
          <w:rFonts w:eastAsia="Times New Roman" w:cs="Times New Roman"/>
          <w:szCs w:val="24"/>
          <w:lang w:eastAsia="en-AU"/>
        </w:rPr>
        <w:t>F</w:t>
      </w:r>
      <w:r w:rsidRPr="00AD7B27">
        <w:rPr>
          <w:rFonts w:eastAsia="Times New Roman" w:cs="Times New Roman"/>
          <w:szCs w:val="24"/>
          <w:lang w:eastAsia="en-AU"/>
        </w:rPr>
        <w:t>or example,</w:t>
      </w:r>
      <w:r w:rsidR="00AD2E97" w:rsidRPr="00AD7B27">
        <w:rPr>
          <w:rFonts w:eastAsia="Times New Roman" w:cs="Times New Roman"/>
          <w:szCs w:val="24"/>
          <w:lang w:eastAsia="en-AU"/>
        </w:rPr>
        <w:t xml:space="preserve"> research</w:t>
      </w:r>
      <w:r w:rsidR="005A4D5C" w:rsidRPr="00AD7B27">
        <w:rPr>
          <w:rFonts w:eastAsia="Times New Roman" w:cs="Times New Roman"/>
          <w:szCs w:val="24"/>
          <w:lang w:eastAsia="en-AU"/>
        </w:rPr>
        <w:t xml:space="preserve"> has</w:t>
      </w:r>
      <w:r w:rsidR="00AD2E97" w:rsidRPr="00AD7B27">
        <w:rPr>
          <w:rFonts w:eastAsia="Times New Roman" w:cs="Times New Roman"/>
          <w:szCs w:val="24"/>
          <w:lang w:eastAsia="en-AU"/>
        </w:rPr>
        <w:t xml:space="preserve"> </w:t>
      </w:r>
      <w:r w:rsidR="00AD7B27" w:rsidRPr="00AD7B27">
        <w:rPr>
          <w:rFonts w:eastAsia="Times New Roman" w:cs="Times New Roman"/>
          <w:szCs w:val="24"/>
          <w:lang w:eastAsia="en-AU"/>
        </w:rPr>
        <w:t>indicated</w:t>
      </w:r>
      <w:r w:rsidR="008E013A" w:rsidRPr="00AD7B27">
        <w:rPr>
          <w:rFonts w:eastAsia="Times New Roman" w:cs="Times New Roman"/>
          <w:szCs w:val="24"/>
          <w:lang w:eastAsia="en-AU"/>
        </w:rPr>
        <w:t xml:space="preserve"> that</w:t>
      </w:r>
      <w:r w:rsidR="006E1C89" w:rsidRPr="00AD7B27">
        <w:rPr>
          <w:rFonts w:eastAsia="Times New Roman" w:cs="Times New Roman"/>
          <w:szCs w:val="24"/>
          <w:lang w:eastAsia="en-AU"/>
        </w:rPr>
        <w:t xml:space="preserve"> perpetrators of Intimate Partner Violence (IPV) use</w:t>
      </w:r>
      <w:r w:rsidR="008E013A" w:rsidRPr="00AD7B27">
        <w:rPr>
          <w:rFonts w:eastAsia="Times New Roman" w:cs="Times New Roman"/>
          <w:szCs w:val="24"/>
          <w:lang w:eastAsia="en-AU"/>
        </w:rPr>
        <w:t xml:space="preserve"> </w:t>
      </w:r>
      <w:r w:rsidR="006E1C89" w:rsidRPr="00AD7B27">
        <w:rPr>
          <w:rFonts w:eastAsia="Times New Roman" w:cs="Times New Roman"/>
          <w:szCs w:val="24"/>
          <w:lang w:eastAsia="en-AU"/>
        </w:rPr>
        <w:t>the threat</w:t>
      </w:r>
      <w:r w:rsidR="008E013A" w:rsidRPr="00AD7B27">
        <w:rPr>
          <w:rFonts w:eastAsia="Times New Roman" w:cs="Times New Roman"/>
          <w:szCs w:val="24"/>
          <w:lang w:eastAsia="en-AU"/>
        </w:rPr>
        <w:t xml:space="preserve"> </w:t>
      </w:r>
      <w:r w:rsidR="003C42AE" w:rsidRPr="00AD7B27">
        <w:rPr>
          <w:rFonts w:eastAsia="Times New Roman" w:cs="Times New Roman"/>
          <w:szCs w:val="24"/>
          <w:lang w:eastAsia="en-AU"/>
        </w:rPr>
        <w:t xml:space="preserve">of </w:t>
      </w:r>
      <w:r w:rsidR="006E1C89" w:rsidRPr="00AD7B27">
        <w:rPr>
          <w:rFonts w:eastAsia="Times New Roman" w:cs="Times New Roman"/>
          <w:szCs w:val="24"/>
          <w:lang w:eastAsia="en-AU"/>
        </w:rPr>
        <w:t>‘outing’</w:t>
      </w:r>
      <w:r w:rsidR="008E013A" w:rsidRPr="00AD7B27">
        <w:rPr>
          <w:rFonts w:eastAsia="Times New Roman" w:cs="Times New Roman"/>
          <w:szCs w:val="24"/>
          <w:lang w:eastAsia="en-AU"/>
        </w:rPr>
        <w:t xml:space="preserve"> and revealing a person’s </w:t>
      </w:r>
      <w:r w:rsidR="00AD6E41">
        <w:rPr>
          <w:rFonts w:eastAsia="Times New Roman" w:cs="Times New Roman"/>
          <w:szCs w:val="24"/>
          <w:lang w:eastAsia="en-AU"/>
        </w:rPr>
        <w:t xml:space="preserve">sexual orientation </w:t>
      </w:r>
      <w:r w:rsidR="008E013A" w:rsidRPr="00AD7B27">
        <w:rPr>
          <w:rFonts w:eastAsia="Times New Roman" w:cs="Times New Roman"/>
          <w:szCs w:val="24"/>
          <w:lang w:eastAsia="en-AU"/>
        </w:rPr>
        <w:t>or gender identity a</w:t>
      </w:r>
      <w:r w:rsidR="006E1C89" w:rsidRPr="00AD7B27">
        <w:rPr>
          <w:rFonts w:eastAsia="Times New Roman" w:cs="Times New Roman"/>
          <w:szCs w:val="24"/>
          <w:lang w:eastAsia="en-AU"/>
        </w:rPr>
        <w:t>s</w:t>
      </w:r>
      <w:r w:rsidR="008E013A" w:rsidRPr="00AD7B27">
        <w:rPr>
          <w:rFonts w:eastAsia="Times New Roman" w:cs="Times New Roman"/>
          <w:szCs w:val="24"/>
          <w:lang w:eastAsia="en-AU"/>
        </w:rPr>
        <w:t xml:space="preserve"> a tactic to isolate LGBT</w:t>
      </w:r>
      <w:r w:rsidR="00867CEE">
        <w:rPr>
          <w:rFonts w:eastAsia="Times New Roman" w:cs="Times New Roman"/>
          <w:szCs w:val="24"/>
          <w:lang w:eastAsia="en-AU"/>
        </w:rPr>
        <w:t>Q</w:t>
      </w:r>
      <w:r w:rsidR="008E013A" w:rsidRPr="00AD7B27">
        <w:rPr>
          <w:rFonts w:eastAsia="Times New Roman" w:cs="Times New Roman"/>
          <w:szCs w:val="24"/>
          <w:lang w:eastAsia="en-AU"/>
        </w:rPr>
        <w:t>+ p</w:t>
      </w:r>
      <w:r w:rsidR="003A3E71" w:rsidRPr="00AD7B27">
        <w:rPr>
          <w:rFonts w:eastAsia="Times New Roman" w:cs="Times New Roman"/>
          <w:szCs w:val="24"/>
          <w:lang w:eastAsia="en-AU"/>
        </w:rPr>
        <w:t>eople</w:t>
      </w:r>
      <w:r w:rsidR="008E013A" w:rsidRPr="00AD7B27">
        <w:rPr>
          <w:rFonts w:eastAsia="Times New Roman" w:cs="Times New Roman"/>
          <w:szCs w:val="24"/>
          <w:lang w:eastAsia="en-AU"/>
        </w:rPr>
        <w:t xml:space="preserve"> from </w:t>
      </w:r>
      <w:r w:rsidR="00BA333A" w:rsidRPr="00AD7B27">
        <w:rPr>
          <w:rFonts w:eastAsia="Times New Roman" w:cs="Times New Roman"/>
          <w:szCs w:val="24"/>
          <w:lang w:eastAsia="en-AU"/>
        </w:rPr>
        <w:t xml:space="preserve">their </w:t>
      </w:r>
      <w:r w:rsidR="008E013A" w:rsidRPr="00AD7B27">
        <w:rPr>
          <w:rFonts w:eastAsia="Times New Roman" w:cs="Times New Roman"/>
          <w:szCs w:val="24"/>
          <w:lang w:eastAsia="en-AU"/>
        </w:rPr>
        <w:t xml:space="preserve">family, friends, </w:t>
      </w:r>
      <w:r w:rsidR="00BA333A" w:rsidRPr="00AD7B27">
        <w:rPr>
          <w:rFonts w:eastAsia="Times New Roman" w:cs="Times New Roman"/>
          <w:szCs w:val="24"/>
          <w:lang w:eastAsia="en-AU"/>
        </w:rPr>
        <w:t>work colleagues</w:t>
      </w:r>
      <w:r w:rsidR="00C16971" w:rsidRPr="00AD7B27">
        <w:rPr>
          <w:rFonts w:eastAsia="Times New Roman" w:cs="Times New Roman"/>
          <w:szCs w:val="24"/>
          <w:lang w:eastAsia="en-AU"/>
        </w:rPr>
        <w:t>,</w:t>
      </w:r>
      <w:r w:rsidR="008E013A" w:rsidRPr="00AD7B27">
        <w:rPr>
          <w:rFonts w:eastAsia="Times New Roman" w:cs="Times New Roman"/>
          <w:szCs w:val="24"/>
          <w:lang w:eastAsia="en-AU"/>
        </w:rPr>
        <w:t xml:space="preserve"> and community.</w:t>
      </w:r>
      <w:r w:rsidR="008E013A" w:rsidRPr="00AD7B27">
        <w:rPr>
          <w:rFonts w:eastAsia="Times New Roman" w:cs="Times New Roman"/>
          <w:szCs w:val="24"/>
          <w:vertAlign w:val="superscript"/>
          <w:lang w:eastAsia="en-AU"/>
        </w:rPr>
        <w:footnoteReference w:id="127"/>
      </w:r>
      <w:r w:rsidR="008E013A" w:rsidRPr="008E013A">
        <w:rPr>
          <w:rFonts w:eastAsia="Times New Roman" w:cs="Times New Roman"/>
          <w:szCs w:val="24"/>
          <w:lang w:eastAsia="en-AU"/>
        </w:rPr>
        <w:t xml:space="preserve"> Th</w:t>
      </w:r>
      <w:r w:rsidR="00066002">
        <w:rPr>
          <w:rFonts w:eastAsia="Times New Roman" w:cs="Times New Roman"/>
          <w:szCs w:val="24"/>
          <w:lang w:eastAsia="en-AU"/>
        </w:rPr>
        <w:t>e th</w:t>
      </w:r>
      <w:r w:rsidR="008E013A" w:rsidRPr="008E013A">
        <w:rPr>
          <w:rFonts w:eastAsia="Times New Roman" w:cs="Times New Roman"/>
          <w:szCs w:val="24"/>
          <w:lang w:eastAsia="en-AU"/>
        </w:rPr>
        <w:t>reat</w:t>
      </w:r>
      <w:r w:rsidR="00066002">
        <w:rPr>
          <w:rFonts w:eastAsia="Times New Roman" w:cs="Times New Roman"/>
          <w:szCs w:val="24"/>
          <w:lang w:eastAsia="en-AU"/>
        </w:rPr>
        <w:t xml:space="preserve"> </w:t>
      </w:r>
      <w:r w:rsidR="008E013A" w:rsidRPr="008E013A">
        <w:rPr>
          <w:rFonts w:eastAsia="Times New Roman" w:cs="Times New Roman"/>
          <w:szCs w:val="24"/>
          <w:lang w:eastAsia="en-AU"/>
        </w:rPr>
        <w:t xml:space="preserve">of being outed </w:t>
      </w:r>
      <w:r w:rsidR="00066002">
        <w:rPr>
          <w:rFonts w:eastAsia="Times New Roman" w:cs="Times New Roman"/>
          <w:szCs w:val="24"/>
          <w:lang w:eastAsia="en-AU"/>
        </w:rPr>
        <w:t xml:space="preserve">can also </w:t>
      </w:r>
      <w:r w:rsidR="0031742F">
        <w:rPr>
          <w:rFonts w:eastAsia="Times New Roman" w:cs="Times New Roman"/>
          <w:szCs w:val="24"/>
          <w:lang w:eastAsia="en-AU"/>
        </w:rPr>
        <w:t xml:space="preserve">complicate </w:t>
      </w:r>
      <w:r w:rsidR="00D46373">
        <w:rPr>
          <w:rFonts w:eastAsia="Times New Roman" w:cs="Times New Roman"/>
          <w:szCs w:val="24"/>
          <w:lang w:eastAsia="en-AU"/>
        </w:rPr>
        <w:t xml:space="preserve">the ability of </w:t>
      </w:r>
      <w:r w:rsidR="000E6899">
        <w:rPr>
          <w:rFonts w:eastAsia="Times New Roman" w:cs="Times New Roman"/>
          <w:szCs w:val="24"/>
          <w:lang w:eastAsia="en-AU"/>
        </w:rPr>
        <w:t xml:space="preserve">victimised </w:t>
      </w:r>
      <w:r w:rsidR="008E013A" w:rsidRPr="008E013A">
        <w:rPr>
          <w:rFonts w:eastAsia="Times New Roman" w:cs="Times New Roman"/>
          <w:szCs w:val="24"/>
          <w:lang w:eastAsia="en-AU"/>
        </w:rPr>
        <w:t>LGBT</w:t>
      </w:r>
      <w:r w:rsidR="00867CEE">
        <w:rPr>
          <w:rFonts w:eastAsia="Times New Roman" w:cs="Times New Roman"/>
          <w:szCs w:val="24"/>
          <w:lang w:eastAsia="en-AU"/>
        </w:rPr>
        <w:t>Q</w:t>
      </w:r>
      <w:r w:rsidR="008E013A" w:rsidRPr="008E013A">
        <w:rPr>
          <w:rFonts w:eastAsia="Times New Roman" w:cs="Times New Roman"/>
          <w:szCs w:val="24"/>
          <w:lang w:eastAsia="en-AU"/>
        </w:rPr>
        <w:t xml:space="preserve">+ people </w:t>
      </w:r>
      <w:r w:rsidR="00D46373">
        <w:rPr>
          <w:rFonts w:eastAsia="Times New Roman" w:cs="Times New Roman"/>
          <w:szCs w:val="24"/>
          <w:lang w:eastAsia="en-AU"/>
        </w:rPr>
        <w:t>to seek</w:t>
      </w:r>
      <w:r w:rsidR="00B20AFB">
        <w:rPr>
          <w:rFonts w:eastAsia="Times New Roman" w:cs="Times New Roman"/>
          <w:szCs w:val="24"/>
          <w:lang w:eastAsia="en-AU"/>
        </w:rPr>
        <w:t xml:space="preserve"> help,</w:t>
      </w:r>
      <w:r w:rsidR="008E013A" w:rsidRPr="008E013A">
        <w:rPr>
          <w:rFonts w:eastAsia="Times New Roman" w:cs="Times New Roman"/>
          <w:szCs w:val="24"/>
          <w:lang w:eastAsia="en-AU"/>
        </w:rPr>
        <w:t xml:space="preserve"> safety</w:t>
      </w:r>
      <w:r w:rsidR="00B6040A">
        <w:rPr>
          <w:rFonts w:eastAsia="Times New Roman" w:cs="Times New Roman"/>
          <w:szCs w:val="24"/>
          <w:lang w:eastAsia="en-AU"/>
        </w:rPr>
        <w:t>,</w:t>
      </w:r>
      <w:r w:rsidR="008E013A" w:rsidRPr="008E013A">
        <w:rPr>
          <w:rFonts w:eastAsia="Times New Roman" w:cs="Times New Roman"/>
          <w:szCs w:val="24"/>
          <w:lang w:eastAsia="en-AU"/>
        </w:rPr>
        <w:t xml:space="preserve"> and assistance from services</w:t>
      </w:r>
      <w:r w:rsidR="002816E3">
        <w:rPr>
          <w:rFonts w:eastAsia="Times New Roman" w:cs="Times New Roman"/>
          <w:szCs w:val="24"/>
          <w:lang w:eastAsia="en-AU"/>
        </w:rPr>
        <w:t xml:space="preserve"> which are affirming</w:t>
      </w:r>
      <w:r w:rsidR="008E013A" w:rsidRPr="008E013A">
        <w:rPr>
          <w:rFonts w:eastAsia="Times New Roman" w:cs="Times New Roman"/>
          <w:szCs w:val="24"/>
          <w:lang w:eastAsia="en-AU"/>
        </w:rPr>
        <w:t>, without exposing their identity.</w:t>
      </w:r>
      <w:r w:rsidR="00412D53">
        <w:rPr>
          <w:rFonts w:eastAsia="Times New Roman" w:cs="Times New Roman"/>
          <w:szCs w:val="24"/>
          <w:lang w:eastAsia="en-AU"/>
        </w:rPr>
        <w:t xml:space="preserve"> E</w:t>
      </w:r>
      <w:r w:rsidR="008E013A" w:rsidRPr="008E013A">
        <w:rPr>
          <w:rFonts w:eastAsia="Times New Roman" w:cs="Times New Roman"/>
          <w:szCs w:val="24"/>
          <w:lang w:eastAsia="en-AU"/>
        </w:rPr>
        <w:t>vidence suggests that LGBT</w:t>
      </w:r>
      <w:r w:rsidR="00867CEE">
        <w:rPr>
          <w:rFonts w:eastAsia="Times New Roman" w:cs="Times New Roman"/>
          <w:szCs w:val="24"/>
          <w:lang w:eastAsia="en-AU"/>
        </w:rPr>
        <w:t>Q</w:t>
      </w:r>
      <w:r w:rsidR="008E013A" w:rsidRPr="008E013A">
        <w:rPr>
          <w:rFonts w:eastAsia="Times New Roman" w:cs="Times New Roman"/>
          <w:szCs w:val="24"/>
          <w:lang w:eastAsia="en-AU"/>
        </w:rPr>
        <w:t>+ people who are ‘out’ may also hesitate to seek formal avenues of support when experiencing IPV</w:t>
      </w:r>
      <w:r w:rsidR="00B6040A">
        <w:rPr>
          <w:rFonts w:eastAsia="Times New Roman" w:cs="Times New Roman"/>
          <w:szCs w:val="24"/>
          <w:lang w:eastAsia="en-AU"/>
        </w:rPr>
        <w:t>,</w:t>
      </w:r>
      <w:r w:rsidR="008E013A" w:rsidRPr="008E013A">
        <w:rPr>
          <w:rFonts w:eastAsia="Times New Roman" w:cs="Times New Roman"/>
          <w:szCs w:val="24"/>
          <w:lang w:eastAsia="en-AU"/>
        </w:rPr>
        <w:t xml:space="preserve"> due to fear of experiencing or </w:t>
      </w:r>
      <w:r w:rsidR="00587D77">
        <w:rPr>
          <w:rFonts w:eastAsia="Times New Roman" w:cs="Times New Roman"/>
          <w:szCs w:val="24"/>
          <w:lang w:eastAsia="en-AU"/>
        </w:rPr>
        <w:t xml:space="preserve">further </w:t>
      </w:r>
      <w:r w:rsidR="008E013A" w:rsidRPr="008E013A">
        <w:rPr>
          <w:rFonts w:eastAsia="Times New Roman" w:cs="Times New Roman"/>
          <w:szCs w:val="24"/>
          <w:lang w:eastAsia="en-AU"/>
        </w:rPr>
        <w:t>contributing to the stigmatisation of LGBT</w:t>
      </w:r>
      <w:r w:rsidR="00867CEE">
        <w:rPr>
          <w:rFonts w:eastAsia="Times New Roman" w:cs="Times New Roman"/>
          <w:szCs w:val="24"/>
          <w:lang w:eastAsia="en-AU"/>
        </w:rPr>
        <w:t>Q</w:t>
      </w:r>
      <w:r w:rsidR="008E013A" w:rsidRPr="008E013A">
        <w:rPr>
          <w:rFonts w:eastAsia="Times New Roman" w:cs="Times New Roman"/>
          <w:szCs w:val="24"/>
          <w:lang w:eastAsia="en-AU"/>
        </w:rPr>
        <w:t>+ people.</w:t>
      </w:r>
      <w:r w:rsidR="008E013A" w:rsidRPr="008E013A">
        <w:rPr>
          <w:rFonts w:eastAsia="Times New Roman" w:cs="Times New Roman"/>
          <w:szCs w:val="24"/>
          <w:vertAlign w:val="superscript"/>
          <w:lang w:eastAsia="en-AU"/>
        </w:rPr>
        <w:footnoteReference w:id="128"/>
      </w:r>
    </w:p>
    <w:p w14:paraId="6EC41BFF" w14:textId="0694BB98" w:rsidR="008E013A" w:rsidRPr="008E013A" w:rsidRDefault="008E013A" w:rsidP="009B406F">
      <w:pPr>
        <w:pStyle w:val="NbrHeading3"/>
      </w:pPr>
      <w:bookmarkStart w:id="53" w:name="_Toc147225849"/>
      <w:bookmarkStart w:id="54" w:name="_Toc153899511"/>
      <w:r w:rsidRPr="008E013A">
        <w:t xml:space="preserve">Rejection, </w:t>
      </w:r>
      <w:r w:rsidR="00D61E8C">
        <w:t>i</w:t>
      </w:r>
      <w:r w:rsidR="00D61E8C" w:rsidRPr="008E013A">
        <w:t>solation,</w:t>
      </w:r>
      <w:r w:rsidRPr="008E013A">
        <w:t xml:space="preserve"> and </w:t>
      </w:r>
      <w:bookmarkEnd w:id="53"/>
      <w:r w:rsidR="00D358F6">
        <w:t>l</w:t>
      </w:r>
      <w:r w:rsidRPr="008E013A">
        <w:t>oneliness</w:t>
      </w:r>
      <w:bookmarkEnd w:id="54"/>
    </w:p>
    <w:p w14:paraId="7472F919" w14:textId="6267E50E" w:rsidR="008E013A" w:rsidRPr="008E013A" w:rsidRDefault="008E013A" w:rsidP="008E013A">
      <w:r w:rsidRPr="008E013A">
        <w:t>Rejection and isolation from family and peers – particularly when explicitly related to LGBT</w:t>
      </w:r>
      <w:r w:rsidR="00867CEE">
        <w:t>Q</w:t>
      </w:r>
      <w:r w:rsidRPr="008E013A">
        <w:t xml:space="preserve">+ identification – has been associated with significant mental distress and increased risks of poor mental health and suicide outcomes. </w:t>
      </w:r>
      <w:r w:rsidRPr="00094DBF">
        <w:t xml:space="preserve">These experiences </w:t>
      </w:r>
      <w:r w:rsidR="00094DBF" w:rsidRPr="00094DBF">
        <w:t>can</w:t>
      </w:r>
      <w:r w:rsidRPr="00094DBF">
        <w:t xml:space="preserve"> additionally undermine access to crucial social and internal coping resources</w:t>
      </w:r>
      <w:r w:rsidRPr="008E013A">
        <w:rPr>
          <w:b/>
          <w:bCs/>
        </w:rPr>
        <w:t xml:space="preserve"> </w:t>
      </w:r>
      <w:r w:rsidRPr="008E013A">
        <w:t xml:space="preserve">which act as protective factors when navigating general life stressors, as well as the </w:t>
      </w:r>
      <w:r w:rsidR="005C1AE7">
        <w:t>specific</w:t>
      </w:r>
      <w:r w:rsidRPr="008E013A">
        <w:t xml:space="preserve"> external stressors of being </w:t>
      </w:r>
      <w:r w:rsidR="00EC72BE">
        <w:t xml:space="preserve">a part of the </w:t>
      </w:r>
      <w:r w:rsidRPr="008E013A">
        <w:t>LGBT</w:t>
      </w:r>
      <w:r w:rsidR="001B1E61">
        <w:t>Q</w:t>
      </w:r>
      <w:r w:rsidRPr="008E013A">
        <w:t xml:space="preserve">+ </w:t>
      </w:r>
      <w:r w:rsidR="00EC72BE">
        <w:t>community</w:t>
      </w:r>
      <w:r w:rsidRPr="008E013A">
        <w:t xml:space="preserve"> such as stigma, discrimination, and victimi</w:t>
      </w:r>
      <w:r w:rsidR="00377D76">
        <w:t>s</w:t>
      </w:r>
      <w:r w:rsidRPr="008E013A">
        <w:t>ation</w:t>
      </w:r>
      <w:r w:rsidR="00DC1E65">
        <w:t>, described above</w:t>
      </w:r>
      <w:r w:rsidRPr="008E013A">
        <w:t>.</w:t>
      </w:r>
    </w:p>
    <w:p w14:paraId="79CB30D6" w14:textId="77777777" w:rsidR="008E013A" w:rsidRPr="00B03080" w:rsidRDefault="008E013A" w:rsidP="009B406F">
      <w:pPr>
        <w:pStyle w:val="NbrHeading4"/>
      </w:pPr>
      <w:r w:rsidRPr="00B03080">
        <w:lastRenderedPageBreak/>
        <w:t>Social isolation and rejection</w:t>
      </w:r>
    </w:p>
    <w:p w14:paraId="031D6C38" w14:textId="4350C1B0" w:rsidR="008E013A" w:rsidRPr="00D61E8C" w:rsidRDefault="008E013A" w:rsidP="008E013A">
      <w:r w:rsidRPr="00D61E8C">
        <w:t>While social connection acts as a significant protective factor for all people, research has found that</w:t>
      </w:r>
      <w:r w:rsidR="00372EF1" w:rsidRPr="00D61E8C">
        <w:t>,</w:t>
      </w:r>
      <w:r w:rsidRPr="00D61E8C">
        <w:t xml:space="preserve"> for LGBT</w:t>
      </w:r>
      <w:r w:rsidR="001B1E61">
        <w:t>Q+</w:t>
      </w:r>
      <w:r w:rsidRPr="00D61E8C">
        <w:t xml:space="preserve"> people</w:t>
      </w:r>
      <w:r w:rsidR="00372EF1" w:rsidRPr="00D61E8C">
        <w:t>,</w:t>
      </w:r>
      <w:r w:rsidRPr="00D61E8C">
        <w:t xml:space="preserve"> socialisation with LGBT</w:t>
      </w:r>
      <w:r w:rsidR="001B1E61">
        <w:t>Q</w:t>
      </w:r>
      <w:r w:rsidRPr="00D61E8C">
        <w:t xml:space="preserve">+ peers is particularly important for promoting positive internal processes which support mental health and wellbeing. </w:t>
      </w:r>
    </w:p>
    <w:p w14:paraId="1ACD582B" w14:textId="3CCCB4D5" w:rsidR="008E013A" w:rsidRPr="008E013A" w:rsidRDefault="008E013A" w:rsidP="008E013A">
      <w:r w:rsidRPr="008E013A">
        <w:t>Studies have demonstrated that LGBT</w:t>
      </w:r>
      <w:r w:rsidR="001B1E61">
        <w:t>Q</w:t>
      </w:r>
      <w:r w:rsidRPr="008E013A">
        <w:t xml:space="preserve">+ populations have an increased risk of social isolation, </w:t>
      </w:r>
      <w:r w:rsidR="00C0582B" w:rsidRPr="008E013A">
        <w:t>loneliness,</w:t>
      </w:r>
      <w:r w:rsidRPr="008E013A">
        <w:t xml:space="preserve"> and </w:t>
      </w:r>
      <w:r w:rsidR="00EE74EC">
        <w:t xml:space="preserve">resulting </w:t>
      </w:r>
      <w:r w:rsidRPr="008E013A">
        <w:t xml:space="preserve">mental distress when they do not have access to opportunities to connect with </w:t>
      </w:r>
      <w:r w:rsidR="005F507B">
        <w:t xml:space="preserve">other members of the </w:t>
      </w:r>
      <w:r w:rsidRPr="008E013A">
        <w:t>LGBT</w:t>
      </w:r>
      <w:r w:rsidR="001B1E61">
        <w:t>Q</w:t>
      </w:r>
      <w:r w:rsidRPr="008E013A">
        <w:t>+ community. Those with access only to hetero- and cis-normative social spaces have reported “difficulty finding common ground”</w:t>
      </w:r>
      <w:r w:rsidR="00D74A77">
        <w:t>. They have also reported</w:t>
      </w:r>
      <w:r w:rsidRPr="008E013A">
        <w:t xml:space="preserve"> limitations to the social resources available to navigate life transitions and stressors unique to LGBT</w:t>
      </w:r>
      <w:r w:rsidR="001B1E61">
        <w:t>Q</w:t>
      </w:r>
      <w:r w:rsidRPr="008E013A">
        <w:t>+ people.</w:t>
      </w:r>
      <w:r w:rsidRPr="008E013A">
        <w:rPr>
          <w:vertAlign w:val="superscript"/>
        </w:rPr>
        <w:footnoteReference w:id="129"/>
      </w:r>
    </w:p>
    <w:p w14:paraId="52BC2976" w14:textId="78A47CE7" w:rsidR="008E013A" w:rsidRPr="008E013A" w:rsidRDefault="006B3617" w:rsidP="005C6AA2">
      <w:r>
        <w:t xml:space="preserve">Research </w:t>
      </w:r>
      <w:r w:rsidR="005421A0">
        <w:t>also</w:t>
      </w:r>
      <w:r>
        <w:t xml:space="preserve"> show</w:t>
      </w:r>
      <w:r w:rsidR="00E52A73">
        <w:t>s</w:t>
      </w:r>
      <w:r>
        <w:t xml:space="preserve"> that s</w:t>
      </w:r>
      <w:r w:rsidR="008E013A" w:rsidRPr="008E013A">
        <w:t>ocial connection</w:t>
      </w:r>
      <w:r>
        <w:t>s</w:t>
      </w:r>
      <w:r w:rsidR="008E013A" w:rsidRPr="008E013A">
        <w:t xml:space="preserve"> </w:t>
      </w:r>
      <w:r>
        <w:t xml:space="preserve">are </w:t>
      </w:r>
      <w:r w:rsidR="008E013A" w:rsidRPr="008E013A">
        <w:t xml:space="preserve">instrumental in the development of “positive in-group identity” and self-acceptance, as well as </w:t>
      </w:r>
      <w:r>
        <w:t xml:space="preserve">in </w:t>
      </w:r>
      <w:r w:rsidR="008E013A" w:rsidRPr="008E013A">
        <w:t>providing access to social and community support and “group-level coping”.</w:t>
      </w:r>
      <w:r w:rsidR="008E013A" w:rsidRPr="008E013A">
        <w:rPr>
          <w:vertAlign w:val="superscript"/>
        </w:rPr>
        <w:footnoteReference w:id="130"/>
      </w:r>
      <w:r w:rsidR="008E013A" w:rsidRPr="008E013A">
        <w:t xml:space="preserve"> </w:t>
      </w:r>
      <w:r w:rsidR="00A25921" w:rsidRPr="005A0042">
        <w:t>For example, research has shown that w</w:t>
      </w:r>
      <w:r w:rsidR="008E013A" w:rsidRPr="005A0042">
        <w:t xml:space="preserve">here there is an absence of tailored mental health services, </w:t>
      </w:r>
      <w:r w:rsidR="001E3B3E" w:rsidRPr="005A0042">
        <w:t xml:space="preserve">having access to </w:t>
      </w:r>
      <w:r w:rsidR="008E013A" w:rsidRPr="005A0042">
        <w:t>social support</w:t>
      </w:r>
      <w:r w:rsidR="00A25921" w:rsidRPr="005A0042">
        <w:t>s</w:t>
      </w:r>
      <w:r w:rsidR="008E013A" w:rsidRPr="005A0042">
        <w:t xml:space="preserve"> from LGBT peers has been integral</w:t>
      </w:r>
      <w:r w:rsidR="002B32F9" w:rsidRPr="005A0042">
        <w:t xml:space="preserve"> to their health and wellbeing</w:t>
      </w:r>
      <w:r w:rsidR="003F3E87">
        <w:t>, with</w:t>
      </w:r>
      <w:r w:rsidR="008E013A" w:rsidRPr="008E013A">
        <w:t xml:space="preserve"> many LGBT people </w:t>
      </w:r>
      <w:r w:rsidR="002B32F9">
        <w:t>report</w:t>
      </w:r>
      <w:r w:rsidR="00281239">
        <w:t>ing</w:t>
      </w:r>
      <w:r w:rsidR="002B32F9">
        <w:t xml:space="preserve"> that they </w:t>
      </w:r>
      <w:r w:rsidR="008E013A" w:rsidRPr="008E013A">
        <w:t>rely on informal peer support in times of distress.</w:t>
      </w:r>
      <w:r w:rsidR="005C6AA2" w:rsidRPr="005C6AA2">
        <w:rPr>
          <w:vertAlign w:val="superscript"/>
        </w:rPr>
        <w:footnoteReference w:id="131"/>
      </w:r>
      <w:r w:rsidR="005C6AA2" w:rsidRPr="005C6AA2">
        <w:t xml:space="preserve"> </w:t>
      </w:r>
      <w:r w:rsidR="002A794A">
        <w:t xml:space="preserve">Interestingly the research also found that </w:t>
      </w:r>
      <w:r w:rsidR="0086647C">
        <w:t xml:space="preserve">access to </w:t>
      </w:r>
      <w:r w:rsidR="002A794A">
        <w:t xml:space="preserve">this </w:t>
      </w:r>
      <w:r w:rsidR="00ED1563">
        <w:t>form of</w:t>
      </w:r>
      <w:r w:rsidR="008E013A" w:rsidRPr="008E013A">
        <w:t xml:space="preserve"> informal peer support often encourage</w:t>
      </w:r>
      <w:r w:rsidR="002A794A">
        <w:t>d</w:t>
      </w:r>
      <w:r w:rsidR="008E013A" w:rsidRPr="008E013A">
        <w:t xml:space="preserve"> and support</w:t>
      </w:r>
      <w:r w:rsidR="002A794A">
        <w:t>ed</w:t>
      </w:r>
      <w:r w:rsidR="008E013A" w:rsidRPr="008E013A">
        <w:t xml:space="preserve"> </w:t>
      </w:r>
      <w:r w:rsidR="002A794A">
        <w:t>individual</w:t>
      </w:r>
      <w:r w:rsidR="00F06095">
        <w:t xml:space="preserve">s to </w:t>
      </w:r>
      <w:r w:rsidR="008E013A" w:rsidRPr="008E013A">
        <w:t>seek help from formal mental health services.</w:t>
      </w:r>
      <w:r w:rsidR="008E013A" w:rsidRPr="00B03080">
        <w:rPr>
          <w:vertAlign w:val="superscript"/>
        </w:rPr>
        <w:footnoteReference w:id="132"/>
      </w:r>
      <w:r w:rsidR="008E013A" w:rsidRPr="008E013A">
        <w:t xml:space="preserve"> </w:t>
      </w:r>
    </w:p>
    <w:p w14:paraId="178F7B6C" w14:textId="702EE5C1" w:rsidR="008E013A" w:rsidRPr="008E013A" w:rsidRDefault="008E013A" w:rsidP="008E013A">
      <w:r w:rsidRPr="005C6AA2">
        <w:t>While efforts to develop targeted spaces for LGBT</w:t>
      </w:r>
      <w:r w:rsidR="001B1E61">
        <w:t>Q</w:t>
      </w:r>
      <w:r w:rsidRPr="005C6AA2">
        <w:t xml:space="preserve">+ people have been shown to have substantive positive impacts, research has also </w:t>
      </w:r>
      <w:r w:rsidR="00F46435">
        <w:t>noted</w:t>
      </w:r>
      <w:r w:rsidRPr="005C6AA2">
        <w:t xml:space="preserve"> discrimination and rejection from within the LGBT</w:t>
      </w:r>
      <w:r w:rsidR="001B1E61">
        <w:t>Q</w:t>
      </w:r>
      <w:r w:rsidRPr="005C6AA2">
        <w:t>+ community</w:t>
      </w:r>
      <w:r w:rsidRPr="004E575A">
        <w:t xml:space="preserve"> </w:t>
      </w:r>
      <w:r w:rsidRPr="008E013A">
        <w:t>towards subgroups</w:t>
      </w:r>
      <w:r w:rsidR="00F46435">
        <w:t xml:space="preserve">, including </w:t>
      </w:r>
      <w:r w:rsidRPr="008E013A">
        <w:t xml:space="preserve">transgender and bisexual people, </w:t>
      </w:r>
      <w:r w:rsidR="00532CB0">
        <w:t>as well as</w:t>
      </w:r>
      <w:r w:rsidRPr="008E013A">
        <w:t xml:space="preserve"> older LGBT</w:t>
      </w:r>
      <w:r w:rsidR="001B1E61">
        <w:t>Q</w:t>
      </w:r>
      <w:r w:rsidRPr="008E013A">
        <w:t>+ community members (see Sections 3.3 and 3.4).</w:t>
      </w:r>
      <w:r w:rsidR="00F46435" w:rsidRPr="005C6AA2">
        <w:rPr>
          <w:vertAlign w:val="superscript"/>
        </w:rPr>
        <w:footnoteReference w:id="133"/>
      </w:r>
      <w:r w:rsidRPr="008E013A">
        <w:t xml:space="preserve"> </w:t>
      </w:r>
      <w:r w:rsidRPr="00F46435">
        <w:t xml:space="preserve">This has been described as a “double discrimination” </w:t>
      </w:r>
      <w:r w:rsidR="00714AA7" w:rsidRPr="00F46435">
        <w:t xml:space="preserve">and </w:t>
      </w:r>
      <w:r w:rsidR="0048602B" w:rsidRPr="00F46435">
        <w:t>has been linked to an</w:t>
      </w:r>
      <w:r w:rsidR="00714AA7" w:rsidRPr="00F46435">
        <w:t xml:space="preserve"> </w:t>
      </w:r>
      <w:r w:rsidRPr="00F46435">
        <w:t>increase</w:t>
      </w:r>
      <w:r w:rsidR="00714AA7" w:rsidRPr="00F46435">
        <w:t>d</w:t>
      </w:r>
      <w:r w:rsidRPr="00F46435">
        <w:t xml:space="preserve"> risk of poor mental health outcomes among these affected cohorts.</w:t>
      </w:r>
      <w:r w:rsidRPr="00F46435">
        <w:rPr>
          <w:vertAlign w:val="superscript"/>
        </w:rPr>
        <w:footnoteReference w:id="134"/>
      </w:r>
      <w:r w:rsidRPr="008E013A">
        <w:t xml:space="preserve"> </w:t>
      </w:r>
    </w:p>
    <w:p w14:paraId="767E92C2" w14:textId="77777777" w:rsidR="008E013A" w:rsidRPr="008E013A" w:rsidRDefault="008E013A" w:rsidP="009B406F">
      <w:pPr>
        <w:pStyle w:val="NbrHeading4"/>
      </w:pPr>
      <w:r w:rsidRPr="008E013A">
        <w:lastRenderedPageBreak/>
        <w:t>Familial isolation and rejection</w:t>
      </w:r>
    </w:p>
    <w:p w14:paraId="70D102FA" w14:textId="3055876A" w:rsidR="008E013A" w:rsidRPr="00F46435" w:rsidRDefault="008E013A" w:rsidP="008E013A">
      <w:pPr>
        <w:spacing w:before="120" w:after="120"/>
        <w:rPr>
          <w:rFonts w:eastAsia="Times New Roman" w:cs="Times New Roman"/>
          <w:szCs w:val="24"/>
          <w:lang w:eastAsia="en-AU"/>
        </w:rPr>
      </w:pPr>
      <w:r w:rsidRPr="00F46435">
        <w:rPr>
          <w:rFonts w:eastAsia="Times New Roman" w:cs="Times New Roman"/>
          <w:szCs w:val="24"/>
          <w:lang w:eastAsia="en-AU"/>
        </w:rPr>
        <w:t>Family connection and support has been shown to have a more significant influence</w:t>
      </w:r>
      <w:r w:rsidRPr="00F46435">
        <w:rPr>
          <w:rFonts w:eastAsiaTheme="minorEastAsia"/>
          <w:szCs w:val="24"/>
        </w:rPr>
        <w:t xml:space="preserve"> </w:t>
      </w:r>
      <w:r w:rsidRPr="00F46435">
        <w:rPr>
          <w:rFonts w:eastAsia="Times New Roman" w:cs="Times New Roman"/>
          <w:szCs w:val="24"/>
          <w:lang w:eastAsia="en-AU"/>
        </w:rPr>
        <w:t>on mental health and wellbeing outcomes than community and social support</w:t>
      </w:r>
      <w:r w:rsidRPr="00F46435">
        <w:rPr>
          <w:rFonts w:eastAsia="Times New Roman" w:cs="Times New Roman"/>
          <w:szCs w:val="24"/>
          <w:vertAlign w:val="superscript"/>
          <w:lang w:eastAsia="en-AU"/>
        </w:rPr>
        <w:footnoteReference w:id="135"/>
      </w:r>
      <w:r w:rsidRPr="00F46435">
        <w:rPr>
          <w:rFonts w:eastAsia="Times New Roman" w:cs="Times New Roman"/>
          <w:szCs w:val="24"/>
          <w:lang w:eastAsia="en-AU"/>
        </w:rPr>
        <w:t xml:space="preserve">, particularly </w:t>
      </w:r>
      <w:r w:rsidR="004F2B34" w:rsidRPr="00F46435">
        <w:rPr>
          <w:rFonts w:eastAsia="Times New Roman" w:cs="Times New Roman"/>
          <w:szCs w:val="24"/>
          <w:lang w:eastAsia="en-AU"/>
        </w:rPr>
        <w:t>in terms of</w:t>
      </w:r>
      <w:r w:rsidRPr="00F46435">
        <w:rPr>
          <w:rFonts w:eastAsia="Times New Roman" w:cs="Times New Roman"/>
          <w:szCs w:val="24"/>
          <w:lang w:eastAsia="en-AU"/>
        </w:rPr>
        <w:t xml:space="preserve"> impacts </w:t>
      </w:r>
      <w:r w:rsidR="00D85FB3" w:rsidRPr="00F46435">
        <w:rPr>
          <w:rFonts w:eastAsia="Times New Roman" w:cs="Times New Roman"/>
          <w:szCs w:val="24"/>
          <w:lang w:eastAsia="en-AU"/>
        </w:rPr>
        <w:t>on</w:t>
      </w:r>
      <w:r w:rsidRPr="00F46435">
        <w:rPr>
          <w:rFonts w:eastAsia="Times New Roman" w:cs="Times New Roman"/>
          <w:szCs w:val="24"/>
          <w:lang w:eastAsia="en-AU"/>
        </w:rPr>
        <w:t xml:space="preserve"> early stages of self-identification and expression</w:t>
      </w:r>
      <w:r w:rsidR="009B236B" w:rsidRPr="00F46435">
        <w:rPr>
          <w:rFonts w:eastAsia="Times New Roman" w:cs="Times New Roman"/>
          <w:szCs w:val="24"/>
          <w:lang w:eastAsia="en-AU"/>
        </w:rPr>
        <w:t>.</w:t>
      </w:r>
      <w:r w:rsidRPr="00F46435">
        <w:rPr>
          <w:rFonts w:eastAsia="Times New Roman" w:cs="Times New Roman"/>
          <w:szCs w:val="24"/>
          <w:vertAlign w:val="superscript"/>
          <w:lang w:eastAsia="en-AU"/>
        </w:rPr>
        <w:footnoteReference w:id="136"/>
      </w:r>
      <w:r w:rsidRPr="00F46435">
        <w:rPr>
          <w:rFonts w:eastAsia="Times New Roman" w:cs="Times New Roman"/>
          <w:szCs w:val="24"/>
          <w:lang w:eastAsia="en-AU"/>
        </w:rPr>
        <w:t xml:space="preserve"> </w:t>
      </w:r>
    </w:p>
    <w:p w14:paraId="1D6C1D3E" w14:textId="6B210210" w:rsidR="008E013A" w:rsidRPr="008E013A" w:rsidRDefault="008E013A" w:rsidP="008E013A">
      <w:pPr>
        <w:spacing w:before="120" w:after="120"/>
        <w:rPr>
          <w:rFonts w:eastAsia="Times New Roman" w:cs="Times New Roman"/>
          <w:color w:val="000000" w:themeColor="text1"/>
          <w:lang w:eastAsia="en-AU"/>
        </w:rPr>
      </w:pPr>
      <w:r w:rsidRPr="60B37207">
        <w:rPr>
          <w:rFonts w:eastAsia="Times New Roman" w:cs="Times New Roman"/>
          <w:lang w:eastAsia="en-AU"/>
        </w:rPr>
        <w:t>The importance of family support is attributed to the “differing potency of ascribed relationships (family) compared with achieved relationships (friends or partners)”</w:t>
      </w:r>
      <w:r w:rsidRPr="60B37207">
        <w:rPr>
          <w:rFonts w:eastAsia="Times New Roman" w:cs="Times New Roman"/>
          <w:vertAlign w:val="superscript"/>
          <w:lang w:eastAsia="en-AU"/>
        </w:rPr>
        <w:footnoteReference w:id="137"/>
      </w:r>
      <w:r w:rsidRPr="60B37207">
        <w:rPr>
          <w:rFonts w:eastAsia="Times New Roman" w:cs="Times New Roman"/>
          <w:lang w:eastAsia="en-AU"/>
        </w:rPr>
        <w:t>, such that social support from peers often cannot compensate for low family support.</w:t>
      </w:r>
      <w:r w:rsidRPr="60B37207">
        <w:rPr>
          <w:rFonts w:eastAsia="Times New Roman" w:cs="Times New Roman"/>
          <w:vertAlign w:val="superscript"/>
          <w:lang w:eastAsia="en-AU"/>
        </w:rPr>
        <w:footnoteReference w:id="138"/>
      </w:r>
      <w:r w:rsidRPr="60B37207">
        <w:rPr>
          <w:rFonts w:eastAsia="Times New Roman" w:cs="Times New Roman"/>
          <w:lang w:eastAsia="en-AU"/>
        </w:rPr>
        <w:t xml:space="preserve"> In addition, </w:t>
      </w:r>
      <w:r w:rsidRPr="0052646E">
        <w:rPr>
          <w:rFonts w:eastAsia="Times New Roman" w:cs="Times New Roman"/>
          <w:lang w:eastAsia="en-AU"/>
        </w:rPr>
        <w:t>family support facilitates access to structural resources, particularly in the early stages of life</w:t>
      </w:r>
      <w:r w:rsidR="00B20F4D" w:rsidRPr="0052646E">
        <w:rPr>
          <w:rFonts w:eastAsia="Times New Roman" w:cs="Times New Roman"/>
          <w:lang w:eastAsia="en-AU"/>
        </w:rPr>
        <w:t>. As such</w:t>
      </w:r>
      <w:r w:rsidRPr="0052646E">
        <w:rPr>
          <w:rFonts w:eastAsia="Times New Roman" w:cs="Times New Roman"/>
          <w:lang w:eastAsia="en-AU"/>
        </w:rPr>
        <w:t>,</w:t>
      </w:r>
      <w:r w:rsidR="0056457B" w:rsidRPr="0052646E">
        <w:rPr>
          <w:rFonts w:eastAsia="Times New Roman" w:cs="Times New Roman"/>
          <w:lang w:eastAsia="en-AU"/>
        </w:rPr>
        <w:t xml:space="preserve"> in some cases</w:t>
      </w:r>
      <w:r w:rsidRPr="0052646E">
        <w:rPr>
          <w:rFonts w:eastAsia="Times New Roman" w:cs="Times New Roman"/>
          <w:lang w:eastAsia="en-AU"/>
        </w:rPr>
        <w:t xml:space="preserve"> </w:t>
      </w:r>
      <w:r w:rsidR="240820C4" w:rsidRPr="0052646E">
        <w:rPr>
          <w:rFonts w:eastAsia="Times New Roman" w:cs="Times New Roman"/>
          <w:lang w:eastAsia="en-AU"/>
        </w:rPr>
        <w:t xml:space="preserve">family rejection </w:t>
      </w:r>
      <w:r w:rsidR="00121738" w:rsidRPr="0052646E">
        <w:rPr>
          <w:rFonts w:eastAsia="Times New Roman" w:cs="Times New Roman"/>
          <w:lang w:eastAsia="en-AU"/>
        </w:rPr>
        <w:t>has b</w:t>
      </w:r>
      <w:r w:rsidR="0056457B" w:rsidRPr="0052646E">
        <w:rPr>
          <w:rFonts w:eastAsia="Times New Roman" w:cs="Times New Roman"/>
          <w:lang w:eastAsia="en-AU"/>
        </w:rPr>
        <w:t>een found to</w:t>
      </w:r>
      <w:r w:rsidRPr="0052646E">
        <w:rPr>
          <w:rFonts w:eastAsia="Times New Roman" w:cs="Times New Roman"/>
          <w:lang w:eastAsia="en-AU"/>
        </w:rPr>
        <w:t xml:space="preserve"> inhibit access to </w:t>
      </w:r>
      <w:r w:rsidR="00121738" w:rsidRPr="0052646E">
        <w:rPr>
          <w:rFonts w:eastAsia="Times New Roman" w:cs="Times New Roman"/>
          <w:lang w:eastAsia="en-AU"/>
        </w:rPr>
        <w:t xml:space="preserve">social and economic </w:t>
      </w:r>
      <w:r w:rsidRPr="0052646E">
        <w:rPr>
          <w:rFonts w:eastAsia="Times New Roman" w:cs="Times New Roman"/>
          <w:lang w:eastAsia="en-AU"/>
        </w:rPr>
        <w:t>necessities</w:t>
      </w:r>
      <w:r w:rsidR="0056457B" w:rsidRPr="0052646E">
        <w:rPr>
          <w:rFonts w:eastAsia="Times New Roman" w:cs="Times New Roman"/>
          <w:lang w:eastAsia="en-AU"/>
        </w:rPr>
        <w:t>,</w:t>
      </w:r>
      <w:r w:rsidRPr="0052646E">
        <w:rPr>
          <w:rFonts w:eastAsia="Times New Roman" w:cs="Times New Roman"/>
          <w:lang w:eastAsia="en-AU"/>
        </w:rPr>
        <w:t xml:space="preserve"> such as housing.</w:t>
      </w:r>
      <w:r w:rsidRPr="0052646E">
        <w:rPr>
          <w:rFonts w:eastAsia="Times New Roman" w:cs="Times New Roman"/>
          <w:vertAlign w:val="superscript"/>
          <w:lang w:eastAsia="en-AU"/>
        </w:rPr>
        <w:footnoteReference w:id="139"/>
      </w:r>
    </w:p>
    <w:p w14:paraId="57AAA711" w14:textId="6C952687" w:rsidR="008E013A" w:rsidRPr="008E013A" w:rsidRDefault="008E013A" w:rsidP="008E013A">
      <w:r w:rsidRPr="008E013A">
        <w:t xml:space="preserve">Rejection by, and isolation from, family has </w:t>
      </w:r>
      <w:r w:rsidR="0056457B">
        <w:t xml:space="preserve">also </w:t>
      </w:r>
      <w:r w:rsidRPr="008E013A">
        <w:t xml:space="preserve">been associated with a range of poor mental health and suicidal outcomes. </w:t>
      </w:r>
      <w:r w:rsidR="00201A9E">
        <w:t xml:space="preserve">For example, </w:t>
      </w:r>
      <w:r w:rsidRPr="008E013A">
        <w:t>Skerret et al (2016)’s autopsy of LGBT suicide cases in Australia found that LGBT people who had died by suicide were significantly less likely to have been accepted by their father (25%) and their mother (46.2%)</w:t>
      </w:r>
      <w:r w:rsidR="00852371">
        <w:t>,</w:t>
      </w:r>
      <w:r w:rsidRPr="008E013A">
        <w:t xml:space="preserve"> compared to those who had not (60.5% and 70.4% respectively).</w:t>
      </w:r>
      <w:r w:rsidRPr="008E013A">
        <w:rPr>
          <w:vertAlign w:val="superscript"/>
        </w:rPr>
        <w:footnoteReference w:id="140"/>
      </w:r>
      <w:r w:rsidRPr="008E013A">
        <w:t xml:space="preserve"> </w:t>
      </w:r>
    </w:p>
    <w:p w14:paraId="48D82552" w14:textId="32C4B1B0" w:rsidR="008E013A" w:rsidRPr="008E013A" w:rsidRDefault="008E013A" w:rsidP="008E013A">
      <w:r w:rsidRPr="008E013A">
        <w:t xml:space="preserve">Various studies have also indicated that the negative impacts of familial rejection and </w:t>
      </w:r>
      <w:r w:rsidRPr="001B1E61">
        <w:t>isolation</w:t>
      </w:r>
      <w:r w:rsidR="001B1E61" w:rsidRPr="001B1E61">
        <w:t xml:space="preserve"> can be</w:t>
      </w:r>
      <w:r w:rsidRPr="001B1E61">
        <w:t xml:space="preserve"> mediated</w:t>
      </w:r>
      <w:r w:rsidRPr="008E013A">
        <w:t xml:space="preserve"> by cultural background and poses an even greater risk to the mental health and wellbeing of individuals with larger kinship networks and strong family bonds.</w:t>
      </w:r>
      <w:r w:rsidRPr="008E013A">
        <w:rPr>
          <w:vertAlign w:val="superscript"/>
        </w:rPr>
        <w:footnoteReference w:id="141"/>
      </w:r>
    </w:p>
    <w:p w14:paraId="271C9514" w14:textId="2D31C3DD" w:rsidR="008E013A" w:rsidRPr="000E3F5E" w:rsidRDefault="00E1476C" w:rsidP="008E013A">
      <w:pPr>
        <w:spacing w:before="120" w:after="120"/>
        <w:rPr>
          <w:rFonts w:eastAsia="Times New Roman" w:cs="Times New Roman"/>
          <w:szCs w:val="24"/>
          <w:lang w:eastAsia="en-AU"/>
        </w:rPr>
      </w:pPr>
      <w:r w:rsidRPr="000E3F5E">
        <w:rPr>
          <w:rFonts w:eastAsia="Times New Roman" w:cs="Times New Roman"/>
          <w:szCs w:val="24"/>
          <w:lang w:eastAsia="en-AU"/>
        </w:rPr>
        <w:t>In the inverse, for</w:t>
      </w:r>
      <w:r w:rsidR="008E013A" w:rsidRPr="000E3F5E">
        <w:rPr>
          <w:rFonts w:eastAsia="Times New Roman" w:cs="Times New Roman"/>
          <w:szCs w:val="24"/>
          <w:lang w:eastAsia="en-AU"/>
        </w:rPr>
        <w:t xml:space="preserve"> LGBT populations, research has found that explicit expressions of approval and the capacity to have “open discussions” regarding identity with parents and family </w:t>
      </w:r>
      <w:r w:rsidR="005429B7" w:rsidRPr="000E3F5E">
        <w:rPr>
          <w:rFonts w:eastAsia="Times New Roman" w:cs="Times New Roman"/>
          <w:szCs w:val="24"/>
          <w:lang w:eastAsia="en-AU"/>
        </w:rPr>
        <w:t>act as potent</w:t>
      </w:r>
      <w:r w:rsidR="008E013A" w:rsidRPr="000E3F5E">
        <w:rPr>
          <w:rFonts w:eastAsia="Times New Roman" w:cs="Times New Roman"/>
          <w:szCs w:val="24"/>
          <w:lang w:eastAsia="en-AU"/>
        </w:rPr>
        <w:t xml:space="preserve"> protective </w:t>
      </w:r>
      <w:r w:rsidR="005429B7" w:rsidRPr="000E3F5E">
        <w:rPr>
          <w:rFonts w:eastAsia="Times New Roman" w:cs="Times New Roman"/>
          <w:szCs w:val="24"/>
          <w:lang w:eastAsia="en-AU"/>
        </w:rPr>
        <w:t>factor</w:t>
      </w:r>
      <w:r w:rsidR="000E3F5E">
        <w:rPr>
          <w:rFonts w:eastAsia="Times New Roman" w:cs="Times New Roman"/>
          <w:szCs w:val="24"/>
          <w:lang w:eastAsia="en-AU"/>
        </w:rPr>
        <w:t>s</w:t>
      </w:r>
      <w:r w:rsidR="005429B7" w:rsidRPr="000E3F5E">
        <w:rPr>
          <w:rFonts w:eastAsia="Times New Roman" w:cs="Times New Roman"/>
          <w:szCs w:val="24"/>
          <w:lang w:eastAsia="en-AU"/>
        </w:rPr>
        <w:t xml:space="preserve"> supporting mental health and wellbeing</w:t>
      </w:r>
      <w:r w:rsidR="008E013A" w:rsidRPr="000E3F5E">
        <w:rPr>
          <w:rFonts w:eastAsia="Times New Roman" w:cs="Times New Roman"/>
          <w:szCs w:val="24"/>
          <w:lang w:eastAsia="en-AU"/>
        </w:rPr>
        <w:t>, when compared to instances of only implicit support.</w:t>
      </w:r>
      <w:r w:rsidR="008E013A" w:rsidRPr="000E3F5E">
        <w:rPr>
          <w:rFonts w:eastAsia="Times New Roman" w:cs="Times New Roman"/>
          <w:szCs w:val="24"/>
          <w:vertAlign w:val="superscript"/>
          <w:lang w:eastAsia="en-AU"/>
        </w:rPr>
        <w:footnoteReference w:id="142"/>
      </w:r>
    </w:p>
    <w:p w14:paraId="02ED831D" w14:textId="29CECCDA" w:rsidR="00A15563" w:rsidRPr="00AD31EA" w:rsidRDefault="008E013A" w:rsidP="009B406F">
      <w:pPr>
        <w:pStyle w:val="NbrHeading3"/>
      </w:pPr>
      <w:bookmarkStart w:id="55" w:name="_Toc147225850"/>
      <w:bookmarkStart w:id="56" w:name="_Toc147218570"/>
      <w:bookmarkStart w:id="57" w:name="_Toc147218825"/>
      <w:bookmarkStart w:id="58" w:name="_Toc147225851"/>
      <w:bookmarkStart w:id="59" w:name="_Toc146743806"/>
      <w:bookmarkStart w:id="60" w:name="_Toc146787937"/>
      <w:bookmarkStart w:id="61" w:name="_Toc146798665"/>
      <w:bookmarkStart w:id="62" w:name="_Toc146743807"/>
      <w:bookmarkStart w:id="63" w:name="_Toc146787938"/>
      <w:bookmarkStart w:id="64" w:name="_Toc146798666"/>
      <w:bookmarkStart w:id="65" w:name="_Toc146743808"/>
      <w:bookmarkStart w:id="66" w:name="_Toc146787939"/>
      <w:bookmarkStart w:id="67" w:name="_Toc146798667"/>
      <w:bookmarkStart w:id="68" w:name="_Toc146743809"/>
      <w:bookmarkStart w:id="69" w:name="_Toc146787940"/>
      <w:bookmarkStart w:id="70" w:name="_Toc146798668"/>
      <w:bookmarkStart w:id="71" w:name="_Toc146743810"/>
      <w:bookmarkStart w:id="72" w:name="_Toc146787941"/>
      <w:bookmarkStart w:id="73" w:name="_Toc146798669"/>
      <w:bookmarkStart w:id="74" w:name="_Toc146743811"/>
      <w:bookmarkStart w:id="75" w:name="_Toc146787942"/>
      <w:bookmarkStart w:id="76" w:name="_Toc146798670"/>
      <w:bookmarkStart w:id="77" w:name="_Toc146743812"/>
      <w:bookmarkStart w:id="78" w:name="_Toc146787943"/>
      <w:bookmarkStart w:id="79" w:name="_Toc146798671"/>
      <w:bookmarkStart w:id="80" w:name="_Toc146743813"/>
      <w:bookmarkStart w:id="81" w:name="_Toc146787944"/>
      <w:bookmarkStart w:id="82" w:name="_Toc146798672"/>
      <w:bookmarkStart w:id="83" w:name="_Toc147225852"/>
      <w:bookmarkStart w:id="84" w:name="_Toc15389951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AD31EA">
        <w:lastRenderedPageBreak/>
        <w:t>Factors related to LGBT</w:t>
      </w:r>
      <w:r w:rsidR="001B1E61" w:rsidRPr="00AD31EA">
        <w:t>Q</w:t>
      </w:r>
      <w:r w:rsidRPr="00AD31EA">
        <w:t>+-specific development milestones</w:t>
      </w:r>
      <w:bookmarkEnd w:id="83"/>
      <w:bookmarkEnd w:id="84"/>
    </w:p>
    <w:p w14:paraId="3B618F41" w14:textId="3B043FF9" w:rsidR="00A15563" w:rsidRPr="00230868" w:rsidRDefault="00841C6F" w:rsidP="000D087E">
      <w:pPr>
        <w:rPr>
          <w:lang w:eastAsia="en-AU"/>
        </w:rPr>
      </w:pPr>
      <w:r w:rsidRPr="00230868">
        <w:rPr>
          <w:lang w:eastAsia="en-AU"/>
        </w:rPr>
        <w:t>The development of LGBT</w:t>
      </w:r>
      <w:r w:rsidR="001B1E61">
        <w:rPr>
          <w:lang w:eastAsia="en-AU"/>
        </w:rPr>
        <w:t>Q</w:t>
      </w:r>
      <w:r w:rsidRPr="00230868">
        <w:rPr>
          <w:lang w:eastAsia="en-AU"/>
        </w:rPr>
        <w:t>+ i</w:t>
      </w:r>
      <w:r w:rsidR="00BF26D6" w:rsidRPr="00230868">
        <w:rPr>
          <w:lang w:eastAsia="en-AU"/>
        </w:rPr>
        <w:t xml:space="preserve">dentities </w:t>
      </w:r>
      <w:r w:rsidR="00465CD6" w:rsidRPr="00230868">
        <w:rPr>
          <w:lang w:eastAsia="en-AU"/>
        </w:rPr>
        <w:t>ha</w:t>
      </w:r>
      <w:r w:rsidR="00A83ECB">
        <w:rPr>
          <w:lang w:eastAsia="en-AU"/>
        </w:rPr>
        <w:t>s</w:t>
      </w:r>
      <w:r w:rsidR="00465CD6" w:rsidRPr="00230868">
        <w:rPr>
          <w:lang w:eastAsia="en-AU"/>
        </w:rPr>
        <w:t xml:space="preserve"> been </w:t>
      </w:r>
      <w:r w:rsidR="00E96251" w:rsidRPr="00230868">
        <w:rPr>
          <w:lang w:eastAsia="en-AU"/>
        </w:rPr>
        <w:t xml:space="preserve">described in various </w:t>
      </w:r>
      <w:r w:rsidR="00A878A0" w:rsidRPr="00230868">
        <w:rPr>
          <w:lang w:eastAsia="en-AU"/>
        </w:rPr>
        <w:t>staged</w:t>
      </w:r>
      <w:r w:rsidR="00AC4C7A" w:rsidRPr="00230868">
        <w:rPr>
          <w:lang w:eastAsia="en-AU"/>
        </w:rPr>
        <w:t xml:space="preserve"> milestone </w:t>
      </w:r>
      <w:r w:rsidR="00163F7E" w:rsidRPr="00230868">
        <w:rPr>
          <w:lang w:eastAsia="en-AU"/>
        </w:rPr>
        <w:t>model</w:t>
      </w:r>
      <w:r w:rsidR="008D1A68" w:rsidRPr="00230868">
        <w:rPr>
          <w:lang w:eastAsia="en-AU"/>
        </w:rPr>
        <w:t xml:space="preserve">s </w:t>
      </w:r>
      <w:r w:rsidR="00AC4C7A" w:rsidRPr="00230868">
        <w:rPr>
          <w:lang w:eastAsia="en-AU"/>
        </w:rPr>
        <w:t>which assume</w:t>
      </w:r>
      <w:r w:rsidR="004962E8" w:rsidRPr="00230868">
        <w:rPr>
          <w:lang w:eastAsia="en-AU"/>
        </w:rPr>
        <w:t xml:space="preserve"> that</w:t>
      </w:r>
      <w:r w:rsidR="00C955F2" w:rsidRPr="00230868">
        <w:rPr>
          <w:lang w:eastAsia="en-AU"/>
        </w:rPr>
        <w:t xml:space="preserve"> LGBT</w:t>
      </w:r>
      <w:r w:rsidR="003074FD">
        <w:rPr>
          <w:lang w:eastAsia="en-AU"/>
        </w:rPr>
        <w:t>Q</w:t>
      </w:r>
      <w:r w:rsidR="00C955F2" w:rsidRPr="00230868">
        <w:rPr>
          <w:lang w:eastAsia="en-AU"/>
        </w:rPr>
        <w:t>+ people commonly undergo a</w:t>
      </w:r>
      <w:r w:rsidR="00AD0366" w:rsidRPr="00230868">
        <w:rPr>
          <w:lang w:eastAsia="en-AU"/>
        </w:rPr>
        <w:t xml:space="preserve"> </w:t>
      </w:r>
      <w:r w:rsidR="00755F92" w:rsidRPr="00230868">
        <w:rPr>
          <w:lang w:eastAsia="en-AU"/>
        </w:rPr>
        <w:t>linear</w:t>
      </w:r>
      <w:r w:rsidR="001552EC" w:rsidRPr="00230868">
        <w:rPr>
          <w:lang w:eastAsia="en-AU"/>
        </w:rPr>
        <w:t xml:space="preserve"> development process</w:t>
      </w:r>
      <w:r w:rsidR="00581A6A" w:rsidRPr="00230868">
        <w:rPr>
          <w:lang w:eastAsia="en-AU"/>
        </w:rPr>
        <w:t>:</w:t>
      </w:r>
      <w:r w:rsidR="001552EC" w:rsidRPr="00230868">
        <w:rPr>
          <w:lang w:eastAsia="en-AU"/>
        </w:rPr>
        <w:t xml:space="preserve"> </w:t>
      </w:r>
      <w:r w:rsidR="009519F9" w:rsidRPr="00230868">
        <w:rPr>
          <w:lang w:eastAsia="en-AU"/>
        </w:rPr>
        <w:t>this can be summarised as</w:t>
      </w:r>
      <w:r w:rsidR="000D087E" w:rsidRPr="00230868">
        <w:rPr>
          <w:lang w:eastAsia="en-AU"/>
        </w:rPr>
        <w:t xml:space="preserve"> questioning, discovering, understanding, accepting, and</w:t>
      </w:r>
      <w:r w:rsidR="00CC3512" w:rsidRPr="00230868">
        <w:rPr>
          <w:lang w:eastAsia="en-AU"/>
        </w:rPr>
        <w:t xml:space="preserve"> then</w:t>
      </w:r>
      <w:r w:rsidR="000D087E" w:rsidRPr="00230868">
        <w:rPr>
          <w:lang w:eastAsia="en-AU"/>
        </w:rPr>
        <w:t xml:space="preserve"> disclosing </w:t>
      </w:r>
      <w:r w:rsidR="001552EC" w:rsidRPr="00230868">
        <w:rPr>
          <w:lang w:eastAsia="en-AU"/>
        </w:rPr>
        <w:t xml:space="preserve">their </w:t>
      </w:r>
      <w:r w:rsidR="000D087E" w:rsidRPr="00230868">
        <w:rPr>
          <w:lang w:eastAsia="en-AU"/>
        </w:rPr>
        <w:t>identity</w:t>
      </w:r>
      <w:r w:rsidR="00CC3512" w:rsidRPr="00230868">
        <w:rPr>
          <w:lang w:eastAsia="en-AU"/>
        </w:rPr>
        <w:t xml:space="preserve"> or</w:t>
      </w:r>
      <w:r w:rsidR="000D087E" w:rsidRPr="00230868">
        <w:rPr>
          <w:lang w:eastAsia="en-AU"/>
        </w:rPr>
        <w:t xml:space="preserve"> ‘coming out’</w:t>
      </w:r>
      <w:r w:rsidR="001552EC" w:rsidRPr="00230868">
        <w:rPr>
          <w:lang w:eastAsia="en-AU"/>
        </w:rPr>
        <w:t>.</w:t>
      </w:r>
      <w:r w:rsidR="00F039D7" w:rsidRPr="00230868">
        <w:rPr>
          <w:lang w:eastAsia="en-AU"/>
        </w:rPr>
        <w:t xml:space="preserve"> </w:t>
      </w:r>
      <w:r w:rsidR="00D05B12">
        <w:rPr>
          <w:lang w:eastAsia="en-AU"/>
        </w:rPr>
        <w:t xml:space="preserve">Researchers have </w:t>
      </w:r>
      <w:r w:rsidR="00206F93" w:rsidRPr="00230868">
        <w:rPr>
          <w:lang w:eastAsia="en-AU"/>
        </w:rPr>
        <w:t>competing theories</w:t>
      </w:r>
      <w:r w:rsidR="00016F42" w:rsidRPr="00230868">
        <w:rPr>
          <w:lang w:eastAsia="en-AU"/>
        </w:rPr>
        <w:t xml:space="preserve"> regarding</w:t>
      </w:r>
      <w:r w:rsidR="00C847A2">
        <w:rPr>
          <w:lang w:eastAsia="en-AU"/>
        </w:rPr>
        <w:t xml:space="preserve"> both</w:t>
      </w:r>
      <w:r w:rsidR="00D1738E" w:rsidRPr="00230868">
        <w:rPr>
          <w:lang w:eastAsia="en-AU"/>
        </w:rPr>
        <w:t xml:space="preserve"> </w:t>
      </w:r>
      <w:r w:rsidR="00206F93" w:rsidRPr="00230868">
        <w:rPr>
          <w:lang w:eastAsia="en-AU"/>
        </w:rPr>
        <w:t xml:space="preserve">the </w:t>
      </w:r>
      <w:r w:rsidR="00D1738E" w:rsidRPr="00230868">
        <w:rPr>
          <w:lang w:eastAsia="en-AU"/>
        </w:rPr>
        <w:t>legitimacy of th</w:t>
      </w:r>
      <w:r w:rsidR="00B75568" w:rsidRPr="00230868">
        <w:rPr>
          <w:lang w:eastAsia="en-AU"/>
        </w:rPr>
        <w:t>ese</w:t>
      </w:r>
      <w:r w:rsidR="00F039D7" w:rsidRPr="00230868">
        <w:rPr>
          <w:lang w:eastAsia="en-AU"/>
        </w:rPr>
        <w:t xml:space="preserve"> type</w:t>
      </w:r>
      <w:r w:rsidR="00B75568" w:rsidRPr="00230868">
        <w:rPr>
          <w:lang w:eastAsia="en-AU"/>
        </w:rPr>
        <w:t>s</w:t>
      </w:r>
      <w:r w:rsidR="00F039D7" w:rsidRPr="00230868">
        <w:rPr>
          <w:lang w:eastAsia="en-AU"/>
        </w:rPr>
        <w:t xml:space="preserve"> of</w:t>
      </w:r>
      <w:r w:rsidR="00B75568" w:rsidRPr="00230868">
        <w:rPr>
          <w:lang w:eastAsia="en-AU"/>
        </w:rPr>
        <w:t xml:space="preserve"> linear</w:t>
      </w:r>
      <w:r w:rsidR="00F039D7" w:rsidRPr="00230868">
        <w:rPr>
          <w:lang w:eastAsia="en-AU"/>
        </w:rPr>
        <w:t xml:space="preserve"> </w:t>
      </w:r>
      <w:r w:rsidR="0020155A" w:rsidRPr="00230868">
        <w:rPr>
          <w:lang w:eastAsia="en-AU"/>
        </w:rPr>
        <w:t>milestone model</w:t>
      </w:r>
      <w:r w:rsidR="00697F66" w:rsidRPr="00230868">
        <w:rPr>
          <w:lang w:eastAsia="en-AU"/>
        </w:rPr>
        <w:t>s (elaborated on further below)</w:t>
      </w:r>
      <w:r w:rsidR="00B75568" w:rsidRPr="00230868">
        <w:rPr>
          <w:lang w:eastAsia="en-AU"/>
        </w:rPr>
        <w:t>,</w:t>
      </w:r>
      <w:r w:rsidR="000804F5" w:rsidRPr="00230868">
        <w:rPr>
          <w:lang w:eastAsia="en-AU"/>
        </w:rPr>
        <w:t xml:space="preserve"> </w:t>
      </w:r>
      <w:r w:rsidR="001D0514">
        <w:rPr>
          <w:lang w:eastAsia="en-AU"/>
        </w:rPr>
        <w:t xml:space="preserve">and the impacts that these development processes have on </w:t>
      </w:r>
      <w:r w:rsidR="0008066C" w:rsidRPr="00230868">
        <w:rPr>
          <w:lang w:eastAsia="en-AU"/>
        </w:rPr>
        <w:t xml:space="preserve">some people’s </w:t>
      </w:r>
      <w:r w:rsidR="00854811" w:rsidRPr="00230868">
        <w:rPr>
          <w:lang w:eastAsia="en-AU"/>
        </w:rPr>
        <w:t>mental health and wellbeing</w:t>
      </w:r>
      <w:r w:rsidR="00F92943">
        <w:rPr>
          <w:lang w:eastAsia="en-AU"/>
        </w:rPr>
        <w:t>.</w:t>
      </w:r>
      <w:r w:rsidR="00D16FF6" w:rsidRPr="00230868">
        <w:rPr>
          <w:vertAlign w:val="superscript"/>
        </w:rPr>
        <w:footnoteReference w:id="143"/>
      </w:r>
      <w:r w:rsidR="00D16FF6" w:rsidRPr="00230868">
        <w:t xml:space="preserve"> </w:t>
      </w:r>
      <w:r w:rsidR="00854811" w:rsidRPr="00230868">
        <w:rPr>
          <w:lang w:eastAsia="en-AU"/>
        </w:rPr>
        <w:t xml:space="preserve"> </w:t>
      </w:r>
    </w:p>
    <w:p w14:paraId="0E56CBF7" w14:textId="36938729" w:rsidR="008E013A" w:rsidRPr="00230868" w:rsidRDefault="0026407B" w:rsidP="008908F8">
      <w:r w:rsidRPr="00230868">
        <w:t xml:space="preserve">Some </w:t>
      </w:r>
      <w:r w:rsidR="00CC3512" w:rsidRPr="00230868">
        <w:t>studies</w:t>
      </w:r>
      <w:r w:rsidRPr="00230868">
        <w:t xml:space="preserve"> have indicated </w:t>
      </w:r>
      <w:r w:rsidR="238F3BE7" w:rsidRPr="00230868">
        <w:t>that</w:t>
      </w:r>
      <w:r w:rsidR="008E013A" w:rsidRPr="00230868">
        <w:t xml:space="preserve"> </w:t>
      </w:r>
      <w:r w:rsidR="00DC2191" w:rsidRPr="00230868">
        <w:t xml:space="preserve">the processes of </w:t>
      </w:r>
      <w:r w:rsidR="008E013A" w:rsidRPr="00230868">
        <w:t>navigating LGBT</w:t>
      </w:r>
      <w:r w:rsidR="003074FD">
        <w:t>Q</w:t>
      </w:r>
      <w:r w:rsidR="008E013A" w:rsidRPr="00230868">
        <w:t xml:space="preserve">+ specific milestones can have substantive positive impacts on mental health and wellbeing. </w:t>
      </w:r>
      <w:r w:rsidR="00601D2F" w:rsidRPr="00230868">
        <w:t>For example, r</w:t>
      </w:r>
      <w:r w:rsidR="008E013A" w:rsidRPr="00230868">
        <w:t>esearch</w:t>
      </w:r>
      <w:r w:rsidR="00B71FF9" w:rsidRPr="00230868">
        <w:t>ers</w:t>
      </w:r>
      <w:r w:rsidR="008E013A" w:rsidRPr="00230868">
        <w:t xml:space="preserve"> </w:t>
      </w:r>
      <w:r w:rsidR="00B71FF9" w:rsidRPr="00230868">
        <w:t>have suggested</w:t>
      </w:r>
      <w:r w:rsidR="008E013A" w:rsidRPr="00230868">
        <w:t xml:space="preserve"> the</w:t>
      </w:r>
      <w:r w:rsidR="00601D2F" w:rsidRPr="00230868">
        <w:t>y</w:t>
      </w:r>
      <w:r w:rsidR="008E013A" w:rsidRPr="00230868">
        <w:t xml:space="preserve"> can foster “a sense of personal empowerment” and self-</w:t>
      </w:r>
      <w:r w:rsidR="003074FD" w:rsidRPr="00230868">
        <w:t>acceptance and</w:t>
      </w:r>
      <w:r w:rsidR="008E013A" w:rsidRPr="00230868">
        <w:t xml:space="preserve"> support intra- and interpersonal growth.</w:t>
      </w:r>
      <w:r w:rsidR="008E013A" w:rsidRPr="00230868">
        <w:rPr>
          <w:vertAlign w:val="superscript"/>
        </w:rPr>
        <w:footnoteReference w:id="144"/>
      </w:r>
      <w:r w:rsidR="008E013A" w:rsidRPr="00230868">
        <w:t xml:space="preserve"> Conversely, the concealment of LGBT</w:t>
      </w:r>
      <w:r w:rsidR="003074FD">
        <w:t xml:space="preserve">Q+ </w:t>
      </w:r>
      <w:r w:rsidR="008E013A" w:rsidRPr="00230868">
        <w:t>identity has been associated with stress, self-isolation, lowered self-esteem</w:t>
      </w:r>
      <w:r w:rsidR="00F92943">
        <w:t>,</w:t>
      </w:r>
      <w:r w:rsidR="008E013A" w:rsidRPr="00230868">
        <w:t xml:space="preserve"> and various other negative mental health and suicide outcomes.</w:t>
      </w:r>
      <w:r w:rsidR="008E013A" w:rsidRPr="00230868">
        <w:rPr>
          <w:vertAlign w:val="superscript"/>
        </w:rPr>
        <w:footnoteReference w:id="145"/>
      </w:r>
      <w:r w:rsidR="00E2264A" w:rsidRPr="00230868">
        <w:t xml:space="preserve"> </w:t>
      </w:r>
    </w:p>
    <w:p w14:paraId="2DB9C3B7" w14:textId="3553A384" w:rsidR="00E3772D" w:rsidRPr="00230868" w:rsidRDefault="00581AC2" w:rsidP="005A577C">
      <w:r w:rsidRPr="00230868">
        <w:t>Conversely</w:t>
      </w:r>
      <w:r w:rsidR="00417D6F" w:rsidRPr="00230868">
        <w:t xml:space="preserve">, </w:t>
      </w:r>
      <w:r w:rsidR="008E013A" w:rsidRPr="00230868">
        <w:t xml:space="preserve">the </w:t>
      </w:r>
      <w:r w:rsidR="00DE7D04">
        <w:t xml:space="preserve">staged ‘coming out’ </w:t>
      </w:r>
      <w:r w:rsidR="008E013A" w:rsidRPr="00230868">
        <w:t xml:space="preserve">model </w:t>
      </w:r>
      <w:r w:rsidR="00DE7D04">
        <w:t>has received criticism for c</w:t>
      </w:r>
      <w:r w:rsidR="008E013A" w:rsidRPr="00230868">
        <w:t>reating a narrative of progression</w:t>
      </w:r>
      <w:r w:rsidR="007614AB" w:rsidRPr="00230868">
        <w:t xml:space="preserve"> which </w:t>
      </w:r>
      <w:r w:rsidR="008E013A" w:rsidRPr="00230868">
        <w:t>applies pressure on LGBT</w:t>
      </w:r>
      <w:r w:rsidR="003074FD">
        <w:t>Q</w:t>
      </w:r>
      <w:r w:rsidR="008E013A" w:rsidRPr="00230868">
        <w:t>+ people to move through these stages in a coherent way</w:t>
      </w:r>
      <w:r w:rsidRPr="00230868">
        <w:t>,</w:t>
      </w:r>
      <w:r w:rsidR="008E013A" w:rsidRPr="00230868">
        <w:t xml:space="preserve"> and </w:t>
      </w:r>
      <w:r w:rsidRPr="00230868">
        <w:t xml:space="preserve">then </w:t>
      </w:r>
      <w:r w:rsidR="008E013A" w:rsidRPr="00230868">
        <w:t xml:space="preserve">reveal their identity as a </w:t>
      </w:r>
      <w:r w:rsidR="00FA76CB" w:rsidRPr="00230868">
        <w:t xml:space="preserve">rite of passage or </w:t>
      </w:r>
      <w:r w:rsidR="008E013A" w:rsidRPr="00230868">
        <w:t>moral obligation.</w:t>
      </w:r>
      <w:r w:rsidR="008E013A" w:rsidRPr="00230868">
        <w:rPr>
          <w:vertAlign w:val="superscript"/>
        </w:rPr>
        <w:footnoteReference w:id="146"/>
      </w:r>
      <w:r w:rsidR="00E15FC8" w:rsidRPr="00230868">
        <w:t xml:space="preserve"> </w:t>
      </w:r>
      <w:r w:rsidR="005A577C" w:rsidRPr="00230868">
        <w:t>However, for some people it is not safe to come out, or by coming out they risk losing valued family and community resources which support mental health and wellbeing.</w:t>
      </w:r>
      <w:r w:rsidR="00226C5C" w:rsidRPr="00230868">
        <w:t xml:space="preserve"> For others, coming out is not</w:t>
      </w:r>
      <w:r w:rsidR="00F45260">
        <w:t xml:space="preserve"> considered</w:t>
      </w:r>
      <w:r w:rsidR="00AF7DF4">
        <w:t xml:space="preserve"> an</w:t>
      </w:r>
      <w:r w:rsidR="00F45260">
        <w:t xml:space="preserve"> imperative</w:t>
      </w:r>
      <w:r w:rsidR="00226C5C" w:rsidRPr="00230868">
        <w:t>.</w:t>
      </w:r>
      <w:r w:rsidR="00226C5C" w:rsidRPr="00230868">
        <w:rPr>
          <w:vertAlign w:val="superscript"/>
        </w:rPr>
        <w:footnoteReference w:id="147"/>
      </w:r>
    </w:p>
    <w:p w14:paraId="28CB5B7F" w14:textId="0FD1B3FB" w:rsidR="008E013A" w:rsidRPr="00230868" w:rsidRDefault="00B240CC" w:rsidP="00914725">
      <w:r w:rsidRPr="00230868">
        <w:t>The stage model</w:t>
      </w:r>
      <w:r w:rsidR="00CE1023" w:rsidRPr="00230868">
        <w:t xml:space="preserve"> has </w:t>
      </w:r>
      <w:r w:rsidR="00D71AC0" w:rsidRPr="00230868">
        <w:t>additionally</w:t>
      </w:r>
      <w:r w:rsidR="00CE1023" w:rsidRPr="00230868">
        <w:t xml:space="preserve"> been critic</w:t>
      </w:r>
      <w:r w:rsidR="00D71AC0" w:rsidRPr="00230868">
        <w:t xml:space="preserve">ised for </w:t>
      </w:r>
      <w:r w:rsidR="00E82A98" w:rsidRPr="00230868">
        <w:t>being too rigid and not providing a</w:t>
      </w:r>
      <w:r w:rsidR="00EF4C39">
        <w:t>n</w:t>
      </w:r>
      <w:r w:rsidR="00E82A98" w:rsidRPr="00230868">
        <w:t xml:space="preserve"> </w:t>
      </w:r>
      <w:r w:rsidR="003E184F" w:rsidRPr="00230868">
        <w:t>accurate</w:t>
      </w:r>
      <w:r w:rsidR="00E82A98" w:rsidRPr="00230868">
        <w:t xml:space="preserve"> reflection of the dynamic and non-linear processes that many LGBT</w:t>
      </w:r>
      <w:r w:rsidR="00C923ED">
        <w:t>Q</w:t>
      </w:r>
      <w:r w:rsidR="00E82A98" w:rsidRPr="00230868">
        <w:t xml:space="preserve">+ </w:t>
      </w:r>
      <w:r w:rsidR="00F92943">
        <w:t xml:space="preserve">people </w:t>
      </w:r>
      <w:r w:rsidR="00E82A98" w:rsidRPr="00230868">
        <w:t xml:space="preserve">navigate </w:t>
      </w:r>
      <w:r w:rsidR="00F92943">
        <w:t>in</w:t>
      </w:r>
      <w:r w:rsidR="00E82A98" w:rsidRPr="00230868">
        <w:t xml:space="preserve"> relation to their identity. </w:t>
      </w:r>
      <w:r w:rsidR="00E100C1" w:rsidRPr="00230868">
        <w:t>For example, m</w:t>
      </w:r>
      <w:r w:rsidR="00E15FC8" w:rsidRPr="00230868">
        <w:t>any</w:t>
      </w:r>
      <w:r w:rsidR="008E013A" w:rsidRPr="00230868">
        <w:t xml:space="preserve"> LGBT</w:t>
      </w:r>
      <w:r w:rsidR="00C923ED">
        <w:t>Q</w:t>
      </w:r>
      <w:r w:rsidR="008E013A" w:rsidRPr="00230868">
        <w:t>+ people must continuously</w:t>
      </w:r>
      <w:r w:rsidR="00E15FC8" w:rsidRPr="00230868">
        <w:t xml:space="preserve"> </w:t>
      </w:r>
      <w:r w:rsidR="008E013A" w:rsidRPr="00230868">
        <w:t xml:space="preserve">navigate and </w:t>
      </w:r>
      <w:r w:rsidR="00700877" w:rsidRPr="00230868">
        <w:t>re-</w:t>
      </w:r>
      <w:r w:rsidR="008E013A" w:rsidRPr="00230868">
        <w:t xml:space="preserve">negotiate their identity in </w:t>
      </w:r>
      <w:r w:rsidR="00700877" w:rsidRPr="00230868">
        <w:t>different</w:t>
      </w:r>
      <w:r w:rsidR="008E013A" w:rsidRPr="00230868">
        <w:t xml:space="preserve"> social contexts, in relation to vari</w:t>
      </w:r>
      <w:r w:rsidR="0021236A" w:rsidRPr="00230868">
        <w:t>ed</w:t>
      </w:r>
      <w:r w:rsidR="008E013A" w:rsidRPr="00230868">
        <w:t xml:space="preserve"> social structures</w:t>
      </w:r>
      <w:r w:rsidR="46F7242E" w:rsidRPr="00230868">
        <w:t xml:space="preserve"> and intersecting experiences</w:t>
      </w:r>
      <w:r w:rsidR="00914725" w:rsidRPr="00230868">
        <w:t>.</w:t>
      </w:r>
      <w:r w:rsidR="0078779F" w:rsidRPr="00230868">
        <w:t xml:space="preserve"> </w:t>
      </w:r>
      <w:r w:rsidR="00864433" w:rsidRPr="00230868">
        <w:t>For some,</w:t>
      </w:r>
      <w:r w:rsidR="0078779F" w:rsidRPr="00230868">
        <w:t xml:space="preserve"> sexual</w:t>
      </w:r>
      <w:r w:rsidR="00B85365">
        <w:t xml:space="preserve"> orientation</w:t>
      </w:r>
      <w:r w:rsidR="0078779F" w:rsidRPr="00230868">
        <w:t xml:space="preserve"> and gender identity are fluid, or more nuanced</w:t>
      </w:r>
      <w:r w:rsidR="00F92943">
        <w:t>,</w:t>
      </w:r>
      <w:r w:rsidR="0078779F" w:rsidRPr="00230868">
        <w:t xml:space="preserve"> due to intersectional understandings of identity</w:t>
      </w:r>
      <w:r w:rsidR="005439C8" w:rsidRPr="00230868">
        <w:t>. For this reason,</w:t>
      </w:r>
      <w:r w:rsidR="00864433" w:rsidRPr="00230868">
        <w:t xml:space="preserve"> the coming out narrative</w:t>
      </w:r>
      <w:r w:rsidR="005B0BE6">
        <w:t>,</w:t>
      </w:r>
      <w:r w:rsidR="00070A51">
        <w:t xml:space="preserve"> with </w:t>
      </w:r>
      <w:r w:rsidR="005439C8" w:rsidRPr="00230868">
        <w:t>its assumption of</w:t>
      </w:r>
      <w:r w:rsidR="00864433" w:rsidRPr="00230868">
        <w:t xml:space="preserve"> a final and coherent self that can be made intelligible to others</w:t>
      </w:r>
      <w:r w:rsidR="005B0BE6">
        <w:t>,</w:t>
      </w:r>
      <w:r w:rsidR="00A301DE" w:rsidRPr="00230868">
        <w:t xml:space="preserve"> does </w:t>
      </w:r>
      <w:r w:rsidR="00070A51">
        <w:t xml:space="preserve">not </w:t>
      </w:r>
      <w:r w:rsidR="00A301DE" w:rsidRPr="00230868">
        <w:t xml:space="preserve">reflect </w:t>
      </w:r>
      <w:r w:rsidR="00070A51">
        <w:t>the</w:t>
      </w:r>
      <w:r w:rsidR="00A301DE" w:rsidRPr="00230868">
        <w:t xml:space="preserve"> lived experience or </w:t>
      </w:r>
      <w:r w:rsidR="00D57A20" w:rsidRPr="00230868">
        <w:t xml:space="preserve">personal </w:t>
      </w:r>
      <w:r w:rsidR="00F85C85" w:rsidRPr="00230868">
        <w:t>situation</w:t>
      </w:r>
      <w:r w:rsidR="00070A51">
        <w:t>s of all LGBT</w:t>
      </w:r>
      <w:r w:rsidR="00C923ED">
        <w:t>Q</w:t>
      </w:r>
      <w:r w:rsidR="00070A51">
        <w:t>+ people</w:t>
      </w:r>
      <w:r w:rsidR="008E013A" w:rsidRPr="00230868">
        <w:t>.</w:t>
      </w:r>
      <w:r w:rsidR="008E013A" w:rsidRPr="00230868">
        <w:rPr>
          <w:vertAlign w:val="superscript"/>
        </w:rPr>
        <w:footnoteReference w:id="148"/>
      </w:r>
      <w:r w:rsidR="008E013A" w:rsidRPr="00230868">
        <w:t xml:space="preserve"> </w:t>
      </w:r>
    </w:p>
    <w:p w14:paraId="1C81DCE6" w14:textId="34654468" w:rsidR="008E013A" w:rsidRPr="00A33859" w:rsidRDefault="005569A2" w:rsidP="005A577C">
      <w:r w:rsidRPr="00A33859">
        <w:lastRenderedPageBreak/>
        <w:t xml:space="preserve">Further, </w:t>
      </w:r>
      <w:r w:rsidR="00586E2C" w:rsidRPr="00A33859">
        <w:t xml:space="preserve">research has shown that </w:t>
      </w:r>
      <w:r w:rsidRPr="00A33859">
        <w:t>c</w:t>
      </w:r>
      <w:r w:rsidR="008E013A" w:rsidRPr="00A33859">
        <w:t xml:space="preserve">oming out is not </w:t>
      </w:r>
      <w:r w:rsidR="00586E2C" w:rsidRPr="00A33859">
        <w:t>just</w:t>
      </w:r>
      <w:r w:rsidR="008E013A" w:rsidRPr="00A33859">
        <w:t xml:space="preserve"> about</w:t>
      </w:r>
      <w:r w:rsidRPr="00A33859">
        <w:t xml:space="preserve"> internal processes of</w:t>
      </w:r>
      <w:r w:rsidR="008E013A" w:rsidRPr="00A33859">
        <w:t xml:space="preserve"> discovery and self-acceptance, but also </w:t>
      </w:r>
      <w:r w:rsidR="00586E2C" w:rsidRPr="00A33859">
        <w:t xml:space="preserve">linked to an individual’s </w:t>
      </w:r>
      <w:r w:rsidR="005832E8" w:rsidRPr="00A33859">
        <w:t xml:space="preserve">sense of safety and </w:t>
      </w:r>
      <w:r w:rsidR="00F92943">
        <w:t xml:space="preserve">their </w:t>
      </w:r>
      <w:r w:rsidR="008E013A" w:rsidRPr="00A33859">
        <w:t xml:space="preserve">access to </w:t>
      </w:r>
      <w:r w:rsidR="00214918" w:rsidRPr="00A33859">
        <w:t>information</w:t>
      </w:r>
      <w:r w:rsidR="005832E8" w:rsidRPr="00A33859">
        <w:t xml:space="preserve"> and </w:t>
      </w:r>
      <w:r w:rsidR="008E013A" w:rsidRPr="00A33859">
        <w:t xml:space="preserve">resources. </w:t>
      </w:r>
      <w:r w:rsidR="000035F9">
        <w:t xml:space="preserve">Access </w:t>
      </w:r>
      <w:r w:rsidR="008E013A" w:rsidRPr="00A33859">
        <w:t>to resources such as counselling can support LGBT</w:t>
      </w:r>
      <w:r w:rsidR="000F09E7">
        <w:t>Q</w:t>
      </w:r>
      <w:r w:rsidR="008E013A" w:rsidRPr="00A33859">
        <w:t>+ people to explore their sexual</w:t>
      </w:r>
      <w:r w:rsidR="00625599">
        <w:t xml:space="preserve"> orientation</w:t>
      </w:r>
      <w:r w:rsidR="000F09E7">
        <w:t xml:space="preserve"> or</w:t>
      </w:r>
      <w:r w:rsidR="008E013A" w:rsidRPr="00A33859">
        <w:t xml:space="preserve"> gender</w:t>
      </w:r>
      <w:r w:rsidR="00442847">
        <w:t xml:space="preserve"> identity</w:t>
      </w:r>
      <w:r w:rsidR="008E013A" w:rsidRPr="00A33859">
        <w:t xml:space="preserve">. </w:t>
      </w:r>
      <w:r w:rsidR="005832E8" w:rsidRPr="00A33859">
        <w:t>For example,</w:t>
      </w:r>
      <w:r w:rsidR="00773F36" w:rsidRPr="00A33859">
        <w:t xml:space="preserve"> </w:t>
      </w:r>
      <w:r w:rsidR="005A577C" w:rsidRPr="00A33859">
        <w:t>the lack of widespread understanding of bisexuality can limit a person</w:t>
      </w:r>
      <w:r w:rsidR="00F92943">
        <w:t>’s ability</w:t>
      </w:r>
      <w:r w:rsidR="005A577C" w:rsidRPr="00A33859">
        <w:t xml:space="preserve"> to discover and disclose identity</w:t>
      </w:r>
      <w:r w:rsidR="00545111" w:rsidRPr="00A33859">
        <w:t xml:space="preserve"> in the absence of resources and support</w:t>
      </w:r>
      <w:r w:rsidR="005A577C" w:rsidRPr="00A33859">
        <w:t>.</w:t>
      </w:r>
      <w:r w:rsidR="005A577C" w:rsidRPr="00A33859">
        <w:rPr>
          <w:vertAlign w:val="superscript"/>
        </w:rPr>
        <w:footnoteReference w:id="149"/>
      </w:r>
      <w:r w:rsidR="005A577C" w:rsidRPr="00A33859">
        <w:t xml:space="preserve"> </w:t>
      </w:r>
    </w:p>
    <w:p w14:paraId="3D041B27" w14:textId="00BCA3DA" w:rsidR="008E013A" w:rsidRPr="008E013A" w:rsidRDefault="2981A391" w:rsidP="008E013A">
      <w:r>
        <w:t>Recognising</w:t>
      </w:r>
      <w:r w:rsidR="6AEEF990">
        <w:t xml:space="preserve"> critiques of stage </w:t>
      </w:r>
      <w:r>
        <w:t xml:space="preserve">frameworks, </w:t>
      </w:r>
      <w:r w:rsidR="008E013A">
        <w:t>research</w:t>
      </w:r>
      <w:r w:rsidR="008E013A" w:rsidRPr="008E013A">
        <w:t xml:space="preserve"> has</w:t>
      </w:r>
      <w:r w:rsidR="000A2F78">
        <w:t xml:space="preserve"> nonetheless </w:t>
      </w:r>
      <w:r w:rsidR="008E013A" w:rsidRPr="008E013A">
        <w:t>explored how social and contextual factors can mediate the mental health and wellbeing impacts of navigating LGBT</w:t>
      </w:r>
      <w:r w:rsidR="000F09E7">
        <w:t>Q</w:t>
      </w:r>
      <w:r w:rsidR="008E013A" w:rsidRPr="008E013A">
        <w:t>+ milestones</w:t>
      </w:r>
      <w:r w:rsidR="001A3527">
        <w:t>. In particular, the literature iden</w:t>
      </w:r>
      <w:r w:rsidR="009D19FF">
        <w:t>tifies</w:t>
      </w:r>
      <w:r w:rsidR="005569A2">
        <w:t xml:space="preserve"> </w:t>
      </w:r>
      <w:r w:rsidR="008E013A" w:rsidRPr="008E013A">
        <w:t>age and life stages</w:t>
      </w:r>
      <w:r w:rsidR="009D19FF">
        <w:t xml:space="preserve"> as two core factors</w:t>
      </w:r>
      <w:r w:rsidR="008E013A" w:rsidRPr="008E013A">
        <w:t>:</w:t>
      </w:r>
    </w:p>
    <w:p w14:paraId="61927877" w14:textId="7B5923EA" w:rsidR="008E013A" w:rsidRPr="008A621B" w:rsidRDefault="008E013A" w:rsidP="00002E2A">
      <w:pPr>
        <w:pStyle w:val="ListBullet0"/>
      </w:pPr>
      <w:r w:rsidRPr="00FF3C03">
        <w:rPr>
          <w:b/>
        </w:rPr>
        <w:t>Age</w:t>
      </w:r>
      <w:r w:rsidR="00F92943">
        <w:t>:</w:t>
      </w:r>
      <w:r w:rsidRPr="00FF3C03">
        <w:t xml:space="preserve"> </w:t>
      </w:r>
      <w:r w:rsidR="00F92943">
        <w:t>t</w:t>
      </w:r>
      <w:r w:rsidRPr="00FF3C03">
        <w:t>here</w:t>
      </w:r>
      <w:r w:rsidRPr="008A621B">
        <w:t xml:space="preserve"> is no consensus </w:t>
      </w:r>
      <w:r w:rsidR="009D19FF">
        <w:t>amo</w:t>
      </w:r>
      <w:r w:rsidR="00956E7A">
        <w:t>ngst researchers</w:t>
      </w:r>
      <w:r w:rsidRPr="008A621B">
        <w:t xml:space="preserve"> regarding the impacts of age </w:t>
      </w:r>
      <w:r w:rsidR="0096159B" w:rsidRPr="00972799">
        <w:t>when</w:t>
      </w:r>
      <w:r w:rsidRPr="008A621B">
        <w:t xml:space="preserve"> navigating sexual</w:t>
      </w:r>
      <w:r w:rsidR="005220F3">
        <w:t xml:space="preserve"> orientation</w:t>
      </w:r>
      <w:r w:rsidRPr="008A621B">
        <w:t xml:space="preserve"> and gender identity, with </w:t>
      </w:r>
      <w:r w:rsidR="00F92943">
        <w:t xml:space="preserve">different </w:t>
      </w:r>
      <w:r w:rsidRPr="008A621B">
        <w:t>studies noting</w:t>
      </w:r>
      <w:r w:rsidR="00F92943">
        <w:t xml:space="preserve"> both</w:t>
      </w:r>
      <w:r w:rsidRPr="008A621B">
        <w:t xml:space="preserve"> positive and negative impacts to mental health and wellbeing.</w:t>
      </w:r>
      <w:r w:rsidR="00002E2A" w:rsidRPr="00002E2A">
        <w:rPr>
          <w:rFonts w:eastAsiaTheme="minorHAnsi" w:cstheme="minorBidi"/>
          <w:szCs w:val="22"/>
          <w:lang w:eastAsia="en-US"/>
        </w:rPr>
        <w:t xml:space="preserve"> </w:t>
      </w:r>
      <w:r w:rsidR="005407B4">
        <w:rPr>
          <w:rFonts w:eastAsiaTheme="minorHAnsi" w:cstheme="minorBidi"/>
          <w:szCs w:val="22"/>
          <w:lang w:eastAsia="en-US"/>
        </w:rPr>
        <w:t>For example,</w:t>
      </w:r>
      <w:r w:rsidR="00A64332">
        <w:rPr>
          <w:rFonts w:eastAsiaTheme="minorHAnsi" w:cstheme="minorBidi"/>
          <w:szCs w:val="22"/>
          <w:lang w:eastAsia="en-US"/>
        </w:rPr>
        <w:t xml:space="preserve"> research has both associated the</w:t>
      </w:r>
      <w:r w:rsidR="00002E2A" w:rsidRPr="00002E2A">
        <w:t xml:space="preserve"> early experience </w:t>
      </w:r>
      <w:r w:rsidR="00351D63">
        <w:t xml:space="preserve">of ‘coming out’ as </w:t>
      </w:r>
      <w:r w:rsidR="00A64332">
        <w:t>LGBT</w:t>
      </w:r>
      <w:r w:rsidR="00002E2A" w:rsidRPr="00002E2A">
        <w:t xml:space="preserve"> with</w:t>
      </w:r>
      <w:r w:rsidR="00F30485">
        <w:t xml:space="preserve"> “positive psychosocial adjustment” and, conversely, </w:t>
      </w:r>
      <w:r w:rsidR="00A64332">
        <w:t xml:space="preserve">negative </w:t>
      </w:r>
      <w:r w:rsidR="009169E6">
        <w:t>impact</w:t>
      </w:r>
      <w:r w:rsidR="00A64332">
        <w:t>s to</w:t>
      </w:r>
      <w:r w:rsidR="009169E6">
        <w:t xml:space="preserve"> identity formation and self-esteem.</w:t>
      </w:r>
      <w:r w:rsidR="00002E2A" w:rsidRPr="00002E2A">
        <w:rPr>
          <w:vertAlign w:val="superscript"/>
        </w:rPr>
        <w:footnoteReference w:id="150"/>
      </w:r>
      <w:r w:rsidRPr="008A621B">
        <w:t xml:space="preserve"> </w:t>
      </w:r>
      <w:r w:rsidR="00FF3C03">
        <w:t>Researchers have linked these negative impacts to exposure to minority stressors at a more vulnerable age.</w:t>
      </w:r>
      <w:r w:rsidR="00FF3C03" w:rsidRPr="00002E2A">
        <w:rPr>
          <w:vertAlign w:val="superscript"/>
        </w:rPr>
        <w:footnoteReference w:id="151"/>
      </w:r>
      <w:r w:rsidR="00FF3C03" w:rsidRPr="008A621B">
        <w:t xml:space="preserve"> </w:t>
      </w:r>
      <w:r w:rsidR="00FF3C03">
        <w:t>In addition</w:t>
      </w:r>
      <w:r w:rsidR="00A02F94">
        <w:t>,</w:t>
      </w:r>
      <w:r w:rsidR="00373893">
        <w:t xml:space="preserve"> studies have indicated that receiving</w:t>
      </w:r>
      <w:r w:rsidR="00A02F94">
        <w:t xml:space="preserve"> </w:t>
      </w:r>
      <w:r w:rsidR="0075180E">
        <w:t xml:space="preserve">gender-affirming care during adolescence </w:t>
      </w:r>
      <w:r w:rsidR="00C37523">
        <w:t xml:space="preserve">can have substantive positive impacts on </w:t>
      </w:r>
      <w:r w:rsidR="007112AB">
        <w:t xml:space="preserve">lifelong mental health </w:t>
      </w:r>
      <w:r w:rsidR="00927077">
        <w:t xml:space="preserve">and suicide prevention </w:t>
      </w:r>
      <w:r w:rsidR="007112AB">
        <w:t>outcomes.</w:t>
      </w:r>
      <w:r w:rsidR="00050BA6">
        <w:rPr>
          <w:rStyle w:val="FootnoteReference"/>
        </w:rPr>
        <w:footnoteReference w:id="152"/>
      </w:r>
      <w:r w:rsidRPr="008A621B">
        <w:t xml:space="preserve"> It has, therefore, been suggested that the impact of age is mediated by other factors</w:t>
      </w:r>
      <w:r w:rsidR="00F92943">
        <w:t>,</w:t>
      </w:r>
      <w:r w:rsidRPr="008A621B">
        <w:t xml:space="preserve"> such as </w:t>
      </w:r>
      <w:r w:rsidR="00F92943">
        <w:t>an</w:t>
      </w:r>
      <w:r w:rsidRPr="008A621B">
        <w:t xml:space="preserve"> individual</w:t>
      </w:r>
      <w:r w:rsidR="00F92943">
        <w:t>’s environment,</w:t>
      </w:r>
      <w:r w:rsidRPr="008A621B">
        <w:t xml:space="preserve"> and the support received from their family and community, including formal support.</w:t>
      </w:r>
      <w:r w:rsidR="00B03080" w:rsidRPr="008A621B">
        <w:t xml:space="preserve"> </w:t>
      </w:r>
    </w:p>
    <w:p w14:paraId="6D761A4B" w14:textId="3BA06324" w:rsidR="004B166B" w:rsidRDefault="008E013A" w:rsidP="004B166B">
      <w:pPr>
        <w:pStyle w:val="ListBullet0"/>
      </w:pPr>
      <w:r w:rsidRPr="00B60F64">
        <w:rPr>
          <w:b/>
        </w:rPr>
        <w:t>Life stage</w:t>
      </w:r>
      <w:r w:rsidR="00F92943">
        <w:t>:</w:t>
      </w:r>
      <w:r w:rsidRPr="008A621B">
        <w:t xml:space="preserve"> </w:t>
      </w:r>
      <w:r w:rsidR="00F92943">
        <w:t>r</w:t>
      </w:r>
      <w:r w:rsidRPr="008A621B">
        <w:t xml:space="preserve">esearch has indicated that the life stage </w:t>
      </w:r>
      <w:r w:rsidR="00A83CFD">
        <w:t>when</w:t>
      </w:r>
      <w:r w:rsidRPr="008A621B">
        <w:t xml:space="preserve"> LGBT</w:t>
      </w:r>
      <w:r w:rsidR="00700C96">
        <w:t>Q</w:t>
      </w:r>
      <w:r w:rsidRPr="008A621B">
        <w:t xml:space="preserve">+ people engage in identity negotiation can have a significant impact on their mental health. For example, navigating </w:t>
      </w:r>
      <w:r w:rsidR="0050721C">
        <w:t xml:space="preserve">sexual orientation and </w:t>
      </w:r>
      <w:r w:rsidRPr="008A621B">
        <w:t>gender identity within</w:t>
      </w:r>
      <w:r w:rsidRPr="00B60F64">
        <w:rPr>
          <w:b/>
        </w:rPr>
        <w:t xml:space="preserve"> </w:t>
      </w:r>
      <w:r w:rsidRPr="008A621B">
        <w:t xml:space="preserve">hetero- and cis-normative family units can </w:t>
      </w:r>
      <w:r w:rsidR="008E5009">
        <w:t>carry additional complications</w:t>
      </w:r>
      <w:r w:rsidRPr="008A621B">
        <w:t xml:space="preserve"> as people must also negotiate the potential impacts on intimate relationships, co-parenting arrangements, and children.</w:t>
      </w:r>
      <w:r w:rsidRPr="008A621B">
        <w:rPr>
          <w:vertAlign w:val="superscript"/>
        </w:rPr>
        <w:footnoteReference w:id="153"/>
      </w:r>
      <w:r w:rsidRPr="008A621B">
        <w:t xml:space="preserve"> This can exacerbate the risks of internal and external stressors</w:t>
      </w:r>
      <w:r w:rsidR="00F92943">
        <w:t>,</w:t>
      </w:r>
      <w:r w:rsidRPr="008A621B">
        <w:t xml:space="preserve"> such as losing a partner or children through relationship breakup, divorce, family separation, or formal custody battles. However, as noted above</w:t>
      </w:r>
      <w:r w:rsidR="00956E7A">
        <w:t>,</w:t>
      </w:r>
      <w:r w:rsidRPr="008A621B">
        <w:t xml:space="preserve"> these factors are themselves also mediated by other contextual factors</w:t>
      </w:r>
      <w:r w:rsidR="00F92943">
        <w:t>,</w:t>
      </w:r>
      <w:r w:rsidRPr="008A621B">
        <w:t xml:space="preserve"> such as generation or geographical location</w:t>
      </w:r>
      <w:r w:rsidR="00956E7A">
        <w:t>;</w:t>
      </w:r>
      <w:r w:rsidRPr="008A621B">
        <w:t xml:space="preserve"> intersectional identity</w:t>
      </w:r>
      <w:r w:rsidR="00956E7A">
        <w:t>;</w:t>
      </w:r>
      <w:r w:rsidRPr="008A621B">
        <w:t xml:space="preserve"> or </w:t>
      </w:r>
      <w:r w:rsidRPr="008A621B">
        <w:lastRenderedPageBreak/>
        <w:t xml:space="preserve">intelligibility of gender or </w:t>
      </w:r>
      <w:r w:rsidR="0087782C">
        <w:t>sexual orientation</w:t>
      </w:r>
      <w:r w:rsidRPr="008A621B">
        <w:t xml:space="preserve">, </w:t>
      </w:r>
      <w:r w:rsidR="00F92943">
        <w:t xml:space="preserve">each of </w:t>
      </w:r>
      <w:r w:rsidRPr="008A621B">
        <w:t>which can alter community acceptance and the sociopolitical context in which these experiences occur.</w:t>
      </w:r>
      <w:r w:rsidRPr="008A621B">
        <w:rPr>
          <w:vertAlign w:val="superscript"/>
        </w:rPr>
        <w:footnoteReference w:id="154"/>
      </w:r>
    </w:p>
    <w:p w14:paraId="5E9FDE12" w14:textId="01F71C40" w:rsidR="004B166B" w:rsidRDefault="004B166B" w:rsidP="004B166B">
      <w:r>
        <w:t>Taken together</w:t>
      </w:r>
      <w:r w:rsidR="00613602">
        <w:t>,</w:t>
      </w:r>
      <w:r>
        <w:t xml:space="preserve"> th</w:t>
      </w:r>
      <w:r w:rsidR="00B003C8">
        <w:t xml:space="preserve">ese </w:t>
      </w:r>
      <w:r w:rsidR="00613602">
        <w:t xml:space="preserve">factors highlight </w:t>
      </w:r>
      <w:r w:rsidR="00B003C8">
        <w:t>the need to not assume a one-size-fits</w:t>
      </w:r>
      <w:r w:rsidR="00F92943">
        <w:t>-</w:t>
      </w:r>
      <w:r w:rsidR="00B003C8">
        <w:t xml:space="preserve">all approach </w:t>
      </w:r>
      <w:proofErr w:type="gramStart"/>
      <w:r w:rsidR="00613602">
        <w:t>w</w:t>
      </w:r>
      <w:r w:rsidR="00F92943">
        <w:t>ith regard to</w:t>
      </w:r>
      <w:proofErr w:type="gramEnd"/>
      <w:r w:rsidR="00613602">
        <w:t xml:space="preserve"> the mental health and </w:t>
      </w:r>
      <w:r w:rsidR="003D4BCE">
        <w:t>wellbeing</w:t>
      </w:r>
      <w:r w:rsidR="00613602">
        <w:t xml:space="preserve"> of LGBT</w:t>
      </w:r>
      <w:r w:rsidR="00700C96">
        <w:t>Q</w:t>
      </w:r>
      <w:r w:rsidR="00613602">
        <w:t>+ people across Australia.</w:t>
      </w:r>
    </w:p>
    <w:p w14:paraId="51934CF4" w14:textId="77777777" w:rsidR="00C618B3" w:rsidRDefault="00C618B3" w:rsidP="009B406F">
      <w:pPr>
        <w:pStyle w:val="NbrHeading2"/>
      </w:pPr>
      <w:bookmarkStart w:id="85" w:name="_Toc153899513"/>
      <w:bookmarkStart w:id="86" w:name="_Toc147225853"/>
      <w:r>
        <w:t xml:space="preserve">Supplementary </w:t>
      </w:r>
      <w:r w:rsidRPr="008E013A">
        <w:t xml:space="preserve">stressors </w:t>
      </w:r>
      <w:r>
        <w:t xml:space="preserve">experienced by some </w:t>
      </w:r>
      <w:r w:rsidRPr="008E013A">
        <w:t>communities</w:t>
      </w:r>
      <w:bookmarkEnd w:id="85"/>
    </w:p>
    <w:bookmarkEnd w:id="86"/>
    <w:p w14:paraId="6EAD9067" w14:textId="02ABE1FE" w:rsidR="003715B2" w:rsidRPr="00E94F9F" w:rsidRDefault="00DE204E" w:rsidP="00E94F9F">
      <w:pPr>
        <w:shd w:val="clear" w:color="auto" w:fill="FFFFFF" w:themeFill="background1"/>
        <w:spacing w:before="160"/>
        <w:ind w:left="1134"/>
        <w:rPr>
          <w:i/>
          <w:iCs/>
          <w:color w:val="0F4BEB" w:themeColor="accent1"/>
        </w:rPr>
      </w:pPr>
      <w:r w:rsidRPr="00E94F9F">
        <w:rPr>
          <w:i/>
          <w:iCs/>
          <w:color w:val="0F4BEB" w:themeColor="accent1"/>
        </w:rPr>
        <w:t xml:space="preserve">While the mental health and wellbeing </w:t>
      </w:r>
      <w:r w:rsidR="00543FEA" w:rsidRPr="00E94F9F">
        <w:rPr>
          <w:i/>
          <w:iCs/>
          <w:color w:val="0F4BEB" w:themeColor="accent1"/>
        </w:rPr>
        <w:t xml:space="preserve">stressors </w:t>
      </w:r>
      <w:r w:rsidRPr="00E94F9F">
        <w:rPr>
          <w:i/>
          <w:iCs/>
          <w:color w:val="0F4BEB" w:themeColor="accent1"/>
        </w:rPr>
        <w:t>outlined above can be generalised across the broader LGBT</w:t>
      </w:r>
      <w:r w:rsidR="00AC3BA4" w:rsidRPr="00E94F9F">
        <w:rPr>
          <w:i/>
          <w:iCs/>
          <w:color w:val="0F4BEB" w:themeColor="accent1"/>
        </w:rPr>
        <w:t>Q</w:t>
      </w:r>
      <w:r w:rsidRPr="00E94F9F">
        <w:rPr>
          <w:i/>
          <w:iCs/>
          <w:color w:val="0F4BEB" w:themeColor="accent1"/>
        </w:rPr>
        <w:t>+ community</w:t>
      </w:r>
      <w:r w:rsidR="00543FEA" w:rsidRPr="00E94F9F">
        <w:rPr>
          <w:i/>
          <w:iCs/>
          <w:color w:val="0F4BEB" w:themeColor="accent1"/>
        </w:rPr>
        <w:t xml:space="preserve">, there are various </w:t>
      </w:r>
      <w:r w:rsidR="008D3BBA" w:rsidRPr="00E94F9F">
        <w:rPr>
          <w:i/>
          <w:iCs/>
          <w:color w:val="0F4BEB" w:themeColor="accent1"/>
        </w:rPr>
        <w:t xml:space="preserve">additional issues or risk factors that can impact subgroups with the </w:t>
      </w:r>
      <w:r w:rsidR="00C55230" w:rsidRPr="00E94F9F">
        <w:rPr>
          <w:i/>
          <w:iCs/>
          <w:color w:val="0F4BEB" w:themeColor="accent1"/>
        </w:rPr>
        <w:t xml:space="preserve">community, or </w:t>
      </w:r>
      <w:r w:rsidR="00A012C3">
        <w:rPr>
          <w:i/>
          <w:iCs/>
          <w:color w:val="0F4BEB" w:themeColor="accent1"/>
        </w:rPr>
        <w:t xml:space="preserve">that </w:t>
      </w:r>
      <w:r w:rsidR="00C55230" w:rsidRPr="00E94F9F">
        <w:rPr>
          <w:i/>
          <w:iCs/>
          <w:color w:val="0F4BEB" w:themeColor="accent1"/>
        </w:rPr>
        <w:t xml:space="preserve">are compounded by intersectional issues. </w:t>
      </w:r>
    </w:p>
    <w:p w14:paraId="4FD788FD" w14:textId="7BD3EAF5" w:rsidR="00F66128" w:rsidRPr="00E94F9F" w:rsidRDefault="00C55230" w:rsidP="00E94F9F">
      <w:pPr>
        <w:shd w:val="clear" w:color="auto" w:fill="FFFFFF" w:themeFill="background1"/>
        <w:spacing w:before="160"/>
        <w:ind w:left="1134"/>
        <w:rPr>
          <w:i/>
          <w:iCs/>
          <w:color w:val="0F4BEB" w:themeColor="accent1"/>
        </w:rPr>
      </w:pPr>
      <w:r w:rsidRPr="00E94F9F">
        <w:rPr>
          <w:i/>
          <w:iCs/>
          <w:color w:val="0F4BEB" w:themeColor="accent1"/>
        </w:rPr>
        <w:t>These</w:t>
      </w:r>
      <w:r w:rsidR="003715B2" w:rsidRPr="00E94F9F">
        <w:rPr>
          <w:i/>
          <w:iCs/>
          <w:color w:val="0F4BEB" w:themeColor="accent1"/>
        </w:rPr>
        <w:t xml:space="preserve"> are </w:t>
      </w:r>
      <w:r w:rsidR="00FD0F73" w:rsidRPr="00E94F9F">
        <w:rPr>
          <w:i/>
          <w:iCs/>
          <w:color w:val="0F4BEB" w:themeColor="accent1"/>
        </w:rPr>
        <w:t>summarised</w:t>
      </w:r>
      <w:r w:rsidR="003715B2" w:rsidRPr="00E94F9F">
        <w:rPr>
          <w:i/>
          <w:iCs/>
          <w:color w:val="0F4BEB" w:themeColor="accent1"/>
        </w:rPr>
        <w:t xml:space="preserve"> below</w:t>
      </w:r>
      <w:r w:rsidR="000160CB" w:rsidRPr="00E94F9F">
        <w:rPr>
          <w:i/>
          <w:iCs/>
          <w:color w:val="0F4BEB" w:themeColor="accent1"/>
        </w:rPr>
        <w:t>, commencing with</w:t>
      </w:r>
      <w:r w:rsidR="00FB4EFC" w:rsidRPr="00E94F9F">
        <w:rPr>
          <w:i/>
          <w:iCs/>
          <w:color w:val="0F4BEB" w:themeColor="accent1"/>
        </w:rPr>
        <w:t>, transgender</w:t>
      </w:r>
      <w:r w:rsidR="005C2AA0" w:rsidRPr="00E94F9F">
        <w:rPr>
          <w:i/>
          <w:iCs/>
          <w:color w:val="0F4BEB" w:themeColor="accent1"/>
        </w:rPr>
        <w:t xml:space="preserve"> </w:t>
      </w:r>
      <w:r w:rsidR="00FB4EFC" w:rsidRPr="00E94F9F">
        <w:rPr>
          <w:i/>
          <w:iCs/>
          <w:color w:val="0F4BEB" w:themeColor="accent1"/>
        </w:rPr>
        <w:t>and gender diverse people</w:t>
      </w:r>
      <w:r w:rsidR="00FD0F73" w:rsidRPr="00E94F9F">
        <w:rPr>
          <w:i/>
          <w:iCs/>
          <w:color w:val="0F4BEB" w:themeColor="accent1"/>
        </w:rPr>
        <w:t xml:space="preserve"> </w:t>
      </w:r>
      <w:r w:rsidR="00FB4EFC" w:rsidRPr="00E94F9F">
        <w:rPr>
          <w:i/>
          <w:iCs/>
          <w:color w:val="0F4BEB" w:themeColor="accent1"/>
        </w:rPr>
        <w:t>and bisexual people</w:t>
      </w:r>
      <w:r w:rsidR="00602608" w:rsidRPr="00E94F9F">
        <w:rPr>
          <w:i/>
          <w:iCs/>
          <w:color w:val="0F4BEB" w:themeColor="accent1"/>
        </w:rPr>
        <w:t xml:space="preserve"> (Section 3.3)</w:t>
      </w:r>
      <w:r w:rsidR="00937793" w:rsidRPr="00E94F9F">
        <w:rPr>
          <w:i/>
          <w:iCs/>
          <w:color w:val="0F4BEB" w:themeColor="accent1"/>
        </w:rPr>
        <w:t xml:space="preserve">, followed by </w:t>
      </w:r>
      <w:r w:rsidR="009F0FF6" w:rsidRPr="00E94F9F">
        <w:rPr>
          <w:i/>
          <w:iCs/>
          <w:color w:val="0F4BEB" w:themeColor="accent1"/>
        </w:rPr>
        <w:t>First</w:t>
      </w:r>
      <w:r w:rsidR="00602608" w:rsidRPr="00E94F9F">
        <w:rPr>
          <w:i/>
          <w:iCs/>
          <w:color w:val="0F4BEB" w:themeColor="accent1"/>
        </w:rPr>
        <w:t xml:space="preserve"> Nations </w:t>
      </w:r>
      <w:r w:rsidR="007C35D8" w:rsidRPr="00E94F9F">
        <w:rPr>
          <w:i/>
          <w:iCs/>
          <w:color w:val="0F4BEB" w:themeColor="accent1"/>
        </w:rPr>
        <w:t>peoples (3.4)</w:t>
      </w:r>
      <w:r w:rsidR="00A012C3">
        <w:rPr>
          <w:i/>
          <w:iCs/>
          <w:color w:val="0F4BEB" w:themeColor="accent1"/>
        </w:rPr>
        <w:t>,</w:t>
      </w:r>
      <w:r w:rsidR="007C35D8" w:rsidRPr="00E94F9F">
        <w:rPr>
          <w:i/>
          <w:iCs/>
          <w:color w:val="0F4BEB" w:themeColor="accent1"/>
        </w:rPr>
        <w:t xml:space="preserve"> and ending with </w:t>
      </w:r>
      <w:r w:rsidR="005C2AA0" w:rsidRPr="00E94F9F">
        <w:rPr>
          <w:i/>
          <w:iCs/>
          <w:color w:val="0F4BEB" w:themeColor="accent1"/>
        </w:rPr>
        <w:t xml:space="preserve">various </w:t>
      </w:r>
      <w:r w:rsidR="00EF3279" w:rsidRPr="00E94F9F">
        <w:rPr>
          <w:i/>
          <w:iCs/>
          <w:color w:val="0F4BEB" w:themeColor="accent1"/>
        </w:rPr>
        <w:t>stressors related to intersectionality</w:t>
      </w:r>
      <w:r w:rsidR="00707209" w:rsidRPr="00E94F9F">
        <w:rPr>
          <w:i/>
          <w:iCs/>
          <w:color w:val="0F4BEB" w:themeColor="accent1"/>
        </w:rPr>
        <w:t xml:space="preserve"> (3.5)</w:t>
      </w:r>
      <w:r w:rsidR="00EF3279" w:rsidRPr="00E94F9F">
        <w:rPr>
          <w:i/>
          <w:iCs/>
          <w:color w:val="0F4BEB" w:themeColor="accent1"/>
        </w:rPr>
        <w:t>.</w:t>
      </w:r>
    </w:p>
    <w:p w14:paraId="18778745" w14:textId="6C660BC2" w:rsidR="008E013A" w:rsidRPr="008E013A" w:rsidRDefault="008E013A" w:rsidP="009B406F">
      <w:pPr>
        <w:pStyle w:val="NbrHeading3"/>
      </w:pPr>
      <w:bookmarkStart w:id="87" w:name="_Toc147225854"/>
      <w:bookmarkStart w:id="88" w:name="_Toc153899514"/>
      <w:r w:rsidRPr="008E013A">
        <w:t xml:space="preserve">Transgender and </w:t>
      </w:r>
      <w:bookmarkEnd w:id="87"/>
      <w:r w:rsidR="007317F8">
        <w:t>gender diverse people</w:t>
      </w:r>
      <w:bookmarkEnd w:id="88"/>
    </w:p>
    <w:p w14:paraId="211D9C7A" w14:textId="346BB498" w:rsidR="00CC59E1" w:rsidRDefault="008E013A" w:rsidP="008E013A">
      <w:pPr>
        <w:spacing w:before="120" w:after="120"/>
        <w:rPr>
          <w:rFonts w:eastAsia="Times New Roman" w:cs="Times New Roman"/>
          <w:szCs w:val="24"/>
          <w:lang w:eastAsia="en-AU"/>
        </w:rPr>
      </w:pPr>
      <w:r w:rsidRPr="008E013A">
        <w:rPr>
          <w:rFonts w:eastAsia="Times New Roman" w:cs="Times New Roman"/>
          <w:szCs w:val="24"/>
          <w:lang w:eastAsia="en-AU"/>
        </w:rPr>
        <w:t xml:space="preserve">Trans and gender diverse people face </w:t>
      </w:r>
      <w:proofErr w:type="gramStart"/>
      <w:r w:rsidRPr="008E013A">
        <w:rPr>
          <w:rFonts w:eastAsia="Times New Roman" w:cs="Times New Roman"/>
          <w:szCs w:val="24"/>
          <w:lang w:eastAsia="en-AU"/>
        </w:rPr>
        <w:t>a number of</w:t>
      </w:r>
      <w:proofErr w:type="gramEnd"/>
      <w:r w:rsidRPr="008E013A">
        <w:rPr>
          <w:rFonts w:eastAsia="Times New Roman" w:cs="Times New Roman"/>
          <w:szCs w:val="24"/>
          <w:lang w:eastAsia="en-AU"/>
        </w:rPr>
        <w:t xml:space="preserve"> additi</w:t>
      </w:r>
      <w:r w:rsidR="000F132A">
        <w:rPr>
          <w:rFonts w:eastAsia="Times New Roman" w:cs="Times New Roman"/>
          <w:szCs w:val="24"/>
          <w:lang w:eastAsia="en-AU"/>
        </w:rPr>
        <w:t xml:space="preserve">onal stressors </w:t>
      </w:r>
      <w:r w:rsidRPr="008E013A">
        <w:rPr>
          <w:rFonts w:eastAsia="Times New Roman" w:cs="Times New Roman"/>
          <w:szCs w:val="24"/>
          <w:lang w:eastAsia="en-AU"/>
        </w:rPr>
        <w:t xml:space="preserve">when compared to the broader </w:t>
      </w:r>
      <w:r w:rsidR="00AC3BA4">
        <w:rPr>
          <w:rFonts w:eastAsia="Times New Roman" w:cs="Times New Roman"/>
          <w:szCs w:val="24"/>
          <w:lang w:eastAsia="en-AU"/>
        </w:rPr>
        <w:t>LGBTQ+</w:t>
      </w:r>
      <w:r w:rsidRPr="008E013A">
        <w:rPr>
          <w:rFonts w:eastAsia="Times New Roman" w:cs="Times New Roman"/>
          <w:szCs w:val="24"/>
          <w:lang w:eastAsia="en-AU"/>
        </w:rPr>
        <w:t xml:space="preserve"> community, as well as to the general population. </w:t>
      </w:r>
      <w:r w:rsidR="00782851">
        <w:rPr>
          <w:rFonts w:eastAsia="Times New Roman" w:cs="Times New Roman"/>
          <w:szCs w:val="24"/>
          <w:lang w:eastAsia="en-AU"/>
        </w:rPr>
        <w:t xml:space="preserve">Most research </w:t>
      </w:r>
      <w:r w:rsidR="0025245D">
        <w:rPr>
          <w:rFonts w:eastAsia="Times New Roman" w:cs="Times New Roman"/>
          <w:szCs w:val="24"/>
          <w:lang w:eastAsia="en-AU"/>
        </w:rPr>
        <w:t xml:space="preserve">has, unfortunately, tended to treat gender diverse people as a single group </w:t>
      </w:r>
      <w:r w:rsidR="00DA067A">
        <w:rPr>
          <w:rFonts w:eastAsia="Times New Roman" w:cs="Times New Roman"/>
          <w:szCs w:val="24"/>
          <w:lang w:eastAsia="en-AU"/>
        </w:rPr>
        <w:t xml:space="preserve">or </w:t>
      </w:r>
      <w:r w:rsidR="00A012C3">
        <w:rPr>
          <w:rFonts w:eastAsia="Times New Roman" w:cs="Times New Roman"/>
          <w:szCs w:val="24"/>
          <w:lang w:eastAsia="en-AU"/>
        </w:rPr>
        <w:t xml:space="preserve">has </w:t>
      </w:r>
      <w:r w:rsidR="00DA067A">
        <w:rPr>
          <w:rFonts w:eastAsia="Times New Roman" w:cs="Times New Roman"/>
          <w:szCs w:val="24"/>
          <w:lang w:eastAsia="en-AU"/>
        </w:rPr>
        <w:t xml:space="preserve">focused </w:t>
      </w:r>
      <w:r w:rsidR="00B21894">
        <w:rPr>
          <w:rFonts w:eastAsia="Times New Roman" w:cs="Times New Roman"/>
          <w:szCs w:val="24"/>
          <w:lang w:eastAsia="en-AU"/>
        </w:rPr>
        <w:t xml:space="preserve">primarily </w:t>
      </w:r>
      <w:r w:rsidR="00CF4070">
        <w:rPr>
          <w:rFonts w:eastAsia="Times New Roman" w:cs="Times New Roman"/>
          <w:szCs w:val="24"/>
          <w:lang w:eastAsia="en-AU"/>
        </w:rPr>
        <w:t xml:space="preserve">on </w:t>
      </w:r>
      <w:r w:rsidR="00B21894">
        <w:rPr>
          <w:rFonts w:eastAsia="Times New Roman" w:cs="Times New Roman"/>
          <w:szCs w:val="24"/>
          <w:lang w:eastAsia="en-AU"/>
        </w:rPr>
        <w:t>differences in</w:t>
      </w:r>
      <w:r w:rsidR="00CF4070">
        <w:rPr>
          <w:rFonts w:eastAsia="Times New Roman" w:cs="Times New Roman"/>
          <w:szCs w:val="24"/>
          <w:lang w:eastAsia="en-AU"/>
        </w:rPr>
        <w:t xml:space="preserve"> assigned gender at birth</w:t>
      </w:r>
      <w:r w:rsidR="00B21894">
        <w:rPr>
          <w:rFonts w:eastAsia="Times New Roman" w:cs="Times New Roman"/>
          <w:szCs w:val="24"/>
          <w:lang w:eastAsia="en-AU"/>
        </w:rPr>
        <w:t>, rather than differences in individual identity.</w:t>
      </w:r>
      <w:r w:rsidR="00B21894">
        <w:rPr>
          <w:rStyle w:val="FootnoteReference"/>
          <w:rFonts w:eastAsia="Times New Roman" w:cs="Times New Roman"/>
          <w:szCs w:val="24"/>
          <w:lang w:eastAsia="en-AU"/>
        </w:rPr>
        <w:footnoteReference w:id="155"/>
      </w:r>
      <w:r w:rsidR="00082652">
        <w:rPr>
          <w:rFonts w:eastAsia="Times New Roman" w:cs="Times New Roman"/>
          <w:szCs w:val="24"/>
          <w:lang w:eastAsia="en-AU"/>
        </w:rPr>
        <w:t xml:space="preserve"> </w:t>
      </w:r>
      <w:r w:rsidR="00B21894">
        <w:rPr>
          <w:rFonts w:eastAsia="Times New Roman" w:cs="Times New Roman"/>
          <w:szCs w:val="24"/>
          <w:lang w:eastAsia="en-AU"/>
        </w:rPr>
        <w:t>T</w:t>
      </w:r>
      <w:r w:rsidR="0025245D">
        <w:rPr>
          <w:rFonts w:eastAsia="Times New Roman" w:cs="Times New Roman"/>
          <w:szCs w:val="24"/>
          <w:lang w:eastAsia="en-AU"/>
        </w:rPr>
        <w:t>here</w:t>
      </w:r>
      <w:r w:rsidR="00B21894">
        <w:rPr>
          <w:rFonts w:eastAsia="Times New Roman" w:cs="Times New Roman"/>
          <w:szCs w:val="24"/>
          <w:lang w:eastAsia="en-AU"/>
        </w:rPr>
        <w:t xml:space="preserve"> are</w:t>
      </w:r>
      <w:r w:rsidR="0025245D">
        <w:rPr>
          <w:rFonts w:eastAsia="Times New Roman" w:cs="Times New Roman"/>
          <w:szCs w:val="24"/>
          <w:lang w:eastAsia="en-AU"/>
        </w:rPr>
        <w:t>, ther</w:t>
      </w:r>
      <w:r w:rsidR="002701FA">
        <w:rPr>
          <w:rFonts w:eastAsia="Times New Roman" w:cs="Times New Roman"/>
          <w:szCs w:val="24"/>
          <w:lang w:eastAsia="en-AU"/>
        </w:rPr>
        <w:t xml:space="preserve">efore, limited studies </w:t>
      </w:r>
      <w:r w:rsidR="00A012C3">
        <w:rPr>
          <w:rFonts w:eastAsia="Times New Roman" w:cs="Times New Roman"/>
          <w:szCs w:val="24"/>
          <w:lang w:eastAsia="en-AU"/>
        </w:rPr>
        <w:t>that</w:t>
      </w:r>
      <w:r w:rsidR="002701FA">
        <w:rPr>
          <w:rFonts w:eastAsia="Times New Roman" w:cs="Times New Roman"/>
          <w:szCs w:val="24"/>
          <w:lang w:eastAsia="en-AU"/>
        </w:rPr>
        <w:t xml:space="preserve"> consider</w:t>
      </w:r>
      <w:r w:rsidR="006A10BC">
        <w:rPr>
          <w:rFonts w:eastAsia="Times New Roman" w:cs="Times New Roman"/>
          <w:szCs w:val="24"/>
          <w:lang w:eastAsia="en-AU"/>
        </w:rPr>
        <w:t xml:space="preserve"> specific risk factors for</w:t>
      </w:r>
      <w:r w:rsidR="00CC59E1">
        <w:rPr>
          <w:rFonts w:eastAsia="Times New Roman" w:cs="Times New Roman"/>
          <w:szCs w:val="24"/>
          <w:lang w:eastAsia="en-AU"/>
        </w:rPr>
        <w:t xml:space="preserve"> more marginalised gender diverse identities, such as non-binary and gender fluid individuals.</w:t>
      </w:r>
    </w:p>
    <w:p w14:paraId="3C8D1086" w14:textId="332D0270" w:rsidR="008E013A" w:rsidRPr="008E013A" w:rsidRDefault="00B21894" w:rsidP="008E013A">
      <w:pPr>
        <w:spacing w:before="120" w:after="120"/>
        <w:rPr>
          <w:rFonts w:eastAsia="Times New Roman" w:cs="Times New Roman"/>
          <w:szCs w:val="24"/>
          <w:lang w:eastAsia="en-AU"/>
        </w:rPr>
      </w:pPr>
      <w:r>
        <w:rPr>
          <w:rFonts w:eastAsia="Times New Roman" w:cs="Times New Roman"/>
          <w:szCs w:val="24"/>
          <w:lang w:eastAsia="en-AU"/>
        </w:rPr>
        <w:t xml:space="preserve">For the purposes of this </w:t>
      </w:r>
      <w:r w:rsidR="00027602">
        <w:rPr>
          <w:rFonts w:eastAsia="Times New Roman" w:cs="Times New Roman"/>
          <w:szCs w:val="24"/>
          <w:lang w:eastAsia="en-AU"/>
        </w:rPr>
        <w:t>overview</w:t>
      </w:r>
      <w:r>
        <w:rPr>
          <w:rFonts w:eastAsia="Times New Roman" w:cs="Times New Roman"/>
          <w:szCs w:val="24"/>
          <w:lang w:eastAsia="en-AU"/>
        </w:rPr>
        <w:t xml:space="preserve">, </w:t>
      </w:r>
      <w:r w:rsidR="00027602">
        <w:rPr>
          <w:rFonts w:eastAsia="Times New Roman" w:cs="Times New Roman"/>
          <w:szCs w:val="24"/>
          <w:lang w:eastAsia="en-AU"/>
        </w:rPr>
        <w:t xml:space="preserve">we have summarised </w:t>
      </w:r>
      <w:r w:rsidR="00267B4B">
        <w:rPr>
          <w:rFonts w:eastAsia="Times New Roman" w:cs="Times New Roman"/>
          <w:szCs w:val="24"/>
          <w:lang w:eastAsia="en-AU"/>
        </w:rPr>
        <w:t xml:space="preserve">the major </w:t>
      </w:r>
      <w:r w:rsidR="00082652">
        <w:rPr>
          <w:rFonts w:eastAsia="Times New Roman" w:cs="Times New Roman"/>
          <w:szCs w:val="24"/>
          <w:lang w:eastAsia="en-AU"/>
        </w:rPr>
        <w:t xml:space="preserve">additional risk factors </w:t>
      </w:r>
      <w:r w:rsidR="00267B4B">
        <w:rPr>
          <w:rFonts w:eastAsia="Times New Roman" w:cs="Times New Roman"/>
          <w:szCs w:val="24"/>
          <w:lang w:eastAsia="en-AU"/>
        </w:rPr>
        <w:t>applicable to all gender diverse people as</w:t>
      </w:r>
      <w:r w:rsidR="008E013A" w:rsidRPr="008E013A">
        <w:rPr>
          <w:rFonts w:eastAsia="Times New Roman" w:cs="Times New Roman"/>
          <w:szCs w:val="24"/>
          <w:lang w:eastAsia="en-AU"/>
        </w:rPr>
        <w:t>:</w:t>
      </w:r>
    </w:p>
    <w:p w14:paraId="6CB8102C" w14:textId="0FFB95B9" w:rsidR="2EAFFE65" w:rsidRPr="001E6656" w:rsidRDefault="00FD0F73" w:rsidP="00A74059">
      <w:pPr>
        <w:pStyle w:val="ListBullet0"/>
      </w:pPr>
      <w:r w:rsidRPr="001E6656">
        <w:rPr>
          <w:b/>
          <w:bCs/>
        </w:rPr>
        <w:t>E</w:t>
      </w:r>
      <w:r>
        <w:rPr>
          <w:b/>
          <w:bCs/>
        </w:rPr>
        <w:t>r</w:t>
      </w:r>
      <w:r w:rsidRPr="001E6656">
        <w:rPr>
          <w:b/>
          <w:bCs/>
        </w:rPr>
        <w:t>asure</w:t>
      </w:r>
      <w:r w:rsidR="00A012C3">
        <w:t>:</w:t>
      </w:r>
      <w:r w:rsidR="009D688F">
        <w:t xml:space="preserve"> </w:t>
      </w:r>
      <w:r w:rsidR="00A012C3">
        <w:t>t</w:t>
      </w:r>
      <w:r w:rsidR="39F5F844" w:rsidRPr="001E6656">
        <w:t xml:space="preserve">rans and gender diverse people can face </w:t>
      </w:r>
      <w:r w:rsidR="05EADFC1" w:rsidRPr="001E6656">
        <w:t>near complete</w:t>
      </w:r>
      <w:r w:rsidR="39F5F844" w:rsidRPr="001E6656">
        <w:t xml:space="preserve"> erasure</w:t>
      </w:r>
      <w:r w:rsidR="005A46C1">
        <w:t xml:space="preserve"> in the provision of facilities</w:t>
      </w:r>
      <w:r w:rsidR="00137052">
        <w:t>, as well as the documentation and language used by many institutions</w:t>
      </w:r>
      <w:r w:rsidR="39B13C15" w:rsidRPr="001E6656">
        <w:t>.</w:t>
      </w:r>
      <w:r w:rsidR="00396AC5">
        <w:t xml:space="preserve"> </w:t>
      </w:r>
      <w:r w:rsidR="00441595">
        <w:t>This</w:t>
      </w:r>
      <w:r w:rsidR="00396AC5">
        <w:t xml:space="preserve"> has been linked to both </w:t>
      </w:r>
      <w:r w:rsidR="007648EB">
        <w:t xml:space="preserve">reduced </w:t>
      </w:r>
      <w:r w:rsidR="00396AC5" w:rsidRPr="001E6656">
        <w:t xml:space="preserve">access to inclusive, affirming, and safe </w:t>
      </w:r>
      <w:r w:rsidR="00396AC5">
        <w:t xml:space="preserve">services, as well as </w:t>
      </w:r>
      <w:r w:rsidR="009D688F">
        <w:t>poor mental health and suicide outcomes.</w:t>
      </w:r>
      <w:r w:rsidR="39B13C15" w:rsidRPr="001E6656">
        <w:t xml:space="preserve"> </w:t>
      </w:r>
      <w:r w:rsidR="00441595">
        <w:t xml:space="preserve">Erasure </w:t>
      </w:r>
      <w:r w:rsidR="00FC7FAE">
        <w:t>has, f</w:t>
      </w:r>
      <w:r w:rsidR="00D91CD4">
        <w:t>or</w:t>
      </w:r>
      <w:r w:rsidR="39B13C15" w:rsidRPr="001E6656">
        <w:t xml:space="preserve"> example, </w:t>
      </w:r>
      <w:r w:rsidR="007A7410">
        <w:t xml:space="preserve">been </w:t>
      </w:r>
      <w:r w:rsidR="00FC7FAE">
        <w:t>demonstrated with re</w:t>
      </w:r>
      <w:r w:rsidR="00A012C3">
        <w:t>gard</w:t>
      </w:r>
      <w:r w:rsidR="00FC7FAE">
        <w:t xml:space="preserve"> to</w:t>
      </w:r>
      <w:r w:rsidR="009D688F">
        <w:t xml:space="preserve"> cisnormativity in</w:t>
      </w:r>
      <w:r w:rsidR="00FC7FAE">
        <w:t xml:space="preserve"> </w:t>
      </w:r>
      <w:r w:rsidR="39B13C15" w:rsidRPr="001E6656">
        <w:t>perinatal care</w:t>
      </w:r>
      <w:r w:rsidR="00DA05AD">
        <w:t>: among other issues,</w:t>
      </w:r>
      <w:r w:rsidR="009D688F">
        <w:t xml:space="preserve"> </w:t>
      </w:r>
      <w:r w:rsidR="00BB6E56">
        <w:t xml:space="preserve">in </w:t>
      </w:r>
      <w:r w:rsidR="00DA05AD">
        <w:t>the</w:t>
      </w:r>
      <w:r w:rsidR="00BB6E56">
        <w:t xml:space="preserve"> organisation of the physical space by binary gender</w:t>
      </w:r>
      <w:r w:rsidR="00BB6E56" w:rsidRPr="001E6656">
        <w:t xml:space="preserve"> (e.g., mother’s rooms and women’s toilets)</w:t>
      </w:r>
      <w:r w:rsidR="003674DF">
        <w:t xml:space="preserve">; </w:t>
      </w:r>
      <w:r w:rsidR="3FBB963F" w:rsidRPr="001E6656">
        <w:t>language of the service (e.g.,</w:t>
      </w:r>
      <w:r w:rsidR="00057E29" w:rsidRPr="001E6656">
        <w:t xml:space="preserve"> </w:t>
      </w:r>
      <w:r w:rsidR="7A967BE0" w:rsidRPr="001E6656">
        <w:t>reference</w:t>
      </w:r>
      <w:r w:rsidR="00057E29" w:rsidRPr="001E6656">
        <w:t>s</w:t>
      </w:r>
      <w:r w:rsidR="7A967BE0" w:rsidRPr="001E6656">
        <w:t xml:space="preserve"> exclusively to</w:t>
      </w:r>
      <w:r w:rsidR="3FBB963F" w:rsidRPr="001E6656">
        <w:t xml:space="preserve"> ‘breast feeding’); </w:t>
      </w:r>
      <w:r w:rsidR="00C74216">
        <w:t xml:space="preserve">and </w:t>
      </w:r>
      <w:r w:rsidR="72BF49A2" w:rsidRPr="001E6656">
        <w:t>exclusion of non</w:t>
      </w:r>
      <w:r w:rsidR="00A83FAB" w:rsidRPr="001E6656">
        <w:t>-</w:t>
      </w:r>
      <w:r w:rsidR="72BF49A2" w:rsidRPr="001E6656">
        <w:t>gestational parent</w:t>
      </w:r>
      <w:r w:rsidR="309D05AC" w:rsidRPr="001E6656">
        <w:t>s</w:t>
      </w:r>
      <w:r w:rsidR="6A49B252" w:rsidRPr="001E6656">
        <w:t>.</w:t>
      </w:r>
      <w:r w:rsidR="00476AE2">
        <w:rPr>
          <w:rStyle w:val="FootnoteReference"/>
          <w:color w:val="000000" w:themeColor="text1"/>
        </w:rPr>
        <w:footnoteReference w:id="156"/>
      </w:r>
      <w:r w:rsidR="00476AE2" w:rsidRPr="001E6656">
        <w:rPr>
          <w:b/>
          <w:bCs/>
        </w:rPr>
        <w:t xml:space="preserve"> </w:t>
      </w:r>
      <w:r w:rsidR="00DA05AD">
        <w:t>This study indicated that</w:t>
      </w:r>
      <w:r w:rsidR="00FD34A7">
        <w:t xml:space="preserve"> </w:t>
      </w:r>
      <w:r w:rsidR="00FD34A7">
        <w:lastRenderedPageBreak/>
        <w:t>s</w:t>
      </w:r>
      <w:r w:rsidR="004246B0" w:rsidRPr="001E6656">
        <w:t>elf-advocacy</w:t>
      </w:r>
      <w:r w:rsidR="6FF249DE" w:rsidRPr="001E6656">
        <w:t xml:space="preserve"> and making the trans or non</w:t>
      </w:r>
      <w:r w:rsidR="001B2709">
        <w:t>-</w:t>
      </w:r>
      <w:r w:rsidR="6FF249DE" w:rsidRPr="001E6656">
        <w:t>binary</w:t>
      </w:r>
      <w:r w:rsidR="00A012C3">
        <w:t xml:space="preserve"> </w:t>
      </w:r>
      <w:r w:rsidR="004246B0" w:rsidRPr="001E6656">
        <w:t>self visible</w:t>
      </w:r>
      <w:r w:rsidR="6FF249DE" w:rsidRPr="001E6656">
        <w:t xml:space="preserve"> again, is costly and exhausting for people, particularly as they navigate pregnancy, birth</w:t>
      </w:r>
      <w:r w:rsidR="00A012C3">
        <w:t>,</w:t>
      </w:r>
      <w:r w:rsidR="6FF249DE" w:rsidRPr="001E6656">
        <w:t xml:space="preserve"> and parenting</w:t>
      </w:r>
      <w:r w:rsidR="0048158E">
        <w:t xml:space="preserve">, </w:t>
      </w:r>
      <w:r w:rsidR="00A012C3">
        <w:t>and this</w:t>
      </w:r>
      <w:r w:rsidR="0048158E">
        <w:t xml:space="preserve"> can</w:t>
      </w:r>
      <w:r w:rsidR="57CC9E21" w:rsidRPr="001E6656">
        <w:t xml:space="preserve"> exacerbate or create poor post-natal mental health outcomes</w:t>
      </w:r>
      <w:r w:rsidR="00D1436E" w:rsidRPr="001E6656">
        <w:t>.</w:t>
      </w:r>
      <w:r w:rsidR="00D91CD4">
        <w:t xml:space="preserve"> </w:t>
      </w:r>
      <w:r w:rsidR="00723766">
        <w:t>On a</w:t>
      </w:r>
      <w:r w:rsidR="0073631B">
        <w:t xml:space="preserve"> broader</w:t>
      </w:r>
      <w:r w:rsidR="00723766">
        <w:t xml:space="preserve"> scale</w:t>
      </w:r>
      <w:r w:rsidR="00D91CD4" w:rsidRPr="001E6656">
        <w:t>,</w:t>
      </w:r>
      <w:r w:rsidR="00723766">
        <w:t xml:space="preserve"> in many instances, </w:t>
      </w:r>
      <w:r w:rsidR="00D91CD4" w:rsidRPr="009113F4">
        <w:t xml:space="preserve">gender diverse people </w:t>
      </w:r>
      <w:r w:rsidR="00C62999">
        <w:t xml:space="preserve">are not provided adequate options to update their identified gender in </w:t>
      </w:r>
      <w:r w:rsidR="00D91CD4" w:rsidRPr="009113F4">
        <w:t>official documentation</w:t>
      </w:r>
      <w:r w:rsidR="00FE0A16">
        <w:t>.</w:t>
      </w:r>
      <w:r w:rsidR="00D91CD4" w:rsidRPr="001E6656">
        <w:t xml:space="preserve"> </w:t>
      </w:r>
      <w:r w:rsidR="00FE0A16">
        <w:t>F</w:t>
      </w:r>
      <w:r w:rsidR="00723766">
        <w:t xml:space="preserve">or example, </w:t>
      </w:r>
      <w:r w:rsidR="00D91CD4" w:rsidRPr="001E6656">
        <w:t xml:space="preserve">in </w:t>
      </w:r>
      <w:r w:rsidR="00D91CD4" w:rsidRPr="009113F4">
        <w:t>NSW</w:t>
      </w:r>
      <w:r w:rsidR="00FE0A16">
        <w:t>,</w:t>
      </w:r>
      <w:r w:rsidR="00D91CD4" w:rsidRPr="009113F4">
        <w:t xml:space="preserve"> the legal gender marker on a birth certificate can only be updated in instances where an individual has undergone a surgical, sex affirmation procedure involving altering a “person’s reproductive organs” to align with the gender binary.</w:t>
      </w:r>
      <w:r w:rsidR="00D91CD4" w:rsidRPr="009113F4">
        <w:rPr>
          <w:vertAlign w:val="superscript"/>
        </w:rPr>
        <w:footnoteReference w:id="157"/>
      </w:r>
      <w:r w:rsidR="00F61B84">
        <w:t xml:space="preserve"> This</w:t>
      </w:r>
      <w:r w:rsidR="00FE3D35">
        <w:t xml:space="preserve"> erases</w:t>
      </w:r>
      <w:r w:rsidR="00F61B84">
        <w:t xml:space="preserve"> </w:t>
      </w:r>
      <w:r w:rsidR="00B11680">
        <w:t xml:space="preserve">a wide range of gender diverse people whose identities do not align with any binary, or who </w:t>
      </w:r>
      <w:r w:rsidR="00FE3D35">
        <w:t>do not want to,</w:t>
      </w:r>
      <w:r w:rsidR="00B11680">
        <w:t xml:space="preserve"> choose not to</w:t>
      </w:r>
      <w:r w:rsidR="00A012C3">
        <w:t>,</w:t>
      </w:r>
      <w:r w:rsidR="00B11680">
        <w:t xml:space="preserve"> or cannot access surgical </w:t>
      </w:r>
      <w:r w:rsidR="00FE3D35">
        <w:t xml:space="preserve">affirming care. </w:t>
      </w:r>
    </w:p>
    <w:p w14:paraId="265B41BB" w14:textId="4996EC61" w:rsidR="008E013A" w:rsidRPr="008E013A" w:rsidRDefault="008E013A" w:rsidP="00A74059">
      <w:pPr>
        <w:pStyle w:val="ListBullet0"/>
      </w:pPr>
      <w:r w:rsidRPr="008E013A">
        <w:rPr>
          <w:b/>
          <w:bCs/>
        </w:rPr>
        <w:t>Pathologisation</w:t>
      </w:r>
      <w:r w:rsidR="00A012C3">
        <w:t>:</w:t>
      </w:r>
      <w:r w:rsidR="00452823">
        <w:t xml:space="preserve"> </w:t>
      </w:r>
      <w:r w:rsidR="00A012C3">
        <w:t>t</w:t>
      </w:r>
      <w:r w:rsidRPr="008E013A">
        <w:t>he historical and contemporary pathologisation of gender diverse identities has</w:t>
      </w:r>
      <w:r w:rsidR="00452823">
        <w:t xml:space="preserve"> been deemed a </w:t>
      </w:r>
      <w:r w:rsidR="00DD4E22">
        <w:t>globally “damaging approach”</w:t>
      </w:r>
      <w:r w:rsidR="00851FA7">
        <w:t>.</w:t>
      </w:r>
      <w:r w:rsidR="00851FA7" w:rsidRPr="008E013A">
        <w:rPr>
          <w:vertAlign w:val="superscript"/>
        </w:rPr>
        <w:footnoteReference w:id="158"/>
      </w:r>
      <w:r w:rsidR="00851FA7">
        <w:t xml:space="preserve"> Research has indicated that pathologisation has</w:t>
      </w:r>
      <w:r w:rsidRPr="008E013A">
        <w:t xml:space="preserve"> legitimised exposure to “harmful and coercive conversion practices”</w:t>
      </w:r>
      <w:r w:rsidR="00851FA7">
        <w:t xml:space="preserve"> – including by mental health service providers – and </w:t>
      </w:r>
      <w:r w:rsidR="008C70BC">
        <w:t xml:space="preserve">contributed </w:t>
      </w:r>
      <w:r w:rsidR="00FE0A16">
        <w:t xml:space="preserve">to </w:t>
      </w:r>
      <w:r w:rsidR="00FE0A16" w:rsidRPr="008E013A">
        <w:t>stigmatisation</w:t>
      </w:r>
      <w:r w:rsidR="00851FA7">
        <w:t xml:space="preserve"> and discrimination</w:t>
      </w:r>
      <w:r w:rsidRPr="008E013A">
        <w:t>.</w:t>
      </w:r>
      <w:r w:rsidRPr="008E013A">
        <w:rPr>
          <w:vertAlign w:val="superscript"/>
        </w:rPr>
        <w:footnoteReference w:id="159"/>
      </w:r>
      <w:r w:rsidRPr="008E013A">
        <w:t xml:space="preserve"> </w:t>
      </w:r>
    </w:p>
    <w:p w14:paraId="15F57489" w14:textId="3F3AC40B" w:rsidR="008E013A" w:rsidRPr="008E013A" w:rsidRDefault="008E013A" w:rsidP="000A71A3">
      <w:pPr>
        <w:pStyle w:val="ListBullet0"/>
        <w:numPr>
          <w:ilvl w:val="0"/>
          <w:numId w:val="0"/>
        </w:numPr>
        <w:ind w:left="426"/>
      </w:pPr>
      <w:r w:rsidRPr="008E013A">
        <w:t>While pathologisation is relevant to all LGBT</w:t>
      </w:r>
      <w:r w:rsidR="00FE0A16">
        <w:t>Q</w:t>
      </w:r>
      <w:r w:rsidRPr="008E013A">
        <w:t xml:space="preserve">+ people, there are </w:t>
      </w:r>
      <w:proofErr w:type="gramStart"/>
      <w:r w:rsidRPr="008E013A">
        <w:t>particular considerations</w:t>
      </w:r>
      <w:proofErr w:type="gramEnd"/>
      <w:r w:rsidRPr="008E013A">
        <w:t xml:space="preserve"> for trans and gender diverse people. Although homosexuality was removed from the World Health Organisation’s International Classification of Disease (ICD) in 1992, categorisation of gender diversity as a medical disorder was not removed until the 11</w:t>
      </w:r>
      <w:r w:rsidRPr="008E013A">
        <w:rPr>
          <w:vertAlign w:val="superscript"/>
        </w:rPr>
        <w:t>th</w:t>
      </w:r>
      <w:r w:rsidRPr="008E013A">
        <w:t xml:space="preserve"> version, in January 2022.</w:t>
      </w:r>
      <w:r w:rsidRPr="008E013A">
        <w:rPr>
          <w:vertAlign w:val="superscript"/>
        </w:rPr>
        <w:footnoteReference w:id="160"/>
      </w:r>
      <w:r w:rsidRPr="008E013A">
        <w:t xml:space="preserve"> </w:t>
      </w:r>
      <w:r w:rsidR="004B2AA3">
        <w:t>Previously in 2013,</w:t>
      </w:r>
      <w:r w:rsidR="00581259">
        <w:t xml:space="preserve"> the 5</w:t>
      </w:r>
      <w:r w:rsidR="00581259" w:rsidRPr="00581259">
        <w:rPr>
          <w:vertAlign w:val="superscript"/>
        </w:rPr>
        <w:t>th</w:t>
      </w:r>
      <w:r w:rsidR="00581259">
        <w:t xml:space="preserve"> </w:t>
      </w:r>
      <w:r w:rsidR="003D6E00">
        <w:t>edition of the Diagnostic Statistical Manual (DSM) replaced</w:t>
      </w:r>
      <w:r w:rsidRPr="008E013A">
        <w:t xml:space="preserve"> </w:t>
      </w:r>
      <w:r w:rsidR="00A012C3">
        <w:t>‘</w:t>
      </w:r>
      <w:r w:rsidRPr="008E013A">
        <w:t>gender identity disorder</w:t>
      </w:r>
      <w:r w:rsidR="003D6E00">
        <w:t xml:space="preserve">’ with </w:t>
      </w:r>
      <w:r w:rsidRPr="008E013A">
        <w:t>‘gender dysphoria’</w:t>
      </w:r>
      <w:r w:rsidR="00A012C3">
        <w:t>,</w:t>
      </w:r>
      <w:r w:rsidR="003D6E00">
        <w:t xml:space="preserve"> with the aim of refocusing diagnosis to related stress, rather</w:t>
      </w:r>
      <w:r w:rsidR="009953A1">
        <w:t xml:space="preserve"> than the identity itself</w:t>
      </w:r>
      <w:r w:rsidRPr="008E013A">
        <w:t>.</w:t>
      </w:r>
      <w:r w:rsidRPr="008E013A">
        <w:rPr>
          <w:vertAlign w:val="superscript"/>
        </w:rPr>
        <w:footnoteReference w:id="161"/>
      </w:r>
      <w:r w:rsidRPr="008E013A">
        <w:t xml:space="preserve"> </w:t>
      </w:r>
      <w:r w:rsidRPr="00532A50">
        <w:t xml:space="preserve">However, as the American </w:t>
      </w:r>
      <w:r w:rsidR="008170D6">
        <w:t>Psychiatric Association</w:t>
      </w:r>
      <w:r w:rsidRPr="00532A50">
        <w:t xml:space="preserve"> </w:t>
      </w:r>
      <w:r w:rsidR="00A73BFA">
        <w:t xml:space="preserve">(APA) </w:t>
      </w:r>
      <w:r w:rsidRPr="00532A50">
        <w:t xml:space="preserve">and trans advocates have emphasised, the move to using gender dysphoria as a diagnostic category in the DSM has not </w:t>
      </w:r>
      <w:r w:rsidR="265EC424" w:rsidRPr="00532A50">
        <w:t xml:space="preserve">necessarily </w:t>
      </w:r>
      <w:r w:rsidRPr="00532A50">
        <w:t>mitigated pathologisation.</w:t>
      </w:r>
      <w:r w:rsidR="008170D6" w:rsidRPr="008170D6">
        <w:rPr>
          <w:vertAlign w:val="superscript"/>
        </w:rPr>
        <w:footnoteReference w:id="162"/>
      </w:r>
      <w:r w:rsidR="008170D6" w:rsidRPr="008E013A">
        <w:t xml:space="preserve"> </w:t>
      </w:r>
      <w:r w:rsidR="00464B3C">
        <w:t>Although</w:t>
      </w:r>
      <w:r w:rsidRPr="008E013A">
        <w:t xml:space="preserve"> it is argued that the diagnostic category facilitates access to gender-affirming care options, </w:t>
      </w:r>
      <w:r w:rsidR="00FE3731">
        <w:t xml:space="preserve">this new category has been criticised </w:t>
      </w:r>
      <w:r w:rsidR="00C2278C">
        <w:t>for</w:t>
      </w:r>
      <w:r w:rsidR="00FE3731">
        <w:t xml:space="preserve"> perpetuating </w:t>
      </w:r>
      <w:r w:rsidRPr="008E013A">
        <w:t xml:space="preserve">stigmatisation by positioning gender related distress as mental illness, </w:t>
      </w:r>
      <w:r w:rsidR="00E00143">
        <w:t>and continu</w:t>
      </w:r>
      <w:r w:rsidR="00C2278C">
        <w:t>ing</w:t>
      </w:r>
      <w:r w:rsidR="00E00143">
        <w:t xml:space="preserve"> to expose trans and gender non-conforming people to</w:t>
      </w:r>
      <w:r w:rsidR="00C2278C">
        <w:t xml:space="preserve"> potentially harmful</w:t>
      </w:r>
      <w:r w:rsidR="00E00143">
        <w:t xml:space="preserve"> </w:t>
      </w:r>
      <w:r w:rsidR="00C2278C">
        <w:t>psychiatric intervention</w:t>
      </w:r>
      <w:r w:rsidRPr="008E013A">
        <w:t>.</w:t>
      </w:r>
      <w:r w:rsidRPr="008E013A">
        <w:rPr>
          <w:vertAlign w:val="superscript"/>
        </w:rPr>
        <w:footnoteReference w:id="163"/>
      </w:r>
    </w:p>
    <w:p w14:paraId="048457D5" w14:textId="76977E7C" w:rsidR="008E013A" w:rsidRPr="00757829" w:rsidRDefault="008E013A" w:rsidP="00146E7B">
      <w:pPr>
        <w:pStyle w:val="ListBullet0"/>
        <w:numPr>
          <w:ilvl w:val="0"/>
          <w:numId w:val="0"/>
        </w:numPr>
        <w:ind w:left="426"/>
        <w:rPr>
          <w:strike/>
        </w:rPr>
      </w:pPr>
      <w:r w:rsidRPr="008E013A">
        <w:lastRenderedPageBreak/>
        <w:t xml:space="preserve">The injustices and impacts of </w:t>
      </w:r>
      <w:r w:rsidR="00A012C3">
        <w:t>historic, and ongoing,</w:t>
      </w:r>
      <w:r w:rsidRPr="008E013A">
        <w:t xml:space="preserve"> inappropriate mental health interventions for trans and gender diverse people still need to be understood and addressed. In the Australian context, the Australian Psychological Society’s</w:t>
      </w:r>
      <w:r w:rsidR="00AD78E2">
        <w:t xml:space="preserve"> (APS)</w:t>
      </w:r>
      <w:r w:rsidRPr="008E013A">
        <w:t xml:space="preserve"> ‘Panel on assessment, support and therapeutic approaches to transgender and gender diverse people’ </w:t>
      </w:r>
      <w:r w:rsidR="00A012C3">
        <w:t>(</w:t>
      </w:r>
      <w:r w:rsidRPr="008E013A">
        <w:t>established in July 2022</w:t>
      </w:r>
      <w:r w:rsidR="00A012C3">
        <w:t>)</w:t>
      </w:r>
      <w:r w:rsidRPr="008E013A">
        <w:t xml:space="preserve"> is yet to deliver a position statement regarding this, indicating that it will now be delivered in late 2023.</w:t>
      </w:r>
      <w:r w:rsidRPr="008E013A">
        <w:rPr>
          <w:vertAlign w:val="superscript"/>
        </w:rPr>
        <w:footnoteReference w:id="164"/>
      </w:r>
      <w:r w:rsidRPr="008E013A">
        <w:t xml:space="preserve"> </w:t>
      </w:r>
    </w:p>
    <w:p w14:paraId="1627C8BA" w14:textId="0AC213C0" w:rsidR="009E1D72" w:rsidRPr="0070055A" w:rsidRDefault="008E013A" w:rsidP="00A74059">
      <w:pPr>
        <w:pStyle w:val="ListBullet0"/>
        <w:rPr>
          <w:rFonts w:eastAsiaTheme="minorEastAsia"/>
          <w:color w:val="000000" w:themeColor="text1"/>
        </w:rPr>
      </w:pPr>
      <w:r w:rsidRPr="00AB37A7">
        <w:rPr>
          <w:b/>
          <w:bCs/>
        </w:rPr>
        <w:t>Stigmatisation, discrimination</w:t>
      </w:r>
      <w:r w:rsidR="00A012C3">
        <w:rPr>
          <w:b/>
          <w:bCs/>
        </w:rPr>
        <w:t>,</w:t>
      </w:r>
      <w:r w:rsidRPr="00AB37A7">
        <w:rPr>
          <w:b/>
          <w:bCs/>
        </w:rPr>
        <w:t xml:space="preserve"> and exclusion from public spaces</w:t>
      </w:r>
      <w:r w:rsidR="00A012C3">
        <w:rPr>
          <w:b/>
          <w:bCs/>
        </w:rPr>
        <w:t>:</w:t>
      </w:r>
      <w:r w:rsidRPr="00AB37A7">
        <w:rPr>
          <w:b/>
          <w:bCs/>
        </w:rPr>
        <w:t xml:space="preserve"> </w:t>
      </w:r>
      <w:r w:rsidRPr="00AB37A7">
        <w:rPr>
          <w:lang w:val="en-US"/>
        </w:rPr>
        <w:t xml:space="preserve"> </w:t>
      </w:r>
      <w:r w:rsidR="00A012C3">
        <w:rPr>
          <w:lang w:val="en-US"/>
        </w:rPr>
        <w:t>w</w:t>
      </w:r>
      <w:r w:rsidR="004C17D1">
        <w:rPr>
          <w:lang w:val="en-US"/>
        </w:rPr>
        <w:t xml:space="preserve">hile </w:t>
      </w:r>
      <w:r w:rsidR="00E721B5">
        <w:rPr>
          <w:lang w:val="en-US"/>
        </w:rPr>
        <w:t xml:space="preserve">experiences of </w:t>
      </w:r>
      <w:r w:rsidR="004C17D1">
        <w:rPr>
          <w:lang w:val="en-US"/>
        </w:rPr>
        <w:t>stigmati</w:t>
      </w:r>
      <w:r w:rsidR="00E721B5">
        <w:rPr>
          <w:lang w:val="en-US"/>
        </w:rPr>
        <w:t>s</w:t>
      </w:r>
      <w:r w:rsidR="004C17D1">
        <w:rPr>
          <w:lang w:val="en-US"/>
        </w:rPr>
        <w:t>ation and discrim</w:t>
      </w:r>
      <w:r w:rsidR="00E721B5">
        <w:rPr>
          <w:lang w:val="en-US"/>
        </w:rPr>
        <w:t>in</w:t>
      </w:r>
      <w:r w:rsidR="004C17D1">
        <w:rPr>
          <w:lang w:val="en-US"/>
        </w:rPr>
        <w:t>ation are widespread</w:t>
      </w:r>
      <w:r w:rsidR="00E721B5">
        <w:rPr>
          <w:lang w:val="en-US"/>
        </w:rPr>
        <w:t xml:space="preserve"> amongst the general LGBT</w:t>
      </w:r>
      <w:r w:rsidR="00FE0A16">
        <w:rPr>
          <w:lang w:val="en-US"/>
        </w:rPr>
        <w:t>Q</w:t>
      </w:r>
      <w:r w:rsidR="00E721B5">
        <w:rPr>
          <w:lang w:val="en-US"/>
        </w:rPr>
        <w:t xml:space="preserve">+ community (see Section </w:t>
      </w:r>
      <w:r w:rsidR="009D682F">
        <w:rPr>
          <w:lang w:val="en-US"/>
        </w:rPr>
        <w:t>3.2.1), i</w:t>
      </w:r>
      <w:r w:rsidRPr="00AB37A7">
        <w:rPr>
          <w:lang w:val="en-US"/>
        </w:rPr>
        <w:t xml:space="preserve">n recent years, trans and gender </w:t>
      </w:r>
      <w:r w:rsidRPr="008E013A">
        <w:t>diverse peoples</w:t>
      </w:r>
      <w:r w:rsidRPr="00AB37A7">
        <w:rPr>
          <w:b/>
          <w:bCs/>
        </w:rPr>
        <w:t xml:space="preserve">’ </w:t>
      </w:r>
      <w:r w:rsidRPr="008E013A">
        <w:t xml:space="preserve">access </w:t>
      </w:r>
      <w:r w:rsidRPr="00AB37A7">
        <w:rPr>
          <w:rFonts w:eastAsiaTheme="minorEastAsia"/>
          <w:lang w:val="en-US"/>
        </w:rPr>
        <w:t xml:space="preserve">to dedicated </w:t>
      </w:r>
      <w:r w:rsidR="00AD78E2" w:rsidRPr="00AB37A7">
        <w:rPr>
          <w:rFonts w:eastAsiaTheme="minorEastAsia"/>
        </w:rPr>
        <w:t>healthcare</w:t>
      </w:r>
      <w:r w:rsidRPr="00AB37A7">
        <w:rPr>
          <w:rFonts w:eastAsiaTheme="minorEastAsia"/>
        </w:rPr>
        <w:t xml:space="preserve"> services, safe use of public utilities </w:t>
      </w:r>
      <w:r w:rsidR="00A012C3">
        <w:rPr>
          <w:rFonts w:eastAsiaTheme="minorEastAsia"/>
        </w:rPr>
        <w:t>(</w:t>
      </w:r>
      <w:r w:rsidRPr="00AB37A7">
        <w:rPr>
          <w:rFonts w:eastAsiaTheme="minorEastAsia"/>
        </w:rPr>
        <w:t>such as bathrooms</w:t>
      </w:r>
      <w:r w:rsidR="00A012C3">
        <w:rPr>
          <w:rFonts w:eastAsiaTheme="minorEastAsia"/>
        </w:rPr>
        <w:t>)</w:t>
      </w:r>
      <w:r w:rsidRPr="00AB37A7">
        <w:rPr>
          <w:rFonts w:eastAsiaTheme="minorEastAsia"/>
        </w:rPr>
        <w:t xml:space="preserve">, and participation in various social spaces </w:t>
      </w:r>
      <w:r w:rsidR="00A012C3">
        <w:rPr>
          <w:rFonts w:eastAsiaTheme="minorEastAsia"/>
        </w:rPr>
        <w:t>(</w:t>
      </w:r>
      <w:r w:rsidRPr="00AB37A7">
        <w:rPr>
          <w:rFonts w:eastAsiaTheme="minorEastAsia"/>
        </w:rPr>
        <w:t>such as education and sport</w:t>
      </w:r>
      <w:r w:rsidR="00A012C3">
        <w:rPr>
          <w:rFonts w:eastAsiaTheme="minorEastAsia"/>
        </w:rPr>
        <w:t>),</w:t>
      </w:r>
      <w:r w:rsidRPr="00AB37A7">
        <w:rPr>
          <w:rFonts w:eastAsiaTheme="minorEastAsia"/>
        </w:rPr>
        <w:t xml:space="preserve"> has become the subject of ongoing and heated political debate both in Australia and globally.</w:t>
      </w:r>
      <w:r w:rsidRPr="28F2AAE0">
        <w:rPr>
          <w:rFonts w:eastAsiaTheme="minorEastAsia"/>
          <w:vertAlign w:val="superscript"/>
        </w:rPr>
        <w:footnoteReference w:id="165"/>
      </w:r>
      <w:r w:rsidRPr="00AB37A7">
        <w:rPr>
          <w:rFonts w:eastAsiaTheme="minorEastAsia"/>
        </w:rPr>
        <w:t xml:space="preserve"> As </w:t>
      </w:r>
      <w:r w:rsidR="002D355A">
        <w:rPr>
          <w:rFonts w:eastAsiaTheme="minorEastAsia"/>
        </w:rPr>
        <w:t>discussed in Section 3.2.1</w:t>
      </w:r>
      <w:r w:rsidRPr="00AB37A7">
        <w:rPr>
          <w:rFonts w:eastAsiaTheme="minorEastAsia"/>
        </w:rPr>
        <w:t xml:space="preserve">, research on Australia’s same-sex </w:t>
      </w:r>
      <w:r w:rsidR="00C539F3">
        <w:rPr>
          <w:rFonts w:eastAsiaTheme="minorEastAsia"/>
        </w:rPr>
        <w:t xml:space="preserve">marriage </w:t>
      </w:r>
      <w:r w:rsidRPr="00AB37A7">
        <w:rPr>
          <w:rFonts w:eastAsiaTheme="minorEastAsia"/>
        </w:rPr>
        <w:t xml:space="preserve">plebiscite has demonstrated the mental health impacts of being centred as the object of public debate, particularly when it is legitimised by governing institutions. </w:t>
      </w:r>
      <w:r w:rsidRPr="008E013A">
        <w:t>It not only</w:t>
      </w:r>
      <w:r w:rsidRPr="00AB37A7">
        <w:rPr>
          <w:rFonts w:eastAsiaTheme="minorEastAsia"/>
        </w:rPr>
        <w:t xml:space="preserve"> fuels internal stressors such as internalised stigma and transphobia, but </w:t>
      </w:r>
      <w:r w:rsidRPr="008E013A">
        <w:t>it can also</w:t>
      </w:r>
      <w:r w:rsidRPr="00AB37A7">
        <w:rPr>
          <w:b/>
          <w:bCs/>
        </w:rPr>
        <w:t xml:space="preserve"> </w:t>
      </w:r>
      <w:r w:rsidRPr="00AB37A7">
        <w:rPr>
          <w:rFonts w:eastAsiaTheme="minorEastAsia"/>
        </w:rPr>
        <w:t>exacerbate external risks related to experiences of discrimination and victimisation.</w:t>
      </w:r>
      <w:r w:rsidRPr="28F2AAE0">
        <w:rPr>
          <w:rFonts w:eastAsiaTheme="minorEastAsia"/>
          <w:vertAlign w:val="superscript"/>
        </w:rPr>
        <w:footnoteReference w:id="166"/>
      </w:r>
      <w:r w:rsidRPr="00AB37A7">
        <w:rPr>
          <w:rFonts w:eastAsiaTheme="minorEastAsia"/>
        </w:rPr>
        <w:t xml:space="preserve">  As discussed in Section 3.3.1, this can also inhibit access to protective structural factors</w:t>
      </w:r>
      <w:r w:rsidR="00A012C3">
        <w:rPr>
          <w:rFonts w:eastAsiaTheme="minorEastAsia"/>
        </w:rPr>
        <w:t>,</w:t>
      </w:r>
      <w:r w:rsidRPr="00AB37A7">
        <w:rPr>
          <w:rFonts w:eastAsiaTheme="minorEastAsia"/>
        </w:rPr>
        <w:t xml:space="preserve"> such as healthcare and education. In the Australian context, discrimination is evident in the higher incidence of unemployment among trans people (19%), which occurs at</w:t>
      </w:r>
      <w:r w:rsidR="00DC7225">
        <w:rPr>
          <w:rFonts w:eastAsiaTheme="minorEastAsia"/>
        </w:rPr>
        <w:t xml:space="preserve"> more than</w:t>
      </w:r>
      <w:r w:rsidRPr="00AB37A7">
        <w:rPr>
          <w:rFonts w:eastAsiaTheme="minorEastAsia"/>
        </w:rPr>
        <w:t xml:space="preserve"> three times the rate of the general population (5.5%).</w:t>
      </w:r>
      <w:r w:rsidRPr="28F2AAE0">
        <w:rPr>
          <w:rFonts w:eastAsiaTheme="minorEastAsia"/>
          <w:vertAlign w:val="superscript"/>
        </w:rPr>
        <w:footnoteReference w:id="167"/>
      </w:r>
      <w:r w:rsidR="00C3423E">
        <w:rPr>
          <w:rFonts w:eastAsiaTheme="minorEastAsia"/>
        </w:rPr>
        <w:t xml:space="preserve"> </w:t>
      </w:r>
    </w:p>
    <w:p w14:paraId="2FBA37C2" w14:textId="326C2D04" w:rsidR="0070055A" w:rsidRPr="0070055A" w:rsidRDefault="0070055A" w:rsidP="00DF32BE">
      <w:pPr>
        <w:rPr>
          <w:rFonts w:eastAsiaTheme="minorEastAsia"/>
          <w:color w:val="000000" w:themeColor="text1"/>
        </w:rPr>
      </w:pPr>
      <w:r>
        <w:t xml:space="preserve">In addition to the above, major risk factors have been identified </w:t>
      </w:r>
      <w:r w:rsidR="001109C6">
        <w:t>which are</w:t>
      </w:r>
      <w:r w:rsidR="00DC2F42">
        <w:t xml:space="preserve"> more</w:t>
      </w:r>
      <w:r w:rsidR="001109C6">
        <w:t xml:space="preserve"> specific to transgender people. These can be summarised as:</w:t>
      </w:r>
    </w:p>
    <w:p w14:paraId="4A47A13C" w14:textId="00C3C5AB" w:rsidR="009E1D72" w:rsidRPr="008E013A" w:rsidRDefault="009E1D72" w:rsidP="00A74059">
      <w:pPr>
        <w:pStyle w:val="ListBullet0"/>
        <w:rPr>
          <w:rFonts w:eastAsia="Arial"/>
        </w:rPr>
      </w:pPr>
      <w:r w:rsidRPr="008E013A">
        <w:rPr>
          <w:rFonts w:eastAsia="Arial"/>
          <w:b/>
          <w:bCs/>
        </w:rPr>
        <w:t>Barriers to accessing gender-affirming care</w:t>
      </w:r>
      <w:r w:rsidR="00A012C3">
        <w:rPr>
          <w:rFonts w:eastAsia="Arial"/>
        </w:rPr>
        <w:t>:</w:t>
      </w:r>
      <w:r w:rsidRPr="008E013A">
        <w:rPr>
          <w:rFonts w:eastAsia="Arial"/>
        </w:rPr>
        <w:t xml:space="preserve"> </w:t>
      </w:r>
      <w:r w:rsidR="00A012C3">
        <w:rPr>
          <w:rFonts w:eastAsia="Arial"/>
        </w:rPr>
        <w:t>w</w:t>
      </w:r>
      <w:r w:rsidR="00AF5623">
        <w:rPr>
          <w:rFonts w:eastAsia="Arial"/>
        </w:rPr>
        <w:t>hile research and regulation is still evolving</w:t>
      </w:r>
      <w:r w:rsidR="00855F38">
        <w:rPr>
          <w:rFonts w:eastAsia="Arial"/>
        </w:rPr>
        <w:t xml:space="preserve"> globally</w:t>
      </w:r>
      <w:r w:rsidR="002E5E87">
        <w:rPr>
          <w:rStyle w:val="FootnoteReference"/>
          <w:rFonts w:eastAsia="Arial"/>
        </w:rPr>
        <w:footnoteReference w:id="168"/>
      </w:r>
      <w:r w:rsidR="00AF5623">
        <w:rPr>
          <w:rFonts w:eastAsia="Arial"/>
        </w:rPr>
        <w:t xml:space="preserve">, </w:t>
      </w:r>
      <w:r w:rsidRPr="008E013A">
        <w:rPr>
          <w:rFonts w:eastAsia="Arial"/>
        </w:rPr>
        <w:t>access to gender affirming care</w:t>
      </w:r>
      <w:r>
        <w:rPr>
          <w:rFonts w:eastAsia="Arial"/>
        </w:rPr>
        <w:t xml:space="preserve"> (e.g.,</w:t>
      </w:r>
      <w:r w:rsidRPr="008E013A">
        <w:rPr>
          <w:rFonts w:eastAsia="Arial"/>
        </w:rPr>
        <w:t xml:space="preserve"> hormones, surgery</w:t>
      </w:r>
      <w:r>
        <w:rPr>
          <w:rFonts w:eastAsia="Arial"/>
        </w:rPr>
        <w:t>)</w:t>
      </w:r>
      <w:r w:rsidRPr="008E013A">
        <w:rPr>
          <w:rFonts w:eastAsia="Arial"/>
        </w:rPr>
        <w:t xml:space="preserve"> </w:t>
      </w:r>
      <w:r w:rsidR="002E5E87">
        <w:rPr>
          <w:rFonts w:eastAsia="Arial"/>
        </w:rPr>
        <w:t xml:space="preserve">has been </w:t>
      </w:r>
      <w:r w:rsidR="00855F38">
        <w:rPr>
          <w:rFonts w:eastAsia="Arial"/>
        </w:rPr>
        <w:t xml:space="preserve">repeatedly </w:t>
      </w:r>
      <w:r w:rsidR="002E5E87">
        <w:rPr>
          <w:rFonts w:eastAsia="Arial"/>
        </w:rPr>
        <w:t xml:space="preserve">identified </w:t>
      </w:r>
      <w:r w:rsidRPr="008E013A">
        <w:rPr>
          <w:rFonts w:eastAsia="Arial"/>
        </w:rPr>
        <w:t>as a significant protective factor against mental distress and suicidality in the trans population.</w:t>
      </w:r>
      <w:r w:rsidRPr="008E013A">
        <w:rPr>
          <w:rFonts w:eastAsia="Arial"/>
          <w:vertAlign w:val="superscript"/>
        </w:rPr>
        <w:t>44</w:t>
      </w:r>
      <w:r w:rsidRPr="008E013A">
        <w:rPr>
          <w:rFonts w:eastAsia="Arial"/>
        </w:rPr>
        <w:t xml:space="preserve"> </w:t>
      </w:r>
      <w:r w:rsidR="002E5E87">
        <w:rPr>
          <w:rFonts w:eastAsia="Arial"/>
        </w:rPr>
        <w:t>Research has also shown that barriers</w:t>
      </w:r>
      <w:r w:rsidRPr="008E013A">
        <w:rPr>
          <w:rFonts w:eastAsia="Arial"/>
        </w:rPr>
        <w:t xml:space="preserve"> to accessing care</w:t>
      </w:r>
      <w:r w:rsidR="00A012C3">
        <w:rPr>
          <w:rFonts w:eastAsia="Arial"/>
        </w:rPr>
        <w:t>,</w:t>
      </w:r>
      <w:r w:rsidRPr="008E013A">
        <w:rPr>
          <w:rFonts w:eastAsia="Arial"/>
        </w:rPr>
        <w:t xml:space="preserve"> such as lack of availability, affordability, or denial or delay of service access</w:t>
      </w:r>
      <w:r w:rsidR="00A012C3">
        <w:rPr>
          <w:rFonts w:eastAsia="Arial"/>
        </w:rPr>
        <w:t>,</w:t>
      </w:r>
      <w:r w:rsidRPr="008E013A">
        <w:rPr>
          <w:rFonts w:eastAsia="Arial"/>
        </w:rPr>
        <w:t xml:space="preserve"> </w:t>
      </w:r>
      <w:r w:rsidR="002E5E87">
        <w:rPr>
          <w:rFonts w:eastAsia="Arial"/>
        </w:rPr>
        <w:t>can</w:t>
      </w:r>
      <w:r w:rsidRPr="008E013A">
        <w:rPr>
          <w:rFonts w:eastAsia="Arial"/>
        </w:rPr>
        <w:t xml:space="preserve"> have “profound” impacts</w:t>
      </w:r>
      <w:r w:rsidR="00A012C3">
        <w:rPr>
          <w:rFonts w:eastAsia="Arial"/>
        </w:rPr>
        <w:t>,</w:t>
      </w:r>
      <w:r w:rsidRPr="008E013A">
        <w:rPr>
          <w:rFonts w:eastAsia="Arial"/>
        </w:rPr>
        <w:t xml:space="preserve"> and have been consistently correlated with increased risk of self-harm and suicide.</w:t>
      </w:r>
      <w:r w:rsidRPr="008E013A">
        <w:rPr>
          <w:rFonts w:eastAsia="Arial"/>
          <w:vertAlign w:val="superscript"/>
        </w:rPr>
        <w:t>45</w:t>
      </w:r>
      <w:r w:rsidRPr="008E013A">
        <w:rPr>
          <w:rFonts w:eastAsia="Arial"/>
        </w:rPr>
        <w:t xml:space="preserve"> </w:t>
      </w:r>
      <w:r w:rsidR="00AF5623">
        <w:rPr>
          <w:rFonts w:eastAsia="Arial"/>
        </w:rPr>
        <w:t>Access barriers</w:t>
      </w:r>
      <w:r w:rsidRPr="008E013A">
        <w:rPr>
          <w:rFonts w:eastAsia="Arial"/>
        </w:rPr>
        <w:t xml:space="preserve"> can</w:t>
      </w:r>
      <w:r w:rsidR="00B43470">
        <w:rPr>
          <w:rFonts w:eastAsia="Arial"/>
        </w:rPr>
        <w:t xml:space="preserve"> also</w:t>
      </w:r>
      <w:r w:rsidRPr="008E013A">
        <w:rPr>
          <w:rFonts w:eastAsia="Arial"/>
        </w:rPr>
        <w:t xml:space="preserve"> further complicate the processes of identity formation and of disclosing identity to family and peers</w:t>
      </w:r>
      <w:r w:rsidR="00D140F7">
        <w:rPr>
          <w:rFonts w:eastAsia="Arial"/>
        </w:rPr>
        <w:t xml:space="preserve"> </w:t>
      </w:r>
      <w:r w:rsidR="00B43470">
        <w:rPr>
          <w:rFonts w:eastAsia="Arial"/>
        </w:rPr>
        <w:t xml:space="preserve">– for example, </w:t>
      </w:r>
      <w:r w:rsidRPr="008E013A">
        <w:rPr>
          <w:rFonts w:eastAsia="Arial"/>
        </w:rPr>
        <w:t xml:space="preserve">research </w:t>
      </w:r>
      <w:r w:rsidRPr="008E013A">
        <w:rPr>
          <w:rFonts w:eastAsia="Arial"/>
        </w:rPr>
        <w:lastRenderedPageBreak/>
        <w:t>on trans and gender diverse youth indicates that they are more likely to be exposed to cis-normative assumptions</w:t>
      </w:r>
      <w:r w:rsidR="00A012C3">
        <w:rPr>
          <w:rFonts w:eastAsia="Arial"/>
        </w:rPr>
        <w:t>,</w:t>
      </w:r>
      <w:r w:rsidRPr="008E013A">
        <w:rPr>
          <w:rFonts w:eastAsia="Arial"/>
        </w:rPr>
        <w:t xml:space="preserve"> due to </w:t>
      </w:r>
      <w:r w:rsidR="00E04645">
        <w:rPr>
          <w:rFonts w:eastAsia="Arial"/>
        </w:rPr>
        <w:t xml:space="preserve">a </w:t>
      </w:r>
      <w:r w:rsidRPr="008E013A">
        <w:rPr>
          <w:rFonts w:eastAsia="Arial"/>
        </w:rPr>
        <w:t>lack of access to gender affirming care.</w:t>
      </w:r>
      <w:r w:rsidRPr="008E013A">
        <w:rPr>
          <w:rFonts w:eastAsia="Arial"/>
          <w:vertAlign w:val="superscript"/>
        </w:rPr>
        <w:footnoteReference w:id="169"/>
      </w:r>
      <w:r w:rsidRPr="008E013A">
        <w:rPr>
          <w:rFonts w:eastAsia="Arial"/>
        </w:rPr>
        <w:t xml:space="preserve"> A lack of explicit support from family members can also lead an individual to delay accessing gender-affirming care, which they would </w:t>
      </w:r>
      <w:r w:rsidR="00A012C3">
        <w:rPr>
          <w:rFonts w:eastAsia="Arial"/>
        </w:rPr>
        <w:t xml:space="preserve">otherwise </w:t>
      </w:r>
      <w:r w:rsidRPr="008E013A">
        <w:rPr>
          <w:rFonts w:eastAsia="Arial"/>
        </w:rPr>
        <w:t xml:space="preserve">have sought. Charter et al (2017), for example, found that many </w:t>
      </w:r>
      <w:proofErr w:type="gramStart"/>
      <w:r w:rsidRPr="008E013A">
        <w:rPr>
          <w:rFonts w:eastAsia="Arial"/>
        </w:rPr>
        <w:t>transgender</w:t>
      </w:r>
      <w:proofErr w:type="gramEnd"/>
      <w:r w:rsidRPr="008E013A">
        <w:rPr>
          <w:rFonts w:eastAsia="Arial"/>
        </w:rPr>
        <w:t xml:space="preserve"> parents delay accessing gender affirming care due to concerns about the potential impacts to their children.</w:t>
      </w:r>
      <w:r w:rsidRPr="008E013A">
        <w:rPr>
          <w:rFonts w:eastAsia="Arial"/>
          <w:vertAlign w:val="superscript"/>
        </w:rPr>
        <w:t>46</w:t>
      </w:r>
    </w:p>
    <w:p w14:paraId="39015ADB" w14:textId="1BD618C1" w:rsidR="009E1D72" w:rsidRPr="008E013A" w:rsidRDefault="009E1D72" w:rsidP="00A74059">
      <w:pPr>
        <w:pStyle w:val="ListBullet0"/>
        <w:rPr>
          <w:color w:val="000000" w:themeColor="text1"/>
        </w:rPr>
      </w:pPr>
      <w:r w:rsidRPr="008E013A">
        <w:rPr>
          <w:b/>
          <w:bCs/>
        </w:rPr>
        <w:t>Passing/not passing and the fear of being ‘outed’</w:t>
      </w:r>
      <w:r w:rsidR="00A012C3">
        <w:t>:</w:t>
      </w:r>
      <w:r w:rsidRPr="008E013A">
        <w:t xml:space="preserve"> </w:t>
      </w:r>
      <w:r w:rsidR="00A012C3">
        <w:t>a</w:t>
      </w:r>
      <w:r w:rsidRPr="008E013A">
        <w:t xml:space="preserve">lthough trans people can seek to pass as cisgender for safety reasons, not all trans or gender diverse people seek to pass, or can pass, as cisgendered. However, passing or not passing </w:t>
      </w:r>
      <w:r>
        <w:t>can have implications related to</w:t>
      </w:r>
      <w:r w:rsidRPr="008E013A">
        <w:t xml:space="preserve"> family and community violence.</w:t>
      </w:r>
      <w:r w:rsidRPr="008E013A">
        <w:rPr>
          <w:vertAlign w:val="superscript"/>
        </w:rPr>
        <w:footnoteReference w:id="170"/>
      </w:r>
      <w:r w:rsidRPr="008E013A">
        <w:t xml:space="preserve"> Passing </w:t>
      </w:r>
      <w:r>
        <w:t xml:space="preserve">can </w:t>
      </w:r>
      <w:r w:rsidRPr="008E013A">
        <w:t>also pose new threats to mental health and wellbeing</w:t>
      </w:r>
      <w:r w:rsidR="00A012C3">
        <w:t>,</w:t>
      </w:r>
      <w:r w:rsidRPr="008E013A">
        <w:t xml:space="preserve"> including risks to self-esteem and self-acceptance related to concealing </w:t>
      </w:r>
      <w:r>
        <w:t>or</w:t>
      </w:r>
      <w:r w:rsidRPr="008E013A">
        <w:t xml:space="preserve"> loss of identity</w:t>
      </w:r>
      <w:r w:rsidRPr="008E013A">
        <w:rPr>
          <w:vertAlign w:val="superscript"/>
        </w:rPr>
        <w:footnoteReference w:id="171"/>
      </w:r>
      <w:r w:rsidR="00A012C3">
        <w:t>,</w:t>
      </w:r>
      <w:r w:rsidR="0017287D">
        <w:t xml:space="preserve"> as well as</w:t>
      </w:r>
      <w:r w:rsidRPr="008E013A">
        <w:t xml:space="preserve"> risks of accidental or intentional discovery or disclosure</w:t>
      </w:r>
      <w:r>
        <w:t xml:space="preserve"> of identity</w:t>
      </w:r>
      <w:r w:rsidRPr="008E013A">
        <w:t xml:space="preserve"> by others</w:t>
      </w:r>
      <w:r w:rsidR="00A012C3">
        <w:t>,</w:t>
      </w:r>
      <w:r w:rsidRPr="008E013A">
        <w:t xml:space="preserve"> and </w:t>
      </w:r>
      <w:r>
        <w:t xml:space="preserve">related </w:t>
      </w:r>
      <w:r w:rsidRPr="008E013A">
        <w:t>exposure to rejection, stigmatisation, and discrimination on the basis of gender identity.</w:t>
      </w:r>
      <w:r w:rsidRPr="008E013A">
        <w:rPr>
          <w:vertAlign w:val="superscript"/>
        </w:rPr>
        <w:footnoteReference w:id="172"/>
      </w:r>
      <w:r w:rsidRPr="008E013A">
        <w:t xml:space="preserve"> </w:t>
      </w:r>
    </w:p>
    <w:p w14:paraId="41DAE52A" w14:textId="469854D9" w:rsidR="008E013A" w:rsidRPr="008E013A" w:rsidRDefault="008E013A" w:rsidP="009B406F">
      <w:pPr>
        <w:pStyle w:val="NbrHeading3"/>
      </w:pPr>
      <w:bookmarkStart w:id="89" w:name="_Toc147225855"/>
      <w:bookmarkStart w:id="90" w:name="_Toc153899515"/>
      <w:r w:rsidRPr="008E013A">
        <w:t>Bisexual people</w:t>
      </w:r>
      <w:bookmarkEnd w:id="89"/>
      <w:r w:rsidR="002052E6">
        <w:t xml:space="preserve"> and other marginalised sexual</w:t>
      </w:r>
      <w:r w:rsidR="00A603FD">
        <w:t xml:space="preserve"> orientation</w:t>
      </w:r>
      <w:r w:rsidR="00855F38">
        <w:t>s</w:t>
      </w:r>
      <w:bookmarkEnd w:id="90"/>
    </w:p>
    <w:p w14:paraId="05964BC3" w14:textId="7FFF901B" w:rsidR="008E013A" w:rsidRPr="008E013A" w:rsidRDefault="007F530E" w:rsidP="008E013A">
      <w:pPr>
        <w:spacing w:after="120"/>
      </w:pPr>
      <w:r>
        <w:t>Research has shown that m</w:t>
      </w:r>
      <w:r w:rsidR="008E013A" w:rsidRPr="008E013A">
        <w:t>onosexism</w:t>
      </w:r>
      <w:r w:rsidR="002052E6">
        <w:t xml:space="preserve"> – or </w:t>
      </w:r>
      <w:r w:rsidR="008E013A" w:rsidRPr="008E013A">
        <w:t>the belief that people can only be heterosexual, lesbian, or gay</w:t>
      </w:r>
      <w:r w:rsidR="002052E6">
        <w:t xml:space="preserve"> </w:t>
      </w:r>
      <w:r w:rsidR="009D3367">
        <w:t xml:space="preserve">– </w:t>
      </w:r>
      <w:r w:rsidR="008E013A" w:rsidRPr="008E013A">
        <w:t>is a well-established stressor for</w:t>
      </w:r>
      <w:r w:rsidR="00F551D4">
        <w:t xml:space="preserve"> people who are</w:t>
      </w:r>
      <w:r w:rsidR="002032EA">
        <w:t xml:space="preserve"> bisexual and pansexual.</w:t>
      </w:r>
      <w:r w:rsidR="008E013A" w:rsidRPr="008E013A">
        <w:rPr>
          <w:vertAlign w:val="superscript"/>
        </w:rPr>
        <w:footnoteReference w:id="173"/>
      </w:r>
      <w:r w:rsidR="008E013A" w:rsidRPr="008E013A">
        <w:t xml:space="preserve"> </w:t>
      </w:r>
      <w:r w:rsidR="007B4C1E">
        <w:t xml:space="preserve">The </w:t>
      </w:r>
      <w:r w:rsidR="00DB43E6">
        <w:t>associated</w:t>
      </w:r>
      <w:r w:rsidR="007B4C1E">
        <w:t xml:space="preserve"> denial </w:t>
      </w:r>
      <w:r w:rsidR="00DB43E6">
        <w:t xml:space="preserve">or belittling </w:t>
      </w:r>
      <w:r w:rsidR="007B4C1E">
        <w:t>of bi</w:t>
      </w:r>
      <w:r w:rsidR="007221EC">
        <w:t>sexual</w:t>
      </w:r>
      <w:r w:rsidR="007B4C1E">
        <w:t xml:space="preserve"> and pansexual identities</w:t>
      </w:r>
      <w:r w:rsidR="00E07FE0">
        <w:t xml:space="preserve"> </w:t>
      </w:r>
      <w:r w:rsidR="00B576F1">
        <w:t xml:space="preserve">can exacerbate the risks of </w:t>
      </w:r>
      <w:r w:rsidR="005D4765">
        <w:t>various external and internal stressors</w:t>
      </w:r>
      <w:r w:rsidR="00181093">
        <w:t xml:space="preserve"> which impact on mental health and wellbeing.</w:t>
      </w:r>
      <w:r w:rsidR="007B4C1E">
        <w:t xml:space="preserve"> </w:t>
      </w:r>
      <w:r w:rsidR="008E013A" w:rsidRPr="008E013A">
        <w:t xml:space="preserve">For example, research suggests that </w:t>
      </w:r>
      <w:r w:rsidR="00A76F09">
        <w:t>this increases the</w:t>
      </w:r>
      <w:r w:rsidR="008E013A" w:rsidRPr="008E013A">
        <w:t xml:space="preserve"> risk</w:t>
      </w:r>
      <w:r w:rsidR="00A76F09">
        <w:t>s</w:t>
      </w:r>
      <w:r w:rsidR="008E013A" w:rsidRPr="008E013A">
        <w:t xml:space="preserve"> of: </w:t>
      </w:r>
    </w:p>
    <w:p w14:paraId="71E52099" w14:textId="2C8B53CC" w:rsidR="008E013A" w:rsidRPr="008E013A" w:rsidRDefault="002325CC" w:rsidP="00A74059">
      <w:pPr>
        <w:pStyle w:val="ListBullet0"/>
        <w:rPr>
          <w:color w:val="000000" w:themeColor="text1"/>
        </w:rPr>
      </w:pPr>
      <w:r>
        <w:rPr>
          <w:b/>
          <w:bCs/>
        </w:rPr>
        <w:t>L</w:t>
      </w:r>
      <w:r w:rsidR="008E013A" w:rsidRPr="008E013A">
        <w:rPr>
          <w:b/>
          <w:bCs/>
        </w:rPr>
        <w:t xml:space="preserve">ower self-acceptance of </w:t>
      </w:r>
      <w:r w:rsidR="0087782C">
        <w:rPr>
          <w:b/>
          <w:bCs/>
        </w:rPr>
        <w:t>sexual orientation</w:t>
      </w:r>
      <w:r w:rsidR="008E013A" w:rsidRPr="008E013A">
        <w:rPr>
          <w:b/>
          <w:bCs/>
        </w:rPr>
        <w:t xml:space="preserve"> and higher incidence of identity concealment</w:t>
      </w:r>
      <w:r w:rsidR="008E013A" w:rsidRPr="008E013A">
        <w:t xml:space="preserve"> compared to other</w:t>
      </w:r>
      <w:r w:rsidR="00556983">
        <w:t xml:space="preserve">s </w:t>
      </w:r>
      <w:r w:rsidR="008D01B2">
        <w:t>in the LGBQ+ community</w:t>
      </w:r>
      <w:r w:rsidR="008E013A" w:rsidRPr="008E013A">
        <w:t>, which have been linked to poorer mental health outcomes,</w:t>
      </w:r>
      <w:r w:rsidR="008E013A" w:rsidRPr="008E013A">
        <w:rPr>
          <w:vertAlign w:val="superscript"/>
        </w:rPr>
        <w:footnoteReference w:id="174"/>
      </w:r>
      <w:r w:rsidR="008E013A" w:rsidRPr="008E013A">
        <w:t xml:space="preserve"> and barriers to help seeking. For example, bisexual adults referred to psychological services in the UK expressed unique concerns about disclosing their sexual </w:t>
      </w:r>
      <w:r w:rsidR="002E7D08">
        <w:t>orientation</w:t>
      </w:r>
      <w:r w:rsidR="002E7D08" w:rsidRPr="008E013A">
        <w:t xml:space="preserve"> </w:t>
      </w:r>
      <w:r w:rsidR="008E013A" w:rsidRPr="008E013A">
        <w:t>when receiving mental health care. Because bisexuality is poorly understood, participants were concerned that practitioners would “brand them as confused, attention-seeking or hypersexual”.</w:t>
      </w:r>
      <w:r w:rsidR="008E013A" w:rsidRPr="008E013A">
        <w:rPr>
          <w:vertAlign w:val="superscript"/>
        </w:rPr>
        <w:footnoteReference w:id="175"/>
      </w:r>
      <w:r w:rsidR="008E013A" w:rsidRPr="008E013A">
        <w:t xml:space="preserve"> Discomfort and fear </w:t>
      </w:r>
      <w:r w:rsidR="008E013A" w:rsidRPr="008E013A">
        <w:lastRenderedPageBreak/>
        <w:t xml:space="preserve">around disclosure of </w:t>
      </w:r>
      <w:r w:rsidR="00877007">
        <w:t xml:space="preserve">sexual orientation </w:t>
      </w:r>
      <w:r w:rsidR="008E013A" w:rsidRPr="008E013A">
        <w:t>can also deter people who are bisexual from seeking help from formal health services.</w:t>
      </w:r>
      <w:r w:rsidR="008E013A" w:rsidRPr="008E013A">
        <w:rPr>
          <w:vertAlign w:val="superscript"/>
        </w:rPr>
        <w:footnoteReference w:id="176"/>
      </w:r>
      <w:r w:rsidR="008E013A" w:rsidRPr="008E013A">
        <w:t xml:space="preserve"> </w:t>
      </w:r>
    </w:p>
    <w:p w14:paraId="7E208696" w14:textId="328E3AAC" w:rsidR="008E013A" w:rsidRDefault="002325CC" w:rsidP="00A74059">
      <w:pPr>
        <w:pStyle w:val="ListBullet0"/>
      </w:pPr>
      <w:r>
        <w:rPr>
          <w:b/>
          <w:bCs/>
        </w:rPr>
        <w:t>R</w:t>
      </w:r>
      <w:r w:rsidR="008E013A" w:rsidRPr="008E013A">
        <w:rPr>
          <w:b/>
          <w:bCs/>
        </w:rPr>
        <w:t>ejection</w:t>
      </w:r>
      <w:r w:rsidR="4D256760" w:rsidRPr="28F2AAE0">
        <w:rPr>
          <w:b/>
          <w:bCs/>
        </w:rPr>
        <w:t xml:space="preserve">, </w:t>
      </w:r>
      <w:r w:rsidR="00C94A22" w:rsidRPr="28F2AAE0">
        <w:rPr>
          <w:b/>
          <w:bCs/>
        </w:rPr>
        <w:t>erasure,</w:t>
      </w:r>
      <w:r w:rsidR="008E013A" w:rsidRPr="008E013A">
        <w:rPr>
          <w:b/>
          <w:bCs/>
        </w:rPr>
        <w:t xml:space="preserve"> and social isolation in LGBT</w:t>
      </w:r>
      <w:r w:rsidR="00C04BC4">
        <w:rPr>
          <w:b/>
          <w:bCs/>
        </w:rPr>
        <w:t>Q</w:t>
      </w:r>
      <w:r w:rsidR="008E013A" w:rsidRPr="008E013A">
        <w:rPr>
          <w:b/>
          <w:bCs/>
        </w:rPr>
        <w:t xml:space="preserve">+ spaces </w:t>
      </w:r>
      <w:r w:rsidR="008E013A" w:rsidRPr="008E013A">
        <w:t>and resulting</w:t>
      </w:r>
      <w:r w:rsidR="002C4E70">
        <w:t xml:space="preserve"> impacts to</w:t>
      </w:r>
      <w:r w:rsidR="008E013A" w:rsidRPr="008E013A">
        <w:t xml:space="preserve"> social support. As such, opportunities to participate in specific bi-</w:t>
      </w:r>
      <w:r w:rsidR="00935940">
        <w:t xml:space="preserve"> and pan-</w:t>
      </w:r>
      <w:r w:rsidR="008E013A" w:rsidRPr="008E013A">
        <w:t>community events ha</w:t>
      </w:r>
      <w:r w:rsidR="00935940">
        <w:t>ve</w:t>
      </w:r>
      <w:r w:rsidR="008E013A" w:rsidRPr="008E013A">
        <w:t xml:space="preserve"> been identified as a significant protective factor for bisexual </w:t>
      </w:r>
      <w:r w:rsidR="007221EC">
        <w:t xml:space="preserve">and pansexual </w:t>
      </w:r>
      <w:r w:rsidR="008E013A" w:rsidRPr="008E013A">
        <w:t>people.</w:t>
      </w:r>
      <w:r w:rsidR="008E013A" w:rsidRPr="008E013A">
        <w:rPr>
          <w:vertAlign w:val="superscript"/>
        </w:rPr>
        <w:footnoteReference w:id="177"/>
      </w:r>
    </w:p>
    <w:p w14:paraId="30D67F12" w14:textId="305F896D" w:rsidR="00935940" w:rsidRPr="008E013A" w:rsidRDefault="00935940" w:rsidP="00F828EA">
      <w:r>
        <w:t>There is limited research</w:t>
      </w:r>
      <w:r w:rsidR="00F828EA">
        <w:t xml:space="preserve"> investigating </w:t>
      </w:r>
      <w:r w:rsidR="00615801">
        <w:t>the mental health and wellbeing of pansexual people, particularly where they differ from bisexual people</w:t>
      </w:r>
      <w:r w:rsidR="00F828EA">
        <w:t xml:space="preserve">. </w:t>
      </w:r>
      <w:r w:rsidR="00106D53">
        <w:t xml:space="preserve">One Australian study </w:t>
      </w:r>
      <w:r w:rsidR="00555900">
        <w:t>conducted in 2023</w:t>
      </w:r>
      <w:r w:rsidR="00106D53">
        <w:t xml:space="preserve">, found </w:t>
      </w:r>
      <w:r w:rsidR="00615801">
        <w:t xml:space="preserve">that </w:t>
      </w:r>
      <w:r w:rsidR="00B55831">
        <w:t>their pansexual participants</w:t>
      </w:r>
      <w:r w:rsidR="00555900">
        <w:t xml:space="preserve"> were more open about their </w:t>
      </w:r>
      <w:r w:rsidR="00F20C0D">
        <w:t>sexual orientation</w:t>
      </w:r>
      <w:r w:rsidR="00555900">
        <w:t xml:space="preserve"> and</w:t>
      </w:r>
      <w:r w:rsidR="00B55831">
        <w:t xml:space="preserve"> reported feeling more connected </w:t>
      </w:r>
      <w:r w:rsidR="00555900">
        <w:t>to the LGBT</w:t>
      </w:r>
      <w:r w:rsidR="002C4E70">
        <w:t>Q</w:t>
      </w:r>
      <w:r w:rsidR="00555900">
        <w:t xml:space="preserve">+ community than their </w:t>
      </w:r>
      <w:r w:rsidR="007D15DA">
        <w:t>bisexual peers.</w:t>
      </w:r>
      <w:r w:rsidR="00CF3EC8">
        <w:rPr>
          <w:rStyle w:val="FootnoteReference"/>
        </w:rPr>
        <w:footnoteReference w:id="178"/>
      </w:r>
      <w:r w:rsidR="00CF3EC8">
        <w:t xml:space="preserve"> </w:t>
      </w:r>
      <w:r w:rsidR="007D15DA">
        <w:t xml:space="preserve">However, the study also found that pansexual identification was indirectly linked to increased psychological distress due to an elevated awareness of </w:t>
      </w:r>
      <w:r w:rsidR="00D5428D">
        <w:t>stigmatising views related to their identity.</w:t>
      </w:r>
      <w:r w:rsidR="00D5428D">
        <w:rPr>
          <w:rStyle w:val="FootnoteReference"/>
        </w:rPr>
        <w:footnoteReference w:id="179"/>
      </w:r>
      <w:r w:rsidR="00D5428D">
        <w:t xml:space="preserve"> </w:t>
      </w:r>
      <w:r w:rsidR="007D15DA">
        <w:t xml:space="preserve"> </w:t>
      </w:r>
    </w:p>
    <w:p w14:paraId="1E437886" w14:textId="54E2183D" w:rsidR="00175669" w:rsidRPr="00335355" w:rsidRDefault="008E013A" w:rsidP="009B406F">
      <w:pPr>
        <w:pStyle w:val="NbrHeading2"/>
      </w:pPr>
      <w:bookmarkStart w:id="91" w:name="_Toc147225857"/>
      <w:bookmarkStart w:id="92" w:name="_Toc153899516"/>
      <w:r w:rsidRPr="00335355">
        <w:t>First Nations LGBT</w:t>
      </w:r>
      <w:r w:rsidR="00AF7DF4">
        <w:t>Q+</w:t>
      </w:r>
      <w:r w:rsidRPr="00335355">
        <w:t>SB people</w:t>
      </w:r>
      <w:bookmarkEnd w:id="91"/>
      <w:bookmarkEnd w:id="92"/>
    </w:p>
    <w:p w14:paraId="3A59AA2F" w14:textId="5639AD10" w:rsidR="000A4FBB" w:rsidRPr="00272569" w:rsidRDefault="008E013A" w:rsidP="00B77C38">
      <w:r w:rsidRPr="00272569">
        <w:rPr>
          <w:rFonts w:eastAsia="Times New Roman" w:cs="Times New Roman"/>
          <w:lang w:eastAsia="en-AU"/>
        </w:rPr>
        <w:t>Australia’s First Nations community is comprised of hundreds of different nations, languages, and traditions</w:t>
      </w:r>
      <w:r w:rsidR="002325CC">
        <w:rPr>
          <w:rFonts w:eastAsia="Times New Roman" w:cs="Times New Roman"/>
          <w:lang w:eastAsia="en-AU"/>
        </w:rPr>
        <w:t>,</w:t>
      </w:r>
      <w:r w:rsidRPr="00272569">
        <w:rPr>
          <w:rFonts w:eastAsia="Times New Roman" w:cs="Times New Roman"/>
          <w:vertAlign w:val="superscript"/>
          <w:lang w:eastAsia="en-AU"/>
        </w:rPr>
        <w:footnoteReference w:id="180"/>
      </w:r>
      <w:r w:rsidRPr="00272569">
        <w:rPr>
          <w:rFonts w:eastAsia="Times New Roman" w:cs="Times New Roman"/>
          <w:lang w:eastAsia="en-AU"/>
        </w:rPr>
        <w:t xml:space="preserve"> which inform a diversity of experiences and risk factors relevant to each LGBTQ</w:t>
      </w:r>
      <w:r w:rsidR="00C854EE">
        <w:rPr>
          <w:rFonts w:eastAsia="Times New Roman" w:cs="Times New Roman"/>
          <w:lang w:eastAsia="en-AU"/>
        </w:rPr>
        <w:t>+</w:t>
      </w:r>
      <w:r w:rsidRPr="00272569">
        <w:rPr>
          <w:rFonts w:eastAsia="Times New Roman" w:cs="Times New Roman"/>
          <w:lang w:eastAsia="en-AU"/>
        </w:rPr>
        <w:t xml:space="preserve">SB First Nations person and community. </w:t>
      </w:r>
      <w:r w:rsidR="002A202E">
        <w:rPr>
          <w:rFonts w:eastAsia="Times New Roman" w:cs="Times New Roman"/>
          <w:lang w:eastAsia="en-AU"/>
        </w:rPr>
        <w:t>However, t</w:t>
      </w:r>
      <w:r w:rsidR="003B3D3D" w:rsidRPr="00272569">
        <w:rPr>
          <w:rFonts w:eastAsia="Times New Roman" w:cs="Times New Roman"/>
          <w:lang w:eastAsia="en-AU"/>
        </w:rPr>
        <w:t>here has been limited research</w:t>
      </w:r>
      <w:r w:rsidR="002A202E">
        <w:rPr>
          <w:rFonts w:eastAsia="Times New Roman" w:cs="Times New Roman"/>
          <w:lang w:eastAsia="en-AU"/>
        </w:rPr>
        <w:t xml:space="preserve"> </w:t>
      </w:r>
      <w:r w:rsidR="003B3D3D" w:rsidRPr="00272569">
        <w:rPr>
          <w:rFonts w:eastAsia="Times New Roman" w:cs="Times New Roman"/>
          <w:lang w:eastAsia="en-AU"/>
        </w:rPr>
        <w:t xml:space="preserve">addressing the specific needs of </w:t>
      </w:r>
      <w:r w:rsidR="006C195F" w:rsidRPr="00272569">
        <w:t>Australia’s First Nations LGBTQ</w:t>
      </w:r>
      <w:r w:rsidR="00393C8D">
        <w:t>+</w:t>
      </w:r>
      <w:r w:rsidR="006C195F" w:rsidRPr="00272569">
        <w:t>SB (including Sistergirl and Brotherboy) population</w:t>
      </w:r>
      <w:r w:rsidR="0067449C" w:rsidRPr="00272569">
        <w:t xml:space="preserve"> overall</w:t>
      </w:r>
      <w:r w:rsidR="006C195F" w:rsidRPr="00272569">
        <w:t>,</w:t>
      </w:r>
      <w:r w:rsidR="0067449C" w:rsidRPr="00272569">
        <w:t xml:space="preserve"> let alone</w:t>
      </w:r>
      <w:r w:rsidR="00427957" w:rsidRPr="00272569">
        <w:t xml:space="preserve"> </w:t>
      </w:r>
      <w:r w:rsidR="00140328" w:rsidRPr="00272569">
        <w:t>the</w:t>
      </w:r>
      <w:r w:rsidR="002D15EF" w:rsidRPr="00272569">
        <w:t xml:space="preserve"> diversity of needs within this population.</w:t>
      </w:r>
      <w:r w:rsidR="00A271B4" w:rsidRPr="00272569">
        <w:t xml:space="preserve"> </w:t>
      </w:r>
    </w:p>
    <w:p w14:paraId="5F852684" w14:textId="4A719ECF" w:rsidR="006C195F" w:rsidRPr="00272569" w:rsidRDefault="00CE7F6E" w:rsidP="00B77C38">
      <w:r w:rsidRPr="00272569">
        <w:t xml:space="preserve">The experiences </w:t>
      </w:r>
      <w:r w:rsidR="00B54573" w:rsidRPr="00272569">
        <w:t xml:space="preserve">and needs </w:t>
      </w:r>
      <w:r w:rsidRPr="00272569">
        <w:t>of First Nations LGBTQ</w:t>
      </w:r>
      <w:r w:rsidR="00393C8D">
        <w:t>+</w:t>
      </w:r>
      <w:r w:rsidRPr="00272569">
        <w:t xml:space="preserve">SB people must </w:t>
      </w:r>
      <w:r w:rsidR="007A699C" w:rsidRPr="00272569">
        <w:t xml:space="preserve">also be </w:t>
      </w:r>
      <w:r w:rsidR="005F6FE8" w:rsidRPr="00272569">
        <w:t xml:space="preserve">contextualised </w:t>
      </w:r>
      <w:r w:rsidR="00EC3B7D" w:rsidRPr="00272569">
        <w:t xml:space="preserve">within the </w:t>
      </w:r>
      <w:r w:rsidR="00140CB1" w:rsidRPr="00272569">
        <w:t xml:space="preserve">varied </w:t>
      </w:r>
      <w:r w:rsidR="00EC3B7D" w:rsidRPr="00272569">
        <w:t>historical and contemporary impacts of colonisation</w:t>
      </w:r>
      <w:r w:rsidR="00B77C38" w:rsidRPr="00272569">
        <w:t xml:space="preserve"> and discrimination,</w:t>
      </w:r>
      <w:r w:rsidR="007D437E" w:rsidRPr="00272569">
        <w:t xml:space="preserve"> which have been </w:t>
      </w:r>
      <w:r w:rsidR="00514186" w:rsidRPr="00272569">
        <w:t xml:space="preserve">strongly </w:t>
      </w:r>
      <w:r w:rsidR="00EC1E37" w:rsidRPr="00272569">
        <w:t xml:space="preserve">and </w:t>
      </w:r>
      <w:r w:rsidR="007D437E" w:rsidRPr="00272569">
        <w:t xml:space="preserve">repeatedly linked to </w:t>
      </w:r>
      <w:r w:rsidR="00514186" w:rsidRPr="00272569">
        <w:t xml:space="preserve">worse </w:t>
      </w:r>
      <w:r w:rsidR="00EC1E37" w:rsidRPr="00272569">
        <w:t xml:space="preserve">health, </w:t>
      </w:r>
      <w:r w:rsidR="00514186" w:rsidRPr="00272569">
        <w:t>mental health</w:t>
      </w:r>
      <w:r w:rsidR="000A4FBB" w:rsidRPr="00272569">
        <w:t>,</w:t>
      </w:r>
      <w:r w:rsidR="00514186" w:rsidRPr="00272569">
        <w:t xml:space="preserve"> and wellbeing outcomes</w:t>
      </w:r>
      <w:r w:rsidR="00627B72" w:rsidRPr="00272569">
        <w:t>.</w:t>
      </w:r>
      <w:r w:rsidR="00830B9E" w:rsidRPr="00272569">
        <w:rPr>
          <w:vertAlign w:val="superscript"/>
        </w:rPr>
        <w:footnoteReference w:id="181"/>
      </w:r>
      <w:r w:rsidR="00830B9E" w:rsidRPr="00272569">
        <w:t xml:space="preserve"> </w:t>
      </w:r>
    </w:p>
    <w:p w14:paraId="4F424152" w14:textId="600722B4" w:rsidR="006651D7" w:rsidRPr="008E013A" w:rsidRDefault="008A6DA6" w:rsidP="006651D7">
      <w:r>
        <w:t xml:space="preserve">Notwithstanding </w:t>
      </w:r>
      <w:r w:rsidR="00503B98">
        <w:t>the above,</w:t>
      </w:r>
      <w:r w:rsidR="000952C2">
        <w:t xml:space="preserve"> </w:t>
      </w:r>
      <w:r w:rsidR="003A15E6">
        <w:t>the</w:t>
      </w:r>
      <w:r w:rsidR="000952C2">
        <w:t xml:space="preserve"> </w:t>
      </w:r>
      <w:r w:rsidR="003A15E6">
        <w:t xml:space="preserve">available literature has identified </w:t>
      </w:r>
      <w:r w:rsidR="000952C2">
        <w:t>distinct stressors</w:t>
      </w:r>
      <w:r w:rsidR="003A15E6">
        <w:t xml:space="preserve"> which impact th</w:t>
      </w:r>
      <w:r w:rsidR="00926A37">
        <w:t>e mental health and wellbeing of</w:t>
      </w:r>
      <w:r w:rsidR="00503B98">
        <w:t xml:space="preserve"> </w:t>
      </w:r>
      <w:r w:rsidR="006651D7" w:rsidRPr="008E013A">
        <w:t>LGBTQ</w:t>
      </w:r>
      <w:r w:rsidR="00393C8D">
        <w:t>+</w:t>
      </w:r>
      <w:r w:rsidR="006651D7" w:rsidRPr="008E013A">
        <w:t>SB First Nations people</w:t>
      </w:r>
      <w:r w:rsidR="00926A37">
        <w:t xml:space="preserve">. </w:t>
      </w:r>
      <w:r w:rsidR="001F0B35">
        <w:t xml:space="preserve">In addition to </w:t>
      </w:r>
      <w:r w:rsidR="00453081">
        <w:t>stressors related to being a First Nations person</w:t>
      </w:r>
      <w:r w:rsidR="00021F9E">
        <w:rPr>
          <w:rStyle w:val="FootnoteReference"/>
        </w:rPr>
        <w:footnoteReference w:id="182"/>
      </w:r>
      <w:r w:rsidR="00453081">
        <w:t xml:space="preserve">, </w:t>
      </w:r>
      <w:r w:rsidR="00871A3F">
        <w:t>some stressors</w:t>
      </w:r>
      <w:r w:rsidR="00D35931">
        <w:t xml:space="preserve"> related to the </w:t>
      </w:r>
      <w:r w:rsidR="00D35931">
        <w:lastRenderedPageBreak/>
        <w:t>intersecting experiences of being First Nations and LGBTQ+SB include (though are not l</w:t>
      </w:r>
      <w:r w:rsidR="008D708C">
        <w:t>imited to)</w:t>
      </w:r>
      <w:r w:rsidR="00D35931">
        <w:t xml:space="preserve">: </w:t>
      </w:r>
    </w:p>
    <w:p w14:paraId="1D771320" w14:textId="1CB64E18" w:rsidR="0077325C" w:rsidRDefault="0077325C" w:rsidP="0077325C">
      <w:pPr>
        <w:pStyle w:val="ListBullet0"/>
        <w:rPr>
          <w:color w:val="000000" w:themeColor="text1"/>
        </w:rPr>
      </w:pPr>
      <w:r w:rsidRPr="0077325C">
        <w:rPr>
          <w:b/>
          <w:bCs/>
          <w:color w:val="000000" w:themeColor="text1"/>
        </w:rPr>
        <w:t>Erasure</w:t>
      </w:r>
      <w:r w:rsidR="002325CC">
        <w:rPr>
          <w:color w:val="000000" w:themeColor="text1"/>
        </w:rPr>
        <w:t>: r</w:t>
      </w:r>
      <w:r w:rsidRPr="0077325C">
        <w:rPr>
          <w:color w:val="000000" w:themeColor="text1"/>
        </w:rPr>
        <w:t>esearch involving LGBTQ+SB First Nations people points to the interconnection between colonialism and the imposition of patriarchal, hetero and cis-normative values</w:t>
      </w:r>
      <w:r w:rsidR="002325CC">
        <w:rPr>
          <w:color w:val="000000" w:themeColor="text1"/>
        </w:rPr>
        <w:t>,</w:t>
      </w:r>
      <w:r w:rsidRPr="0077325C">
        <w:rPr>
          <w:color w:val="000000" w:themeColor="text1"/>
        </w:rPr>
        <w:t xml:space="preserve"> which have denied and erased Aboriginal people with diverse sexual orientations and genders from public consciousness</w:t>
      </w:r>
      <w:r w:rsidRPr="0077325C">
        <w:rPr>
          <w:color w:val="000000" w:themeColor="text1"/>
          <w:vertAlign w:val="superscript"/>
        </w:rPr>
        <w:footnoteReference w:id="183"/>
      </w:r>
      <w:r w:rsidRPr="0077325C">
        <w:rPr>
          <w:color w:val="000000" w:themeColor="text1"/>
        </w:rPr>
        <w:t xml:space="preserve"> and from Australian institutions</w:t>
      </w:r>
      <w:r w:rsidR="0011091B">
        <w:rPr>
          <w:color w:val="000000" w:themeColor="text1"/>
        </w:rPr>
        <w:t>.</w:t>
      </w:r>
      <w:r w:rsidRPr="0077325C">
        <w:rPr>
          <w:color w:val="000000" w:themeColor="text1"/>
          <w:vertAlign w:val="superscript"/>
        </w:rPr>
        <w:footnoteReference w:id="184"/>
      </w:r>
      <w:r w:rsidRPr="0077325C">
        <w:rPr>
          <w:color w:val="000000" w:themeColor="text1"/>
        </w:rPr>
        <w:t xml:space="preserve"> As Baylis</w:t>
      </w:r>
      <w:r w:rsidR="00153B83">
        <w:rPr>
          <w:color w:val="000000" w:themeColor="text1"/>
        </w:rPr>
        <w:t xml:space="preserve"> (2015)</w:t>
      </w:r>
      <w:r w:rsidRPr="0077325C">
        <w:rPr>
          <w:color w:val="000000" w:themeColor="text1"/>
        </w:rPr>
        <w:t xml:space="preserve"> notes: “the lived realities of colonisation have constructed a silencing force that mutes Queer-Aboriginality".</w:t>
      </w:r>
      <w:r w:rsidRPr="0077325C">
        <w:rPr>
          <w:color w:val="000000" w:themeColor="text1"/>
          <w:vertAlign w:val="superscript"/>
        </w:rPr>
        <w:footnoteReference w:id="185"/>
      </w:r>
      <w:r w:rsidRPr="0077325C">
        <w:rPr>
          <w:color w:val="000000" w:themeColor="text1"/>
        </w:rPr>
        <w:t xml:space="preserve"> This is despite pre-colonial, colonial, and post-colonial evidence of sexual and gender diverse peoples in First Nations communities.</w:t>
      </w:r>
      <w:r w:rsidRPr="0077325C">
        <w:rPr>
          <w:color w:val="000000" w:themeColor="text1"/>
          <w:vertAlign w:val="superscript"/>
        </w:rPr>
        <w:footnoteReference w:id="186"/>
      </w:r>
      <w:r w:rsidRPr="0077325C">
        <w:rPr>
          <w:color w:val="000000" w:themeColor="text1"/>
        </w:rPr>
        <w:t xml:space="preserve"> Research has indicated that First Nations LGBTQ+SB representation </w:t>
      </w:r>
      <w:r w:rsidR="00E65024">
        <w:rPr>
          <w:color w:val="000000" w:themeColor="text1"/>
        </w:rPr>
        <w:t>in media, policy</w:t>
      </w:r>
      <w:r w:rsidR="002325CC">
        <w:rPr>
          <w:color w:val="000000" w:themeColor="text1"/>
        </w:rPr>
        <w:t>,</w:t>
      </w:r>
      <w:r w:rsidR="00E65024">
        <w:rPr>
          <w:color w:val="000000" w:themeColor="text1"/>
        </w:rPr>
        <w:t xml:space="preserve"> and community </w:t>
      </w:r>
      <w:r w:rsidRPr="0077325C">
        <w:rPr>
          <w:color w:val="000000" w:themeColor="text1"/>
        </w:rPr>
        <w:t>can have substantive impacts on supporting self-understanding</w:t>
      </w:r>
      <w:r w:rsidR="00E65024">
        <w:rPr>
          <w:color w:val="000000" w:themeColor="text1"/>
        </w:rPr>
        <w:t xml:space="preserve"> and</w:t>
      </w:r>
      <w:r w:rsidRPr="0077325C">
        <w:rPr>
          <w:color w:val="000000" w:themeColor="text1"/>
        </w:rPr>
        <w:t xml:space="preserve"> confidence integrating LGBTQ+SB identity within community and culture, </w:t>
      </w:r>
      <w:r w:rsidR="00E65024">
        <w:rPr>
          <w:color w:val="000000" w:themeColor="text1"/>
        </w:rPr>
        <w:t>as well as</w:t>
      </w:r>
      <w:r w:rsidRPr="0077325C">
        <w:rPr>
          <w:color w:val="000000" w:themeColor="text1"/>
        </w:rPr>
        <w:t xml:space="preserve"> reducing the burden of educating others.</w:t>
      </w:r>
      <w:r w:rsidRPr="0077325C">
        <w:rPr>
          <w:color w:val="000000" w:themeColor="text1"/>
          <w:vertAlign w:val="superscript"/>
        </w:rPr>
        <w:footnoteReference w:id="187"/>
      </w:r>
      <w:r w:rsidRPr="0077325C">
        <w:rPr>
          <w:color w:val="000000" w:themeColor="text1"/>
        </w:rPr>
        <w:t xml:space="preserve">  </w:t>
      </w:r>
    </w:p>
    <w:p w14:paraId="1521B84B" w14:textId="132C6A02" w:rsidR="00683BC1" w:rsidRPr="0012378D" w:rsidRDefault="00683BC1" w:rsidP="00CA4645">
      <w:pPr>
        <w:pStyle w:val="ListBullet0"/>
        <w:rPr>
          <w:color w:val="000000" w:themeColor="text1"/>
        </w:rPr>
      </w:pPr>
      <w:r w:rsidRPr="00483B3B">
        <w:rPr>
          <w:b/>
          <w:bCs/>
        </w:rPr>
        <w:t xml:space="preserve">Social isolation and disconnection </w:t>
      </w:r>
      <w:r w:rsidR="00E55466" w:rsidRPr="00483B3B">
        <w:rPr>
          <w:b/>
          <w:bCs/>
        </w:rPr>
        <w:t>from country</w:t>
      </w:r>
      <w:r w:rsidR="00652EC4">
        <w:rPr>
          <w:b/>
          <w:bCs/>
        </w:rPr>
        <w:t xml:space="preserve">: </w:t>
      </w:r>
      <w:r w:rsidR="00652EC4" w:rsidRPr="00652EC4">
        <w:t>w</w:t>
      </w:r>
      <w:r w:rsidR="00D96FB2" w:rsidRPr="00652EC4">
        <w:t>hile</w:t>
      </w:r>
      <w:r w:rsidR="00D96FB2">
        <w:t xml:space="preserve"> s</w:t>
      </w:r>
      <w:r w:rsidR="00D96FB2" w:rsidRPr="00D96FB2">
        <w:t xml:space="preserve">ocial inclusion measures have been critiqued by Fist Nations researchers for failing to capture the complexities of First Nations peoples’ </w:t>
      </w:r>
      <w:r w:rsidR="006F6E1A">
        <w:t>social systems and values</w:t>
      </w:r>
      <w:r w:rsidR="00D96FB2">
        <w:t>,</w:t>
      </w:r>
      <w:r w:rsidR="00D96FB2" w:rsidRPr="00D96FB2">
        <w:t xml:space="preserve"> </w:t>
      </w:r>
      <w:r w:rsidR="00B3563B">
        <w:t>research has</w:t>
      </w:r>
      <w:r w:rsidR="00D96FB2">
        <w:t xml:space="preserve"> also</w:t>
      </w:r>
      <w:r w:rsidR="00B3563B">
        <w:t xml:space="preserve"> indicated that </w:t>
      </w:r>
      <w:r w:rsidR="00442513">
        <w:t xml:space="preserve">many </w:t>
      </w:r>
      <w:r w:rsidR="00FA5539">
        <w:t xml:space="preserve">LGBTQ+SB people </w:t>
      </w:r>
      <w:r w:rsidR="00D96FB2">
        <w:t xml:space="preserve">are impacted by </w:t>
      </w:r>
      <w:r w:rsidR="00FA5539">
        <w:t xml:space="preserve">difficulty finding social spaces </w:t>
      </w:r>
      <w:r w:rsidR="0013258E">
        <w:t>in which they can be “</w:t>
      </w:r>
      <w:r w:rsidR="009176F8">
        <w:t>simultaneously queer and Aboriginal”.</w:t>
      </w:r>
      <w:r w:rsidR="00961FAA">
        <w:rPr>
          <w:rStyle w:val="FootnoteReference"/>
        </w:rPr>
        <w:footnoteReference w:id="188"/>
      </w:r>
      <w:r w:rsidR="009176F8">
        <w:t xml:space="preserve"> </w:t>
      </w:r>
      <w:r w:rsidR="00E524CD">
        <w:t xml:space="preserve">First Nations LGBTQ+SB people have reported experiencing </w:t>
      </w:r>
      <w:r w:rsidR="002A1902">
        <w:t xml:space="preserve">racist discrimination within LGBTQ+ spaces, as well as </w:t>
      </w:r>
      <w:r w:rsidR="00AE01F9">
        <w:t>“queerphobia” within First Nations community spaces.</w:t>
      </w:r>
      <w:r w:rsidR="00AE01F9" w:rsidRPr="0012378D">
        <w:rPr>
          <w:vertAlign w:val="superscript"/>
        </w:rPr>
        <w:footnoteReference w:id="189"/>
      </w:r>
      <w:r w:rsidR="00AE01F9">
        <w:t xml:space="preserve"> </w:t>
      </w:r>
      <w:r w:rsidR="000000B9">
        <w:t xml:space="preserve">This is particularly complicated for </w:t>
      </w:r>
      <w:r w:rsidR="00FF102B">
        <w:t>individuals</w:t>
      </w:r>
      <w:r w:rsidR="00170551">
        <w:t xml:space="preserve"> who have not been brought up on country or </w:t>
      </w:r>
      <w:r w:rsidR="00780764">
        <w:t>amongst their community</w:t>
      </w:r>
      <w:r w:rsidR="002325CC">
        <w:t>,</w:t>
      </w:r>
      <w:r w:rsidR="00780764">
        <w:t xml:space="preserve"> due to the impacts of colonisation</w:t>
      </w:r>
      <w:r w:rsidR="004E7EF0">
        <w:t xml:space="preserve"> </w:t>
      </w:r>
      <w:r w:rsidR="00A05116">
        <w:t xml:space="preserve">and </w:t>
      </w:r>
      <w:r w:rsidR="00780764">
        <w:t xml:space="preserve">‘Stolen Generation’ policies. </w:t>
      </w:r>
      <w:r w:rsidR="00C8139E">
        <w:t>For some LGBTQ+SB, r</w:t>
      </w:r>
      <w:r w:rsidR="00EE0152">
        <w:t xml:space="preserve">eliance on older relatives </w:t>
      </w:r>
      <w:r w:rsidR="005706FB">
        <w:t xml:space="preserve">and elders </w:t>
      </w:r>
      <w:r w:rsidR="001D289E">
        <w:t>who may have discriminatory views towards LGBTQ+SB people</w:t>
      </w:r>
      <w:r w:rsidR="004B4D17">
        <w:t xml:space="preserve"> </w:t>
      </w:r>
      <w:r w:rsidR="001A20C6">
        <w:t>to reconnect with community and culture c</w:t>
      </w:r>
      <w:r w:rsidR="0005493D">
        <w:t xml:space="preserve">an </w:t>
      </w:r>
      <w:r w:rsidR="008E7C1C">
        <w:t>reportedly</w:t>
      </w:r>
      <w:r w:rsidR="001A20C6">
        <w:t xml:space="preserve"> </w:t>
      </w:r>
      <w:r w:rsidR="008954A0">
        <w:t>make the process “difficult and nerve-racking”</w:t>
      </w:r>
      <w:r w:rsidR="003F1A12">
        <w:t>.</w:t>
      </w:r>
      <w:r w:rsidR="004B6759">
        <w:rPr>
          <w:rStyle w:val="FootnoteReference"/>
        </w:rPr>
        <w:footnoteReference w:id="190"/>
      </w:r>
      <w:r w:rsidR="004B6759">
        <w:t xml:space="preserve"> </w:t>
      </w:r>
      <w:r w:rsidR="00771B81" w:rsidRPr="00A24D86">
        <w:t xml:space="preserve">While experiences </w:t>
      </w:r>
      <w:r w:rsidR="00A97FC4" w:rsidRPr="00A24D86">
        <w:t>varied substantially</w:t>
      </w:r>
      <w:r w:rsidR="009B1B27" w:rsidRPr="00A24D86">
        <w:t xml:space="preserve"> and many report feelin</w:t>
      </w:r>
      <w:r w:rsidR="00D8136D" w:rsidRPr="00A24D86">
        <w:t xml:space="preserve">g </w:t>
      </w:r>
      <w:r w:rsidR="00015FA7" w:rsidRPr="00A24D86">
        <w:t xml:space="preserve">that their LGBTQ+SB identity </w:t>
      </w:r>
      <w:r w:rsidR="00C8139E">
        <w:t>is</w:t>
      </w:r>
      <w:r w:rsidR="00015FA7" w:rsidRPr="00A24D86">
        <w:t xml:space="preserve"> accepted by their community, </w:t>
      </w:r>
      <w:r w:rsidR="00015FA7" w:rsidRPr="00A24D86">
        <w:lastRenderedPageBreak/>
        <w:t xml:space="preserve">some participants in </w:t>
      </w:r>
      <w:r w:rsidR="00C80729">
        <w:t>recen</w:t>
      </w:r>
      <w:r w:rsidR="00F22FC7">
        <w:t>t</w:t>
      </w:r>
      <w:r w:rsidR="00C80729">
        <w:t xml:space="preserve"> research</w:t>
      </w:r>
      <w:r w:rsidR="00F22FC7">
        <w:t xml:space="preserve"> undertaken in Western Australia</w:t>
      </w:r>
      <w:r w:rsidR="00C80729">
        <w:t xml:space="preserve"> </w:t>
      </w:r>
      <w:r w:rsidR="00015FA7">
        <w:t xml:space="preserve">reported experiencing </w:t>
      </w:r>
      <w:r w:rsidR="00D901E9">
        <w:t>overt rejection</w:t>
      </w:r>
      <w:r w:rsidR="008D2280">
        <w:t>, violence</w:t>
      </w:r>
      <w:r w:rsidR="00D901E9">
        <w:t xml:space="preserve"> </w:t>
      </w:r>
      <w:r w:rsidR="00436C86">
        <w:t>or</w:t>
      </w:r>
      <w:r w:rsidR="00A9363B">
        <w:t xml:space="preserve"> feeling</w:t>
      </w:r>
      <w:r w:rsidR="00436C86">
        <w:t xml:space="preserve"> </w:t>
      </w:r>
      <w:r w:rsidR="00D901E9">
        <w:t>that</w:t>
      </w:r>
      <w:r w:rsidR="00295666">
        <w:t xml:space="preserve"> the</w:t>
      </w:r>
      <w:r w:rsidR="000570DA">
        <w:t xml:space="preserve">y had to hide their LGBTQ+SB self in order to participate in </w:t>
      </w:r>
      <w:r w:rsidR="00295666">
        <w:t>their community.</w:t>
      </w:r>
      <w:r w:rsidR="00A24D86">
        <w:rPr>
          <w:rStyle w:val="FootnoteReference"/>
        </w:rPr>
        <w:footnoteReference w:id="191"/>
      </w:r>
      <w:r w:rsidR="00A24D86">
        <w:t xml:space="preserve"> </w:t>
      </w:r>
      <w:r w:rsidR="0062347F">
        <w:t>In addition to driving</w:t>
      </w:r>
      <w:r w:rsidR="002F543A">
        <w:t xml:space="preserve"> internal stressors</w:t>
      </w:r>
      <w:r w:rsidR="002325CC">
        <w:t>,</w:t>
      </w:r>
      <w:r w:rsidR="002F543A">
        <w:t xml:space="preserve"> such as self-stigma</w:t>
      </w:r>
      <w:r w:rsidR="00073A03">
        <w:t>, t</w:t>
      </w:r>
      <w:r w:rsidR="00295666">
        <w:t>h</w:t>
      </w:r>
      <w:r w:rsidR="008E45A1">
        <w:t>ese experiences</w:t>
      </w:r>
      <w:r w:rsidR="00295666">
        <w:t xml:space="preserve"> could </w:t>
      </w:r>
      <w:r w:rsidR="00073A03">
        <w:t>also</w:t>
      </w:r>
      <w:r w:rsidR="00295666">
        <w:t xml:space="preserve"> make it difficult to maintain connection to </w:t>
      </w:r>
      <w:r w:rsidR="008E45A1">
        <w:t>community, country</w:t>
      </w:r>
      <w:r w:rsidR="002325CC">
        <w:t>,</w:t>
      </w:r>
      <w:r w:rsidR="008E45A1">
        <w:t xml:space="preserve"> and First Nations identity, </w:t>
      </w:r>
      <w:r w:rsidR="00073A03">
        <w:t xml:space="preserve">and, in some cases, “arrested </w:t>
      </w:r>
      <w:r w:rsidR="000716DF">
        <w:t>t</w:t>
      </w:r>
      <w:r w:rsidR="00483B3B">
        <w:t>he process of healing from the impacts of colonisation</w:t>
      </w:r>
      <w:r w:rsidR="004C7DD5">
        <w:t>”</w:t>
      </w:r>
      <w:r w:rsidR="000F4170">
        <w:t>.</w:t>
      </w:r>
      <w:r w:rsidR="006F03FF">
        <w:rPr>
          <w:rStyle w:val="FootnoteReference"/>
        </w:rPr>
        <w:footnoteReference w:id="192"/>
      </w:r>
      <w:r w:rsidR="004C7DD5">
        <w:t xml:space="preserve"> </w:t>
      </w:r>
      <w:r w:rsidR="00A54EC6">
        <w:t>For some LGBTQ+SB</w:t>
      </w:r>
      <w:r w:rsidR="001D589E">
        <w:t xml:space="preserve"> people</w:t>
      </w:r>
      <w:r w:rsidR="00A54EC6">
        <w:t xml:space="preserve">, distress was exacerbated by the </w:t>
      </w:r>
      <w:r w:rsidR="00D8765C">
        <w:t xml:space="preserve">association of </w:t>
      </w:r>
      <w:r w:rsidR="00CA4645" w:rsidRPr="00CA4645">
        <w:t xml:space="preserve">discriminatory attitudes towards LGBTQ+ </w:t>
      </w:r>
      <w:r w:rsidR="00D8765C">
        <w:t>with</w:t>
      </w:r>
      <w:r w:rsidR="00BF2BCF">
        <w:t xml:space="preserve"> the historical trauma of</w:t>
      </w:r>
      <w:r w:rsidR="00A83CAC">
        <w:t xml:space="preserve"> </w:t>
      </w:r>
      <w:r w:rsidR="00F02F36">
        <w:t xml:space="preserve">missions, where </w:t>
      </w:r>
      <w:r w:rsidR="005763EA" w:rsidRPr="005763EA">
        <w:t xml:space="preserve">patriarchal, hetero and cis-normative values </w:t>
      </w:r>
      <w:r w:rsidR="00CA4645" w:rsidRPr="00CA4645">
        <w:t>teachings</w:t>
      </w:r>
      <w:r w:rsidR="00F02F36">
        <w:t xml:space="preserve"> were</w:t>
      </w:r>
      <w:r w:rsidR="00CA4645" w:rsidRPr="00CA4645">
        <w:t xml:space="preserve"> enforced on older community members</w:t>
      </w:r>
      <w:r w:rsidR="00F02F36">
        <w:t>.</w:t>
      </w:r>
      <w:r w:rsidR="00CA4645" w:rsidRPr="00CA4645">
        <w:rPr>
          <w:vertAlign w:val="superscript"/>
        </w:rPr>
        <w:footnoteReference w:id="193"/>
      </w:r>
      <w:r w:rsidR="00CA4645" w:rsidRPr="00CA4645">
        <w:t xml:space="preserve"> </w:t>
      </w:r>
      <w:r w:rsidR="005E6BF7">
        <w:t>Further</w:t>
      </w:r>
      <w:r w:rsidR="006520B7">
        <w:t xml:space="preserve">, </w:t>
      </w:r>
      <w:r w:rsidR="00D13D19">
        <w:t xml:space="preserve">some LGBTQ+SB </w:t>
      </w:r>
      <w:r w:rsidR="00DF2E5F">
        <w:t xml:space="preserve">people have </w:t>
      </w:r>
      <w:r w:rsidR="00D13D19">
        <w:t>reported that</w:t>
      </w:r>
      <w:r w:rsidR="00A560F9">
        <w:t xml:space="preserve"> the</w:t>
      </w:r>
      <w:r w:rsidR="00101874">
        <w:t xml:space="preserve"> racialized hardships and traumas </w:t>
      </w:r>
      <w:r w:rsidR="009F2F12">
        <w:t xml:space="preserve">experienced </w:t>
      </w:r>
      <w:r w:rsidR="00A560F9">
        <w:t xml:space="preserve">by their families and communities </w:t>
      </w:r>
      <w:r w:rsidR="006F2AE2">
        <w:t>can</w:t>
      </w:r>
      <w:r w:rsidR="00D20AD3">
        <w:t xml:space="preserve"> </w:t>
      </w:r>
      <w:r w:rsidR="00636B2F">
        <w:t>m</w:t>
      </w:r>
      <w:r w:rsidR="00B92AE4">
        <w:t>ake it</w:t>
      </w:r>
      <w:r w:rsidR="00E043E7">
        <w:t xml:space="preserve"> difficult for them to </w:t>
      </w:r>
      <w:r w:rsidR="00E001B1">
        <w:t xml:space="preserve">provide </w:t>
      </w:r>
      <w:r w:rsidR="0098072F">
        <w:t xml:space="preserve">support </w:t>
      </w:r>
      <w:r w:rsidR="00CD352A">
        <w:t>for hardships related to being LGBTQ+</w:t>
      </w:r>
      <w:r w:rsidR="00BA3238">
        <w:t>, which</w:t>
      </w:r>
      <w:r w:rsidR="006F2AE2">
        <w:t>, in some cases, was</w:t>
      </w:r>
      <w:r w:rsidR="00BA3238">
        <w:t xml:space="preserve"> seen as minor in comparison</w:t>
      </w:r>
      <w:r w:rsidR="00CD352A">
        <w:t>.</w:t>
      </w:r>
      <w:r w:rsidR="00F8428C">
        <w:rPr>
          <w:rStyle w:val="FootnoteReference"/>
        </w:rPr>
        <w:footnoteReference w:id="194"/>
      </w:r>
      <w:r w:rsidR="00F8428C">
        <w:t xml:space="preserve"> </w:t>
      </w:r>
      <w:r w:rsidR="00CD352A">
        <w:t xml:space="preserve"> </w:t>
      </w:r>
    </w:p>
    <w:p w14:paraId="3860E967" w14:textId="169B1AFB" w:rsidR="0012378D" w:rsidRPr="00B72A03" w:rsidRDefault="0012378D" w:rsidP="00B72A03">
      <w:pPr>
        <w:pStyle w:val="ListBullet0"/>
      </w:pPr>
      <w:r w:rsidRPr="0012378D">
        <w:rPr>
          <w:b/>
          <w:bCs/>
        </w:rPr>
        <w:t>Marginalisation</w:t>
      </w:r>
      <w:r w:rsidR="002325CC">
        <w:rPr>
          <w:b/>
          <w:bCs/>
        </w:rPr>
        <w:t xml:space="preserve">: </w:t>
      </w:r>
      <w:r w:rsidR="002325CC">
        <w:t>e</w:t>
      </w:r>
      <w:r w:rsidRPr="0012378D">
        <w:t>ven less attention has been given to</w:t>
      </w:r>
      <w:r>
        <w:t xml:space="preserve"> determining appropriate ways to </w:t>
      </w:r>
      <w:r w:rsidR="00C72544">
        <w:t>support</w:t>
      </w:r>
      <w:r w:rsidRPr="0012378D">
        <w:t xml:space="preserve"> the unique needs of First Nations LGBTQ+SB people. The existing research indicates that First Nations LGBTQ+SB people experience complex, intersecting issues in family and society that exacerbate distress and impact on community connection. However, they may be hesitant to access services such as mental health care</w:t>
      </w:r>
      <w:r w:rsidR="002325CC">
        <w:t>,</w:t>
      </w:r>
      <w:r w:rsidRPr="0012378D">
        <w:t xml:space="preserve"> due to</w:t>
      </w:r>
      <w:r w:rsidR="002325CC">
        <w:t>:</w:t>
      </w:r>
      <w:r w:rsidRPr="0012378D">
        <w:t xml:space="preserve"> historical pathologisation of First Nations people; limited availability of culturally safe services; and the absence of services that can attend to intersecting experiences related to race, ethnicity, culture, gender and sexual orientation.</w:t>
      </w:r>
      <w:r w:rsidRPr="0012378D">
        <w:rPr>
          <w:vertAlign w:val="superscript"/>
        </w:rPr>
        <w:footnoteReference w:id="195"/>
      </w:r>
      <w:r w:rsidR="002A4662">
        <w:t xml:space="preserve"> Research has found that LGBTQ+SB First Nations people have developed </w:t>
      </w:r>
      <w:r w:rsidR="0035264D">
        <w:t xml:space="preserve">communities of care </w:t>
      </w:r>
      <w:r w:rsidR="001C592E">
        <w:t>through alternative avenues, such as social media, in lieu of formal help-seeking.</w:t>
      </w:r>
      <w:r w:rsidR="002D4287" w:rsidRPr="0012378D">
        <w:rPr>
          <w:vertAlign w:val="superscript"/>
        </w:rPr>
        <w:footnoteReference w:id="196"/>
      </w:r>
      <w:r w:rsidR="002D4287">
        <w:t xml:space="preserve"> </w:t>
      </w:r>
      <w:r w:rsidRPr="0012378D">
        <w:t>In addition, the terminology used by many First Nations communities to describe tran</w:t>
      </w:r>
      <w:r w:rsidR="002D4287">
        <w:t>s</w:t>
      </w:r>
      <w:r w:rsidRPr="0012378D">
        <w:t>gender individuals – ‘Sistergirl’ and ‘Brotherboy’ – is often absent from national dialogue on LGBTQ+SB people.</w:t>
      </w:r>
      <w:r w:rsidRPr="0012378D">
        <w:rPr>
          <w:vertAlign w:val="superscript"/>
        </w:rPr>
        <w:footnoteReference w:id="197"/>
      </w:r>
      <w:r w:rsidR="00DC4B8C">
        <w:t xml:space="preserve"> </w:t>
      </w:r>
      <w:r w:rsidR="00033CD5">
        <w:t>While r</w:t>
      </w:r>
      <w:r w:rsidR="00DC4B8C">
        <w:t>esearchers</w:t>
      </w:r>
      <w:r w:rsidR="00177CC3">
        <w:t xml:space="preserve"> have</w:t>
      </w:r>
      <w:r w:rsidR="00AF1AF6">
        <w:t xml:space="preserve"> </w:t>
      </w:r>
      <w:r w:rsidR="005B1B56">
        <w:t xml:space="preserve">emphasised the need to treat First nations LGBTQ+SB </w:t>
      </w:r>
      <w:r w:rsidR="00531A4F">
        <w:t>people as a priority group in research and policy development, they have also stressed</w:t>
      </w:r>
      <w:r w:rsidR="001B6163">
        <w:t xml:space="preserve"> that </w:t>
      </w:r>
      <w:r w:rsidR="00C14F40">
        <w:t xml:space="preserve">First Nations LGBTQ+SB people are </w:t>
      </w:r>
      <w:r w:rsidR="00720E9E">
        <w:t>at risk of being treated as “</w:t>
      </w:r>
      <w:r w:rsidR="00C14F40">
        <w:t xml:space="preserve">objects of anthropological </w:t>
      </w:r>
      <w:r w:rsidR="002B1708">
        <w:t>interest”</w:t>
      </w:r>
      <w:r w:rsidR="00DD519E">
        <w:t>, and that it is i</w:t>
      </w:r>
      <w:r w:rsidR="002325CC">
        <w:t>mperative</w:t>
      </w:r>
      <w:r w:rsidR="00DD519E">
        <w:t xml:space="preserve"> </w:t>
      </w:r>
      <w:r w:rsidR="00720E9E">
        <w:t xml:space="preserve">that </w:t>
      </w:r>
      <w:r w:rsidR="00A46925">
        <w:t xml:space="preserve">research </w:t>
      </w:r>
      <w:r w:rsidR="00531A4F">
        <w:t xml:space="preserve">and policy development </w:t>
      </w:r>
      <w:r w:rsidR="00A46925">
        <w:t>in this area is “responsible, ethical and community-owned”.</w:t>
      </w:r>
      <w:r w:rsidR="00A46925">
        <w:rPr>
          <w:rStyle w:val="FootnoteReference"/>
        </w:rPr>
        <w:footnoteReference w:id="198"/>
      </w:r>
      <w:r w:rsidR="00A46925">
        <w:t xml:space="preserve"> </w:t>
      </w:r>
    </w:p>
    <w:p w14:paraId="1DFCC10D" w14:textId="77777777" w:rsidR="008E013A" w:rsidRPr="008E013A" w:rsidRDefault="008E013A" w:rsidP="00DF32BE">
      <w:pPr>
        <w:pStyle w:val="NbrHeading2"/>
        <w:rPr>
          <w:rFonts w:ascii="Arial" w:hAnsi="Arial"/>
          <w:color w:val="EB4B0F"/>
          <w:szCs w:val="30"/>
        </w:rPr>
      </w:pPr>
      <w:bookmarkStart w:id="93" w:name="_Toc147225858"/>
      <w:bookmarkStart w:id="94" w:name="_Toc147225859"/>
      <w:bookmarkStart w:id="95" w:name="_Toc153899517"/>
      <w:bookmarkEnd w:id="93"/>
      <w:r w:rsidRPr="008E013A">
        <w:lastRenderedPageBreak/>
        <w:t>Stressors related to intersectional identities</w:t>
      </w:r>
      <w:bookmarkEnd w:id="94"/>
      <w:bookmarkEnd w:id="95"/>
    </w:p>
    <w:p w14:paraId="245A4C27" w14:textId="209F5B4F" w:rsidR="00332709" w:rsidRPr="00CA0293" w:rsidRDefault="008E013A" w:rsidP="008E013A">
      <w:r w:rsidRPr="00CA0293">
        <w:t>LGBTQ+ people with multiple intersecting identities related to race, ethnicity, culture, disability</w:t>
      </w:r>
      <w:r w:rsidR="00272D92" w:rsidRPr="00CA0293">
        <w:t>,</w:t>
      </w:r>
      <w:r w:rsidRPr="00CA0293">
        <w:t xml:space="preserve"> and social class, also face further risks to their mental health and wellbeing. </w:t>
      </w:r>
    </w:p>
    <w:p w14:paraId="0486DA94" w14:textId="51834F63" w:rsidR="008E013A" w:rsidRPr="00CA0293" w:rsidRDefault="008E013A" w:rsidP="008E013A">
      <w:r w:rsidRPr="00CA0293">
        <w:t>Research indicates that people with intersecting identities do not experience additive or “multiple minority stress”</w:t>
      </w:r>
      <w:r w:rsidRPr="00CA0293">
        <w:rPr>
          <w:vertAlign w:val="superscript"/>
        </w:rPr>
        <w:footnoteReference w:id="199"/>
      </w:r>
      <w:r w:rsidRPr="00CA0293">
        <w:t xml:space="preserve"> (i.e., additional risk factors related to multiple, separate identities), but rather that they experience unique stressors at the intersection of their minority identities, which can “interact and conflict with each other”.</w:t>
      </w:r>
      <w:r w:rsidRPr="00CA0293">
        <w:rPr>
          <w:vertAlign w:val="superscript"/>
        </w:rPr>
        <w:footnoteReference w:id="200"/>
      </w:r>
      <w:r w:rsidRPr="00CA0293">
        <w:t xml:space="preserve"> An individual with intersecting identities may, for example, experience </w:t>
      </w:r>
      <w:r w:rsidR="004A04DE">
        <w:t>a stigmatising event</w:t>
      </w:r>
      <w:r w:rsidRPr="00CA0293">
        <w:t xml:space="preserve"> through </w:t>
      </w:r>
      <w:r w:rsidR="00584828">
        <w:t xml:space="preserve">the </w:t>
      </w:r>
      <w:r w:rsidRPr="00CA0293">
        <w:t xml:space="preserve">lens of </w:t>
      </w:r>
      <w:r w:rsidR="00584828">
        <w:t>multiple</w:t>
      </w:r>
      <w:r w:rsidRPr="00CA0293">
        <w:t xml:space="preserve"> minority identities</w:t>
      </w:r>
      <w:r w:rsidR="00787AA5">
        <w:t>,</w:t>
      </w:r>
      <w:r w:rsidRPr="00CA0293">
        <w:t xml:space="preserve"> simultaneously. They can also experience stigma about one facet of their identity even while another aspect is </w:t>
      </w:r>
      <w:r w:rsidR="00633EAA" w:rsidRPr="00CA0293">
        <w:t>affirmed</w:t>
      </w:r>
      <w:r w:rsidR="00633EAA">
        <w:t>:</w:t>
      </w:r>
      <w:r w:rsidRPr="00CA0293">
        <w:t xml:space="preserve"> for example</w:t>
      </w:r>
      <w:r w:rsidR="00633EAA">
        <w:t>,</w:t>
      </w:r>
      <w:r w:rsidRPr="00CA0293">
        <w:t xml:space="preserve"> racial discrimination within an LGBTQ+ inclusive setting. </w:t>
      </w:r>
      <w:r w:rsidR="00665130">
        <w:t>In addition</w:t>
      </w:r>
      <w:r w:rsidRPr="00CA0293">
        <w:t>, the internal processes related to accepting and negotiating one identity may be complicated by the lens of their other identity. The ways these identities interact, overlap</w:t>
      </w:r>
      <w:r w:rsidR="00787AA5">
        <w:t>,</w:t>
      </w:r>
      <w:r w:rsidRPr="00CA0293">
        <w:t xml:space="preserve"> and conflict</w:t>
      </w:r>
      <w:r w:rsidR="00787AA5">
        <w:t>,</w:t>
      </w:r>
      <w:r w:rsidRPr="00CA0293">
        <w:t xml:space="preserve"> is also likely to fluctuate over life course and in relation to contextual factors, such as location and geography, and access to coping resources.</w:t>
      </w:r>
      <w:r w:rsidRPr="00CA0293">
        <w:rPr>
          <w:vertAlign w:val="superscript"/>
        </w:rPr>
        <w:footnoteReference w:id="201"/>
      </w:r>
    </w:p>
    <w:p w14:paraId="5C38321C" w14:textId="5AEA179F" w:rsidR="004E22F9" w:rsidRDefault="008449FF" w:rsidP="004E22F9">
      <w:r>
        <w:t>I</w:t>
      </w:r>
      <w:r w:rsidR="008E013A" w:rsidRPr="008E013A">
        <w:t>n addition to intersectional experience</w:t>
      </w:r>
      <w:r w:rsidR="00985454">
        <w:t>s</w:t>
      </w:r>
      <w:r w:rsidR="008E013A" w:rsidRPr="008E013A">
        <w:t xml:space="preserve"> of First Nations LGBTQ</w:t>
      </w:r>
      <w:r w:rsidR="000B13CC">
        <w:t>+</w:t>
      </w:r>
      <w:r w:rsidR="008E013A" w:rsidRPr="008E013A">
        <w:t>SB people</w:t>
      </w:r>
      <w:r w:rsidR="00032867">
        <w:t xml:space="preserve"> (see Section </w:t>
      </w:r>
      <w:r>
        <w:t>3.4)</w:t>
      </w:r>
      <w:r w:rsidR="008E013A" w:rsidRPr="008E013A">
        <w:t xml:space="preserve">, research has demonstrated intersectional stressors that impact on mental health and wellbeing of </w:t>
      </w:r>
      <w:r w:rsidR="00985454">
        <w:t xml:space="preserve">other groups within the </w:t>
      </w:r>
      <w:r w:rsidR="008E013A" w:rsidRPr="008E013A">
        <w:t xml:space="preserve">LGBTQ+ </w:t>
      </w:r>
      <w:r w:rsidR="00985454">
        <w:t>community</w:t>
      </w:r>
      <w:r w:rsidR="00787AA5">
        <w:t>,</w:t>
      </w:r>
      <w:r w:rsidR="00985454">
        <w:t xml:space="preserve"> including </w:t>
      </w:r>
      <w:r w:rsidR="007A47C8">
        <w:t xml:space="preserve">older </w:t>
      </w:r>
      <w:r w:rsidR="008E013A" w:rsidRPr="008E013A">
        <w:t>adults, culturally and linguistically diverse people</w:t>
      </w:r>
      <w:r w:rsidR="007A47C8">
        <w:t>,</w:t>
      </w:r>
      <w:r w:rsidR="00494871">
        <w:t xml:space="preserve"> and people</w:t>
      </w:r>
      <w:r w:rsidR="007A47C8">
        <w:t xml:space="preserve"> with disability</w:t>
      </w:r>
      <w:r w:rsidR="008E013A" w:rsidRPr="008E013A">
        <w:t xml:space="preserve">. </w:t>
      </w:r>
      <w:r w:rsidR="009B0648">
        <w:t>These</w:t>
      </w:r>
      <w:r w:rsidR="008E013A" w:rsidRPr="008E013A">
        <w:t xml:space="preserve"> intersectional experiences are complex, and a comprehensive review is beyond the scope of this report</w:t>
      </w:r>
      <w:r w:rsidR="00787AA5">
        <w:t>.</w:t>
      </w:r>
      <w:r w:rsidR="003D3667">
        <w:t xml:space="preserve"> </w:t>
      </w:r>
      <w:r w:rsidR="00787AA5">
        <w:t>H</w:t>
      </w:r>
      <w:r w:rsidR="003D3667">
        <w:t>owever, the</w:t>
      </w:r>
      <w:r w:rsidR="008E013A" w:rsidRPr="008E013A">
        <w:t xml:space="preserve"> information below </w:t>
      </w:r>
      <w:r w:rsidR="003D3667">
        <w:t>intends to</w:t>
      </w:r>
      <w:r w:rsidR="008E013A" w:rsidRPr="008E013A">
        <w:t xml:space="preserve"> provide an overview of some stressors that are specific to these communities. </w:t>
      </w:r>
    </w:p>
    <w:p w14:paraId="699E84CD" w14:textId="1871AE4B" w:rsidR="008E013A" w:rsidRPr="00972799" w:rsidRDefault="007C49A7" w:rsidP="00DF32BE">
      <w:pPr>
        <w:pStyle w:val="NbrHeading3"/>
      </w:pPr>
      <w:bookmarkStart w:id="96" w:name="_Toc153899518"/>
      <w:r w:rsidRPr="00972799">
        <w:t>Age</w:t>
      </w:r>
      <w:bookmarkEnd w:id="96"/>
      <w:r w:rsidRPr="00972799">
        <w:t xml:space="preserve"> </w:t>
      </w:r>
    </w:p>
    <w:p w14:paraId="43A24537" w14:textId="664760C1" w:rsidR="00C06304" w:rsidRDefault="008E013A" w:rsidP="008E013A">
      <w:r w:rsidRPr="008E013A">
        <w:t xml:space="preserve">In addition to experiencing separate </w:t>
      </w:r>
      <w:r w:rsidR="002957A6">
        <w:t>issues</w:t>
      </w:r>
      <w:r w:rsidR="002957A6" w:rsidRPr="008E013A">
        <w:t xml:space="preserve"> </w:t>
      </w:r>
      <w:r w:rsidRPr="008E013A">
        <w:t>related to age</w:t>
      </w:r>
      <w:r w:rsidR="00787AA5">
        <w:t>,</w:t>
      </w:r>
      <w:r w:rsidRPr="008E013A">
        <w:t xml:space="preserve"> in various contexts, research </w:t>
      </w:r>
      <w:r w:rsidR="00B95A47">
        <w:t xml:space="preserve">has identified various stressors </w:t>
      </w:r>
      <w:r w:rsidR="00D210CB">
        <w:t xml:space="preserve">which </w:t>
      </w:r>
      <w:r w:rsidR="008F2EFE">
        <w:t xml:space="preserve">LGBTQ+ people are </w:t>
      </w:r>
      <w:r w:rsidR="008B1FF1">
        <w:t>likely to ex</w:t>
      </w:r>
      <w:r w:rsidR="002C2CEC">
        <w:t xml:space="preserve">perience </w:t>
      </w:r>
      <w:r w:rsidR="00730772">
        <w:t>with relation to their identity at different ages</w:t>
      </w:r>
      <w:r w:rsidR="008F2EFE">
        <w:t xml:space="preserve"> and life stage</w:t>
      </w:r>
      <w:r w:rsidR="009E235D">
        <w:t>s</w:t>
      </w:r>
      <w:r w:rsidR="008F2EFE">
        <w:t>.</w:t>
      </w:r>
      <w:r w:rsidR="00ED2E7F">
        <w:t xml:space="preserve"> </w:t>
      </w:r>
      <w:r w:rsidR="00ED2E7F" w:rsidRPr="00DB4357">
        <w:t xml:space="preserve">While </w:t>
      </w:r>
      <w:r w:rsidR="006F5B84" w:rsidRPr="00DB4357">
        <w:t xml:space="preserve">intersecting experiences related to age and being LGBTQ+ vary </w:t>
      </w:r>
      <w:r w:rsidR="006074FC" w:rsidRPr="00DB4357">
        <w:t xml:space="preserve">across the various subgroups which comprise the community, as well as by other demographic factors, a high-level summary of </w:t>
      </w:r>
      <w:r w:rsidR="00B74D1A" w:rsidRPr="00DB4357">
        <w:t>some notable stressors is provided below.</w:t>
      </w:r>
      <w:r w:rsidR="00B74D1A">
        <w:t xml:space="preserve"> </w:t>
      </w:r>
    </w:p>
    <w:p w14:paraId="36388354" w14:textId="1EF82CA0" w:rsidR="00FA46E4" w:rsidRDefault="00FA46E4" w:rsidP="008E013A">
      <w:pPr>
        <w:rPr>
          <w:b/>
          <w:bCs/>
        </w:rPr>
      </w:pPr>
      <w:r>
        <w:t xml:space="preserve">For older LGBTQ+ people, some </w:t>
      </w:r>
      <w:r w:rsidR="00795D6B">
        <w:t>unique</w:t>
      </w:r>
      <w:r>
        <w:t xml:space="preserve"> </w:t>
      </w:r>
      <w:r w:rsidR="007C4DC8">
        <w:t>stressors identified in the literature include:</w:t>
      </w:r>
    </w:p>
    <w:p w14:paraId="61D8D434" w14:textId="471C4360" w:rsidR="00D85D3F" w:rsidRDefault="00C06304" w:rsidP="00A74059">
      <w:pPr>
        <w:pStyle w:val="ListBullet0"/>
      </w:pPr>
      <w:r>
        <w:rPr>
          <w:b/>
          <w:bCs/>
        </w:rPr>
        <w:t xml:space="preserve">Marginalisation </w:t>
      </w:r>
      <w:r w:rsidR="008E013A" w:rsidRPr="008E013A">
        <w:rPr>
          <w:b/>
          <w:bCs/>
        </w:rPr>
        <w:t>and discriminat</w:t>
      </w:r>
      <w:r>
        <w:rPr>
          <w:b/>
          <w:bCs/>
        </w:rPr>
        <w:t xml:space="preserve">ion </w:t>
      </w:r>
      <w:r w:rsidR="008E013A" w:rsidRPr="008E013A">
        <w:rPr>
          <w:b/>
          <w:bCs/>
        </w:rPr>
        <w:t>within some LGBTQ+ spaces</w:t>
      </w:r>
      <w:r w:rsidR="008E013A" w:rsidRPr="008E013A">
        <w:t xml:space="preserve"> due to an “emphasis on youth”. This has been associated with multiplicative internalised stigma, </w:t>
      </w:r>
      <w:r w:rsidR="008E013A" w:rsidRPr="008E013A">
        <w:lastRenderedPageBreak/>
        <w:t>and overall poorer mental health and wellbeing outcomes.</w:t>
      </w:r>
      <w:r w:rsidR="008E013A" w:rsidRPr="008E013A">
        <w:rPr>
          <w:vertAlign w:val="superscript"/>
        </w:rPr>
        <w:footnoteReference w:id="202"/>
      </w:r>
      <w:r w:rsidR="008E013A" w:rsidRPr="008E013A">
        <w:t xml:space="preserve"> Various studies have found that many older gay men, in particular, report that many LGBTQ+ spaces can feel “actively ageist”</w:t>
      </w:r>
      <w:r w:rsidR="008E013A" w:rsidRPr="008E013A">
        <w:rPr>
          <w:vertAlign w:val="superscript"/>
        </w:rPr>
        <w:t xml:space="preserve"> </w:t>
      </w:r>
      <w:r w:rsidR="008E013A" w:rsidRPr="008E013A">
        <w:rPr>
          <w:vertAlign w:val="superscript"/>
        </w:rPr>
        <w:footnoteReference w:id="203"/>
      </w:r>
      <w:r w:rsidR="008E013A" w:rsidRPr="008E013A">
        <w:t xml:space="preserve"> and contribute to an experience of dual discrimination for both being gay and being older.</w:t>
      </w:r>
      <w:r w:rsidR="008E013A" w:rsidRPr="008E013A">
        <w:rPr>
          <w:vertAlign w:val="superscript"/>
        </w:rPr>
        <w:footnoteReference w:id="204"/>
      </w:r>
    </w:p>
    <w:p w14:paraId="66C9AB76" w14:textId="4C0D46F5" w:rsidR="008E013A" w:rsidRDefault="00226DC1" w:rsidP="00AC61D2">
      <w:pPr>
        <w:pStyle w:val="ListBullet0"/>
      </w:pPr>
      <w:r>
        <w:rPr>
          <w:b/>
          <w:bCs/>
        </w:rPr>
        <w:t>E</w:t>
      </w:r>
      <w:r w:rsidR="00D85D3F" w:rsidRPr="00D85D3F">
        <w:rPr>
          <w:b/>
          <w:bCs/>
        </w:rPr>
        <w:t>xposure to</w:t>
      </w:r>
      <w:r>
        <w:rPr>
          <w:b/>
          <w:bCs/>
        </w:rPr>
        <w:t xml:space="preserve"> stigma</w:t>
      </w:r>
      <w:r w:rsidR="00D85D3F" w:rsidRPr="00D85D3F">
        <w:rPr>
          <w:b/>
          <w:bCs/>
        </w:rPr>
        <w:t xml:space="preserve"> and </w:t>
      </w:r>
      <w:r>
        <w:rPr>
          <w:b/>
          <w:bCs/>
        </w:rPr>
        <w:t xml:space="preserve">discrimination in </w:t>
      </w:r>
      <w:r w:rsidR="00695FAE">
        <w:rPr>
          <w:b/>
          <w:bCs/>
        </w:rPr>
        <w:t>aged care</w:t>
      </w:r>
      <w:r w:rsidR="00787AA5">
        <w:t>:</w:t>
      </w:r>
      <w:r w:rsidR="00695FAE">
        <w:t xml:space="preserve"> research indicates that</w:t>
      </w:r>
      <w:r w:rsidR="00D85D3F" w:rsidRPr="00D85D3F">
        <w:rPr>
          <w:b/>
          <w:bCs/>
        </w:rPr>
        <w:t xml:space="preserve"> </w:t>
      </w:r>
      <w:r w:rsidR="008E013A" w:rsidRPr="008E013A">
        <w:t>healthy</w:t>
      </w:r>
      <w:r w:rsidR="00787AA5">
        <w:t xml:space="preserve"> </w:t>
      </w:r>
      <w:r w:rsidR="008E013A" w:rsidRPr="008E013A">
        <w:t xml:space="preserve">aging and aged care services and organisations </w:t>
      </w:r>
      <w:r w:rsidR="00F25CCC">
        <w:t>can be</w:t>
      </w:r>
      <w:r w:rsidR="008E013A" w:rsidRPr="008E013A">
        <w:t xml:space="preserve"> hetero- or cis-normative in their service and care offerings, forcing older adults to go back into the closet to access them, or to simply avoid them altogether.</w:t>
      </w:r>
      <w:r w:rsidR="008E013A" w:rsidRPr="008E013A">
        <w:rPr>
          <w:vertAlign w:val="superscript"/>
        </w:rPr>
        <w:footnoteReference w:id="205"/>
      </w:r>
      <w:r w:rsidR="008E013A" w:rsidRPr="008E013A">
        <w:t xml:space="preserve"> </w:t>
      </w:r>
    </w:p>
    <w:p w14:paraId="0F208EC8" w14:textId="590A6C40" w:rsidR="004211A6" w:rsidRDefault="006E48C2" w:rsidP="00DF32BE">
      <w:bookmarkStart w:id="97" w:name="_Toc147218581"/>
      <w:bookmarkStart w:id="98" w:name="_Toc147218836"/>
      <w:bookmarkStart w:id="99" w:name="_Toc147225863"/>
      <w:bookmarkStart w:id="100" w:name="_Toc147218583"/>
      <w:bookmarkStart w:id="101" w:name="_Toc147218838"/>
      <w:bookmarkStart w:id="102" w:name="_Toc147225865"/>
      <w:bookmarkStart w:id="103" w:name="_Toc147218584"/>
      <w:bookmarkStart w:id="104" w:name="_Toc147218839"/>
      <w:bookmarkStart w:id="105" w:name="_Toc147225866"/>
      <w:bookmarkStart w:id="106" w:name="_Toc147225867"/>
      <w:bookmarkEnd w:id="97"/>
      <w:bookmarkEnd w:id="98"/>
      <w:bookmarkEnd w:id="99"/>
      <w:bookmarkEnd w:id="100"/>
      <w:bookmarkEnd w:id="101"/>
      <w:bookmarkEnd w:id="102"/>
      <w:bookmarkEnd w:id="103"/>
      <w:bookmarkEnd w:id="104"/>
      <w:bookmarkEnd w:id="105"/>
      <w:r w:rsidRPr="00AC61D2">
        <w:t>For young LGBTQ+ people</w:t>
      </w:r>
      <w:r w:rsidR="00AD0396" w:rsidRPr="00AC61D2">
        <w:t xml:space="preserve"> – particularly those under the age of 18 – </w:t>
      </w:r>
      <w:r w:rsidR="00795D6B" w:rsidRPr="00AC61D2">
        <w:t>unique stressors</w:t>
      </w:r>
      <w:r w:rsidR="00795D6B">
        <w:t xml:space="preserve"> </w:t>
      </w:r>
      <w:r w:rsidR="000C4D53" w:rsidRPr="00AC61D2">
        <w:t>largely</w:t>
      </w:r>
      <w:r w:rsidR="00795D6B" w:rsidRPr="00AC61D2">
        <w:t xml:space="preserve"> arise from the reduce</w:t>
      </w:r>
      <w:r w:rsidR="000C4D53" w:rsidRPr="00AC61D2">
        <w:t xml:space="preserve">d </w:t>
      </w:r>
      <w:r w:rsidR="00970528" w:rsidRPr="00AC61D2">
        <w:t>legal or financial</w:t>
      </w:r>
      <w:r w:rsidR="000C4D53" w:rsidRPr="00AC61D2">
        <w:t xml:space="preserve"> autonomy this cohort</w:t>
      </w:r>
      <w:r w:rsidR="00795D6B" w:rsidRPr="00AC61D2">
        <w:t xml:space="preserve"> </w:t>
      </w:r>
      <w:r w:rsidR="00970528" w:rsidRPr="00AC61D2">
        <w:t xml:space="preserve">often </w:t>
      </w:r>
      <w:proofErr w:type="gramStart"/>
      <w:r w:rsidR="00970528" w:rsidRPr="00AC61D2">
        <w:t>has to</w:t>
      </w:r>
      <w:proofErr w:type="gramEnd"/>
      <w:r w:rsidR="00970528" w:rsidRPr="00AC61D2">
        <w:t xml:space="preserve"> </w:t>
      </w:r>
      <w:r w:rsidR="00C64610" w:rsidRPr="00AC61D2">
        <w:t>choose</w:t>
      </w:r>
      <w:r>
        <w:t xml:space="preserve"> </w:t>
      </w:r>
      <w:r w:rsidR="000C7E90" w:rsidRPr="00795D6B">
        <w:t>the environments in which they live</w:t>
      </w:r>
      <w:r w:rsidR="00F960D2" w:rsidRPr="00795D6B">
        <w:t xml:space="preserve">, </w:t>
      </w:r>
      <w:r w:rsidR="000C7E90" w:rsidRPr="00795D6B">
        <w:t>are educated and</w:t>
      </w:r>
      <w:r w:rsidR="00F960D2" w:rsidRPr="00795D6B">
        <w:t xml:space="preserve"> socialise</w:t>
      </w:r>
      <w:r w:rsidR="000C7E90" w:rsidRPr="00795D6B">
        <w:t xml:space="preserve">, </w:t>
      </w:r>
      <w:r w:rsidR="00F960D2" w:rsidRPr="00795D6B">
        <w:t>as well as</w:t>
      </w:r>
      <w:r w:rsidR="000C7E90" w:rsidRPr="00795D6B">
        <w:t xml:space="preserve"> the service providers from which the</w:t>
      </w:r>
      <w:r w:rsidR="00787AA5">
        <w:t>y</w:t>
      </w:r>
      <w:r w:rsidR="000C7E90" w:rsidRPr="00795D6B">
        <w:t xml:space="preserve"> </w:t>
      </w:r>
      <w:r w:rsidR="00930F17">
        <w:t>access</w:t>
      </w:r>
      <w:r w:rsidR="000C7E90" w:rsidRPr="00023782">
        <w:t xml:space="preserve"> </w:t>
      </w:r>
      <w:r w:rsidR="000C7E90" w:rsidRPr="00795D6B">
        <w:t xml:space="preserve">health and wellbeing support. </w:t>
      </w:r>
      <w:r w:rsidR="000C7E90" w:rsidRPr="006C1A46">
        <w:t xml:space="preserve">These constraints to autonomy can increase the likelihood that LGBTQ+ young people </w:t>
      </w:r>
      <w:r w:rsidR="004211A6">
        <w:t>face:</w:t>
      </w:r>
    </w:p>
    <w:p w14:paraId="72BBA1E4" w14:textId="640A870B" w:rsidR="000C7E90" w:rsidRDefault="00787AA5" w:rsidP="00AC61D2">
      <w:pPr>
        <w:pStyle w:val="ListBullet0"/>
      </w:pPr>
      <w:r>
        <w:rPr>
          <w:b/>
          <w:bCs/>
        </w:rPr>
        <w:t>E</w:t>
      </w:r>
      <w:r w:rsidR="004211A6" w:rsidRPr="004211A6">
        <w:rPr>
          <w:b/>
          <w:bCs/>
        </w:rPr>
        <w:t>xposure</w:t>
      </w:r>
      <w:r w:rsidR="000C7E90" w:rsidRPr="00AC61D2">
        <w:rPr>
          <w:b/>
        </w:rPr>
        <w:t xml:space="preserve"> to </w:t>
      </w:r>
      <w:r w:rsidR="008562C1" w:rsidRPr="00AC61D2">
        <w:rPr>
          <w:b/>
        </w:rPr>
        <w:t>experiences of stigmatisation</w:t>
      </w:r>
      <w:r w:rsidR="00442875" w:rsidRPr="00AC61D2">
        <w:rPr>
          <w:b/>
        </w:rPr>
        <w:t>,</w:t>
      </w:r>
      <w:r w:rsidR="008562C1" w:rsidRPr="00AC61D2">
        <w:rPr>
          <w:b/>
        </w:rPr>
        <w:t xml:space="preserve"> discrimination</w:t>
      </w:r>
      <w:r w:rsidR="00442875" w:rsidRPr="00AC61D2">
        <w:rPr>
          <w:b/>
        </w:rPr>
        <w:t>, bullying</w:t>
      </w:r>
      <w:r>
        <w:rPr>
          <w:b/>
        </w:rPr>
        <w:t>,</w:t>
      </w:r>
      <w:r w:rsidR="00442875" w:rsidRPr="00AC61D2">
        <w:rPr>
          <w:b/>
        </w:rPr>
        <w:t xml:space="preserve"> and social isolation</w:t>
      </w:r>
      <w:r w:rsidR="00716462">
        <w:t xml:space="preserve"> in various contexts.</w:t>
      </w:r>
      <w:r w:rsidR="008562C1" w:rsidRPr="006C1A46">
        <w:t xml:space="preserve"> </w:t>
      </w:r>
      <w:r w:rsidR="00FF2516">
        <w:t>The</w:t>
      </w:r>
      <w:r w:rsidR="00F44BAF" w:rsidRPr="006C1A46">
        <w:t xml:space="preserve"> </w:t>
      </w:r>
      <w:r w:rsidR="00E6322C" w:rsidRPr="00AC61D2">
        <w:t xml:space="preserve">2019 </w:t>
      </w:r>
      <w:r w:rsidR="00E6322C" w:rsidRPr="00AC61D2">
        <w:rPr>
          <w:i/>
        </w:rPr>
        <w:t>Writing Themselves in 4</w:t>
      </w:r>
      <w:r w:rsidR="00E6322C" w:rsidRPr="00AC61D2">
        <w:t xml:space="preserve"> national </w:t>
      </w:r>
      <w:proofErr w:type="gramStart"/>
      <w:r w:rsidR="00E6322C" w:rsidRPr="00AC61D2">
        <w:t>survey</w:t>
      </w:r>
      <w:proofErr w:type="gramEnd"/>
      <w:r w:rsidR="007B55FC" w:rsidRPr="00AC61D2">
        <w:t>,</w:t>
      </w:r>
      <w:r w:rsidR="007B55FC" w:rsidRPr="006C1A46">
        <w:t xml:space="preserve"> for ex</w:t>
      </w:r>
      <w:r w:rsidR="00587869" w:rsidRPr="006C1A46">
        <w:t>ample, found that</w:t>
      </w:r>
      <w:r w:rsidR="00587869" w:rsidRPr="00AC61D2">
        <w:t xml:space="preserve"> </w:t>
      </w:r>
      <w:r w:rsidR="00984FB2" w:rsidRPr="00AC61D2">
        <w:t>almost two-thirds (60.2%)</w:t>
      </w:r>
      <w:r w:rsidR="00B656D5" w:rsidRPr="00AC61D2">
        <w:t xml:space="preserve"> of</w:t>
      </w:r>
      <w:r w:rsidR="00736981" w:rsidRPr="00AC61D2">
        <w:t xml:space="preserve"> LGBTQA+ </w:t>
      </w:r>
      <w:r w:rsidR="002277C8" w:rsidRPr="00AC61D2">
        <w:t xml:space="preserve">young people </w:t>
      </w:r>
      <w:r w:rsidR="00B656D5" w:rsidRPr="00AC61D2">
        <w:t>reported feeling unsafe or uncomfortable in the p</w:t>
      </w:r>
      <w:r>
        <w:t>rior</w:t>
      </w:r>
      <w:r w:rsidR="00B656D5" w:rsidRPr="00AC61D2">
        <w:t xml:space="preserve"> 12 months</w:t>
      </w:r>
      <w:r>
        <w:t>,</w:t>
      </w:r>
      <w:r w:rsidR="00B656D5" w:rsidRPr="00AC61D2">
        <w:t xml:space="preserve"> while </w:t>
      </w:r>
      <w:r w:rsidR="000F0C08" w:rsidRPr="00AC61D2">
        <w:t xml:space="preserve">in secondary </w:t>
      </w:r>
      <w:r w:rsidR="00B656D5" w:rsidRPr="00AC61D2">
        <w:t>school</w:t>
      </w:r>
      <w:r w:rsidR="000F0C08" w:rsidRPr="00AC61D2">
        <w:t xml:space="preserve"> settings</w:t>
      </w:r>
      <w:r w:rsidR="00B656D5" w:rsidRPr="00AC61D2">
        <w:t xml:space="preserve">, compared to </w:t>
      </w:r>
      <w:r w:rsidR="001A14E9" w:rsidRPr="00AC61D2">
        <w:t>two-fifths of participants at full-time work (40.3%)</w:t>
      </w:r>
      <w:r>
        <w:t>,</w:t>
      </w:r>
      <w:r w:rsidR="001A14E9" w:rsidRPr="00AC61D2">
        <w:t xml:space="preserve"> and</w:t>
      </w:r>
      <w:r w:rsidR="00B656D5" w:rsidRPr="00AC61D2">
        <w:t xml:space="preserve"> </w:t>
      </w:r>
      <w:r w:rsidR="00984FB2" w:rsidRPr="00AC61D2">
        <w:t>roughly one-third of participants at a</w:t>
      </w:r>
      <w:r w:rsidR="00CF411A" w:rsidRPr="00AC61D2">
        <w:t xml:space="preserve"> TAFE </w:t>
      </w:r>
      <w:r w:rsidR="00984FB2" w:rsidRPr="00AC61D2">
        <w:t xml:space="preserve">(29.2%) </w:t>
      </w:r>
      <w:r w:rsidR="00CF411A" w:rsidRPr="00AC61D2">
        <w:t>or university</w:t>
      </w:r>
      <w:r w:rsidR="00984FB2" w:rsidRPr="00AC61D2">
        <w:t xml:space="preserve"> (29.2%)</w:t>
      </w:r>
      <w:r w:rsidR="00CF411A" w:rsidRPr="00AC61D2">
        <w:t>.</w:t>
      </w:r>
      <w:r w:rsidR="00CF411A" w:rsidRPr="00AC61D2">
        <w:rPr>
          <w:rStyle w:val="FootnoteReference"/>
        </w:rPr>
        <w:footnoteReference w:id="206"/>
      </w:r>
    </w:p>
    <w:p w14:paraId="261CDAFB" w14:textId="1D03AAEC" w:rsidR="002D50B5" w:rsidRPr="00023782" w:rsidRDefault="00787AA5" w:rsidP="007E644F">
      <w:pPr>
        <w:pStyle w:val="ListBullet0"/>
      </w:pPr>
      <w:r>
        <w:rPr>
          <w:b/>
          <w:bCs/>
        </w:rPr>
        <w:t>C</w:t>
      </w:r>
      <w:r w:rsidR="007D22E3">
        <w:rPr>
          <w:b/>
          <w:bCs/>
        </w:rPr>
        <w:t xml:space="preserve">onstraints on </w:t>
      </w:r>
      <w:r w:rsidR="00264459">
        <w:rPr>
          <w:b/>
          <w:bCs/>
        </w:rPr>
        <w:t>their avenues for seeking mental health support</w:t>
      </w:r>
      <w:r w:rsidR="00635E48">
        <w:rPr>
          <w:b/>
          <w:bCs/>
        </w:rPr>
        <w:t xml:space="preserve"> </w:t>
      </w:r>
      <w:r w:rsidR="00635E48">
        <w:t xml:space="preserve">due to </w:t>
      </w:r>
      <w:r w:rsidR="00BB5229">
        <w:t xml:space="preserve">the limitations of services offered by educational providers, </w:t>
      </w:r>
      <w:r w:rsidR="00730772">
        <w:t>in</w:t>
      </w:r>
      <w:r w:rsidR="00801258">
        <w:t xml:space="preserve"> </w:t>
      </w:r>
      <w:r w:rsidR="00730772">
        <w:t xml:space="preserve">combination with </w:t>
      </w:r>
      <w:r w:rsidR="00E3042B">
        <w:t>financial</w:t>
      </w:r>
      <w:r w:rsidR="00023782" w:rsidRPr="00023782">
        <w:t xml:space="preserve"> or family</w:t>
      </w:r>
      <w:r w:rsidR="00E3042B">
        <w:t xml:space="preserve"> barriers faced by </w:t>
      </w:r>
      <w:r w:rsidR="009668F6">
        <w:t>the general population of young people</w:t>
      </w:r>
      <w:r w:rsidR="00023782" w:rsidRPr="00023782">
        <w:t xml:space="preserve">. </w:t>
      </w:r>
      <w:r w:rsidR="000C7E90" w:rsidRPr="00023782">
        <w:t xml:space="preserve">The 2021 </w:t>
      </w:r>
      <w:r w:rsidR="000C7E90" w:rsidRPr="00B84E53">
        <w:rPr>
          <w:i/>
        </w:rPr>
        <w:t xml:space="preserve">Australian Youth Barometer </w:t>
      </w:r>
      <w:r w:rsidR="000C7E90" w:rsidRPr="00023782">
        <w:t>survey</w:t>
      </w:r>
      <w:r w:rsidR="00023782" w:rsidRPr="00DA24E3">
        <w:t>, for example,</w:t>
      </w:r>
      <w:r w:rsidR="000C7E90" w:rsidRPr="00023782">
        <w:t xml:space="preserve"> found that LGBTQ+ </w:t>
      </w:r>
      <w:r w:rsidR="00C1688C">
        <w:t>respondents</w:t>
      </w:r>
      <w:r w:rsidR="000C7E90" w:rsidRPr="00023782">
        <w:t xml:space="preserve"> were</w:t>
      </w:r>
      <w:r w:rsidR="00C1688C">
        <w:t xml:space="preserve"> 71% more likely to have sought but not received mental health support</w:t>
      </w:r>
      <w:r>
        <w:t>,</w:t>
      </w:r>
      <w:r w:rsidR="00C1688C">
        <w:t xml:space="preserve"> </w:t>
      </w:r>
      <w:r>
        <w:t>when compared with</w:t>
      </w:r>
      <w:r w:rsidR="00C1688C">
        <w:t xml:space="preserve"> their peers.</w:t>
      </w:r>
      <w:r w:rsidR="00C1688C" w:rsidRPr="00023782">
        <w:rPr>
          <w:rStyle w:val="FootnoteReference"/>
        </w:rPr>
        <w:footnoteReference w:id="207"/>
      </w:r>
      <w:r w:rsidR="00C1688C">
        <w:t xml:space="preserve"> They were also</w:t>
      </w:r>
      <w:r w:rsidR="000C7E90" w:rsidRPr="00023782">
        <w:t xml:space="preserve"> 27% less likely than their peers to be satisfied with health and mental health support provided by their education institutions, and </w:t>
      </w:r>
      <w:r w:rsidR="00C1688C">
        <w:t>less likely to seek support in their immediate home environment</w:t>
      </w:r>
      <w:r w:rsidR="000C7E90" w:rsidRPr="00023782">
        <w:t>.</w:t>
      </w:r>
      <w:r w:rsidR="000C7E90" w:rsidRPr="00023782">
        <w:rPr>
          <w:rStyle w:val="FootnoteReference"/>
        </w:rPr>
        <w:footnoteReference w:id="208"/>
      </w:r>
      <w:r w:rsidR="000C7E90" w:rsidRPr="00023782">
        <w:t xml:space="preserve"> </w:t>
      </w:r>
    </w:p>
    <w:p w14:paraId="61C3AA07" w14:textId="70EDB940" w:rsidR="008E013A" w:rsidRPr="008E013A" w:rsidRDefault="008E013A" w:rsidP="00DF32BE">
      <w:pPr>
        <w:pStyle w:val="NbrHeading3"/>
      </w:pPr>
      <w:bookmarkStart w:id="107" w:name="_Toc153899519"/>
      <w:r w:rsidRPr="008E013A">
        <w:lastRenderedPageBreak/>
        <w:t>LGBTQ+ people from CALD backgrounds</w:t>
      </w:r>
      <w:bookmarkEnd w:id="106"/>
      <w:bookmarkEnd w:id="107"/>
    </w:p>
    <w:p w14:paraId="2A5EC3E2" w14:textId="4700C63D" w:rsidR="008E013A" w:rsidRPr="008E013A" w:rsidRDefault="008E013A" w:rsidP="008E013A">
      <w:pPr>
        <w:spacing w:before="120" w:after="120"/>
        <w:rPr>
          <w:rFonts w:eastAsia="Times New Roman" w:cs="Times New Roman"/>
          <w:color w:val="000000" w:themeColor="text1"/>
          <w:szCs w:val="24"/>
          <w:lang w:eastAsia="en-AU"/>
        </w:rPr>
      </w:pPr>
      <w:r w:rsidRPr="008E013A">
        <w:rPr>
          <w:rFonts w:eastAsia="Times New Roman" w:cs="Times New Roman"/>
          <w:szCs w:val="24"/>
          <w:lang w:eastAsia="en-AU"/>
        </w:rPr>
        <w:t>The term culturally and linguistically diverse (CALD) captures hundreds of cultural, religious, ethnic, linguistic, and national communities within Australia</w:t>
      </w:r>
      <w:r w:rsidR="00165FE7">
        <w:rPr>
          <w:rFonts w:eastAsia="Times New Roman" w:cs="Times New Roman"/>
          <w:szCs w:val="24"/>
          <w:lang w:eastAsia="en-AU"/>
        </w:rPr>
        <w:t xml:space="preserve">. The term </w:t>
      </w:r>
      <w:r w:rsidRPr="008E013A">
        <w:rPr>
          <w:rFonts w:eastAsia="Times New Roman" w:cs="Times New Roman"/>
          <w:szCs w:val="24"/>
          <w:lang w:eastAsia="en-AU"/>
        </w:rPr>
        <w:t>does not distinguish</w:t>
      </w:r>
      <w:r w:rsidR="0011233C">
        <w:rPr>
          <w:rFonts w:eastAsia="Times New Roman" w:cs="Times New Roman"/>
          <w:szCs w:val="24"/>
          <w:lang w:eastAsia="en-AU"/>
        </w:rPr>
        <w:t xml:space="preserve"> between </w:t>
      </w:r>
      <w:r w:rsidR="00040CC4">
        <w:rPr>
          <w:rFonts w:eastAsia="Times New Roman" w:cs="Times New Roman"/>
          <w:szCs w:val="24"/>
          <w:lang w:eastAsia="en-AU"/>
        </w:rPr>
        <w:t xml:space="preserve">the different </w:t>
      </w:r>
      <w:r w:rsidR="004523D9">
        <w:rPr>
          <w:rFonts w:eastAsia="Times New Roman" w:cs="Times New Roman"/>
          <w:szCs w:val="24"/>
          <w:lang w:eastAsia="en-AU"/>
        </w:rPr>
        <w:t xml:space="preserve">communities which fall under </w:t>
      </w:r>
      <w:r w:rsidR="007758F8">
        <w:rPr>
          <w:rFonts w:eastAsia="Times New Roman" w:cs="Times New Roman"/>
          <w:szCs w:val="24"/>
          <w:lang w:eastAsia="en-AU"/>
        </w:rPr>
        <w:t>it</w:t>
      </w:r>
      <w:r w:rsidRPr="008E013A">
        <w:rPr>
          <w:rFonts w:eastAsia="Times New Roman" w:cs="Times New Roman"/>
          <w:szCs w:val="24"/>
          <w:lang w:eastAsia="en-AU"/>
        </w:rPr>
        <w:t>, nor the different depths of connection an individual or their family may have with the varied features comprising their background.</w:t>
      </w:r>
      <w:r w:rsidRPr="008E013A">
        <w:rPr>
          <w:rFonts w:eastAsia="Times New Roman" w:cs="Times New Roman"/>
          <w:szCs w:val="24"/>
          <w:vertAlign w:val="superscript"/>
          <w:lang w:eastAsia="en-AU"/>
        </w:rPr>
        <w:footnoteReference w:id="209"/>
      </w:r>
      <w:r w:rsidRPr="00302454">
        <w:rPr>
          <w:rFonts w:eastAsia="Times New Roman" w:cs="Times New Roman"/>
          <w:szCs w:val="24"/>
          <w:lang w:eastAsia="en-AU"/>
        </w:rPr>
        <w:t xml:space="preserve"> </w:t>
      </w:r>
      <w:r w:rsidR="004732FA">
        <w:rPr>
          <w:rFonts w:eastAsia="Times New Roman" w:cs="Times New Roman"/>
          <w:szCs w:val="24"/>
          <w:lang w:eastAsia="en-AU"/>
        </w:rPr>
        <w:t>It should be noted, therefore, that t</w:t>
      </w:r>
      <w:r w:rsidRPr="00302454">
        <w:rPr>
          <w:rFonts w:eastAsia="Times New Roman" w:cs="Times New Roman"/>
          <w:szCs w:val="24"/>
          <w:lang w:eastAsia="en-AU"/>
        </w:rPr>
        <w:t>he experiences of LGBTQ+ people from CALD backgrounds</w:t>
      </w:r>
      <w:r w:rsidR="004732FA">
        <w:rPr>
          <w:rFonts w:eastAsia="Times New Roman" w:cs="Times New Roman"/>
          <w:szCs w:val="24"/>
          <w:lang w:eastAsia="en-AU"/>
        </w:rPr>
        <w:t xml:space="preserve"> </w:t>
      </w:r>
      <w:r w:rsidRPr="00302454">
        <w:rPr>
          <w:rFonts w:eastAsia="Times New Roman" w:cs="Times New Roman"/>
          <w:szCs w:val="24"/>
          <w:lang w:eastAsia="en-AU"/>
        </w:rPr>
        <w:t>varies substantially</w:t>
      </w:r>
      <w:r w:rsidR="00AF6DA5">
        <w:rPr>
          <w:rFonts w:eastAsia="Times New Roman" w:cs="Times New Roman"/>
          <w:szCs w:val="24"/>
          <w:lang w:eastAsia="en-AU"/>
        </w:rPr>
        <w:t xml:space="preserve"> at the individual, family</w:t>
      </w:r>
      <w:r w:rsidR="006E45DA">
        <w:rPr>
          <w:rFonts w:eastAsia="Times New Roman" w:cs="Times New Roman"/>
          <w:szCs w:val="24"/>
          <w:lang w:eastAsia="en-AU"/>
        </w:rPr>
        <w:t>,</w:t>
      </w:r>
      <w:r w:rsidR="00AF6DA5">
        <w:rPr>
          <w:rFonts w:eastAsia="Times New Roman" w:cs="Times New Roman"/>
          <w:szCs w:val="24"/>
          <w:lang w:eastAsia="en-AU"/>
        </w:rPr>
        <w:t xml:space="preserve"> and community levels.</w:t>
      </w:r>
    </w:p>
    <w:p w14:paraId="108D79D0" w14:textId="6457B979" w:rsidR="008E013A" w:rsidRPr="008E013A" w:rsidRDefault="008E013A" w:rsidP="008E013A">
      <w:pPr>
        <w:spacing w:before="120" w:after="120"/>
        <w:rPr>
          <w:rFonts w:eastAsia="Times New Roman" w:cs="Times New Roman"/>
          <w:color w:val="000000" w:themeColor="text1"/>
          <w:szCs w:val="24"/>
          <w:lang w:eastAsia="en-AU"/>
        </w:rPr>
      </w:pPr>
      <w:r w:rsidRPr="008E013A">
        <w:rPr>
          <w:rFonts w:eastAsia="Times New Roman" w:cs="Times New Roman"/>
          <w:szCs w:val="24"/>
          <w:lang w:eastAsia="en-AU"/>
        </w:rPr>
        <w:t>While these factors are in no way consistent across</w:t>
      </w:r>
      <w:r w:rsidR="006E45DA">
        <w:rPr>
          <w:rFonts w:eastAsia="Times New Roman" w:cs="Times New Roman"/>
          <w:szCs w:val="24"/>
          <w:lang w:eastAsia="en-AU"/>
        </w:rPr>
        <w:t>,</w:t>
      </w:r>
      <w:r w:rsidRPr="008E013A">
        <w:rPr>
          <w:rFonts w:eastAsia="Times New Roman" w:cs="Times New Roman"/>
          <w:szCs w:val="24"/>
          <w:lang w:eastAsia="en-AU"/>
        </w:rPr>
        <w:t xml:space="preserve"> or within</w:t>
      </w:r>
      <w:r w:rsidR="006E45DA">
        <w:rPr>
          <w:rFonts w:eastAsia="Times New Roman" w:cs="Times New Roman"/>
          <w:szCs w:val="24"/>
          <w:lang w:eastAsia="en-AU"/>
        </w:rPr>
        <w:t>,</w:t>
      </w:r>
      <w:r w:rsidRPr="008E013A">
        <w:rPr>
          <w:rFonts w:eastAsia="Times New Roman" w:cs="Times New Roman"/>
          <w:szCs w:val="24"/>
          <w:lang w:eastAsia="en-AU"/>
        </w:rPr>
        <w:t xml:space="preserve"> different CALD groups, the limited research that has been undertaken into Australia’s LGBTQ+ population from CALD backgrounds has highlighted the following additional and intersecting risk factors to mental health and wellbeing:</w:t>
      </w:r>
    </w:p>
    <w:p w14:paraId="1E86E9B2" w14:textId="6FB41500" w:rsidR="008E013A" w:rsidRPr="008E013A" w:rsidRDefault="008E013A" w:rsidP="00A74059">
      <w:pPr>
        <w:pStyle w:val="ListBullet0"/>
        <w:rPr>
          <w:color w:val="000000" w:themeColor="text1"/>
        </w:rPr>
      </w:pPr>
      <w:r w:rsidRPr="008E013A">
        <w:rPr>
          <w:b/>
          <w:bCs/>
        </w:rPr>
        <w:t>Pressure to suppress or conceal identity</w:t>
      </w:r>
      <w:r w:rsidR="006E45DA">
        <w:t>:</w:t>
      </w:r>
      <w:r w:rsidRPr="008E013A">
        <w:t xml:space="preserve"> </w:t>
      </w:r>
      <w:r w:rsidR="006E45DA">
        <w:t>i</w:t>
      </w:r>
      <w:r w:rsidRPr="008E013A">
        <w:t xml:space="preserve">n some CALD communities and families, cultural or religious beliefs can create additional internal and external pressures to hide or suppress diversity </w:t>
      </w:r>
      <w:r w:rsidR="00F20C0D">
        <w:t>in sexual orientation</w:t>
      </w:r>
      <w:r w:rsidRPr="008E013A">
        <w:t xml:space="preserve"> and gender. This has been noted as a particular pressure in tight-knit communities with extensive family and kinship networks, who may interpret the divergence of one individual from the community as bringing shame on the collective.</w:t>
      </w:r>
      <w:r w:rsidRPr="008E013A">
        <w:rPr>
          <w:vertAlign w:val="superscript"/>
        </w:rPr>
        <w:footnoteReference w:id="210"/>
      </w:r>
      <w:r w:rsidRPr="008E013A">
        <w:t xml:space="preserve">  Diverse conceptions of gender and </w:t>
      </w:r>
      <w:r w:rsidR="00F20C0D">
        <w:t>sexual orientation</w:t>
      </w:r>
      <w:r w:rsidRPr="008E013A">
        <w:t xml:space="preserve"> have existed across various international contexts and it is estimated that there are roughly 500 different terms for </w:t>
      </w:r>
      <w:r w:rsidR="00EB403B">
        <w:t>sexual orientation</w:t>
      </w:r>
      <w:r w:rsidRPr="008E013A">
        <w:t xml:space="preserve"> and gender identity, “many of which do not align with the normative Western frame”.</w:t>
      </w:r>
      <w:r w:rsidRPr="008E013A">
        <w:rPr>
          <w:vertAlign w:val="superscript"/>
        </w:rPr>
        <w:footnoteReference w:id="211"/>
      </w:r>
      <w:r w:rsidRPr="008E013A">
        <w:t xml:space="preserve">  However, research indicates that the processes of ‘coming out’ and developing community identity can, in some instances, be complicated by the perception of sexual </w:t>
      </w:r>
      <w:r w:rsidR="005A7457">
        <w:t xml:space="preserve">orientation </w:t>
      </w:r>
      <w:r w:rsidRPr="008E013A">
        <w:t>and gender diversity as a “Western concept”.</w:t>
      </w:r>
      <w:r w:rsidRPr="008E013A">
        <w:rPr>
          <w:vertAlign w:val="superscript"/>
        </w:rPr>
        <w:footnoteReference w:id="212"/>
      </w:r>
      <w:r w:rsidRPr="008E013A">
        <w:t xml:space="preserve"> These pressures have been associated with an increased likelihood of self-isolation from LGBTQ+ peers by those from some CALD backgrounds, and disruptions to internal processes of self-acceptance and identity formation.</w:t>
      </w:r>
      <w:r w:rsidRPr="008E013A">
        <w:rPr>
          <w:vertAlign w:val="superscript"/>
        </w:rPr>
        <w:footnoteReference w:id="213"/>
      </w:r>
    </w:p>
    <w:p w14:paraId="38C00FEE" w14:textId="106E858E" w:rsidR="008E013A" w:rsidRPr="008E013A" w:rsidRDefault="008E013A" w:rsidP="00A74059">
      <w:pPr>
        <w:pStyle w:val="ListBullet0"/>
      </w:pPr>
      <w:r w:rsidRPr="008E013A">
        <w:rPr>
          <w:b/>
          <w:bCs/>
        </w:rPr>
        <w:t>Additional risks related to community victimisation and violence</w:t>
      </w:r>
      <w:r w:rsidR="006E45DA">
        <w:t>:</w:t>
      </w:r>
      <w:r w:rsidRPr="008E013A">
        <w:t xml:space="preserve"> in response to coming out to family, some LGBTQ+ people from CALD backgrounds have reported additional risks related to forced or pressured marriage, ‘honour-based violence’</w:t>
      </w:r>
      <w:r w:rsidR="006E45DA">
        <w:t>,</w:t>
      </w:r>
      <w:r w:rsidRPr="008E013A">
        <w:t xml:space="preserve"> and deportation to country of origin, in cases where visa or citizenship rights are insecure.</w:t>
      </w:r>
      <w:r w:rsidRPr="008E013A">
        <w:rPr>
          <w:vertAlign w:val="superscript"/>
        </w:rPr>
        <w:footnoteReference w:id="214"/>
      </w:r>
      <w:r w:rsidRPr="008E013A">
        <w:t xml:space="preserve"> Further, evidence suggests that LGBTQ+ people from some CALD backgrounds experiencing domestic and IPV have their avenues of help-seeking dually complicated </w:t>
      </w:r>
      <w:r w:rsidRPr="008E013A">
        <w:lastRenderedPageBreak/>
        <w:t xml:space="preserve">by concern regarding experiencing or contributing </w:t>
      </w:r>
      <w:r w:rsidR="00934873">
        <w:t xml:space="preserve">to </w:t>
      </w:r>
      <w:r w:rsidRPr="008E013A">
        <w:t>stigmatising views regarding both LGBTQ+ people and CALD people.</w:t>
      </w:r>
      <w:r w:rsidRPr="008E013A">
        <w:rPr>
          <w:vertAlign w:val="superscript"/>
        </w:rPr>
        <w:footnoteReference w:id="215"/>
      </w:r>
      <w:r w:rsidRPr="008E013A">
        <w:t xml:space="preserve"> </w:t>
      </w:r>
    </w:p>
    <w:p w14:paraId="3B2FF521" w14:textId="3D819DC8" w:rsidR="008E013A" w:rsidRPr="008E013A" w:rsidRDefault="008E013A" w:rsidP="00A74059">
      <w:pPr>
        <w:pStyle w:val="ListBullet0"/>
      </w:pPr>
      <w:r w:rsidRPr="008E013A">
        <w:rPr>
          <w:b/>
          <w:bCs/>
        </w:rPr>
        <w:t>Marginalisation</w:t>
      </w:r>
      <w:r w:rsidR="006E45DA">
        <w:t>:</w:t>
      </w:r>
      <w:r w:rsidRPr="008E013A">
        <w:t xml:space="preserve"> similarly to First Nations LGBTQ</w:t>
      </w:r>
      <w:r w:rsidR="00364CF2">
        <w:t>+</w:t>
      </w:r>
      <w:r w:rsidRPr="008E013A">
        <w:t>SB+ people, the existing marginalisation of CALD people, and individual CALD communities, in policy dialogue and service provision is exacerbated at the intersection of CALD and LGBTQ+ identities</w:t>
      </w:r>
      <w:r w:rsidRPr="008E013A">
        <w:rPr>
          <w:vertAlign w:val="superscript"/>
        </w:rPr>
        <w:footnoteReference w:id="216"/>
      </w:r>
      <w:r w:rsidRPr="008E013A">
        <w:t>. Research has found that some LGBTQ+ people from CALD backgrounds feel “silenced” in LGBTQ+ communities. For example, during the 2017 Marriage Equality plebiscite</w:t>
      </w:r>
      <w:r w:rsidR="006E45DA">
        <w:t>,</w:t>
      </w:r>
      <w:r w:rsidRPr="008E013A">
        <w:t xml:space="preserve"> LGBTQ+ people from CALD backgrounds living in Western Sydney reported feeling forgotten by services which targeted areas with denser or more open LGBTQ+ populations, or where the vote was expected to be on the fence.</w:t>
      </w:r>
      <w:r w:rsidRPr="008E013A">
        <w:rPr>
          <w:vertAlign w:val="superscript"/>
        </w:rPr>
        <w:t xml:space="preserve"> </w:t>
      </w:r>
      <w:r w:rsidRPr="008E013A">
        <w:rPr>
          <w:vertAlign w:val="superscript"/>
        </w:rPr>
        <w:footnoteReference w:id="217"/>
      </w:r>
      <w:r w:rsidRPr="008E013A">
        <w:rPr>
          <w:vertAlign w:val="superscript"/>
        </w:rPr>
        <w:t xml:space="preserve"> </w:t>
      </w:r>
    </w:p>
    <w:p w14:paraId="56731F53" w14:textId="02A0400E" w:rsidR="00AF3B41" w:rsidRPr="00393837" w:rsidRDefault="00AF3B41" w:rsidP="00DF32BE">
      <w:pPr>
        <w:pStyle w:val="NbrHeading3"/>
      </w:pPr>
      <w:bookmarkStart w:id="108" w:name="_Toc153899520"/>
      <w:bookmarkStart w:id="109" w:name="_Toc147225868"/>
      <w:r w:rsidRPr="00393837">
        <w:t>LGBTQ+ people with a disability</w:t>
      </w:r>
      <w:bookmarkEnd w:id="108"/>
    </w:p>
    <w:p w14:paraId="653A7941" w14:textId="73CBAECD" w:rsidR="006962E9" w:rsidRPr="006962E9" w:rsidRDefault="00BF7580" w:rsidP="00A74059">
      <w:pPr>
        <w:pStyle w:val="ListBullet0"/>
        <w:numPr>
          <w:ilvl w:val="0"/>
          <w:numId w:val="0"/>
        </w:numPr>
        <w:rPr>
          <w:lang w:val="en-US"/>
        </w:rPr>
      </w:pPr>
      <w:r>
        <w:t xml:space="preserve">There </w:t>
      </w:r>
      <w:r w:rsidR="00391CF0">
        <w:t>is still</w:t>
      </w:r>
      <w:r w:rsidR="006E45DA">
        <w:t xml:space="preserve"> a need for</w:t>
      </w:r>
      <w:r w:rsidR="00391CF0">
        <w:t xml:space="preserve"> </w:t>
      </w:r>
      <w:r w:rsidR="00D11511">
        <w:t xml:space="preserve">substantial </w:t>
      </w:r>
      <w:r w:rsidR="00391CF0">
        <w:t>research to be</w:t>
      </w:r>
      <w:r w:rsidR="00BE70C1" w:rsidRPr="003E3091">
        <w:t xml:space="preserve"> undertaken</w:t>
      </w:r>
      <w:r w:rsidR="00B87539" w:rsidRPr="003E3091">
        <w:t xml:space="preserve"> into </w:t>
      </w:r>
      <w:r w:rsidR="00EB403B">
        <w:t>sexual orientation and gender</w:t>
      </w:r>
      <w:r w:rsidR="00B87539" w:rsidRPr="003E3091">
        <w:t xml:space="preserve"> diversity among people with disability</w:t>
      </w:r>
      <w:r w:rsidR="00A22D99" w:rsidRPr="00E946CB">
        <w:rPr>
          <w:rStyle w:val="FootnoteReference"/>
        </w:rPr>
        <w:footnoteReference w:id="218"/>
      </w:r>
      <w:r w:rsidR="004C72C6" w:rsidRPr="003E3091">
        <w:t>, and the ways in which these intersectional identities interact with mental health and wellbeing risk</w:t>
      </w:r>
      <w:r w:rsidR="008A711D">
        <w:t>.</w:t>
      </w:r>
      <w:r w:rsidR="00424700">
        <w:rPr>
          <w:rStyle w:val="FootnoteReference"/>
          <w:b/>
          <w:bCs/>
        </w:rPr>
        <w:footnoteReference w:id="219"/>
      </w:r>
      <w:r w:rsidR="00BE70C1" w:rsidRPr="00642D0F">
        <w:t xml:space="preserve"> However, </w:t>
      </w:r>
      <w:r w:rsidR="006E45DA">
        <w:t>t</w:t>
      </w:r>
      <w:r w:rsidR="000316CF">
        <w:t xml:space="preserve">he </w:t>
      </w:r>
      <w:r w:rsidR="00B24431" w:rsidRPr="00642D0F">
        <w:t>Royal Commission into</w:t>
      </w:r>
      <w:r w:rsidR="00B24431" w:rsidRPr="00BC2952">
        <w:t xml:space="preserve"> Violence, Abuse, </w:t>
      </w:r>
      <w:r w:rsidR="00B24431" w:rsidRPr="00642D0F">
        <w:t xml:space="preserve">Neglect and Exploitation of People </w:t>
      </w:r>
      <w:r w:rsidR="00652249" w:rsidRPr="00642D0F">
        <w:t>with Disability</w:t>
      </w:r>
      <w:r w:rsidR="00130450" w:rsidRPr="00642D0F">
        <w:t xml:space="preserve">, </w:t>
      </w:r>
      <w:r w:rsidR="003672CA" w:rsidRPr="00642D0F">
        <w:t>and a</w:t>
      </w:r>
      <w:r w:rsidR="00652249" w:rsidRPr="00642D0F">
        <w:t>ccompanying research</w:t>
      </w:r>
      <w:r w:rsidR="00D11511">
        <w:t xml:space="preserve"> reports</w:t>
      </w:r>
      <w:r w:rsidR="0094071D">
        <w:rPr>
          <w:rStyle w:val="FootnoteReference"/>
        </w:rPr>
        <w:footnoteReference w:id="220"/>
      </w:r>
      <w:r w:rsidR="00130450" w:rsidRPr="00642D0F">
        <w:t xml:space="preserve">, </w:t>
      </w:r>
      <w:r w:rsidR="003672CA" w:rsidRPr="00642D0F">
        <w:t xml:space="preserve">have </w:t>
      </w:r>
      <w:r w:rsidR="000316CF">
        <w:t xml:space="preserve">recently </w:t>
      </w:r>
      <w:r w:rsidR="001A6C35" w:rsidRPr="00642D0F">
        <w:t xml:space="preserve">shed </w:t>
      </w:r>
      <w:r w:rsidR="00652249" w:rsidRPr="00642D0F">
        <w:t xml:space="preserve">light </w:t>
      </w:r>
      <w:r w:rsidR="001A6C35" w:rsidRPr="00642D0F">
        <w:t>upon</w:t>
      </w:r>
      <w:r w:rsidR="000D66FD" w:rsidRPr="00642D0F">
        <w:t xml:space="preserve"> </w:t>
      </w:r>
      <w:r w:rsidR="00BC2952" w:rsidRPr="00642D0F">
        <w:t>some of the</w:t>
      </w:r>
      <w:r w:rsidR="000D66FD" w:rsidRPr="00642D0F">
        <w:t xml:space="preserve"> </w:t>
      </w:r>
      <w:r w:rsidR="00A12AD6" w:rsidRPr="00642D0F">
        <w:t xml:space="preserve">compounding and intersecting external and internal stressors </w:t>
      </w:r>
      <w:r w:rsidR="000316CF">
        <w:t xml:space="preserve">faced by </w:t>
      </w:r>
      <w:r w:rsidR="00672D8D" w:rsidRPr="00642D0F">
        <w:t xml:space="preserve">LGBTQ+ people with disability </w:t>
      </w:r>
      <w:r w:rsidR="000316CF">
        <w:t>in Australia</w:t>
      </w:r>
      <w:r w:rsidR="00672D8D" w:rsidRPr="00642D0F">
        <w:t>.</w:t>
      </w:r>
      <w:r w:rsidR="00477C17">
        <w:t xml:space="preserve"> </w:t>
      </w:r>
    </w:p>
    <w:p w14:paraId="53AB5336" w14:textId="671373B1" w:rsidR="009D5FA7" w:rsidRPr="00DE48D8" w:rsidRDefault="001508E6" w:rsidP="00A74059">
      <w:pPr>
        <w:pStyle w:val="ListBullet0"/>
        <w:numPr>
          <w:ilvl w:val="0"/>
          <w:numId w:val="0"/>
        </w:numPr>
      </w:pPr>
      <w:r w:rsidRPr="00DE48D8">
        <w:rPr>
          <w:lang w:val="en-US"/>
        </w:rPr>
        <w:t>Research</w:t>
      </w:r>
      <w:r w:rsidR="009D5FA7" w:rsidRPr="00DE48D8">
        <w:rPr>
          <w:lang w:val="en-US"/>
        </w:rPr>
        <w:t xml:space="preserve"> also</w:t>
      </w:r>
      <w:r w:rsidRPr="00DE48D8">
        <w:rPr>
          <w:lang w:val="en-US"/>
        </w:rPr>
        <w:t xml:space="preserve"> indicates</w:t>
      </w:r>
      <w:r w:rsidR="00BB0101" w:rsidRPr="00DE48D8">
        <w:t xml:space="preserve"> that these</w:t>
      </w:r>
      <w:r w:rsidR="009B4A00" w:rsidRPr="00DE48D8">
        <w:t xml:space="preserve"> stressors vary substantially by</w:t>
      </w:r>
      <w:r w:rsidR="001D7E11" w:rsidRPr="00DE48D8">
        <w:t xml:space="preserve"> severity and </w:t>
      </w:r>
      <w:r w:rsidR="009B4A00" w:rsidRPr="00DE48D8">
        <w:t>type of disability (</w:t>
      </w:r>
      <w:r w:rsidR="006E45DA">
        <w:t>e.g</w:t>
      </w:r>
      <w:r w:rsidR="00524AAB" w:rsidRPr="00DE48D8">
        <w:t>.,</w:t>
      </w:r>
      <w:r w:rsidR="00F2516F" w:rsidRPr="00DE48D8">
        <w:t xml:space="preserve"> psychological,</w:t>
      </w:r>
      <w:r w:rsidR="00524AAB" w:rsidRPr="00DE48D8">
        <w:t xml:space="preserve"> intellectual, </w:t>
      </w:r>
      <w:r w:rsidR="00F2516F" w:rsidRPr="00DE48D8">
        <w:t>sensory impairment or physical disability)</w:t>
      </w:r>
      <w:r w:rsidR="00B11291" w:rsidRPr="00DE48D8">
        <w:t>, as well as</w:t>
      </w:r>
      <w:r w:rsidR="001C5194" w:rsidRPr="00DE48D8">
        <w:t xml:space="preserve"> </w:t>
      </w:r>
      <w:r w:rsidR="006E45DA">
        <w:t>in</w:t>
      </w:r>
      <w:r w:rsidR="001C5194" w:rsidRPr="00DE48D8">
        <w:t xml:space="preserve"> relation to</w:t>
      </w:r>
      <w:r w:rsidR="00B11291" w:rsidRPr="00DE48D8">
        <w:t xml:space="preserve"> various other demographic and contextual factors</w:t>
      </w:r>
      <w:r w:rsidR="001D7E11" w:rsidRPr="00DE48D8">
        <w:t xml:space="preserve"> (e.g., location</w:t>
      </w:r>
      <w:r w:rsidR="009D5FA7" w:rsidRPr="00DE48D8">
        <w:t xml:space="preserve"> and </w:t>
      </w:r>
      <w:r w:rsidR="00BB0101" w:rsidRPr="00DE48D8">
        <w:t>cultural background</w:t>
      </w:r>
      <w:r w:rsidR="001D7E11" w:rsidRPr="00DE48D8">
        <w:t xml:space="preserve">). </w:t>
      </w:r>
    </w:p>
    <w:p w14:paraId="15C4A2FA" w14:textId="6BF7B1C2" w:rsidR="00B87539" w:rsidRPr="00E946CB" w:rsidRDefault="004D71EF" w:rsidP="00A74059">
      <w:pPr>
        <w:pStyle w:val="ListBullet0"/>
        <w:numPr>
          <w:ilvl w:val="0"/>
          <w:numId w:val="0"/>
        </w:numPr>
      </w:pPr>
      <w:r>
        <w:t xml:space="preserve">For the purposes of this </w:t>
      </w:r>
      <w:r w:rsidR="009D5FA7">
        <w:t>overview</w:t>
      </w:r>
      <w:r w:rsidR="001C5194">
        <w:t xml:space="preserve">, these stressors </w:t>
      </w:r>
      <w:r>
        <w:t xml:space="preserve">have been </w:t>
      </w:r>
      <w:r w:rsidR="001C5194">
        <w:t xml:space="preserve">summarised at a high level as follows: </w:t>
      </w:r>
      <w:r w:rsidR="007B7548">
        <w:t xml:space="preserve"> </w:t>
      </w:r>
    </w:p>
    <w:p w14:paraId="07FEDC1A" w14:textId="507E3F87" w:rsidR="000603CD" w:rsidRPr="000A3013" w:rsidRDefault="00375148" w:rsidP="00A74059">
      <w:pPr>
        <w:pStyle w:val="ListBullet0"/>
      </w:pPr>
      <w:r w:rsidRPr="000603CD">
        <w:rPr>
          <w:b/>
          <w:bCs/>
        </w:rPr>
        <w:t>Compounding</w:t>
      </w:r>
      <w:r w:rsidR="008C581A" w:rsidRPr="000603CD">
        <w:rPr>
          <w:b/>
          <w:bCs/>
        </w:rPr>
        <w:t xml:space="preserve"> risks related to </w:t>
      </w:r>
      <w:r w:rsidR="0061514C" w:rsidRPr="000603CD">
        <w:rPr>
          <w:b/>
          <w:bCs/>
        </w:rPr>
        <w:t xml:space="preserve">harassment, </w:t>
      </w:r>
      <w:r w:rsidR="008C581A" w:rsidRPr="000603CD">
        <w:rPr>
          <w:b/>
          <w:bCs/>
        </w:rPr>
        <w:t>abuse</w:t>
      </w:r>
      <w:r w:rsidR="004E773D">
        <w:rPr>
          <w:b/>
          <w:bCs/>
        </w:rPr>
        <w:t>,</w:t>
      </w:r>
      <w:r w:rsidR="0088742C" w:rsidRPr="000603CD">
        <w:rPr>
          <w:b/>
          <w:bCs/>
        </w:rPr>
        <w:t xml:space="preserve"> and v</w:t>
      </w:r>
      <w:r w:rsidR="004D03DF" w:rsidRPr="000603CD">
        <w:rPr>
          <w:b/>
          <w:bCs/>
        </w:rPr>
        <w:t>iolence</w:t>
      </w:r>
      <w:r w:rsidR="006E45DA">
        <w:t>:</w:t>
      </w:r>
      <w:r w:rsidR="00EE7305">
        <w:t xml:space="preserve"> </w:t>
      </w:r>
      <w:r w:rsidR="001508E6">
        <w:t xml:space="preserve">evidence </w:t>
      </w:r>
      <w:r w:rsidR="004D71EF">
        <w:t>indicates</w:t>
      </w:r>
      <w:r w:rsidR="000603CD">
        <w:t xml:space="preserve"> that LGBTQ+ people with disability are at an increased risk of harassment, abuse</w:t>
      </w:r>
      <w:r w:rsidR="006E45DA">
        <w:t>,</w:t>
      </w:r>
      <w:r w:rsidR="000603CD">
        <w:t xml:space="preserve"> and violence</w:t>
      </w:r>
      <w:r w:rsidR="006E45DA">
        <w:t>,</w:t>
      </w:r>
      <w:r w:rsidR="000603CD">
        <w:t xml:space="preserve"> </w:t>
      </w:r>
      <w:r w:rsidR="009D5FA7">
        <w:t xml:space="preserve">compared to </w:t>
      </w:r>
      <w:r w:rsidR="0088799B">
        <w:t>both</w:t>
      </w:r>
      <w:r w:rsidR="000603CD">
        <w:t xml:space="preserve"> LGBTQ+ people without disability, and heterosexual or cisgender-identifying people with disability. </w:t>
      </w:r>
      <w:r w:rsidR="00AC0088">
        <w:t>The</w:t>
      </w:r>
      <w:r w:rsidR="000603CD">
        <w:t xml:space="preserve"> Royal Commission</w:t>
      </w:r>
      <w:r w:rsidR="00AC0088">
        <w:t>, for example,</w:t>
      </w:r>
      <w:r w:rsidR="000603CD">
        <w:t xml:space="preserve"> report</w:t>
      </w:r>
      <w:r w:rsidR="00AC0088">
        <w:t>ed</w:t>
      </w:r>
      <w:r w:rsidR="000603CD">
        <w:t xml:space="preserve"> that </w:t>
      </w:r>
      <w:r w:rsidR="00EC1CD2">
        <w:t>LGB+</w:t>
      </w:r>
      <w:r w:rsidR="00B01052" w:rsidRPr="000A3013">
        <w:t xml:space="preserve"> people with disability</w:t>
      </w:r>
      <w:r w:rsidR="00510E25" w:rsidRPr="000A3013">
        <w:t xml:space="preserve"> </w:t>
      </w:r>
      <w:r w:rsidR="000603CD">
        <w:t>are</w:t>
      </w:r>
      <w:r w:rsidR="006F15E5" w:rsidRPr="000A3013">
        <w:t xml:space="preserve"> more than twice as likely to report </w:t>
      </w:r>
      <w:r w:rsidR="00B96550" w:rsidRPr="000A3013">
        <w:t>being threatened with</w:t>
      </w:r>
      <w:r w:rsidR="006E45DA">
        <w:t>,</w:t>
      </w:r>
      <w:r w:rsidR="00B96550" w:rsidRPr="000A3013">
        <w:t xml:space="preserve"> or experiencing</w:t>
      </w:r>
      <w:r w:rsidR="006E45DA">
        <w:t>,</w:t>
      </w:r>
      <w:r w:rsidR="00B96550" w:rsidRPr="000A3013">
        <w:t xml:space="preserve"> violence, compared to heterosexual people with a </w:t>
      </w:r>
      <w:r w:rsidR="00B96550" w:rsidRPr="000A3013">
        <w:lastRenderedPageBreak/>
        <w:t>disability.</w:t>
      </w:r>
      <w:r w:rsidR="00B96550" w:rsidRPr="000A3013">
        <w:rPr>
          <w:rStyle w:val="FootnoteReference"/>
        </w:rPr>
        <w:footnoteReference w:id="221"/>
      </w:r>
      <w:r w:rsidR="003673AC" w:rsidRPr="000A3013">
        <w:t xml:space="preserve"> </w:t>
      </w:r>
      <w:r w:rsidR="00632A89">
        <w:t xml:space="preserve">The national survey </w:t>
      </w:r>
      <w:r w:rsidR="00632A89">
        <w:rPr>
          <w:i/>
          <w:iCs/>
        </w:rPr>
        <w:t xml:space="preserve">Private Lives 3, </w:t>
      </w:r>
      <w:r w:rsidR="00632A89">
        <w:t xml:space="preserve">conducted in 2019, also </w:t>
      </w:r>
      <w:r w:rsidR="0061514C">
        <w:t xml:space="preserve">found that LGBTIQ people with disability were more likely to </w:t>
      </w:r>
      <w:r w:rsidR="00AC0088">
        <w:t xml:space="preserve">experience </w:t>
      </w:r>
      <w:r w:rsidR="0061514C">
        <w:t>verbal abuse and harassment</w:t>
      </w:r>
      <w:r w:rsidR="000603CD">
        <w:t xml:space="preserve"> directed at their </w:t>
      </w:r>
      <w:r w:rsidR="00723360">
        <w:t xml:space="preserve">sexual orientation </w:t>
      </w:r>
      <w:r w:rsidR="000603CD">
        <w:t>or gender identity</w:t>
      </w:r>
      <w:r w:rsidR="0061514C">
        <w:t xml:space="preserve"> than their peers without disability, </w:t>
      </w:r>
      <w:r w:rsidR="00135E81">
        <w:t>which increased</w:t>
      </w:r>
      <w:r w:rsidR="00D30C06">
        <w:t xml:space="preserve"> </w:t>
      </w:r>
      <w:r w:rsidR="0061514C">
        <w:t xml:space="preserve">with severity of disability. For example, </w:t>
      </w:r>
      <w:r w:rsidR="000603CD">
        <w:t xml:space="preserve">stigma-driven </w:t>
      </w:r>
      <w:r w:rsidR="0061514C">
        <w:t xml:space="preserve">verbal abuse </w:t>
      </w:r>
      <w:r w:rsidR="00AC0088">
        <w:t xml:space="preserve">in public places in the 12 months leading up to </w:t>
      </w:r>
      <w:r w:rsidR="005D3647">
        <w:t>the</w:t>
      </w:r>
      <w:r w:rsidR="00AC0088">
        <w:t xml:space="preserve"> survey </w:t>
      </w:r>
      <w:r w:rsidR="0061514C">
        <w:t xml:space="preserve">was </w:t>
      </w:r>
      <w:proofErr w:type="gramStart"/>
      <w:r w:rsidR="0061514C">
        <w:t>most</w:t>
      </w:r>
      <w:r w:rsidR="0030666B">
        <w:t xml:space="preserve"> </w:t>
      </w:r>
      <w:r w:rsidR="0061514C">
        <w:t>commonly reported</w:t>
      </w:r>
      <w:proofErr w:type="gramEnd"/>
      <w:r w:rsidR="0061514C">
        <w:t xml:space="preserve"> by LGBTIQ people categorised as having severe disability (58.1%), compared to LGBTIQ people with moderate (41.6%) and mild (34.8%) disability, and LGBTIQ people without disability (31.7%).</w:t>
      </w:r>
      <w:r w:rsidR="0061514C">
        <w:rPr>
          <w:rStyle w:val="FootnoteReference"/>
          <w:b/>
          <w:bCs/>
        </w:rPr>
        <w:footnoteReference w:id="222"/>
      </w:r>
    </w:p>
    <w:p w14:paraId="42DF3111" w14:textId="0C51998F" w:rsidR="00EB6EC3" w:rsidRDefault="00D548BD" w:rsidP="00A74059">
      <w:pPr>
        <w:pStyle w:val="ListBullet0"/>
      </w:pPr>
      <w:r w:rsidRPr="004E773D">
        <w:rPr>
          <w:b/>
          <w:bCs/>
        </w:rPr>
        <w:t>Compounding</w:t>
      </w:r>
      <w:r w:rsidR="00E439F0" w:rsidRPr="004E773D">
        <w:rPr>
          <w:b/>
          <w:bCs/>
        </w:rPr>
        <w:t xml:space="preserve"> </w:t>
      </w:r>
      <w:r w:rsidR="00AF7DF4">
        <w:rPr>
          <w:b/>
          <w:bCs/>
        </w:rPr>
        <w:t>exposure</w:t>
      </w:r>
      <w:r w:rsidR="00AF7DF4" w:rsidRPr="004E773D">
        <w:rPr>
          <w:b/>
          <w:bCs/>
        </w:rPr>
        <w:t xml:space="preserve"> </w:t>
      </w:r>
      <w:r w:rsidR="004D03DF" w:rsidRPr="004E773D">
        <w:rPr>
          <w:b/>
          <w:bCs/>
        </w:rPr>
        <w:t xml:space="preserve">to </w:t>
      </w:r>
      <w:r w:rsidR="00343765">
        <w:rPr>
          <w:b/>
          <w:bCs/>
        </w:rPr>
        <w:t>stigmatisation</w:t>
      </w:r>
      <w:r w:rsidR="001A4B67" w:rsidRPr="004E773D">
        <w:rPr>
          <w:b/>
          <w:bCs/>
        </w:rPr>
        <w:t xml:space="preserve"> and discrimination in disability </w:t>
      </w:r>
      <w:r w:rsidR="00431701" w:rsidRPr="004E773D">
        <w:rPr>
          <w:b/>
          <w:bCs/>
        </w:rPr>
        <w:t xml:space="preserve">and health </w:t>
      </w:r>
      <w:r w:rsidR="001A4B67" w:rsidRPr="004E773D">
        <w:rPr>
          <w:b/>
          <w:bCs/>
        </w:rPr>
        <w:t>services</w:t>
      </w:r>
      <w:r w:rsidR="006E45DA">
        <w:rPr>
          <w:b/>
          <w:bCs/>
        </w:rPr>
        <w:t>:</w:t>
      </w:r>
      <w:r w:rsidR="001A4B67" w:rsidRPr="004E773D">
        <w:rPr>
          <w:b/>
          <w:bCs/>
        </w:rPr>
        <w:t xml:space="preserve"> </w:t>
      </w:r>
      <w:r w:rsidR="006E45DA">
        <w:t>i</w:t>
      </w:r>
      <w:r w:rsidR="00B87539" w:rsidRPr="00977C3A">
        <w:t>n</w:t>
      </w:r>
      <w:r w:rsidR="00B87539" w:rsidRPr="00E946CB">
        <w:t xml:space="preserve"> addition to th</w:t>
      </w:r>
      <w:r w:rsidR="001A4B67" w:rsidRPr="00E946CB">
        <w:t>e</w:t>
      </w:r>
      <w:r w:rsidR="006C5FA4" w:rsidRPr="00E946CB">
        <w:t xml:space="preserve"> </w:t>
      </w:r>
      <w:r w:rsidR="002924F2">
        <w:t xml:space="preserve">documented </w:t>
      </w:r>
      <w:r w:rsidR="001A4B67" w:rsidRPr="00E946CB">
        <w:t xml:space="preserve">risk of </w:t>
      </w:r>
      <w:r w:rsidR="00A023DF" w:rsidRPr="00E946CB">
        <w:t>neglect and exploitation</w:t>
      </w:r>
      <w:r w:rsidR="002924F2">
        <w:t xml:space="preserve"> experienced by the general population</w:t>
      </w:r>
      <w:r w:rsidR="00184135">
        <w:t xml:space="preserve"> </w:t>
      </w:r>
      <w:r w:rsidR="002924F2">
        <w:t>accessing</w:t>
      </w:r>
      <w:r w:rsidR="00184135">
        <w:t xml:space="preserve"> disability services</w:t>
      </w:r>
      <w:r w:rsidR="006C5FA4" w:rsidRPr="00E946CB">
        <w:rPr>
          <w:rStyle w:val="FootnoteReference"/>
        </w:rPr>
        <w:footnoteReference w:id="223"/>
      </w:r>
      <w:r w:rsidR="004E773D">
        <w:t xml:space="preserve">, </w:t>
      </w:r>
      <w:r w:rsidR="00B87539" w:rsidRPr="00E946CB">
        <w:t xml:space="preserve">LGBTQ+ people with disability have an increased likelihood of being exposed to </w:t>
      </w:r>
      <w:r w:rsidR="004E773D">
        <w:t xml:space="preserve">stigmatising or discriminatory behaviour in </w:t>
      </w:r>
      <w:r w:rsidR="00B87539" w:rsidRPr="00E946CB">
        <w:t xml:space="preserve">health and disability services </w:t>
      </w:r>
      <w:r w:rsidR="004E773D">
        <w:t>based on</w:t>
      </w:r>
      <w:r w:rsidR="00B87539" w:rsidRPr="00E946CB">
        <w:t xml:space="preserve"> hetero- or cis-normative</w:t>
      </w:r>
      <w:r w:rsidR="004E773D">
        <w:t xml:space="preserve"> beliefs</w:t>
      </w:r>
      <w:r w:rsidR="00B87539" w:rsidRPr="00E946CB">
        <w:t>.</w:t>
      </w:r>
      <w:r w:rsidR="00B87539" w:rsidRPr="00E946CB">
        <w:rPr>
          <w:rStyle w:val="FootnoteReference"/>
        </w:rPr>
        <w:footnoteReference w:id="224"/>
      </w:r>
      <w:r w:rsidR="00BD5434" w:rsidRPr="00E946CB">
        <w:t xml:space="preserve"> </w:t>
      </w:r>
      <w:r w:rsidR="00BD2633">
        <w:t xml:space="preserve">The </w:t>
      </w:r>
      <w:r w:rsidR="00E16996">
        <w:rPr>
          <w:i/>
          <w:iCs/>
        </w:rPr>
        <w:t>Private Lives 3</w:t>
      </w:r>
      <w:r w:rsidR="00F02E5F">
        <w:t xml:space="preserve"> national survey </w:t>
      </w:r>
      <w:r w:rsidR="000A3013">
        <w:t xml:space="preserve">found </w:t>
      </w:r>
      <w:r w:rsidR="00115030">
        <w:t>that only one third</w:t>
      </w:r>
      <w:r w:rsidR="000A3013">
        <w:t xml:space="preserve"> </w:t>
      </w:r>
      <w:r w:rsidR="00115030">
        <w:t>(</w:t>
      </w:r>
      <w:r w:rsidR="001268A8">
        <w:t xml:space="preserve">34.5%) </w:t>
      </w:r>
      <w:r w:rsidR="000A3013">
        <w:t>of the sample of LGBTIQ</w:t>
      </w:r>
      <w:r w:rsidR="004E773D">
        <w:t xml:space="preserve"> </w:t>
      </w:r>
      <w:r w:rsidR="00977C3A">
        <w:t>adults</w:t>
      </w:r>
      <w:r w:rsidR="00F02E5F">
        <w:t xml:space="preserve"> </w:t>
      </w:r>
      <w:r w:rsidR="000A3013">
        <w:t xml:space="preserve">with disability </w:t>
      </w:r>
      <w:r w:rsidR="00115030">
        <w:t>reported</w:t>
      </w:r>
      <w:r w:rsidR="000A3013">
        <w:t xml:space="preserve"> feeling accepted when accessing a health or support service</w:t>
      </w:r>
      <w:r w:rsidR="00115030">
        <w:t>.</w:t>
      </w:r>
      <w:r w:rsidR="000A3013">
        <w:rPr>
          <w:rStyle w:val="FootnoteReference"/>
          <w:b/>
          <w:bCs/>
        </w:rPr>
        <w:footnoteReference w:id="225"/>
      </w:r>
      <w:r w:rsidR="00E16996">
        <w:t xml:space="preserve"> </w:t>
      </w:r>
      <w:r w:rsidR="00071D18">
        <w:t>Similarly, t</w:t>
      </w:r>
      <w:r w:rsidR="00115030">
        <w:t>he</w:t>
      </w:r>
      <w:r w:rsidR="006167E9">
        <w:t xml:space="preserve"> 2019</w:t>
      </w:r>
      <w:r w:rsidR="00E16996">
        <w:t xml:space="preserve"> </w:t>
      </w:r>
      <w:r w:rsidR="00E16996">
        <w:rPr>
          <w:i/>
          <w:iCs/>
        </w:rPr>
        <w:t xml:space="preserve">Writing Themselves in 4 </w:t>
      </w:r>
      <w:r w:rsidR="00E16996">
        <w:t>national survey</w:t>
      </w:r>
      <w:r w:rsidR="00115030">
        <w:t xml:space="preserve"> </w:t>
      </w:r>
      <w:r w:rsidR="006167E9">
        <w:t xml:space="preserve">found that </w:t>
      </w:r>
      <w:r w:rsidR="0088799B">
        <w:t xml:space="preserve">less than one-quarter (21.5%) </w:t>
      </w:r>
      <w:r w:rsidR="000F0F6F">
        <w:t xml:space="preserve">of </w:t>
      </w:r>
      <w:r w:rsidR="006E45DA">
        <w:t xml:space="preserve">young (aged 14–21) </w:t>
      </w:r>
      <w:r w:rsidR="000F0F6F">
        <w:t xml:space="preserve">LGBTQA+ people </w:t>
      </w:r>
      <w:r w:rsidR="00E60D9F">
        <w:t xml:space="preserve">with disability </w:t>
      </w:r>
      <w:r w:rsidR="0088799B">
        <w:t xml:space="preserve">felt their LGBTQA+ identity </w:t>
      </w:r>
      <w:r w:rsidR="006E45DA">
        <w:t>wa</w:t>
      </w:r>
      <w:r w:rsidR="0088799B">
        <w:t>s supported by the NDIS or disability support services.</w:t>
      </w:r>
      <w:r w:rsidR="0088799B">
        <w:rPr>
          <w:rStyle w:val="FootnoteReference"/>
          <w:b/>
          <w:bCs/>
        </w:rPr>
        <w:footnoteReference w:id="226"/>
      </w:r>
      <w:r w:rsidR="004E773D">
        <w:t xml:space="preserve"> T</w:t>
      </w:r>
      <w:r w:rsidR="004D2AC5">
        <w:t xml:space="preserve">he Royal Commission also reported that submissions received from </w:t>
      </w:r>
      <w:r w:rsidR="004E773D">
        <w:t xml:space="preserve">some </w:t>
      </w:r>
      <w:r w:rsidR="004D2AC5">
        <w:t>gender diverse people with disability indicated that they had been refused “</w:t>
      </w:r>
      <w:r w:rsidR="00EB6EC3">
        <w:t xml:space="preserve">lifesaving” affirming care on the basis of their </w:t>
      </w:r>
      <w:r w:rsidR="00EB6EC3" w:rsidRPr="004E773D">
        <w:t>disability.</w:t>
      </w:r>
      <w:r w:rsidR="00EB6EC3" w:rsidRPr="004E773D">
        <w:rPr>
          <w:rStyle w:val="FootnoteReference"/>
        </w:rPr>
        <w:footnoteReference w:id="227"/>
      </w:r>
      <w:r w:rsidR="00EB6EC3" w:rsidRPr="004E773D">
        <w:t xml:space="preserve"> </w:t>
      </w:r>
      <w:r w:rsidR="00EB6EC3">
        <w:t xml:space="preserve"> </w:t>
      </w:r>
    </w:p>
    <w:p w14:paraId="23BAA903" w14:textId="299930A8" w:rsidR="00B87539" w:rsidRDefault="00B87539" w:rsidP="00A74059">
      <w:pPr>
        <w:pStyle w:val="ListBullet0"/>
      </w:pPr>
      <w:r w:rsidRPr="00E946CB">
        <w:rPr>
          <w:b/>
          <w:bCs/>
        </w:rPr>
        <w:t>Erasure</w:t>
      </w:r>
      <w:r w:rsidR="006E45DA">
        <w:t>:</w:t>
      </w:r>
      <w:r w:rsidRPr="00E946CB">
        <w:t xml:space="preserve"> </w:t>
      </w:r>
      <w:r w:rsidR="006E45DA">
        <w:t>r</w:t>
      </w:r>
      <w:r w:rsidRPr="00E946CB">
        <w:t>esearch suggests that</w:t>
      </w:r>
      <w:r w:rsidR="002967BF">
        <w:t xml:space="preserve"> </w:t>
      </w:r>
      <w:r w:rsidR="00CB4074">
        <w:t xml:space="preserve">LGBTQ+ people </w:t>
      </w:r>
      <w:r w:rsidR="00AB72AA">
        <w:t xml:space="preserve">feel marginalised </w:t>
      </w:r>
      <w:r w:rsidR="00B808E9">
        <w:t>in dialogue surrounding both disability issues and LGBTQ+ issues.</w:t>
      </w:r>
      <w:r w:rsidR="007679F1" w:rsidRPr="00E946CB">
        <w:rPr>
          <w:rStyle w:val="FootnoteReference"/>
        </w:rPr>
        <w:footnoteReference w:id="228"/>
      </w:r>
      <w:r w:rsidR="00B808E9">
        <w:t xml:space="preserve"> </w:t>
      </w:r>
      <w:r w:rsidR="003729C6">
        <w:t>The</w:t>
      </w:r>
      <w:r w:rsidR="00B808E9">
        <w:t xml:space="preserve"> </w:t>
      </w:r>
      <w:r w:rsidR="00B808E9">
        <w:rPr>
          <w:i/>
          <w:iCs/>
        </w:rPr>
        <w:t xml:space="preserve">Writing Themselves in 4 </w:t>
      </w:r>
      <w:r w:rsidR="00B808E9">
        <w:t>survey</w:t>
      </w:r>
      <w:r w:rsidR="003729C6">
        <w:t>, for example,</w:t>
      </w:r>
      <w:r w:rsidR="00B808E9">
        <w:t xml:space="preserve"> found that l</w:t>
      </w:r>
      <w:r w:rsidR="00B808E9" w:rsidRPr="00B808E9">
        <w:t>ess than one-third (27.2%) of young LGBTQA+ people (aged 14</w:t>
      </w:r>
      <w:r w:rsidR="006E45DA">
        <w:t>–</w:t>
      </w:r>
      <w:r w:rsidR="00B808E9" w:rsidRPr="00B808E9">
        <w:t>21) with disabilities felt that their voices were heard and understood</w:t>
      </w:r>
      <w:r w:rsidR="007679F1">
        <w:t xml:space="preserve">. </w:t>
      </w:r>
    </w:p>
    <w:p w14:paraId="3AAAA93F" w14:textId="1F275DA1" w:rsidR="002A01AC" w:rsidRPr="00E946CB" w:rsidRDefault="00E51A1F" w:rsidP="00A74059">
      <w:pPr>
        <w:pStyle w:val="ListBullet0"/>
      </w:pPr>
      <w:r>
        <w:rPr>
          <w:b/>
          <w:bCs/>
        </w:rPr>
        <w:t>Barriers to accessing services</w:t>
      </w:r>
      <w:r w:rsidR="00272CBA">
        <w:rPr>
          <w:b/>
          <w:bCs/>
        </w:rPr>
        <w:t xml:space="preserve"> and social spaces</w:t>
      </w:r>
      <w:r w:rsidR="006E45DA">
        <w:t>:</w:t>
      </w:r>
      <w:r w:rsidR="00CC206B">
        <w:t xml:space="preserve"> </w:t>
      </w:r>
      <w:r w:rsidR="006E45DA">
        <w:t>e</w:t>
      </w:r>
      <w:r w:rsidR="00CC206B">
        <w:t>vidence also indicates that</w:t>
      </w:r>
      <w:r w:rsidR="00272CBA">
        <w:t xml:space="preserve"> accessibility issues </w:t>
      </w:r>
      <w:r w:rsidR="006F4313">
        <w:t>create additional barriers for</w:t>
      </w:r>
      <w:r w:rsidR="00272CBA">
        <w:t xml:space="preserve"> </w:t>
      </w:r>
      <w:r w:rsidR="00CC206B">
        <w:t xml:space="preserve">LGBTQ+ people </w:t>
      </w:r>
      <w:r w:rsidR="006F4313">
        <w:t xml:space="preserve">when trying to </w:t>
      </w:r>
      <w:r>
        <w:t xml:space="preserve">use </w:t>
      </w:r>
      <w:r w:rsidR="006F4313">
        <w:t>services and</w:t>
      </w:r>
      <w:r>
        <w:t xml:space="preserve"> engage with</w:t>
      </w:r>
      <w:r w:rsidR="006F4313">
        <w:t xml:space="preserve"> social spaces, </w:t>
      </w:r>
      <w:r w:rsidR="00CC206B">
        <w:t xml:space="preserve">including </w:t>
      </w:r>
      <w:r w:rsidR="006F4313">
        <w:t>those target</w:t>
      </w:r>
      <w:r w:rsidR="006E45DA">
        <w:t>ing</w:t>
      </w:r>
      <w:r w:rsidR="006F4313">
        <w:t xml:space="preserve"> </w:t>
      </w:r>
      <w:r w:rsidR="00CC206B" w:rsidRPr="00E946CB">
        <w:t xml:space="preserve">LGBTQ+ </w:t>
      </w:r>
      <w:r w:rsidR="006F4313">
        <w:t>people</w:t>
      </w:r>
      <w:r w:rsidR="00CC206B">
        <w:t xml:space="preserve">. The </w:t>
      </w:r>
      <w:r w:rsidR="00CC206B" w:rsidRPr="00C637DC">
        <w:rPr>
          <w:i/>
          <w:iCs/>
        </w:rPr>
        <w:t xml:space="preserve">Writing Themselves In 4 </w:t>
      </w:r>
      <w:r w:rsidR="00CC206B">
        <w:t>survey found that l</w:t>
      </w:r>
      <w:r w:rsidR="00CC206B" w:rsidRPr="00113C91">
        <w:t>ess than half of</w:t>
      </w:r>
      <w:r w:rsidR="00CC206B">
        <w:t xml:space="preserve"> </w:t>
      </w:r>
      <w:r w:rsidR="006E45DA">
        <w:t xml:space="preserve">young </w:t>
      </w:r>
      <w:r w:rsidR="00CC206B">
        <w:t xml:space="preserve">LGBTQA+ people with disability indicated that it was “easy or very easy” to access LGBTQA+ social/community venues (44.2%) or services/support groups (47.6%) in their local </w:t>
      </w:r>
      <w:r w:rsidR="00CC206B">
        <w:lastRenderedPageBreak/>
        <w:t>area.</w:t>
      </w:r>
      <w:r w:rsidR="00CC206B">
        <w:rPr>
          <w:rStyle w:val="FootnoteReference"/>
          <w:b/>
          <w:bCs/>
        </w:rPr>
        <w:footnoteReference w:id="229"/>
      </w:r>
      <w:r w:rsidR="00CC206B">
        <w:t xml:space="preserve"> </w:t>
      </w:r>
      <w:r w:rsidR="006E45DA">
        <w:t xml:space="preserve">Young </w:t>
      </w:r>
      <w:r w:rsidR="00CC206B">
        <w:t xml:space="preserve">LGBTQA+ people with an intellectual disability were slightly less likely to feel it was easy to access social/community venues (38%), compared to those with a physical or sensory disability (44.6%). </w:t>
      </w:r>
      <w:r w:rsidR="008A23D2">
        <w:t>Similarly, t</w:t>
      </w:r>
      <w:r w:rsidR="00CC206B">
        <w:t xml:space="preserve">he </w:t>
      </w:r>
      <w:r w:rsidR="00CC206B" w:rsidRPr="00C637DC">
        <w:rPr>
          <w:i/>
          <w:iCs/>
        </w:rPr>
        <w:t xml:space="preserve">Private Lives 3 </w:t>
      </w:r>
      <w:r w:rsidR="00CC206B">
        <w:t xml:space="preserve">survey found that </w:t>
      </w:r>
      <w:r w:rsidR="00CC206B" w:rsidRPr="000A3013">
        <w:t xml:space="preserve">more than one-third of LGBTIQ adults with disability did </w:t>
      </w:r>
      <w:r w:rsidR="00CC206B" w:rsidRPr="00C637DC">
        <w:rPr>
          <w:i/>
          <w:iCs/>
        </w:rPr>
        <w:t xml:space="preserve">not </w:t>
      </w:r>
      <w:r w:rsidR="00CC206B" w:rsidRPr="000A3013">
        <w:t xml:space="preserve">report feeling accepted at an LGBTIQ event/venue (41.5%). </w:t>
      </w:r>
      <w:r w:rsidR="00CC206B">
        <w:t>While m</w:t>
      </w:r>
      <w:r w:rsidR="00CC206B" w:rsidRPr="000A3013">
        <w:t xml:space="preserve">ore than half did </w:t>
      </w:r>
      <w:r w:rsidR="00CC206B" w:rsidRPr="00C637DC">
        <w:rPr>
          <w:i/>
          <w:iCs/>
        </w:rPr>
        <w:t xml:space="preserve">not </w:t>
      </w:r>
      <w:r w:rsidR="00CC206B" w:rsidRPr="000A3013">
        <w:t>report feeling accepted in other settings</w:t>
      </w:r>
      <w:r w:rsidR="006E45DA">
        <w:t>,</w:t>
      </w:r>
      <w:r w:rsidR="00CC206B" w:rsidRPr="000A3013">
        <w:t xml:space="preserve"> including work (54.1%), at an education institution (53.8%) and with family members (56.8%).</w:t>
      </w:r>
      <w:r w:rsidR="00CC206B" w:rsidRPr="000A3013">
        <w:rPr>
          <w:rStyle w:val="FootnoteReference"/>
        </w:rPr>
        <w:footnoteReference w:id="230"/>
      </w:r>
      <w:r w:rsidR="00CC206B">
        <w:t xml:space="preserve"> There was limited variation </w:t>
      </w:r>
      <w:r w:rsidR="00250CD7">
        <w:t xml:space="preserve">by </w:t>
      </w:r>
      <w:r w:rsidR="00CC206B">
        <w:t>disability</w:t>
      </w:r>
      <w:r w:rsidR="00250CD7">
        <w:t xml:space="preserve"> type</w:t>
      </w:r>
      <w:r w:rsidR="00CC206B">
        <w:t xml:space="preserve"> regarding feelings of acceptance in the LGBTQ+ community amongst adults. </w:t>
      </w:r>
    </w:p>
    <w:p w14:paraId="39DBBA65" w14:textId="07BA1DE6" w:rsidR="008E013A" w:rsidRPr="00A51760" w:rsidRDefault="00B64627" w:rsidP="00DF32BE">
      <w:pPr>
        <w:pStyle w:val="NbrHeading2"/>
      </w:pPr>
      <w:bookmarkStart w:id="110" w:name="_Toc153899521"/>
      <w:bookmarkEnd w:id="109"/>
      <w:r w:rsidRPr="00A51760">
        <w:t xml:space="preserve">Other </w:t>
      </w:r>
      <w:r w:rsidR="00120D0F" w:rsidRPr="00A51760">
        <w:t>Lived Experiences</w:t>
      </w:r>
      <w:r w:rsidR="00561042" w:rsidRPr="00A51760">
        <w:t xml:space="preserve"> and Complexities</w:t>
      </w:r>
      <w:bookmarkEnd w:id="110"/>
      <w:r w:rsidR="00561042" w:rsidRPr="00A51760">
        <w:t xml:space="preserve"> </w:t>
      </w:r>
    </w:p>
    <w:p w14:paraId="14442988" w14:textId="48B7114D" w:rsidR="00300EF3" w:rsidRDefault="008E013A" w:rsidP="008E013A">
      <w:pPr>
        <w:spacing w:before="120" w:after="120"/>
        <w:rPr>
          <w:rFonts w:eastAsia="Times New Roman" w:cs="Times New Roman"/>
          <w:szCs w:val="24"/>
          <w:lang w:eastAsia="en-AU"/>
        </w:rPr>
      </w:pPr>
      <w:r w:rsidRPr="008E013A">
        <w:rPr>
          <w:rFonts w:eastAsia="Times New Roman" w:cs="Times New Roman"/>
          <w:szCs w:val="24"/>
          <w:lang w:eastAsia="en-AU"/>
        </w:rPr>
        <w:t xml:space="preserve">Finally, it is important to </w:t>
      </w:r>
      <w:r w:rsidR="00223180">
        <w:rPr>
          <w:rFonts w:eastAsia="Times New Roman" w:cs="Times New Roman"/>
          <w:szCs w:val="24"/>
          <w:lang w:eastAsia="en-AU"/>
        </w:rPr>
        <w:t xml:space="preserve">note that </w:t>
      </w:r>
      <w:r w:rsidR="00807FDC">
        <w:rPr>
          <w:rFonts w:eastAsia="Times New Roman" w:cs="Times New Roman"/>
          <w:szCs w:val="24"/>
          <w:lang w:eastAsia="en-AU"/>
        </w:rPr>
        <w:t xml:space="preserve">some </w:t>
      </w:r>
      <w:r w:rsidR="00223180">
        <w:rPr>
          <w:rFonts w:eastAsia="Times New Roman" w:cs="Times New Roman"/>
          <w:szCs w:val="24"/>
          <w:lang w:eastAsia="en-AU"/>
        </w:rPr>
        <w:t>LGBTQ+ people</w:t>
      </w:r>
      <w:r w:rsidR="003E11F5">
        <w:rPr>
          <w:rFonts w:eastAsia="Times New Roman" w:cs="Times New Roman"/>
          <w:szCs w:val="24"/>
          <w:lang w:eastAsia="en-AU"/>
        </w:rPr>
        <w:t xml:space="preserve"> </w:t>
      </w:r>
      <w:r w:rsidR="00DE2D15">
        <w:rPr>
          <w:rFonts w:eastAsia="Times New Roman" w:cs="Times New Roman"/>
          <w:szCs w:val="24"/>
          <w:lang w:eastAsia="en-AU"/>
        </w:rPr>
        <w:t xml:space="preserve">also </w:t>
      </w:r>
      <w:r w:rsidR="00120D0F">
        <w:rPr>
          <w:rFonts w:eastAsia="Times New Roman" w:cs="Times New Roman"/>
          <w:szCs w:val="24"/>
          <w:lang w:eastAsia="en-AU"/>
        </w:rPr>
        <w:t xml:space="preserve">have lived experience of </w:t>
      </w:r>
      <w:r w:rsidR="00515ADE">
        <w:rPr>
          <w:rFonts w:eastAsia="Times New Roman" w:cs="Times New Roman"/>
          <w:szCs w:val="24"/>
          <w:lang w:eastAsia="en-AU"/>
        </w:rPr>
        <w:t xml:space="preserve">structural disadvantage and interactions with </w:t>
      </w:r>
      <w:r w:rsidR="00807FDC">
        <w:rPr>
          <w:rFonts w:eastAsia="Times New Roman" w:cs="Times New Roman"/>
          <w:szCs w:val="24"/>
          <w:lang w:eastAsia="en-AU"/>
        </w:rPr>
        <w:t xml:space="preserve">other </w:t>
      </w:r>
      <w:r w:rsidR="00DE2D15">
        <w:rPr>
          <w:rFonts w:eastAsia="Times New Roman" w:cs="Times New Roman"/>
          <w:szCs w:val="24"/>
          <w:lang w:eastAsia="en-AU"/>
        </w:rPr>
        <w:t>institutional</w:t>
      </w:r>
      <w:r w:rsidR="00322D7E">
        <w:rPr>
          <w:rFonts w:eastAsia="Times New Roman" w:cs="Times New Roman"/>
          <w:szCs w:val="24"/>
          <w:lang w:eastAsia="en-AU"/>
        </w:rPr>
        <w:t xml:space="preserve">, </w:t>
      </w:r>
      <w:r w:rsidR="001B5156">
        <w:rPr>
          <w:rFonts w:eastAsia="Times New Roman" w:cs="Times New Roman"/>
          <w:szCs w:val="24"/>
          <w:lang w:eastAsia="en-AU"/>
        </w:rPr>
        <w:t>social,</w:t>
      </w:r>
      <w:r w:rsidR="00322D7E">
        <w:rPr>
          <w:rFonts w:eastAsia="Times New Roman" w:cs="Times New Roman"/>
          <w:szCs w:val="24"/>
          <w:lang w:eastAsia="en-AU"/>
        </w:rPr>
        <w:t xml:space="preserve"> or service </w:t>
      </w:r>
      <w:r w:rsidR="00CE3976">
        <w:rPr>
          <w:rFonts w:eastAsia="Times New Roman" w:cs="Times New Roman"/>
          <w:szCs w:val="24"/>
          <w:lang w:eastAsia="en-AU"/>
        </w:rPr>
        <w:t xml:space="preserve">systems </w:t>
      </w:r>
      <w:r w:rsidR="00515ADE">
        <w:rPr>
          <w:rFonts w:eastAsia="Times New Roman" w:cs="Times New Roman"/>
          <w:szCs w:val="24"/>
          <w:lang w:eastAsia="en-AU"/>
        </w:rPr>
        <w:t>which</w:t>
      </w:r>
      <w:r w:rsidR="00124625">
        <w:rPr>
          <w:rFonts w:eastAsia="Times New Roman" w:cs="Times New Roman"/>
          <w:szCs w:val="24"/>
          <w:lang w:eastAsia="en-AU"/>
        </w:rPr>
        <w:t xml:space="preserve"> can </w:t>
      </w:r>
      <w:r w:rsidR="008D5086">
        <w:rPr>
          <w:rFonts w:eastAsia="Times New Roman" w:cs="Times New Roman"/>
          <w:szCs w:val="24"/>
          <w:lang w:eastAsia="en-AU"/>
        </w:rPr>
        <w:t>increase</w:t>
      </w:r>
      <w:r w:rsidR="00124625">
        <w:rPr>
          <w:rFonts w:eastAsia="Times New Roman" w:cs="Times New Roman"/>
          <w:szCs w:val="24"/>
          <w:lang w:eastAsia="en-AU"/>
        </w:rPr>
        <w:t xml:space="preserve"> </w:t>
      </w:r>
      <w:r w:rsidR="00871407">
        <w:rPr>
          <w:rFonts w:eastAsia="Times New Roman" w:cs="Times New Roman"/>
          <w:szCs w:val="24"/>
          <w:lang w:eastAsia="en-AU"/>
        </w:rPr>
        <w:t xml:space="preserve">their </w:t>
      </w:r>
      <w:r w:rsidR="008D5086">
        <w:rPr>
          <w:rFonts w:eastAsia="Times New Roman" w:cs="Times New Roman"/>
          <w:szCs w:val="24"/>
          <w:lang w:eastAsia="en-AU"/>
        </w:rPr>
        <w:t>risk of poor</w:t>
      </w:r>
      <w:r w:rsidR="00871407">
        <w:rPr>
          <w:rFonts w:eastAsia="Times New Roman" w:cs="Times New Roman"/>
          <w:szCs w:val="24"/>
          <w:lang w:eastAsia="en-AU"/>
        </w:rPr>
        <w:t xml:space="preserve"> </w:t>
      </w:r>
      <w:r w:rsidR="00124625">
        <w:rPr>
          <w:rFonts w:eastAsia="Times New Roman" w:cs="Times New Roman"/>
          <w:szCs w:val="24"/>
          <w:lang w:eastAsia="en-AU"/>
        </w:rPr>
        <w:t>mental health, wellbeing</w:t>
      </w:r>
      <w:r w:rsidR="00300EF3">
        <w:rPr>
          <w:rFonts w:eastAsia="Times New Roman" w:cs="Times New Roman"/>
          <w:szCs w:val="24"/>
          <w:lang w:eastAsia="en-AU"/>
        </w:rPr>
        <w:t>,</w:t>
      </w:r>
      <w:r w:rsidR="00124625">
        <w:rPr>
          <w:rFonts w:eastAsia="Times New Roman" w:cs="Times New Roman"/>
          <w:szCs w:val="24"/>
          <w:lang w:eastAsia="en-AU"/>
        </w:rPr>
        <w:t xml:space="preserve"> or </w:t>
      </w:r>
      <w:r w:rsidR="008D5086">
        <w:rPr>
          <w:rFonts w:eastAsia="Times New Roman" w:cs="Times New Roman"/>
          <w:szCs w:val="24"/>
          <w:lang w:eastAsia="en-AU"/>
        </w:rPr>
        <w:t>suicide prevention outcomes</w:t>
      </w:r>
      <w:r w:rsidR="00124625">
        <w:rPr>
          <w:rFonts w:eastAsia="Times New Roman" w:cs="Times New Roman"/>
          <w:szCs w:val="24"/>
          <w:lang w:eastAsia="en-AU"/>
        </w:rPr>
        <w:t xml:space="preserve">. </w:t>
      </w:r>
    </w:p>
    <w:p w14:paraId="021E1AEE" w14:textId="1A76E0C9" w:rsidR="008A424F" w:rsidRDefault="00B77FDC" w:rsidP="008E013A">
      <w:pPr>
        <w:spacing w:before="120" w:after="120"/>
        <w:rPr>
          <w:rFonts w:eastAsia="Times New Roman" w:cs="Times New Roman"/>
          <w:szCs w:val="24"/>
          <w:lang w:eastAsia="en-AU"/>
        </w:rPr>
      </w:pPr>
      <w:r>
        <w:rPr>
          <w:rFonts w:eastAsia="Times New Roman" w:cs="Times New Roman"/>
          <w:szCs w:val="24"/>
          <w:lang w:eastAsia="en-AU"/>
        </w:rPr>
        <w:t xml:space="preserve">While this paper is </w:t>
      </w:r>
      <w:r w:rsidR="00233A86">
        <w:rPr>
          <w:rFonts w:eastAsia="Times New Roman" w:cs="Times New Roman"/>
          <w:szCs w:val="24"/>
          <w:lang w:eastAsia="en-AU"/>
        </w:rPr>
        <w:t>unable</w:t>
      </w:r>
      <w:r>
        <w:rPr>
          <w:rFonts w:eastAsia="Times New Roman" w:cs="Times New Roman"/>
          <w:szCs w:val="24"/>
          <w:lang w:eastAsia="en-AU"/>
        </w:rPr>
        <w:t xml:space="preserve"> to do justice </w:t>
      </w:r>
      <w:r w:rsidR="00675F0B">
        <w:rPr>
          <w:rFonts w:eastAsia="Times New Roman" w:cs="Times New Roman"/>
          <w:szCs w:val="24"/>
          <w:lang w:eastAsia="en-AU"/>
        </w:rPr>
        <w:t xml:space="preserve">to the research in any one area, </w:t>
      </w:r>
      <w:r w:rsidR="00233A86">
        <w:rPr>
          <w:rFonts w:eastAsia="Times New Roman" w:cs="Times New Roman"/>
          <w:szCs w:val="24"/>
          <w:lang w:eastAsia="en-AU"/>
        </w:rPr>
        <w:t xml:space="preserve">the authors </w:t>
      </w:r>
      <w:r w:rsidR="00331A7B">
        <w:rPr>
          <w:rFonts w:eastAsia="Times New Roman" w:cs="Times New Roman"/>
          <w:szCs w:val="24"/>
          <w:lang w:eastAsia="en-AU"/>
        </w:rPr>
        <w:t>have emphasised</w:t>
      </w:r>
      <w:r>
        <w:rPr>
          <w:rFonts w:eastAsia="Times New Roman" w:cs="Times New Roman"/>
          <w:szCs w:val="24"/>
          <w:lang w:eastAsia="en-AU"/>
        </w:rPr>
        <w:t xml:space="preserve"> some of the </w:t>
      </w:r>
      <w:r w:rsidR="00AE3FA1">
        <w:rPr>
          <w:rFonts w:eastAsia="Times New Roman" w:cs="Times New Roman"/>
          <w:szCs w:val="24"/>
          <w:lang w:eastAsia="en-AU"/>
        </w:rPr>
        <w:t>important</w:t>
      </w:r>
      <w:r w:rsidR="00C46F20">
        <w:rPr>
          <w:rFonts w:eastAsia="Times New Roman" w:cs="Times New Roman"/>
          <w:szCs w:val="24"/>
          <w:lang w:eastAsia="en-AU"/>
        </w:rPr>
        <w:t xml:space="preserve"> evidence relevant to the following areas</w:t>
      </w:r>
      <w:r w:rsidR="008A424F">
        <w:rPr>
          <w:rFonts w:eastAsia="Times New Roman" w:cs="Times New Roman"/>
          <w:szCs w:val="24"/>
          <w:lang w:eastAsia="en-AU"/>
        </w:rPr>
        <w:t>:</w:t>
      </w:r>
    </w:p>
    <w:p w14:paraId="0C8B84D8" w14:textId="0FBDCA73" w:rsidR="00C46F20" w:rsidRDefault="00CA7F21" w:rsidP="003F3A79">
      <w:pPr>
        <w:pStyle w:val="ListBullet0"/>
      </w:pPr>
      <w:r>
        <w:t xml:space="preserve">Employment and housing </w:t>
      </w:r>
    </w:p>
    <w:p w14:paraId="43797EC6" w14:textId="2D941D01" w:rsidR="00931FBC" w:rsidRPr="00551877" w:rsidRDefault="00931FBC" w:rsidP="003F3A79">
      <w:pPr>
        <w:pStyle w:val="ListBullet0"/>
      </w:pPr>
      <w:r>
        <w:t>Substance use</w:t>
      </w:r>
    </w:p>
    <w:p w14:paraId="072DB35C" w14:textId="4629E917" w:rsidR="003546BA" w:rsidRDefault="006253FC" w:rsidP="003F3A79">
      <w:pPr>
        <w:pStyle w:val="ListBullet0"/>
      </w:pPr>
      <w:r>
        <w:t xml:space="preserve">Criminal justice system </w:t>
      </w:r>
    </w:p>
    <w:p w14:paraId="3937E838" w14:textId="6B0FD343" w:rsidR="006253FC" w:rsidRDefault="00AE3FA1" w:rsidP="003F3A79">
      <w:pPr>
        <w:pStyle w:val="ListBullet0"/>
      </w:pPr>
      <w:r>
        <w:t>Out-of-home care</w:t>
      </w:r>
    </w:p>
    <w:p w14:paraId="06671352" w14:textId="5F9DF3B0" w:rsidR="00AE3FA1" w:rsidRDefault="002B00DB" w:rsidP="003F3A79">
      <w:pPr>
        <w:pStyle w:val="ListBullet0"/>
      </w:pPr>
      <w:r>
        <w:t>Mental health diagnosis and treatment</w:t>
      </w:r>
    </w:p>
    <w:p w14:paraId="5359BF10" w14:textId="7945345C" w:rsidR="007944E2" w:rsidRPr="00551877" w:rsidRDefault="003546BA" w:rsidP="00DF32BE">
      <w:pPr>
        <w:pStyle w:val="NbrHeading2"/>
      </w:pPr>
      <w:bookmarkStart w:id="111" w:name="_Toc153899522"/>
      <w:r>
        <w:t>Employment and housing</w:t>
      </w:r>
      <w:bookmarkEnd w:id="111"/>
      <w:r>
        <w:t xml:space="preserve"> </w:t>
      </w:r>
    </w:p>
    <w:p w14:paraId="4DAF86C9" w14:textId="3E5CD254" w:rsidR="004F319A" w:rsidRDefault="00440C1F" w:rsidP="00C80399">
      <w:r>
        <w:t>I</w:t>
      </w:r>
      <w:r w:rsidR="00F9701B">
        <w:t>nsecure</w:t>
      </w:r>
      <w:r w:rsidR="0038123C">
        <w:t xml:space="preserve"> or</w:t>
      </w:r>
      <w:r w:rsidR="00F9701B">
        <w:t xml:space="preserve"> poor-quality</w:t>
      </w:r>
      <w:r w:rsidR="00C80399">
        <w:t xml:space="preserve"> employment and housing</w:t>
      </w:r>
      <w:r w:rsidR="0038123C">
        <w:t xml:space="preserve"> ha</w:t>
      </w:r>
      <w:r w:rsidR="00690880">
        <w:t>ve</w:t>
      </w:r>
      <w:r w:rsidR="0038123C">
        <w:t xml:space="preserve"> been consistently linked</w:t>
      </w:r>
      <w:r w:rsidR="00C80399">
        <w:t xml:space="preserve"> to mental distress and poor mental health, wellbeing, and suicide prevention outcomes.</w:t>
      </w:r>
      <w:r w:rsidR="00C80399">
        <w:rPr>
          <w:rStyle w:val="FootnoteReference"/>
        </w:rPr>
        <w:footnoteReference w:id="231"/>
      </w:r>
      <w:r w:rsidR="00BA06D8">
        <w:t xml:space="preserve"> While employment and housing are intrinsically interlinked, r</w:t>
      </w:r>
      <w:r w:rsidR="004F319A">
        <w:t>esearch has</w:t>
      </w:r>
      <w:r w:rsidR="00BA06D8">
        <w:t xml:space="preserve"> also</w:t>
      </w:r>
      <w:r w:rsidR="004F319A">
        <w:t xml:space="preserve"> demonstrated that </w:t>
      </w:r>
      <w:r w:rsidR="00BA06D8">
        <w:t xml:space="preserve">the </w:t>
      </w:r>
      <w:r w:rsidR="00F82DA2">
        <w:t xml:space="preserve">relationship between these structural factors and mental health are </w:t>
      </w:r>
      <w:r w:rsidR="004F319A" w:rsidRPr="004F319A">
        <w:t>multi-directional and cyclical – meaning poor mental health</w:t>
      </w:r>
      <w:r w:rsidR="00872BFC">
        <w:t>,</w:t>
      </w:r>
      <w:r w:rsidR="004F319A" w:rsidRPr="004F319A">
        <w:t xml:space="preserve"> and/or diagnosis with a mental health condition</w:t>
      </w:r>
      <w:r w:rsidR="00872BFC">
        <w:t>,</w:t>
      </w:r>
      <w:r w:rsidR="004F319A" w:rsidRPr="004F319A">
        <w:t xml:space="preserve"> </w:t>
      </w:r>
      <w:r w:rsidR="00F82DA2">
        <w:t xml:space="preserve">can </w:t>
      </w:r>
      <w:r w:rsidR="00DC0C67">
        <w:t>also</w:t>
      </w:r>
      <w:r w:rsidR="004F319A" w:rsidRPr="004F319A">
        <w:t xml:space="preserve"> negatively impact access to employment and housing (see Section 4.6.4 below).</w:t>
      </w:r>
      <w:r w:rsidR="00756BD4">
        <w:t xml:space="preserve"> </w:t>
      </w:r>
    </w:p>
    <w:p w14:paraId="3DF571A8" w14:textId="52CBD566" w:rsidR="007D3B65" w:rsidRDefault="00DC0C67" w:rsidP="007D3B65">
      <w:r>
        <w:t>A</w:t>
      </w:r>
      <w:r w:rsidR="00C80399" w:rsidRPr="007D3B65">
        <w:t xml:space="preserve">s outlined in Section 4.2 above, </w:t>
      </w:r>
      <w:r w:rsidR="00690880">
        <w:t>L</w:t>
      </w:r>
      <w:r w:rsidR="002C0A32">
        <w:t>GBTQ+ people are</w:t>
      </w:r>
      <w:r w:rsidR="00690880">
        <w:t xml:space="preserve"> at increased risk </w:t>
      </w:r>
      <w:r w:rsidR="00E23629">
        <w:t>of experiencing the cyclical impacts of unemployment and homelessness to mental health and wellbeing</w:t>
      </w:r>
      <w:r w:rsidR="00E549FB">
        <w:t xml:space="preserve">, due to the impacts of other external stressors </w:t>
      </w:r>
      <w:r w:rsidR="004B4BE3">
        <w:t>(e.g.,</w:t>
      </w:r>
      <w:r w:rsidR="00E549FB">
        <w:t xml:space="preserve"> </w:t>
      </w:r>
      <w:r w:rsidR="00E5134C">
        <w:t xml:space="preserve">stigma, </w:t>
      </w:r>
      <w:r w:rsidR="00C80399" w:rsidRPr="007D3B65">
        <w:t>discrimination, family and social rejection, victimisation, and violence</w:t>
      </w:r>
      <w:r w:rsidR="00D43703">
        <w:t>)</w:t>
      </w:r>
      <w:r w:rsidR="00E549FB">
        <w:t xml:space="preserve">. </w:t>
      </w:r>
      <w:r w:rsidR="007D3B65" w:rsidRPr="007D3B65">
        <w:t xml:space="preserve">This is evidenced in </w:t>
      </w:r>
      <w:r w:rsidR="00EF7E5D">
        <w:t>available</w:t>
      </w:r>
      <w:r w:rsidR="007D3B65" w:rsidRPr="007D3B65">
        <w:t xml:space="preserve"> Australian data</w:t>
      </w:r>
      <w:r w:rsidR="00872BFC">
        <w:t>,</w:t>
      </w:r>
      <w:r w:rsidR="007D3B65" w:rsidRPr="007D3B65">
        <w:t xml:space="preserve"> </w:t>
      </w:r>
      <w:r w:rsidR="00EF7E5D">
        <w:t>indicating</w:t>
      </w:r>
      <w:r w:rsidR="007D3B65" w:rsidRPr="007D3B65">
        <w:t xml:space="preserve"> higher rates of unemployment and homelessness among LGBTQ+ communities</w:t>
      </w:r>
      <w:r w:rsidR="007D3B65">
        <w:t xml:space="preserve">. </w:t>
      </w:r>
      <w:r w:rsidR="009D1B85">
        <w:t xml:space="preserve">For example, the </w:t>
      </w:r>
      <w:r w:rsidR="00DD6E63">
        <w:t xml:space="preserve">2020 </w:t>
      </w:r>
      <w:r w:rsidR="009D1B85">
        <w:t xml:space="preserve">GSS </w:t>
      </w:r>
      <w:r w:rsidR="00D85986">
        <w:t xml:space="preserve">found that GLB+ </w:t>
      </w:r>
      <w:r w:rsidR="00D75C17">
        <w:t xml:space="preserve">respondents </w:t>
      </w:r>
      <w:r w:rsidR="00E47182">
        <w:t xml:space="preserve">were almost three times as likely </w:t>
      </w:r>
      <w:r w:rsidR="00E47182">
        <w:lastRenderedPageBreak/>
        <w:t xml:space="preserve">to </w:t>
      </w:r>
      <w:r w:rsidR="00E47182" w:rsidRPr="00F554FE">
        <w:t xml:space="preserve">report being unemployed </w:t>
      </w:r>
      <w:r w:rsidR="009077F9" w:rsidRPr="00F554FE">
        <w:t>(9.3%) compared to</w:t>
      </w:r>
      <w:r w:rsidR="00D75C17" w:rsidRPr="00F554FE">
        <w:t xml:space="preserve"> heterosexual respondents (3.9%).</w:t>
      </w:r>
      <w:r w:rsidR="00DD6E63" w:rsidRPr="00F554FE">
        <w:t xml:space="preserve"> </w:t>
      </w:r>
      <w:r w:rsidR="00012CDA" w:rsidRPr="00F554FE">
        <w:t>The 2017</w:t>
      </w:r>
      <w:r w:rsidR="00DD6E63" w:rsidRPr="00F554FE">
        <w:t xml:space="preserve"> GSS</w:t>
      </w:r>
      <w:r w:rsidR="007D3B65" w:rsidRPr="00F554FE">
        <w:t xml:space="preserve"> also </w:t>
      </w:r>
      <w:r w:rsidR="0034422C" w:rsidRPr="00F554FE">
        <w:t>indicated that</w:t>
      </w:r>
      <w:r w:rsidR="007D3B65" w:rsidRPr="00F554FE">
        <w:t xml:space="preserve"> bisexual </w:t>
      </w:r>
      <w:r w:rsidR="00730DA9" w:rsidRPr="00F554FE">
        <w:t>respondents were</w:t>
      </w:r>
      <w:r w:rsidR="007D3B65" w:rsidRPr="00F554FE">
        <w:t xml:space="preserve"> more likely to have at least </w:t>
      </w:r>
      <w:r w:rsidR="00B520A8" w:rsidRPr="00F554FE">
        <w:t>five</w:t>
      </w:r>
      <w:r w:rsidR="007D3B65" w:rsidRPr="00F554FE">
        <w:t xml:space="preserve"> repeated experiences of homelessness</w:t>
      </w:r>
      <w:r w:rsidR="00730DA9" w:rsidRPr="00F554FE">
        <w:t>, while l</w:t>
      </w:r>
      <w:r w:rsidR="007D3B65" w:rsidRPr="00F554FE">
        <w:t>esbian and gay people were twice as likely to stay in crisis accommodation</w:t>
      </w:r>
      <w:r w:rsidR="007D3B65" w:rsidRPr="007D3B65">
        <w:t xml:space="preserve"> or sleep rough compared to heterosexual people.</w:t>
      </w:r>
      <w:r w:rsidR="007D3B65" w:rsidRPr="007D3B65">
        <w:rPr>
          <w:vertAlign w:val="superscript"/>
        </w:rPr>
        <w:footnoteReference w:id="232"/>
      </w:r>
      <w:r w:rsidR="007D3B65" w:rsidRPr="007D3B65">
        <w:t xml:space="preserve"> </w:t>
      </w:r>
    </w:p>
    <w:p w14:paraId="56048BB2" w14:textId="534594F1" w:rsidR="00D33A6F" w:rsidRPr="007D3B65" w:rsidRDefault="00E0707E" w:rsidP="007D3B65">
      <w:r w:rsidRPr="00DF2045">
        <w:t>In addition, evidence indicate</w:t>
      </w:r>
      <w:r w:rsidR="000B442C" w:rsidRPr="00DF2045">
        <w:t>s</w:t>
      </w:r>
      <w:r w:rsidRPr="00DF2045">
        <w:t xml:space="preserve"> </w:t>
      </w:r>
      <w:r w:rsidR="00E85DAB" w:rsidRPr="00DF2045">
        <w:t xml:space="preserve">that </w:t>
      </w:r>
      <w:r w:rsidR="003F6687" w:rsidRPr="00DF2045">
        <w:t>experiences of misgendering</w:t>
      </w:r>
      <w:r w:rsidR="009010B7" w:rsidRPr="00DF2045">
        <w:t xml:space="preserve">, </w:t>
      </w:r>
      <w:r w:rsidR="003F6687" w:rsidRPr="00DF2045">
        <w:t>discrimination</w:t>
      </w:r>
      <w:r w:rsidR="009010B7" w:rsidRPr="00DF2045">
        <w:t xml:space="preserve">, </w:t>
      </w:r>
      <w:r w:rsidR="00DF2045" w:rsidRPr="00DF2045">
        <w:t>harassment</w:t>
      </w:r>
      <w:r w:rsidR="00872BFC">
        <w:t>,</w:t>
      </w:r>
      <w:r w:rsidR="003F6687" w:rsidRPr="00DF2045">
        <w:t xml:space="preserve"> and </w:t>
      </w:r>
      <w:r w:rsidR="009010B7" w:rsidRPr="00DF2045">
        <w:t>violence</w:t>
      </w:r>
      <w:r w:rsidR="00872BFC">
        <w:t>,</w:t>
      </w:r>
      <w:r w:rsidR="003F6687" w:rsidRPr="00DF2045">
        <w:t xml:space="preserve"> </w:t>
      </w:r>
      <w:r w:rsidR="00451A05" w:rsidRPr="00DF2045">
        <w:t xml:space="preserve">create barriers </w:t>
      </w:r>
      <w:r w:rsidR="00451A05" w:rsidRPr="00F554FE">
        <w:t xml:space="preserve">to accessing homelessness services for LGBTQ+ people. </w:t>
      </w:r>
      <w:r w:rsidR="00AE715C" w:rsidRPr="00F554FE">
        <w:t xml:space="preserve">For example, </w:t>
      </w:r>
      <w:r w:rsidR="00456B63" w:rsidRPr="00F554FE">
        <w:t>trans and gender diverse people have reported issues accessing accommodation</w:t>
      </w:r>
      <w:r w:rsidR="00872BFC" w:rsidRPr="00F554FE">
        <w:t>, which</w:t>
      </w:r>
      <w:r w:rsidR="00456B63" w:rsidRPr="00F554FE">
        <w:t xml:space="preserve"> is often separated by gender</w:t>
      </w:r>
      <w:r w:rsidR="00456B63">
        <w:t xml:space="preserve"> and requir</w:t>
      </w:r>
      <w:r w:rsidR="00872BFC">
        <w:t>ing</w:t>
      </w:r>
      <w:r w:rsidR="00456B63">
        <w:t xml:space="preserve"> </w:t>
      </w:r>
      <w:r w:rsidR="00A055D2">
        <w:t>the use</w:t>
      </w:r>
      <w:r w:rsidR="00A56577" w:rsidRPr="00DF2045">
        <w:t xml:space="preserve"> of </w:t>
      </w:r>
      <w:r w:rsidR="00A055D2">
        <w:t>identity documents that may</w:t>
      </w:r>
      <w:r w:rsidR="001F59A1">
        <w:t xml:space="preserve"> be</w:t>
      </w:r>
      <w:r w:rsidR="00A56577" w:rsidRPr="00DF2045">
        <w:t xml:space="preserve"> in </w:t>
      </w:r>
      <w:r w:rsidR="001F59A1">
        <w:t>the wrong name or</w:t>
      </w:r>
      <w:r w:rsidR="00BC5BF6" w:rsidRPr="00DF2045">
        <w:t xml:space="preserve"> gender</w:t>
      </w:r>
      <w:r w:rsidR="001F59A1">
        <w:t>.</w:t>
      </w:r>
      <w:r w:rsidR="001F59A1">
        <w:rPr>
          <w:rStyle w:val="FootnoteReference"/>
        </w:rPr>
        <w:footnoteReference w:id="233"/>
      </w:r>
      <w:r w:rsidR="00A600ED">
        <w:t xml:space="preserve"> </w:t>
      </w:r>
      <w:r w:rsidR="005D77B7">
        <w:t xml:space="preserve">It should be noted that </w:t>
      </w:r>
      <w:r w:rsidR="00D75C9E">
        <w:t>LHA</w:t>
      </w:r>
      <w:r w:rsidR="003E7BCD">
        <w:t xml:space="preserve">, in collaboration with other organisations, has developed an </w:t>
      </w:r>
      <w:hyperlink r:id="rId90" w:history="1">
        <w:r w:rsidR="003E7BCD" w:rsidRPr="00BB652E">
          <w:rPr>
            <w:rStyle w:val="Hyperlink"/>
          </w:rPr>
          <w:t>LGBTIQ+ Inclusive Practice Guide for Homelessness and Housing Sectors in Australia</w:t>
        </w:r>
      </w:hyperlink>
      <w:r w:rsidR="00872BFC">
        <w:t xml:space="preserve">, </w:t>
      </w:r>
      <w:r w:rsidR="003E7BCD">
        <w:t>which include</w:t>
      </w:r>
      <w:r w:rsidR="00551877">
        <w:t>s</w:t>
      </w:r>
      <w:r w:rsidR="003E7BCD">
        <w:t xml:space="preserve"> clear actions for service providers and staff. </w:t>
      </w:r>
    </w:p>
    <w:p w14:paraId="1666E944" w14:textId="1604E194" w:rsidR="00FE46D9" w:rsidRPr="00931FBC" w:rsidRDefault="00931FBC" w:rsidP="00DF32BE">
      <w:pPr>
        <w:pStyle w:val="NbrHeading3"/>
      </w:pPr>
      <w:bookmarkStart w:id="112" w:name="_Toc153899523"/>
      <w:r>
        <w:t>Substance use</w:t>
      </w:r>
      <w:bookmarkEnd w:id="112"/>
    </w:p>
    <w:p w14:paraId="75C23861" w14:textId="5D1B1B10" w:rsidR="00F1547D" w:rsidRDefault="00703AED" w:rsidP="00F554FE">
      <w:r w:rsidRPr="00FA4973">
        <w:t xml:space="preserve">Substance misuse has been repeatedly linked </w:t>
      </w:r>
      <w:r w:rsidR="00872BFC">
        <w:t>to</w:t>
      </w:r>
      <w:r w:rsidRPr="00FA4973">
        <w:t xml:space="preserve"> poor mental health and wellbeing outcomes, with evidence of multi-directional impacts.</w:t>
      </w:r>
      <w:r w:rsidRPr="00FA4973">
        <w:rPr>
          <w:vertAlign w:val="superscript"/>
        </w:rPr>
        <w:footnoteReference w:id="234"/>
      </w:r>
      <w:r w:rsidRPr="00FA4973">
        <w:t xml:space="preserve"> </w:t>
      </w:r>
      <w:r w:rsidR="00A320AB" w:rsidRPr="00FA4973">
        <w:t>While</w:t>
      </w:r>
      <w:r w:rsidR="00DA3056" w:rsidRPr="00FA4973">
        <w:t xml:space="preserve"> there</w:t>
      </w:r>
      <w:r w:rsidR="00722A16" w:rsidRPr="00FA4973">
        <w:t xml:space="preserve"> is a lack of</w:t>
      </w:r>
      <w:r w:rsidR="00722A16">
        <w:t xml:space="preserve"> </w:t>
      </w:r>
      <w:r w:rsidR="00713A51">
        <w:t>comprehensive</w:t>
      </w:r>
      <w:r w:rsidR="00E37468">
        <w:t xml:space="preserve"> </w:t>
      </w:r>
      <w:r w:rsidR="00713A51">
        <w:t>publicly available data</w:t>
      </w:r>
      <w:r w:rsidR="00A320AB">
        <w:t xml:space="preserve">, </w:t>
      </w:r>
      <w:r w:rsidR="00733C23">
        <w:t>the existing evidence indicates that LGBTQ+ people</w:t>
      </w:r>
      <w:r w:rsidR="00713A51">
        <w:t xml:space="preserve"> use alcohol and other drugs </w:t>
      </w:r>
      <w:r w:rsidR="00D017F8">
        <w:t>at</w:t>
      </w:r>
      <w:r w:rsidR="00EC173A">
        <w:t xml:space="preserve"> </w:t>
      </w:r>
      <w:r w:rsidR="009212D5">
        <w:t xml:space="preserve">a </w:t>
      </w:r>
      <w:r w:rsidR="00D017F8">
        <w:t>higher rate than the general population.</w:t>
      </w:r>
      <w:r w:rsidR="003964F2">
        <w:t xml:space="preserve"> </w:t>
      </w:r>
      <w:r w:rsidR="00682F7B" w:rsidRPr="00931FBC">
        <w:t xml:space="preserve">For example, </w:t>
      </w:r>
      <w:r w:rsidR="00095BCC" w:rsidRPr="00931FBC">
        <w:t>e</w:t>
      </w:r>
      <w:r w:rsidR="00B04EE2" w:rsidRPr="00931FBC">
        <w:t>stimates</w:t>
      </w:r>
      <w:r w:rsidR="00B04EE2">
        <w:t xml:space="preserve"> from the 2019 National Drug Strategy Household Survey </w:t>
      </w:r>
      <w:r w:rsidR="00D777EA">
        <w:t xml:space="preserve">indicate that lifetime alcohol risk among </w:t>
      </w:r>
      <w:r w:rsidR="00A67480" w:rsidRPr="00931FBC">
        <w:t>GLB+</w:t>
      </w:r>
      <w:r w:rsidR="00D777EA">
        <w:t xml:space="preserve"> people </w:t>
      </w:r>
      <w:r w:rsidR="002A7D1D" w:rsidRPr="00931FBC">
        <w:t xml:space="preserve">was </w:t>
      </w:r>
      <w:r w:rsidR="00D3606F" w:rsidRPr="00931FBC">
        <w:t>at 24.6%, compared</w:t>
      </w:r>
      <w:r w:rsidR="00C41AB5">
        <w:t xml:space="preserve"> </w:t>
      </w:r>
      <w:r w:rsidR="00D777EA">
        <w:t xml:space="preserve">to </w:t>
      </w:r>
      <w:r w:rsidR="00D3606F" w:rsidRPr="00931FBC">
        <w:t>16.9% for heterosexual people</w:t>
      </w:r>
      <w:r w:rsidR="00C41AB5" w:rsidRPr="00931FBC">
        <w:t xml:space="preserve">. </w:t>
      </w:r>
      <w:r w:rsidR="00872BFC">
        <w:t xml:space="preserve">Likewise, </w:t>
      </w:r>
      <w:r w:rsidR="00714875" w:rsidRPr="00931FBC">
        <w:t>GLB+ people were more than twice as likely to report using any illicit drug (</w:t>
      </w:r>
      <w:r w:rsidR="00D8243E" w:rsidRPr="00931FBC">
        <w:t>36%) than their heterosexual peers (16</w:t>
      </w:r>
      <w:r w:rsidR="0055786B" w:rsidRPr="00931FBC">
        <w:t>.1</w:t>
      </w:r>
      <w:r w:rsidR="00D8243E" w:rsidRPr="00931FBC">
        <w:t>%)</w:t>
      </w:r>
      <w:r w:rsidR="00466FBB" w:rsidRPr="00931FBC">
        <w:t>.</w:t>
      </w:r>
      <w:r w:rsidR="00FA40C7" w:rsidRPr="00931FBC">
        <w:rPr>
          <w:rStyle w:val="FootnoteReference"/>
        </w:rPr>
        <w:footnoteReference w:id="235"/>
      </w:r>
      <w:r w:rsidR="006D6AE3" w:rsidRPr="00931FBC">
        <w:t xml:space="preserve"> </w:t>
      </w:r>
    </w:p>
    <w:p w14:paraId="4249DA95" w14:textId="535B2F69" w:rsidR="00035DA7" w:rsidRPr="00931FBC" w:rsidRDefault="00682F7B" w:rsidP="00F554FE">
      <w:r w:rsidRPr="00931FBC">
        <w:t xml:space="preserve">Research has </w:t>
      </w:r>
      <w:r w:rsidR="00F140C8" w:rsidRPr="00931FBC">
        <w:t>linked</w:t>
      </w:r>
      <w:r w:rsidRPr="00931FBC">
        <w:t xml:space="preserve"> </w:t>
      </w:r>
      <w:r w:rsidR="00C113CD" w:rsidRPr="00931FBC">
        <w:t>t</w:t>
      </w:r>
      <w:r w:rsidR="00F34E2B" w:rsidRPr="00931FBC">
        <w:t xml:space="preserve">hese increased risks related to alcohol and drug use </w:t>
      </w:r>
      <w:r w:rsidR="00A320AB" w:rsidRPr="00931FBC">
        <w:t>among LGBT</w:t>
      </w:r>
      <w:r w:rsidR="000868C6">
        <w:t>Q+</w:t>
      </w:r>
      <w:r w:rsidR="00A320AB" w:rsidRPr="00931FBC">
        <w:t xml:space="preserve"> individuals to a </w:t>
      </w:r>
      <w:r w:rsidR="009619A3" w:rsidRPr="00931FBC">
        <w:t>combination of</w:t>
      </w:r>
      <w:r w:rsidR="00A320AB" w:rsidRPr="00931FBC">
        <w:t xml:space="preserve"> factors</w:t>
      </w:r>
      <w:r w:rsidR="009619A3" w:rsidRPr="00931FBC">
        <w:t>,</w:t>
      </w:r>
      <w:r w:rsidR="003D0B02" w:rsidRPr="00931FBC">
        <w:t xml:space="preserve"> including</w:t>
      </w:r>
      <w:r w:rsidR="00120236" w:rsidRPr="00931FBC">
        <w:t xml:space="preserve"> </w:t>
      </w:r>
      <w:r w:rsidR="00035DA7" w:rsidRPr="00931FBC">
        <w:t>increased exposure to external stressors such as discrimination, victimisation</w:t>
      </w:r>
      <w:r w:rsidR="006055CB" w:rsidRPr="00931FBC">
        <w:t>,</w:t>
      </w:r>
      <w:r w:rsidR="00035DA7" w:rsidRPr="00931FBC">
        <w:t xml:space="preserve"> and </w:t>
      </w:r>
      <w:r w:rsidR="00035DA7" w:rsidRPr="00F554FE">
        <w:t>violence</w:t>
      </w:r>
      <w:r w:rsidR="00566114" w:rsidRPr="00931FBC">
        <w:t>.</w:t>
      </w:r>
      <w:r w:rsidR="00BD1F8A" w:rsidRPr="00931FBC">
        <w:rPr>
          <w:rStyle w:val="FootnoteReference"/>
        </w:rPr>
        <w:t xml:space="preserve"> </w:t>
      </w:r>
      <w:r w:rsidR="00BD1F8A" w:rsidRPr="00931FBC">
        <w:rPr>
          <w:rStyle w:val="FootnoteReference"/>
        </w:rPr>
        <w:footnoteReference w:id="236"/>
      </w:r>
      <w:r w:rsidR="00182860" w:rsidRPr="00931FBC">
        <w:t xml:space="preserve"> </w:t>
      </w:r>
      <w:r w:rsidR="00566114" w:rsidRPr="00931FBC">
        <w:t xml:space="preserve"> </w:t>
      </w:r>
      <w:r w:rsidR="00035DA7" w:rsidRPr="00931FBC">
        <w:t xml:space="preserve">In this context, substance use is generally considered to be a coping mechanism. </w:t>
      </w:r>
      <w:r w:rsidR="00BD1F8A" w:rsidRPr="00931FBC">
        <w:t>The</w:t>
      </w:r>
      <w:r w:rsidR="00AD5DCF" w:rsidRPr="00931FBC">
        <w:t xml:space="preserve"> physical manifestation of LGBT</w:t>
      </w:r>
      <w:r w:rsidR="001A71D2">
        <w:t>Q+</w:t>
      </w:r>
      <w:r w:rsidR="00AD5DCF" w:rsidRPr="00931FBC">
        <w:t xml:space="preserve"> </w:t>
      </w:r>
      <w:r w:rsidR="001E1C47" w:rsidRPr="00931FBC">
        <w:t>safe spaces in licensed venues</w:t>
      </w:r>
      <w:r w:rsidR="00872BFC">
        <w:t>,</w:t>
      </w:r>
      <w:r w:rsidR="001E1C47" w:rsidRPr="00931FBC">
        <w:t xml:space="preserve"> such as bars, clubs, discos</w:t>
      </w:r>
      <w:r w:rsidR="0051047D">
        <w:t>,</w:t>
      </w:r>
      <w:r w:rsidR="001E1C47" w:rsidRPr="00931FBC">
        <w:t xml:space="preserve"> and pubs</w:t>
      </w:r>
      <w:r w:rsidR="00872BFC">
        <w:t>,</w:t>
      </w:r>
      <w:r w:rsidR="001E1C47" w:rsidRPr="00931FBC">
        <w:t xml:space="preserve"> </w:t>
      </w:r>
      <w:r w:rsidR="00BD1F8A" w:rsidRPr="00931FBC">
        <w:t>has also been linked to increased substance use.</w:t>
      </w:r>
      <w:r w:rsidR="00BD1F8A" w:rsidRPr="00931FBC">
        <w:rPr>
          <w:rStyle w:val="FootnoteReference"/>
        </w:rPr>
        <w:footnoteReference w:id="237"/>
      </w:r>
    </w:p>
    <w:p w14:paraId="34980585" w14:textId="6D6D1C20" w:rsidR="006F42E3" w:rsidRPr="00931FBC" w:rsidRDefault="006F42E3" w:rsidP="00F554FE">
      <w:r w:rsidRPr="00931FBC">
        <w:lastRenderedPageBreak/>
        <w:t xml:space="preserve">Advocates have, therefore, called for </w:t>
      </w:r>
      <w:r w:rsidR="00E567D2" w:rsidRPr="00931FBC">
        <w:t>tailored substance misuse</w:t>
      </w:r>
      <w:r w:rsidR="00DE1CA1" w:rsidRPr="00931FBC">
        <w:t xml:space="preserve"> treatment services and </w:t>
      </w:r>
      <w:r w:rsidR="006055CB" w:rsidRPr="00931FBC">
        <w:t>the creation of more LGBT</w:t>
      </w:r>
      <w:r w:rsidR="00345662">
        <w:t xml:space="preserve"> </w:t>
      </w:r>
      <w:r w:rsidR="006055CB" w:rsidRPr="00931FBC">
        <w:t xml:space="preserve">safe spaces which are not </w:t>
      </w:r>
      <w:r w:rsidR="006055CB" w:rsidRPr="00F554FE">
        <w:t>linked</w:t>
      </w:r>
      <w:r w:rsidR="006055CB" w:rsidRPr="00931FBC">
        <w:t xml:space="preserve"> to alcohol and other drug use.</w:t>
      </w:r>
      <w:r w:rsidR="006055CB" w:rsidRPr="00931FBC">
        <w:rPr>
          <w:rStyle w:val="FootnoteReference"/>
        </w:rPr>
        <w:footnoteReference w:id="238"/>
      </w:r>
      <w:r w:rsidR="006055CB" w:rsidRPr="00931FBC">
        <w:t xml:space="preserve"> </w:t>
      </w:r>
    </w:p>
    <w:p w14:paraId="3E576833" w14:textId="1A309662" w:rsidR="00E14B49" w:rsidRPr="00931FBC" w:rsidRDefault="00FE46D9" w:rsidP="00DF32BE">
      <w:pPr>
        <w:pStyle w:val="NbrHeading3"/>
      </w:pPr>
      <w:bookmarkStart w:id="113" w:name="_Toc153899524"/>
      <w:r w:rsidRPr="00931FBC">
        <w:t>Criminal Justice System</w:t>
      </w:r>
      <w:bookmarkEnd w:id="113"/>
    </w:p>
    <w:p w14:paraId="026D739D" w14:textId="0E89A0BE" w:rsidR="005662A9" w:rsidRDefault="008A2FF7" w:rsidP="00F554FE">
      <w:r>
        <w:t>Both Australian and international</w:t>
      </w:r>
      <w:r w:rsidR="00D86CDC">
        <w:t xml:space="preserve"> </w:t>
      </w:r>
      <w:r w:rsidR="008D168D">
        <w:t>evidence</w:t>
      </w:r>
      <w:r w:rsidR="00D86CDC">
        <w:t xml:space="preserve"> indicates that LGBTQ+ people are at increased risk of </w:t>
      </w:r>
      <w:proofErr w:type="gramStart"/>
      <w:r w:rsidR="00C736C4">
        <w:t xml:space="preserve">coming into contact </w:t>
      </w:r>
      <w:r w:rsidR="00621BF5">
        <w:t>with</w:t>
      </w:r>
      <w:proofErr w:type="gramEnd"/>
      <w:r w:rsidR="00621BF5">
        <w:t xml:space="preserve"> the criminal </w:t>
      </w:r>
      <w:r w:rsidR="00621BF5" w:rsidRPr="00F554FE">
        <w:t>justice</w:t>
      </w:r>
      <w:r w:rsidR="00621BF5">
        <w:t xml:space="preserve"> system </w:t>
      </w:r>
      <w:r w:rsidR="00805406">
        <w:t>due to a variety of factors</w:t>
      </w:r>
      <w:r w:rsidR="00AC609F">
        <w:t>,</w:t>
      </w:r>
      <w:r w:rsidR="00B564E4">
        <w:t xml:space="preserve"> including</w:t>
      </w:r>
      <w:r w:rsidR="00471A9F">
        <w:t xml:space="preserve"> their increased risk of experiencing mental health challenges</w:t>
      </w:r>
      <w:r w:rsidR="005662A9">
        <w:t xml:space="preserve">, </w:t>
      </w:r>
      <w:r w:rsidR="00D6678A">
        <w:t xml:space="preserve">violence, </w:t>
      </w:r>
      <w:r w:rsidR="00471A9F">
        <w:t>homelessness, and substance use.</w:t>
      </w:r>
      <w:r w:rsidR="00960B59">
        <w:rPr>
          <w:rStyle w:val="FootnoteReference"/>
        </w:rPr>
        <w:footnoteReference w:id="239"/>
      </w:r>
    </w:p>
    <w:p w14:paraId="6180E0EE" w14:textId="0537933D" w:rsidR="002E1150" w:rsidRPr="00F554FE" w:rsidRDefault="009152C9" w:rsidP="00F554FE">
      <w:r>
        <w:t xml:space="preserve">Research also indicates that LGBTQ+ people are more likely to </w:t>
      </w:r>
      <w:r w:rsidR="00D6678A">
        <w:t xml:space="preserve">have negative </w:t>
      </w:r>
      <w:r>
        <w:t>experience</w:t>
      </w:r>
      <w:r w:rsidR="00D6678A">
        <w:t xml:space="preserve">s in the criminal justice system, ranging </w:t>
      </w:r>
      <w:r w:rsidR="00DF2CFD">
        <w:t>from marginalisation and discrimination</w:t>
      </w:r>
      <w:r w:rsidR="00D6678A">
        <w:t xml:space="preserve"> to </w:t>
      </w:r>
      <w:r w:rsidR="00B53ED6">
        <w:t>harassment and violence</w:t>
      </w:r>
      <w:r w:rsidR="00E22D92">
        <w:t>.</w:t>
      </w:r>
      <w:r w:rsidR="00306225">
        <w:t xml:space="preserve"> </w:t>
      </w:r>
      <w:r w:rsidR="00306225" w:rsidRPr="00FA4973">
        <w:t xml:space="preserve">For example, </w:t>
      </w:r>
      <w:r w:rsidR="00B1479C" w:rsidRPr="00FA4973">
        <w:t>GLB</w:t>
      </w:r>
      <w:r w:rsidR="00306225" w:rsidRPr="00FA4973">
        <w:t>+ identification has been repeatedly linked to increased risk of verbal, sexual</w:t>
      </w:r>
      <w:r w:rsidR="00AC609F">
        <w:t>,</w:t>
      </w:r>
      <w:r w:rsidR="00306225" w:rsidRPr="00FA4973">
        <w:t xml:space="preserve"> and physical assault </w:t>
      </w:r>
      <w:r w:rsidR="00282D2C" w:rsidRPr="00FA4973">
        <w:t>in prison.</w:t>
      </w:r>
      <w:r w:rsidR="00282D2C" w:rsidRPr="00FA4973">
        <w:rPr>
          <w:rStyle w:val="FootnoteReference"/>
        </w:rPr>
        <w:footnoteReference w:id="240"/>
      </w:r>
      <w:r w:rsidR="00282D2C" w:rsidRPr="00FA4973">
        <w:t xml:space="preserve"> R</w:t>
      </w:r>
      <w:r w:rsidR="00503835" w:rsidRPr="00FA4973">
        <w:t>esearch investigating the experiences of trans and gender diverse people in Victoria’s criminal justice</w:t>
      </w:r>
      <w:r w:rsidR="00503835">
        <w:t xml:space="preserve"> system</w:t>
      </w:r>
      <w:r w:rsidR="00B1479C">
        <w:t xml:space="preserve"> has</w:t>
      </w:r>
      <w:r w:rsidR="00503835">
        <w:t xml:space="preserve"> </w:t>
      </w:r>
      <w:r w:rsidR="00B1479C">
        <w:t xml:space="preserve">also </w:t>
      </w:r>
      <w:r w:rsidR="00503835">
        <w:t>found th</w:t>
      </w:r>
      <w:r w:rsidR="00207FB8">
        <w:t xml:space="preserve">at interactions with police </w:t>
      </w:r>
      <w:r w:rsidR="008803B9">
        <w:t>w</w:t>
      </w:r>
      <w:r w:rsidR="00F716CB">
        <w:t>ere generally negative</w:t>
      </w:r>
      <w:r w:rsidR="00AC609F">
        <w:t>,</w:t>
      </w:r>
      <w:r w:rsidR="009B09F1">
        <w:t xml:space="preserve"> </w:t>
      </w:r>
      <w:r w:rsidR="00C67B45">
        <w:t xml:space="preserve">with participants </w:t>
      </w:r>
      <w:r w:rsidR="003F223F">
        <w:t>reporting discomfort disclosing their identity, misgendering</w:t>
      </w:r>
      <w:r w:rsidR="00AC609F">
        <w:t>,</w:t>
      </w:r>
      <w:r w:rsidR="003F223F">
        <w:t xml:space="preserve"> and </w:t>
      </w:r>
      <w:r w:rsidR="008803B9">
        <w:t>stigmatisation</w:t>
      </w:r>
      <w:r w:rsidR="00975AFA">
        <w:t>.</w:t>
      </w:r>
      <w:r w:rsidR="00975AFA">
        <w:rPr>
          <w:rStyle w:val="FootnoteReference"/>
        </w:rPr>
        <w:footnoteReference w:id="241"/>
      </w:r>
      <w:r w:rsidR="00975AFA" w:rsidRPr="00583EC7">
        <w:t xml:space="preserve"> </w:t>
      </w:r>
      <w:r w:rsidR="008803B9">
        <w:t>In addition,</w:t>
      </w:r>
      <w:r w:rsidR="00F24B57">
        <w:t xml:space="preserve"> </w:t>
      </w:r>
      <w:r w:rsidR="007B5D8C">
        <w:t xml:space="preserve">trans and gender diverse people were inconsistently placed in prison facilities which aligned with their gender identity: exposing </w:t>
      </w:r>
      <w:r w:rsidR="00F24B57">
        <w:t>them to</w:t>
      </w:r>
      <w:r w:rsidR="00102CE3">
        <w:t xml:space="preserve"> physical and sexual harassment from both fellow prisoners and prison staff.</w:t>
      </w:r>
      <w:r w:rsidR="00102CE3" w:rsidRPr="00102CE3">
        <w:rPr>
          <w:rStyle w:val="FootnoteReference"/>
        </w:rPr>
        <w:t xml:space="preserve"> </w:t>
      </w:r>
      <w:r w:rsidR="00102CE3">
        <w:rPr>
          <w:rStyle w:val="FootnoteReference"/>
        </w:rPr>
        <w:footnoteReference w:id="242"/>
      </w:r>
    </w:p>
    <w:p w14:paraId="28011AB2" w14:textId="4654A4FA" w:rsidR="00583EC7" w:rsidRPr="00F554FE" w:rsidRDefault="004208FF" w:rsidP="00967EE4">
      <w:pPr>
        <w:pStyle w:val="ListBullet0"/>
        <w:numPr>
          <w:ilvl w:val="0"/>
          <w:numId w:val="0"/>
        </w:numPr>
      </w:pPr>
      <w:r>
        <w:t xml:space="preserve">The </w:t>
      </w:r>
      <w:r w:rsidR="00931FBC">
        <w:t>impact of these experiences is</w:t>
      </w:r>
      <w:r>
        <w:t xml:space="preserve"> evi</w:t>
      </w:r>
      <w:r w:rsidR="004D5916">
        <w:t>dence</w:t>
      </w:r>
      <w:r w:rsidR="007C71FB">
        <w:t>d</w:t>
      </w:r>
      <w:r w:rsidR="004D5916">
        <w:t xml:space="preserve"> in increased self-harm and suicidal behaviours among incarcerated GLB+</w:t>
      </w:r>
      <w:r w:rsidR="00931FBC">
        <w:t xml:space="preserve"> people. </w:t>
      </w:r>
      <w:r w:rsidR="00245B16">
        <w:t xml:space="preserve">Research investigating </w:t>
      </w:r>
      <w:r w:rsidR="007C71FB">
        <w:t>a sample of incarcerated adults in Queensland and Western Australia found that</w:t>
      </w:r>
      <w:r w:rsidR="00931FBC">
        <w:t xml:space="preserve"> GLB+ people were more than twice as likely to report having self-harmed (37%)</w:t>
      </w:r>
      <w:r w:rsidR="00AC609F">
        <w:t>,</w:t>
      </w:r>
      <w:r w:rsidR="007C71FB">
        <w:t xml:space="preserve"> </w:t>
      </w:r>
      <w:r w:rsidR="00D57CDA">
        <w:t xml:space="preserve">compared to </w:t>
      </w:r>
      <w:r w:rsidR="00931FBC">
        <w:t>their heterosexual peers (</w:t>
      </w:r>
      <w:r w:rsidR="00D57CDA">
        <w:t>14%</w:t>
      </w:r>
      <w:r w:rsidR="00931FBC">
        <w:t>)</w:t>
      </w:r>
      <w:r w:rsidR="00D57CDA">
        <w:t>.</w:t>
      </w:r>
      <w:r w:rsidR="00931FBC">
        <w:rPr>
          <w:rStyle w:val="FootnoteReference"/>
        </w:rPr>
        <w:footnoteReference w:id="243"/>
      </w:r>
      <w:r w:rsidR="00931FBC">
        <w:t xml:space="preserve"> </w:t>
      </w:r>
      <w:r w:rsidR="00D57CDA">
        <w:t xml:space="preserve"> </w:t>
      </w:r>
      <w:r w:rsidR="00931FBC">
        <w:t>Similarly, GLB+ participants were more than twice as likely to report having attempted suicide at least once (</w:t>
      </w:r>
      <w:r w:rsidR="000204FC">
        <w:t>49%</w:t>
      </w:r>
      <w:r w:rsidR="00931FBC">
        <w:t>)</w:t>
      </w:r>
      <w:r w:rsidR="00AC609F">
        <w:t>,</w:t>
      </w:r>
      <w:r w:rsidR="00931FBC">
        <w:t xml:space="preserve"> compared to their heterosexual peers (</w:t>
      </w:r>
      <w:r w:rsidR="001F7249">
        <w:t>23</w:t>
      </w:r>
      <w:r w:rsidR="001F7249" w:rsidRPr="00F554FE">
        <w:t>%</w:t>
      </w:r>
      <w:r w:rsidR="00931FBC" w:rsidRPr="00F554FE">
        <w:t>)</w:t>
      </w:r>
      <w:r w:rsidR="001F7249" w:rsidRPr="00F554FE">
        <w:t>.</w:t>
      </w:r>
      <w:r w:rsidR="00D04599" w:rsidRPr="00F554FE">
        <w:t xml:space="preserve"> </w:t>
      </w:r>
    </w:p>
    <w:p w14:paraId="41CEE735" w14:textId="2AF9DA35" w:rsidR="00FE46D9" w:rsidRPr="0052401B" w:rsidRDefault="00FE46D9" w:rsidP="00DF32BE">
      <w:pPr>
        <w:pStyle w:val="NbrHeading3"/>
      </w:pPr>
      <w:bookmarkStart w:id="114" w:name="_Toc153899525"/>
      <w:r w:rsidRPr="0052401B">
        <w:t>Out-of-</w:t>
      </w:r>
      <w:r w:rsidR="00C33345" w:rsidRPr="0052401B">
        <w:t>h</w:t>
      </w:r>
      <w:r w:rsidRPr="0052401B">
        <w:t xml:space="preserve">ome </w:t>
      </w:r>
      <w:r w:rsidR="00C33345" w:rsidRPr="0052401B">
        <w:t>c</w:t>
      </w:r>
      <w:r w:rsidRPr="0052401B">
        <w:t>are</w:t>
      </w:r>
      <w:bookmarkEnd w:id="114"/>
    </w:p>
    <w:p w14:paraId="5DF32086" w14:textId="2339F469" w:rsidR="00C33345" w:rsidRDefault="00D5360D" w:rsidP="001C2D6F">
      <w:pPr>
        <w:pStyle w:val="ListBullet0"/>
        <w:numPr>
          <w:ilvl w:val="0"/>
          <w:numId w:val="0"/>
        </w:numPr>
      </w:pPr>
      <w:r w:rsidRPr="00F554FE">
        <w:t>International research indicates that LGBTQ+ children and youth are roughly 2.5 times more likely to be in contact with the child welfare system</w:t>
      </w:r>
      <w:r w:rsidR="004B1533" w:rsidRPr="00F554FE">
        <w:t>,</w:t>
      </w:r>
      <w:r w:rsidRPr="00F554FE">
        <w:t xml:space="preserve"> when compared to their cisgender and</w:t>
      </w:r>
      <w:r w:rsidRPr="00056980">
        <w:t xml:space="preserve"> </w:t>
      </w:r>
      <w:r w:rsidRPr="00056980">
        <w:lastRenderedPageBreak/>
        <w:t>heterosexual peers.</w:t>
      </w:r>
      <w:r w:rsidR="00C33345">
        <w:rPr>
          <w:rStyle w:val="FootnoteReference"/>
        </w:rPr>
        <w:footnoteReference w:id="244"/>
      </w:r>
      <w:r w:rsidR="00FA08A2">
        <w:t xml:space="preserve"> </w:t>
      </w:r>
      <w:r w:rsidR="00C87A17">
        <w:t xml:space="preserve">This has been linked to </w:t>
      </w:r>
      <w:r w:rsidR="0061537C">
        <w:t>increased risk</w:t>
      </w:r>
      <w:r w:rsidR="009F28D0">
        <w:t>s</w:t>
      </w:r>
      <w:r w:rsidR="00D44657">
        <w:t xml:space="preserve"> of family rejection</w:t>
      </w:r>
      <w:r w:rsidR="004B1533">
        <w:t xml:space="preserve"> and violence</w:t>
      </w:r>
      <w:r w:rsidR="00D44657">
        <w:t xml:space="preserve"> (see Section</w:t>
      </w:r>
      <w:r w:rsidR="004B1533">
        <w:t>s</w:t>
      </w:r>
      <w:r w:rsidR="00D44657">
        <w:t xml:space="preserve"> </w:t>
      </w:r>
      <w:r w:rsidR="00FA4C8B">
        <w:t>4.</w:t>
      </w:r>
      <w:r w:rsidR="00BF7C1F">
        <w:t>2</w:t>
      </w:r>
      <w:r w:rsidR="00D2120A">
        <w:t>.2</w:t>
      </w:r>
      <w:r w:rsidR="004B1533">
        <w:t xml:space="preserve"> and 4.2.3</w:t>
      </w:r>
      <w:r w:rsidR="00D2120A">
        <w:t>)</w:t>
      </w:r>
      <w:r w:rsidR="009B0D32">
        <w:t xml:space="preserve">. </w:t>
      </w:r>
    </w:p>
    <w:p w14:paraId="6821A97A" w14:textId="557B434C" w:rsidR="005777D6" w:rsidRDefault="00700AD3" w:rsidP="00F554FE">
      <w:r>
        <w:t xml:space="preserve">While </w:t>
      </w:r>
      <w:r w:rsidR="00147347">
        <w:t>out-of-</w:t>
      </w:r>
      <w:r w:rsidR="00147347" w:rsidRPr="00F554FE">
        <w:t>home</w:t>
      </w:r>
      <w:r w:rsidR="00147347">
        <w:t xml:space="preserve"> care </w:t>
      </w:r>
      <w:r w:rsidR="00177FFD">
        <w:t xml:space="preserve">has been associated with </w:t>
      </w:r>
      <w:r w:rsidR="0020643A">
        <w:t>poor</w:t>
      </w:r>
      <w:r w:rsidR="00177FFD">
        <w:t xml:space="preserve"> </w:t>
      </w:r>
      <w:r w:rsidR="00D5360D">
        <w:t>mental health, wellbeing, and suicide prevention outcomes</w:t>
      </w:r>
      <w:r>
        <w:t xml:space="preserve"> among all children</w:t>
      </w:r>
      <w:r w:rsidR="00D5360D">
        <w:rPr>
          <w:rStyle w:val="FootnoteReference"/>
        </w:rPr>
        <w:footnoteReference w:id="245"/>
      </w:r>
      <w:r>
        <w:t xml:space="preserve">, evidence </w:t>
      </w:r>
      <w:r w:rsidR="0020643A" w:rsidRPr="00F554FE">
        <w:t>indicates</w:t>
      </w:r>
      <w:r w:rsidR="0020643A">
        <w:t xml:space="preserve"> </w:t>
      </w:r>
      <w:r>
        <w:t xml:space="preserve">that </w:t>
      </w:r>
      <w:r w:rsidR="005719C5">
        <w:t xml:space="preserve">young </w:t>
      </w:r>
      <w:r>
        <w:t xml:space="preserve">LGBTQ+ people </w:t>
      </w:r>
      <w:r w:rsidR="0020643A" w:rsidRPr="00F554FE">
        <w:t xml:space="preserve">experience worse outcomes than their </w:t>
      </w:r>
      <w:r w:rsidR="00DC7E83" w:rsidRPr="00F554FE">
        <w:t xml:space="preserve">peers. </w:t>
      </w:r>
      <w:r w:rsidR="005777D6" w:rsidRPr="00F554FE">
        <w:t>This disparity in outcomes has been linked to a variety of factors, including:</w:t>
      </w:r>
    </w:p>
    <w:p w14:paraId="6CE74518" w14:textId="0B1A6064" w:rsidR="002A7F85" w:rsidRDefault="00E8217A" w:rsidP="002A7F85">
      <w:pPr>
        <w:pStyle w:val="ListBullet0"/>
      </w:pPr>
      <w:r>
        <w:t>Exposure to stigma</w:t>
      </w:r>
      <w:r w:rsidR="00E7792C">
        <w:t xml:space="preserve"> and</w:t>
      </w:r>
      <w:r>
        <w:t xml:space="preserve"> discrimination, </w:t>
      </w:r>
      <w:r w:rsidR="00E7792C">
        <w:t xml:space="preserve">and increased rates of </w:t>
      </w:r>
      <w:r>
        <w:t>victimisation and violence from care professionals and peers.</w:t>
      </w:r>
      <w:r>
        <w:rPr>
          <w:rStyle w:val="FootnoteReference"/>
        </w:rPr>
        <w:footnoteReference w:id="246"/>
      </w:r>
      <w:r w:rsidRPr="00F86151">
        <w:t xml:space="preserve"> </w:t>
      </w:r>
      <w:r w:rsidR="00C84B7E">
        <w:t xml:space="preserve">Research has variously linked these factors to </w:t>
      </w:r>
      <w:r w:rsidR="000733E1">
        <w:t xml:space="preserve">higher rates of absconding, </w:t>
      </w:r>
      <w:r w:rsidR="00CA376C">
        <w:t>ejection from care</w:t>
      </w:r>
      <w:r w:rsidR="005719C5">
        <w:t>,</w:t>
      </w:r>
      <w:r w:rsidR="00CA376C">
        <w:t xml:space="preserve"> and </w:t>
      </w:r>
      <w:r w:rsidR="00FE5BBA">
        <w:t>disengagement from services intended to p</w:t>
      </w:r>
      <w:r w:rsidR="00470076">
        <w:t xml:space="preserve">romote the development of life skills. </w:t>
      </w:r>
    </w:p>
    <w:p w14:paraId="268758EF" w14:textId="27273E26" w:rsidR="00CC6841" w:rsidRDefault="00CC6841" w:rsidP="00805171">
      <w:pPr>
        <w:pStyle w:val="ListBullet0"/>
      </w:pPr>
      <w:r>
        <w:t xml:space="preserve">Reduced access to </w:t>
      </w:r>
      <w:r w:rsidR="008C5F16">
        <w:t xml:space="preserve">resources and support regarding </w:t>
      </w:r>
      <w:r w:rsidR="00723360">
        <w:t>sexual orientation and</w:t>
      </w:r>
      <w:r w:rsidR="00EE2DFB">
        <w:t xml:space="preserve"> gender</w:t>
      </w:r>
      <w:r w:rsidR="00723360">
        <w:t xml:space="preserve"> diversity</w:t>
      </w:r>
      <w:r w:rsidR="005719C5">
        <w:t>,</w:t>
      </w:r>
      <w:r w:rsidR="00FB28B7">
        <w:t xml:space="preserve"> a</w:t>
      </w:r>
      <w:r w:rsidR="00EE2DFB">
        <w:t xml:space="preserve">nd related care needs. This has been linked to </w:t>
      </w:r>
      <w:r w:rsidR="005A7028">
        <w:t>hetero/cisnormativity</w:t>
      </w:r>
      <w:r w:rsidR="00332B0E">
        <w:t xml:space="preserve"> and stigmatising views of </w:t>
      </w:r>
      <w:r w:rsidR="003C3987">
        <w:t>carers</w:t>
      </w:r>
      <w:r w:rsidR="005A7028">
        <w:t>, discomfort</w:t>
      </w:r>
      <w:r w:rsidR="001C406D">
        <w:t xml:space="preserve"> </w:t>
      </w:r>
      <w:r w:rsidR="00813266">
        <w:t>of</w:t>
      </w:r>
      <w:r w:rsidR="001C406D">
        <w:t xml:space="preserve"> </w:t>
      </w:r>
      <w:r w:rsidR="00813266">
        <w:t xml:space="preserve">carers </w:t>
      </w:r>
      <w:r w:rsidR="00E540E0">
        <w:t xml:space="preserve">with discussing </w:t>
      </w:r>
      <w:r w:rsidR="00813266">
        <w:t xml:space="preserve">these </w:t>
      </w:r>
      <w:r w:rsidR="00E540E0">
        <w:t xml:space="preserve">matters </w:t>
      </w:r>
      <w:r w:rsidR="00813266">
        <w:t xml:space="preserve">with young people, and the increased likelihood that </w:t>
      </w:r>
      <w:r w:rsidR="00DE7139">
        <w:t xml:space="preserve">care placements are disrupted for </w:t>
      </w:r>
      <w:r w:rsidR="005719C5">
        <w:t xml:space="preserve">young </w:t>
      </w:r>
      <w:r w:rsidR="00DE7139">
        <w:t>LGBTQ+ people (see below).</w:t>
      </w:r>
      <w:r w:rsidR="00BA48D9">
        <w:t xml:space="preserve"> </w:t>
      </w:r>
      <w:r w:rsidR="0052401B">
        <w:t>Exposure to previous</w:t>
      </w:r>
      <w:r w:rsidR="00BA48D9">
        <w:t xml:space="preserve"> negative experiences </w:t>
      </w:r>
      <w:r w:rsidR="0052401B">
        <w:t xml:space="preserve">related to their identity </w:t>
      </w:r>
      <w:r w:rsidR="00B6126F">
        <w:t xml:space="preserve">have also been linked to non-disclosure by </w:t>
      </w:r>
      <w:r w:rsidR="005719C5">
        <w:t xml:space="preserve">young </w:t>
      </w:r>
      <w:r w:rsidR="0052401B">
        <w:t xml:space="preserve">LGBTQ+ </w:t>
      </w:r>
      <w:r w:rsidR="00B6126F">
        <w:t>people in care.</w:t>
      </w:r>
      <w:r w:rsidR="00DE7139">
        <w:rPr>
          <w:rStyle w:val="FootnoteReference"/>
        </w:rPr>
        <w:footnoteReference w:id="247"/>
      </w:r>
      <w:r w:rsidR="00DE7139">
        <w:t xml:space="preserve"> </w:t>
      </w:r>
    </w:p>
    <w:p w14:paraId="25C1F77E" w14:textId="67E67E11" w:rsidR="00065245" w:rsidRDefault="00866746" w:rsidP="00805171">
      <w:pPr>
        <w:pStyle w:val="ListBullet0"/>
      </w:pPr>
      <w:r>
        <w:t>I</w:t>
      </w:r>
      <w:r w:rsidR="001A571F">
        <w:t>ncreased likelihood of</w:t>
      </w:r>
      <w:r w:rsidR="001E47B3">
        <w:t xml:space="preserve"> </w:t>
      </w:r>
      <w:r>
        <w:t>having disrupted care placements,</w:t>
      </w:r>
      <w:r w:rsidR="001A571F">
        <w:t xml:space="preserve"> being placed in a group home or </w:t>
      </w:r>
      <w:r w:rsidR="008F4800">
        <w:t xml:space="preserve">in </w:t>
      </w:r>
      <w:r w:rsidR="00B26F69">
        <w:t xml:space="preserve">a </w:t>
      </w:r>
      <w:r w:rsidR="001A571F">
        <w:t xml:space="preserve">residential care setting. </w:t>
      </w:r>
      <w:r w:rsidR="007209D5">
        <w:t xml:space="preserve">Research has indicated that this can be </w:t>
      </w:r>
      <w:r w:rsidR="00A611FD">
        <w:t xml:space="preserve">driven by the stigmatising views of </w:t>
      </w:r>
      <w:r w:rsidR="003C750F">
        <w:t>prospective foster parents</w:t>
      </w:r>
      <w:r w:rsidR="002C7282">
        <w:t xml:space="preserve">. </w:t>
      </w:r>
      <w:r w:rsidR="00426730">
        <w:t>While disrupted placements</w:t>
      </w:r>
      <w:r w:rsidR="00FF03A6">
        <w:t xml:space="preserve"> increase </w:t>
      </w:r>
      <w:r w:rsidR="00867865">
        <w:t xml:space="preserve">risk of distress and poor outcomes for all young people, </w:t>
      </w:r>
      <w:r w:rsidR="00CF673F">
        <w:t xml:space="preserve">this can </w:t>
      </w:r>
      <w:r w:rsidR="005719C5">
        <w:t>disproportionately curb</w:t>
      </w:r>
      <w:r w:rsidR="00CF673F">
        <w:t xml:space="preserve"> access to affirming care for trans and gender diverse youth.</w:t>
      </w:r>
      <w:r w:rsidR="00CF673F">
        <w:rPr>
          <w:rStyle w:val="FootnoteReference"/>
        </w:rPr>
        <w:footnoteReference w:id="248"/>
      </w:r>
    </w:p>
    <w:p w14:paraId="30ABC446" w14:textId="528C337D" w:rsidR="00CF673F" w:rsidRDefault="00CF673F" w:rsidP="00805171">
      <w:pPr>
        <w:pStyle w:val="ListBullet0"/>
      </w:pPr>
      <w:r>
        <w:t>Increased likelihood of ageing out of care</w:t>
      </w:r>
      <w:r w:rsidR="00BA210D">
        <w:t xml:space="preserve"> – disrupting access to ongoing social and structural support provided by the family unit. </w:t>
      </w:r>
      <w:r w:rsidR="00362CE9">
        <w:t xml:space="preserve">Research has linked this to </w:t>
      </w:r>
      <w:r w:rsidR="00C3160F">
        <w:t xml:space="preserve">a reduced emphasis on </w:t>
      </w:r>
      <w:r w:rsidR="00A71454">
        <w:t>achieving</w:t>
      </w:r>
      <w:r w:rsidR="00C3160F">
        <w:t xml:space="preserve"> family reunification</w:t>
      </w:r>
      <w:r w:rsidR="003D7C37">
        <w:t xml:space="preserve"> in cases of rejection and violence, and </w:t>
      </w:r>
      <w:r w:rsidR="00CC5D19">
        <w:t>stigmatising views of prospective adoptive parents.</w:t>
      </w:r>
      <w:r w:rsidR="00CC5D19">
        <w:rPr>
          <w:rStyle w:val="FootnoteReference"/>
        </w:rPr>
        <w:footnoteReference w:id="249"/>
      </w:r>
    </w:p>
    <w:p w14:paraId="0711D647" w14:textId="3D84FF9D" w:rsidR="009E30DA" w:rsidRDefault="00277EAC" w:rsidP="00F554FE">
      <w:r>
        <w:t xml:space="preserve">It should </w:t>
      </w:r>
      <w:r w:rsidRPr="00F554FE">
        <w:t>be</w:t>
      </w:r>
      <w:r>
        <w:t xml:space="preserve"> noted that Australia’s </w:t>
      </w:r>
      <w:hyperlink r:id="rId91" w:history="1">
        <w:r w:rsidR="00BE577D" w:rsidRPr="00277EAC">
          <w:rPr>
            <w:rStyle w:val="Hyperlink"/>
          </w:rPr>
          <w:t>Centre for Excellence in Therapeutic Care</w:t>
        </w:r>
      </w:hyperlink>
      <w:r w:rsidR="00BE577D">
        <w:t xml:space="preserve"> has released a report with a series of recommendations related to addressing these issues and improving the experiences of </w:t>
      </w:r>
      <w:r w:rsidR="005719C5">
        <w:t xml:space="preserve">young </w:t>
      </w:r>
      <w:r w:rsidR="00BE577D">
        <w:t xml:space="preserve">LGBTQ+ people in out-of-home care. </w:t>
      </w:r>
    </w:p>
    <w:p w14:paraId="72C77C19" w14:textId="392DF28A" w:rsidR="00E14B49" w:rsidRPr="00F86151" w:rsidRDefault="00594934" w:rsidP="001C2D6F">
      <w:pPr>
        <w:pStyle w:val="ListBullet0"/>
        <w:numPr>
          <w:ilvl w:val="0"/>
          <w:numId w:val="0"/>
        </w:numPr>
      </w:pPr>
      <w:r w:rsidRPr="00F554FE">
        <w:lastRenderedPageBreak/>
        <w:t>Mental health challenges, diagnosis</w:t>
      </w:r>
      <w:r w:rsidR="00DE7139" w:rsidRPr="00F554FE">
        <w:t>,</w:t>
      </w:r>
      <w:r w:rsidRPr="00F554FE">
        <w:t xml:space="preserve"> and treatment</w:t>
      </w:r>
      <w:r w:rsidR="00B00954" w:rsidRPr="00F554FE">
        <w:t xml:space="preserve"> </w:t>
      </w:r>
      <w:r w:rsidR="001C2D6F" w:rsidRPr="00F554FE">
        <w:t>LGBTQ+ children and youth are 2.5 times more likely to be in contact with the child welfare system</w:t>
      </w:r>
      <w:r w:rsidR="005719C5" w:rsidRPr="00F554FE">
        <w:t>,</w:t>
      </w:r>
      <w:r w:rsidR="001C2D6F" w:rsidRPr="00F554FE">
        <w:t xml:space="preserve"> when compared to their cisgender and heterosexual peers.</w:t>
      </w:r>
      <w:r w:rsidR="003D78DD" w:rsidRPr="00F554FE">
        <w:t xml:space="preserve"> </w:t>
      </w:r>
      <w:r w:rsidR="00400AB6" w:rsidRPr="00F554FE">
        <w:t xml:space="preserve">Research indicates that </w:t>
      </w:r>
      <w:r w:rsidR="004F48B3" w:rsidRPr="00F554FE">
        <w:t xml:space="preserve">they </w:t>
      </w:r>
      <w:r w:rsidR="005719C5" w:rsidRPr="00F554FE">
        <w:t xml:space="preserve">often </w:t>
      </w:r>
      <w:r w:rsidR="004F48B3" w:rsidRPr="00F554FE">
        <w:t xml:space="preserve">do not feel safe and affirmed in their out-of-home care experiences, where there is exposure to harassment, violence, bullying, discrimination, lack of acceptance, and abuse from their peers and/or care professionals. </w:t>
      </w:r>
      <w:r w:rsidR="00E42815" w:rsidRPr="00F554FE">
        <w:rPr>
          <w:vertAlign w:val="superscript"/>
        </w:rPr>
        <w:footnoteReference w:id="250"/>
      </w:r>
      <w:r w:rsidR="004F48B3" w:rsidRPr="00F554FE">
        <w:rPr>
          <w:vertAlign w:val="superscript"/>
        </w:rPr>
        <w:t xml:space="preserve"> </w:t>
      </w:r>
      <w:r w:rsidR="00E42815" w:rsidRPr="00F554FE">
        <w:t xml:space="preserve">This </w:t>
      </w:r>
      <w:r w:rsidR="00436B4D" w:rsidRPr="00F554FE">
        <w:t xml:space="preserve">has been </w:t>
      </w:r>
      <w:r w:rsidR="007C5424" w:rsidRPr="00F554FE">
        <w:t xml:space="preserve">linked to mental distress and an exacerbated risk of poor mental health, </w:t>
      </w:r>
      <w:r w:rsidR="003605DA" w:rsidRPr="00F554FE">
        <w:t>wellbeing,</w:t>
      </w:r>
      <w:r w:rsidR="007C5424" w:rsidRPr="00F554FE">
        <w:t xml:space="preserve"> and suicide prevention outcomes</w:t>
      </w:r>
      <w:r w:rsidR="00F86151" w:rsidRPr="00F86151">
        <w:t>.</w:t>
      </w:r>
      <w:r w:rsidR="00496DB8">
        <w:rPr>
          <w:rStyle w:val="FootnoteReference"/>
        </w:rPr>
        <w:footnoteReference w:id="251"/>
      </w:r>
    </w:p>
    <w:p w14:paraId="4719E742" w14:textId="6854A763" w:rsidR="00DC66E2" w:rsidRPr="00FA4973" w:rsidRDefault="00931FBC" w:rsidP="00DF32BE">
      <w:pPr>
        <w:pStyle w:val="NbrHeading4"/>
      </w:pPr>
      <w:r w:rsidRPr="00FA4973">
        <w:t xml:space="preserve">Mental health diagnosis and treatment </w:t>
      </w:r>
    </w:p>
    <w:p w14:paraId="3D8A9281" w14:textId="705875A6" w:rsidR="008E013A" w:rsidRPr="008E013A" w:rsidRDefault="00787BAC" w:rsidP="008E013A">
      <w:pPr>
        <w:spacing w:before="120" w:after="120"/>
        <w:rPr>
          <w:rFonts w:eastAsia="Times New Roman" w:cs="Times New Roman"/>
          <w:color w:val="000000" w:themeColor="text1"/>
          <w:szCs w:val="24"/>
          <w:lang w:eastAsia="en-AU"/>
        </w:rPr>
      </w:pPr>
      <w:r>
        <w:rPr>
          <w:rFonts w:eastAsia="Times New Roman" w:cs="Times New Roman"/>
          <w:szCs w:val="24"/>
          <w:lang w:eastAsia="en-AU"/>
        </w:rPr>
        <w:t>I</w:t>
      </w:r>
      <w:r w:rsidR="008E013A" w:rsidRPr="008E013A">
        <w:rPr>
          <w:rFonts w:eastAsia="Times New Roman" w:cs="Times New Roman"/>
          <w:szCs w:val="24"/>
          <w:lang w:eastAsia="en-AU"/>
        </w:rPr>
        <w:t>t</w:t>
      </w:r>
      <w:r w:rsidR="008E013A" w:rsidRPr="008E013A" w:rsidDel="007944E2">
        <w:rPr>
          <w:rFonts w:eastAsia="Times New Roman" w:cs="Times New Roman"/>
          <w:szCs w:val="24"/>
          <w:lang w:eastAsia="en-AU"/>
        </w:rPr>
        <w:t xml:space="preserve"> is</w:t>
      </w:r>
      <w:r w:rsidR="00F04E35">
        <w:rPr>
          <w:rFonts w:eastAsia="Times New Roman" w:cs="Times New Roman"/>
          <w:szCs w:val="24"/>
          <w:lang w:eastAsia="en-AU"/>
        </w:rPr>
        <w:t xml:space="preserve"> als</w:t>
      </w:r>
      <w:r w:rsidR="007C59CF">
        <w:rPr>
          <w:rFonts w:eastAsia="Times New Roman" w:cs="Times New Roman"/>
          <w:szCs w:val="24"/>
          <w:lang w:eastAsia="en-AU"/>
        </w:rPr>
        <w:t>o</w:t>
      </w:r>
      <w:r w:rsidR="008E013A" w:rsidRPr="008E013A" w:rsidDel="007944E2">
        <w:rPr>
          <w:rFonts w:eastAsia="Times New Roman" w:cs="Times New Roman"/>
          <w:szCs w:val="24"/>
          <w:lang w:eastAsia="en-AU"/>
        </w:rPr>
        <w:t xml:space="preserve"> important to </w:t>
      </w:r>
      <w:r w:rsidR="008E013A" w:rsidRPr="008E013A">
        <w:rPr>
          <w:rFonts w:eastAsia="Times New Roman" w:cs="Times New Roman"/>
          <w:szCs w:val="24"/>
          <w:lang w:eastAsia="en-AU"/>
        </w:rPr>
        <w:t xml:space="preserve">consider that a lived experience of mental health </w:t>
      </w:r>
      <w:r w:rsidR="00FE6C84">
        <w:rPr>
          <w:rFonts w:eastAsia="Times New Roman" w:cs="Times New Roman"/>
          <w:szCs w:val="24"/>
          <w:lang w:eastAsia="en-AU"/>
        </w:rPr>
        <w:t>diagnosis</w:t>
      </w:r>
      <w:r w:rsidR="0099025A">
        <w:rPr>
          <w:rFonts w:eastAsia="Times New Roman" w:cs="Times New Roman"/>
          <w:szCs w:val="24"/>
          <w:lang w:eastAsia="en-AU"/>
        </w:rPr>
        <w:t>, life-interrupting mental health challenges</w:t>
      </w:r>
      <w:r w:rsidR="008E013A" w:rsidRPr="008E013A">
        <w:rPr>
          <w:rFonts w:eastAsia="Times New Roman" w:cs="Times New Roman"/>
          <w:szCs w:val="24"/>
          <w:lang w:eastAsia="en-AU"/>
        </w:rPr>
        <w:t xml:space="preserve"> </w:t>
      </w:r>
      <w:r w:rsidR="007168BB">
        <w:rPr>
          <w:rFonts w:eastAsia="Times New Roman" w:cs="Times New Roman"/>
          <w:szCs w:val="24"/>
          <w:lang w:eastAsia="en-AU"/>
        </w:rPr>
        <w:t>or</w:t>
      </w:r>
      <w:r w:rsidR="008E013A" w:rsidRPr="008E013A">
        <w:rPr>
          <w:rFonts w:eastAsia="Times New Roman" w:cs="Times New Roman"/>
          <w:szCs w:val="24"/>
          <w:lang w:eastAsia="en-AU"/>
        </w:rPr>
        <w:t xml:space="preserve"> </w:t>
      </w:r>
      <w:r w:rsidR="00F26FDE">
        <w:rPr>
          <w:rFonts w:eastAsia="Times New Roman" w:cs="Times New Roman"/>
          <w:szCs w:val="24"/>
          <w:lang w:eastAsia="en-AU"/>
        </w:rPr>
        <w:t xml:space="preserve">inappropriate </w:t>
      </w:r>
      <w:r>
        <w:rPr>
          <w:rFonts w:eastAsia="Times New Roman" w:cs="Times New Roman"/>
          <w:szCs w:val="24"/>
          <w:lang w:eastAsia="en-AU"/>
        </w:rPr>
        <w:t xml:space="preserve">mental health </w:t>
      </w:r>
      <w:r w:rsidR="00F26FDE">
        <w:rPr>
          <w:rFonts w:eastAsia="Times New Roman" w:cs="Times New Roman"/>
          <w:szCs w:val="24"/>
          <w:lang w:eastAsia="en-AU"/>
        </w:rPr>
        <w:t>treatment</w:t>
      </w:r>
      <w:r w:rsidR="008E013A" w:rsidRPr="008E013A">
        <w:rPr>
          <w:rFonts w:eastAsia="Times New Roman" w:cs="Times New Roman"/>
          <w:szCs w:val="24"/>
          <w:lang w:eastAsia="en-AU"/>
        </w:rPr>
        <w:t xml:space="preserve"> </w:t>
      </w:r>
      <w:r>
        <w:rPr>
          <w:rFonts w:eastAsia="Times New Roman" w:cs="Times New Roman"/>
          <w:szCs w:val="24"/>
          <w:lang w:eastAsia="en-AU"/>
        </w:rPr>
        <w:t>can</w:t>
      </w:r>
      <w:r w:rsidR="008E013A" w:rsidRPr="008E013A">
        <w:rPr>
          <w:rFonts w:eastAsia="Times New Roman" w:cs="Times New Roman"/>
          <w:szCs w:val="24"/>
          <w:lang w:eastAsia="en-AU"/>
        </w:rPr>
        <w:t xml:space="preserve">, in </w:t>
      </w:r>
      <w:r w:rsidR="00D93566">
        <w:rPr>
          <w:rFonts w:eastAsia="Times New Roman" w:cs="Times New Roman"/>
          <w:szCs w:val="24"/>
          <w:lang w:eastAsia="en-AU"/>
        </w:rPr>
        <w:t>themselves</w:t>
      </w:r>
      <w:r w:rsidR="00AF3B41">
        <w:rPr>
          <w:rFonts w:eastAsia="Times New Roman" w:cs="Times New Roman"/>
          <w:szCs w:val="24"/>
          <w:lang w:eastAsia="en-AU"/>
        </w:rPr>
        <w:t>,</w:t>
      </w:r>
      <w:r w:rsidR="008E013A" w:rsidRPr="008E013A">
        <w:rPr>
          <w:rFonts w:eastAsia="Times New Roman" w:cs="Times New Roman"/>
          <w:szCs w:val="24"/>
          <w:lang w:eastAsia="en-AU"/>
        </w:rPr>
        <w:t xml:space="preserve"> </w:t>
      </w:r>
      <w:r w:rsidR="00723864">
        <w:rPr>
          <w:rFonts w:eastAsia="Times New Roman" w:cs="Times New Roman"/>
          <w:szCs w:val="24"/>
          <w:lang w:eastAsia="en-AU"/>
        </w:rPr>
        <w:t xml:space="preserve">act as </w:t>
      </w:r>
      <w:r w:rsidR="00CD549C">
        <w:rPr>
          <w:rFonts w:eastAsia="Times New Roman" w:cs="Times New Roman"/>
          <w:szCs w:val="24"/>
          <w:lang w:eastAsia="en-AU"/>
        </w:rPr>
        <w:t>stressor</w:t>
      </w:r>
      <w:r w:rsidR="00222397">
        <w:rPr>
          <w:rFonts w:eastAsia="Times New Roman" w:cs="Times New Roman"/>
          <w:szCs w:val="24"/>
          <w:lang w:eastAsia="en-AU"/>
        </w:rPr>
        <w:t>s</w:t>
      </w:r>
      <w:r w:rsidR="00F26FDE">
        <w:rPr>
          <w:rFonts w:eastAsia="Times New Roman" w:cs="Times New Roman"/>
          <w:szCs w:val="24"/>
          <w:lang w:eastAsia="en-AU"/>
        </w:rPr>
        <w:t xml:space="preserve"> which can </w:t>
      </w:r>
      <w:r w:rsidR="00FE6C84">
        <w:rPr>
          <w:rFonts w:eastAsia="Times New Roman" w:cs="Times New Roman"/>
          <w:szCs w:val="24"/>
          <w:lang w:eastAsia="en-AU"/>
        </w:rPr>
        <w:t xml:space="preserve">have </w:t>
      </w:r>
      <w:r w:rsidR="00D93566">
        <w:rPr>
          <w:rFonts w:eastAsia="Times New Roman" w:cs="Times New Roman"/>
          <w:szCs w:val="24"/>
          <w:lang w:eastAsia="en-AU"/>
        </w:rPr>
        <w:t>ongoing</w:t>
      </w:r>
      <w:r w:rsidR="00FE6C84">
        <w:rPr>
          <w:rFonts w:eastAsia="Times New Roman" w:cs="Times New Roman"/>
          <w:szCs w:val="24"/>
          <w:lang w:eastAsia="en-AU"/>
        </w:rPr>
        <w:t xml:space="preserve"> negative impacts on</w:t>
      </w:r>
      <w:r w:rsidR="008E013A" w:rsidRPr="008E013A">
        <w:rPr>
          <w:rFonts w:eastAsia="Times New Roman" w:cs="Times New Roman"/>
          <w:szCs w:val="24"/>
          <w:lang w:eastAsia="en-AU"/>
        </w:rPr>
        <w:t xml:space="preserve"> mental health </w:t>
      </w:r>
      <w:r w:rsidR="00FE6C84">
        <w:rPr>
          <w:rFonts w:eastAsia="Times New Roman" w:cs="Times New Roman"/>
          <w:szCs w:val="24"/>
          <w:lang w:eastAsia="en-AU"/>
        </w:rPr>
        <w:t>and wellbeing.</w:t>
      </w:r>
      <w:r w:rsidR="00CD549C">
        <w:rPr>
          <w:rFonts w:eastAsia="Times New Roman" w:cs="Times New Roman"/>
          <w:szCs w:val="24"/>
          <w:lang w:eastAsia="en-AU"/>
        </w:rPr>
        <w:t xml:space="preserve"> </w:t>
      </w:r>
      <w:r w:rsidR="008E013A" w:rsidRPr="008E013A">
        <w:rPr>
          <w:rFonts w:eastAsia="Times New Roman" w:cs="Times New Roman"/>
          <w:szCs w:val="24"/>
          <w:lang w:eastAsia="en-AU"/>
        </w:rPr>
        <w:t xml:space="preserve">This intersection is particularly </w:t>
      </w:r>
      <w:r w:rsidR="00B15AE6">
        <w:rPr>
          <w:rFonts w:eastAsia="Times New Roman" w:cs="Times New Roman"/>
          <w:szCs w:val="24"/>
          <w:lang w:eastAsia="en-AU"/>
        </w:rPr>
        <w:t>significant</w:t>
      </w:r>
      <w:r w:rsidR="008E013A" w:rsidRPr="008E013A">
        <w:rPr>
          <w:rFonts w:eastAsia="Times New Roman" w:cs="Times New Roman"/>
          <w:szCs w:val="24"/>
          <w:lang w:eastAsia="en-AU"/>
        </w:rPr>
        <w:t xml:space="preserve"> due to the impacts of past and current pathologisation of gender</w:t>
      </w:r>
      <w:r w:rsidR="00A73205">
        <w:rPr>
          <w:rFonts w:eastAsia="Times New Roman" w:cs="Times New Roman"/>
          <w:szCs w:val="24"/>
          <w:lang w:eastAsia="en-AU"/>
        </w:rPr>
        <w:t xml:space="preserve"> and</w:t>
      </w:r>
      <w:r w:rsidR="008E013A" w:rsidRPr="008E013A">
        <w:rPr>
          <w:rFonts w:eastAsia="Times New Roman" w:cs="Times New Roman"/>
          <w:szCs w:val="24"/>
          <w:lang w:eastAsia="en-AU"/>
        </w:rPr>
        <w:t xml:space="preserve"> sexual</w:t>
      </w:r>
      <w:r w:rsidR="00A73205">
        <w:rPr>
          <w:rFonts w:eastAsia="Times New Roman" w:cs="Times New Roman"/>
          <w:szCs w:val="24"/>
          <w:lang w:eastAsia="en-AU"/>
        </w:rPr>
        <w:t xml:space="preserve"> orientation </w:t>
      </w:r>
      <w:r w:rsidR="008E013A" w:rsidRPr="008E013A">
        <w:rPr>
          <w:rFonts w:eastAsia="Times New Roman" w:cs="Times New Roman"/>
          <w:szCs w:val="24"/>
          <w:lang w:eastAsia="en-AU"/>
        </w:rPr>
        <w:t>in medical settings, as well as the stigmatisation of mental health issues.</w:t>
      </w:r>
      <w:r w:rsidR="008E013A" w:rsidRPr="008E013A">
        <w:rPr>
          <w:rFonts w:eastAsia="Times New Roman" w:cs="Times New Roman"/>
          <w:szCs w:val="24"/>
          <w:vertAlign w:val="superscript"/>
          <w:lang w:eastAsia="en-AU"/>
        </w:rPr>
        <w:footnoteReference w:id="252"/>
      </w:r>
      <w:r w:rsidR="008E013A" w:rsidRPr="008E013A">
        <w:rPr>
          <w:rFonts w:eastAsia="Times New Roman" w:cs="Times New Roman"/>
          <w:szCs w:val="24"/>
          <w:lang w:eastAsia="en-AU"/>
        </w:rPr>
        <w:t xml:space="preserve"> </w:t>
      </w:r>
    </w:p>
    <w:p w14:paraId="0823223A" w14:textId="13B6361A" w:rsidR="008E013A" w:rsidRPr="008E013A" w:rsidRDefault="008E013A" w:rsidP="008E013A">
      <w:pPr>
        <w:rPr>
          <w:lang w:eastAsia="en-AU"/>
        </w:rPr>
      </w:pPr>
      <w:r w:rsidRPr="008E013A">
        <w:rPr>
          <w:lang w:eastAsia="en-AU"/>
        </w:rPr>
        <w:t xml:space="preserve">For example, the </w:t>
      </w:r>
      <w:r w:rsidRPr="00EE62F2">
        <w:rPr>
          <w:lang w:eastAsia="en-AU"/>
        </w:rPr>
        <w:t xml:space="preserve">stigma associated with diagnosis of a mental </w:t>
      </w:r>
      <w:r w:rsidR="00B15AE6">
        <w:rPr>
          <w:lang w:eastAsia="en-AU"/>
        </w:rPr>
        <w:t>health condition</w:t>
      </w:r>
      <w:r w:rsidRPr="00EE62F2">
        <w:rPr>
          <w:lang w:eastAsia="en-AU"/>
        </w:rPr>
        <w:t xml:space="preserve"> can impact access to structural resources</w:t>
      </w:r>
      <w:r w:rsidRPr="008E013A">
        <w:rPr>
          <w:lang w:eastAsia="en-AU"/>
        </w:rPr>
        <w:t xml:space="preserve"> such as employment, housing, and education</w:t>
      </w:r>
      <w:r w:rsidR="00842F83">
        <w:rPr>
          <w:lang w:eastAsia="en-AU"/>
        </w:rPr>
        <w:t>.</w:t>
      </w:r>
      <w:r w:rsidRPr="00EE62F2">
        <w:rPr>
          <w:vertAlign w:val="superscript"/>
          <w:lang w:eastAsia="en-AU"/>
        </w:rPr>
        <w:footnoteReference w:id="253"/>
      </w:r>
      <w:r w:rsidRPr="008E013A">
        <w:rPr>
          <w:lang w:eastAsia="en-AU"/>
        </w:rPr>
        <w:t xml:space="preserve"> Thus, mental health diagnosis – </w:t>
      </w:r>
      <w:proofErr w:type="gramStart"/>
      <w:r w:rsidRPr="008E013A">
        <w:rPr>
          <w:lang w:eastAsia="en-AU"/>
        </w:rPr>
        <w:t>whether or not</w:t>
      </w:r>
      <w:proofErr w:type="gramEnd"/>
      <w:r w:rsidRPr="008E013A">
        <w:rPr>
          <w:lang w:eastAsia="en-AU"/>
        </w:rPr>
        <w:t xml:space="preserve"> related to the person’s gender</w:t>
      </w:r>
      <w:r w:rsidR="00EB2A62">
        <w:rPr>
          <w:lang w:eastAsia="en-AU"/>
        </w:rPr>
        <w:t xml:space="preserve"> or</w:t>
      </w:r>
      <w:r w:rsidRPr="008E013A">
        <w:rPr>
          <w:lang w:eastAsia="en-AU"/>
        </w:rPr>
        <w:t xml:space="preserve"> sexual</w:t>
      </w:r>
      <w:r w:rsidR="00EB2A62">
        <w:rPr>
          <w:lang w:eastAsia="en-AU"/>
        </w:rPr>
        <w:t xml:space="preserve"> orientation </w:t>
      </w:r>
      <w:r w:rsidRPr="008E013A">
        <w:rPr>
          <w:lang w:eastAsia="en-AU"/>
        </w:rPr>
        <w:t>– can exacerbate the existing risks to protective mental health and wellbeing factors for LGBTQ</w:t>
      </w:r>
      <w:r w:rsidR="00EB2A62">
        <w:rPr>
          <w:lang w:eastAsia="en-AU"/>
        </w:rPr>
        <w:t>+</w:t>
      </w:r>
      <w:r w:rsidRPr="008E013A">
        <w:rPr>
          <w:lang w:eastAsia="en-AU"/>
        </w:rPr>
        <w:t xml:space="preserve"> people. </w:t>
      </w:r>
      <w:r w:rsidR="00DF79A5">
        <w:rPr>
          <w:lang w:eastAsia="en-AU"/>
        </w:rPr>
        <w:t>To counteract these issues</w:t>
      </w:r>
      <w:r w:rsidR="000A5D83">
        <w:rPr>
          <w:lang w:eastAsia="en-AU"/>
        </w:rPr>
        <w:t xml:space="preserve">, the National Mental Health Commission is currently in the process of developing a </w:t>
      </w:r>
      <w:r w:rsidR="00B905A9">
        <w:rPr>
          <w:lang w:eastAsia="en-AU"/>
        </w:rPr>
        <w:t>national strategy to reduce mental health-related stigma and discrimination.</w:t>
      </w:r>
      <w:r w:rsidR="00B905A9">
        <w:rPr>
          <w:rStyle w:val="FootnoteReference"/>
          <w:lang w:eastAsia="en-AU"/>
        </w:rPr>
        <w:footnoteReference w:id="254"/>
      </w:r>
    </w:p>
    <w:p w14:paraId="46E4C9DC" w14:textId="65331FBC" w:rsidR="008E013A" w:rsidRPr="008E013A" w:rsidRDefault="00F51749" w:rsidP="008E013A">
      <w:pPr>
        <w:numPr>
          <w:ilvl w:val="1"/>
          <w:numId w:val="0"/>
        </w:numPr>
        <w:spacing w:before="120" w:after="120"/>
        <w:rPr>
          <w:rFonts w:eastAsia="Times New Roman" w:cs="Times New Roman"/>
          <w:color w:val="000000" w:themeColor="text1"/>
          <w:szCs w:val="24"/>
          <w:lang w:eastAsia="en-AU"/>
        </w:rPr>
      </w:pPr>
      <w:r w:rsidRPr="00F51749">
        <w:rPr>
          <w:rFonts w:eastAsia="Times New Roman" w:cs="Times New Roman"/>
          <w:szCs w:val="24"/>
          <w:lang w:eastAsia="en-AU"/>
        </w:rPr>
        <w:t>In addition,</w:t>
      </w:r>
      <w:r w:rsidR="008E013A" w:rsidRPr="008E013A">
        <w:rPr>
          <w:rFonts w:eastAsia="Times New Roman" w:cs="Times New Roman"/>
          <w:szCs w:val="24"/>
          <w:lang w:eastAsia="en-AU"/>
        </w:rPr>
        <w:t xml:space="preserve"> mental health professionals, influenced by pathologising discourses from psychiatry, psychology</w:t>
      </w:r>
      <w:r w:rsidR="000941AB">
        <w:rPr>
          <w:rFonts w:eastAsia="Times New Roman" w:cs="Times New Roman"/>
          <w:szCs w:val="24"/>
          <w:lang w:eastAsia="en-AU"/>
        </w:rPr>
        <w:t>,</w:t>
      </w:r>
      <w:r w:rsidR="008E013A" w:rsidRPr="008E013A">
        <w:rPr>
          <w:rFonts w:eastAsia="Times New Roman" w:cs="Times New Roman"/>
          <w:szCs w:val="24"/>
          <w:lang w:eastAsia="en-AU"/>
        </w:rPr>
        <w:t xml:space="preserve"> and other mental health disciplines, can hold </w:t>
      </w:r>
      <w:r w:rsidR="008E013A" w:rsidRPr="00F51749">
        <w:rPr>
          <w:rFonts w:eastAsia="Times New Roman" w:cs="Times New Roman"/>
          <w:szCs w:val="24"/>
          <w:lang w:eastAsia="en-AU"/>
        </w:rPr>
        <w:t>stigmatising views toward LGBTQ+ people, which have been shown to compromise the quality of care provided</w:t>
      </w:r>
      <w:r w:rsidR="008E013A" w:rsidRPr="008E013A">
        <w:rPr>
          <w:rFonts w:eastAsia="Times New Roman" w:cs="Times New Roman"/>
          <w:szCs w:val="24"/>
          <w:lang w:eastAsia="en-AU"/>
        </w:rPr>
        <w:t xml:space="preserve">. </w:t>
      </w:r>
      <w:r>
        <w:rPr>
          <w:rFonts w:eastAsia="Times New Roman" w:cs="Times New Roman"/>
          <w:szCs w:val="24"/>
          <w:lang w:eastAsia="en-AU"/>
        </w:rPr>
        <w:t>Research</w:t>
      </w:r>
      <w:r w:rsidR="008E013A" w:rsidRPr="008E013A">
        <w:rPr>
          <w:rFonts w:eastAsia="Times New Roman" w:cs="Times New Roman"/>
          <w:szCs w:val="24"/>
          <w:lang w:eastAsia="en-AU"/>
        </w:rPr>
        <w:t xml:space="preserve"> has shown that LGBTQ+ people with lived experience of mental health challenges</w:t>
      </w:r>
      <w:r w:rsidR="00F351A2">
        <w:rPr>
          <w:rFonts w:eastAsia="Times New Roman" w:cs="Times New Roman"/>
          <w:szCs w:val="24"/>
          <w:lang w:eastAsia="en-AU"/>
        </w:rPr>
        <w:t>,</w:t>
      </w:r>
      <w:r w:rsidR="008E013A" w:rsidRPr="008E013A">
        <w:rPr>
          <w:rFonts w:eastAsia="Times New Roman" w:cs="Times New Roman"/>
          <w:szCs w:val="24"/>
          <w:lang w:eastAsia="en-AU"/>
        </w:rPr>
        <w:t xml:space="preserve"> and of seeking mental health treatment</w:t>
      </w:r>
      <w:r w:rsidR="00F351A2">
        <w:rPr>
          <w:rFonts w:eastAsia="Times New Roman" w:cs="Times New Roman"/>
          <w:szCs w:val="24"/>
          <w:lang w:eastAsia="en-AU"/>
        </w:rPr>
        <w:t>,</w:t>
      </w:r>
      <w:r w:rsidR="008E013A" w:rsidRPr="008E013A">
        <w:rPr>
          <w:rFonts w:eastAsia="Times New Roman" w:cs="Times New Roman"/>
          <w:szCs w:val="24"/>
          <w:lang w:eastAsia="en-AU"/>
        </w:rPr>
        <w:t xml:space="preserve"> often report having symptoms of mental distress viewed as intrinsically linked to factors associated with sexua</w:t>
      </w:r>
      <w:r w:rsidR="00544B3B">
        <w:rPr>
          <w:rFonts w:eastAsia="Times New Roman" w:cs="Times New Roman"/>
          <w:szCs w:val="24"/>
          <w:lang w:eastAsia="en-AU"/>
        </w:rPr>
        <w:t>l orientation</w:t>
      </w:r>
      <w:r w:rsidR="008E013A" w:rsidRPr="008E013A">
        <w:rPr>
          <w:rFonts w:eastAsia="Times New Roman" w:cs="Times New Roman"/>
          <w:szCs w:val="24"/>
          <w:lang w:eastAsia="en-AU"/>
        </w:rPr>
        <w:t xml:space="preserve"> or gender identity.</w:t>
      </w:r>
      <w:r w:rsidR="008E013A" w:rsidRPr="008E013A">
        <w:rPr>
          <w:rFonts w:eastAsia="Times New Roman" w:cs="Times New Roman"/>
          <w:szCs w:val="24"/>
          <w:vertAlign w:val="superscript"/>
          <w:lang w:eastAsia="en-AU"/>
        </w:rPr>
        <w:footnoteReference w:id="255"/>
      </w:r>
      <w:r w:rsidR="008E013A" w:rsidRPr="008E013A">
        <w:rPr>
          <w:rFonts w:eastAsia="Times New Roman" w:cs="Times New Roman"/>
          <w:szCs w:val="24"/>
          <w:lang w:eastAsia="en-AU"/>
        </w:rPr>
        <w:t xml:space="preserve"> This can lead to other issues being overlooked and left untreated, potentially exacerbating the risk of poor mental health outcomes and exposing LGBTQ+ people to further, complicated interactions with the mental health service system.  </w:t>
      </w:r>
    </w:p>
    <w:p w14:paraId="7DBA4F71" w14:textId="4C00122A" w:rsidR="001729AB" w:rsidRDefault="0099025A" w:rsidP="003C781B">
      <w:pPr>
        <w:rPr>
          <w:lang w:eastAsia="en-AU"/>
        </w:rPr>
      </w:pPr>
      <w:r w:rsidRPr="0099025A">
        <w:rPr>
          <w:lang w:eastAsia="en-AU"/>
        </w:rPr>
        <w:t>The above section has highlighted a wide range of stressors, risks</w:t>
      </w:r>
      <w:r w:rsidR="00F351A2">
        <w:rPr>
          <w:lang w:eastAsia="en-AU"/>
        </w:rPr>
        <w:t>,</w:t>
      </w:r>
      <w:r w:rsidRPr="0099025A">
        <w:rPr>
          <w:lang w:eastAsia="en-AU"/>
        </w:rPr>
        <w:t xml:space="preserve"> and barriers impacting on the mental health and wellbeing of LGBTQ+ people in Australia. The breadth of these issues, as well as the compounding impacts when taken together, need to be carefully considered in </w:t>
      </w:r>
      <w:r w:rsidR="00514A18">
        <w:rPr>
          <w:lang w:eastAsia="en-AU"/>
        </w:rPr>
        <w:t>the development of future strategies to support LGBTQ+ mental health and wellbeing</w:t>
      </w:r>
      <w:r w:rsidRPr="0099025A">
        <w:rPr>
          <w:lang w:eastAsia="en-AU"/>
        </w:rPr>
        <w:t>.</w:t>
      </w:r>
    </w:p>
    <w:p w14:paraId="2A6FE1AD" w14:textId="77777777" w:rsidR="00EA0976" w:rsidRDefault="00EA0976" w:rsidP="001729AB">
      <w:pPr>
        <w:spacing w:before="80" w:after="80" w:line="240" w:lineRule="auto"/>
        <w:rPr>
          <w:lang w:eastAsia="en-AU"/>
        </w:rPr>
        <w:sectPr w:rsidR="00EA0976" w:rsidSect="00CD06B3">
          <w:pgSz w:w="11906" w:h="16838" w:code="9"/>
          <w:pgMar w:top="1440" w:right="1440" w:bottom="1440" w:left="1440" w:header="567" w:footer="57" w:gutter="0"/>
          <w:cols w:space="708"/>
          <w:docGrid w:linePitch="360"/>
        </w:sectPr>
      </w:pPr>
    </w:p>
    <w:p w14:paraId="5B4FBAF3" w14:textId="311D9E12" w:rsidR="00FF44EF" w:rsidRDefault="00B16CD5" w:rsidP="00DF32BE">
      <w:pPr>
        <w:pStyle w:val="NbrHeading1"/>
        <w:rPr>
          <w:color w:val="FF2305" w:themeColor="accent2"/>
        </w:rPr>
      </w:pPr>
      <w:bookmarkStart w:id="115" w:name="_Toc153899526"/>
      <w:r>
        <w:lastRenderedPageBreak/>
        <w:t>Summa</w:t>
      </w:r>
      <w:r w:rsidR="0033649D">
        <w:t xml:space="preserve">ry </w:t>
      </w:r>
      <w:r w:rsidR="00207EF1">
        <w:t xml:space="preserve">Applied </w:t>
      </w:r>
      <w:r w:rsidR="00B6621B">
        <w:t>SLR Findings</w:t>
      </w:r>
      <w:bookmarkEnd w:id="115"/>
    </w:p>
    <w:p w14:paraId="129E5DCD" w14:textId="77777777" w:rsidR="00DB78FA" w:rsidRDefault="0033649D" w:rsidP="00DB78FA">
      <w:pPr>
        <w:shd w:val="clear" w:color="auto" w:fill="FFFFFF" w:themeFill="background1"/>
        <w:ind w:left="1134"/>
        <w:rPr>
          <w:i/>
          <w:iCs/>
          <w:color w:val="0F4BEB" w:themeColor="accent1"/>
        </w:rPr>
      </w:pPr>
      <w:r w:rsidRPr="00207EF1">
        <w:rPr>
          <w:i/>
          <w:iCs/>
          <w:color w:val="0F4BEB" w:themeColor="accent1"/>
        </w:rPr>
        <w:t xml:space="preserve">This section </w:t>
      </w:r>
      <w:r w:rsidR="00751163" w:rsidRPr="00207EF1">
        <w:rPr>
          <w:i/>
          <w:iCs/>
          <w:color w:val="0F4BEB" w:themeColor="accent1"/>
        </w:rPr>
        <w:t xml:space="preserve">presents a summary of the </w:t>
      </w:r>
      <w:r w:rsidR="00207EF1">
        <w:rPr>
          <w:i/>
          <w:iCs/>
          <w:color w:val="0F4BEB" w:themeColor="accent1"/>
        </w:rPr>
        <w:t xml:space="preserve">companion Applied </w:t>
      </w:r>
      <w:r w:rsidR="009747DE" w:rsidRPr="00207EF1">
        <w:rPr>
          <w:i/>
          <w:iCs/>
          <w:color w:val="0F4BEB" w:themeColor="accent1"/>
        </w:rPr>
        <w:t>SLR report focused on accessing</w:t>
      </w:r>
      <w:r w:rsidR="00751163" w:rsidRPr="00207EF1">
        <w:rPr>
          <w:i/>
          <w:iCs/>
          <w:color w:val="0F4BEB" w:themeColor="accent1"/>
        </w:rPr>
        <w:t xml:space="preserve"> services for mental health and suicide </w:t>
      </w:r>
      <w:proofErr w:type="gramStart"/>
      <w:r w:rsidR="00751163" w:rsidRPr="00207EF1">
        <w:rPr>
          <w:i/>
          <w:iCs/>
          <w:color w:val="0F4BEB" w:themeColor="accent1"/>
        </w:rPr>
        <w:t>prevention, and</w:t>
      </w:r>
      <w:proofErr w:type="gramEnd"/>
      <w:r w:rsidR="00751163" w:rsidRPr="00207EF1">
        <w:rPr>
          <w:i/>
          <w:iCs/>
          <w:color w:val="0F4BEB" w:themeColor="accent1"/>
        </w:rPr>
        <w:t xml:space="preserve"> based on peer reviewed literature</w:t>
      </w:r>
      <w:r w:rsidR="005D7284" w:rsidRPr="00207EF1">
        <w:rPr>
          <w:i/>
          <w:iCs/>
          <w:color w:val="0F4BEB" w:themeColor="accent1"/>
        </w:rPr>
        <w:t xml:space="preserve"> as described at Section 1.2 and Attachment </w:t>
      </w:r>
      <w:r w:rsidR="00EA3567" w:rsidRPr="00207EF1">
        <w:rPr>
          <w:i/>
          <w:iCs/>
          <w:color w:val="0F4BEB" w:themeColor="accent1"/>
        </w:rPr>
        <w:t>2</w:t>
      </w:r>
      <w:r w:rsidR="00207EF1">
        <w:rPr>
          <w:i/>
          <w:iCs/>
          <w:color w:val="0F4BEB" w:themeColor="accent1"/>
        </w:rPr>
        <w:t>.</w:t>
      </w:r>
    </w:p>
    <w:p w14:paraId="697CB8CC" w14:textId="422B4FBA" w:rsidR="009747DE" w:rsidRPr="00207EF1" w:rsidRDefault="009747DE" w:rsidP="00DB78FA">
      <w:pPr>
        <w:shd w:val="clear" w:color="auto" w:fill="FFFFFF" w:themeFill="background1"/>
        <w:ind w:left="1134"/>
        <w:rPr>
          <w:i/>
          <w:iCs/>
          <w:color w:val="0F4BEB" w:themeColor="accent1"/>
        </w:rPr>
      </w:pPr>
      <w:proofErr w:type="gramStart"/>
      <w:r w:rsidRPr="00207EF1">
        <w:rPr>
          <w:i/>
          <w:iCs/>
          <w:color w:val="0F4BEB" w:themeColor="accent1"/>
        </w:rPr>
        <w:t>Specifically</w:t>
      </w:r>
      <w:proofErr w:type="gramEnd"/>
      <w:r w:rsidRPr="00207EF1">
        <w:rPr>
          <w:i/>
          <w:iCs/>
          <w:color w:val="0F4BEB" w:themeColor="accent1"/>
        </w:rPr>
        <w:t xml:space="preserve"> it addresses </w:t>
      </w:r>
      <w:r w:rsidR="005D7284" w:rsidRPr="00207EF1">
        <w:rPr>
          <w:i/>
          <w:iCs/>
          <w:color w:val="0F4BEB" w:themeColor="accent1"/>
        </w:rPr>
        <w:t>KRQ 2 namely</w:t>
      </w:r>
      <w:r w:rsidRPr="00207EF1">
        <w:rPr>
          <w:i/>
          <w:iCs/>
          <w:color w:val="0F4BEB" w:themeColor="accent1"/>
        </w:rPr>
        <w:t>:</w:t>
      </w:r>
    </w:p>
    <w:p w14:paraId="3AAB6FB1" w14:textId="141829FA" w:rsidR="00751163" w:rsidRPr="00DB78FA" w:rsidRDefault="00751163" w:rsidP="00DB78FA">
      <w:pPr>
        <w:pStyle w:val="ListNumber5"/>
        <w:ind w:left="1491" w:hanging="357"/>
        <w:rPr>
          <w:color w:val="0F4BEB" w:themeColor="accent1"/>
        </w:rPr>
      </w:pPr>
      <w:r w:rsidRPr="00DB78FA">
        <w:rPr>
          <w:color w:val="0F4BEB" w:themeColor="accent1"/>
        </w:rPr>
        <w:t>What services are available and provided to LGBTQ+ peoples?</w:t>
      </w:r>
    </w:p>
    <w:p w14:paraId="55ED56CD" w14:textId="509C37DE" w:rsidR="00751163" w:rsidRPr="00DB78FA" w:rsidRDefault="00751163" w:rsidP="00DB78FA">
      <w:pPr>
        <w:pStyle w:val="ListNumber5"/>
        <w:ind w:left="1491" w:hanging="357"/>
        <w:rPr>
          <w:color w:val="0F4BEB" w:themeColor="accent1"/>
        </w:rPr>
      </w:pPr>
      <w:r w:rsidRPr="00DB78FA">
        <w:rPr>
          <w:color w:val="0F4BEB" w:themeColor="accent1"/>
        </w:rPr>
        <w:t>What services were found to be effective?</w:t>
      </w:r>
    </w:p>
    <w:p w14:paraId="0D27E5E5" w14:textId="7E0F05A0" w:rsidR="00751163" w:rsidRPr="00DB78FA" w:rsidRDefault="00751163" w:rsidP="00DB78FA">
      <w:pPr>
        <w:pStyle w:val="ListNumber5"/>
        <w:ind w:left="1491" w:hanging="357"/>
        <w:rPr>
          <w:color w:val="0F4BEB" w:themeColor="accent1"/>
        </w:rPr>
      </w:pPr>
      <w:r w:rsidRPr="00DB78FA">
        <w:rPr>
          <w:color w:val="0F4BEB" w:themeColor="accent1"/>
        </w:rPr>
        <w:t>What service gaps or barriers were identified</w:t>
      </w:r>
      <w:r w:rsidR="00223C13" w:rsidRPr="00DB78FA">
        <w:rPr>
          <w:color w:val="0F4BEB" w:themeColor="accent1"/>
        </w:rPr>
        <w:t>,</w:t>
      </w:r>
      <w:r w:rsidRPr="00DB78FA">
        <w:rPr>
          <w:color w:val="0F4BEB" w:themeColor="accent1"/>
        </w:rPr>
        <w:t xml:space="preserve"> and what were their details?</w:t>
      </w:r>
    </w:p>
    <w:p w14:paraId="25AE9631" w14:textId="77777777" w:rsidR="004604F9" w:rsidRDefault="004604F9" w:rsidP="00DF32BE">
      <w:pPr>
        <w:pStyle w:val="NbrHeading2"/>
      </w:pPr>
      <w:bookmarkStart w:id="116" w:name="_Toc153899527"/>
      <w:r>
        <w:t>Overall Applied SLR findings</w:t>
      </w:r>
      <w:bookmarkEnd w:id="116"/>
      <w:r>
        <w:t xml:space="preserve"> </w:t>
      </w:r>
    </w:p>
    <w:p w14:paraId="35C496C0" w14:textId="4E361637" w:rsidR="004604F9" w:rsidRPr="00F554FE" w:rsidRDefault="004604F9" w:rsidP="00F554FE">
      <w:r w:rsidRPr="00F554FE">
        <w:t>As documented in Section 1</w:t>
      </w:r>
      <w:r w:rsidR="008C1FD2" w:rsidRPr="00F554FE">
        <w:t>.2</w:t>
      </w:r>
      <w:r w:rsidRPr="00F554FE">
        <w:t>, the companion report presenting the Applied SLR focused on 56 articles identified by the Department, published between 2013 and 2023, which focused on provision of mental health and suicide prevention services to LGBTQ+ people in Australia and the UK.  The SLR report also included a lived Experience interpretation provided by the Rainbow Embassy, summarised below at Section 5.1.4.</w:t>
      </w:r>
    </w:p>
    <w:p w14:paraId="51D81934" w14:textId="77777777" w:rsidR="004604F9" w:rsidRDefault="004604F9" w:rsidP="004604F9">
      <w:pPr>
        <w:rPr>
          <w:rFonts w:eastAsia="Times New Roman" w:cs="Arial"/>
          <w:b/>
          <w:szCs w:val="24"/>
          <w:lang w:eastAsia="en-AU"/>
        </w:rPr>
      </w:pPr>
      <w:r>
        <w:rPr>
          <w:rFonts w:eastAsia="Times New Roman" w:cs="Arial"/>
          <w:lang w:eastAsia="en-AU"/>
        </w:rPr>
        <w:t xml:space="preserve">While no </w:t>
      </w:r>
      <w:r w:rsidRPr="00FD1A7A">
        <w:rPr>
          <w:rFonts w:eastAsia="Times New Roman" w:cs="Arial"/>
          <w:lang w:eastAsia="en-AU"/>
        </w:rPr>
        <w:t xml:space="preserve">definitive answer regarding the effectiveness of services could be provided based on the </w:t>
      </w:r>
      <w:r>
        <w:rPr>
          <w:rFonts w:eastAsia="Times New Roman" w:cs="Arial"/>
          <w:lang w:eastAsia="en-AU"/>
        </w:rPr>
        <w:t xml:space="preserve">in-scope </w:t>
      </w:r>
      <w:r w:rsidRPr="00FD1A7A">
        <w:rPr>
          <w:rFonts w:eastAsia="Times New Roman" w:cs="Arial"/>
          <w:lang w:eastAsia="en-AU"/>
        </w:rPr>
        <w:t>literature</w:t>
      </w:r>
      <w:r>
        <w:rPr>
          <w:rFonts w:eastAsia="Times New Roman" w:cs="Arial"/>
          <w:lang w:eastAsia="en-AU"/>
        </w:rPr>
        <w:t xml:space="preserve">, </w:t>
      </w:r>
      <w:proofErr w:type="gramStart"/>
      <w:r>
        <w:rPr>
          <w:rFonts w:eastAsia="Times New Roman" w:cs="Arial"/>
          <w:lang w:eastAsia="en-AU"/>
        </w:rPr>
        <w:t>a number of</w:t>
      </w:r>
      <w:proofErr w:type="gramEnd"/>
      <w:r>
        <w:rPr>
          <w:rFonts w:eastAsia="Times New Roman" w:cs="Arial"/>
          <w:lang w:eastAsia="en-AU"/>
        </w:rPr>
        <w:t xml:space="preserve"> key </w:t>
      </w:r>
      <w:r w:rsidRPr="00FD1A7A">
        <w:rPr>
          <w:rFonts w:eastAsia="Times New Roman" w:cs="Arial"/>
          <w:lang w:eastAsia="en-AU"/>
        </w:rPr>
        <w:t xml:space="preserve">findings </w:t>
      </w:r>
      <w:r>
        <w:rPr>
          <w:rFonts w:eastAsia="Times New Roman" w:cs="Arial"/>
          <w:lang w:eastAsia="en-AU"/>
        </w:rPr>
        <w:t xml:space="preserve">nonetheless were drawn from the </w:t>
      </w:r>
      <w:r w:rsidRPr="00FD1A7A">
        <w:rPr>
          <w:rFonts w:eastAsia="Times New Roman" w:cs="Arial"/>
          <w:lang w:eastAsia="en-AU"/>
        </w:rPr>
        <w:t>review as summarised below:</w:t>
      </w:r>
    </w:p>
    <w:p w14:paraId="6A4BD321" w14:textId="77777777" w:rsidR="004604F9" w:rsidRDefault="004604F9" w:rsidP="00DF32BE">
      <w:pPr>
        <w:pStyle w:val="NbrHeading3"/>
      </w:pPr>
      <w:bookmarkStart w:id="117" w:name="_Toc153899528"/>
      <w:r w:rsidRPr="001C124C">
        <w:t>What services are available and provided to LGBTQ+ peoples?</w:t>
      </w:r>
      <w:bookmarkEnd w:id="117"/>
      <w:r w:rsidRPr="001C124C">
        <w:t> </w:t>
      </w:r>
    </w:p>
    <w:p w14:paraId="79EF80C3" w14:textId="3EC51A8D" w:rsidR="004604F9" w:rsidRPr="00BB1582" w:rsidRDefault="004604F9" w:rsidP="004604F9">
      <w:pPr>
        <w:rPr>
          <w:lang w:eastAsia="en-AU"/>
        </w:rPr>
      </w:pPr>
      <w:r w:rsidRPr="00BB1582">
        <w:rPr>
          <w:lang w:eastAsia="en-AU"/>
        </w:rPr>
        <w:t xml:space="preserve">None of the screened studies (56) </w:t>
      </w:r>
      <w:r>
        <w:rPr>
          <w:lang w:eastAsia="en-AU"/>
        </w:rPr>
        <w:t xml:space="preserve">reviewed </w:t>
      </w:r>
      <w:r w:rsidRPr="00BB1582">
        <w:rPr>
          <w:lang w:eastAsia="en-AU"/>
        </w:rPr>
        <w:t xml:space="preserve">provided a comprehensive map of mental health services provided to LGBTQ+ people in Australia, nor the UK. </w:t>
      </w:r>
      <w:r>
        <w:rPr>
          <w:lang w:eastAsia="en-AU"/>
        </w:rPr>
        <w:t>Additionally, the</w:t>
      </w:r>
      <w:r w:rsidRPr="00BB1582">
        <w:rPr>
          <w:lang w:eastAsia="en-AU"/>
        </w:rPr>
        <w:t xml:space="preserve"> SLR pointed to a lack of dedicated research regarding the provision of care to some sub-groups of the LGBTQ+ population (e.g., non-binary people, gender fluid, and/or pansexual people), as well as LGBTQ+ people with intersecting identities</w:t>
      </w:r>
      <w:r>
        <w:rPr>
          <w:lang w:eastAsia="en-AU"/>
        </w:rPr>
        <w:t xml:space="preserve"> and experiences</w:t>
      </w:r>
      <w:r w:rsidRPr="00BB1582">
        <w:rPr>
          <w:lang w:eastAsia="en-AU"/>
        </w:rPr>
        <w:t xml:space="preserve"> (e.g., LGBTQ+ people from CALD backgrounds). Importantly, no studies included in the SLR examined experiences of people with innate variations in sex characteristics or asexual people, meaning that the findings only pertain to LGBTQ+ people. </w:t>
      </w:r>
    </w:p>
    <w:p w14:paraId="742BA8A1" w14:textId="77777777" w:rsidR="004604F9" w:rsidRPr="009A4530" w:rsidRDefault="004604F9" w:rsidP="004604F9">
      <w:pPr>
        <w:rPr>
          <w:rFonts w:ascii="Segoe UI" w:hAnsi="Segoe UI" w:cs="Segoe UI"/>
          <w:sz w:val="18"/>
          <w:szCs w:val="18"/>
          <w:lang w:eastAsia="en-AU"/>
        </w:rPr>
      </w:pPr>
      <w:r w:rsidRPr="00BB1582">
        <w:rPr>
          <w:lang w:eastAsia="en-AU"/>
        </w:rPr>
        <w:t>Nonetheless, the SLR literature provided insight into services available and provided to LGBTQ+ people. Like the general population, most LGBTQ+ people access mental health services via a GP and prefer to be referred to a psychologist for mental health concerns</w:t>
      </w:r>
      <w:r>
        <w:rPr>
          <w:lang w:eastAsia="en-AU"/>
        </w:rPr>
        <w:t>.</w:t>
      </w:r>
      <w:r>
        <w:rPr>
          <w:rStyle w:val="FootnoteReference"/>
          <w:rFonts w:eastAsia="Times New Roman" w:cs="Arial"/>
          <w:lang w:eastAsia="en-AU"/>
        </w:rPr>
        <w:footnoteReference w:id="256"/>
      </w:r>
      <w:r>
        <w:rPr>
          <w:lang w:eastAsia="en-AU"/>
        </w:rPr>
        <w:t xml:space="preserve"> </w:t>
      </w:r>
      <w:r w:rsidRPr="00BB1582">
        <w:rPr>
          <w:lang w:eastAsia="en-AU"/>
        </w:rPr>
        <w:t xml:space="preserve">Only a small portion of LGBTQ+ were reported to access LGBTIQA+ specific services (e.g., </w:t>
      </w:r>
      <w:r w:rsidRPr="00BB1582">
        <w:rPr>
          <w:lang w:eastAsia="en-AU"/>
        </w:rPr>
        <w:lastRenderedPageBreak/>
        <w:t>12%)</w:t>
      </w:r>
      <w:r>
        <w:rPr>
          <w:rStyle w:val="FootnoteReference"/>
          <w:rFonts w:eastAsia="Times New Roman" w:cs="Arial"/>
          <w:lang w:eastAsia="en-AU"/>
        </w:rPr>
        <w:footnoteReference w:id="257"/>
      </w:r>
      <w:r w:rsidRPr="00BB1582">
        <w:rPr>
          <w:lang w:eastAsia="en-AU"/>
        </w:rPr>
        <w:t>, a trend that has been noted previously.</w:t>
      </w:r>
      <w:r>
        <w:rPr>
          <w:rStyle w:val="FootnoteReference"/>
          <w:rFonts w:eastAsia="Times New Roman" w:cs="Arial"/>
          <w:lang w:eastAsia="en-AU"/>
        </w:rPr>
        <w:footnoteReference w:id="258"/>
      </w:r>
      <w:r w:rsidRPr="00BB1582">
        <w:rPr>
          <w:lang w:eastAsia="en-AU"/>
        </w:rPr>
        <w:t xml:space="preserve"> Given that this review, and previous research</w:t>
      </w:r>
      <w:r>
        <w:rPr>
          <w:rStyle w:val="FootnoteReference"/>
          <w:rFonts w:eastAsia="Times New Roman" w:cs="Arial"/>
          <w:lang w:eastAsia="en-AU"/>
        </w:rPr>
        <w:footnoteReference w:id="259"/>
      </w:r>
      <w:r>
        <w:rPr>
          <w:vertAlign w:val="superscript"/>
          <w:lang w:eastAsia="en-AU"/>
        </w:rPr>
        <w:t>,</w:t>
      </w:r>
      <w:r>
        <w:rPr>
          <w:rStyle w:val="FootnoteReference"/>
          <w:rFonts w:eastAsia="Times New Roman" w:cs="Arial"/>
          <w:lang w:eastAsia="en-AU"/>
        </w:rPr>
        <w:footnoteReference w:id="260"/>
      </w:r>
      <w:r w:rsidRPr="00BB1582">
        <w:rPr>
          <w:lang w:eastAsia="en-AU"/>
        </w:rPr>
        <w:t xml:space="preserve">, indicates a clear preference among LGBTQ+ people in Australia for LGBTIQA+ specific services, this finding likely reflects a lack of available services and may also indicate limited capacity within these organisations to address mental health concerns. </w:t>
      </w:r>
      <w:r w:rsidRPr="009A4530">
        <w:rPr>
          <w:lang w:eastAsia="en-AU"/>
        </w:rPr>
        <w:t>SLR findings also indicate that LGBTQIA+ specific services may not fully meet the needs of LGBTQ+ sub-populations, including trans and bisexual people</w:t>
      </w:r>
      <w:r>
        <w:rPr>
          <w:lang w:eastAsia="en-AU"/>
        </w:rPr>
        <w:t>.</w:t>
      </w:r>
      <w:r>
        <w:rPr>
          <w:rStyle w:val="FootnoteReference"/>
          <w:rFonts w:eastAsia="Times New Roman" w:cs="Arial"/>
          <w:lang w:eastAsia="en-AU"/>
        </w:rPr>
        <w:footnoteReference w:id="261"/>
      </w:r>
      <w:r>
        <w:rPr>
          <w:vertAlign w:val="superscript"/>
          <w:lang w:eastAsia="en-AU"/>
        </w:rPr>
        <w:t>,</w:t>
      </w:r>
      <w:r>
        <w:rPr>
          <w:rStyle w:val="FootnoteReference"/>
          <w:rFonts w:eastAsia="Times New Roman" w:cs="Arial"/>
          <w:lang w:eastAsia="en-AU"/>
        </w:rPr>
        <w:footnoteReference w:id="262"/>
      </w:r>
      <w:r>
        <w:rPr>
          <w:vertAlign w:val="superscript"/>
          <w:lang w:eastAsia="en-AU"/>
        </w:rPr>
        <w:t>,</w:t>
      </w:r>
      <w:r>
        <w:rPr>
          <w:rStyle w:val="FootnoteReference"/>
          <w:rFonts w:eastAsia="Times New Roman" w:cs="Arial"/>
          <w:lang w:eastAsia="en-AU"/>
        </w:rPr>
        <w:footnoteReference w:id="263"/>
      </w:r>
    </w:p>
    <w:p w14:paraId="49F128FD" w14:textId="77777777" w:rsidR="004604F9" w:rsidRDefault="004604F9" w:rsidP="004604F9">
      <w:pPr>
        <w:rPr>
          <w:rFonts w:eastAsia="Times New Roman" w:cs="Arial"/>
          <w:lang w:eastAsia="en-AU"/>
        </w:rPr>
      </w:pPr>
      <w:r w:rsidRPr="009A4530">
        <w:rPr>
          <w:rFonts w:eastAsia="Times New Roman" w:cs="Arial"/>
          <w:lang w:eastAsia="en-AU"/>
        </w:rPr>
        <w:t xml:space="preserve">The studies </w:t>
      </w:r>
      <w:r>
        <w:rPr>
          <w:rFonts w:eastAsia="Times New Roman" w:cs="Arial"/>
          <w:lang w:eastAsia="en-AU"/>
        </w:rPr>
        <w:t xml:space="preserve">also </w:t>
      </w:r>
      <w:r w:rsidRPr="009A4530">
        <w:rPr>
          <w:rFonts w:eastAsia="Times New Roman" w:cs="Arial"/>
          <w:lang w:eastAsia="en-AU"/>
        </w:rPr>
        <w:t xml:space="preserve">indicate that LGBTIQA+ specific services, as well as mainstream and Aboriginal Community Controlled Health Organisations, </w:t>
      </w:r>
      <w:r>
        <w:rPr>
          <w:rFonts w:eastAsia="Times New Roman" w:cs="Arial"/>
          <w:lang w:eastAsia="en-AU"/>
        </w:rPr>
        <w:t>may</w:t>
      </w:r>
      <w:r w:rsidRPr="009A4530">
        <w:rPr>
          <w:rFonts w:eastAsia="Times New Roman" w:cs="Arial"/>
          <w:lang w:eastAsia="en-AU"/>
        </w:rPr>
        <w:t xml:space="preserve"> not adequately address the care needs of First Nations LGBTQ+SB </w:t>
      </w:r>
      <w:r>
        <w:rPr>
          <w:rFonts w:eastAsia="Times New Roman" w:cs="Arial"/>
          <w:lang w:eastAsia="en-AU"/>
        </w:rPr>
        <w:t xml:space="preserve">(plus Sistergirl and Brotherboy) </w:t>
      </w:r>
      <w:r w:rsidRPr="009A4530">
        <w:rPr>
          <w:rFonts w:eastAsia="Times New Roman" w:cs="Arial"/>
          <w:lang w:eastAsia="en-AU"/>
        </w:rPr>
        <w:t>people.</w:t>
      </w:r>
      <w:r>
        <w:rPr>
          <w:rStyle w:val="FootnoteReference"/>
          <w:rFonts w:eastAsia="Times New Roman" w:cs="Arial"/>
          <w:lang w:eastAsia="en-AU"/>
        </w:rPr>
        <w:footnoteReference w:id="264"/>
      </w:r>
      <w:r w:rsidRPr="009A4530">
        <w:rPr>
          <w:rFonts w:eastAsia="Times New Roman" w:cs="Arial"/>
          <w:lang w:eastAsia="en-AU"/>
        </w:rPr>
        <w:t xml:space="preserve"> The research gap on First Nations people echoes a broader lack of sustained examination of the experiences and needs of LGBTQ+ people from diverse CALD backgrounds, or LGBTQ+ people with other kinds of intersectional </w:t>
      </w:r>
      <w:r>
        <w:rPr>
          <w:rFonts w:eastAsia="Times New Roman" w:cs="Arial"/>
          <w:lang w:eastAsia="en-AU"/>
        </w:rPr>
        <w:t xml:space="preserve">identities and </w:t>
      </w:r>
      <w:r w:rsidRPr="009A4530">
        <w:rPr>
          <w:rFonts w:eastAsia="Times New Roman" w:cs="Arial"/>
          <w:lang w:eastAsia="en-AU"/>
        </w:rPr>
        <w:t>experiences, e.g., related to disability.</w:t>
      </w:r>
    </w:p>
    <w:p w14:paraId="43BE5F88" w14:textId="77777777" w:rsidR="004604F9" w:rsidRDefault="004604F9" w:rsidP="00DF32BE">
      <w:pPr>
        <w:pStyle w:val="NbrHeading3"/>
      </w:pPr>
      <w:bookmarkStart w:id="118" w:name="_Toc153899529"/>
      <w:r w:rsidRPr="00CC3B10">
        <w:t>What services were found to be effective?</w:t>
      </w:r>
      <w:bookmarkEnd w:id="118"/>
      <w:r w:rsidRPr="00CC3B10">
        <w:t> </w:t>
      </w:r>
    </w:p>
    <w:p w14:paraId="7963B447" w14:textId="77777777" w:rsidR="004604F9" w:rsidRDefault="004604F9" w:rsidP="004604F9">
      <w:pPr>
        <w:rPr>
          <w:lang w:eastAsia="en-AU"/>
        </w:rPr>
      </w:pPr>
      <w:r w:rsidRPr="00FD1A7A">
        <w:rPr>
          <w:lang w:eastAsia="en-AU"/>
        </w:rPr>
        <w:t xml:space="preserve">The </w:t>
      </w:r>
      <w:r>
        <w:rPr>
          <w:lang w:eastAsia="en-AU"/>
        </w:rPr>
        <w:t xml:space="preserve">Applied </w:t>
      </w:r>
      <w:r w:rsidRPr="00FD1A7A">
        <w:rPr>
          <w:lang w:eastAsia="en-AU"/>
        </w:rPr>
        <w:t xml:space="preserve">SLR analysed the review data in respect to the six domains of health care quality put forward by the </w:t>
      </w:r>
      <w:r>
        <w:rPr>
          <w:lang w:eastAsia="en-AU"/>
        </w:rPr>
        <w:t xml:space="preserve">Institute of Medicine Committee. </w:t>
      </w:r>
      <w:r w:rsidRPr="00FD1A7A">
        <w:rPr>
          <w:lang w:eastAsia="en-AU"/>
        </w:rPr>
        <w:t>This provides a comprehensive framework to analyse evidence on the quality and performance of mental health services, including assessment of timeliness, person-centredness, effectiveness,</w:t>
      </w:r>
      <w:r>
        <w:rPr>
          <w:lang w:eastAsia="en-AU"/>
        </w:rPr>
        <w:t xml:space="preserve"> equity, safety, and efficiency. </w:t>
      </w:r>
    </w:p>
    <w:p w14:paraId="0107F9C3" w14:textId="77777777" w:rsidR="004604F9" w:rsidRDefault="004604F9" w:rsidP="004604F9">
      <w:pPr>
        <w:rPr>
          <w:lang w:eastAsia="en-AU"/>
        </w:rPr>
      </w:pPr>
      <w:r>
        <w:rPr>
          <w:lang w:eastAsia="en-AU"/>
        </w:rPr>
        <w:t>The</w:t>
      </w:r>
      <w:r w:rsidRPr="00ED6363">
        <w:rPr>
          <w:lang w:eastAsia="en-AU"/>
        </w:rPr>
        <w:t xml:space="preserve"> available research detail</w:t>
      </w:r>
      <w:r>
        <w:rPr>
          <w:lang w:eastAsia="en-AU"/>
        </w:rPr>
        <w:t>ed</w:t>
      </w:r>
      <w:r w:rsidRPr="00ED6363">
        <w:rPr>
          <w:lang w:eastAsia="en-AU"/>
        </w:rPr>
        <w:t xml:space="preserve"> findings relevant to five domains</w:t>
      </w:r>
      <w:r>
        <w:rPr>
          <w:lang w:eastAsia="en-AU"/>
        </w:rPr>
        <w:t>, with no data available on service efficiency</w:t>
      </w:r>
      <w:r w:rsidRPr="00ED6363">
        <w:rPr>
          <w:lang w:eastAsia="en-AU"/>
        </w:rPr>
        <w:t xml:space="preserve">, and provides insights on the quality and performance of mental health and suicide prevention services, including effectiveness of services, as well as gaps, shortfalls, </w:t>
      </w:r>
      <w:r w:rsidRPr="00ED6363">
        <w:rPr>
          <w:lang w:eastAsia="en-AU"/>
        </w:rPr>
        <w:lastRenderedPageBreak/>
        <w:t xml:space="preserve">and areas which could be enhanced to </w:t>
      </w:r>
      <w:r>
        <w:rPr>
          <w:lang w:eastAsia="en-AU"/>
        </w:rPr>
        <w:t>provide timely, equitable</w:t>
      </w:r>
      <w:r w:rsidRPr="00ED6363">
        <w:rPr>
          <w:lang w:eastAsia="en-AU"/>
        </w:rPr>
        <w:t>, and safer mental health service provision.</w:t>
      </w:r>
      <w:r w:rsidRPr="003C39FE">
        <w:rPr>
          <w:lang w:eastAsia="en-AU"/>
        </w:rPr>
        <w:t xml:space="preserve"> </w:t>
      </w:r>
    </w:p>
    <w:p w14:paraId="2A056BF5" w14:textId="77777777" w:rsidR="004604F9" w:rsidRDefault="004604F9" w:rsidP="004604F9">
      <w:pPr>
        <w:rPr>
          <w:lang w:eastAsia="en-AU"/>
        </w:rPr>
      </w:pPr>
      <w:r w:rsidRPr="00390399">
        <w:rPr>
          <w:rFonts w:eastAsia="Times New Roman" w:cs="Arial"/>
          <w:lang w:eastAsia="en-AU"/>
        </w:rPr>
        <w:t xml:space="preserve">Most of the studies examined a mix of mental health service providers, making it difficult to distinguish the perceived quality and performance of specific providers or service types. </w:t>
      </w:r>
      <w:r>
        <w:rPr>
          <w:rFonts w:eastAsia="Times New Roman" w:cs="Arial"/>
          <w:lang w:eastAsia="en-AU"/>
        </w:rPr>
        <w:t xml:space="preserve">Nonetheless, </w:t>
      </w:r>
      <w:r>
        <w:rPr>
          <w:lang w:eastAsia="en-AU"/>
        </w:rPr>
        <w:t>the SLR evidence indicates that</w:t>
      </w:r>
      <w:r w:rsidRPr="00ED6363">
        <w:rPr>
          <w:lang w:eastAsia="en-AU"/>
        </w:rPr>
        <w:t xml:space="preserve"> person-centred, welcoming, empa</w:t>
      </w:r>
      <w:r>
        <w:rPr>
          <w:lang w:eastAsia="en-AU"/>
        </w:rPr>
        <w:t xml:space="preserve">thic, and caring mental health services that prioritise listening, and respect is the </w:t>
      </w:r>
      <w:r w:rsidRPr="00ED6363">
        <w:rPr>
          <w:lang w:eastAsia="en-AU"/>
        </w:rPr>
        <w:t>minimal standard of care required for anyone acc</w:t>
      </w:r>
      <w:r>
        <w:rPr>
          <w:lang w:eastAsia="en-AU"/>
        </w:rPr>
        <w:t>essing mental health services.</w:t>
      </w:r>
      <w:r w:rsidRPr="003C39FE">
        <w:rPr>
          <w:rStyle w:val="FootnoteReference"/>
          <w:rFonts w:eastAsia="Times New Roman" w:cs="Arial"/>
          <w:lang w:eastAsia="en-AU"/>
        </w:rPr>
        <w:t xml:space="preserve"> </w:t>
      </w:r>
      <w:r>
        <w:rPr>
          <w:rStyle w:val="FootnoteReference"/>
          <w:rFonts w:eastAsia="Times New Roman" w:cs="Arial"/>
          <w:lang w:eastAsia="en-AU"/>
        </w:rPr>
        <w:footnoteReference w:id="265"/>
      </w:r>
      <w:r>
        <w:rPr>
          <w:vertAlign w:val="superscript"/>
          <w:lang w:eastAsia="en-AU"/>
        </w:rPr>
        <w:t>,</w:t>
      </w:r>
      <w:r>
        <w:rPr>
          <w:rStyle w:val="FootnoteReference"/>
          <w:rFonts w:eastAsia="Times New Roman" w:cs="Arial"/>
          <w:lang w:eastAsia="en-AU"/>
        </w:rPr>
        <w:footnoteReference w:id="266"/>
      </w:r>
      <w:r>
        <w:rPr>
          <w:vertAlign w:val="superscript"/>
          <w:lang w:eastAsia="en-AU"/>
        </w:rPr>
        <w:t>,</w:t>
      </w:r>
      <w:r>
        <w:rPr>
          <w:rStyle w:val="FootnoteReference"/>
          <w:rFonts w:eastAsia="Times New Roman" w:cs="Arial"/>
          <w:lang w:eastAsia="en-AU"/>
        </w:rPr>
        <w:footnoteReference w:id="267"/>
      </w:r>
      <w:r>
        <w:rPr>
          <w:vertAlign w:val="superscript"/>
          <w:lang w:eastAsia="en-AU"/>
        </w:rPr>
        <w:t>,</w:t>
      </w:r>
      <w:r>
        <w:rPr>
          <w:rStyle w:val="FootnoteReference"/>
          <w:rFonts w:eastAsia="Times New Roman" w:cs="Arial"/>
          <w:lang w:eastAsia="en-AU"/>
        </w:rPr>
        <w:footnoteReference w:id="268"/>
      </w:r>
      <w:r>
        <w:rPr>
          <w:vertAlign w:val="superscript"/>
          <w:lang w:eastAsia="en-AU"/>
        </w:rPr>
        <w:t>,</w:t>
      </w:r>
      <w:r>
        <w:rPr>
          <w:rStyle w:val="FootnoteReference"/>
          <w:rFonts w:eastAsia="Times New Roman" w:cs="Arial"/>
          <w:lang w:eastAsia="en-AU"/>
        </w:rPr>
        <w:footnoteReference w:id="269"/>
      </w:r>
      <w:r>
        <w:rPr>
          <w:lang w:eastAsia="en-AU"/>
        </w:rPr>
        <w:t xml:space="preserve"> However, o</w:t>
      </w:r>
      <w:r w:rsidRPr="00FD1A7A">
        <w:rPr>
          <w:lang w:eastAsia="en-AU"/>
        </w:rPr>
        <w:t>verall, there were mixed findings regarding the quality and performance of mental health and suicide prevention services. </w:t>
      </w:r>
    </w:p>
    <w:p w14:paraId="2D0B5FBC" w14:textId="77777777" w:rsidR="004604F9" w:rsidRDefault="004604F9" w:rsidP="004604F9">
      <w:pPr>
        <w:rPr>
          <w:lang w:eastAsia="en-AU"/>
        </w:rPr>
      </w:pPr>
      <w:r w:rsidRPr="00FD1A7A">
        <w:rPr>
          <w:lang w:eastAsia="en-AU"/>
        </w:rPr>
        <w:t>While some LGBTQ+ people received mental health and suicide prevention services that were accessible, affirming, safe and effective for promoting personal recovery, many studies indicated difficulties related to timely access to person-centred, recovery-oriented, equitable and safe services. Commonly identified issues with service quality and performance included: </w:t>
      </w:r>
    </w:p>
    <w:p w14:paraId="28648A73" w14:textId="77777777" w:rsidR="004604F9" w:rsidRPr="00D65E4F" w:rsidRDefault="004604F9" w:rsidP="006205ED">
      <w:pPr>
        <w:pStyle w:val="ListParagraph"/>
        <w:numPr>
          <w:ilvl w:val="0"/>
          <w:numId w:val="44"/>
        </w:numPr>
      </w:pPr>
      <w:r w:rsidRPr="00D65E4F">
        <w:rPr>
          <w:b/>
          <w:bCs/>
        </w:rPr>
        <w:t>Knowledge deficits</w:t>
      </w:r>
      <w:r w:rsidRPr="00D65E4F">
        <w:t xml:space="preserve"> among healthcare providers and reliance on those seeking care to educate the provider about the needs of LGBTQ+ people, which could be emotionally exhausting and financially costly in terms of therapy time.</w:t>
      </w:r>
      <w:r>
        <w:rPr>
          <w:rStyle w:val="FootnoteReference"/>
          <w:rFonts w:cs="Arial"/>
        </w:rPr>
        <w:footnoteReference w:id="270"/>
      </w:r>
      <w:r w:rsidRPr="00D65E4F">
        <w:rPr>
          <w:vertAlign w:val="superscript"/>
        </w:rPr>
        <w:t>,</w:t>
      </w:r>
      <w:r>
        <w:rPr>
          <w:rStyle w:val="FootnoteReference"/>
          <w:rFonts w:cs="Arial"/>
        </w:rPr>
        <w:footnoteReference w:id="271"/>
      </w:r>
      <w:r w:rsidRPr="00D65E4F">
        <w:rPr>
          <w:vertAlign w:val="superscript"/>
        </w:rPr>
        <w:t>,</w:t>
      </w:r>
      <w:r>
        <w:rPr>
          <w:rStyle w:val="FootnoteReference"/>
          <w:rFonts w:cs="Arial"/>
        </w:rPr>
        <w:footnoteReference w:id="272"/>
      </w:r>
      <w:r w:rsidRPr="00D65E4F">
        <w:rPr>
          <w:vertAlign w:val="superscript"/>
        </w:rPr>
        <w:t>,</w:t>
      </w:r>
      <w:r>
        <w:rPr>
          <w:rStyle w:val="FootnoteReference"/>
          <w:rFonts w:cs="Arial"/>
        </w:rPr>
        <w:footnoteReference w:id="273"/>
      </w:r>
    </w:p>
    <w:p w14:paraId="34202320" w14:textId="77777777" w:rsidR="004604F9" w:rsidRPr="00D65E4F" w:rsidRDefault="004604F9" w:rsidP="006205ED">
      <w:pPr>
        <w:pStyle w:val="ListParagraph"/>
        <w:numPr>
          <w:ilvl w:val="0"/>
          <w:numId w:val="44"/>
        </w:numPr>
      </w:pPr>
      <w:r w:rsidRPr="00D65E4F">
        <w:rPr>
          <w:b/>
          <w:bCs/>
        </w:rPr>
        <w:lastRenderedPageBreak/>
        <w:t xml:space="preserve">Microaggressions </w:t>
      </w:r>
      <w:r w:rsidRPr="00D65E4F">
        <w:t>including hetero/cis normativity, misgendering, invalidation and pathologisation of sexual orientation</w:t>
      </w:r>
      <w:r>
        <w:t xml:space="preserve"> or</w:t>
      </w:r>
      <w:r w:rsidRPr="00D65E4F">
        <w:t xml:space="preserve"> gender</w:t>
      </w:r>
      <w:r>
        <w:t xml:space="preserve"> identity.</w:t>
      </w:r>
      <w:r w:rsidRPr="00D65E4F">
        <w:t xml:space="preserve"> These issues were linked to increased distress and discouragement of future help seeking.</w:t>
      </w:r>
      <w:r>
        <w:rPr>
          <w:rStyle w:val="FootnoteReference"/>
          <w:rFonts w:cs="Arial"/>
        </w:rPr>
        <w:footnoteReference w:id="274"/>
      </w:r>
      <w:r w:rsidRPr="00D65E4F">
        <w:rPr>
          <w:vertAlign w:val="superscript"/>
        </w:rPr>
        <w:t>,</w:t>
      </w:r>
      <w:r>
        <w:rPr>
          <w:rStyle w:val="FootnoteReference"/>
          <w:rFonts w:cs="Arial"/>
        </w:rPr>
        <w:footnoteReference w:id="275"/>
      </w:r>
      <w:r w:rsidRPr="00D65E4F">
        <w:rPr>
          <w:vertAlign w:val="superscript"/>
        </w:rPr>
        <w:t>,</w:t>
      </w:r>
      <w:r>
        <w:rPr>
          <w:rStyle w:val="FootnoteReference"/>
          <w:rFonts w:cs="Arial"/>
        </w:rPr>
        <w:footnoteReference w:id="276"/>
      </w:r>
    </w:p>
    <w:p w14:paraId="4FF04D71" w14:textId="77777777" w:rsidR="004604F9" w:rsidRPr="00D65E4F" w:rsidRDefault="004604F9" w:rsidP="006205ED">
      <w:pPr>
        <w:pStyle w:val="ListParagraph"/>
        <w:numPr>
          <w:ilvl w:val="0"/>
          <w:numId w:val="44"/>
        </w:numPr>
      </w:pPr>
      <w:r w:rsidRPr="00D65E4F">
        <w:rPr>
          <w:b/>
          <w:bCs/>
        </w:rPr>
        <w:t xml:space="preserve">Difficulty accessing affirming mental health services, particularly during a crisis. </w:t>
      </w:r>
      <w:r w:rsidRPr="00D65E4F">
        <w:t>This related to timely access to recovery-oriented services that are safe, affirming, and effective. It also related to timely access to appropriate referrals.</w:t>
      </w:r>
      <w:r>
        <w:rPr>
          <w:rStyle w:val="FootnoteReference"/>
          <w:rFonts w:cs="Arial"/>
        </w:rPr>
        <w:footnoteReference w:id="277"/>
      </w:r>
      <w:r w:rsidRPr="00D65E4F">
        <w:rPr>
          <w:vertAlign w:val="superscript"/>
        </w:rPr>
        <w:t>,</w:t>
      </w:r>
      <w:r>
        <w:rPr>
          <w:rStyle w:val="FootnoteReference"/>
          <w:rFonts w:cs="Arial"/>
        </w:rPr>
        <w:footnoteReference w:id="278"/>
      </w:r>
    </w:p>
    <w:p w14:paraId="50D7BCD5" w14:textId="77777777" w:rsidR="004604F9" w:rsidRDefault="004604F9" w:rsidP="006205ED">
      <w:pPr>
        <w:pStyle w:val="ListParagraph"/>
        <w:numPr>
          <w:ilvl w:val="0"/>
          <w:numId w:val="44"/>
        </w:numPr>
      </w:pPr>
      <w:r>
        <w:rPr>
          <w:b/>
          <w:bCs/>
        </w:rPr>
        <w:t>Inequitable and u</w:t>
      </w:r>
      <w:r w:rsidRPr="00CE4F23">
        <w:rPr>
          <w:b/>
          <w:bCs/>
        </w:rPr>
        <w:t>nsafe care in inpatient and emergency services.</w:t>
      </w:r>
      <w:r>
        <w:t xml:space="preserve"> This included low acceptance and affirmation of sexual orientation and gender identity and </w:t>
      </w:r>
      <w:r w:rsidRPr="00FD1A7A">
        <w:t>inequitable and unsafe care that could be coercive, restrictive, disempowering and traumatising for some LGBTQ+ people, serving to reinforce rather</w:t>
      </w:r>
      <w:r>
        <w:t xml:space="preserve"> than alleviate minority stress. </w:t>
      </w:r>
    </w:p>
    <w:p w14:paraId="7F741230" w14:textId="77777777" w:rsidR="004604F9" w:rsidRDefault="004604F9" w:rsidP="004604F9">
      <w:r w:rsidRPr="00FD1A7A">
        <w:t xml:space="preserve">Further </w:t>
      </w:r>
      <w:r>
        <w:t>to this,</w:t>
      </w:r>
      <w:r w:rsidRPr="00FD1A7A">
        <w:t xml:space="preserve"> some sub-populations of LGBTQ+ people (e.g., trans and gender diverse youth, women who have sex with women)</w:t>
      </w:r>
      <w:r>
        <w:t xml:space="preserve"> and LGBTQ+ people with intersecting identities and experiences (e.g., LGBTQ+ people from CALD backgrounds)</w:t>
      </w:r>
      <w:r w:rsidRPr="00FD1A7A">
        <w:t xml:space="preserve"> are more likely to encounter stigmatising, o</w:t>
      </w:r>
      <w:r>
        <w:t>r traumatising care situations.</w:t>
      </w:r>
      <w:r>
        <w:rPr>
          <w:rStyle w:val="FootnoteReference"/>
          <w:rFonts w:eastAsia="Times New Roman" w:cs="Arial"/>
          <w:lang w:eastAsia="en-AU"/>
        </w:rPr>
        <w:footnoteReference w:id="279"/>
      </w:r>
    </w:p>
    <w:p w14:paraId="22EAC156" w14:textId="77777777" w:rsidR="004604F9" w:rsidRPr="00CE4F23" w:rsidRDefault="004604F9" w:rsidP="006205ED">
      <w:pPr>
        <w:pStyle w:val="ListParagraph"/>
        <w:numPr>
          <w:ilvl w:val="0"/>
          <w:numId w:val="45"/>
        </w:numPr>
        <w:rPr>
          <w:vertAlign w:val="superscript"/>
        </w:rPr>
      </w:pPr>
      <w:r w:rsidRPr="00CE4F23">
        <w:rPr>
          <w:b/>
          <w:bCs/>
        </w:rPr>
        <w:t>Positive care experiences were more often reported in LGBTIQA+ specific services</w:t>
      </w:r>
      <w:r>
        <w:rPr>
          <w:b/>
          <w:bCs/>
        </w:rPr>
        <w:t>.</w:t>
      </w:r>
      <w:r w:rsidRPr="00FD1A7A">
        <w:t xml:space="preserve"> </w:t>
      </w:r>
      <w:r>
        <w:t xml:space="preserve">This includes </w:t>
      </w:r>
      <w:r w:rsidRPr="00FD1A7A">
        <w:t>knowledgeable, equitable and safe care, as well as appropriate r</w:t>
      </w:r>
      <w:r>
        <w:t xml:space="preserve">eferrals to affirming providers. </w:t>
      </w:r>
    </w:p>
    <w:p w14:paraId="2307CA80" w14:textId="77777777" w:rsidR="004604F9" w:rsidRPr="003C39FE" w:rsidRDefault="004604F9" w:rsidP="004604F9">
      <w:pPr>
        <w:rPr>
          <w:vertAlign w:val="superscript"/>
        </w:rPr>
      </w:pPr>
      <w:r w:rsidRPr="00FD1A7A">
        <w:t xml:space="preserve">However, </w:t>
      </w:r>
      <w:r>
        <w:t xml:space="preserve">as noted previously, </w:t>
      </w:r>
      <w:r w:rsidRPr="00FD1A7A">
        <w:t>these services were reported to be less equipped to support more marginalised LGBTQ+ subgroups (e.g., non</w:t>
      </w:r>
      <w:r>
        <w:t>-</w:t>
      </w:r>
      <w:r w:rsidRPr="00FD1A7A">
        <w:t>binary people, bisexual people), or those with intersecting identities</w:t>
      </w:r>
      <w:r>
        <w:t xml:space="preserve"> and experiences (e.g., LGBTQ+ people from CALD backgrounds</w:t>
      </w:r>
      <w:proofErr w:type="gramStart"/>
      <w:r>
        <w:t>).</w:t>
      </w:r>
      <w:r w:rsidRPr="003C39FE">
        <w:rPr>
          <w:sz w:val="17"/>
          <w:szCs w:val="17"/>
          <w:vertAlign w:val="superscript"/>
        </w:rPr>
        <w:t>.</w:t>
      </w:r>
      <w:proofErr w:type="gramEnd"/>
      <w:r w:rsidRPr="003C39FE">
        <w:rPr>
          <w:sz w:val="17"/>
          <w:szCs w:val="17"/>
          <w:vertAlign w:val="superscript"/>
        </w:rPr>
        <w:t xml:space="preserve"> </w:t>
      </w:r>
      <w:r w:rsidRPr="00FD1A7A">
        <w:t xml:space="preserve">Further, they may be insufficiently </w:t>
      </w:r>
      <w:r>
        <w:t xml:space="preserve">skilled and </w:t>
      </w:r>
      <w:r w:rsidRPr="00FD1A7A">
        <w:t>resourced to support LGBTQ+ people with intersecting experiences</w:t>
      </w:r>
      <w:r>
        <w:t xml:space="preserve"> </w:t>
      </w:r>
      <w:r w:rsidRPr="00FD1A7A">
        <w:t>related to life-inter</w:t>
      </w:r>
      <w:r>
        <w:t>rupting mental health challenges</w:t>
      </w:r>
      <w:r>
        <w:rPr>
          <w:rStyle w:val="FootnoteReference"/>
        </w:rPr>
        <w:footnoteReference w:id="280"/>
      </w:r>
      <w:r w:rsidRPr="00FD1A7A">
        <w:t xml:space="preserve"> and suicidality. </w:t>
      </w:r>
    </w:p>
    <w:p w14:paraId="7CF04432" w14:textId="77777777" w:rsidR="004604F9" w:rsidRPr="00CE4F23" w:rsidRDefault="004604F9" w:rsidP="004604F9">
      <w:pPr>
        <w:rPr>
          <w:b/>
          <w:bCs/>
          <w:lang w:eastAsia="en-AU"/>
        </w:rPr>
      </w:pPr>
      <w:r w:rsidRPr="00CE4F23">
        <w:rPr>
          <w:b/>
          <w:bCs/>
          <w:lang w:eastAsia="en-AU"/>
        </w:rPr>
        <w:lastRenderedPageBreak/>
        <w:t xml:space="preserve">Other SLR findings on effective service types include: </w:t>
      </w:r>
    </w:p>
    <w:p w14:paraId="28753F1B" w14:textId="77777777" w:rsidR="004604F9" w:rsidRPr="00D65E4F" w:rsidRDefault="004604F9" w:rsidP="006205ED">
      <w:pPr>
        <w:pStyle w:val="ListParagraph"/>
        <w:numPr>
          <w:ilvl w:val="0"/>
          <w:numId w:val="49"/>
        </w:numPr>
        <w:rPr>
          <w:b/>
          <w:color w:val="0F4BEB"/>
        </w:rPr>
      </w:pPr>
      <w:r w:rsidRPr="006519E5">
        <w:t>Online mental health services and crisis helplines, could increase mental health service access, particularly in rural areas.</w:t>
      </w:r>
      <w:r>
        <w:rPr>
          <w:rStyle w:val="FootnoteReference"/>
          <w:rFonts w:cs="Arial"/>
        </w:rPr>
        <w:footnoteReference w:id="281"/>
      </w:r>
      <w:r w:rsidRPr="00D65E4F">
        <w:rPr>
          <w:vertAlign w:val="superscript"/>
        </w:rPr>
        <w:t>,</w:t>
      </w:r>
      <w:r>
        <w:rPr>
          <w:rStyle w:val="FootnoteReference"/>
          <w:rFonts w:cs="Arial"/>
        </w:rPr>
        <w:footnoteReference w:id="282"/>
      </w:r>
      <w:r w:rsidRPr="006519E5">
        <w:t xml:space="preserve"> Online services could also provide an anonymous and safe environment for LGBTQ+ people to access support.</w:t>
      </w:r>
      <w:r>
        <w:rPr>
          <w:rStyle w:val="FootnoteReference"/>
          <w:rFonts w:cs="Arial"/>
        </w:rPr>
        <w:footnoteReference w:id="283"/>
      </w:r>
      <w:r>
        <w:t xml:space="preserve"> </w:t>
      </w:r>
    </w:p>
    <w:p w14:paraId="3502BBE9" w14:textId="77777777" w:rsidR="004604F9" w:rsidRPr="00D65E4F" w:rsidRDefault="004604F9" w:rsidP="006205ED">
      <w:pPr>
        <w:pStyle w:val="ListParagraph"/>
        <w:numPr>
          <w:ilvl w:val="0"/>
          <w:numId w:val="49"/>
        </w:numPr>
        <w:rPr>
          <w:b/>
          <w:color w:val="0F4BEB"/>
        </w:rPr>
      </w:pPr>
      <w:r w:rsidRPr="006519E5">
        <w:t xml:space="preserve">Game-based therapeutic interventions, that are contemporary and acknowledge the unique experiences of LGBTQ+ people, </w:t>
      </w:r>
      <w:r>
        <w:t>could be</w:t>
      </w:r>
      <w:r w:rsidRPr="006519E5">
        <w:t xml:space="preserve"> ef</w:t>
      </w:r>
      <w:r>
        <w:t>fective and acceptable to youth.</w:t>
      </w:r>
      <w:r>
        <w:rPr>
          <w:rStyle w:val="FootnoteReference"/>
          <w:rFonts w:cs="Arial"/>
          <w:szCs w:val="22"/>
        </w:rPr>
        <w:footnoteReference w:id="284"/>
      </w:r>
    </w:p>
    <w:p w14:paraId="44EFAFF6" w14:textId="77777777" w:rsidR="004604F9" w:rsidRPr="00D65E4F" w:rsidRDefault="004604F9" w:rsidP="006205ED">
      <w:pPr>
        <w:pStyle w:val="ListParagraph"/>
        <w:numPr>
          <w:ilvl w:val="0"/>
          <w:numId w:val="49"/>
        </w:numPr>
        <w:rPr>
          <w:b/>
          <w:color w:val="0F4BEB"/>
        </w:rPr>
      </w:pPr>
      <w:r>
        <w:t xml:space="preserve">Supporting </w:t>
      </w:r>
      <w:r w:rsidRPr="00C240DC">
        <w:t>access to gender-affirming mental health care promoted wellbeing and decreased suicidality in trans and gender diverse people</w:t>
      </w:r>
      <w:r>
        <w:t>.</w:t>
      </w:r>
      <w:r>
        <w:rPr>
          <w:rStyle w:val="FootnoteReference"/>
          <w:rFonts w:cs="Arial"/>
        </w:rPr>
        <w:footnoteReference w:id="285"/>
      </w:r>
      <w:r w:rsidRPr="00D65E4F">
        <w:rPr>
          <w:vertAlign w:val="superscript"/>
        </w:rPr>
        <w:t>,</w:t>
      </w:r>
      <w:r>
        <w:rPr>
          <w:rStyle w:val="FootnoteReference"/>
          <w:rFonts w:cs="Arial"/>
        </w:rPr>
        <w:footnoteReference w:id="286"/>
      </w:r>
      <w:r w:rsidRPr="00D65E4F">
        <w:rPr>
          <w:vertAlign w:val="superscript"/>
        </w:rPr>
        <w:t>,</w:t>
      </w:r>
      <w:r>
        <w:rPr>
          <w:rStyle w:val="FootnoteReference"/>
          <w:rFonts w:cs="Arial"/>
        </w:rPr>
        <w:footnoteReference w:id="287"/>
      </w:r>
      <w:r w:rsidRPr="00D65E4F">
        <w:rPr>
          <w:vertAlign w:val="superscript"/>
        </w:rPr>
        <w:t>,</w:t>
      </w:r>
      <w:r>
        <w:rPr>
          <w:rStyle w:val="FootnoteReference"/>
          <w:rFonts w:cs="Arial"/>
        </w:rPr>
        <w:footnoteReference w:id="288"/>
      </w:r>
      <w:r w:rsidRPr="00C240DC">
        <w:t>, a finding that is consistently reported in the wider literature</w:t>
      </w:r>
      <w:r>
        <w:t>.</w:t>
      </w:r>
      <w:r>
        <w:rPr>
          <w:rStyle w:val="FootnoteReference"/>
          <w:rFonts w:cs="Arial"/>
        </w:rPr>
        <w:footnoteReference w:id="289"/>
      </w:r>
    </w:p>
    <w:p w14:paraId="3A3E53CC" w14:textId="77777777" w:rsidR="004604F9" w:rsidRPr="003655D0" w:rsidRDefault="004604F9" w:rsidP="00DF32BE">
      <w:pPr>
        <w:pStyle w:val="NbrHeading3"/>
      </w:pPr>
      <w:bookmarkStart w:id="119" w:name="_Toc153899530"/>
      <w:r w:rsidRPr="003655D0">
        <w:t>What service gaps or barriers were identified and what were their details?</w:t>
      </w:r>
      <w:bookmarkEnd w:id="119"/>
    </w:p>
    <w:p w14:paraId="04219460" w14:textId="77777777" w:rsidR="004604F9" w:rsidRDefault="004604F9" w:rsidP="004604F9">
      <w:pPr>
        <w:rPr>
          <w:lang w:eastAsia="en-AU"/>
        </w:rPr>
      </w:pPr>
      <w:r w:rsidRPr="00FD1A7A">
        <w:rPr>
          <w:lang w:eastAsia="en-AU"/>
        </w:rPr>
        <w:t>At a high-level, the service gaps and barriers identified in the applied SLR were:  </w:t>
      </w:r>
    </w:p>
    <w:p w14:paraId="1745E37F" w14:textId="77777777" w:rsidR="004604F9" w:rsidRDefault="004604F9" w:rsidP="006205ED">
      <w:pPr>
        <w:pStyle w:val="ListParagraph"/>
        <w:numPr>
          <w:ilvl w:val="0"/>
          <w:numId w:val="50"/>
        </w:numPr>
      </w:pPr>
      <w:r w:rsidRPr="00D65E4F">
        <w:rPr>
          <w:b/>
          <w:bCs/>
        </w:rPr>
        <w:t>Provider shortages</w:t>
      </w:r>
      <w:r w:rsidRPr="007B1955">
        <w:t>, long waitlists and limited operating hours, particularly with respect to accessing LGBT</w:t>
      </w:r>
      <w:r>
        <w:t>I</w:t>
      </w:r>
      <w:r w:rsidRPr="007B1955">
        <w:t>Q</w:t>
      </w:r>
      <w:r>
        <w:t>A</w:t>
      </w:r>
      <w:r w:rsidRPr="007B1955">
        <w:t xml:space="preserve">+-specific services. Limited affirming care options were particularly evident in relation to access to knowledgeable, affirming, and </w:t>
      </w:r>
      <w:r w:rsidRPr="007B1955">
        <w:lastRenderedPageBreak/>
        <w:t>affordable mental health care providers, and timely referrals by mental health professionals t</w:t>
      </w:r>
      <w:r>
        <w:t>o gender-affirming medical care.</w:t>
      </w:r>
      <w:r>
        <w:rPr>
          <w:rStyle w:val="FootnoteReference"/>
          <w:rFonts w:cs="Arial"/>
        </w:rPr>
        <w:footnoteReference w:id="290"/>
      </w:r>
      <w:r w:rsidRPr="00D65E4F">
        <w:rPr>
          <w:vertAlign w:val="superscript"/>
        </w:rPr>
        <w:t>,</w:t>
      </w:r>
      <w:r>
        <w:rPr>
          <w:rStyle w:val="FootnoteReference"/>
          <w:rFonts w:cs="Arial"/>
        </w:rPr>
        <w:footnoteReference w:id="291"/>
      </w:r>
      <w:r w:rsidRPr="00D65E4F">
        <w:rPr>
          <w:vertAlign w:val="superscript"/>
        </w:rPr>
        <w:t>,</w:t>
      </w:r>
      <w:r>
        <w:rPr>
          <w:rStyle w:val="FootnoteReference"/>
          <w:rFonts w:cs="Arial"/>
        </w:rPr>
        <w:footnoteReference w:id="292"/>
      </w:r>
    </w:p>
    <w:p w14:paraId="6F353096" w14:textId="77777777" w:rsidR="004604F9" w:rsidRDefault="004604F9" w:rsidP="006205ED">
      <w:pPr>
        <w:pStyle w:val="ListParagraph"/>
        <w:numPr>
          <w:ilvl w:val="0"/>
          <w:numId w:val="50"/>
        </w:numPr>
      </w:pPr>
      <w:r w:rsidRPr="00D65E4F">
        <w:rPr>
          <w:b/>
          <w:bCs/>
        </w:rPr>
        <w:t>Inconsistencies in quality of care</w:t>
      </w:r>
      <w:r w:rsidRPr="007B1955">
        <w:t>, including inconsistencies between care providers and services particularly in relation to the provision of</w:t>
      </w:r>
      <w:r>
        <w:t xml:space="preserve"> equitable, person-centred care.</w:t>
      </w:r>
      <w:r w:rsidRPr="007B1955">
        <w:t xml:space="preserve"> For example, while many General Practitioners were perceived positively, others were “visibly uncomfortable with dea</w:t>
      </w:r>
      <w:r>
        <w:t xml:space="preserve">ling with mental health” issues. </w:t>
      </w:r>
      <w:r w:rsidRPr="00ED6363">
        <w:t xml:space="preserve">Research </w:t>
      </w:r>
      <w:r>
        <w:t xml:space="preserve">also </w:t>
      </w:r>
      <w:r w:rsidRPr="00ED6363">
        <w:t>indicated that inpatient services were understaffed, lacking in privacy, restrictive</w:t>
      </w:r>
      <w:r>
        <w:t xml:space="preserve">, </w:t>
      </w:r>
      <w:r w:rsidRPr="00ED6363">
        <w:t>and inpatient and emergency services were disempowering for patients and lacking in choice and opportunities for collabora</w:t>
      </w:r>
      <w:r>
        <w:t>tion with health care providers.</w:t>
      </w:r>
      <w:r>
        <w:rPr>
          <w:rStyle w:val="FootnoteReference"/>
          <w:rFonts w:cs="Arial"/>
        </w:rPr>
        <w:footnoteReference w:id="293"/>
      </w:r>
      <w:r w:rsidRPr="00D65E4F">
        <w:rPr>
          <w:vertAlign w:val="superscript"/>
        </w:rPr>
        <w:t>,</w:t>
      </w:r>
      <w:r>
        <w:rPr>
          <w:rStyle w:val="FootnoteReference"/>
          <w:rFonts w:cs="Arial"/>
        </w:rPr>
        <w:footnoteReference w:id="294"/>
      </w:r>
      <w:r w:rsidRPr="00D65E4F">
        <w:rPr>
          <w:vertAlign w:val="superscript"/>
        </w:rPr>
        <w:t>,</w:t>
      </w:r>
      <w:r>
        <w:rPr>
          <w:rStyle w:val="FootnoteReference"/>
          <w:rFonts w:cs="Arial"/>
        </w:rPr>
        <w:footnoteReference w:id="295"/>
      </w:r>
    </w:p>
    <w:p w14:paraId="6695E632" w14:textId="77777777" w:rsidR="004604F9" w:rsidRDefault="004604F9" w:rsidP="006205ED">
      <w:pPr>
        <w:pStyle w:val="ListParagraph"/>
        <w:numPr>
          <w:ilvl w:val="0"/>
          <w:numId w:val="50"/>
        </w:numPr>
      </w:pPr>
      <w:r w:rsidRPr="00D65E4F">
        <w:rPr>
          <w:b/>
          <w:bCs/>
        </w:rPr>
        <w:t>Lack of linkage</w:t>
      </w:r>
      <w:r w:rsidRPr="007B1955">
        <w:t xml:space="preserve"> between different mental health services – including between crisis services and long-term care, and between alcohol serv</w:t>
      </w:r>
      <w:r>
        <w:t>ices and mental health services.</w:t>
      </w:r>
      <w:r>
        <w:rPr>
          <w:rStyle w:val="FootnoteReference"/>
          <w:rFonts w:cs="Arial"/>
        </w:rPr>
        <w:footnoteReference w:id="296"/>
      </w:r>
      <w:r>
        <w:t xml:space="preserve"> </w:t>
      </w:r>
      <w:r w:rsidRPr="007B1955">
        <w:t> </w:t>
      </w:r>
    </w:p>
    <w:p w14:paraId="1FAD082C" w14:textId="77777777" w:rsidR="004604F9" w:rsidRDefault="004604F9" w:rsidP="006205ED">
      <w:pPr>
        <w:pStyle w:val="ListParagraph"/>
        <w:numPr>
          <w:ilvl w:val="0"/>
          <w:numId w:val="50"/>
        </w:numPr>
      </w:pPr>
      <w:r w:rsidRPr="00D65E4F">
        <w:rPr>
          <w:b/>
          <w:bCs/>
        </w:rPr>
        <w:t>Limited options</w:t>
      </w:r>
      <w:r w:rsidRPr="007B1955">
        <w:t xml:space="preserve"> for services able to attend to intersectional needs, including limited access to equitable and safe care in a crisis or for those experiencing severe and life-interrupting mental distress and suicidality.</w:t>
      </w:r>
      <w:r>
        <w:rPr>
          <w:rStyle w:val="FootnoteReference"/>
          <w:rFonts w:cs="Arial"/>
        </w:rPr>
        <w:footnoteReference w:id="297"/>
      </w:r>
      <w:r w:rsidRPr="00D65E4F">
        <w:rPr>
          <w:vertAlign w:val="superscript"/>
        </w:rPr>
        <w:t>,</w:t>
      </w:r>
      <w:r>
        <w:rPr>
          <w:rStyle w:val="FootnoteReference"/>
          <w:rFonts w:cs="Arial"/>
        </w:rPr>
        <w:footnoteReference w:id="298"/>
      </w:r>
    </w:p>
    <w:p w14:paraId="4C1F4B10" w14:textId="77777777" w:rsidR="004604F9" w:rsidRDefault="004604F9" w:rsidP="006205ED">
      <w:pPr>
        <w:pStyle w:val="ListParagraph"/>
        <w:numPr>
          <w:ilvl w:val="0"/>
          <w:numId w:val="50"/>
        </w:numPr>
      </w:pPr>
      <w:r w:rsidRPr="00D65E4F">
        <w:rPr>
          <w:b/>
          <w:bCs/>
        </w:rPr>
        <w:t>Financial costs</w:t>
      </w:r>
      <w:r w:rsidRPr="007B1955">
        <w:t xml:space="preserve"> related to gap fees and limitations to the number of Medicare -subsidised sessions an individual can claim within a year, and to publicly available mental health services, or to the National Dis</w:t>
      </w:r>
      <w:r>
        <w:t>ability Insurance Scheme (NDIS).</w:t>
      </w:r>
      <w:r>
        <w:rPr>
          <w:rStyle w:val="FootnoteReference"/>
          <w:rFonts w:cs="Arial"/>
        </w:rPr>
        <w:footnoteReference w:id="299"/>
      </w:r>
      <w:r w:rsidRPr="00D65E4F">
        <w:rPr>
          <w:vertAlign w:val="superscript"/>
        </w:rPr>
        <w:t>,</w:t>
      </w:r>
      <w:r>
        <w:rPr>
          <w:rStyle w:val="FootnoteReference"/>
          <w:rFonts w:cs="Arial"/>
        </w:rPr>
        <w:footnoteReference w:id="300"/>
      </w:r>
      <w:r w:rsidRPr="00D65E4F">
        <w:rPr>
          <w:vertAlign w:val="superscript"/>
        </w:rPr>
        <w:t>,</w:t>
      </w:r>
      <w:r>
        <w:rPr>
          <w:rStyle w:val="FootnoteReference"/>
          <w:rFonts w:cs="Arial"/>
        </w:rPr>
        <w:footnoteReference w:id="301"/>
      </w:r>
    </w:p>
    <w:p w14:paraId="678F7ECD" w14:textId="77777777" w:rsidR="004604F9" w:rsidRDefault="004604F9" w:rsidP="006205ED">
      <w:pPr>
        <w:pStyle w:val="ListParagraph"/>
        <w:numPr>
          <w:ilvl w:val="0"/>
          <w:numId w:val="50"/>
        </w:numPr>
      </w:pPr>
      <w:r w:rsidRPr="00D65E4F">
        <w:rPr>
          <w:b/>
          <w:bCs/>
        </w:rPr>
        <w:t xml:space="preserve">Lack of lived experience involvement, </w:t>
      </w:r>
      <w:r w:rsidRPr="007B1955">
        <w:t xml:space="preserve">including in service development and research undertaken in </w:t>
      </w:r>
      <w:r>
        <w:t>partnership</w:t>
      </w:r>
      <w:r w:rsidRPr="007B1955">
        <w:t xml:space="preserve"> with LGBTQ+ people with a</w:t>
      </w:r>
      <w:r>
        <w:t>n intersecting</w:t>
      </w:r>
      <w:r w:rsidRPr="007B1955">
        <w:t xml:space="preserve"> lived experience of mental health challenges and suicidality, including with LGBTQ</w:t>
      </w:r>
      <w:r>
        <w:t>+</w:t>
      </w:r>
      <w:r w:rsidRPr="007B1955">
        <w:t xml:space="preserve"> youth</w:t>
      </w:r>
      <w:r>
        <w:t xml:space="preserve"> </w:t>
      </w:r>
      <w:r>
        <w:lastRenderedPageBreak/>
        <w:t>and people from diverse social backgrounds with an intersecting experience of</w:t>
      </w:r>
      <w:r w:rsidRPr="007B1955">
        <w:t xml:space="preserve"> severe and life-interrupting </w:t>
      </w:r>
      <w:r>
        <w:t>mental distress and suicidality</w:t>
      </w:r>
      <w:r w:rsidRPr="007B1955">
        <w:t>.</w:t>
      </w:r>
      <w:r>
        <w:rPr>
          <w:rStyle w:val="FootnoteReference"/>
          <w:rFonts w:cs="Arial"/>
        </w:rPr>
        <w:footnoteReference w:id="302"/>
      </w:r>
      <w:r w:rsidRPr="00D65E4F">
        <w:rPr>
          <w:vertAlign w:val="superscript"/>
        </w:rPr>
        <w:t>,</w:t>
      </w:r>
      <w:r>
        <w:rPr>
          <w:rStyle w:val="FootnoteReference"/>
          <w:rFonts w:cs="Arial"/>
        </w:rPr>
        <w:footnoteReference w:id="303"/>
      </w:r>
      <w:r w:rsidRPr="007B1955">
        <w:t> </w:t>
      </w:r>
    </w:p>
    <w:p w14:paraId="07005E16" w14:textId="40E94373" w:rsidR="004604F9" w:rsidRDefault="004604F9" w:rsidP="006205ED">
      <w:pPr>
        <w:pStyle w:val="ListParagraph"/>
        <w:numPr>
          <w:ilvl w:val="0"/>
          <w:numId w:val="50"/>
        </w:numPr>
      </w:pPr>
      <w:r w:rsidRPr="00D65E4F">
        <w:rPr>
          <w:b/>
          <w:bCs/>
        </w:rPr>
        <w:t>Gaps in evidence</w:t>
      </w:r>
      <w:r w:rsidRPr="007B1955">
        <w:t xml:space="preserve"> were also noted</w:t>
      </w:r>
      <w:r w:rsidR="00BB6EC1">
        <w:t xml:space="preserve"> in the included literature</w:t>
      </w:r>
      <w:r w:rsidRPr="007B1955">
        <w:t>, including in particular:</w:t>
      </w:r>
    </w:p>
    <w:p w14:paraId="34261CC7" w14:textId="77777777" w:rsidR="004604F9" w:rsidRDefault="004604F9" w:rsidP="006205ED">
      <w:pPr>
        <w:pStyle w:val="ListParagraph"/>
        <w:numPr>
          <w:ilvl w:val="1"/>
          <w:numId w:val="50"/>
        </w:numPr>
      </w:pPr>
      <w:r w:rsidRPr="00656AC2">
        <w:t>research on the care needs of those experiencing intersectional issues, especially those impacting First Nations LGBTQ+</w:t>
      </w:r>
      <w:r>
        <w:t>SB</w:t>
      </w:r>
      <w:r w:rsidRPr="00656AC2">
        <w:t xml:space="preserve"> populations; </w:t>
      </w:r>
      <w:r>
        <w:t xml:space="preserve">LGBTQ+ </w:t>
      </w:r>
      <w:r w:rsidRPr="00656AC2">
        <w:t xml:space="preserve">people from CALD backgrounds; </w:t>
      </w:r>
      <w:r>
        <w:t xml:space="preserve">LGBTQ+ </w:t>
      </w:r>
      <w:r w:rsidRPr="00656AC2">
        <w:t xml:space="preserve">people living in rural and remote areas, and </w:t>
      </w:r>
      <w:r>
        <w:t xml:space="preserve">LGBTQ+ </w:t>
      </w:r>
      <w:r w:rsidRPr="00656AC2">
        <w:t>people from low socioeconomic backgrounds. </w:t>
      </w:r>
    </w:p>
    <w:p w14:paraId="352ACD45" w14:textId="77777777" w:rsidR="004604F9" w:rsidRDefault="004604F9" w:rsidP="006205ED">
      <w:pPr>
        <w:pStyle w:val="ListParagraph"/>
        <w:numPr>
          <w:ilvl w:val="1"/>
          <w:numId w:val="50"/>
        </w:numPr>
      </w:pPr>
      <w:r w:rsidRPr="00656AC2">
        <w:t xml:space="preserve">research related to specific subgroups of LGBTQ+ people, </w:t>
      </w:r>
      <w:r>
        <w:t>including</w:t>
      </w:r>
      <w:r w:rsidRPr="00656AC2">
        <w:t xml:space="preserve"> people with innate variations </w:t>
      </w:r>
      <w:r>
        <w:t>in</w:t>
      </w:r>
      <w:r w:rsidRPr="00656AC2">
        <w:t xml:space="preserve"> sex characteristics</w:t>
      </w:r>
      <w:r>
        <w:t xml:space="preserve"> and </w:t>
      </w:r>
      <w:r w:rsidRPr="00656AC2">
        <w:t>asexual people</w:t>
      </w:r>
      <w:r>
        <w:t>, and nonbinary people</w:t>
      </w:r>
      <w:r w:rsidRPr="00656AC2">
        <w:t>.  </w:t>
      </w:r>
    </w:p>
    <w:p w14:paraId="461194C7" w14:textId="77777777" w:rsidR="004604F9" w:rsidRPr="00DF0F08" w:rsidRDefault="004604F9" w:rsidP="006205ED">
      <w:pPr>
        <w:pStyle w:val="ListParagraph"/>
        <w:numPr>
          <w:ilvl w:val="1"/>
          <w:numId w:val="50"/>
        </w:numPr>
      </w:pPr>
      <w:r w:rsidRPr="00656AC2">
        <w:t xml:space="preserve">research on </w:t>
      </w:r>
      <w:r>
        <w:t>specific mental health service issues,</w:t>
      </w:r>
      <w:r w:rsidRPr="00656AC2">
        <w:t xml:space="preserve"> including</w:t>
      </w:r>
      <w:r>
        <w:t>:</w:t>
      </w:r>
      <w:r w:rsidRPr="00656AC2">
        <w:t xml:space="preserve"> the effectiveness of services for promoting personal recovery; LGBTQ+ people receiving involuntary treatment in inpatient and community settings; and responses to mental health professionals engaging in</w:t>
      </w:r>
      <w:r>
        <w:t xml:space="preserve"> harmful conversion practices.</w:t>
      </w:r>
    </w:p>
    <w:p w14:paraId="2B855F6D" w14:textId="77777777" w:rsidR="004604F9" w:rsidRPr="0023337B" w:rsidRDefault="004604F9" w:rsidP="00DF32BE">
      <w:pPr>
        <w:pStyle w:val="NbrHeading3"/>
      </w:pPr>
      <w:bookmarkStart w:id="120" w:name="_Toc153899531"/>
      <w:r>
        <w:t>Lived experience interpretation</w:t>
      </w:r>
      <w:bookmarkEnd w:id="120"/>
      <w:r>
        <w:t xml:space="preserve"> </w:t>
      </w:r>
    </w:p>
    <w:p w14:paraId="36AA96DD" w14:textId="77777777" w:rsidR="004604F9" w:rsidRPr="00F554FE" w:rsidRDefault="004604F9" w:rsidP="00F554FE">
      <w:r w:rsidRPr="00F554FE">
        <w:t xml:space="preserve">A response statement was developed in collaboration with the Rainbow Embassy to ensure that the interpretations of LGBTQ+ people, including LGBTQ+SB people, with lived experience were considered as part of the SLR. The statement reaffirms that LGBTQ+ people collectively are experiencing mental distress and suicidality at higher rates due to the oppression they experience within a hetero- and cis-normative, patriarchal society. As confirmed in the companion Research Translation Paper, the challenges for LGBTQ+ people are both external and internal, with the risks of bullying and to family and community connections profound. The harms of First Nations LGBTQ+SB people, and CALD people of colour were further compounded by the effects of colonisation and racism. The statement notes that accessing mental health services is particularly fraught for LGBTQ+ people, and that many people with lived experience have limited access to LGBTIQA+ specific services. </w:t>
      </w:r>
      <w:proofErr w:type="gramStart"/>
      <w:r w:rsidRPr="00F554FE">
        <w:t>In regard to</w:t>
      </w:r>
      <w:proofErr w:type="gramEnd"/>
      <w:r w:rsidRPr="00F554FE">
        <w:t xml:space="preserve"> mainstream mental health services, this was attributed to a lack of staff skills and organisational resources, with the prospects of trauma being reinforced when care is inequitable and unsafe. </w:t>
      </w:r>
    </w:p>
    <w:p w14:paraId="496A73F3" w14:textId="77777777" w:rsidR="004604F9" w:rsidRPr="00F554FE" w:rsidRDefault="004604F9" w:rsidP="00F554FE">
      <w:r w:rsidRPr="00F554FE">
        <w:t xml:space="preserve">Overall, the Rainbow Embassy noted the limited research involvement of LGBTQA+ people with an intersecting lived experience of mental health challenges and mental health service use (6 of the included 56 SLR studies). There was also concern that researchers have not sufficiently engaged with critiques from consumer/survivor movements, including insufficient interrogation of dominant models of psychiatric treatment and service provision, and seclusion and restraint practices in mental health services. Mental health challenges experienced by LGBTQ+ people need to be understood in the context of minority stress, but also as an intersecting experience that can include exposure to new stressors, including </w:t>
      </w:r>
      <w:r w:rsidRPr="00F554FE">
        <w:lastRenderedPageBreak/>
        <w:t>sanism (prejudicial attitudes towards people with a lived experience of mental health challenges) and trauma in the community and mental health services.</w:t>
      </w:r>
    </w:p>
    <w:p w14:paraId="13EF1F0D" w14:textId="77777777" w:rsidR="004604F9" w:rsidRPr="00F554FE" w:rsidRDefault="004604F9" w:rsidP="00F554FE">
      <w:r w:rsidRPr="00F554FE">
        <w:t>There is a need for collaborative mental health services that meaningfully embed trauma informed and personal recovery-oriented frameworks, and that consider other explanatory frameworks for distress (e.g., socio-political or trauma frameworks), and prioritise choice in service provision, including non-medicalised options. Timely access to gender-affirming care for trans and gender diverse people, including youth, is also critical to promote wellbeing and prevent suicide. Overall, the response emphasises the need for services to be safe from the perspective of LGBTQ+ people with a lived experience. Positive experiences reported in LGBTIQA+ specific services were noted, however evaluating these services is important to gain a fuller picture of service equity and quality for all subgroups of the LGBTQ+ population, and for people with intersecting identities and experiences, as previously noted.</w:t>
      </w:r>
    </w:p>
    <w:p w14:paraId="5786ED2B" w14:textId="77777777" w:rsidR="004604F9" w:rsidRPr="00A3069A" w:rsidRDefault="004604F9" w:rsidP="00DF32BE">
      <w:pPr>
        <w:pStyle w:val="NbrHeading2"/>
      </w:pPr>
      <w:bookmarkStart w:id="121" w:name="_Toc153899532"/>
      <w:r w:rsidRPr="00A3069A">
        <w:t xml:space="preserve">SLR findings </w:t>
      </w:r>
      <w:r>
        <w:t>by categories</w:t>
      </w:r>
      <w:bookmarkEnd w:id="121"/>
    </w:p>
    <w:p w14:paraId="6E457458" w14:textId="77777777" w:rsidR="004604F9" w:rsidRPr="00A3069A" w:rsidRDefault="004604F9" w:rsidP="004604F9">
      <w:pPr>
        <w:rPr>
          <w:lang w:eastAsia="en-AU"/>
        </w:rPr>
      </w:pPr>
      <w:r w:rsidRPr="00A3069A">
        <w:rPr>
          <w:lang w:eastAsia="en-AU"/>
        </w:rPr>
        <w:t xml:space="preserve">To assist policy makers in applying these frameworks and concepts, the researchers sorted the findings by service type, LGBTQ+ population sub-groups, and gaps in research on LGBTQ+ mental health and suicide prevention services. A summary of the findings by category is provided below. </w:t>
      </w:r>
    </w:p>
    <w:p w14:paraId="798D391E" w14:textId="77777777" w:rsidR="004604F9" w:rsidRPr="00A3069A" w:rsidRDefault="004604F9" w:rsidP="00DF32BE">
      <w:pPr>
        <w:pStyle w:val="NbrHeading3"/>
      </w:pPr>
      <w:bookmarkStart w:id="122" w:name="_Toc153899533"/>
      <w:r w:rsidRPr="00A3069A">
        <w:t>Service type (mainstream and specific service type)</w:t>
      </w:r>
      <w:bookmarkEnd w:id="122"/>
      <w:r w:rsidRPr="00A3069A">
        <w:t xml:space="preserve"> </w:t>
      </w:r>
    </w:p>
    <w:p w14:paraId="39D53C7E" w14:textId="77777777" w:rsidR="004604F9" w:rsidRPr="002947BF" w:rsidRDefault="004604F9" w:rsidP="004604F9">
      <w:r w:rsidRPr="002947BF">
        <w:t xml:space="preserve">Overall, there is a clear indication for mental health services to be affirming of LGBTQ+ people, culturally safe, person-centred, recovery-oriented, trauma informed, and to meet the specific needs of sexuality and gender diverse people. </w:t>
      </w:r>
      <w:r>
        <w:t>Mental health challenges need to be understood as an intersecting experience, and that people who face life-interrupting mental health challenges may also face sanism and trauma in the community and mental health services.</w:t>
      </w:r>
    </w:p>
    <w:p w14:paraId="447E8CB5" w14:textId="77777777" w:rsidR="004604F9" w:rsidRPr="002D5C63" w:rsidRDefault="004604F9" w:rsidP="006205ED">
      <w:pPr>
        <w:pStyle w:val="ListParagraph"/>
        <w:numPr>
          <w:ilvl w:val="0"/>
          <w:numId w:val="50"/>
        </w:numPr>
      </w:pPr>
      <w:r w:rsidRPr="002D5C63">
        <w:rPr>
          <w:b/>
          <w:bCs/>
        </w:rPr>
        <w:t xml:space="preserve">Affirming and culturally safe service provision: </w:t>
      </w:r>
      <w:r w:rsidRPr="002D5C63">
        <w:t xml:space="preserve">Equitable, affirming, and culturally safe services are required for </w:t>
      </w:r>
      <w:r>
        <w:t xml:space="preserve">LGBTQ+ </w:t>
      </w:r>
      <w:r w:rsidRPr="002D5C63">
        <w:t>people</w:t>
      </w:r>
      <w:r>
        <w:t xml:space="preserve"> with interesting lived experience of mental health challenges</w:t>
      </w:r>
      <w:r w:rsidRPr="002D5C63">
        <w:t>, including youth. Affirming services are core to supporting positive mental wellbeing and preventing suicide (rather than being conceptualised as a ‘luxury’). Where possible, services should be designed with LGBTQ+ people with a</w:t>
      </w:r>
      <w:r>
        <w:t>n intersecting</w:t>
      </w:r>
      <w:r w:rsidRPr="002D5C63">
        <w:t xml:space="preserve"> lived experience</w:t>
      </w:r>
      <w:r>
        <w:t xml:space="preserve"> of mental health challenges and service use</w:t>
      </w:r>
      <w:r w:rsidRPr="002D5C63">
        <w:t xml:space="preserve">, with </w:t>
      </w:r>
      <w:r>
        <w:t xml:space="preserve">an </w:t>
      </w:r>
      <w:r w:rsidRPr="002D5C63">
        <w:t>emphasis on designing with sub-populations whose needs are less likely to be addressed.</w:t>
      </w:r>
    </w:p>
    <w:p w14:paraId="45E8DAEA" w14:textId="77777777" w:rsidR="004604F9" w:rsidRPr="002D5C63" w:rsidRDefault="004604F9" w:rsidP="006205ED">
      <w:pPr>
        <w:pStyle w:val="ListParagraph"/>
        <w:numPr>
          <w:ilvl w:val="1"/>
          <w:numId w:val="50"/>
        </w:numPr>
        <w:rPr>
          <w:b/>
        </w:rPr>
      </w:pPr>
      <w:r w:rsidRPr="002D5C63">
        <w:rPr>
          <w:b/>
        </w:rPr>
        <w:t xml:space="preserve">What we know works: </w:t>
      </w:r>
      <w:r w:rsidRPr="002947BF">
        <w:t xml:space="preserve">The literature found a number of factors that work including Improving health care worker confidence and communication skills, valuing First Nations </w:t>
      </w:r>
      <w:r>
        <w:t xml:space="preserve">LGBTQ+SB </w:t>
      </w:r>
      <w:r w:rsidRPr="002947BF">
        <w:t xml:space="preserve">people’s perspectives on wellbeing, mental health providers who are proactive in learning about LGBTQ+ people’s needs and community concerns (including specialist training), peer support, visual cues, inclusive language, and access to diverse health care professionals who have shared sexuality or gender or intersectional experiences. </w:t>
      </w:r>
    </w:p>
    <w:p w14:paraId="112310B6" w14:textId="77777777" w:rsidR="004604F9" w:rsidRPr="00373F3F" w:rsidRDefault="004604F9" w:rsidP="006205ED">
      <w:pPr>
        <w:pStyle w:val="ListParagraph"/>
        <w:numPr>
          <w:ilvl w:val="1"/>
          <w:numId w:val="50"/>
        </w:numPr>
      </w:pPr>
      <w:r w:rsidRPr="002D5C63">
        <w:rPr>
          <w:b/>
        </w:rPr>
        <w:t xml:space="preserve">Key areas of improvement: </w:t>
      </w:r>
      <w:r w:rsidRPr="002947BF">
        <w:t xml:space="preserve">There is a clear need for service provision from knowledgeable and affirming mental health workers. Training in LGBTQ+ mental health is required for all mental health </w:t>
      </w:r>
      <w:r>
        <w:t>workers and clinicians</w:t>
      </w:r>
      <w:r w:rsidRPr="002947BF">
        <w:t xml:space="preserve">, </w:t>
      </w:r>
      <w:r w:rsidRPr="002947BF">
        <w:lastRenderedPageBreak/>
        <w:t xml:space="preserve">including in undergraduate, postgraduate curriculum, and within health services. There is also need for Aboriginal and Torres Strait Islander LGBTQ+SB specific services, including services specifically tailored for youth. Further research and service provision for LGBTQ+ people from CALD backgrounds, neurodiverse LGBTQ+ people, LGBTQ+ people with disability, LGBTQ+ people on low incomes, and LGBTQ+ people living in rural areas was also highlighted. </w:t>
      </w:r>
    </w:p>
    <w:p w14:paraId="0944D775" w14:textId="77777777" w:rsidR="004604F9" w:rsidRPr="004112DF" w:rsidRDefault="004604F9" w:rsidP="006205ED">
      <w:pPr>
        <w:pStyle w:val="ListParagraph"/>
        <w:numPr>
          <w:ilvl w:val="0"/>
          <w:numId w:val="50"/>
        </w:numPr>
      </w:pPr>
      <w:r w:rsidRPr="002D5C63">
        <w:rPr>
          <w:b/>
          <w:bCs/>
        </w:rPr>
        <w:t>Person-centred and recovery-oriented service provision</w:t>
      </w:r>
      <w:r>
        <w:t xml:space="preserve">: </w:t>
      </w:r>
    </w:p>
    <w:p w14:paraId="310A65F7" w14:textId="77777777" w:rsidR="004604F9" w:rsidRDefault="004604F9" w:rsidP="006205ED">
      <w:pPr>
        <w:pStyle w:val="ListParagraph"/>
        <w:numPr>
          <w:ilvl w:val="1"/>
          <w:numId w:val="47"/>
        </w:numPr>
      </w:pPr>
      <w:r w:rsidRPr="002D5C63">
        <w:rPr>
          <w:b/>
          <w:bCs/>
        </w:rPr>
        <w:t xml:space="preserve">What we know works: </w:t>
      </w:r>
      <w:r w:rsidRPr="000A75E0">
        <w:t xml:space="preserve">Mental health services can be perceived positively if they are welcoming, </w:t>
      </w:r>
      <w:r>
        <w:t xml:space="preserve">affirming, </w:t>
      </w:r>
      <w:r w:rsidRPr="000A75E0">
        <w:t>respectful, empathic, supportive, and caring. Therapeutic interventions designed for, and delivered to, people of diverse sexualities can promote mental wellbeing. A focus on community and peer connection can increase social support, promote mental health seeking, and improve LGBTQ+ peoples’ mental health outcomes. Online adjuncts to therapeutic interventions could also enhance community and peer connection.</w:t>
      </w:r>
    </w:p>
    <w:p w14:paraId="76F692FD" w14:textId="77777777" w:rsidR="004604F9" w:rsidRDefault="004604F9" w:rsidP="006205ED">
      <w:pPr>
        <w:pStyle w:val="ListParagraph"/>
        <w:numPr>
          <w:ilvl w:val="1"/>
          <w:numId w:val="47"/>
        </w:numPr>
      </w:pPr>
      <w:r w:rsidRPr="002D5C63">
        <w:rPr>
          <w:b/>
          <w:bCs/>
        </w:rPr>
        <w:t xml:space="preserve">Key areas of improvement: </w:t>
      </w:r>
      <w:r w:rsidRPr="00475DAB">
        <w:t>There is a need for care that is personal</w:t>
      </w:r>
      <w:r>
        <w:t>-</w:t>
      </w:r>
      <w:r w:rsidRPr="00475DAB">
        <w:t>recovery</w:t>
      </w:r>
      <w:r>
        <w:t xml:space="preserve"> </w:t>
      </w:r>
      <w:r w:rsidRPr="00475DAB">
        <w:t xml:space="preserve">oriented. This means moving beyond tokenistic, </w:t>
      </w:r>
      <w:r w:rsidRPr="002D5C63">
        <w:rPr>
          <w:i/>
          <w:iCs/>
        </w:rPr>
        <w:t xml:space="preserve">in-name-only approaches, </w:t>
      </w:r>
      <w:r w:rsidRPr="00475DAB">
        <w:t>and embracing tangible and measurable approaches to recovery-oriented care. Measures of care should focus on personal-recovery indicators that promote wellbeing, including connection, hope, identity, meaning, and empowerment of LGBTQ+ people with</w:t>
      </w:r>
      <w:r>
        <w:t xml:space="preserve"> an intersecting</w:t>
      </w:r>
      <w:r w:rsidRPr="00475DAB">
        <w:t xml:space="preserve"> lived experience</w:t>
      </w:r>
      <w:r>
        <w:t xml:space="preserve"> of mental health challenges</w:t>
      </w:r>
      <w:r w:rsidRPr="00475DAB">
        <w:t>. A key gap highlighted by the Rainbow Embassy, is the need for service providers (and researchers) to engage with multiple explanatory frameworks for</w:t>
      </w:r>
      <w:r>
        <w:t xml:space="preserve"> mental distress (e.g., trauma, minority stress) and prioritise choice in</w:t>
      </w:r>
      <w:r w:rsidRPr="00475DAB">
        <w:t xml:space="preserve"> service provision</w:t>
      </w:r>
      <w:r>
        <w:t>, including non-medicalised options</w:t>
      </w:r>
      <w:r w:rsidRPr="00475DAB">
        <w:t>. There is also a need for integration of services, including linkage between substance use services, and coordination of care for LGBTQ+ people with complex mental health needs.</w:t>
      </w:r>
    </w:p>
    <w:p w14:paraId="6C71E114" w14:textId="77777777" w:rsidR="004604F9" w:rsidRPr="002D5C63" w:rsidRDefault="004604F9" w:rsidP="006205ED">
      <w:pPr>
        <w:pStyle w:val="ListParagraph"/>
        <w:numPr>
          <w:ilvl w:val="0"/>
          <w:numId w:val="47"/>
        </w:numPr>
        <w:rPr>
          <w:b/>
          <w:bCs/>
        </w:rPr>
      </w:pPr>
      <w:r w:rsidRPr="002D5C63">
        <w:rPr>
          <w:b/>
          <w:bCs/>
        </w:rPr>
        <w:t xml:space="preserve">Trauma informed service provision: </w:t>
      </w:r>
    </w:p>
    <w:p w14:paraId="67D4AF21" w14:textId="77777777" w:rsidR="004604F9" w:rsidRPr="002D5C63" w:rsidRDefault="004604F9" w:rsidP="006205ED">
      <w:pPr>
        <w:pStyle w:val="ListParagraph"/>
        <w:numPr>
          <w:ilvl w:val="1"/>
          <w:numId w:val="47"/>
        </w:numPr>
        <w:rPr>
          <w:b/>
        </w:rPr>
      </w:pPr>
      <w:r w:rsidRPr="002D5C63">
        <w:rPr>
          <w:b/>
        </w:rPr>
        <w:t xml:space="preserve">What we know works: </w:t>
      </w:r>
      <w:r w:rsidRPr="00E362CF">
        <w:t>Timely access to affirming providers is a powerful and protective factor for LGBTQ+ people.</w:t>
      </w:r>
    </w:p>
    <w:p w14:paraId="654F705C" w14:textId="77777777" w:rsidR="004604F9" w:rsidRPr="002D5C63" w:rsidRDefault="004604F9" w:rsidP="006205ED">
      <w:pPr>
        <w:pStyle w:val="ListParagraph"/>
        <w:numPr>
          <w:ilvl w:val="1"/>
          <w:numId w:val="47"/>
        </w:numPr>
        <w:rPr>
          <w:b/>
        </w:rPr>
      </w:pPr>
      <w:r w:rsidRPr="002D5C63">
        <w:rPr>
          <w:b/>
        </w:rPr>
        <w:t xml:space="preserve">Key areas of improvement: </w:t>
      </w:r>
      <w:r w:rsidRPr="005879F0">
        <w:t xml:space="preserve">There is a need for consistent, affirming service provision to all LGBTQ+ people, including through community organisations. Mental health services need to ensure an end to pathologisation of sexuality and </w:t>
      </w:r>
      <w:proofErr w:type="gramStart"/>
      <w:r w:rsidRPr="005879F0">
        <w:t>gender, and</w:t>
      </w:r>
      <w:proofErr w:type="gramEnd"/>
      <w:r w:rsidRPr="005879F0">
        <w:t xml:space="preserve"> ensure mental health staff are trained in recognising pathologising practices. Safe and trauma-informed care need to be provided consistently to LGBTQ+ people. To achieve this, actions such as ending highly restrictive practices, homophobia, transphobia, racism, stigma and discrimination, and abuse and violence in mental health settings, and conversion practices needs to occur. </w:t>
      </w:r>
    </w:p>
    <w:p w14:paraId="33965E6D" w14:textId="77777777" w:rsidR="004604F9" w:rsidRDefault="004604F9" w:rsidP="004604F9">
      <w:r w:rsidRPr="00D52007">
        <w:t xml:space="preserve">Overall, there is a lack of data on specific service types, with most research examining multiple types of service providers. However, information </w:t>
      </w:r>
      <w:r>
        <w:t>was</w:t>
      </w:r>
      <w:r w:rsidRPr="00D52007">
        <w:t xml:space="preserve"> provided in the SLR on aspects of service provision that are working and could be extended, as well as key areas for improvement relevant to the service type.</w:t>
      </w:r>
    </w:p>
    <w:p w14:paraId="2AB14FBE" w14:textId="77777777" w:rsidR="004604F9" w:rsidRPr="00B85E1C" w:rsidRDefault="004604F9" w:rsidP="00B85E1C">
      <w:pPr>
        <w:pStyle w:val="ListBullet0"/>
      </w:pPr>
      <w:r w:rsidRPr="00B85E1C">
        <w:rPr>
          <w:rStyle w:val="Strong"/>
        </w:rPr>
        <w:lastRenderedPageBreak/>
        <w:t>Online services:</w:t>
      </w:r>
      <w:r w:rsidRPr="00B85E1C">
        <w:t xml:space="preserve"> The evidence suggests internet and online resources and services are of value and of interest to youth, particularly if they can be used to garner information and support. Online services can be perceived as more accessible and safer for LGBTQ+ youth and young adults, and gamified e-therapeutic content could be acceptable. Many online services however appear to be nascent, and need to be tailored, via lived experience collaboration, to the needs of diverse subgroups of the LGBTQ+ community.</w:t>
      </w:r>
    </w:p>
    <w:p w14:paraId="6F4D052F" w14:textId="77777777" w:rsidR="004604F9" w:rsidRPr="00B85E1C" w:rsidRDefault="004604F9" w:rsidP="00B85E1C">
      <w:pPr>
        <w:pStyle w:val="ListBullet0"/>
      </w:pPr>
      <w:r w:rsidRPr="00B85E1C">
        <w:rPr>
          <w:rStyle w:val="Strong"/>
        </w:rPr>
        <w:t>Primary care and therapeutic services:</w:t>
      </w:r>
      <w:r w:rsidRPr="00B85E1C">
        <w:t xml:space="preserve"> GPs, psychologists, and allied health practitioners are often rated positively by LGBTQ+ people. GP care and care with therapists can however be inconsistent. Care from private therapists is also reported to be expensive and out of reach for many people, with expensive gap payments and limited access via Medicare.</w:t>
      </w:r>
    </w:p>
    <w:p w14:paraId="78CCE21E" w14:textId="77777777" w:rsidR="004604F9" w:rsidRPr="00B85E1C" w:rsidRDefault="004604F9" w:rsidP="00B85E1C">
      <w:pPr>
        <w:pStyle w:val="ListBullet0"/>
      </w:pPr>
      <w:r w:rsidRPr="00B85E1C">
        <w:rPr>
          <w:rStyle w:val="Strong"/>
        </w:rPr>
        <w:t>Crisis helpline services:</w:t>
      </w:r>
      <w:r w:rsidRPr="00B85E1C">
        <w:t xml:space="preserve"> Crisis helplines can be more accessible to LGBTQ+ people in a crisis, including people in rural areas. Crisis helplines can be effective if helpline staff are non-judgemental and indicate acceptance towards LGBTQ+ people. However, crisis helplines are often not sufficiently oriented to the needs of LGBTQ+ people and crisis helpline staff may not have the sufficient knowledge. LGBTQ+ people have reported negative experiences (including microaggressions and misgendering), and referral processes to long-term mental health care can be poor. </w:t>
      </w:r>
    </w:p>
    <w:p w14:paraId="2A41CF9A" w14:textId="77777777" w:rsidR="00B85E1C" w:rsidRDefault="004604F9" w:rsidP="00B85E1C">
      <w:pPr>
        <w:pStyle w:val="ListBullet0"/>
      </w:pPr>
      <w:r w:rsidRPr="00B85E1C">
        <w:rPr>
          <w:rStyle w:val="Strong"/>
        </w:rPr>
        <w:t>Emergency and inpatient services:</w:t>
      </w:r>
      <w:r w:rsidRPr="00B85E1C">
        <w:t xml:space="preserve"> Mental health providers, including emergency staff and inpatient service healthcare workers and clinicians can be knowledgeable, empathic, and caring towards LGBTQ+ people and inclusive of carers. However, while individual interactions can be positive, service provision is highly inconsistent, unsafe and traumatising, with LGBTQ+ people and carers reporting the highest level of dissatisfaction with these services. Emergency and impatient services need to be trauma-</w:t>
      </w:r>
      <w:proofErr w:type="gramStart"/>
      <w:r w:rsidRPr="00B85E1C">
        <w:t>informed, and</w:t>
      </w:r>
      <w:proofErr w:type="gramEnd"/>
      <w:r w:rsidRPr="00B85E1C">
        <w:t xml:space="preserve"> designed and evaluated with LGBTQ+ people with an intersecting lived experience and carers, including those who have experienced involuntary treatment. </w:t>
      </w:r>
    </w:p>
    <w:p w14:paraId="42BE0F0A" w14:textId="72AB21EF" w:rsidR="004604F9" w:rsidRPr="00B85E1C" w:rsidRDefault="004604F9" w:rsidP="00B85E1C">
      <w:pPr>
        <w:pStyle w:val="ListBullet0"/>
        <w:rPr>
          <w:rStyle w:val="ListBulletChar"/>
        </w:rPr>
      </w:pPr>
      <w:r w:rsidRPr="00B85E1C">
        <w:rPr>
          <w:rStyle w:val="Strong"/>
        </w:rPr>
        <w:t>LGBTQIA+ services:</w:t>
      </w:r>
      <w:r w:rsidRPr="00B85E1C">
        <w:rPr>
          <w:rStyle w:val="ListBulletChar"/>
          <w:rFonts w:eastAsiaTheme="minorHAnsi"/>
        </w:rPr>
        <w:t xml:space="preserve"> Positive experiences are more consistently reported in LGBTIQA+ specific services (including trans and gender-specific services). There is</w:t>
      </w:r>
      <w:r w:rsidRPr="00DD3B49">
        <w:t xml:space="preserve"> a need for more LGBTIQA+ specific mental health services accessible in Australia, with existing LGBTIQA+ specific services also requiring better resourcing</w:t>
      </w:r>
      <w:r>
        <w:t xml:space="preserve"> to meet the needs of people with life-interrupting mental distress and those from diverse backgrounds (e.g., LGBTQ+ people from CALD backgrounds</w:t>
      </w:r>
      <w:r w:rsidRPr="00B85E1C">
        <w:rPr>
          <w:rStyle w:val="ListBulletChar"/>
          <w:rFonts w:eastAsiaTheme="minorHAnsi"/>
        </w:rPr>
        <w:t>).</w:t>
      </w:r>
    </w:p>
    <w:p w14:paraId="1053BA91" w14:textId="77777777" w:rsidR="004604F9" w:rsidRDefault="004604F9" w:rsidP="00DF32BE">
      <w:pPr>
        <w:pStyle w:val="NbrHeading3"/>
      </w:pPr>
      <w:bookmarkStart w:id="123" w:name="_Toc153899534"/>
      <w:r w:rsidRPr="00F73323">
        <w:t>LGBT</w:t>
      </w:r>
      <w:r>
        <w:t>I</w:t>
      </w:r>
      <w:r w:rsidRPr="00F73323">
        <w:t>Q</w:t>
      </w:r>
      <w:r>
        <w:t>A</w:t>
      </w:r>
      <w:r w:rsidRPr="00F73323">
        <w:t>+ population sub-groups</w:t>
      </w:r>
      <w:bookmarkEnd w:id="123"/>
      <w:r w:rsidRPr="00F73323">
        <w:t xml:space="preserve"> </w:t>
      </w:r>
    </w:p>
    <w:p w14:paraId="77290E89" w14:textId="25A85BF6" w:rsidR="004604F9" w:rsidRDefault="004604F9" w:rsidP="004604F9">
      <w:pPr>
        <w:rPr>
          <w:lang w:eastAsia="en-AU"/>
        </w:rPr>
      </w:pPr>
      <w:r w:rsidRPr="00CA2B45">
        <w:t xml:space="preserve">This SLR </w:t>
      </w:r>
      <w:r w:rsidR="00BB6EC1">
        <w:t>did not include</w:t>
      </w:r>
      <w:r w:rsidRPr="00CA2B45">
        <w:t xml:space="preserve"> evidence related to the mental health services needs of people with innate variations in sex characteristics, and an independent review of evidence is recommended to inform the action plan. </w:t>
      </w:r>
      <w:r w:rsidRPr="00CA2B45">
        <w:rPr>
          <w:lang w:eastAsia="en-AU"/>
        </w:rPr>
        <w:t>Insufficient evidence was found in the review to comment on the mental health service needs of asexual people, people of other diverse gender and sexualities (e.g., nonbinary people, pansexual people), and people with intersectional experiences, and a wider scoping of international literature and grey literature is recommended.</w:t>
      </w:r>
    </w:p>
    <w:p w14:paraId="7D1F9101" w14:textId="77777777" w:rsidR="004604F9" w:rsidRPr="00752747" w:rsidRDefault="004604F9" w:rsidP="00752747">
      <w:pPr>
        <w:pStyle w:val="ListBullet0"/>
      </w:pPr>
      <w:r w:rsidRPr="00752747">
        <w:rPr>
          <w:rStyle w:val="Strong"/>
        </w:rPr>
        <w:t>Services to Sexuality diverse people</w:t>
      </w:r>
      <w:r w:rsidRPr="00752747">
        <w:t xml:space="preserve">: Sexuality diverse people report positive and supportive engagements with health care professionals. However, many reported </w:t>
      </w:r>
      <w:r w:rsidRPr="00752747">
        <w:lastRenderedPageBreak/>
        <w:t>microaggressions and pathologisation, particularly in inpatient services. Sexuality diverse youth need information on mental health services, including online and face-to-face services. There is a lack of awareness among sexuality diverse youth about existing services. Service providers also need a better understanding of patterns of disclosure among sexuality diverse people to improve provision of care to this population.</w:t>
      </w:r>
    </w:p>
    <w:p w14:paraId="3F0AE1A7" w14:textId="77777777" w:rsidR="004604F9" w:rsidRPr="00752747" w:rsidRDefault="004604F9" w:rsidP="00752747">
      <w:pPr>
        <w:pStyle w:val="ListBullet0"/>
      </w:pPr>
      <w:r w:rsidRPr="00752747">
        <w:rPr>
          <w:rStyle w:val="Strong"/>
        </w:rPr>
        <w:t>Services to Trans and Gender diverse people:</w:t>
      </w:r>
      <w:r w:rsidRPr="00752747">
        <w:t xml:space="preserve"> Trans and gender diverse people were more likely to report inequity in service provision, including misgendering and pathologisation. Access to gender-affirming care, including gender dysphoria clinics, hormone treatment, surgery and puberty blockers supports trans and gender diverse people’s mental health, including decreasing distress, depression, self-harm and suicidal thoughts and behaviour, and increasing safety in the community for trans and gender diverse people. A trusted GP facilitates referrals to mental health support, while school psychologists create safe and affirming therapeutic environments for trans and gender diverse youth. However, in many instances access to gender affirming care was delayed or denied by clinicians. Also, many health professionals (including school psychologists) have knowledge deficits and require training in the specific mental health needs of trans and gender diverse people. Crisis services, including helplines, emergency services and support for parents and families, also need to be made more accessible, and should be designed and evaluated with trans and gender diverse people with an intersecting lived experience of mental health challenges. </w:t>
      </w:r>
    </w:p>
    <w:p w14:paraId="7D6E5A09" w14:textId="77777777" w:rsidR="004604F9" w:rsidRPr="00457555" w:rsidRDefault="004604F9" w:rsidP="00DF32BE">
      <w:pPr>
        <w:pStyle w:val="NbrHeading3"/>
      </w:pPr>
      <w:bookmarkStart w:id="124" w:name="_Toc153899535"/>
      <w:r w:rsidRPr="00F73323">
        <w:t>Gaps in research on LGBTQ+ mental health and suicide prevention services</w:t>
      </w:r>
      <w:bookmarkEnd w:id="124"/>
    </w:p>
    <w:p w14:paraId="0D80F572" w14:textId="77777777" w:rsidR="004604F9" w:rsidRDefault="004604F9" w:rsidP="004604F9">
      <w:r w:rsidRPr="00457555">
        <w:t xml:space="preserve">The SLR found gaps in research knowledge that limit our understanding of mental health and suicide prevention service provision to LGBTQ+ people. </w:t>
      </w:r>
      <w:r w:rsidRPr="00934F8C">
        <w:rPr>
          <w:bCs/>
        </w:rPr>
        <w:t>Based on the SLR findings,</w:t>
      </w:r>
      <w:r w:rsidRPr="00457555">
        <w:t xml:space="preserve"> we outline some priority areas for research, with the caveat that research agenda be co-designed with LGBTQIA+ people with</w:t>
      </w:r>
      <w:r>
        <w:t xml:space="preserve"> an intersecting</w:t>
      </w:r>
      <w:r w:rsidRPr="00457555">
        <w:t xml:space="preserve"> lived experience of mental health challenges and suicidality as well as sector experts.</w:t>
      </w:r>
      <w:r>
        <w:t xml:space="preserve"> The research gaps noted include: </w:t>
      </w:r>
    </w:p>
    <w:p w14:paraId="2754D8BA" w14:textId="77777777" w:rsidR="004604F9" w:rsidRPr="00C041CA" w:rsidRDefault="004604F9" w:rsidP="00C041CA">
      <w:pPr>
        <w:pStyle w:val="ListBullet0"/>
      </w:pPr>
      <w:r w:rsidRPr="00C041CA">
        <w:rPr>
          <w:rStyle w:val="Strong"/>
        </w:rPr>
        <w:t>Comprehensive review of evidence:</w:t>
      </w:r>
      <w:r w:rsidRPr="00C041CA">
        <w:t xml:space="preserve"> This review was not able to comment on the needs of intersex people or asexual people. A more comprehensive review of both the international and Australian peer-reviewed and ‘grey’ literature would be recommended to gain a clearer and more accurate picture of service provision, quality and performance and gaps in research evidence. </w:t>
      </w:r>
    </w:p>
    <w:p w14:paraId="7D0B27E4" w14:textId="77777777" w:rsidR="004604F9" w:rsidRPr="00C041CA" w:rsidRDefault="004604F9" w:rsidP="00C041CA">
      <w:pPr>
        <w:pStyle w:val="ListBullet0"/>
      </w:pPr>
      <w:r w:rsidRPr="00C041CA">
        <w:rPr>
          <w:rStyle w:val="Strong"/>
        </w:rPr>
        <w:t>Safety in services:</w:t>
      </w:r>
      <w:r w:rsidRPr="00C041CA">
        <w:t xml:space="preserve"> A clear priority for research should be a focus on safe service provision, as mental health services, as a minimum, should do no harm. Further research is required to investigate safety issues (e.g. rates of seclusion and restraints for LGBTQ+ people), the extent to which pathologisation, conversion practices, abuse, and violence occur in mental health services, and how therapeutic, and faith needs, of survivors of conversion practices can best be met.</w:t>
      </w:r>
    </w:p>
    <w:p w14:paraId="30064B3E" w14:textId="77777777" w:rsidR="004604F9" w:rsidRPr="00C041CA" w:rsidRDefault="004604F9" w:rsidP="00C041CA">
      <w:pPr>
        <w:pStyle w:val="ListBullet0"/>
      </w:pPr>
      <w:r w:rsidRPr="00C041CA">
        <w:rPr>
          <w:rStyle w:val="Strong"/>
        </w:rPr>
        <w:t>Specific services and interventions:</w:t>
      </w:r>
      <w:r w:rsidRPr="00C041CA">
        <w:t xml:space="preserve"> Research should focus on specific service or intervention type, and ideally evaluation should be undertaken in collaboration with LGBTQ+ people with an intersecting lived experiences. Of particular interest would be the experiences of LGBTQ+ people in inpatient mental health services and emergency departments, LGBTIQA+ specific services, trauma specific therapeutic interventions, </w:t>
      </w:r>
      <w:r w:rsidRPr="00C041CA">
        <w:lastRenderedPageBreak/>
        <w:t>youth mental health, peer-led services or services with employed peer workers, and collaborative care planning and decision-making. Little is also currently understood about the relationship between microaggressions, service type, intervention, and quality.</w:t>
      </w:r>
    </w:p>
    <w:p w14:paraId="7C815546" w14:textId="77777777" w:rsidR="004604F9" w:rsidRPr="00C041CA" w:rsidRDefault="004604F9" w:rsidP="00C041CA">
      <w:pPr>
        <w:pStyle w:val="ListBullet0"/>
      </w:pPr>
      <w:r w:rsidRPr="00C041CA">
        <w:rPr>
          <w:rStyle w:val="Strong"/>
        </w:rPr>
        <w:t>Involvement of people with lived experience in research:</w:t>
      </w:r>
      <w:r w:rsidRPr="00C041CA">
        <w:t xml:space="preserve"> Only a small portion of the SLR research involved LGBTQ+ people with an intersecting lived experience of mental health challenges. Involvement of LGBTQ+ people is an imperative in mental health research. Further research could </w:t>
      </w:r>
      <w:proofErr w:type="gramStart"/>
      <w:r w:rsidRPr="00C041CA">
        <w:t>look into</w:t>
      </w:r>
      <w:proofErr w:type="gramEnd"/>
      <w:r w:rsidRPr="00C041CA">
        <w:t xml:space="preserve"> co-design of research with LGBTQ+ people with lived experience of mental health challenges through all stages of the research process. LGBTQ+ researchers should also consider consumer/survivor perspectives, and what can be learnt from these, to inform LGBTQ+ advocacy and research.</w:t>
      </w:r>
    </w:p>
    <w:p w14:paraId="08B150C6" w14:textId="77777777" w:rsidR="004604F9" w:rsidRPr="00C041CA" w:rsidRDefault="004604F9" w:rsidP="00C041CA">
      <w:pPr>
        <w:pStyle w:val="ListBullet0"/>
      </w:pPr>
      <w:r w:rsidRPr="00C041CA">
        <w:rPr>
          <w:rStyle w:val="Strong"/>
        </w:rPr>
        <w:t>Research equity for First Nations LGBTQ+SB people:</w:t>
      </w:r>
      <w:r w:rsidRPr="00C041CA">
        <w:t xml:space="preserve"> The SLR indicates that there is little data on the needs and expectations of Aboriginal and Torres Strait Islander LGBTQ+SB people in mental health services. Research should be designed and led by First Nations LGBTQ+SB people.</w:t>
      </w:r>
    </w:p>
    <w:p w14:paraId="1574769A" w14:textId="77777777" w:rsidR="004604F9" w:rsidRPr="00C041CA" w:rsidRDefault="004604F9" w:rsidP="00C041CA">
      <w:pPr>
        <w:pStyle w:val="ListBullet0"/>
      </w:pPr>
      <w:r w:rsidRPr="00C041CA">
        <w:rPr>
          <w:rStyle w:val="Strong"/>
        </w:rPr>
        <w:t>Research equity for LGBTQ+ people with intersectional identities and experiences:</w:t>
      </w:r>
      <w:r w:rsidRPr="00C041CA">
        <w:t xml:space="preserve"> The SLR included little research on the needs, stressors, or service experiences of people with intersectional identities and experiences. In the first instance, a broader review of the evidence base is required to understand the specific needs, and to determine gaps in evidence, in regard to LGBTQ+ people including people of colour, people with CALD backgrounds, people with disability, people who are neurodiverse, youth, older adults, people from rural and remote areas, and people from a low-socioeconomic backgrounds.</w:t>
      </w:r>
    </w:p>
    <w:p w14:paraId="2FF6AE0A" w14:textId="77777777" w:rsidR="004604F9" w:rsidRPr="00C041CA" w:rsidRDefault="004604F9" w:rsidP="00C041CA">
      <w:pPr>
        <w:pStyle w:val="ListBullet0"/>
      </w:pPr>
      <w:r w:rsidRPr="00C041CA">
        <w:rPr>
          <w:rStyle w:val="Strong"/>
        </w:rPr>
        <w:t>Efficiency:</w:t>
      </w:r>
      <w:r w:rsidRPr="00C041CA">
        <w:t xml:space="preserve"> None of the literature included in this review focused on efficiency, which is a key indicator of quality and performance, questioning how well resources were used. However, reviews or research considering efficiency should not be privileged over other domains of services quality and performance, and should also attend to timeliness, effectiveness, person-centredness, equity, and safety. research considering efficiency also needs to consider the financial cost of services to LGBTQA+ people and how this impacts service access for people on low incomes.</w:t>
      </w:r>
    </w:p>
    <w:p w14:paraId="257F8309" w14:textId="77777777" w:rsidR="004604F9" w:rsidRDefault="004604F9" w:rsidP="00DF32BE">
      <w:pPr>
        <w:pStyle w:val="NbrHeading2"/>
      </w:pPr>
      <w:bookmarkStart w:id="125" w:name="_Toc153899536"/>
      <w:r>
        <w:t>SLR Conclusions and limitations</w:t>
      </w:r>
      <w:bookmarkEnd w:id="125"/>
    </w:p>
    <w:p w14:paraId="27D2BC19" w14:textId="77777777" w:rsidR="004604F9" w:rsidRPr="00F554FE" w:rsidRDefault="004604F9" w:rsidP="00F554FE">
      <w:r w:rsidRPr="00F554FE">
        <w:t xml:space="preserve">The SLR showed that in the Australian context (and beyond), there are many health services and broader health workers that provide positive and supportive care for LGBTQ+ people. However, there also remain significant barriers, service-gaps, and unsafe practices that are detrimental to the mental health and wellbeing of LGBTQ+ people. While there are encouraging signs that services and service providers are willing to learn about, and accommodate, the care needs of LGBTQ+ people, </w:t>
      </w:r>
      <w:proofErr w:type="gramStart"/>
      <w:r w:rsidRPr="00F554FE">
        <w:t>it is clear that individual</w:t>
      </w:r>
      <w:proofErr w:type="gramEnd"/>
      <w:r w:rsidRPr="00F554FE">
        <w:t xml:space="preserve"> training or upskilling is not, on its own, enough to address gaps, barriers, and unsafe practices. </w:t>
      </w:r>
    </w:p>
    <w:p w14:paraId="5A86DE07" w14:textId="0B0B9D3B" w:rsidR="004604F9" w:rsidRDefault="004604F9" w:rsidP="004604F9">
      <w:pPr>
        <w:rPr>
          <w:rFonts w:eastAsia="Times New Roman"/>
          <w:lang w:eastAsia="en-AU"/>
        </w:rPr>
      </w:pPr>
      <w:r w:rsidRPr="00ED6363">
        <w:rPr>
          <w:rFonts w:eastAsia="Times New Roman"/>
          <w:lang w:eastAsia="en-AU"/>
        </w:rPr>
        <w:t xml:space="preserve">To </w:t>
      </w:r>
      <w:r>
        <w:rPr>
          <w:rFonts w:eastAsia="Times New Roman"/>
          <w:lang w:eastAsia="en-AU"/>
        </w:rPr>
        <w:t xml:space="preserve">the researchers’ </w:t>
      </w:r>
      <w:r w:rsidRPr="00ED6363">
        <w:rPr>
          <w:rFonts w:eastAsia="Times New Roman"/>
          <w:lang w:eastAsia="en-AU"/>
        </w:rPr>
        <w:t xml:space="preserve">knowledge, this is one of the few systematic reviews that has involved LGBTQ+ people with an intersecting lived experience of mental health challenges and suicidality in interpretation of review findings. As Oliver et al. (2014) have argued, there is an urgent need to involve people with lived experience in research, and particularly in systematic reviews, given the influence of these on policy and service decision-making. A particular strength of the review is the involvement of people with life-interrupting mental </w:t>
      </w:r>
      <w:r w:rsidRPr="00ED6363">
        <w:rPr>
          <w:rFonts w:eastAsia="Times New Roman"/>
          <w:lang w:eastAsia="en-AU"/>
        </w:rPr>
        <w:lastRenderedPageBreak/>
        <w:t>health challenges from diverse backgrounds, including First Nations LGBTQ</w:t>
      </w:r>
      <w:r>
        <w:rPr>
          <w:rFonts w:eastAsia="Times New Roman"/>
          <w:lang w:eastAsia="en-AU"/>
        </w:rPr>
        <w:t>+</w:t>
      </w:r>
      <w:r w:rsidRPr="00ED6363">
        <w:rPr>
          <w:rFonts w:eastAsia="Times New Roman"/>
          <w:lang w:eastAsia="en-AU"/>
        </w:rPr>
        <w:t>SB people, LGBTQ+ people from CALD backgrounds, LGBTQ+ people with disability, and LGBTQ+ people from rural areas and/or low socio-economic backgrounds.</w:t>
      </w:r>
    </w:p>
    <w:p w14:paraId="03008F4F" w14:textId="579B9196" w:rsidR="004604F9" w:rsidRDefault="004604F9" w:rsidP="004604F9">
      <w:pPr>
        <w:rPr>
          <w:rFonts w:eastAsia="Times New Roman"/>
          <w:lang w:eastAsia="en-AU"/>
        </w:rPr>
      </w:pPr>
      <w:r w:rsidRPr="00ED6363">
        <w:rPr>
          <w:rFonts w:eastAsia="Times New Roman"/>
          <w:lang w:eastAsia="en-AU"/>
        </w:rPr>
        <w:t>While this SLR commenced with a focus on published, peer-reviewed research literature from Australia and the UK, to gain a broader picture of the needs of LGBTQ+ people, future reviews should include international and Australian contexts as well as ‘grey’ literature that is not peer-reviewed or published. Additionally, although research gaps have been identified, any future research agenda should be co-designed with LGBTQA+ people with intersecting lived experience of mental health challenges and suicidality, community experts and advocates, and mental health providers.</w:t>
      </w:r>
    </w:p>
    <w:p w14:paraId="357693F0" w14:textId="758775DB" w:rsidR="0018043E" w:rsidRDefault="00207EF1" w:rsidP="00DF32BE">
      <w:pPr>
        <w:pStyle w:val="NbrHeading1"/>
      </w:pPr>
      <w:bookmarkStart w:id="126" w:name="_Toc153899537"/>
      <w:r>
        <w:t>Conclusion and R</w:t>
      </w:r>
      <w:r w:rsidR="00593B0F">
        <w:t>esearch Insights</w:t>
      </w:r>
      <w:bookmarkEnd w:id="126"/>
    </w:p>
    <w:p w14:paraId="2DC15AA7" w14:textId="58D3E99F" w:rsidR="00EA3567" w:rsidRPr="00207EF1" w:rsidRDefault="00C36390" w:rsidP="00207EF1">
      <w:pPr>
        <w:shd w:val="clear" w:color="auto" w:fill="FFFFFF" w:themeFill="background1"/>
        <w:ind w:left="1134"/>
        <w:rPr>
          <w:i/>
          <w:iCs/>
          <w:color w:val="0F4BEB" w:themeColor="accent1"/>
        </w:rPr>
      </w:pPr>
      <w:r w:rsidRPr="00207EF1">
        <w:rPr>
          <w:i/>
          <w:iCs/>
          <w:color w:val="0F4BEB" w:themeColor="accent1"/>
        </w:rPr>
        <w:t xml:space="preserve">Drawing on the </w:t>
      </w:r>
      <w:r w:rsidR="00187D42" w:rsidRPr="00207EF1">
        <w:rPr>
          <w:i/>
          <w:iCs/>
          <w:color w:val="0F4BEB" w:themeColor="accent1"/>
        </w:rPr>
        <w:t xml:space="preserve">evidence presented </w:t>
      </w:r>
      <w:r w:rsidR="00207EF1">
        <w:rPr>
          <w:i/>
          <w:iCs/>
          <w:color w:val="0F4BEB" w:themeColor="accent1"/>
        </w:rPr>
        <w:t>earlier in thi</w:t>
      </w:r>
      <w:r w:rsidR="00D92417" w:rsidRPr="00207EF1">
        <w:rPr>
          <w:i/>
          <w:iCs/>
          <w:color w:val="0F4BEB" w:themeColor="accent1"/>
        </w:rPr>
        <w:t>s report, t</w:t>
      </w:r>
      <w:r w:rsidR="00EA3567" w:rsidRPr="00207EF1">
        <w:rPr>
          <w:i/>
          <w:iCs/>
          <w:color w:val="0F4BEB" w:themeColor="accent1"/>
        </w:rPr>
        <w:t>his</w:t>
      </w:r>
      <w:r w:rsidR="00A15623" w:rsidRPr="00207EF1">
        <w:rPr>
          <w:i/>
          <w:iCs/>
          <w:color w:val="0F4BEB" w:themeColor="accent1"/>
        </w:rPr>
        <w:t xml:space="preserve"> section </w:t>
      </w:r>
      <w:r w:rsidR="00EA3567" w:rsidRPr="00207EF1">
        <w:rPr>
          <w:i/>
          <w:iCs/>
          <w:color w:val="0F4BEB" w:themeColor="accent1"/>
        </w:rPr>
        <w:t>addressed KRQ 3 namely:</w:t>
      </w:r>
    </w:p>
    <w:p w14:paraId="09294BC1" w14:textId="6B1EBEA7" w:rsidR="00EA3567" w:rsidRPr="00DB78FA" w:rsidRDefault="00EA3567" w:rsidP="00DB78FA">
      <w:pPr>
        <w:pStyle w:val="ListBullet0"/>
        <w:numPr>
          <w:ilvl w:val="0"/>
          <w:numId w:val="0"/>
        </w:numPr>
        <w:ind w:left="1491"/>
        <w:rPr>
          <w:color w:val="0F4BEB" w:themeColor="accent1"/>
        </w:rPr>
      </w:pPr>
      <w:r w:rsidRPr="00DB78FA">
        <w:rPr>
          <w:color w:val="0F4BEB" w:themeColor="accent1"/>
        </w:rPr>
        <w:t xml:space="preserve">What evidence-based insights can be drawn to help inform policy development for the </w:t>
      </w:r>
      <w:r w:rsidR="00D92417" w:rsidRPr="00DB78FA">
        <w:rPr>
          <w:color w:val="0F4BEB" w:themeColor="accent1"/>
        </w:rPr>
        <w:t xml:space="preserve">Commonwealth Governments </w:t>
      </w:r>
      <w:r w:rsidRPr="00DB78FA">
        <w:rPr>
          <w:color w:val="0F4BEB" w:themeColor="accent1"/>
        </w:rPr>
        <w:t>10 Year National Action Plan for the Health and Wellbeing of LGBTQIA+ people?</w:t>
      </w:r>
    </w:p>
    <w:p w14:paraId="1EEFD827" w14:textId="77777777" w:rsidR="00746AAF" w:rsidRPr="00B73DEC" w:rsidRDefault="00746AAF" w:rsidP="00DF32BE">
      <w:pPr>
        <w:pStyle w:val="NbrHeading2"/>
      </w:pPr>
      <w:bookmarkStart w:id="127" w:name="_Toc149670631"/>
      <w:bookmarkStart w:id="128" w:name="_Toc153899538"/>
      <w:r w:rsidRPr="00B73DEC">
        <w:t>About this Section</w:t>
      </w:r>
      <w:bookmarkEnd w:id="127"/>
      <w:bookmarkEnd w:id="128"/>
    </w:p>
    <w:p w14:paraId="72440896" w14:textId="79AB97F4" w:rsidR="00746AAF" w:rsidRPr="00746AAF" w:rsidRDefault="00746AAF" w:rsidP="00746AAF">
      <w:pPr>
        <w:rPr>
          <w:lang w:eastAsia="en-AU"/>
        </w:rPr>
      </w:pPr>
      <w:r w:rsidRPr="00746AAF">
        <w:rPr>
          <w:lang w:eastAsia="en-AU"/>
        </w:rPr>
        <w:t xml:space="preserve">Drawing on the evidence gathered through the applied SLR (interpreted in collaboration with the Rainbow Embassy and associates), the desktop review of the Australian landscape and of risks and protective factors for LGBTQ+ presented in this report, various research insights can be identified that are relevant to the Government’s </w:t>
      </w:r>
      <w:r w:rsidRPr="00746AAF">
        <w:rPr>
          <w:i/>
          <w:iCs/>
          <w:lang w:eastAsia="en-AU"/>
        </w:rPr>
        <w:t>National Action Plan for the Health and Wellbeing of LGBT</w:t>
      </w:r>
      <w:r w:rsidR="00CA59CC">
        <w:rPr>
          <w:i/>
          <w:iCs/>
          <w:lang w:eastAsia="en-AU"/>
        </w:rPr>
        <w:t>IQ</w:t>
      </w:r>
      <w:r w:rsidRPr="00746AAF">
        <w:rPr>
          <w:i/>
          <w:iCs/>
          <w:lang w:eastAsia="en-AU"/>
        </w:rPr>
        <w:t>A+ people</w:t>
      </w:r>
      <w:r w:rsidRPr="00746AAF">
        <w:rPr>
          <w:lang w:eastAsia="en-AU"/>
        </w:rPr>
        <w:t xml:space="preserve">.  </w:t>
      </w:r>
    </w:p>
    <w:p w14:paraId="370A5A14" w14:textId="3FB4073C" w:rsidR="00746AAF" w:rsidRPr="00746AAF" w:rsidRDefault="00746AAF" w:rsidP="00746AAF">
      <w:pPr>
        <w:rPr>
          <w:lang w:eastAsia="en-AU"/>
        </w:rPr>
      </w:pPr>
      <w:r w:rsidRPr="00746AAF">
        <w:rPr>
          <w:lang w:eastAsia="en-AU"/>
        </w:rPr>
        <w:t>These insights have been grouped into 3 sections:</w:t>
      </w:r>
    </w:p>
    <w:p w14:paraId="232E8736" w14:textId="77777777" w:rsidR="00746AAF" w:rsidRPr="00746AAF" w:rsidRDefault="00746AAF" w:rsidP="00B65AF7">
      <w:pPr>
        <w:pStyle w:val="ListBullet0"/>
      </w:pPr>
      <w:r w:rsidRPr="00387F5D">
        <w:rPr>
          <w:b/>
        </w:rPr>
        <w:t>Overarching Principles</w:t>
      </w:r>
      <w:r w:rsidRPr="00746AAF">
        <w:t>, that can be used to frame the action plan (Section 6.2)</w:t>
      </w:r>
    </w:p>
    <w:p w14:paraId="4B05E334" w14:textId="77777777" w:rsidR="00746AAF" w:rsidRPr="00746AAF" w:rsidRDefault="00746AAF" w:rsidP="00B65AF7">
      <w:pPr>
        <w:pStyle w:val="ListBullet0"/>
      </w:pPr>
      <w:r w:rsidRPr="00387F5D">
        <w:rPr>
          <w:b/>
        </w:rPr>
        <w:t xml:space="preserve">Key Policy Directions and Options Arising </w:t>
      </w:r>
      <w:r w:rsidRPr="00746AAF">
        <w:t>to help inform the policy development (Section 6.3)</w:t>
      </w:r>
    </w:p>
    <w:p w14:paraId="3BEA31C2" w14:textId="4B1D2B7F" w:rsidR="00746AAF" w:rsidRPr="00746AAF" w:rsidRDefault="00746AAF" w:rsidP="00B65AF7">
      <w:pPr>
        <w:pStyle w:val="ListBullet0"/>
      </w:pPr>
      <w:r w:rsidRPr="00387F5D">
        <w:rPr>
          <w:b/>
        </w:rPr>
        <w:t xml:space="preserve">Other issues and considerations, </w:t>
      </w:r>
      <w:r w:rsidRPr="00746AAF">
        <w:t>that while adjacent to the KRQ, nonetheless</w:t>
      </w:r>
      <w:r w:rsidR="00223C13">
        <w:t>,</w:t>
      </w:r>
      <w:r w:rsidRPr="00746AAF">
        <w:t xml:space="preserve"> emerged from the literature and </w:t>
      </w:r>
      <w:r w:rsidR="00AF7DF4">
        <w:t>interpretation</w:t>
      </w:r>
      <w:r w:rsidRPr="00746AAF">
        <w:t xml:space="preserve"> provided by the Rainbow Embassy and associates (Section 6.4)</w:t>
      </w:r>
    </w:p>
    <w:p w14:paraId="2283C096" w14:textId="77777777" w:rsidR="00746AAF" w:rsidRPr="00746AAF" w:rsidRDefault="00746AAF" w:rsidP="00DF32BE">
      <w:pPr>
        <w:pStyle w:val="NbrHeading2"/>
      </w:pPr>
      <w:bookmarkStart w:id="129" w:name="_Toc149670632"/>
      <w:bookmarkStart w:id="130" w:name="_Toc153899539"/>
      <w:r w:rsidRPr="00746AAF">
        <w:t>Overarching Principles</w:t>
      </w:r>
      <w:bookmarkEnd w:id="129"/>
      <w:bookmarkEnd w:id="130"/>
    </w:p>
    <w:p w14:paraId="337FFD8E" w14:textId="2BB4F5E5" w:rsidR="00746AAF" w:rsidRPr="00746AAF" w:rsidRDefault="00746AAF" w:rsidP="00746AAF">
      <w:r w:rsidRPr="00746AAF">
        <w:rPr>
          <w:lang w:eastAsia="en-AU"/>
        </w:rPr>
        <w:t xml:space="preserve">The research revealed </w:t>
      </w:r>
      <w:proofErr w:type="gramStart"/>
      <w:r w:rsidRPr="00746AAF">
        <w:rPr>
          <w:lang w:eastAsia="en-AU"/>
        </w:rPr>
        <w:t>a number of</w:t>
      </w:r>
      <w:proofErr w:type="gramEnd"/>
      <w:r w:rsidRPr="00746AAF">
        <w:rPr>
          <w:lang w:eastAsia="en-AU"/>
        </w:rPr>
        <w:t xml:space="preserve"> higher level or overarching principles seen as useful to shaping the approach, measures</w:t>
      </w:r>
      <w:r w:rsidR="00223C13">
        <w:rPr>
          <w:lang w:eastAsia="en-AU"/>
        </w:rPr>
        <w:t>,</w:t>
      </w:r>
      <w:r w:rsidRPr="00746AAF">
        <w:rPr>
          <w:lang w:eastAsia="en-AU"/>
        </w:rPr>
        <w:t xml:space="preserve"> and implementation of the</w:t>
      </w:r>
      <w:r w:rsidR="00186BB0">
        <w:rPr>
          <w:lang w:eastAsia="en-AU"/>
        </w:rPr>
        <w:t xml:space="preserve"> mental health component of the</w:t>
      </w:r>
      <w:r w:rsidRPr="00746AAF">
        <w:rPr>
          <w:lang w:eastAsia="en-AU"/>
        </w:rPr>
        <w:t xml:space="preserve"> </w:t>
      </w:r>
      <w:r w:rsidRPr="00746AAF">
        <w:rPr>
          <w:i/>
          <w:lang w:eastAsia="en-AU"/>
        </w:rPr>
        <w:t xml:space="preserve">National Action Plan. </w:t>
      </w:r>
      <w:r w:rsidRPr="00746AAF">
        <w:t xml:space="preserve">Many of </w:t>
      </w:r>
      <w:proofErr w:type="gramStart"/>
      <w:r w:rsidRPr="00746AAF">
        <w:t>these echo</w:t>
      </w:r>
      <w:proofErr w:type="gramEnd"/>
      <w:r w:rsidRPr="00746AAF">
        <w:t xml:space="preserve"> and complement other contemporary policy and advocacy documents, including those promoted by </w:t>
      </w:r>
      <w:r w:rsidR="006E60A4">
        <w:t>LHA.</w:t>
      </w:r>
    </w:p>
    <w:p w14:paraId="502EF9DD" w14:textId="403DD5BF" w:rsidR="00746AAF" w:rsidRPr="00746AAF" w:rsidRDefault="00746AAF" w:rsidP="00746AAF">
      <w:r w:rsidRPr="00746AAF">
        <w:t>The principles are summarised in Figure 3 and expanded upon below.</w:t>
      </w:r>
    </w:p>
    <w:p w14:paraId="353485DA" w14:textId="6C9C480C" w:rsidR="00746AAF" w:rsidRPr="00B73DEC" w:rsidRDefault="00746AAF" w:rsidP="00B73DEC">
      <w:pPr>
        <w:pStyle w:val="Heading3"/>
      </w:pPr>
      <w:bookmarkStart w:id="131" w:name="_Toc149670633"/>
      <w:r w:rsidRPr="00B73DEC">
        <w:lastRenderedPageBreak/>
        <w:t>1]</w:t>
      </w:r>
      <w:r w:rsidRPr="00B73DEC">
        <w:tab/>
        <w:t>Importance of</w:t>
      </w:r>
      <w:r w:rsidR="00E01CF4" w:rsidRPr="00B73DEC">
        <w:t xml:space="preserve"> Intersecting</w:t>
      </w:r>
      <w:r w:rsidRPr="00B73DEC">
        <w:t xml:space="preserve"> Lived Experience</w:t>
      </w:r>
      <w:bookmarkEnd w:id="131"/>
      <w:r w:rsidRPr="00B73DEC">
        <w:t xml:space="preserve"> </w:t>
      </w:r>
    </w:p>
    <w:p w14:paraId="3AFFCB9F" w14:textId="422408EF"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A strong theme to emerge from the research was the importance of ensuring future actions for the LGBTQ+ community are built on the lived experience of LGBTQ+ people</w:t>
      </w:r>
      <w:r w:rsidR="009B448E">
        <w:rPr>
          <w:rFonts w:eastAsia="Times New Roman" w:cs="Times New Roman"/>
          <w:szCs w:val="24"/>
          <w:lang w:eastAsia="en-AU"/>
        </w:rPr>
        <w:t xml:space="preserve"> who have </w:t>
      </w:r>
      <w:r w:rsidR="00223C13">
        <w:rPr>
          <w:rFonts w:eastAsia="Times New Roman" w:cs="Times New Roman"/>
          <w:szCs w:val="24"/>
          <w:lang w:eastAsia="en-AU"/>
        </w:rPr>
        <w:t>an</w:t>
      </w:r>
      <w:r w:rsidR="009B448E">
        <w:rPr>
          <w:rFonts w:eastAsia="Times New Roman" w:cs="Times New Roman"/>
          <w:szCs w:val="24"/>
          <w:lang w:eastAsia="en-AU"/>
        </w:rPr>
        <w:t xml:space="preserve"> intersecting experience of</w:t>
      </w:r>
      <w:r w:rsidRPr="00746AAF">
        <w:rPr>
          <w:rFonts w:eastAsia="Times New Roman" w:cs="Times New Roman"/>
          <w:szCs w:val="24"/>
          <w:lang w:eastAsia="en-AU"/>
        </w:rPr>
        <w:t xml:space="preserve"> living with mental health challenges and suicidality (including life-interrupting mental distress), and who have experience of using mental health and suicide prevention services. </w:t>
      </w:r>
    </w:p>
    <w:p w14:paraId="02335AEC" w14:textId="49B2D09F"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Hereon, references to lived experience inclusive of these three dimensions</w:t>
      </w:r>
      <w:r w:rsidR="007D68C6">
        <w:rPr>
          <w:rFonts w:eastAsia="Times New Roman" w:cs="Times New Roman"/>
          <w:szCs w:val="24"/>
          <w:lang w:eastAsia="en-AU"/>
        </w:rPr>
        <w:t xml:space="preserve"> is referred to as “intersecting lived experience”</w:t>
      </w:r>
      <w:r w:rsidRPr="00746AAF">
        <w:rPr>
          <w:rFonts w:eastAsia="Times New Roman" w:cs="Times New Roman"/>
          <w:szCs w:val="24"/>
          <w:lang w:eastAsia="en-AU"/>
        </w:rPr>
        <w:t>.</w:t>
      </w:r>
    </w:p>
    <w:p w14:paraId="0733C024" w14:textId="20A2468E" w:rsidR="00746AAF" w:rsidRDefault="005E6F28" w:rsidP="005E6F28">
      <w:pPr>
        <w:pStyle w:val="Caption"/>
      </w:pPr>
      <w:r>
        <w:t xml:space="preserve">Figure </w:t>
      </w:r>
      <w:r>
        <w:fldChar w:fldCharType="begin"/>
      </w:r>
      <w:r>
        <w:instrText xml:space="preserve"> SEQ Figure \* ARABIC </w:instrText>
      </w:r>
      <w:r>
        <w:fldChar w:fldCharType="separate"/>
      </w:r>
      <w:r w:rsidR="00BE69FC">
        <w:rPr>
          <w:noProof/>
        </w:rPr>
        <w:t>1</w:t>
      </w:r>
      <w:r>
        <w:fldChar w:fldCharType="end"/>
      </w:r>
      <w:r w:rsidR="00746AAF" w:rsidRPr="00746AAF">
        <w:t xml:space="preserve">: Overarching principles to help inform the National Action Plan </w:t>
      </w:r>
    </w:p>
    <w:p w14:paraId="2BFF5FCA" w14:textId="7C7C2983" w:rsidR="005E6F28" w:rsidRPr="005E6F28" w:rsidRDefault="005E6F28" w:rsidP="005E6F28">
      <w:r>
        <w:rPr>
          <w:noProof/>
        </w:rPr>
        <w:drawing>
          <wp:inline distT="0" distB="0" distL="0" distR="0" wp14:anchorId="425174CF" wp14:editId="42C545DD">
            <wp:extent cx="3038475" cy="2802149"/>
            <wp:effectExtent l="0" t="0" r="0" b="0"/>
            <wp:docPr id="1051622009" name="Picture 1" descr="A diagram of a diagram of a group of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22009" name="Picture 1" descr="A diagram of a diagram of a group of gears"/>
                    <pic:cNvPicPr/>
                  </pic:nvPicPr>
                  <pic:blipFill>
                    <a:blip r:embed="rId92"/>
                    <a:stretch>
                      <a:fillRect/>
                    </a:stretch>
                  </pic:blipFill>
                  <pic:spPr>
                    <a:xfrm>
                      <a:off x="0" y="0"/>
                      <a:ext cx="3041620" cy="2805050"/>
                    </a:xfrm>
                    <a:prstGeom prst="rect">
                      <a:avLst/>
                    </a:prstGeom>
                  </pic:spPr>
                </pic:pic>
              </a:graphicData>
            </a:graphic>
          </wp:inline>
        </w:drawing>
      </w:r>
    </w:p>
    <w:p w14:paraId="08B7C7AC" w14:textId="77777777" w:rsidR="005E6F28" w:rsidRDefault="00746AAF" w:rsidP="00B07427">
      <w:pPr>
        <w:ind w:left="-851"/>
        <w:rPr>
          <w:i/>
          <w:sz w:val="20"/>
          <w:szCs w:val="20"/>
          <w:lang w:eastAsia="en-AU"/>
        </w:rPr>
      </w:pPr>
      <w:r w:rsidRPr="00746AAF">
        <w:rPr>
          <w:noProof/>
          <w:lang w:eastAsia="en-AU"/>
        </w:rPr>
        <w:drawing>
          <wp:inline distT="0" distB="0" distL="0" distR="0" wp14:anchorId="0DC7032B" wp14:editId="776C1F07">
            <wp:extent cx="6562725" cy="3448050"/>
            <wp:effectExtent l="0" t="57150" r="0" b="19050"/>
            <wp:docPr id="4" name="Diagram 4" descr="Infographic shows 8 overarching principles to help inform the National Action Plan. These include:&#10;1) intersecting lived experience&#10;2) No one-size-fits-all&#10;3) Focus on Service Quality&#10;4) Focus on the spectrum of needs&#10;5) More than health and service matter&#10;6) Language matters&#10;7) Moving with the evidence base&#10;8) Ongoing monitoring, evaluation and learn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3E9AD1C0" w14:textId="12F98032" w:rsidR="00746AAF" w:rsidRPr="00DB78FA" w:rsidRDefault="00746AAF" w:rsidP="00DB78FA">
      <w:pPr>
        <w:pStyle w:val="Salutation"/>
        <w:rPr>
          <w:rStyle w:val="FootnoteReference"/>
          <w:sz w:val="24"/>
          <w:szCs w:val="24"/>
        </w:rPr>
      </w:pPr>
      <w:r w:rsidRPr="00DB78FA">
        <w:rPr>
          <w:rStyle w:val="FootnoteReference"/>
          <w:sz w:val="24"/>
          <w:szCs w:val="24"/>
        </w:rPr>
        <w:t>Source: UTS-led researchers, October 2023.</w:t>
      </w:r>
    </w:p>
    <w:p w14:paraId="546D7FA0" w14:textId="194FEBCA" w:rsidR="00746AAF" w:rsidRPr="00746AAF" w:rsidRDefault="00746AAF" w:rsidP="00746AAF">
      <w:r w:rsidRPr="00746AAF">
        <w:lastRenderedPageBreak/>
        <w:t xml:space="preserve">As summarised in Figure 3, insights from people offering this combination of perspectives and experiences are vital for future policies and services to be fully effective and to meet the needs of LGBTQ+ people with </w:t>
      </w:r>
      <w:r w:rsidR="00D74430">
        <w:t>intersecting</w:t>
      </w:r>
      <w:r w:rsidRPr="00746AAF">
        <w:t xml:space="preserve"> lived experience.</w:t>
      </w:r>
    </w:p>
    <w:p w14:paraId="07C604E8" w14:textId="77777777" w:rsidR="00746AAF" w:rsidRPr="00746AAF" w:rsidRDefault="00746AAF" w:rsidP="00746AAF">
      <w:r w:rsidRPr="00746AAF">
        <w:t>This three-aspect approach to lived experience should underpin any future bodies or advisory structures used by the Department.</w:t>
      </w:r>
    </w:p>
    <w:p w14:paraId="52B6DB59" w14:textId="77777777" w:rsidR="00746AAF" w:rsidRPr="00746AAF" w:rsidRDefault="00746AAF" w:rsidP="00DF32BE">
      <w:pPr>
        <w:pStyle w:val="Heading3"/>
      </w:pPr>
      <w:r w:rsidRPr="00746AAF">
        <w:t>2]</w:t>
      </w:r>
      <w:r w:rsidRPr="00746AAF">
        <w:tab/>
        <w:t>No one-size-fits-all</w:t>
      </w:r>
    </w:p>
    <w:p w14:paraId="4C09BF78" w14:textId="5819A1FC"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While</w:t>
      </w:r>
      <w:r w:rsidR="00636D94">
        <w:rPr>
          <w:rFonts w:eastAsia="Times New Roman" w:cs="Times New Roman"/>
          <w:szCs w:val="24"/>
          <w:lang w:eastAsia="en-AU"/>
        </w:rPr>
        <w:t xml:space="preserve"> the</w:t>
      </w:r>
      <w:r w:rsidRPr="00746AAF">
        <w:rPr>
          <w:rFonts w:eastAsia="Times New Roman" w:cs="Times New Roman"/>
          <w:szCs w:val="24"/>
          <w:lang w:eastAsia="en-AU"/>
        </w:rPr>
        <w:t xml:space="preserve"> Government</w:t>
      </w:r>
      <w:r w:rsidR="00223C13">
        <w:rPr>
          <w:rFonts w:eastAsia="Times New Roman" w:cs="Times New Roman"/>
          <w:szCs w:val="24"/>
          <w:lang w:eastAsia="en-AU"/>
        </w:rPr>
        <w:t>’</w:t>
      </w:r>
      <w:r w:rsidRPr="00746AAF">
        <w:rPr>
          <w:rFonts w:eastAsia="Times New Roman" w:cs="Times New Roman"/>
          <w:szCs w:val="24"/>
          <w:lang w:eastAsia="en-AU"/>
        </w:rPr>
        <w:t>s commitment to responding to the mental health needs of LGBTQ+ people through a national action plan is a positive initiative, it is important not to lose sight of the diverse needs of sub-populations under the LGBTQ+ umbrella. Further, intersectional experiences of LGBTQ+ people (associated with culture, age, socio-economic status, geographic location, disability</w:t>
      </w:r>
      <w:r w:rsidR="00223C13">
        <w:rPr>
          <w:rFonts w:eastAsia="Times New Roman" w:cs="Times New Roman"/>
          <w:szCs w:val="24"/>
          <w:lang w:eastAsia="en-AU"/>
        </w:rPr>
        <w:t>,</w:t>
      </w:r>
      <w:r w:rsidRPr="00746AAF">
        <w:rPr>
          <w:rFonts w:eastAsia="Times New Roman" w:cs="Times New Roman"/>
          <w:szCs w:val="24"/>
          <w:lang w:eastAsia="en-AU"/>
        </w:rPr>
        <w:t xml:space="preserve"> etc.) must also be acknowledged. All this means that there can be no one-size-fits all solutions.</w:t>
      </w:r>
    </w:p>
    <w:p w14:paraId="2D034C24" w14:textId="77777777"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 xml:space="preserve">This perspective has </w:t>
      </w:r>
      <w:proofErr w:type="gramStart"/>
      <w:r w:rsidRPr="00746AAF">
        <w:rPr>
          <w:rFonts w:eastAsia="Times New Roman" w:cs="Times New Roman"/>
          <w:szCs w:val="24"/>
          <w:lang w:eastAsia="en-AU"/>
        </w:rPr>
        <w:t>a number of</w:t>
      </w:r>
      <w:proofErr w:type="gramEnd"/>
      <w:r w:rsidRPr="00746AAF">
        <w:rPr>
          <w:rFonts w:eastAsia="Times New Roman" w:cs="Times New Roman"/>
          <w:szCs w:val="24"/>
          <w:lang w:eastAsia="en-AU"/>
        </w:rPr>
        <w:t xml:space="preserve"> dimensions: </w:t>
      </w:r>
    </w:p>
    <w:p w14:paraId="728CC9FB" w14:textId="006A92EC" w:rsidR="00746AAF" w:rsidRPr="00746AAF" w:rsidRDefault="00746AAF" w:rsidP="00DB78FA">
      <w:pPr>
        <w:pStyle w:val="ListAlpha0"/>
      </w:pPr>
      <w:r w:rsidRPr="00746AAF">
        <w:t>Firstly, it underlines the importance of consistently adopting and promoting personal, recovery-oriented, and trauma-informed responses that are affirming of specific sub-populations. This includes promoting personal recovery – connection, hope, identity, meaning</w:t>
      </w:r>
      <w:r w:rsidR="00223C13">
        <w:t>,</w:t>
      </w:r>
      <w:r w:rsidRPr="00746AAF">
        <w:t xml:space="preserve"> and empowerment for LGBTQ+ people – rather than an exclusive focus on clinical recovery, as well as ensuring that care recognises and responds to minority stress and is affirming of LGTBQ+ people with diverse identities.</w:t>
      </w:r>
    </w:p>
    <w:p w14:paraId="1E2D9846" w14:textId="361BA0AF" w:rsidR="00746AAF" w:rsidRPr="00746AAF" w:rsidRDefault="00746AAF" w:rsidP="00DB78FA">
      <w:pPr>
        <w:pStyle w:val="ListAlpha0"/>
      </w:pPr>
      <w:r w:rsidRPr="00746AAF">
        <w:t xml:space="preserve">Secondly, it highlights the importance of not assuming people within LGBTQ+ sub-groups </w:t>
      </w:r>
      <w:r w:rsidR="00223C13">
        <w:t xml:space="preserve">all </w:t>
      </w:r>
      <w:r w:rsidRPr="00746AAF">
        <w:t>have the same service needs or wish to access services via the same pathways. For example, some LGBTQ+ people will prefer to remain within mainstream services while others will seek specialist options.</w:t>
      </w:r>
    </w:p>
    <w:p w14:paraId="56377318" w14:textId="61F355B3" w:rsidR="00746AAF" w:rsidRPr="00746AAF" w:rsidRDefault="00746AAF" w:rsidP="00DB78FA">
      <w:pPr>
        <w:pStyle w:val="ListAlpha0"/>
      </w:pPr>
      <w:r w:rsidRPr="00746AAF">
        <w:t>Thirdly, the action plan should recognise th</w:t>
      </w:r>
      <w:r w:rsidR="00223C13">
        <w:t>e</w:t>
      </w:r>
      <w:r w:rsidRPr="00746AAF">
        <w:t xml:space="preserve"> unique needs of specific sub-populations. For example, </w:t>
      </w:r>
      <w:r w:rsidR="00093143">
        <w:t>trans and gender diverse</w:t>
      </w:r>
      <w:r w:rsidRPr="00746AAF">
        <w:t xml:space="preserve"> people often seek and need distinct approaches to service provision related to their </w:t>
      </w:r>
      <w:r w:rsidR="00093143">
        <w:t xml:space="preserve">intersecting </w:t>
      </w:r>
      <w:r w:rsidRPr="00746AAF">
        <w:t>lived experience. To this end, policies and services for these groups should be developed with these communities and be strongly based in their lived experiences and service needs.</w:t>
      </w:r>
    </w:p>
    <w:p w14:paraId="28474C5E" w14:textId="25CE60E3" w:rsidR="00746AAF" w:rsidRPr="00746AAF" w:rsidRDefault="00746AAF" w:rsidP="00DB78FA">
      <w:pPr>
        <w:pStyle w:val="ListAlpha0"/>
      </w:pPr>
      <w:r w:rsidRPr="00746AAF">
        <w:t>Finally, it highlights the need for culturally safe and trauma-informed care for LGBTQ+ people who have intersectional identities</w:t>
      </w:r>
      <w:r w:rsidR="00223C13">
        <w:t>,</w:t>
      </w:r>
      <w:r w:rsidRPr="00746AAF">
        <w:t xml:space="preserve"> including Aboriginal and Torre Strait Islander people, those with CALD backgrounds</w:t>
      </w:r>
      <w:r w:rsidR="00223C13">
        <w:t>,</w:t>
      </w:r>
      <w:r w:rsidRPr="00746AAF">
        <w:t xml:space="preserve"> or living in rural and remote parts of Australia, who have intersecting lived experiences, perspectives</w:t>
      </w:r>
      <w:r w:rsidR="00223C13">
        <w:t>,</w:t>
      </w:r>
      <w:r w:rsidRPr="00746AAF">
        <w:t xml:space="preserve"> and needs, including unique experiences of oppression or marginalisation, that need to be recognised and responded to in service settings. </w:t>
      </w:r>
    </w:p>
    <w:p w14:paraId="52497429" w14:textId="77777777" w:rsidR="00746AAF" w:rsidRPr="00746AAF" w:rsidRDefault="00746AAF" w:rsidP="00DF32BE">
      <w:pPr>
        <w:pStyle w:val="Heading3"/>
      </w:pPr>
      <w:r w:rsidRPr="00746AAF">
        <w:t>3]</w:t>
      </w:r>
      <w:r w:rsidRPr="00746AAF">
        <w:tab/>
        <w:t>Focus on Service Quality</w:t>
      </w:r>
    </w:p>
    <w:p w14:paraId="66FA23B5" w14:textId="46AA176B"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 xml:space="preserve">As noted in this research, </w:t>
      </w:r>
      <w:r w:rsidR="0060442B">
        <w:rPr>
          <w:rFonts w:eastAsia="Times New Roman" w:cs="Times New Roman"/>
          <w:szCs w:val="24"/>
          <w:lang w:eastAsia="en-AU"/>
        </w:rPr>
        <w:t xml:space="preserve">mental </w:t>
      </w:r>
      <w:r w:rsidR="00636D94">
        <w:rPr>
          <w:rFonts w:eastAsia="Times New Roman" w:cs="Times New Roman"/>
          <w:szCs w:val="24"/>
          <w:lang w:eastAsia="en-AU"/>
        </w:rPr>
        <w:t>health</w:t>
      </w:r>
      <w:r w:rsidR="003E6730">
        <w:rPr>
          <w:rFonts w:eastAsia="Times New Roman" w:cs="Times New Roman"/>
          <w:szCs w:val="24"/>
          <w:lang w:eastAsia="en-AU"/>
        </w:rPr>
        <w:t xml:space="preserve"> and suicide prevention </w:t>
      </w:r>
      <w:r w:rsidRPr="00746AAF">
        <w:rPr>
          <w:rFonts w:eastAsia="Times New Roman" w:cs="Times New Roman"/>
          <w:szCs w:val="24"/>
          <w:lang w:eastAsia="en-AU"/>
        </w:rPr>
        <w:t xml:space="preserve">services for the LGBTQ+ communities should be founded on common quality and performance indicators, such as those promoted </w:t>
      </w:r>
      <w:r w:rsidR="00223C13">
        <w:rPr>
          <w:rFonts w:eastAsia="Times New Roman" w:cs="Times New Roman"/>
          <w:szCs w:val="24"/>
          <w:lang w:eastAsia="en-AU"/>
        </w:rPr>
        <w:t xml:space="preserve">by </w:t>
      </w:r>
      <w:r w:rsidRPr="00746AAF">
        <w:rPr>
          <w:rFonts w:eastAsia="Times New Roman" w:cs="Times New Roman"/>
          <w:szCs w:val="24"/>
          <w:lang w:eastAsia="en-AU"/>
        </w:rPr>
        <w:t>Crossing the Quality Chasm Framework (Institute of Medicine Committee, 2006)</w:t>
      </w:r>
      <w:r w:rsidR="00223C13">
        <w:rPr>
          <w:rFonts w:eastAsia="Times New Roman" w:cs="Times New Roman"/>
          <w:szCs w:val="24"/>
          <w:lang w:eastAsia="en-AU"/>
        </w:rPr>
        <w:t>, and</w:t>
      </w:r>
      <w:r w:rsidRPr="00746AAF">
        <w:rPr>
          <w:rFonts w:eastAsia="Times New Roman" w:cs="Times New Roman"/>
          <w:szCs w:val="24"/>
          <w:lang w:eastAsia="en-AU"/>
        </w:rPr>
        <w:t xml:space="preserve"> specifically related to mental health services. </w:t>
      </w:r>
    </w:p>
    <w:p w14:paraId="2538B64A" w14:textId="29E66273"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To this end, all future initiatives should be planned, implemented</w:t>
      </w:r>
      <w:r w:rsidR="00784D2F">
        <w:rPr>
          <w:rFonts w:eastAsia="Times New Roman" w:cs="Times New Roman"/>
          <w:szCs w:val="24"/>
          <w:lang w:eastAsia="en-AU"/>
        </w:rPr>
        <w:t>,</w:t>
      </w:r>
      <w:r w:rsidRPr="00746AAF">
        <w:rPr>
          <w:rFonts w:eastAsia="Times New Roman" w:cs="Times New Roman"/>
          <w:szCs w:val="24"/>
          <w:lang w:eastAsia="en-AU"/>
        </w:rPr>
        <w:t xml:space="preserve"> and assessed against </w:t>
      </w:r>
      <w:r w:rsidR="00223C13">
        <w:rPr>
          <w:rFonts w:eastAsia="Times New Roman" w:cs="Times New Roman"/>
          <w:szCs w:val="24"/>
          <w:lang w:eastAsia="en-AU"/>
        </w:rPr>
        <w:t xml:space="preserve">an </w:t>
      </w:r>
      <w:r w:rsidRPr="00746AAF">
        <w:rPr>
          <w:rFonts w:eastAsia="Times New Roman" w:cs="Times New Roman"/>
          <w:szCs w:val="24"/>
          <w:lang w:eastAsia="en-AU"/>
        </w:rPr>
        <w:t>agreed set of outcomes, suc</w:t>
      </w:r>
      <w:r w:rsidR="00223C13">
        <w:rPr>
          <w:rFonts w:eastAsia="Times New Roman" w:cs="Times New Roman"/>
          <w:szCs w:val="24"/>
          <w:lang w:eastAsia="en-AU"/>
        </w:rPr>
        <w:t>h as</w:t>
      </w:r>
      <w:r w:rsidRPr="00746AAF">
        <w:rPr>
          <w:rFonts w:eastAsia="Times New Roman" w:cs="Times New Roman"/>
          <w:szCs w:val="24"/>
          <w:lang w:eastAsia="en-AU"/>
        </w:rPr>
        <w:t>:</w:t>
      </w:r>
    </w:p>
    <w:p w14:paraId="0BB5FF11" w14:textId="35F533D9" w:rsidR="00746AAF" w:rsidRPr="00387F5D" w:rsidRDefault="00746AAF" w:rsidP="00B65AF7">
      <w:pPr>
        <w:pStyle w:val="ListBullet0"/>
        <w:rPr>
          <w:rFonts w:eastAsia="Arial"/>
        </w:rPr>
      </w:pPr>
      <w:r w:rsidRPr="00387F5D">
        <w:rPr>
          <w:rFonts w:eastAsia="Arial"/>
          <w:b/>
          <w:bCs/>
        </w:rPr>
        <w:lastRenderedPageBreak/>
        <w:t>Timeliness</w:t>
      </w:r>
      <w:r w:rsidR="00223C13">
        <w:rPr>
          <w:rFonts w:eastAsia="Arial"/>
          <w:b/>
          <w:bCs/>
        </w:rPr>
        <w:t>:</w:t>
      </w:r>
      <w:r w:rsidRPr="00387F5D">
        <w:rPr>
          <w:rFonts w:eastAsia="Arial"/>
          <w:b/>
          <w:bCs/>
        </w:rPr>
        <w:t xml:space="preserve"> </w:t>
      </w:r>
      <w:r w:rsidRPr="00387F5D">
        <w:rPr>
          <w:rFonts w:eastAsia="Arial"/>
        </w:rPr>
        <w:t>Were services delivered on time, including timely access and/or delays in service provision?</w:t>
      </w:r>
    </w:p>
    <w:p w14:paraId="6006DBE8" w14:textId="0881125B" w:rsidR="00746AAF" w:rsidRPr="00746AAF" w:rsidRDefault="00746AAF" w:rsidP="00B65AF7">
      <w:pPr>
        <w:pStyle w:val="ListBullet0"/>
      </w:pPr>
      <w:r w:rsidRPr="00387F5D">
        <w:rPr>
          <w:rFonts w:eastAsia="Arial"/>
          <w:b/>
          <w:bCs/>
        </w:rPr>
        <w:t>Effectiveness</w:t>
      </w:r>
      <w:r w:rsidR="00223C13">
        <w:rPr>
          <w:rFonts w:eastAsia="Arial"/>
          <w:b/>
          <w:bCs/>
        </w:rPr>
        <w:t>:</w:t>
      </w:r>
      <w:r w:rsidRPr="00387F5D">
        <w:rPr>
          <w:rFonts w:eastAsia="Arial"/>
          <w:b/>
          <w:bCs/>
        </w:rPr>
        <w:t xml:space="preserve"> </w:t>
      </w:r>
      <w:r w:rsidRPr="00387F5D">
        <w:rPr>
          <w:rFonts w:eastAsia="Arial"/>
        </w:rPr>
        <w:t xml:space="preserve">Did interventions produce positive health outcomes and meet the intended purpose? </w:t>
      </w:r>
    </w:p>
    <w:p w14:paraId="022F3DFC" w14:textId="626532AF" w:rsidR="00746AAF" w:rsidRPr="00387F5D" w:rsidRDefault="00746AAF" w:rsidP="00B65AF7">
      <w:pPr>
        <w:pStyle w:val="ListBullet0"/>
        <w:rPr>
          <w:rFonts w:eastAsia="Arial"/>
        </w:rPr>
      </w:pPr>
      <w:r w:rsidRPr="00387F5D">
        <w:rPr>
          <w:rFonts w:eastAsia="Arial"/>
          <w:b/>
          <w:bCs/>
        </w:rPr>
        <w:t>Person centredness</w:t>
      </w:r>
      <w:r w:rsidR="00223C13">
        <w:rPr>
          <w:rFonts w:eastAsia="Arial"/>
          <w:b/>
          <w:bCs/>
        </w:rPr>
        <w:t>:</w:t>
      </w:r>
      <w:r w:rsidRPr="00387F5D">
        <w:rPr>
          <w:rFonts w:eastAsia="Arial"/>
          <w:b/>
          <w:bCs/>
        </w:rPr>
        <w:t xml:space="preserve"> </w:t>
      </w:r>
      <w:r w:rsidRPr="00387F5D">
        <w:rPr>
          <w:rFonts w:eastAsia="Arial"/>
        </w:rPr>
        <w:t>Was care experienced as respectful and responsive to the preferences and needs of service users? Did people have control over healthcare decisions, and was care coordinated, continuous, supportive</w:t>
      </w:r>
      <w:r w:rsidR="00223C13">
        <w:rPr>
          <w:rFonts w:eastAsia="Arial"/>
        </w:rPr>
        <w:t>,</w:t>
      </w:r>
      <w:r w:rsidRPr="00387F5D">
        <w:rPr>
          <w:rFonts w:eastAsia="Arial"/>
        </w:rPr>
        <w:t xml:space="preserve"> and inclusive of carers and family?</w:t>
      </w:r>
    </w:p>
    <w:p w14:paraId="696992D5" w14:textId="736AE34B" w:rsidR="00746AAF" w:rsidRPr="00746AAF" w:rsidRDefault="00746AAF" w:rsidP="00B65AF7">
      <w:pPr>
        <w:pStyle w:val="ListBullet0"/>
      </w:pPr>
      <w:r w:rsidRPr="00387F5D">
        <w:rPr>
          <w:rFonts w:eastAsia="Arial"/>
          <w:b/>
          <w:bCs/>
        </w:rPr>
        <w:t>Equity</w:t>
      </w:r>
      <w:r w:rsidR="00223C13">
        <w:rPr>
          <w:rFonts w:eastAsia="Arial"/>
        </w:rPr>
        <w:t>:</w:t>
      </w:r>
      <w:r w:rsidRPr="00387F5D">
        <w:rPr>
          <w:rFonts w:eastAsia="Arial"/>
        </w:rPr>
        <w:t xml:space="preserve"> Did services vary in quality</w:t>
      </w:r>
      <w:r w:rsidR="00223C13">
        <w:rPr>
          <w:rFonts w:eastAsia="Arial"/>
        </w:rPr>
        <w:t>,</w:t>
      </w:r>
      <w:r w:rsidRPr="00387F5D">
        <w:rPr>
          <w:rFonts w:eastAsia="Arial"/>
        </w:rPr>
        <w:t xml:space="preserve"> based on the characteristics of service users such as</w:t>
      </w:r>
      <w:r w:rsidR="00FB28B7">
        <w:rPr>
          <w:rFonts w:eastAsia="Arial"/>
        </w:rPr>
        <w:t xml:space="preserve"> sexual orientation</w:t>
      </w:r>
      <w:r w:rsidRPr="00387F5D">
        <w:rPr>
          <w:rFonts w:eastAsia="Arial"/>
        </w:rPr>
        <w:t>, gender, ethnicity, disability, geographic location, and/or socioeconomic status</w:t>
      </w:r>
      <w:r w:rsidR="00223C13">
        <w:rPr>
          <w:rFonts w:eastAsia="Arial"/>
        </w:rPr>
        <w:t>,</w:t>
      </w:r>
      <w:r w:rsidRPr="00387F5D">
        <w:rPr>
          <w:rFonts w:eastAsia="Arial"/>
        </w:rPr>
        <w:t xml:space="preserve"> etc?</w:t>
      </w:r>
    </w:p>
    <w:p w14:paraId="1232EE9E" w14:textId="7BB6660D" w:rsidR="00746AAF" w:rsidRPr="00387F5D" w:rsidRDefault="00746AAF" w:rsidP="00B65AF7">
      <w:pPr>
        <w:pStyle w:val="ListBullet0"/>
        <w:rPr>
          <w:rFonts w:eastAsia="Arial"/>
        </w:rPr>
      </w:pPr>
      <w:r w:rsidRPr="00387F5D">
        <w:rPr>
          <w:rFonts w:eastAsia="Arial"/>
          <w:b/>
          <w:bCs/>
        </w:rPr>
        <w:t>Safety</w:t>
      </w:r>
      <w:r w:rsidR="00223C13">
        <w:rPr>
          <w:rFonts w:eastAsia="Arial"/>
        </w:rPr>
        <w:t>:</w:t>
      </w:r>
      <w:r w:rsidRPr="00387F5D">
        <w:rPr>
          <w:rFonts w:eastAsia="Arial"/>
        </w:rPr>
        <w:t xml:space="preserve"> Did services intending to help, </w:t>
      </w:r>
      <w:proofErr w:type="gramStart"/>
      <w:r w:rsidR="00223C13">
        <w:rPr>
          <w:rFonts w:eastAsia="Arial"/>
        </w:rPr>
        <w:t xml:space="preserve">actually </w:t>
      </w:r>
      <w:r w:rsidRPr="00387F5D">
        <w:rPr>
          <w:rFonts w:eastAsia="Arial"/>
        </w:rPr>
        <w:t>cause</w:t>
      </w:r>
      <w:proofErr w:type="gramEnd"/>
      <w:r w:rsidRPr="00387F5D">
        <w:rPr>
          <w:rFonts w:eastAsia="Arial"/>
        </w:rPr>
        <w:t xml:space="preserve"> harm, including psychological and medical harms?</w:t>
      </w:r>
    </w:p>
    <w:p w14:paraId="46F8E9D5" w14:textId="7D130248" w:rsidR="00746AAF" w:rsidRPr="00387F5D" w:rsidRDefault="00746AAF" w:rsidP="00B65AF7">
      <w:pPr>
        <w:pStyle w:val="ListBullet0"/>
        <w:rPr>
          <w:rFonts w:eastAsia="Arial"/>
        </w:rPr>
      </w:pPr>
      <w:r w:rsidRPr="00387F5D">
        <w:rPr>
          <w:rFonts w:eastAsia="Arial"/>
          <w:b/>
          <w:bCs/>
        </w:rPr>
        <w:t>Efficiency</w:t>
      </w:r>
      <w:r w:rsidR="00223C13">
        <w:rPr>
          <w:rFonts w:eastAsia="Arial"/>
        </w:rPr>
        <w:t>:</w:t>
      </w:r>
      <w:r w:rsidRPr="00387F5D">
        <w:rPr>
          <w:rFonts w:eastAsia="Arial"/>
        </w:rPr>
        <w:t xml:space="preserve"> How well were resources used? This includes examination of financial and human inputs, management processes, and services provided.</w:t>
      </w:r>
    </w:p>
    <w:p w14:paraId="562F6054" w14:textId="77777777" w:rsidR="00746AAF" w:rsidRPr="00746AAF" w:rsidRDefault="00746AAF" w:rsidP="00DF32BE">
      <w:pPr>
        <w:pStyle w:val="Heading3"/>
      </w:pPr>
      <w:r w:rsidRPr="00746AAF">
        <w:t>4]</w:t>
      </w:r>
      <w:r w:rsidRPr="00746AAF">
        <w:tab/>
        <w:t>Focus on Spectrum of Needs</w:t>
      </w:r>
    </w:p>
    <w:p w14:paraId="728F4915" w14:textId="302420B7" w:rsidR="00746AAF" w:rsidRPr="00746AAF" w:rsidRDefault="00746AAF" w:rsidP="00746AAF">
      <w:pPr>
        <w:rPr>
          <w:lang w:eastAsia="en-AU"/>
        </w:rPr>
      </w:pPr>
      <w:r w:rsidRPr="00746AAF">
        <w:rPr>
          <w:lang w:eastAsia="en-AU"/>
        </w:rPr>
        <w:t xml:space="preserve">Like all communities, the mental health challenges experienced by LGBTQ+ people occur across a spectrum which may shift </w:t>
      </w:r>
      <w:proofErr w:type="gramStart"/>
      <w:r w:rsidRPr="00746AAF">
        <w:rPr>
          <w:lang w:eastAsia="en-AU"/>
        </w:rPr>
        <w:t>overtime, or</w:t>
      </w:r>
      <w:proofErr w:type="gramEnd"/>
      <w:r w:rsidRPr="00746AAF">
        <w:rPr>
          <w:lang w:eastAsia="en-AU"/>
        </w:rPr>
        <w:t xml:space="preserve"> be long-term and enduring. Therefore, policy and service responses need to focus on provision of services to address the full spectrum of needs, from mild to moderate distress, to crisis (including severe mental distress and suicidality), through to those with enduring and life-interrupting mental health challenges. </w:t>
      </w:r>
    </w:p>
    <w:p w14:paraId="7DF3B146" w14:textId="78EE0CE6" w:rsidR="00746AAF" w:rsidRPr="00746AAF" w:rsidRDefault="00746AAF" w:rsidP="00746AAF">
      <w:pPr>
        <w:rPr>
          <w:lang w:eastAsia="en-AU"/>
        </w:rPr>
      </w:pPr>
      <w:r w:rsidRPr="00746AAF">
        <w:rPr>
          <w:lang w:eastAsia="en-AU"/>
        </w:rPr>
        <w:t>Policy and services must also be formulated to reflect needs across a person’s lifespan, and from a continuum of care perspective. It also involves attending to the needs of LGBTQ+ people in education, community and workplace settings, as well as in specialist and mainstream services including crisis support, in-patient and community settings, LGBTQ+</w:t>
      </w:r>
      <w:r w:rsidR="00A465B6">
        <w:rPr>
          <w:lang w:eastAsia="en-AU"/>
        </w:rPr>
        <w:t xml:space="preserve"> </w:t>
      </w:r>
      <w:r w:rsidRPr="00746AAF">
        <w:rPr>
          <w:lang w:eastAsia="en-AU"/>
        </w:rPr>
        <w:t>specific services.</w:t>
      </w:r>
    </w:p>
    <w:p w14:paraId="08E4B402" w14:textId="7434EC44" w:rsidR="00746AAF" w:rsidRPr="00746AAF" w:rsidRDefault="00746AAF" w:rsidP="00746AAF">
      <w:pPr>
        <w:rPr>
          <w:lang w:eastAsia="en-AU"/>
        </w:rPr>
      </w:pPr>
      <w:r w:rsidRPr="00746AAF">
        <w:rPr>
          <w:lang w:eastAsia="en-AU"/>
        </w:rPr>
        <w:t>In short, there are many temporal and conceptual dimensions to addressing LGBTQ+ needs.</w:t>
      </w:r>
    </w:p>
    <w:p w14:paraId="48DA61A8" w14:textId="77777777" w:rsidR="00746AAF" w:rsidRPr="00746AAF" w:rsidRDefault="00746AAF" w:rsidP="00DF32BE">
      <w:pPr>
        <w:pStyle w:val="Heading3"/>
      </w:pPr>
      <w:r w:rsidRPr="00746AAF">
        <w:t>5]</w:t>
      </w:r>
      <w:r w:rsidRPr="00746AAF">
        <w:tab/>
        <w:t>More than a health matter</w:t>
      </w:r>
    </w:p>
    <w:p w14:paraId="7CE134F5" w14:textId="15BA0964" w:rsidR="00746AAF" w:rsidRPr="00746AAF" w:rsidRDefault="00746AAF" w:rsidP="00746AAF">
      <w:pPr>
        <w:rPr>
          <w:lang w:eastAsia="en-AU"/>
        </w:rPr>
      </w:pPr>
      <w:r w:rsidRPr="00746AAF">
        <w:rPr>
          <w:lang w:eastAsia="en-AU"/>
        </w:rPr>
        <w:t xml:space="preserve">The literature highlights the importance of considering the social determinants of health when addressing mental health and suicide prevention for LGBTQ+ people. This means that health responses need to be considered alongside other critical factors, </w:t>
      </w:r>
      <w:proofErr w:type="gramStart"/>
      <w:r w:rsidRPr="00746AAF">
        <w:rPr>
          <w:lang w:eastAsia="en-AU"/>
        </w:rPr>
        <w:t>including</w:t>
      </w:r>
      <w:r w:rsidR="00A465B6">
        <w:rPr>
          <w:lang w:eastAsia="en-AU"/>
        </w:rPr>
        <w:t>:</w:t>
      </w:r>
      <w:proofErr w:type="gramEnd"/>
      <w:r w:rsidRPr="00746AAF">
        <w:rPr>
          <w:lang w:eastAsia="en-AU"/>
        </w:rPr>
        <w:t xml:space="preserve"> socioeconomic status; family relationships; housing and homelessness; education, employment, and work; and social inclusion and exclusion. </w:t>
      </w:r>
    </w:p>
    <w:p w14:paraId="66B98D6B" w14:textId="265360AC" w:rsidR="00746AAF" w:rsidRPr="00746AAF" w:rsidRDefault="00746AAF" w:rsidP="00746AAF">
      <w:pPr>
        <w:rPr>
          <w:lang w:eastAsia="en-AU"/>
        </w:rPr>
      </w:pPr>
      <w:r w:rsidRPr="00746AAF">
        <w:rPr>
          <w:lang w:eastAsia="en-AU"/>
        </w:rPr>
        <w:t xml:space="preserve">This strongly points to the need to consider early intervention and prevention measures that reduce or eliminate known mental health stressors. </w:t>
      </w:r>
    </w:p>
    <w:p w14:paraId="777329CB" w14:textId="56567584" w:rsidR="00746AAF" w:rsidRPr="00746AAF" w:rsidRDefault="00746AAF" w:rsidP="00746AAF">
      <w:pPr>
        <w:rPr>
          <w:lang w:eastAsia="en-AU"/>
        </w:rPr>
      </w:pPr>
      <w:r w:rsidRPr="00746AAF">
        <w:rPr>
          <w:lang w:eastAsia="en-AU"/>
        </w:rPr>
        <w:t xml:space="preserve">At another level, it is also important for any approaches and deliverables arising from the </w:t>
      </w:r>
      <w:r w:rsidR="000B3500">
        <w:rPr>
          <w:lang w:eastAsia="en-AU"/>
        </w:rPr>
        <w:t xml:space="preserve">mental health component </w:t>
      </w:r>
      <w:r w:rsidR="00DD42AD">
        <w:rPr>
          <w:lang w:eastAsia="en-AU"/>
        </w:rPr>
        <w:t>of</w:t>
      </w:r>
      <w:r w:rsidR="001743D5">
        <w:rPr>
          <w:lang w:eastAsia="en-AU"/>
        </w:rPr>
        <w:t xml:space="preserve"> the </w:t>
      </w:r>
      <w:r w:rsidRPr="00746AAF">
        <w:rPr>
          <w:lang w:eastAsia="en-AU"/>
        </w:rPr>
        <w:t xml:space="preserve">LGBTQ+ </w:t>
      </w:r>
      <w:r w:rsidR="00DD42AD">
        <w:rPr>
          <w:lang w:eastAsia="en-AU"/>
        </w:rPr>
        <w:t>Action Plan</w:t>
      </w:r>
      <w:r w:rsidRPr="00746AAF">
        <w:rPr>
          <w:lang w:eastAsia="en-AU"/>
        </w:rPr>
        <w:t xml:space="preserve"> to be fed into not only the full spectrum of health policies and services, but also other key parts of the service system</w:t>
      </w:r>
      <w:r w:rsidR="00A465B6">
        <w:rPr>
          <w:lang w:eastAsia="en-AU"/>
        </w:rPr>
        <w:t>,</w:t>
      </w:r>
      <w:r w:rsidRPr="00746AAF">
        <w:rPr>
          <w:lang w:eastAsia="en-AU"/>
        </w:rPr>
        <w:t xml:space="preserve"> including education, housing, business and industry, community and family services, disability and aged care services, and law and order</w:t>
      </w:r>
      <w:r w:rsidR="00A465B6">
        <w:rPr>
          <w:lang w:eastAsia="en-AU"/>
        </w:rPr>
        <w:t>,</w:t>
      </w:r>
      <w:r w:rsidRPr="00746AAF">
        <w:rPr>
          <w:lang w:eastAsia="en-AU"/>
        </w:rPr>
        <w:t xml:space="preserve"> etc. These interlinked issues are well </w:t>
      </w:r>
      <w:r w:rsidRPr="00746AAF">
        <w:rPr>
          <w:lang w:eastAsia="en-AU"/>
        </w:rPr>
        <w:lastRenderedPageBreak/>
        <w:t xml:space="preserve">articulated in other key policy and advocacy documents including LHA’s </w:t>
      </w:r>
      <w:hyperlink r:id="rId98" w:history="1">
        <w:r w:rsidRPr="00746AAF">
          <w:rPr>
            <w:color w:val="0F4BEB" w:themeColor="accent1"/>
            <w:u w:val="single"/>
            <w:lang w:eastAsia="en-AU"/>
          </w:rPr>
          <w:t>Beyond Urgent: National LGBTIQ+ Mental Health and Suicide Prevention Strategy 2021-2026</w:t>
        </w:r>
      </w:hyperlink>
      <w:r w:rsidRPr="00746AAF">
        <w:rPr>
          <w:lang w:eastAsia="en-AU"/>
        </w:rPr>
        <w:t>.</w:t>
      </w:r>
    </w:p>
    <w:p w14:paraId="18174E7B" w14:textId="77777777" w:rsidR="00746AAF" w:rsidRPr="00746AAF" w:rsidRDefault="00746AAF" w:rsidP="00DF32BE">
      <w:pPr>
        <w:pStyle w:val="Heading3"/>
      </w:pPr>
      <w:r w:rsidRPr="00746AAF">
        <w:t>6]</w:t>
      </w:r>
      <w:r w:rsidRPr="00746AAF">
        <w:tab/>
        <w:t>Language Matters</w:t>
      </w:r>
    </w:p>
    <w:p w14:paraId="512A705E" w14:textId="020493F4"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 xml:space="preserve">As illustrated in the literature, how we use language and communicate can profoundly impact the people we engage with. Inappropriate language can be a symptom of overt and covert discrimination, hetero-normative assumptions, and microaggressions, </w:t>
      </w:r>
      <w:r w:rsidR="00A465B6">
        <w:rPr>
          <w:rFonts w:eastAsia="Times New Roman" w:cs="Times New Roman"/>
          <w:szCs w:val="24"/>
          <w:lang w:eastAsia="en-AU"/>
        </w:rPr>
        <w:t>each</w:t>
      </w:r>
      <w:r w:rsidRPr="00746AAF">
        <w:rPr>
          <w:rFonts w:eastAsia="Times New Roman" w:cs="Times New Roman"/>
          <w:szCs w:val="24"/>
          <w:lang w:eastAsia="en-AU"/>
        </w:rPr>
        <w:t xml:space="preserve"> of which can do serious harm to those on the receiving end.  It is, therefore, essential that all policies and services, forms and signage, and written and oral communications involving LGBTQ+ people with mental health challenges</w:t>
      </w:r>
      <w:r w:rsidR="00A465B6">
        <w:rPr>
          <w:rFonts w:eastAsia="Times New Roman" w:cs="Times New Roman"/>
          <w:szCs w:val="24"/>
          <w:lang w:eastAsia="en-AU"/>
        </w:rPr>
        <w:t>,</w:t>
      </w:r>
      <w:r w:rsidRPr="00746AAF">
        <w:rPr>
          <w:rFonts w:eastAsia="Times New Roman" w:cs="Times New Roman"/>
          <w:szCs w:val="24"/>
          <w:lang w:eastAsia="en-AU"/>
        </w:rPr>
        <w:t xml:space="preserve"> use inclusive language and terminology.</w:t>
      </w:r>
    </w:p>
    <w:p w14:paraId="64259C04" w14:textId="77777777" w:rsidR="00746AAF" w:rsidRPr="00746AAF" w:rsidRDefault="00746AAF" w:rsidP="00746AAF">
      <w:pPr>
        <w:rPr>
          <w:bCs/>
        </w:rPr>
      </w:pPr>
      <w:r w:rsidRPr="00746AAF">
        <w:t xml:space="preserve">Additionally, </w:t>
      </w:r>
      <w:r w:rsidRPr="00746AAF">
        <w:rPr>
          <w:bCs/>
        </w:rPr>
        <w:t xml:space="preserve">the focus should be on: </w:t>
      </w:r>
    </w:p>
    <w:p w14:paraId="11DF2570" w14:textId="2B95F829" w:rsidR="00746AAF" w:rsidRPr="00746AAF" w:rsidRDefault="00A465B6" w:rsidP="00B65AF7">
      <w:pPr>
        <w:pStyle w:val="ListBullet0"/>
      </w:pPr>
      <w:r>
        <w:t>L</w:t>
      </w:r>
      <w:r w:rsidR="00746AAF" w:rsidRPr="00746AAF">
        <w:t xml:space="preserve">anguage preferred by people with lived experience. For example, using non-gendered pronouns such as </w:t>
      </w:r>
      <w:r w:rsidR="00746AAF" w:rsidRPr="00387F5D">
        <w:rPr>
          <w:i/>
          <w:iCs/>
        </w:rPr>
        <w:t xml:space="preserve">they, them, their; </w:t>
      </w:r>
      <w:r w:rsidR="00746AAF" w:rsidRPr="00746AAF">
        <w:t xml:space="preserve">and using gender and relationship neutral terms such as </w:t>
      </w:r>
      <w:r w:rsidR="00746AAF" w:rsidRPr="00387F5D">
        <w:rPr>
          <w:i/>
          <w:iCs/>
        </w:rPr>
        <w:t>partners</w:t>
      </w:r>
      <w:r w:rsidR="00746AAF" w:rsidRPr="00746AAF">
        <w:t xml:space="preserve"> over wife or boyfriend. </w:t>
      </w:r>
    </w:p>
    <w:p w14:paraId="38AC0750" w14:textId="542873B6" w:rsidR="00746AAF" w:rsidRPr="00387F5D" w:rsidRDefault="00A465B6" w:rsidP="00B65AF7">
      <w:pPr>
        <w:pStyle w:val="ListBullet0"/>
      </w:pPr>
      <w:r>
        <w:t>D</w:t>
      </w:r>
      <w:r w:rsidR="00746AAF" w:rsidRPr="00387F5D">
        <w:t xml:space="preserve">e-emphasising medical diagnoses and pathological framings. For example, using </w:t>
      </w:r>
      <w:r w:rsidR="00746AAF" w:rsidRPr="00387F5D">
        <w:rPr>
          <w:i/>
          <w:iCs/>
        </w:rPr>
        <w:t>mental distress</w:t>
      </w:r>
      <w:r w:rsidR="00746AAF" w:rsidRPr="00387F5D">
        <w:t xml:space="preserve"> or </w:t>
      </w:r>
      <w:r w:rsidR="00746AAF" w:rsidRPr="00387F5D">
        <w:rPr>
          <w:i/>
          <w:iCs/>
        </w:rPr>
        <w:t>mental health challenges</w:t>
      </w:r>
      <w:r w:rsidR="00746AAF" w:rsidRPr="00387F5D">
        <w:t xml:space="preserve"> in place of mental illness; and using </w:t>
      </w:r>
      <w:r w:rsidR="00746AAF" w:rsidRPr="00387F5D">
        <w:rPr>
          <w:i/>
          <w:iCs/>
        </w:rPr>
        <w:t>life-interrupting mental health challenges</w:t>
      </w:r>
      <w:r w:rsidR="00746AAF" w:rsidRPr="00387F5D">
        <w:t xml:space="preserve"> and </w:t>
      </w:r>
      <w:r w:rsidR="00746AAF" w:rsidRPr="00387F5D">
        <w:rPr>
          <w:i/>
          <w:iCs/>
        </w:rPr>
        <w:t>suicidality</w:t>
      </w:r>
      <w:r w:rsidR="00746AAF" w:rsidRPr="00387F5D">
        <w:t xml:space="preserve"> in place of severe mental illness</w:t>
      </w:r>
      <w:r>
        <w:t>.</w:t>
      </w:r>
    </w:p>
    <w:p w14:paraId="3AA168CC" w14:textId="4D27F589" w:rsidR="00746AAF" w:rsidRPr="00387F5D" w:rsidRDefault="00A465B6" w:rsidP="00B65AF7">
      <w:pPr>
        <w:pStyle w:val="ListBullet0"/>
      </w:pPr>
      <w:r>
        <w:t>U</w:t>
      </w:r>
      <w:r w:rsidR="00746AAF" w:rsidRPr="00387F5D">
        <w:t>tilising other trauma</w:t>
      </w:r>
      <w:r>
        <w:t>-</w:t>
      </w:r>
      <w:r w:rsidR="00746AAF" w:rsidRPr="00387F5D">
        <w:t>informed and inclusive vocabulary</w:t>
      </w:r>
      <w:r>
        <w:t>,</w:t>
      </w:r>
      <w:r w:rsidR="00746AAF" w:rsidRPr="00387F5D">
        <w:t xml:space="preserve"> as recommended in publications such as </w:t>
      </w:r>
      <w:hyperlink r:id="rId99" w:history="1">
        <w:r w:rsidR="00746AAF" w:rsidRPr="00387F5D">
          <w:rPr>
            <w:color w:val="0F4BEB" w:themeColor="accent1"/>
            <w:u w:val="single"/>
          </w:rPr>
          <w:t>MHCC Mental Health Rights Manual</w:t>
        </w:r>
      </w:hyperlink>
      <w:r w:rsidR="00746AAF" w:rsidRPr="00387F5D">
        <w:t xml:space="preserve"> (2021). </w:t>
      </w:r>
    </w:p>
    <w:p w14:paraId="5D3E20B1" w14:textId="4C43895A" w:rsidR="00746AAF" w:rsidRPr="00746AAF" w:rsidRDefault="00746AAF" w:rsidP="00746AAF">
      <w:r w:rsidRPr="00746AAF">
        <w:t>This said</w:t>
      </w:r>
      <w:r w:rsidR="00A465B6">
        <w:t>,</w:t>
      </w:r>
      <w:r w:rsidRPr="00746AAF">
        <w:t xml:space="preserve"> it is also important to acknowledge that language </w:t>
      </w:r>
      <w:r w:rsidR="00A465B6">
        <w:t>is</w:t>
      </w:r>
      <w:r w:rsidRPr="00746AAF">
        <w:t xml:space="preserve"> continuously evolving, and preferences and understandings regarding specific terminology are influenced by a variety of personal, cultural, and other contextual factors. One size does not fit all, and engaging with people with</w:t>
      </w:r>
      <w:r w:rsidR="001E21E0">
        <w:t xml:space="preserve"> intersecting</w:t>
      </w:r>
      <w:r w:rsidRPr="00746AAF">
        <w:t xml:space="preserve"> lived experience to determine appropriate language can be a practical way to negotiate language use. </w:t>
      </w:r>
    </w:p>
    <w:p w14:paraId="33790430" w14:textId="0E94320E" w:rsidR="00746AAF" w:rsidRPr="00746AAF" w:rsidRDefault="00746AAF" w:rsidP="00746AAF">
      <w:r w:rsidRPr="00746AAF">
        <w:t>In short, a major focus should be on the consistent use of contemporary language and communications that is inclusive, safe</w:t>
      </w:r>
      <w:r w:rsidR="00A465B6">
        <w:t>,</w:t>
      </w:r>
      <w:r w:rsidRPr="00746AAF">
        <w:t xml:space="preserve"> and affirming. </w:t>
      </w:r>
    </w:p>
    <w:p w14:paraId="44A26FC4" w14:textId="77777777" w:rsidR="00746AAF" w:rsidRPr="00746AAF" w:rsidRDefault="00746AAF" w:rsidP="00DF32BE">
      <w:pPr>
        <w:pStyle w:val="Heading3"/>
      </w:pPr>
      <w:r w:rsidRPr="00746AAF">
        <w:t>7]</w:t>
      </w:r>
      <w:r w:rsidRPr="00746AAF">
        <w:tab/>
        <w:t>Moving with the evidence base</w:t>
      </w:r>
    </w:p>
    <w:p w14:paraId="26A6933D" w14:textId="61414AFA" w:rsidR="00746AAF" w:rsidRPr="00746AAF" w:rsidRDefault="00746AAF" w:rsidP="00746AAF">
      <w:pPr>
        <w:rPr>
          <w:lang w:eastAsia="en-AU"/>
        </w:rPr>
      </w:pPr>
      <w:r w:rsidRPr="00746AAF">
        <w:rPr>
          <w:lang w:eastAsia="en-AU"/>
        </w:rPr>
        <w:t>As is evident throughout this paper, and the applied SLR, the research related to LGBTQ+ people and their interface with mental health services is dynamic and changing.</w:t>
      </w:r>
    </w:p>
    <w:p w14:paraId="5F6B4740" w14:textId="7116ADEF" w:rsidR="00746AAF" w:rsidRPr="00746AAF" w:rsidRDefault="00746AAF" w:rsidP="00746AAF">
      <w:pPr>
        <w:rPr>
          <w:lang w:eastAsia="en-AU"/>
        </w:rPr>
      </w:pPr>
      <w:r w:rsidRPr="00746AAF">
        <w:rPr>
          <w:lang w:eastAsia="en-AU"/>
        </w:rPr>
        <w:t>For this reason, it is important for all Government policies, strategies</w:t>
      </w:r>
      <w:r w:rsidR="00A465B6">
        <w:rPr>
          <w:lang w:eastAsia="en-AU"/>
        </w:rPr>
        <w:t>,</w:t>
      </w:r>
      <w:r w:rsidRPr="00746AAF">
        <w:rPr>
          <w:lang w:eastAsia="en-AU"/>
        </w:rPr>
        <w:t xml:space="preserve"> and action plans</w:t>
      </w:r>
      <w:r w:rsidR="00A465B6">
        <w:rPr>
          <w:lang w:eastAsia="en-AU"/>
        </w:rPr>
        <w:t>,</w:t>
      </w:r>
      <w:r w:rsidRPr="00746AAF">
        <w:rPr>
          <w:lang w:eastAsia="en-AU"/>
        </w:rPr>
        <w:t xml:space="preserve"> to be informed by, and contribute to, the emerging evidence base; refreshing terminology and knowledge about the mental health needs of LGBTQ+ people, adding new models or approaches to high-quality service provision, and utilising proven approaches established in research and good practice from across Australia and in other parts of the world.</w:t>
      </w:r>
    </w:p>
    <w:p w14:paraId="31995604" w14:textId="0B04B757" w:rsidR="00746AAF" w:rsidRPr="00746AAF" w:rsidRDefault="00746AAF" w:rsidP="00DF32BE">
      <w:pPr>
        <w:pStyle w:val="Heading3"/>
      </w:pPr>
      <w:r w:rsidRPr="00746AAF">
        <w:t>8]</w:t>
      </w:r>
      <w:r w:rsidRPr="00746AAF">
        <w:tab/>
        <w:t>Ongoing monitoring, evaluation</w:t>
      </w:r>
      <w:r w:rsidR="008E74CF">
        <w:t>,</w:t>
      </w:r>
      <w:r w:rsidRPr="00746AAF">
        <w:t xml:space="preserve"> and learning</w:t>
      </w:r>
    </w:p>
    <w:p w14:paraId="6285A347" w14:textId="7EB55E8F" w:rsidR="00746AAF" w:rsidRPr="00746AAF" w:rsidRDefault="00746AAF" w:rsidP="00746AAF">
      <w:pPr>
        <w:rPr>
          <w:lang w:eastAsia="en-AU"/>
        </w:rPr>
      </w:pPr>
      <w:r w:rsidRPr="00746AAF">
        <w:rPr>
          <w:lang w:eastAsia="en-AU"/>
        </w:rPr>
        <w:t>Building from Principle 4 and Principle 7, it is essential that any future policies, strategies</w:t>
      </w:r>
      <w:r w:rsidR="00A465B6">
        <w:rPr>
          <w:lang w:eastAsia="en-AU"/>
        </w:rPr>
        <w:t>,</w:t>
      </w:r>
      <w:r w:rsidRPr="00746AAF">
        <w:rPr>
          <w:lang w:eastAsia="en-AU"/>
        </w:rPr>
        <w:t xml:space="preserve"> and action plans be closely monitored, including in collaboration with LGBTQ+ people with </w:t>
      </w:r>
      <w:r w:rsidR="00DB20B2">
        <w:rPr>
          <w:lang w:eastAsia="en-AU"/>
        </w:rPr>
        <w:t xml:space="preserve">intersecting </w:t>
      </w:r>
      <w:r w:rsidRPr="00746AAF">
        <w:rPr>
          <w:lang w:eastAsia="en-AU"/>
        </w:rPr>
        <w:t xml:space="preserve">lived experience. </w:t>
      </w:r>
    </w:p>
    <w:p w14:paraId="3BD5D41A" w14:textId="0F8250C6" w:rsidR="00746AAF" w:rsidRPr="00746AAF" w:rsidRDefault="00746AAF" w:rsidP="00746AAF">
      <w:pPr>
        <w:rPr>
          <w:lang w:eastAsia="en-AU"/>
        </w:rPr>
      </w:pPr>
      <w:r w:rsidRPr="00746AAF">
        <w:rPr>
          <w:lang w:eastAsia="en-AU"/>
        </w:rPr>
        <w:t>There should also be formal evaluations, learning</w:t>
      </w:r>
      <w:r w:rsidR="00A465B6">
        <w:rPr>
          <w:lang w:eastAsia="en-AU"/>
        </w:rPr>
        <w:t>,</w:t>
      </w:r>
      <w:r w:rsidRPr="00746AAF">
        <w:rPr>
          <w:lang w:eastAsia="en-AU"/>
        </w:rPr>
        <w:t xml:space="preserve"> and reflections involving key sector and advocacy groups, plus policy makers at Commonwealth, state</w:t>
      </w:r>
      <w:r w:rsidR="00A465B6">
        <w:rPr>
          <w:lang w:eastAsia="en-AU"/>
        </w:rPr>
        <w:t>,</w:t>
      </w:r>
      <w:r w:rsidRPr="00746AAF">
        <w:rPr>
          <w:lang w:eastAsia="en-AU"/>
        </w:rPr>
        <w:t xml:space="preserve"> and territory levels to ensure </w:t>
      </w:r>
      <w:r w:rsidRPr="00746AAF">
        <w:rPr>
          <w:lang w:eastAsia="en-AU"/>
        </w:rPr>
        <w:lastRenderedPageBreak/>
        <w:t>synergies of effort and opportunities to continuously improve outcomes for LGBTQ+ peoples across Australia.</w:t>
      </w:r>
    </w:p>
    <w:p w14:paraId="715EB425" w14:textId="77777777" w:rsidR="00746AAF" w:rsidRPr="00746AAF" w:rsidRDefault="00746AAF" w:rsidP="00DF32BE">
      <w:pPr>
        <w:pStyle w:val="NbrHeading2"/>
      </w:pPr>
      <w:bookmarkStart w:id="132" w:name="_Toc149670634"/>
      <w:bookmarkStart w:id="133" w:name="_Toc153899540"/>
      <w:r w:rsidRPr="00746AAF">
        <w:t>Key Policy Directions and Options Arising</w:t>
      </w:r>
      <w:bookmarkEnd w:id="132"/>
      <w:bookmarkEnd w:id="133"/>
    </w:p>
    <w:p w14:paraId="5931E7ED" w14:textId="71A5EB8D" w:rsidR="00746AAF" w:rsidRPr="00746AAF" w:rsidDel="00701FFD" w:rsidRDefault="00746AAF" w:rsidP="00746AAF">
      <w:pPr>
        <w:rPr>
          <w:lang w:eastAsia="en-AU"/>
        </w:rPr>
      </w:pPr>
      <w:r w:rsidRPr="00746AAF">
        <w:rPr>
          <w:lang w:eastAsia="en-AU"/>
        </w:rPr>
        <w:t xml:space="preserve">Building from the above overarching principles, </w:t>
      </w:r>
      <w:r w:rsidR="00A32EDF">
        <w:rPr>
          <w:lang w:eastAsia="en-AU"/>
        </w:rPr>
        <w:t>the SLR</w:t>
      </w:r>
      <w:r w:rsidR="006D71B2">
        <w:rPr>
          <w:lang w:eastAsia="en-AU"/>
        </w:rPr>
        <w:t xml:space="preserve"> and this supporting Research Translation Paper</w:t>
      </w:r>
      <w:r w:rsidR="00A32EDF">
        <w:rPr>
          <w:lang w:eastAsia="en-AU"/>
        </w:rPr>
        <w:t xml:space="preserve">, </w:t>
      </w:r>
      <w:r w:rsidRPr="00746AAF">
        <w:rPr>
          <w:lang w:eastAsia="en-AU"/>
        </w:rPr>
        <w:t>the UTS-led researchers identified six core policy directions as summarised in Figure 4, with specific options arising under each following.</w:t>
      </w:r>
    </w:p>
    <w:p w14:paraId="6A9B4BEE" w14:textId="09ED3690" w:rsidR="00746AAF" w:rsidRPr="00746AAF" w:rsidRDefault="00746AAF" w:rsidP="00746AAF">
      <w:pPr>
        <w:rPr>
          <w:lang w:eastAsia="en-AU"/>
        </w:rPr>
      </w:pPr>
      <w:r w:rsidRPr="00746AAF">
        <w:rPr>
          <w:lang w:eastAsia="en-AU"/>
        </w:rPr>
        <w:t>While each of these reflect the findings and results of the targeted, and time-limited research undertaken for the Department, they should not be interpreted as definitive, or the sole ‘source of truth’ in future policy formation. On the contrary, all options should be thoroughly tested through consultation processes with LGBTQ+ people with</w:t>
      </w:r>
      <w:r w:rsidR="00DB20B2">
        <w:rPr>
          <w:lang w:eastAsia="en-AU"/>
        </w:rPr>
        <w:t xml:space="preserve"> intersecting</w:t>
      </w:r>
      <w:r w:rsidRPr="00746AAF">
        <w:rPr>
          <w:lang w:eastAsia="en-AU"/>
        </w:rPr>
        <w:t xml:space="preserve"> lived experience, </w:t>
      </w:r>
      <w:r w:rsidR="00EB5213" w:rsidRPr="00EB40B4">
        <w:rPr>
          <w:lang w:eastAsia="en-AU"/>
        </w:rPr>
        <w:t>service providers, advocacy groups</w:t>
      </w:r>
      <w:r w:rsidR="00877403">
        <w:rPr>
          <w:lang w:eastAsia="en-AU"/>
        </w:rPr>
        <w:t>,</w:t>
      </w:r>
      <w:r w:rsidR="00EB5213" w:rsidRPr="00EB40B4">
        <w:rPr>
          <w:lang w:eastAsia="en-AU"/>
        </w:rPr>
        <w:t xml:space="preserve"> and </w:t>
      </w:r>
      <w:r w:rsidR="00FE2A2B" w:rsidRPr="00EB40B4">
        <w:rPr>
          <w:lang w:eastAsia="en-AU"/>
        </w:rPr>
        <w:t xml:space="preserve">peak bodies, </w:t>
      </w:r>
      <w:r w:rsidRPr="00EB40B4">
        <w:rPr>
          <w:lang w:eastAsia="en-AU"/>
        </w:rPr>
        <w:t>and</w:t>
      </w:r>
      <w:r w:rsidRPr="00746AAF">
        <w:rPr>
          <w:lang w:eastAsia="en-AU"/>
        </w:rPr>
        <w:t xml:space="preserve"> through supplementary research </w:t>
      </w:r>
      <w:r w:rsidR="00877403">
        <w:rPr>
          <w:lang w:eastAsia="en-AU"/>
        </w:rPr>
        <w:t>beyond</w:t>
      </w:r>
      <w:r w:rsidRPr="00746AAF">
        <w:rPr>
          <w:lang w:eastAsia="en-AU"/>
        </w:rPr>
        <w:t xml:space="preserve"> the </w:t>
      </w:r>
      <w:r w:rsidR="00877403">
        <w:rPr>
          <w:lang w:eastAsia="en-AU"/>
        </w:rPr>
        <w:t xml:space="preserve">defined </w:t>
      </w:r>
      <w:r w:rsidRPr="00746AAF">
        <w:rPr>
          <w:lang w:eastAsia="en-AU"/>
        </w:rPr>
        <w:t>scope of the UTS</w:t>
      </w:r>
      <w:r w:rsidR="00877403">
        <w:rPr>
          <w:lang w:eastAsia="en-AU"/>
        </w:rPr>
        <w:t xml:space="preserve"> </w:t>
      </w:r>
      <w:r w:rsidRPr="00746AAF">
        <w:rPr>
          <w:lang w:eastAsia="en-AU"/>
        </w:rPr>
        <w:t>commissioned research.</w:t>
      </w:r>
    </w:p>
    <w:p w14:paraId="62BCEBAF" w14:textId="57179058" w:rsidR="00746AAF" w:rsidRPr="00746AAF" w:rsidRDefault="00BE69FC" w:rsidP="00BE69FC">
      <w:pPr>
        <w:pStyle w:val="Caption"/>
        <w:rPr>
          <w:b w:val="0"/>
          <w:lang w:eastAsia="en-AU"/>
        </w:rPr>
      </w:pPr>
      <w:r>
        <w:t xml:space="preserve">Figure </w:t>
      </w:r>
      <w:r>
        <w:fldChar w:fldCharType="begin"/>
      </w:r>
      <w:r>
        <w:instrText xml:space="preserve"> SEQ Figure \* ARABIC </w:instrText>
      </w:r>
      <w:r>
        <w:fldChar w:fldCharType="separate"/>
      </w:r>
      <w:r>
        <w:rPr>
          <w:noProof/>
        </w:rPr>
        <w:t>2</w:t>
      </w:r>
      <w:r>
        <w:fldChar w:fldCharType="end"/>
      </w:r>
      <w:r w:rsidR="00746AAF" w:rsidRPr="00746AAF">
        <w:rPr>
          <w:lang w:eastAsia="en-AU"/>
        </w:rPr>
        <w:t>: Key Considerations for the development of the National Action Plan</w:t>
      </w:r>
    </w:p>
    <w:p w14:paraId="0FD3B896" w14:textId="6F22B7FE" w:rsidR="00BE69FC" w:rsidRDefault="00BE69FC" w:rsidP="00BE69FC">
      <w:pPr>
        <w:rPr>
          <w:noProof/>
          <w:lang w:eastAsia="en-AU"/>
        </w:rPr>
      </w:pPr>
      <w:r>
        <w:rPr>
          <w:noProof/>
        </w:rPr>
        <w:drawing>
          <wp:inline distT="0" distB="0" distL="0" distR="0" wp14:anchorId="21F979CB" wp14:editId="4F0212D1">
            <wp:extent cx="5731510" cy="3984625"/>
            <wp:effectExtent l="0" t="0" r="2540" b="0"/>
            <wp:docPr id="915822807" name="Picture 1" descr="Figure 2: Key Considerations for the development of the National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22807" name="Picture 1" descr="Figure 2: Key Considerations for the development of the National Action Plan"/>
                    <pic:cNvPicPr/>
                  </pic:nvPicPr>
                  <pic:blipFill>
                    <a:blip r:embed="rId100"/>
                    <a:stretch>
                      <a:fillRect/>
                    </a:stretch>
                  </pic:blipFill>
                  <pic:spPr>
                    <a:xfrm>
                      <a:off x="0" y="0"/>
                      <a:ext cx="5731510" cy="3984625"/>
                    </a:xfrm>
                    <a:prstGeom prst="rect">
                      <a:avLst/>
                    </a:prstGeom>
                  </pic:spPr>
                </pic:pic>
              </a:graphicData>
            </a:graphic>
          </wp:inline>
        </w:drawing>
      </w:r>
    </w:p>
    <w:p w14:paraId="04AA8CF1" w14:textId="30823FBB" w:rsidR="00746AAF" w:rsidRPr="002A7B58" w:rsidRDefault="00746AAF" w:rsidP="00746AAF">
      <w:pPr>
        <w:tabs>
          <w:tab w:val="left" w:pos="0"/>
        </w:tabs>
        <w:spacing w:before="80" w:after="240"/>
        <w:rPr>
          <w:rStyle w:val="FootnoteReference"/>
          <w:sz w:val="28"/>
          <w:szCs w:val="28"/>
        </w:rPr>
      </w:pPr>
      <w:r w:rsidRPr="002A7B58">
        <w:rPr>
          <w:rStyle w:val="FootnoteReference"/>
          <w:sz w:val="28"/>
          <w:szCs w:val="28"/>
        </w:rPr>
        <w:t>Source: UTS-led research team, October 2023.</w:t>
      </w:r>
    </w:p>
    <w:p w14:paraId="1DEDB067" w14:textId="3ED3438F" w:rsidR="00746AAF" w:rsidRPr="00746AAF" w:rsidRDefault="00746AAF" w:rsidP="00DF32BE">
      <w:pPr>
        <w:pStyle w:val="Heading3"/>
      </w:pPr>
      <w:bookmarkStart w:id="134" w:name="_Toc149670635"/>
      <w:bookmarkStart w:id="135" w:name="_Toc153899541"/>
      <w:r w:rsidRPr="00746AAF">
        <w:t>1]</w:t>
      </w:r>
      <w:r w:rsidRPr="00746AAF">
        <w:tab/>
        <w:t>Build on this research and leverage existing initiatives</w:t>
      </w:r>
      <w:bookmarkEnd w:id="134"/>
      <w:bookmarkEnd w:id="135"/>
    </w:p>
    <w:p w14:paraId="42951165" w14:textId="3DA821FB" w:rsidR="00746AAF" w:rsidRPr="00746AAF" w:rsidRDefault="00746AAF" w:rsidP="00746AAF">
      <w:pPr>
        <w:autoSpaceDE w:val="0"/>
        <w:autoSpaceDN w:val="0"/>
        <w:adjustRightInd w:val="0"/>
        <w:spacing w:before="80" w:line="259" w:lineRule="auto"/>
        <w:rPr>
          <w:rFonts w:cs="Arial"/>
          <w:szCs w:val="20"/>
        </w:rPr>
      </w:pPr>
      <w:r w:rsidRPr="00746AAF">
        <w:rPr>
          <w:rFonts w:cs="Arial"/>
          <w:szCs w:val="20"/>
        </w:rPr>
        <w:t xml:space="preserve">The research highlighted </w:t>
      </w:r>
      <w:r w:rsidRPr="00746AAF">
        <w:rPr>
          <w:rFonts w:cs="Arial"/>
          <w:bCs/>
          <w:szCs w:val="20"/>
        </w:rPr>
        <w:t>various reforms and initiatives that are in progress which may have substantial impacts on LGBTQ+ health, mental health, and wellbeing</w:t>
      </w:r>
      <w:r w:rsidR="00877403">
        <w:rPr>
          <w:rFonts w:cs="Arial"/>
          <w:bCs/>
          <w:szCs w:val="20"/>
        </w:rPr>
        <w:t>,</w:t>
      </w:r>
      <w:r w:rsidRPr="00746AAF">
        <w:rPr>
          <w:rFonts w:cs="Arial"/>
          <w:bCs/>
          <w:szCs w:val="20"/>
        </w:rPr>
        <w:t xml:space="preserve"> </w:t>
      </w:r>
      <w:proofErr w:type="gramStart"/>
      <w:r w:rsidRPr="00746AAF">
        <w:rPr>
          <w:rFonts w:cs="Arial"/>
          <w:bCs/>
          <w:szCs w:val="20"/>
        </w:rPr>
        <w:t>in the near future</w:t>
      </w:r>
      <w:proofErr w:type="gramEnd"/>
      <w:r w:rsidRPr="00746AAF">
        <w:rPr>
          <w:rFonts w:cs="Arial"/>
          <w:szCs w:val="20"/>
        </w:rPr>
        <w:t xml:space="preserve">. As outlined in Sections 2, 3 and 4. These include:  </w:t>
      </w:r>
    </w:p>
    <w:p w14:paraId="6BC92F73" w14:textId="75F12F46" w:rsidR="00746AAF" w:rsidRPr="00EB40B4" w:rsidRDefault="00746AAF" w:rsidP="00B65AF7">
      <w:pPr>
        <w:pStyle w:val="ListBullet0"/>
      </w:pPr>
      <w:r w:rsidRPr="007D6708">
        <w:lastRenderedPageBreak/>
        <w:t>Targeted state and territory LGBTQ+ health strategies and lived experience advisory infrastructure</w:t>
      </w:r>
      <w:r w:rsidR="00877403">
        <w:t>,</w:t>
      </w:r>
      <w:r w:rsidRPr="007D6708">
        <w:t xml:space="preserve"> as outlined in Section 3</w:t>
      </w:r>
      <w:r w:rsidR="007D6708" w:rsidRPr="007D6708">
        <w:t>.3</w:t>
      </w:r>
      <w:r w:rsidRPr="007D6708">
        <w:t>.</w:t>
      </w:r>
      <w:r w:rsidRPr="00746AAF">
        <w:t xml:space="preserve"> Many of these strategies align to the options below. For example, actions to improve data collection, training, and enhance inclusivity in mainstream health services. </w:t>
      </w:r>
      <w:r w:rsidR="00326B73" w:rsidRPr="00EB40B4">
        <w:t>However,</w:t>
      </w:r>
      <w:r w:rsidR="00E04C90" w:rsidRPr="00EB40B4">
        <w:t xml:space="preserve"> as noted in Section </w:t>
      </w:r>
      <w:r w:rsidR="00061A95" w:rsidRPr="00EB40B4">
        <w:t>3.3.2</w:t>
      </w:r>
      <w:r w:rsidR="00E04C90" w:rsidRPr="00EB40B4">
        <w:t xml:space="preserve">, </w:t>
      </w:r>
      <w:r w:rsidR="00DF0AE3" w:rsidRPr="00EB40B4">
        <w:t xml:space="preserve">some LGBTQ+ peak bodies have </w:t>
      </w:r>
      <w:r w:rsidR="00EB40B4" w:rsidRPr="00EB40B4">
        <w:t xml:space="preserve">queried </w:t>
      </w:r>
      <w:r w:rsidR="00DF0AE3" w:rsidRPr="00EB40B4">
        <w:t xml:space="preserve">the efficacy </w:t>
      </w:r>
      <w:r w:rsidR="00E04C90" w:rsidRPr="00EB40B4">
        <w:t>of some of these initiatives</w:t>
      </w:r>
      <w:r w:rsidR="00EB40B4" w:rsidRPr="00EB40B4">
        <w:t>,</w:t>
      </w:r>
      <w:r w:rsidR="00E04C90" w:rsidRPr="00EB40B4">
        <w:t xml:space="preserve"> and the</w:t>
      </w:r>
      <w:r w:rsidR="00EB40B4" w:rsidRPr="00EB40B4">
        <w:t xml:space="preserve">ir </w:t>
      </w:r>
      <w:r w:rsidR="00E04C90" w:rsidRPr="00EB40B4">
        <w:t>progress toward</w:t>
      </w:r>
      <w:r w:rsidR="00EB40B4" w:rsidRPr="00EB40B4">
        <w:t>s</w:t>
      </w:r>
      <w:r w:rsidR="00E04C90" w:rsidRPr="00EB40B4">
        <w:t xml:space="preserve"> improving outcomes for LGBTQ+ people.</w:t>
      </w:r>
    </w:p>
    <w:p w14:paraId="202E2DDD" w14:textId="062BE0A4" w:rsidR="00746AAF" w:rsidRPr="00746AAF" w:rsidRDefault="00746AAF" w:rsidP="00B65AF7">
      <w:pPr>
        <w:pStyle w:val="ListBullet0"/>
      </w:pPr>
      <w:r w:rsidRPr="00746AAF">
        <w:t xml:space="preserve">Ongoing policy reforms and submissions to government driven by LGBTQ+ </w:t>
      </w:r>
      <w:r w:rsidR="007E6CED">
        <w:t>peak</w:t>
      </w:r>
      <w:r w:rsidRPr="00746AAF">
        <w:t xml:space="preserve"> bodies and industry organisations, drawing from people with lived experience.</w:t>
      </w:r>
    </w:p>
    <w:p w14:paraId="26A23E18" w14:textId="25A5447E" w:rsidR="00746AAF" w:rsidRPr="00746AAF" w:rsidRDefault="00746AAF" w:rsidP="00B65AF7">
      <w:pPr>
        <w:pStyle w:val="ListBullet0"/>
      </w:pPr>
      <w:r w:rsidRPr="00746AAF">
        <w:t>Planned improvements to data collection by national, state</w:t>
      </w:r>
      <w:r w:rsidR="00877403">
        <w:t>,</w:t>
      </w:r>
      <w:r w:rsidRPr="00746AAF">
        <w:t xml:space="preserve"> and territory bodies. Significantly, </w:t>
      </w:r>
      <w:r w:rsidR="00C37360">
        <w:t>it is hoped that the</w:t>
      </w:r>
      <w:r w:rsidRPr="00746AAF">
        <w:t xml:space="preserve"> 2026 Census </w:t>
      </w:r>
      <w:r w:rsidR="00C37360">
        <w:t>will</w:t>
      </w:r>
      <w:r w:rsidRPr="00746AAF">
        <w:t xml:space="preserve"> make a substantive contribution to the availability of meaningful data on LGBTQ+ people. </w:t>
      </w:r>
    </w:p>
    <w:p w14:paraId="3934EB25" w14:textId="0CFD428A"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There are also changes occurring in sectors which either directly impact LGBTQ+ health and wellbeing, and/or address similar mental health stressors.</w:t>
      </w:r>
      <w:r w:rsidR="00226556">
        <w:rPr>
          <w:rFonts w:eastAsia="Times New Roman" w:cs="Times New Roman"/>
          <w:szCs w:val="24"/>
          <w:lang w:eastAsia="en-AU"/>
        </w:rPr>
        <w:t xml:space="preserve"> To provide a single example:</w:t>
      </w:r>
      <w:r w:rsidRPr="00746AAF">
        <w:rPr>
          <w:rFonts w:eastAsia="Times New Roman" w:cs="Times New Roman"/>
          <w:szCs w:val="24"/>
          <w:lang w:eastAsia="en-AU"/>
        </w:rPr>
        <w:t xml:space="preserve"> the Final Report of the Disability Royal Commission includes recommendations to reduce stigma, discrimination, and violence directed toward people with disability. In addition, the Royal Commission recommends measure</w:t>
      </w:r>
      <w:r w:rsidR="00877403">
        <w:rPr>
          <w:rFonts w:eastAsia="Times New Roman" w:cs="Times New Roman"/>
          <w:szCs w:val="24"/>
          <w:lang w:eastAsia="en-AU"/>
        </w:rPr>
        <w:t>s</w:t>
      </w:r>
      <w:r w:rsidRPr="00746AAF">
        <w:rPr>
          <w:rFonts w:eastAsia="Times New Roman" w:cs="Times New Roman"/>
          <w:szCs w:val="24"/>
          <w:lang w:eastAsia="en-AU"/>
        </w:rPr>
        <w:t xml:space="preserve"> to improve data collection on LGBTQ+ people with disability, and their experiences accessing disability services.</w:t>
      </w:r>
      <w:r w:rsidR="00342906">
        <w:rPr>
          <w:rFonts w:eastAsia="Times New Roman" w:cs="Times New Roman"/>
          <w:szCs w:val="24"/>
          <w:lang w:eastAsia="en-AU"/>
        </w:rPr>
        <w:t xml:space="preserve"> </w:t>
      </w:r>
    </w:p>
    <w:p w14:paraId="3E2DCEC5" w14:textId="77777777"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 xml:space="preserve">Noting these related initiatives, </w:t>
      </w:r>
      <w:proofErr w:type="gramStart"/>
      <w:r w:rsidRPr="00746AAF">
        <w:rPr>
          <w:rFonts w:eastAsia="Times New Roman" w:cs="Times New Roman"/>
          <w:szCs w:val="24"/>
          <w:lang w:eastAsia="en-AU"/>
        </w:rPr>
        <w:t>a number of</w:t>
      </w:r>
      <w:proofErr w:type="gramEnd"/>
      <w:r w:rsidRPr="00746AAF">
        <w:rPr>
          <w:rFonts w:eastAsia="Times New Roman" w:cs="Times New Roman"/>
          <w:szCs w:val="24"/>
          <w:lang w:eastAsia="en-AU"/>
        </w:rPr>
        <w:t xml:space="preserve"> opportunities arise to support the development of the National Action Plan</w:t>
      </w:r>
      <w:r w:rsidRPr="00746AAF">
        <w:rPr>
          <w:rFonts w:eastAsia="Times New Roman" w:cs="Times New Roman"/>
          <w:bCs/>
          <w:szCs w:val="24"/>
          <w:lang w:eastAsia="en-AU"/>
        </w:rPr>
        <w:t>:</w:t>
      </w:r>
    </w:p>
    <w:tbl>
      <w:tblPr>
        <w:tblStyle w:val="TableGrid"/>
        <w:tblW w:w="9214"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FE7FD"/>
        <w:tblLook w:val="04A0" w:firstRow="1" w:lastRow="0" w:firstColumn="1" w:lastColumn="0" w:noHBand="0" w:noVBand="1"/>
      </w:tblPr>
      <w:tblGrid>
        <w:gridCol w:w="9214"/>
      </w:tblGrid>
      <w:tr w:rsidR="00746AAF" w:rsidRPr="00746AAF" w14:paraId="41028C74" w14:textId="77777777" w:rsidTr="00C44457">
        <w:tc>
          <w:tcPr>
            <w:tcW w:w="9214" w:type="dxa"/>
            <w:shd w:val="clear" w:color="auto" w:fill="ECF1FE"/>
          </w:tcPr>
          <w:p w14:paraId="7E623DB8" w14:textId="2773755E" w:rsidR="00746AAF" w:rsidRPr="00F554FE" w:rsidRDefault="00746AAF" w:rsidP="00F554FE">
            <w:r w:rsidRPr="00F554FE">
              <w:t xml:space="preserve">Undertake further research and consultations to refine, validate, and build upon the findings of the UTS-led </w:t>
            </w:r>
            <w:r w:rsidR="00783A5B" w:rsidRPr="00F554FE">
              <w:t xml:space="preserve">and other existing </w:t>
            </w:r>
            <w:r w:rsidRPr="00F554FE">
              <w:t xml:space="preserve">research. This could include activities and research involving: </w:t>
            </w:r>
          </w:p>
          <w:p w14:paraId="19E6BA1A" w14:textId="198B6FFC" w:rsidR="00746AAF" w:rsidRPr="00746AAF" w:rsidRDefault="00877403" w:rsidP="00CC5BB8">
            <w:pPr>
              <w:numPr>
                <w:ilvl w:val="1"/>
                <w:numId w:val="9"/>
              </w:numPr>
            </w:pPr>
            <w:r>
              <w:t>A</w:t>
            </w:r>
            <w:r w:rsidR="00746AAF" w:rsidRPr="00746AAF">
              <w:t xml:space="preserve"> wider scope, and inclusi</w:t>
            </w:r>
            <w:r>
              <w:t>on</w:t>
            </w:r>
            <w:r w:rsidR="00746AAF" w:rsidRPr="00746AAF">
              <w:t xml:space="preserve"> of an expanded pool of Australian and international literature about LGBTQ+ people and mental health and suicide prevention, including grey literature developed by LGBTQ+ bodies.</w:t>
            </w:r>
          </w:p>
          <w:p w14:paraId="437E2D78" w14:textId="12FC3003" w:rsidR="00746AAF" w:rsidRPr="00746AAF" w:rsidRDefault="00877403" w:rsidP="00CC5BB8">
            <w:pPr>
              <w:numPr>
                <w:ilvl w:val="1"/>
                <w:numId w:val="9"/>
              </w:numPr>
            </w:pPr>
            <w:r>
              <w:t>S</w:t>
            </w:r>
            <w:r w:rsidR="00746AAF" w:rsidRPr="00746AAF">
              <w:t xml:space="preserve">tructured input and co-design with a diversity of LGBTQ+ people with lived experience as outlined above. This should include engagement with people with </w:t>
            </w:r>
            <w:r w:rsidR="007702C2">
              <w:t xml:space="preserve">intersecting </w:t>
            </w:r>
            <w:r w:rsidR="00746AAF" w:rsidRPr="00746AAF">
              <w:t xml:space="preserve">lived experience of mental distress and suicidality, </w:t>
            </w:r>
            <w:r w:rsidR="00AF7DF4">
              <w:t>including</w:t>
            </w:r>
            <w:r w:rsidR="00AF7DF4" w:rsidRPr="00746AAF">
              <w:t xml:space="preserve"> </w:t>
            </w:r>
            <w:r w:rsidR="00746AAF" w:rsidRPr="00746AAF">
              <w:t xml:space="preserve">life-interrupting mental health challenges. </w:t>
            </w:r>
          </w:p>
          <w:p w14:paraId="5AA32D02" w14:textId="778EA677" w:rsidR="00E113FD" w:rsidRPr="00746AAF" w:rsidRDefault="00877403" w:rsidP="007702C2">
            <w:pPr>
              <w:numPr>
                <w:ilvl w:val="1"/>
                <w:numId w:val="9"/>
              </w:numPr>
            </w:pPr>
            <w:r>
              <w:t>C</w:t>
            </w:r>
            <w:r w:rsidR="00746AAF" w:rsidRPr="00746AAF">
              <w:t>o-interpretation of the research findings and their policy implications by LGBTQ+ people with</w:t>
            </w:r>
            <w:r w:rsidR="00AF7DF4">
              <w:t xml:space="preserve"> an intersecting</w:t>
            </w:r>
            <w:r w:rsidR="00746AAF" w:rsidRPr="00746AAF">
              <w:t xml:space="preserve"> lived experience and by service providers, building upon the Rainbow Embassy model used in this research. </w:t>
            </w:r>
          </w:p>
        </w:tc>
      </w:tr>
      <w:tr w:rsidR="00746AAF" w:rsidRPr="00746AAF" w14:paraId="36ABE44F" w14:textId="77777777" w:rsidTr="00C44457">
        <w:tc>
          <w:tcPr>
            <w:tcW w:w="9214" w:type="dxa"/>
            <w:shd w:val="clear" w:color="auto" w:fill="ECF1FE"/>
          </w:tcPr>
          <w:p w14:paraId="19D3191B" w14:textId="55F5F5E0" w:rsidR="00746AAF" w:rsidRPr="00746AAF" w:rsidRDefault="00746AAF" w:rsidP="002A7B58">
            <w:r w:rsidRPr="00F554FE">
              <w:t>Consider the release of a 10-year National ‘Strategy’, supported by successive two-</w:t>
            </w:r>
            <w:r w:rsidR="00877403" w:rsidRPr="00F554FE">
              <w:t xml:space="preserve"> </w:t>
            </w:r>
            <w:r w:rsidRPr="00F554FE">
              <w:t>to three-year ‘Action Plans’</w:t>
            </w:r>
            <w:r w:rsidRPr="00746AAF">
              <w:rPr>
                <w:b/>
                <w:bCs/>
                <w:color w:val="0F4BEB" w:themeColor="accent1"/>
                <w:vertAlign w:val="superscript"/>
              </w:rPr>
              <w:footnoteReference w:id="304"/>
            </w:r>
            <w:r w:rsidRPr="00746AAF">
              <w:rPr>
                <w:b/>
                <w:bCs/>
              </w:rPr>
              <w:t xml:space="preserve"> </w:t>
            </w:r>
            <w:r w:rsidRPr="00746AAF">
              <w:t>to fully capitalise on the dynamic policy environment and emerging research evidence.</w:t>
            </w:r>
          </w:p>
          <w:p w14:paraId="5276E7EA" w14:textId="34E3888C" w:rsidR="00746AAF" w:rsidRPr="00746AAF" w:rsidRDefault="00746AAF" w:rsidP="00746AAF">
            <w:pPr>
              <w:ind w:left="340"/>
            </w:pPr>
            <w:r w:rsidRPr="00746AAF">
              <w:rPr>
                <w:bCs/>
              </w:rPr>
              <w:lastRenderedPageBreak/>
              <w:t xml:space="preserve">For example, this will allow the Government </w:t>
            </w:r>
            <w:r w:rsidRPr="00746AAF">
              <w:t>to</w:t>
            </w:r>
            <w:r w:rsidR="00E2524E">
              <w:t xml:space="preserve"> utilise </w:t>
            </w:r>
            <w:r w:rsidRPr="00746AAF">
              <w:t xml:space="preserve">upcoming improvements to available LGBTQ+ data, including </w:t>
            </w:r>
            <w:proofErr w:type="gramStart"/>
            <w:r w:rsidRPr="00746AAF">
              <w:t xml:space="preserve">in particular </w:t>
            </w:r>
            <w:r w:rsidR="0036009A">
              <w:t>hoped</w:t>
            </w:r>
            <w:proofErr w:type="gramEnd"/>
            <w:r w:rsidR="0036009A">
              <w:t xml:space="preserve"> improvements to</w:t>
            </w:r>
            <w:r w:rsidRPr="00746AAF">
              <w:t xml:space="preserve"> the 2026 Census</w:t>
            </w:r>
            <w:r w:rsidR="00E2524E">
              <w:t>.</w:t>
            </w:r>
          </w:p>
        </w:tc>
      </w:tr>
      <w:tr w:rsidR="00746AAF" w:rsidRPr="00746AAF" w14:paraId="0F9F8FA0" w14:textId="77777777" w:rsidTr="00C44457">
        <w:tc>
          <w:tcPr>
            <w:tcW w:w="9214" w:type="dxa"/>
            <w:shd w:val="clear" w:color="auto" w:fill="ECF1FE"/>
          </w:tcPr>
          <w:p w14:paraId="7B627E8A" w14:textId="4EAEDEEA" w:rsidR="00746AAF" w:rsidRPr="00746AAF" w:rsidRDefault="00746AAF" w:rsidP="002A7B58">
            <w:r w:rsidRPr="00F554FE">
              <w:lastRenderedPageBreak/>
              <w:t>Collaborate with relevant Commonwealth, state, and territory governments to harmonise</w:t>
            </w:r>
            <w:r w:rsidR="004833E5" w:rsidRPr="00F554FE">
              <w:t xml:space="preserve"> and strengthen</w:t>
            </w:r>
            <w:r w:rsidRPr="00F554FE">
              <w:t xml:space="preserve"> evidence-based reforms and initiatives</w:t>
            </w:r>
            <w:r w:rsidR="00EB40B4" w:rsidRPr="00F554FE">
              <w:t>.</w:t>
            </w:r>
            <w:r w:rsidRPr="00746AAF">
              <w:rPr>
                <w:b/>
                <w:bCs/>
                <w:color w:val="0F4AEF"/>
              </w:rPr>
              <w:t xml:space="preserve"> </w:t>
            </w:r>
            <w:r w:rsidRPr="00EB40B4">
              <w:t xml:space="preserve">This </w:t>
            </w:r>
            <w:r w:rsidR="00757674" w:rsidRPr="00EB40B4">
              <w:t>should</w:t>
            </w:r>
            <w:r w:rsidRPr="00EB40B4">
              <w:t xml:space="preserve"> build upon </w:t>
            </w:r>
            <w:r w:rsidR="00AA1DE6" w:rsidRPr="00EB40B4">
              <w:t>existing policy levers</w:t>
            </w:r>
            <w:r w:rsidR="00757674">
              <w:t xml:space="preserve"> and </w:t>
            </w:r>
            <w:r w:rsidRPr="00746AAF">
              <w:t>capitalise on available datasets or sector consultative processes. It could also serve to minimise duplication and reduce unproductive impacts on individuals involved in multiple policy initiatives. Collaborations might include:</w:t>
            </w:r>
          </w:p>
          <w:p w14:paraId="0C9D7E27" w14:textId="77777777" w:rsidR="00746AAF" w:rsidRPr="00746AAF" w:rsidRDefault="00746AAF" w:rsidP="00CC5BB8">
            <w:pPr>
              <w:numPr>
                <w:ilvl w:val="1"/>
                <w:numId w:val="9"/>
              </w:numPr>
            </w:pPr>
            <w:r w:rsidRPr="00746AAF">
              <w:t xml:space="preserve">Units and agencies across the Commonwealth Government tasked with delivering on relevant reforms, for example in other areas of health and aged care, disability, and law reform.  </w:t>
            </w:r>
          </w:p>
          <w:p w14:paraId="10FD6820" w14:textId="2B3439B8" w:rsidR="00746AAF" w:rsidRPr="00746AAF" w:rsidRDefault="00746AAF" w:rsidP="00CC5BB8">
            <w:pPr>
              <w:numPr>
                <w:ilvl w:val="1"/>
                <w:numId w:val="9"/>
              </w:numPr>
            </w:pPr>
            <w:r w:rsidRPr="00746AAF">
              <w:t xml:space="preserve">State and territory-level agencies undertaking work to improve LGBTQ+ health and wellbeing, as well as relevant PHN and LHD active in this services area.  </w:t>
            </w:r>
          </w:p>
          <w:p w14:paraId="649051D0" w14:textId="73087C46" w:rsidR="00746AAF" w:rsidRPr="00746AAF" w:rsidRDefault="00746AAF" w:rsidP="00CC5BB8">
            <w:pPr>
              <w:numPr>
                <w:ilvl w:val="1"/>
                <w:numId w:val="9"/>
              </w:numPr>
            </w:pPr>
            <w:r w:rsidRPr="00746AAF">
              <w:t>Relevant state, regional</w:t>
            </w:r>
            <w:r w:rsidR="00877403">
              <w:t>,</w:t>
            </w:r>
            <w:r w:rsidRPr="00746AAF">
              <w:t xml:space="preserve"> or local advisory bodies and infrastructure</w:t>
            </w:r>
            <w:r w:rsidRPr="00746AAF" w:rsidDel="00F54E03">
              <w:t xml:space="preserve"> </w:t>
            </w:r>
            <w:r w:rsidRPr="00746AAF">
              <w:t xml:space="preserve">for example the </w:t>
            </w:r>
            <w:hyperlink r:id="rId101" w:history="1">
              <w:r w:rsidRPr="00746AAF">
                <w:rPr>
                  <w:color w:val="0F4BEB" w:themeColor="accent1"/>
                  <w:u w:val="single"/>
                </w:rPr>
                <w:t>Victoria Government ’s LGBTIQ+ Taskforce</w:t>
              </w:r>
            </w:hyperlink>
            <w:r w:rsidRPr="00746AAF">
              <w:t xml:space="preserve"> and </w:t>
            </w:r>
            <w:hyperlink r:id="rId102" w:history="1">
              <w:r w:rsidRPr="00746AAF">
                <w:rPr>
                  <w:color w:val="0F4BEB" w:themeColor="accent1"/>
                  <w:u w:val="single"/>
                </w:rPr>
                <w:t>Queensland Government LGBTIQ+ Round Table</w:t>
              </w:r>
            </w:hyperlink>
            <w:r w:rsidRPr="00746AAF">
              <w:t>.</w:t>
            </w:r>
          </w:p>
        </w:tc>
      </w:tr>
      <w:tr w:rsidR="00746AAF" w:rsidRPr="00746AAF" w14:paraId="2E99BC1B" w14:textId="77777777" w:rsidTr="00C44457">
        <w:tc>
          <w:tcPr>
            <w:tcW w:w="9214" w:type="dxa"/>
            <w:shd w:val="clear" w:color="auto" w:fill="ECF1FE"/>
          </w:tcPr>
          <w:p w14:paraId="5E76B2BA" w14:textId="77777777" w:rsidR="00EB40B4" w:rsidRPr="007A0443" w:rsidRDefault="00746AAF" w:rsidP="002A7B58">
            <w:r w:rsidRPr="00F554FE">
              <w:t>Establish an ongoing LGBTQ+ mental health ‘Council’ of individuals with</w:t>
            </w:r>
            <w:r w:rsidR="00A21A3E" w:rsidRPr="00F554FE">
              <w:t xml:space="preserve"> intersecting</w:t>
            </w:r>
            <w:r w:rsidRPr="00F554FE">
              <w:t xml:space="preserve"> lived experience</w:t>
            </w:r>
            <w:r w:rsidR="005A6783" w:rsidRPr="00F554FE">
              <w:t xml:space="preserve"> of mental health challenges</w:t>
            </w:r>
            <w:r w:rsidRPr="00746AAF">
              <w:rPr>
                <w:b/>
                <w:bCs/>
                <w:color w:val="0F4AEF"/>
              </w:rPr>
              <w:t xml:space="preserve"> </w:t>
            </w:r>
            <w:r w:rsidRPr="00746AAF">
              <w:t>to oversee the finalisation of the National ‘Strategy’ and provide ongoing monitoring and advice on its development and implementation</w:t>
            </w:r>
            <w:r w:rsidR="00EB40B4">
              <w:t>.</w:t>
            </w:r>
          </w:p>
          <w:p w14:paraId="7755B8A6" w14:textId="727B5CAB" w:rsidR="00746AAF" w:rsidRPr="00746AAF" w:rsidRDefault="00E74EB9" w:rsidP="007A0443">
            <w:pPr>
              <w:rPr>
                <w:b/>
                <w:bCs/>
                <w:color w:val="0F4AEF"/>
              </w:rPr>
            </w:pPr>
            <w:r w:rsidRPr="00F554FE">
              <w:t xml:space="preserve">Consideration could be given to </w:t>
            </w:r>
            <w:r w:rsidR="004B6744" w:rsidRPr="001B5EFB">
              <w:t xml:space="preserve">building upon the representation </w:t>
            </w:r>
            <w:r w:rsidRPr="001B5EFB">
              <w:t xml:space="preserve">on the </w:t>
            </w:r>
            <w:r w:rsidR="001B5EFB" w:rsidRPr="001B5EFB">
              <w:t xml:space="preserve">Department’s current </w:t>
            </w:r>
            <w:r w:rsidR="004B6744" w:rsidRPr="001B5EFB">
              <w:t xml:space="preserve">Expert Advisory Group. </w:t>
            </w:r>
            <w:r w:rsidR="006C1E41" w:rsidRPr="001B5EFB">
              <w:t xml:space="preserve">Consideration </w:t>
            </w:r>
            <w:r w:rsidR="001B5EFB" w:rsidRPr="001B5EFB">
              <w:t>c</w:t>
            </w:r>
            <w:r w:rsidR="006C1E41" w:rsidRPr="001B5EFB">
              <w:t xml:space="preserve">ould </w:t>
            </w:r>
            <w:r w:rsidR="001B5EFB" w:rsidRPr="001B5EFB">
              <w:t xml:space="preserve">also be </w:t>
            </w:r>
            <w:r w:rsidR="006C1E41" w:rsidRPr="001B5EFB">
              <w:t>given to collaborating with existing community</w:t>
            </w:r>
            <w:r w:rsidR="001B5EFB">
              <w:t>-</w:t>
            </w:r>
            <w:r w:rsidR="006C1E41" w:rsidRPr="001B5EFB">
              <w:t>controlled lived experience networks</w:t>
            </w:r>
            <w:r w:rsidR="00877403">
              <w:t>,</w:t>
            </w:r>
            <w:r w:rsidR="006C1E41" w:rsidRPr="001B5EFB">
              <w:t xml:space="preserve"> </w:t>
            </w:r>
            <w:r w:rsidR="001B5EFB">
              <w:t xml:space="preserve">such as </w:t>
            </w:r>
            <w:r w:rsidR="006C1E41" w:rsidRPr="001B5EFB">
              <w:t>the Rainbow Mental Health Lived Experience Network</w:t>
            </w:r>
            <w:r w:rsidR="001B5EFB">
              <w:t>.</w:t>
            </w:r>
          </w:p>
        </w:tc>
      </w:tr>
    </w:tbl>
    <w:p w14:paraId="5AD21EC4" w14:textId="77777777" w:rsidR="00746AAF" w:rsidRPr="00746AAF" w:rsidRDefault="00746AAF" w:rsidP="00DF32BE">
      <w:pPr>
        <w:pStyle w:val="Heading3"/>
      </w:pPr>
      <w:bookmarkStart w:id="136" w:name="_Toc149670636"/>
      <w:bookmarkStart w:id="137" w:name="_Toc153899542"/>
      <w:r w:rsidRPr="00746AAF">
        <w:t>2]</w:t>
      </w:r>
      <w:r w:rsidRPr="00746AAF">
        <w:tab/>
        <w:t>Invest in targeted research and improved data</w:t>
      </w:r>
      <w:bookmarkEnd w:id="136"/>
      <w:bookmarkEnd w:id="137"/>
    </w:p>
    <w:p w14:paraId="49F31F91" w14:textId="479BDDFB" w:rsidR="00746AAF" w:rsidRPr="00746AAF" w:rsidRDefault="00746AAF" w:rsidP="00746AAF">
      <w:r w:rsidRPr="00746AAF">
        <w:t xml:space="preserve">The UTS-led research highlighted </w:t>
      </w:r>
      <w:r w:rsidRPr="00746AAF">
        <w:rPr>
          <w:bCs/>
        </w:rPr>
        <w:t>significant gaps in the evidence available</w:t>
      </w:r>
      <w:r w:rsidRPr="00746AAF">
        <w:t xml:space="preserve"> to inform the development of effective strategies and services to support the diversity of mental health and wellbeing needs in the LGBTQ+ population. Notably, the current research landscape, combined with the evidence available through the applied SLR, could not deliver definitive answers to the KRQ, as documented at Section 1.4.</w:t>
      </w:r>
    </w:p>
    <w:p w14:paraId="0F0ED9C4" w14:textId="34B43E83"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 xml:space="preserve">Further, the research highlighted the </w:t>
      </w:r>
      <w:r w:rsidRPr="00746AAF">
        <w:rPr>
          <w:rFonts w:eastAsia="Times New Roman" w:cs="Times New Roman"/>
          <w:bCs/>
          <w:szCs w:val="24"/>
          <w:lang w:eastAsia="en-AU"/>
        </w:rPr>
        <w:t>need to work with LGBTQ+ people with</w:t>
      </w:r>
      <w:r w:rsidR="00AF7DF4">
        <w:rPr>
          <w:rFonts w:eastAsia="Times New Roman" w:cs="Times New Roman"/>
          <w:bCs/>
          <w:szCs w:val="24"/>
          <w:lang w:eastAsia="en-AU"/>
        </w:rPr>
        <w:t xml:space="preserve"> </w:t>
      </w:r>
      <w:r w:rsidRPr="00746AAF">
        <w:rPr>
          <w:rFonts w:eastAsia="Times New Roman" w:cs="Times New Roman"/>
          <w:bCs/>
          <w:szCs w:val="24"/>
          <w:lang w:eastAsia="en-AU"/>
        </w:rPr>
        <w:t>lived experience</w:t>
      </w:r>
      <w:r w:rsidR="00AF7DF4">
        <w:rPr>
          <w:rFonts w:eastAsia="Times New Roman" w:cs="Times New Roman"/>
          <w:bCs/>
          <w:szCs w:val="24"/>
          <w:lang w:eastAsia="en-AU"/>
        </w:rPr>
        <w:t>,</w:t>
      </w:r>
      <w:r w:rsidRPr="00746AAF">
        <w:rPr>
          <w:rFonts w:eastAsia="Times New Roman" w:cs="Times New Roman"/>
          <w:bCs/>
          <w:szCs w:val="24"/>
          <w:lang w:eastAsia="en-AU"/>
        </w:rPr>
        <w:t xml:space="preserve"> </w:t>
      </w:r>
      <w:r w:rsidR="00AF7DF4">
        <w:rPr>
          <w:rFonts w:eastAsia="Times New Roman" w:cs="Times New Roman"/>
          <w:bCs/>
          <w:szCs w:val="24"/>
          <w:lang w:eastAsia="en-AU"/>
        </w:rPr>
        <w:t>including people from diverse backgrounds,</w:t>
      </w:r>
      <w:r w:rsidRPr="00746AAF">
        <w:rPr>
          <w:rFonts w:eastAsia="Times New Roman" w:cs="Times New Roman"/>
          <w:bCs/>
          <w:szCs w:val="24"/>
          <w:lang w:eastAsia="en-AU"/>
        </w:rPr>
        <w:t xml:space="preserve"> to better address evidence gaps.</w:t>
      </w:r>
      <w:r w:rsidRPr="00746AAF">
        <w:rPr>
          <w:rFonts w:eastAsia="Times New Roman" w:cs="Times New Roman"/>
          <w:bCs/>
          <w:szCs w:val="24"/>
          <w:vertAlign w:val="superscript"/>
          <w:lang w:eastAsia="en-AU"/>
        </w:rPr>
        <w:footnoteReference w:id="305"/>
      </w:r>
      <w:r w:rsidRPr="00746AAF">
        <w:rPr>
          <w:rFonts w:eastAsia="Times New Roman" w:cs="Times New Roman"/>
          <w:bCs/>
          <w:szCs w:val="24"/>
          <w:lang w:eastAsia="en-AU"/>
        </w:rPr>
        <w:t>.</w:t>
      </w:r>
      <w:r w:rsidRPr="00746AAF">
        <w:rPr>
          <w:rFonts w:eastAsia="Times New Roman" w:cs="Times New Roman"/>
          <w:szCs w:val="24"/>
          <w:lang w:eastAsia="en-AU"/>
        </w:rPr>
        <w:t xml:space="preserve"> It is also important to ensure research includes people with lived experience of severe life-interrupting mental health challenges (including suicide attempts), as well as those with mild and moderate mental health challenges. Further, the inclusion of First Nations </w:t>
      </w:r>
      <w:r w:rsidR="00AF7DF4">
        <w:rPr>
          <w:rFonts w:eastAsia="Times New Roman" w:cs="Times New Roman"/>
          <w:szCs w:val="24"/>
          <w:lang w:eastAsia="en-AU"/>
        </w:rPr>
        <w:t xml:space="preserve">LGBTQ+SB </w:t>
      </w:r>
      <w:r w:rsidRPr="00746AAF">
        <w:rPr>
          <w:rFonts w:eastAsia="Times New Roman" w:cs="Times New Roman"/>
          <w:szCs w:val="24"/>
          <w:lang w:eastAsia="en-AU"/>
        </w:rPr>
        <w:t>people</w:t>
      </w:r>
      <w:r w:rsidR="00877403">
        <w:rPr>
          <w:rFonts w:eastAsia="Times New Roman" w:cs="Times New Roman"/>
          <w:szCs w:val="24"/>
          <w:lang w:eastAsia="en-AU"/>
        </w:rPr>
        <w:t>,</w:t>
      </w:r>
      <w:r w:rsidRPr="00746AAF">
        <w:rPr>
          <w:rFonts w:eastAsia="Times New Roman" w:cs="Times New Roman"/>
          <w:szCs w:val="24"/>
          <w:lang w:eastAsia="en-AU"/>
        </w:rPr>
        <w:t xml:space="preserve"> and people with other intersectoral profiles</w:t>
      </w:r>
      <w:r w:rsidR="00877403">
        <w:rPr>
          <w:rFonts w:eastAsia="Times New Roman" w:cs="Times New Roman"/>
          <w:szCs w:val="24"/>
          <w:lang w:eastAsia="en-AU"/>
        </w:rPr>
        <w:t xml:space="preserve"> </w:t>
      </w:r>
      <w:r w:rsidR="00877403" w:rsidRPr="00746AAF">
        <w:rPr>
          <w:rFonts w:eastAsia="Times New Roman" w:cs="Times New Roman"/>
          <w:szCs w:val="24"/>
          <w:lang w:eastAsia="en-AU"/>
        </w:rPr>
        <w:t>(e.g., LGBTQ+ people from CALD backgrounds, LGBTQ+ people with disability)</w:t>
      </w:r>
      <w:r w:rsidR="00877403">
        <w:rPr>
          <w:rFonts w:eastAsia="Times New Roman" w:cs="Times New Roman"/>
          <w:szCs w:val="24"/>
          <w:lang w:eastAsia="en-AU"/>
        </w:rPr>
        <w:t>,</w:t>
      </w:r>
      <w:r w:rsidRPr="00746AAF">
        <w:rPr>
          <w:rFonts w:eastAsia="Times New Roman" w:cs="Times New Roman"/>
          <w:szCs w:val="24"/>
          <w:lang w:eastAsia="en-AU"/>
        </w:rPr>
        <w:t xml:space="preserve"> is vital. In addition, collaboration with </w:t>
      </w:r>
      <w:r w:rsidRPr="00746AAF">
        <w:rPr>
          <w:rFonts w:eastAsia="Times New Roman" w:cs="Times New Roman"/>
          <w:szCs w:val="24"/>
          <w:lang w:eastAsia="en-AU"/>
        </w:rPr>
        <w:lastRenderedPageBreak/>
        <w:t>researchers with lived experience also improves the quality and depth of research findings, and the prospects of robust knowledge translation.</w:t>
      </w:r>
      <w:r w:rsidRPr="00746AAF">
        <w:rPr>
          <w:rFonts w:eastAsia="Times New Roman" w:cs="Times New Roman"/>
          <w:szCs w:val="24"/>
          <w:vertAlign w:val="superscript"/>
          <w:lang w:eastAsia="en-AU"/>
        </w:rPr>
        <w:footnoteReference w:id="306"/>
      </w:r>
      <w:r w:rsidRPr="00746AAF">
        <w:rPr>
          <w:rFonts w:eastAsia="Times New Roman" w:cs="Times New Roman"/>
          <w:szCs w:val="24"/>
          <w:lang w:eastAsia="en-AU"/>
        </w:rPr>
        <w:t xml:space="preserve"> </w:t>
      </w:r>
    </w:p>
    <w:p w14:paraId="47C4F0BF" w14:textId="1F98CCC8"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 xml:space="preserve">Informed by </w:t>
      </w:r>
      <w:r w:rsidR="00AF7DF4">
        <w:rPr>
          <w:rFonts w:eastAsia="Times New Roman" w:cs="Times New Roman"/>
          <w:szCs w:val="24"/>
          <w:lang w:eastAsia="en-AU"/>
        </w:rPr>
        <w:t>interpretations</w:t>
      </w:r>
      <w:r w:rsidR="00AF7DF4" w:rsidRPr="00746AAF">
        <w:rPr>
          <w:rFonts w:eastAsia="Times New Roman" w:cs="Times New Roman"/>
          <w:szCs w:val="24"/>
          <w:lang w:eastAsia="en-AU"/>
        </w:rPr>
        <w:t xml:space="preserve"> </w:t>
      </w:r>
      <w:r w:rsidRPr="00746AAF">
        <w:rPr>
          <w:rFonts w:eastAsia="Times New Roman" w:cs="Times New Roman"/>
          <w:szCs w:val="24"/>
          <w:lang w:eastAsia="en-AU"/>
        </w:rPr>
        <w:t>from the Rainbow Embassy, the UTS-led team have identified four areas for future research investment:</w:t>
      </w:r>
    </w:p>
    <w:tbl>
      <w:tblPr>
        <w:tblStyle w:val="TableGrid"/>
        <w:tblW w:w="9214"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FE7FD"/>
        <w:tblLook w:val="04A0" w:firstRow="1" w:lastRow="0" w:firstColumn="1" w:lastColumn="0" w:noHBand="0" w:noVBand="1"/>
      </w:tblPr>
      <w:tblGrid>
        <w:gridCol w:w="9214"/>
      </w:tblGrid>
      <w:tr w:rsidR="00746AAF" w:rsidRPr="00746AAF" w14:paraId="5316AD11" w14:textId="77777777">
        <w:tc>
          <w:tcPr>
            <w:tcW w:w="9214" w:type="dxa"/>
            <w:shd w:val="clear" w:color="auto" w:fill="ECF1FE"/>
          </w:tcPr>
          <w:p w14:paraId="6954A03B" w14:textId="0C192EEA" w:rsidR="00746AAF" w:rsidRPr="00F554FE" w:rsidRDefault="00746AAF" w:rsidP="00F554FE">
            <w:r w:rsidRPr="00F554FE">
              <w:t xml:space="preserve">Research to further understand the needs and experiences of diverse </w:t>
            </w:r>
            <w:r w:rsidR="00666F09" w:rsidRPr="00F554FE">
              <w:t>LG</w:t>
            </w:r>
            <w:r w:rsidR="00206E08" w:rsidRPr="00F554FE">
              <w:t>BTQ+</w:t>
            </w:r>
            <w:r w:rsidRPr="00F554FE">
              <w:t xml:space="preserve"> people experiencing mental distress and/or suicidality</w:t>
            </w:r>
            <w:r w:rsidR="00206E08" w:rsidRPr="00F554FE">
              <w:t>, and to interrogate the implications of existing evidence for Australian policy</w:t>
            </w:r>
            <w:r w:rsidRPr="00F554FE">
              <w:t>. This should include investigation of the impacts of different contextual, personal, cultural, and institutional factors. More specifically, the research should aim to fill identified research gaps regarding mental health and suicide prevention related to:</w:t>
            </w:r>
          </w:p>
          <w:p w14:paraId="3D819A89" w14:textId="77777777" w:rsidR="00746AAF" w:rsidRPr="00746AAF" w:rsidRDefault="00746AAF" w:rsidP="006205ED">
            <w:pPr>
              <w:numPr>
                <w:ilvl w:val="0"/>
                <w:numId w:val="23"/>
              </w:numPr>
              <w:spacing w:before="120" w:after="120"/>
              <w:rPr>
                <w:rFonts w:eastAsia="Times New Roman" w:cs="Times New Roman"/>
                <w:szCs w:val="24"/>
                <w:lang w:eastAsia="en-AU"/>
              </w:rPr>
            </w:pPr>
            <w:r w:rsidRPr="00746AAF">
              <w:rPr>
                <w:rFonts w:eastAsia="Times New Roman" w:cs="Times New Roman"/>
                <w:szCs w:val="24"/>
                <w:lang w:eastAsia="en-AU"/>
              </w:rPr>
              <w:t>Marginalised gender identities, including non-binary people.</w:t>
            </w:r>
          </w:p>
          <w:p w14:paraId="3012417A" w14:textId="6AB60851" w:rsidR="00746AAF" w:rsidRPr="00746AAF" w:rsidRDefault="00746AAF" w:rsidP="006205ED">
            <w:pPr>
              <w:numPr>
                <w:ilvl w:val="0"/>
                <w:numId w:val="23"/>
              </w:numPr>
              <w:spacing w:before="120" w:after="120"/>
              <w:rPr>
                <w:rFonts w:eastAsia="Times New Roman" w:cs="Times New Roman"/>
                <w:szCs w:val="24"/>
                <w:lang w:eastAsia="en-AU"/>
              </w:rPr>
            </w:pPr>
            <w:r w:rsidRPr="00746AAF">
              <w:rPr>
                <w:rFonts w:eastAsia="Times New Roman" w:cs="Times New Roman"/>
                <w:szCs w:val="24"/>
                <w:lang w:eastAsia="en-AU"/>
              </w:rPr>
              <w:t xml:space="preserve">Marginalised </w:t>
            </w:r>
            <w:r w:rsidR="00FB28B7">
              <w:rPr>
                <w:rFonts w:eastAsia="Times New Roman" w:cs="Times New Roman"/>
                <w:szCs w:val="24"/>
                <w:lang w:eastAsia="en-AU"/>
              </w:rPr>
              <w:t>sexual orientations</w:t>
            </w:r>
            <w:r w:rsidRPr="00746AAF">
              <w:rPr>
                <w:rFonts w:eastAsia="Times New Roman" w:cs="Times New Roman"/>
                <w:szCs w:val="24"/>
                <w:lang w:eastAsia="en-AU"/>
              </w:rPr>
              <w:t xml:space="preserve">, including </w:t>
            </w:r>
            <w:r w:rsidR="000B47B2">
              <w:rPr>
                <w:rFonts w:eastAsia="Times New Roman" w:cs="Times New Roman"/>
                <w:szCs w:val="24"/>
                <w:lang w:eastAsia="en-AU"/>
              </w:rPr>
              <w:t>bisexual and pansexual people</w:t>
            </w:r>
            <w:r w:rsidRPr="00746AAF">
              <w:rPr>
                <w:rFonts w:eastAsia="Times New Roman" w:cs="Times New Roman"/>
                <w:szCs w:val="24"/>
                <w:lang w:eastAsia="en-AU"/>
              </w:rPr>
              <w:t xml:space="preserve"> </w:t>
            </w:r>
          </w:p>
          <w:p w14:paraId="4766B8A4" w14:textId="6489CA49" w:rsidR="00746AAF" w:rsidRPr="00746AAF" w:rsidRDefault="00746AAF" w:rsidP="006205ED">
            <w:pPr>
              <w:numPr>
                <w:ilvl w:val="0"/>
                <w:numId w:val="23"/>
              </w:numPr>
              <w:spacing w:before="120" w:after="120"/>
              <w:rPr>
                <w:rFonts w:eastAsia="Times New Roman" w:cs="Times New Roman"/>
                <w:szCs w:val="24"/>
                <w:lang w:eastAsia="en-AU"/>
              </w:rPr>
            </w:pPr>
            <w:r w:rsidRPr="00746AAF">
              <w:rPr>
                <w:rFonts w:eastAsia="Times New Roman" w:cs="Times New Roman"/>
                <w:szCs w:val="24"/>
                <w:lang w:eastAsia="en-AU"/>
              </w:rPr>
              <w:t>First Nations LGBTQ</w:t>
            </w:r>
            <w:r w:rsidR="001674F9">
              <w:rPr>
                <w:rFonts w:eastAsia="Times New Roman" w:cs="Times New Roman"/>
                <w:szCs w:val="24"/>
                <w:lang w:eastAsia="en-AU"/>
              </w:rPr>
              <w:t>+</w:t>
            </w:r>
            <w:r w:rsidRPr="00746AAF">
              <w:rPr>
                <w:rFonts w:eastAsia="Times New Roman" w:cs="Times New Roman"/>
                <w:szCs w:val="24"/>
                <w:lang w:eastAsia="en-AU"/>
              </w:rPr>
              <w:t>SB</w:t>
            </w:r>
            <w:r w:rsidR="001674F9">
              <w:rPr>
                <w:rFonts w:eastAsia="Times New Roman" w:cs="Times New Roman"/>
                <w:szCs w:val="24"/>
                <w:lang w:eastAsia="en-AU"/>
              </w:rPr>
              <w:t xml:space="preserve"> </w:t>
            </w:r>
            <w:r w:rsidRPr="00746AAF">
              <w:rPr>
                <w:rFonts w:eastAsia="Times New Roman" w:cs="Times New Roman"/>
                <w:szCs w:val="24"/>
                <w:lang w:eastAsia="en-AU"/>
              </w:rPr>
              <w:t>people</w:t>
            </w:r>
            <w:r w:rsidRPr="00746AAF">
              <w:rPr>
                <w:rFonts w:eastAsia="Times New Roman" w:cs="Times New Roman"/>
                <w:szCs w:val="24"/>
                <w:vertAlign w:val="superscript"/>
                <w:lang w:eastAsia="en-AU"/>
              </w:rPr>
              <w:footnoteReference w:id="307"/>
            </w:r>
            <w:r w:rsidRPr="00746AAF">
              <w:rPr>
                <w:rFonts w:eastAsia="Times New Roman" w:cs="Times New Roman"/>
                <w:szCs w:val="24"/>
                <w:lang w:eastAsia="en-AU"/>
              </w:rPr>
              <w:t>, noting that any research in this space should acknowledge and attend to the diversity within</w:t>
            </w:r>
            <w:r w:rsidR="001F21C1">
              <w:rPr>
                <w:rFonts w:eastAsia="Times New Roman" w:cs="Times New Roman"/>
                <w:szCs w:val="24"/>
                <w:lang w:eastAsia="en-AU"/>
              </w:rPr>
              <w:t>,</w:t>
            </w:r>
            <w:r w:rsidRPr="00746AAF">
              <w:rPr>
                <w:rFonts w:eastAsia="Times New Roman" w:cs="Times New Roman"/>
                <w:szCs w:val="24"/>
                <w:lang w:eastAsia="en-AU"/>
              </w:rPr>
              <w:t xml:space="preserve"> and between</w:t>
            </w:r>
            <w:r w:rsidR="001F21C1">
              <w:rPr>
                <w:rFonts w:eastAsia="Times New Roman" w:cs="Times New Roman"/>
                <w:szCs w:val="24"/>
                <w:lang w:eastAsia="en-AU"/>
              </w:rPr>
              <w:t>,</w:t>
            </w:r>
            <w:r w:rsidRPr="00746AAF">
              <w:rPr>
                <w:rFonts w:eastAsia="Times New Roman" w:cs="Times New Roman"/>
                <w:szCs w:val="24"/>
                <w:lang w:eastAsia="en-AU"/>
              </w:rPr>
              <w:t xml:space="preserve"> the different groups which comprise Australia’s First Nations population.</w:t>
            </w:r>
            <w:r w:rsidRPr="00746AAF">
              <w:rPr>
                <w:rFonts w:eastAsia="Times New Roman" w:cs="Times New Roman"/>
                <w:szCs w:val="24"/>
                <w:vertAlign w:val="superscript"/>
                <w:lang w:eastAsia="en-AU"/>
              </w:rPr>
              <w:footnoteReference w:id="308"/>
            </w:r>
            <w:r w:rsidRPr="00746AAF">
              <w:rPr>
                <w:rFonts w:eastAsia="Times New Roman" w:cs="Times New Roman"/>
                <w:szCs w:val="24"/>
                <w:lang w:eastAsia="en-AU"/>
              </w:rPr>
              <w:t xml:space="preserve"> </w:t>
            </w:r>
          </w:p>
          <w:p w14:paraId="4AC644D1" w14:textId="6EC3BDAF" w:rsidR="00746AAF" w:rsidRPr="00746AAF" w:rsidRDefault="00746AAF" w:rsidP="006205ED">
            <w:pPr>
              <w:numPr>
                <w:ilvl w:val="0"/>
                <w:numId w:val="23"/>
              </w:numPr>
              <w:spacing w:before="120" w:after="120"/>
              <w:rPr>
                <w:rFonts w:eastAsia="Times New Roman" w:cs="Times New Roman"/>
                <w:szCs w:val="24"/>
                <w:lang w:eastAsia="en-AU"/>
              </w:rPr>
            </w:pPr>
            <w:r w:rsidRPr="00746AAF">
              <w:rPr>
                <w:rFonts w:eastAsia="Times New Roman" w:cs="Times New Roman"/>
                <w:szCs w:val="24"/>
                <w:lang w:eastAsia="en-AU"/>
              </w:rPr>
              <w:t>LGBTQ</w:t>
            </w:r>
            <w:r w:rsidR="001674F9">
              <w:rPr>
                <w:rFonts w:eastAsia="Times New Roman" w:cs="Times New Roman"/>
                <w:szCs w:val="24"/>
                <w:lang w:eastAsia="en-AU"/>
              </w:rPr>
              <w:t>+</w:t>
            </w:r>
            <w:r w:rsidRPr="00746AAF">
              <w:rPr>
                <w:rFonts w:eastAsia="Times New Roman" w:cs="Times New Roman"/>
                <w:szCs w:val="24"/>
                <w:lang w:eastAsia="en-AU"/>
              </w:rPr>
              <w:t xml:space="preserve"> people with intersectoral identities, including</w:t>
            </w:r>
            <w:r w:rsidR="001F21C1">
              <w:rPr>
                <w:rFonts w:eastAsia="Times New Roman" w:cs="Times New Roman"/>
                <w:szCs w:val="24"/>
                <w:lang w:eastAsia="en-AU"/>
              </w:rPr>
              <w:t>,</w:t>
            </w:r>
            <w:r w:rsidRPr="00746AAF">
              <w:rPr>
                <w:rFonts w:eastAsia="Times New Roman" w:cs="Times New Roman"/>
                <w:szCs w:val="24"/>
                <w:lang w:eastAsia="en-AU"/>
              </w:rPr>
              <w:t xml:space="preserve"> though not limited to:</w:t>
            </w:r>
          </w:p>
          <w:p w14:paraId="334AEC94" w14:textId="74AA67F0" w:rsidR="00746AAF" w:rsidRPr="00746AAF" w:rsidRDefault="00746AAF" w:rsidP="006205ED">
            <w:pPr>
              <w:numPr>
                <w:ilvl w:val="1"/>
                <w:numId w:val="24"/>
              </w:numPr>
              <w:spacing w:before="120" w:after="120"/>
              <w:rPr>
                <w:rFonts w:eastAsia="Times New Roman" w:cs="Times New Roman"/>
                <w:szCs w:val="24"/>
                <w:lang w:eastAsia="en-AU"/>
              </w:rPr>
            </w:pPr>
            <w:r w:rsidRPr="00746AAF">
              <w:rPr>
                <w:rFonts w:eastAsia="Times New Roman" w:cs="Times New Roman"/>
                <w:szCs w:val="24"/>
                <w:lang w:eastAsia="en-AU"/>
              </w:rPr>
              <w:t>LGBTQ+ people from CALD backgrounds, living in rural and remote areas, those from low socioeconomic backgrounds, or living with disability.</w:t>
            </w:r>
          </w:p>
          <w:p w14:paraId="5C62BDC2" w14:textId="0F7D4127" w:rsidR="00746AAF" w:rsidRPr="00746AAF" w:rsidRDefault="00746AAF" w:rsidP="006205ED">
            <w:pPr>
              <w:numPr>
                <w:ilvl w:val="1"/>
                <w:numId w:val="24"/>
              </w:numPr>
              <w:spacing w:before="120" w:after="120"/>
              <w:rPr>
                <w:rFonts w:eastAsia="Times New Roman" w:cs="Times New Roman"/>
                <w:szCs w:val="24"/>
                <w:lang w:eastAsia="en-AU"/>
              </w:rPr>
            </w:pPr>
            <w:r w:rsidRPr="00746AAF">
              <w:rPr>
                <w:rFonts w:eastAsia="Times New Roman" w:cs="Times New Roman"/>
                <w:szCs w:val="24"/>
                <w:lang w:eastAsia="en-AU"/>
              </w:rPr>
              <w:t>LGBTQ+ people with significant lived experience of other service systems or with compounding or co-occurring issues, including those related to alcohol and drug use, homelessness, the criminal justice system, and out-of-home care, among others.</w:t>
            </w:r>
          </w:p>
        </w:tc>
      </w:tr>
      <w:tr w:rsidR="00746AAF" w:rsidRPr="00746AAF" w14:paraId="139A8656" w14:textId="77777777">
        <w:tc>
          <w:tcPr>
            <w:tcW w:w="9214" w:type="dxa"/>
            <w:shd w:val="clear" w:color="auto" w:fill="ECF1FE"/>
          </w:tcPr>
          <w:p w14:paraId="27FA4D1A" w14:textId="100CFECC" w:rsidR="00746AAF" w:rsidRPr="00F554FE" w:rsidRDefault="00746AAF" w:rsidP="00F554FE">
            <w:r w:rsidRPr="00F554FE">
              <w:t>Better map the Australian mental health service system, including mainstream and LGBT</w:t>
            </w:r>
            <w:r w:rsidR="00283007" w:rsidRPr="00F554FE">
              <w:t>Q</w:t>
            </w:r>
            <w:r w:rsidRPr="00F554FE">
              <w:t>+</w:t>
            </w:r>
            <w:r w:rsidR="001F21C1" w:rsidRPr="00F554FE">
              <w:t xml:space="preserve"> </w:t>
            </w:r>
            <w:r w:rsidRPr="00F554FE">
              <w:t xml:space="preserve">specific services potentially used by LGBTQ+ people, noting unmet needs and service gaps by different groups or potential users. </w:t>
            </w:r>
          </w:p>
          <w:p w14:paraId="486CB5D0" w14:textId="7A58F02E" w:rsidR="00746AAF" w:rsidRPr="00746AAF" w:rsidRDefault="00746AAF" w:rsidP="00A7028B">
            <w:pPr>
              <w:ind w:left="567"/>
              <w:rPr>
                <w:lang w:eastAsia="en-AU"/>
              </w:rPr>
            </w:pPr>
            <w:r w:rsidRPr="00746AAF">
              <w:rPr>
                <w:lang w:eastAsia="en-AU"/>
              </w:rPr>
              <w:t xml:space="preserve">As noted in this research, none of the studies </w:t>
            </w:r>
            <w:r w:rsidR="00F038C7">
              <w:rPr>
                <w:lang w:eastAsia="en-AU"/>
              </w:rPr>
              <w:t xml:space="preserve">included in the SLR </w:t>
            </w:r>
            <w:r w:rsidRPr="00746AAF">
              <w:rPr>
                <w:lang w:eastAsia="en-AU"/>
              </w:rPr>
              <w:t xml:space="preserve">adequately mapped the services available in Australia. While Section 3 sought to provide a broad outline of the service system, comprehensively mapping the services was outside of the scope of this research. </w:t>
            </w:r>
          </w:p>
          <w:p w14:paraId="0D87BE76" w14:textId="1A3AB5DE" w:rsidR="00746AAF" w:rsidRPr="00746AAF" w:rsidRDefault="00746AAF" w:rsidP="00A7028B">
            <w:pPr>
              <w:ind w:left="567"/>
              <w:rPr>
                <w:lang w:eastAsia="en-AU"/>
              </w:rPr>
            </w:pPr>
            <w:r w:rsidRPr="00746AAF">
              <w:rPr>
                <w:lang w:eastAsia="en-AU"/>
              </w:rPr>
              <w:t xml:space="preserve">Further, while many studies in the applied SLR surveyed service access among participants, this did not provide a nationally representative picture. In addition, these studies frequently did not distinguish between different service types, or service </w:t>
            </w:r>
            <w:r w:rsidRPr="00746AAF">
              <w:rPr>
                <w:lang w:eastAsia="en-AU"/>
              </w:rPr>
              <w:lastRenderedPageBreak/>
              <w:t xml:space="preserve">interactions available with any one service setting, nor between specific user groups included under the LGBTQ+ </w:t>
            </w:r>
            <w:r w:rsidR="00AC0F3A">
              <w:rPr>
                <w:lang w:eastAsia="en-AU"/>
              </w:rPr>
              <w:t>abbreviation</w:t>
            </w:r>
            <w:r w:rsidRPr="00746AAF">
              <w:rPr>
                <w:lang w:eastAsia="en-AU"/>
              </w:rPr>
              <w:t xml:space="preserve">. </w:t>
            </w:r>
          </w:p>
          <w:p w14:paraId="2BA27CCD" w14:textId="36194F79" w:rsidR="00746AAF" w:rsidRPr="00746AAF" w:rsidRDefault="00746AAF" w:rsidP="00A7028B">
            <w:pPr>
              <w:ind w:left="567"/>
              <w:rPr>
                <w:lang w:eastAsia="en-AU"/>
              </w:rPr>
            </w:pPr>
            <w:r w:rsidRPr="00E42D50">
              <w:rPr>
                <w:lang w:eastAsia="en-AU"/>
              </w:rPr>
              <w:t xml:space="preserve">The mapping </w:t>
            </w:r>
            <w:r w:rsidR="00460E0B">
              <w:rPr>
                <w:lang w:eastAsia="en-AU"/>
              </w:rPr>
              <w:t>be continuously updated to maintain usability for different groups (e.g., service users, GPs) a</w:t>
            </w:r>
            <w:r w:rsidR="00C322B3">
              <w:rPr>
                <w:lang w:eastAsia="en-AU"/>
              </w:rPr>
              <w:t xml:space="preserve">nd </w:t>
            </w:r>
            <w:r w:rsidRPr="00E42D50">
              <w:rPr>
                <w:lang w:eastAsia="en-AU"/>
              </w:rPr>
              <w:t>should</w:t>
            </w:r>
            <w:r w:rsidR="00FB12E8" w:rsidRPr="00E42D50">
              <w:rPr>
                <w:lang w:eastAsia="en-AU"/>
              </w:rPr>
              <w:t xml:space="preserve"> </w:t>
            </w:r>
            <w:r w:rsidRPr="00E42D50">
              <w:rPr>
                <w:lang w:eastAsia="en-AU"/>
              </w:rPr>
              <w:t>include documenting continuity of care pathways and post-intervention recovery options.</w:t>
            </w:r>
          </w:p>
        </w:tc>
      </w:tr>
      <w:tr w:rsidR="00746AAF" w:rsidRPr="00746AAF" w14:paraId="003487F0" w14:textId="77777777">
        <w:tc>
          <w:tcPr>
            <w:tcW w:w="9214" w:type="dxa"/>
            <w:shd w:val="clear" w:color="auto" w:fill="ECF1FE"/>
          </w:tcPr>
          <w:p w14:paraId="2A205E1F" w14:textId="45B32748" w:rsidR="00746AAF" w:rsidRPr="00F554FE" w:rsidRDefault="00746AAF" w:rsidP="00F554FE">
            <w:r w:rsidRPr="00F554FE">
              <w:lastRenderedPageBreak/>
              <w:t>Following from Option 6), establish methods to continuously evaluate access, inclusion, service quality</w:t>
            </w:r>
            <w:r w:rsidR="001F21C1" w:rsidRPr="00F554FE">
              <w:t>,</w:t>
            </w:r>
            <w:r w:rsidRPr="00F554FE">
              <w:t xml:space="preserve"> and service outcomes delivered by mainstream and LGBTQ+</w:t>
            </w:r>
            <w:r w:rsidR="001F21C1" w:rsidRPr="00F554FE">
              <w:t xml:space="preserve"> </w:t>
            </w:r>
            <w:r w:rsidRPr="00F554FE">
              <w:t xml:space="preserve">specific mental health services </w:t>
            </w:r>
            <w:r w:rsidR="0027616F" w:rsidRPr="00F554FE">
              <w:t xml:space="preserve">and programs </w:t>
            </w:r>
            <w:r w:rsidRPr="00F554FE">
              <w:t>to support continuous improvement, as well as necessary major reforms across some services, sectors</w:t>
            </w:r>
            <w:r w:rsidR="00CC2FD2" w:rsidRPr="00F554FE">
              <w:t>,</w:t>
            </w:r>
            <w:r w:rsidRPr="00F554FE">
              <w:t xml:space="preserve"> or professional practice.</w:t>
            </w:r>
          </w:p>
          <w:p w14:paraId="36C78CAD" w14:textId="3D0E3655" w:rsidR="00746AAF" w:rsidRPr="00746AAF" w:rsidRDefault="00746AAF" w:rsidP="00A7028B">
            <w:pPr>
              <w:ind w:left="567"/>
              <w:rPr>
                <w:lang w:eastAsia="en-AU"/>
              </w:rPr>
            </w:pPr>
            <w:r w:rsidRPr="00746AAF">
              <w:rPr>
                <w:lang w:eastAsia="en-AU"/>
              </w:rPr>
              <w:t>The evaluations should be undertaken in collaboration with LGBTQ+ people with lived experience and capture data on personal recovery measures in line with the national, whole-of-person approach to mental health and wellbeing.</w:t>
            </w:r>
            <w:r w:rsidRPr="00746AAF">
              <w:rPr>
                <w:vertAlign w:val="superscript"/>
                <w:lang w:eastAsia="en-AU"/>
              </w:rPr>
              <w:footnoteReference w:id="309"/>
            </w:r>
            <w:r w:rsidRPr="00746AAF">
              <w:rPr>
                <w:lang w:eastAsia="en-AU"/>
              </w:rPr>
              <w:t xml:space="preserve"> </w:t>
            </w:r>
          </w:p>
          <w:p w14:paraId="206C9248" w14:textId="1AD94A35" w:rsidR="00746AAF" w:rsidRPr="00746AAF" w:rsidRDefault="00746AAF" w:rsidP="00A7028B">
            <w:pPr>
              <w:ind w:left="567"/>
              <w:rPr>
                <w:rFonts w:ascii="Arial" w:hAnsi="Arial"/>
                <w:lang w:eastAsia="en-AU"/>
              </w:rPr>
            </w:pPr>
            <w:r w:rsidRPr="000A4D8E">
              <w:rPr>
                <w:lang w:eastAsia="en-AU"/>
              </w:rPr>
              <w:t xml:space="preserve">Included at Attachment </w:t>
            </w:r>
            <w:r w:rsidR="000A4D8E" w:rsidRPr="000A4D8E">
              <w:rPr>
                <w:lang w:eastAsia="en-AU"/>
              </w:rPr>
              <w:t>4</w:t>
            </w:r>
            <w:r w:rsidRPr="000A4D8E">
              <w:rPr>
                <w:lang w:eastAsia="en-AU"/>
              </w:rPr>
              <w:t xml:space="preserve"> are some specific issues that the SLR highlighted as requiring targeted evaluation research.</w:t>
            </w:r>
          </w:p>
        </w:tc>
      </w:tr>
      <w:tr w:rsidR="00746AAF" w:rsidRPr="00746AAF" w14:paraId="50E1C109" w14:textId="77777777">
        <w:tc>
          <w:tcPr>
            <w:tcW w:w="9214" w:type="dxa"/>
            <w:shd w:val="clear" w:color="auto" w:fill="ECF1FE"/>
          </w:tcPr>
          <w:p w14:paraId="7A4FA301" w14:textId="7CF0DCC0" w:rsidR="00746AAF" w:rsidRPr="00F554FE" w:rsidRDefault="00746AAF" w:rsidP="00F554FE">
            <w:r w:rsidRPr="00F554FE">
              <w:t>Research, pilot and evaluate initiatives designed to reduce mental health stressors experienced by LGBTQ+ people, in the first instance within both mainstream and LGBTQ+ specific mental health service systems</w:t>
            </w:r>
            <w:r w:rsidR="003E1191" w:rsidRPr="00F554FE">
              <w:t>.</w:t>
            </w:r>
          </w:p>
          <w:p w14:paraId="3AAF0033" w14:textId="202E3919" w:rsidR="00746AAF" w:rsidRDefault="00746AAF" w:rsidP="00234057">
            <w:pPr>
              <w:spacing w:before="120" w:after="120"/>
              <w:ind w:left="567"/>
              <w:rPr>
                <w:rFonts w:eastAsia="Times New Roman" w:cs="Times New Roman"/>
                <w:szCs w:val="24"/>
                <w:lang w:eastAsia="en-AU"/>
              </w:rPr>
            </w:pPr>
            <w:proofErr w:type="gramStart"/>
            <w:r w:rsidRPr="00746AAF">
              <w:rPr>
                <w:rFonts w:eastAsia="Times New Roman" w:cs="Times New Roman"/>
                <w:bCs/>
                <w:szCs w:val="24"/>
                <w:lang w:eastAsia="en-AU"/>
              </w:rPr>
              <w:t>In particular, this</w:t>
            </w:r>
            <w:proofErr w:type="gramEnd"/>
            <w:r w:rsidRPr="00746AAF">
              <w:rPr>
                <w:rFonts w:eastAsia="Times New Roman" w:cs="Times New Roman"/>
                <w:bCs/>
                <w:szCs w:val="24"/>
                <w:lang w:eastAsia="en-AU"/>
              </w:rPr>
              <w:t xml:space="preserve"> should include practical options to address stigma, discrimination, microaggressions, pathologisation, abuse, and other exclusions impacting access to quality care and support. </w:t>
            </w:r>
          </w:p>
          <w:p w14:paraId="5C2D4CA2" w14:textId="2CBD88ED" w:rsidR="003E1191" w:rsidRPr="00746AAF" w:rsidRDefault="003E1191" w:rsidP="00234057">
            <w:pPr>
              <w:spacing w:before="120" w:after="120"/>
              <w:ind w:left="567"/>
              <w:rPr>
                <w:rFonts w:eastAsia="Times New Roman" w:cs="Times New Roman"/>
                <w:szCs w:val="24"/>
                <w:lang w:eastAsia="en-AU"/>
              </w:rPr>
            </w:pPr>
            <w:r>
              <w:t xml:space="preserve">See Options 21–23 regarding primary prevention initiatives. </w:t>
            </w:r>
          </w:p>
        </w:tc>
      </w:tr>
    </w:tbl>
    <w:p w14:paraId="7FB75C78" w14:textId="4FD8D59D" w:rsidR="00746AAF" w:rsidRPr="00746AAF" w:rsidRDefault="00746AAF" w:rsidP="00DF32BE">
      <w:pPr>
        <w:pStyle w:val="Heading3"/>
      </w:pPr>
      <w:bookmarkStart w:id="138" w:name="_Toc149670637"/>
      <w:bookmarkStart w:id="139" w:name="_Toc153899543"/>
      <w:r w:rsidRPr="00746AAF">
        <w:t>3]</w:t>
      </w:r>
      <w:r w:rsidRPr="00746AAF">
        <w:tab/>
        <w:t>Expand LGBTQ+ specific service offerings</w:t>
      </w:r>
      <w:bookmarkEnd w:id="138"/>
      <w:bookmarkEnd w:id="139"/>
      <w:r w:rsidRPr="00746AAF">
        <w:t xml:space="preserve"> </w:t>
      </w:r>
    </w:p>
    <w:p w14:paraId="38635E81" w14:textId="517454F0"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The research evidence suggests that while LGBTQ+</w:t>
      </w:r>
      <w:r w:rsidR="00746F44">
        <w:rPr>
          <w:rFonts w:eastAsia="Times New Roman" w:cs="Times New Roman"/>
          <w:szCs w:val="24"/>
          <w:lang w:eastAsia="en-AU"/>
        </w:rPr>
        <w:t xml:space="preserve"> </w:t>
      </w:r>
      <w:r w:rsidRPr="00746AAF">
        <w:rPr>
          <w:rFonts w:eastAsia="Times New Roman" w:cs="Times New Roman"/>
          <w:szCs w:val="24"/>
          <w:lang w:eastAsia="en-AU"/>
        </w:rPr>
        <w:t>specific services can reduce barriers to accessing care and support, they are not widely or consistently available across Australia.</w:t>
      </w:r>
      <w:r w:rsidR="0096746F">
        <w:rPr>
          <w:rFonts w:eastAsia="Times New Roman" w:cs="Times New Roman"/>
          <w:szCs w:val="24"/>
          <w:vertAlign w:val="superscript"/>
          <w:lang w:eastAsia="en-AU"/>
        </w:rPr>
        <w:t xml:space="preserve"> </w:t>
      </w:r>
      <w:r w:rsidR="0096746F" w:rsidRPr="00746AAF">
        <w:rPr>
          <w:rFonts w:eastAsia="Times New Roman" w:cs="Times New Roman"/>
          <w:szCs w:val="24"/>
          <w:lang w:eastAsia="en-AU"/>
        </w:rPr>
        <w:t xml:space="preserve"> </w:t>
      </w:r>
      <w:r w:rsidRPr="00746AAF">
        <w:rPr>
          <w:rFonts w:eastAsia="Times New Roman" w:cs="Times New Roman"/>
          <w:szCs w:val="24"/>
          <w:lang w:eastAsia="en-AU"/>
        </w:rPr>
        <w:t>For example, the only nationwide options identified were online and telephone services. While these modes were found to have merits, they are not accessible to</w:t>
      </w:r>
      <w:r w:rsidR="001F21C1">
        <w:rPr>
          <w:rFonts w:eastAsia="Times New Roman" w:cs="Times New Roman"/>
          <w:szCs w:val="24"/>
          <w:lang w:eastAsia="en-AU"/>
        </w:rPr>
        <w:t>,</w:t>
      </w:r>
      <w:r w:rsidRPr="00746AAF">
        <w:rPr>
          <w:rFonts w:eastAsia="Times New Roman" w:cs="Times New Roman"/>
          <w:szCs w:val="24"/>
          <w:lang w:eastAsia="en-AU"/>
        </w:rPr>
        <w:t xml:space="preserve"> or accessed by</w:t>
      </w:r>
      <w:r w:rsidR="001F21C1">
        <w:rPr>
          <w:rFonts w:eastAsia="Times New Roman" w:cs="Times New Roman"/>
          <w:szCs w:val="24"/>
          <w:lang w:eastAsia="en-AU"/>
        </w:rPr>
        <w:t>,</w:t>
      </w:r>
      <w:r w:rsidRPr="00746AAF">
        <w:rPr>
          <w:rFonts w:eastAsia="Times New Roman" w:cs="Times New Roman"/>
          <w:szCs w:val="24"/>
          <w:lang w:eastAsia="en-AU"/>
        </w:rPr>
        <w:t xml:space="preserve"> all potential users within the LGBTQ+ community. </w:t>
      </w:r>
    </w:p>
    <w:p w14:paraId="572D5EE4" w14:textId="6E407417"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Further, the research found that some LGBTQ+</w:t>
      </w:r>
      <w:r w:rsidR="00AF7DF4">
        <w:rPr>
          <w:rFonts w:eastAsia="Times New Roman" w:cs="Times New Roman"/>
          <w:szCs w:val="24"/>
          <w:lang w:eastAsia="en-AU"/>
        </w:rPr>
        <w:t xml:space="preserve"> </w:t>
      </w:r>
      <w:r w:rsidRPr="00746AAF">
        <w:rPr>
          <w:rFonts w:eastAsia="Times New Roman" w:cs="Times New Roman"/>
          <w:szCs w:val="24"/>
          <w:lang w:eastAsia="en-AU"/>
        </w:rPr>
        <w:t xml:space="preserve">specific service offerings are not equipped to support people with severe or life-interrupting mental health challenges and suicidality, or to meet the full diversity of LGBTQ+ sub-populations. In addition, research highlighted that members of the LGBTQ+ community find some services impersonal and difficult to </w:t>
      </w:r>
      <w:proofErr w:type="gramStart"/>
      <w:r w:rsidRPr="00746AAF">
        <w:rPr>
          <w:rFonts w:eastAsia="Times New Roman" w:cs="Times New Roman"/>
          <w:szCs w:val="24"/>
          <w:lang w:eastAsia="en-AU"/>
        </w:rPr>
        <w:t>use, and</w:t>
      </w:r>
      <w:proofErr w:type="gramEnd"/>
      <w:r w:rsidRPr="00746AAF">
        <w:rPr>
          <w:rFonts w:eastAsia="Times New Roman" w:cs="Times New Roman"/>
          <w:szCs w:val="24"/>
          <w:lang w:eastAsia="en-AU"/>
        </w:rPr>
        <w:t xml:space="preserve"> lacking in continuity of care options.</w:t>
      </w:r>
      <w:r w:rsidRPr="00746AAF">
        <w:rPr>
          <w:rFonts w:eastAsia="Times New Roman" w:cs="Times New Roman"/>
          <w:szCs w:val="24"/>
          <w:vertAlign w:val="superscript"/>
          <w:lang w:eastAsia="en-AU"/>
        </w:rPr>
        <w:footnoteReference w:id="310"/>
      </w:r>
      <w:r w:rsidRPr="00746AAF">
        <w:rPr>
          <w:rFonts w:eastAsia="Times New Roman" w:cs="Times New Roman"/>
          <w:szCs w:val="24"/>
          <w:vertAlign w:val="superscript"/>
          <w:lang w:eastAsia="en-AU"/>
        </w:rPr>
        <w:t xml:space="preserve">  </w:t>
      </w:r>
    </w:p>
    <w:p w14:paraId="029E3D7A" w14:textId="753550E3"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lastRenderedPageBreak/>
        <w:t xml:space="preserve">Drawing on these findings, and research interpretations from the Rainbow Embassy, the UTS-led researchers identified </w:t>
      </w:r>
      <w:r w:rsidRPr="00746AAF">
        <w:rPr>
          <w:rFonts w:eastAsia="Times New Roman" w:cs="Times New Roman"/>
          <w:bCs/>
          <w:szCs w:val="24"/>
          <w:lang w:eastAsia="en-AU"/>
        </w:rPr>
        <w:t>opportunities to expand the LGBTQ+</w:t>
      </w:r>
      <w:r w:rsidR="00746F44">
        <w:rPr>
          <w:rFonts w:eastAsia="Times New Roman" w:cs="Times New Roman"/>
          <w:bCs/>
          <w:szCs w:val="24"/>
          <w:lang w:eastAsia="en-AU"/>
        </w:rPr>
        <w:t xml:space="preserve"> </w:t>
      </w:r>
      <w:r w:rsidRPr="00746AAF">
        <w:rPr>
          <w:rFonts w:eastAsia="Times New Roman" w:cs="Times New Roman"/>
          <w:bCs/>
          <w:szCs w:val="24"/>
          <w:lang w:eastAsia="en-AU"/>
        </w:rPr>
        <w:t xml:space="preserve">specific service offerings </w:t>
      </w:r>
      <w:r w:rsidR="00B06353">
        <w:rPr>
          <w:rFonts w:eastAsia="Times New Roman" w:cs="Times New Roman"/>
          <w:bCs/>
          <w:szCs w:val="24"/>
          <w:lang w:eastAsia="en-AU"/>
        </w:rPr>
        <w:t xml:space="preserve">across life stages and intensity levels </w:t>
      </w:r>
      <w:r w:rsidRPr="00746AAF">
        <w:rPr>
          <w:rFonts w:eastAsia="Times New Roman" w:cs="Times New Roman"/>
          <w:bCs/>
          <w:szCs w:val="24"/>
          <w:lang w:eastAsia="en-AU"/>
        </w:rPr>
        <w:t xml:space="preserve">available </w:t>
      </w:r>
      <w:r w:rsidRPr="00746AAF">
        <w:rPr>
          <w:rFonts w:eastAsia="Times New Roman" w:cs="Times New Roman"/>
          <w:szCs w:val="24"/>
          <w:lang w:eastAsia="en-AU"/>
        </w:rPr>
        <w:t xml:space="preserve">across Australia. </w:t>
      </w:r>
    </w:p>
    <w:tbl>
      <w:tblPr>
        <w:tblStyle w:val="TableGrid"/>
        <w:tblW w:w="9214"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FE7FD"/>
        <w:tblLook w:val="04A0" w:firstRow="1" w:lastRow="0" w:firstColumn="1" w:lastColumn="0" w:noHBand="0" w:noVBand="1"/>
      </w:tblPr>
      <w:tblGrid>
        <w:gridCol w:w="9214"/>
      </w:tblGrid>
      <w:tr w:rsidR="00970575" w:rsidRPr="00746AAF" w14:paraId="636C9A02" w14:textId="77777777">
        <w:tc>
          <w:tcPr>
            <w:tcW w:w="9214" w:type="dxa"/>
            <w:shd w:val="clear" w:color="auto" w:fill="ECF1FE"/>
          </w:tcPr>
          <w:p w14:paraId="0BA93356" w14:textId="10F743B6" w:rsidR="00746AAF" w:rsidRPr="00F554FE" w:rsidRDefault="00746AAF" w:rsidP="00F554FE">
            <w:r w:rsidRPr="00F554FE">
              <w:t>Investigate funding a diversity of</w:t>
            </w:r>
            <w:r w:rsidR="000E365B" w:rsidRPr="00F554FE">
              <w:t xml:space="preserve"> additional</w:t>
            </w:r>
            <w:r w:rsidRPr="00F554FE">
              <w:t xml:space="preserve"> LGBTQ+ specific mental health service options, providers</w:t>
            </w:r>
            <w:r w:rsidR="001F21C1" w:rsidRPr="00F554FE">
              <w:t>,</w:t>
            </w:r>
            <w:r w:rsidRPr="00F554FE">
              <w:t xml:space="preserve"> and models designed to deliver quality outcomes, including those specifically addressing unmet needs </w:t>
            </w:r>
            <w:r w:rsidR="001F21C1" w:rsidRPr="00F554FE">
              <w:t>in</w:t>
            </w:r>
            <w:r w:rsidRPr="00F554FE">
              <w:t xml:space="preserve"> respect </w:t>
            </w:r>
            <w:r w:rsidR="007A037D" w:rsidRPr="00F554FE">
              <w:t>to:</w:t>
            </w:r>
          </w:p>
          <w:p w14:paraId="75231EB1" w14:textId="7CCFDDCD" w:rsidR="00746AAF" w:rsidRPr="007A0443" w:rsidRDefault="00746AAF" w:rsidP="007A0443">
            <w:pPr>
              <w:pStyle w:val="Tablelista"/>
            </w:pPr>
            <w:r w:rsidRPr="007A0443">
              <w:t>Supporting severe and life-interrupting mental distress and suicidality for specific sub-populations of the LGBTQ+ community</w:t>
            </w:r>
          </w:p>
          <w:p w14:paraId="5F5D62D4" w14:textId="77777777" w:rsidR="00746AAF" w:rsidRPr="007A0443" w:rsidRDefault="00746AAF" w:rsidP="007A0443">
            <w:pPr>
              <w:pStyle w:val="Tablelista"/>
            </w:pPr>
            <w:r w:rsidRPr="007A0443">
              <w:t>Continuum of care and recovery pathways</w:t>
            </w:r>
          </w:p>
          <w:p w14:paraId="1CA5375C" w14:textId="77777777" w:rsidR="00746AAF" w:rsidRPr="007A0443" w:rsidRDefault="00746AAF" w:rsidP="007A0443">
            <w:pPr>
              <w:pStyle w:val="Tablelista"/>
            </w:pPr>
            <w:r w:rsidRPr="007A0443">
              <w:t xml:space="preserve">Supporting greater user choice </w:t>
            </w:r>
          </w:p>
          <w:p w14:paraId="09497DD2" w14:textId="5D9D56CF" w:rsidR="00746AAF" w:rsidRPr="00746AAF" w:rsidRDefault="00746AAF" w:rsidP="007A0443">
            <w:pPr>
              <w:pStyle w:val="Tablelista"/>
              <w:rPr>
                <w:b/>
                <w:color w:val="2A5EF2"/>
              </w:rPr>
            </w:pPr>
            <w:r w:rsidRPr="007A0443">
              <w:t>Improved access in general, not unduly restricted by an individual’s specific mental health need, geography, age, income, or personal capabilities</w:t>
            </w:r>
          </w:p>
        </w:tc>
      </w:tr>
      <w:tr w:rsidR="00970575" w:rsidRPr="00746AAF" w14:paraId="4FEF319F" w14:textId="77777777">
        <w:tc>
          <w:tcPr>
            <w:tcW w:w="9214" w:type="dxa"/>
            <w:shd w:val="clear" w:color="auto" w:fill="ECF1FE"/>
          </w:tcPr>
          <w:p w14:paraId="585D2BD2" w14:textId="566AB562" w:rsidR="00746AAF" w:rsidRPr="00F554FE" w:rsidRDefault="00746AAF" w:rsidP="00F554FE">
            <w:r w:rsidRPr="00F554FE">
              <w:t>Commit resources to train</w:t>
            </w:r>
            <w:r w:rsidR="00986BA2" w:rsidRPr="00F554FE">
              <w:t>,</w:t>
            </w:r>
            <w:r w:rsidRPr="00F554FE">
              <w:t xml:space="preserve"> recruit </w:t>
            </w:r>
            <w:r w:rsidR="00986BA2" w:rsidRPr="00F554FE">
              <w:t xml:space="preserve">and retain </w:t>
            </w:r>
            <w:r w:rsidRPr="00F554FE">
              <w:t xml:space="preserve">staff in LGBTQ+ specific services to optimally manage the spectrum of mental health care needs. </w:t>
            </w:r>
          </w:p>
          <w:p w14:paraId="0967031D" w14:textId="0B939E35" w:rsidR="00746AAF" w:rsidRPr="008548CA" w:rsidRDefault="00746AAF" w:rsidP="008548CA">
            <w:r w:rsidRPr="008548CA">
              <w:t xml:space="preserve">The research indicates that LGBTQ+ specific services often lack the training and resources to adequately respond to suicidality and severe and life-interrupting mental health challenges, co-occurring substance use issues, and other intersectional issues. </w:t>
            </w:r>
          </w:p>
        </w:tc>
      </w:tr>
      <w:tr w:rsidR="00970575" w:rsidRPr="00746AAF" w14:paraId="3BCD5A33" w14:textId="77777777">
        <w:tc>
          <w:tcPr>
            <w:tcW w:w="9214" w:type="dxa"/>
            <w:shd w:val="clear" w:color="auto" w:fill="ECF1FE"/>
          </w:tcPr>
          <w:p w14:paraId="264F828C" w14:textId="06C28AB3" w:rsidR="00746AAF" w:rsidRPr="00F554FE" w:rsidRDefault="00746AAF" w:rsidP="00F554FE">
            <w:r w:rsidRPr="00F554FE">
              <w:t>Establish a mechanism for First Nations peoples and organisations to oversee the design, development</w:t>
            </w:r>
            <w:r w:rsidR="001F21C1" w:rsidRPr="00F554FE">
              <w:t>,</w:t>
            </w:r>
            <w:r w:rsidRPr="00F554FE">
              <w:t xml:space="preserve"> and implementation of First Nations LGBTQ</w:t>
            </w:r>
            <w:r w:rsidR="000E365B" w:rsidRPr="00F554FE">
              <w:t>+</w:t>
            </w:r>
            <w:r w:rsidRPr="00F554FE">
              <w:t xml:space="preserve">SB specific mental health and suicide prevention services. </w:t>
            </w:r>
          </w:p>
          <w:p w14:paraId="534FE9E8" w14:textId="7701199F" w:rsidR="00746AAF" w:rsidRPr="008548CA" w:rsidRDefault="00746AAF" w:rsidP="008548CA">
            <w:r w:rsidRPr="008548CA">
              <w:t>The evidence suggests that mainstream, LGBTQ+ specific, and First Nations health services, often fail to accommodate the intersectional experiences and needs of Aboriginal and Torres Strait Islander clients who are also LGBTQ</w:t>
            </w:r>
            <w:r w:rsidR="000E365B" w:rsidRPr="008548CA">
              <w:t>+</w:t>
            </w:r>
            <w:r w:rsidRPr="008548CA">
              <w:t>SB.</w:t>
            </w:r>
            <w:r w:rsidRPr="008548CA">
              <w:footnoteReference w:id="311"/>
            </w:r>
            <w:r w:rsidRPr="008548CA">
              <w:t xml:space="preserve">  The provision of additional services, created by and for First Nations LGBTQ</w:t>
            </w:r>
            <w:r w:rsidR="000E365B" w:rsidRPr="008548CA">
              <w:t>+</w:t>
            </w:r>
            <w:r w:rsidRPr="008548CA">
              <w:t>SB people with lived experience, is essential to address this significant service gap.</w:t>
            </w:r>
          </w:p>
        </w:tc>
      </w:tr>
      <w:tr w:rsidR="00970575" w:rsidRPr="00746AAF" w14:paraId="1BFD41A9" w14:textId="77777777">
        <w:tc>
          <w:tcPr>
            <w:tcW w:w="9214" w:type="dxa"/>
            <w:shd w:val="clear" w:color="auto" w:fill="ECF1FE"/>
          </w:tcPr>
          <w:p w14:paraId="500A261A" w14:textId="35C88CB0" w:rsidR="00746AAF" w:rsidRPr="00F554FE" w:rsidRDefault="00746AAF" w:rsidP="00F554FE">
            <w:r w:rsidRPr="00F554FE">
              <w:t xml:space="preserve">Expand evidence-based services for </w:t>
            </w:r>
            <w:r w:rsidR="001F21C1" w:rsidRPr="00F554FE">
              <w:t xml:space="preserve">young </w:t>
            </w:r>
            <w:r w:rsidRPr="00F554FE">
              <w:t xml:space="preserve">LGBTQ+ people within and outside of mental health services, including mental health early intervention and prevention options in schools and other community settings. </w:t>
            </w:r>
          </w:p>
          <w:p w14:paraId="3064898A" w14:textId="1DF6CEA7" w:rsidR="00746AAF" w:rsidRPr="008548CA" w:rsidRDefault="00746AAF" w:rsidP="008548CA">
            <w:r w:rsidRPr="008548CA">
              <w:t xml:space="preserve">The research indicates that </w:t>
            </w:r>
            <w:r w:rsidR="001F21C1" w:rsidRPr="008548CA">
              <w:t xml:space="preserve">young </w:t>
            </w:r>
            <w:r w:rsidRPr="008548CA">
              <w:t>LGBTQ+ people benefit from school counselling, family-based approaches, and online mental health services provided by well-trained, well-informed, and respectful staff. However, evidence also indicates that youth can also experience stigma and exclusion from school counsellors, and telephone crisis helpline staff, with online services found to be at times impersonal, complex, and with limited follow up.</w:t>
            </w:r>
            <w:r w:rsidR="0096746F" w:rsidRPr="008548CA">
              <w:t xml:space="preserve"> </w:t>
            </w:r>
            <w:r w:rsidRPr="008548CA">
              <w:t xml:space="preserve">This suggests a need to develop a clear strategy with LGBTQ+ youth with a lived experience to ensure easy access to affirming mental support services through a variety of </w:t>
            </w:r>
            <w:r w:rsidRPr="008548CA">
              <w:lastRenderedPageBreak/>
              <w:t xml:space="preserve">different modes, with online services as an adjunct to face-to-face service provision rather than a mainstay of care. </w:t>
            </w:r>
          </w:p>
        </w:tc>
      </w:tr>
      <w:tr w:rsidR="00970575" w:rsidRPr="00746AAF" w14:paraId="7179F5D8" w14:textId="77777777">
        <w:tc>
          <w:tcPr>
            <w:tcW w:w="9214" w:type="dxa"/>
            <w:shd w:val="clear" w:color="auto" w:fill="ECF1FE"/>
          </w:tcPr>
          <w:p w14:paraId="03C34B41" w14:textId="36317B9E" w:rsidR="005066F3" w:rsidRPr="00F554FE" w:rsidRDefault="00746AAF" w:rsidP="00F554FE">
            <w:r w:rsidRPr="00F554FE">
              <w:lastRenderedPageBreak/>
              <w:t xml:space="preserve">Action ways to better accommodate intersectional </w:t>
            </w:r>
            <w:r w:rsidR="00986BA2" w:rsidRPr="00F554FE">
              <w:t xml:space="preserve">and sub-group </w:t>
            </w:r>
            <w:r w:rsidRPr="00F554FE">
              <w:t>needs within LGBTQ+</w:t>
            </w:r>
            <w:r w:rsidR="00AF7DF4" w:rsidRPr="00F554FE">
              <w:t xml:space="preserve"> specific</w:t>
            </w:r>
            <w:r w:rsidRPr="00F554FE">
              <w:t xml:space="preserve"> services, including stronger pathways to accessing quality mental health care and support for diverse populations and for those with severe mental health distress and suicidality, or co-occurring health issues.</w:t>
            </w:r>
          </w:p>
          <w:p w14:paraId="10C85BE4" w14:textId="03CC99DD" w:rsidR="00746AAF" w:rsidRPr="008548CA" w:rsidRDefault="00746AAF" w:rsidP="008548CA">
            <w:r w:rsidRPr="008548CA">
              <w:t>Further research and investment are required to ensure that LGBTQ+</w:t>
            </w:r>
            <w:r w:rsidR="00AF7DF4" w:rsidRPr="008548CA">
              <w:t xml:space="preserve"> </w:t>
            </w:r>
            <w:r w:rsidRPr="008548CA">
              <w:t xml:space="preserve">specific services can address the intersecting needs, experiences, and preferences of diverse LGBTQ+ communities. While some social programs addressing intersectional needs were identified through the research, these were limited. </w:t>
            </w:r>
          </w:p>
        </w:tc>
      </w:tr>
    </w:tbl>
    <w:p w14:paraId="6ED94C43" w14:textId="00832239" w:rsidR="00746AAF" w:rsidRPr="00746AAF" w:rsidRDefault="00746AAF" w:rsidP="002A7B58">
      <w:pPr>
        <w:pStyle w:val="Heading3"/>
        <w:ind w:left="720" w:hanging="720"/>
      </w:pPr>
      <w:bookmarkStart w:id="140" w:name="_Toc149670638"/>
      <w:bookmarkStart w:id="141" w:name="_Toc153899544"/>
      <w:r w:rsidRPr="00746AAF">
        <w:t>4]</w:t>
      </w:r>
      <w:r w:rsidRPr="00746AAF">
        <w:tab/>
        <w:t xml:space="preserve">Address </w:t>
      </w:r>
      <w:r w:rsidRPr="002A7B58">
        <w:t>stigmatisation</w:t>
      </w:r>
      <w:r w:rsidR="00B90AD1">
        <w:t xml:space="preserve">, </w:t>
      </w:r>
      <w:r w:rsidR="00F55E8B" w:rsidRPr="00B90AD1">
        <w:t>discrimi</w:t>
      </w:r>
      <w:r w:rsidR="00F55E8B">
        <w:t>n</w:t>
      </w:r>
      <w:r w:rsidR="00F55E8B" w:rsidRPr="00B90AD1">
        <w:t>ation,</w:t>
      </w:r>
      <w:r w:rsidR="00B90AD1" w:rsidRPr="00B90AD1">
        <w:t xml:space="preserve"> and capabilities </w:t>
      </w:r>
      <w:r w:rsidR="00F546D3">
        <w:t>with</w:t>
      </w:r>
      <w:r w:rsidR="006F367F">
        <w:t>i</w:t>
      </w:r>
      <w:r w:rsidRPr="00746AAF">
        <w:t>n mainstream health services</w:t>
      </w:r>
      <w:bookmarkEnd w:id="140"/>
      <w:bookmarkEnd w:id="141"/>
    </w:p>
    <w:p w14:paraId="214F9CA7" w14:textId="5021A860"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This research highlights that stigmatisation, pathologisation, and hetero-normativity in mainstream</w:t>
      </w:r>
      <w:r w:rsidR="001F21C1">
        <w:rPr>
          <w:rFonts w:eastAsia="Times New Roman" w:cs="Times New Roman"/>
          <w:szCs w:val="24"/>
          <w:lang w:eastAsia="en-AU"/>
        </w:rPr>
        <w:t>,</w:t>
      </w:r>
      <w:r w:rsidRPr="00746AAF">
        <w:rPr>
          <w:rFonts w:eastAsia="Times New Roman" w:cs="Times New Roman"/>
          <w:szCs w:val="24"/>
          <w:lang w:eastAsia="en-AU"/>
        </w:rPr>
        <w:t xml:space="preserve"> </w:t>
      </w:r>
      <w:r w:rsidR="00C40980">
        <w:rPr>
          <w:rFonts w:eastAsia="Times New Roman" w:cs="Times New Roman"/>
          <w:szCs w:val="24"/>
          <w:lang w:eastAsia="en-AU"/>
        </w:rPr>
        <w:t xml:space="preserve">and some faith-based </w:t>
      </w:r>
      <w:r w:rsidRPr="00746AAF">
        <w:rPr>
          <w:rFonts w:eastAsia="Times New Roman" w:cs="Times New Roman"/>
          <w:szCs w:val="24"/>
          <w:lang w:eastAsia="en-AU"/>
        </w:rPr>
        <w:t>health and wellbeing services</w:t>
      </w:r>
      <w:r w:rsidR="001F21C1">
        <w:rPr>
          <w:rFonts w:eastAsia="Times New Roman" w:cs="Times New Roman"/>
          <w:szCs w:val="24"/>
          <w:lang w:eastAsia="en-AU"/>
        </w:rPr>
        <w:t>,</w:t>
      </w:r>
      <w:r w:rsidRPr="00746AAF">
        <w:rPr>
          <w:rFonts w:eastAsia="Times New Roman" w:cs="Times New Roman"/>
          <w:szCs w:val="24"/>
          <w:lang w:eastAsia="en-AU"/>
        </w:rPr>
        <w:t xml:space="preserve"> pose significant barriers which can discourage LGBTQ+ people from accessing health services, undermine the quality of the services they receive, and contribute to further harm and mental distress.</w:t>
      </w:r>
      <w:r w:rsidR="0096746F" w:rsidRPr="00746AAF">
        <w:rPr>
          <w:rFonts w:eastAsia="Times New Roman" w:cs="Times New Roman"/>
          <w:szCs w:val="24"/>
          <w:lang w:eastAsia="en-AU"/>
        </w:rPr>
        <w:t xml:space="preserve"> </w:t>
      </w:r>
      <w:r w:rsidRPr="00746AAF">
        <w:rPr>
          <w:rFonts w:eastAsia="Times New Roman" w:cs="Times New Roman"/>
          <w:szCs w:val="24"/>
          <w:lang w:eastAsia="en-AU"/>
        </w:rPr>
        <w:t xml:space="preserve">The SLR found that in-patient and emergency services were </w:t>
      </w:r>
      <w:proofErr w:type="gramStart"/>
      <w:r w:rsidRPr="00746AAF">
        <w:rPr>
          <w:rFonts w:eastAsia="Times New Roman" w:cs="Times New Roman"/>
          <w:szCs w:val="24"/>
          <w:lang w:eastAsia="en-AU"/>
        </w:rPr>
        <w:t>most commonly reported</w:t>
      </w:r>
      <w:proofErr w:type="gramEnd"/>
      <w:r w:rsidRPr="00746AAF">
        <w:rPr>
          <w:rFonts w:eastAsia="Times New Roman" w:cs="Times New Roman"/>
          <w:szCs w:val="24"/>
          <w:lang w:eastAsia="en-AU"/>
        </w:rPr>
        <w:t xml:space="preserve"> to expose LGBTQ+ people to these issues.</w:t>
      </w:r>
    </w:p>
    <w:p w14:paraId="06398551" w14:textId="4514401D" w:rsidR="00746AAF" w:rsidRPr="00746AAF" w:rsidRDefault="00746AAF" w:rsidP="00746AAF">
      <w:pPr>
        <w:spacing w:before="120" w:after="120"/>
        <w:rPr>
          <w:rFonts w:eastAsia="Times New Roman" w:cs="Times New Roman"/>
          <w:szCs w:val="24"/>
          <w:lang w:eastAsia="en-AU"/>
        </w:rPr>
      </w:pPr>
      <w:r w:rsidRPr="00F62FE3">
        <w:rPr>
          <w:rFonts w:eastAsia="Times New Roman" w:cs="Times New Roman"/>
          <w:szCs w:val="24"/>
          <w:lang w:eastAsia="en-AU"/>
        </w:rPr>
        <w:t xml:space="preserve">The UTS-led researchers understand that numerous states and territories are already undertaking actions to reduce these issues in health care services (see Section </w:t>
      </w:r>
      <w:r w:rsidR="00F23899" w:rsidRPr="00F62FE3">
        <w:rPr>
          <w:rFonts w:eastAsia="Times New Roman" w:cs="Times New Roman"/>
          <w:szCs w:val="24"/>
          <w:lang w:eastAsia="en-AU"/>
        </w:rPr>
        <w:t>3</w:t>
      </w:r>
      <w:r w:rsidRPr="00F62FE3">
        <w:rPr>
          <w:rFonts w:eastAsia="Times New Roman" w:cs="Times New Roman"/>
          <w:szCs w:val="24"/>
          <w:lang w:eastAsia="en-AU"/>
        </w:rPr>
        <w:t>.3).</w:t>
      </w:r>
      <w:r w:rsidRPr="00746AAF">
        <w:rPr>
          <w:rFonts w:eastAsia="Times New Roman" w:cs="Times New Roman"/>
          <w:szCs w:val="24"/>
          <w:lang w:eastAsia="en-AU"/>
        </w:rPr>
        <w:t xml:space="preserve"> In addition, organisations such as </w:t>
      </w:r>
      <w:hyperlink r:id="rId103" w:anchor=":~:text=The%20Rainbow%20Tick%20is%20a,to%20build%20lasting%20LGBTIQ%20inclusion.">
        <w:r w:rsidRPr="00746AAF">
          <w:rPr>
            <w:rFonts w:eastAsia="Times New Roman" w:cs="Times New Roman"/>
            <w:color w:val="0F4BEB" w:themeColor="accent1"/>
            <w:szCs w:val="24"/>
            <w:u w:val="single"/>
            <w:lang w:eastAsia="en-AU"/>
          </w:rPr>
          <w:t>Rainbow Health Australia</w:t>
        </w:r>
      </w:hyperlink>
      <w:r w:rsidRPr="00746AAF">
        <w:rPr>
          <w:rFonts w:eastAsia="Times New Roman" w:cs="Times New Roman"/>
          <w:szCs w:val="24"/>
          <w:lang w:eastAsia="en-AU"/>
        </w:rPr>
        <w:t xml:space="preserve"> have developed frameworks and assessment tools – among other resources and training programs – to support services to become safe, welcoming</w:t>
      </w:r>
      <w:r w:rsidR="001F21C1">
        <w:rPr>
          <w:rFonts w:eastAsia="Times New Roman" w:cs="Times New Roman"/>
          <w:szCs w:val="24"/>
          <w:lang w:eastAsia="en-AU"/>
        </w:rPr>
        <w:t>,</w:t>
      </w:r>
      <w:r w:rsidRPr="00746AAF">
        <w:rPr>
          <w:rFonts w:eastAsia="Times New Roman" w:cs="Times New Roman"/>
          <w:szCs w:val="24"/>
          <w:lang w:eastAsia="en-AU"/>
        </w:rPr>
        <w:t xml:space="preserve"> and inclusive for LGBTQ+ people and staff. </w:t>
      </w:r>
    </w:p>
    <w:p w14:paraId="67BC3550" w14:textId="77777777" w:rsidR="00746AAF" w:rsidRPr="00746AAF" w:rsidRDefault="00746AAF" w:rsidP="00746AAF">
      <w:pPr>
        <w:spacing w:before="120" w:after="120"/>
        <w:rPr>
          <w:rFonts w:eastAsia="Times New Roman" w:cs="Times New Roman"/>
          <w:szCs w:val="24"/>
          <w:lang w:eastAsia="en-AU"/>
        </w:rPr>
      </w:pPr>
      <w:r w:rsidRPr="00746AAF">
        <w:rPr>
          <w:rFonts w:eastAsia="Times New Roman" w:cs="Times New Roman"/>
          <w:szCs w:val="24"/>
          <w:lang w:eastAsia="en-AU"/>
        </w:rPr>
        <w:t xml:space="preserve">While training was identified as a major area for further action, the evidence also suggests that training alone is not sufficient to change practice, and other initiatives will need to be implemented to support education. This includes, but is not limited to: </w:t>
      </w:r>
    </w:p>
    <w:p w14:paraId="3A562371" w14:textId="7D7ADC33" w:rsidR="00746AAF" w:rsidRPr="007A0443" w:rsidRDefault="00422CED" w:rsidP="007A0443">
      <w:pPr>
        <w:pStyle w:val="ListBullet0"/>
      </w:pPr>
      <w:r>
        <w:t>Z</w:t>
      </w:r>
      <w:r w:rsidR="00746AAF" w:rsidRPr="00746AAF">
        <w:t xml:space="preserve">ero </w:t>
      </w:r>
      <w:r w:rsidR="00746AAF" w:rsidRPr="007A0443">
        <w:t>tolerance for stigmatising, pathologizing, or exclusionary practices</w:t>
      </w:r>
    </w:p>
    <w:p w14:paraId="159A76AD" w14:textId="36C009A6" w:rsidR="00746AAF" w:rsidRPr="007A0443" w:rsidRDefault="001F21C1" w:rsidP="007A0443">
      <w:pPr>
        <w:pStyle w:val="ListBullet0"/>
      </w:pPr>
      <w:r w:rsidRPr="007A0443">
        <w:t>B</w:t>
      </w:r>
      <w:r w:rsidR="00746AAF" w:rsidRPr="007A0443">
        <w:t>enchmarks and accountability for affirming and culturally safe practice, including performance management for non-attainment at all levels of organisations</w:t>
      </w:r>
    </w:p>
    <w:p w14:paraId="61C78F68" w14:textId="07574392" w:rsidR="00746AAF" w:rsidRPr="007A0443" w:rsidRDefault="001F21C1" w:rsidP="007A0443">
      <w:pPr>
        <w:pStyle w:val="ListBullet0"/>
      </w:pPr>
      <w:r w:rsidRPr="007A0443">
        <w:t>C</w:t>
      </w:r>
      <w:r w:rsidR="00746AAF" w:rsidRPr="007A0443">
        <w:t>ommunity-of-practice initiatives to foster best practice</w:t>
      </w:r>
    </w:p>
    <w:p w14:paraId="3FD56A57" w14:textId="15BFB1CD" w:rsidR="00746AAF" w:rsidRPr="00746AAF" w:rsidRDefault="001F21C1" w:rsidP="007A0443">
      <w:pPr>
        <w:pStyle w:val="ListBullet0"/>
      </w:pPr>
      <w:r w:rsidRPr="007A0443">
        <w:t>L</w:t>
      </w:r>
      <w:r w:rsidR="00746AAF" w:rsidRPr="007A0443">
        <w:t>eadership</w:t>
      </w:r>
      <w:r w:rsidR="00746AAF" w:rsidRPr="00746AAF">
        <w:t xml:space="preserve"> and mentoring strategies</w:t>
      </w:r>
      <w:r w:rsidR="00746AAF" w:rsidRPr="00746AAF">
        <w:rPr>
          <w:vertAlign w:val="superscript"/>
        </w:rPr>
        <w:footnoteReference w:id="312"/>
      </w:r>
    </w:p>
    <w:tbl>
      <w:tblPr>
        <w:tblStyle w:val="TableGrid"/>
        <w:tblW w:w="9214"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FE7FD"/>
        <w:tblLook w:val="04A0" w:firstRow="1" w:lastRow="0" w:firstColumn="1" w:lastColumn="0" w:noHBand="0" w:noVBand="1"/>
      </w:tblPr>
      <w:tblGrid>
        <w:gridCol w:w="9214"/>
      </w:tblGrid>
      <w:tr w:rsidR="00746AAF" w:rsidRPr="00746AAF" w14:paraId="328BF192" w14:textId="77777777">
        <w:tc>
          <w:tcPr>
            <w:tcW w:w="9214" w:type="dxa"/>
            <w:shd w:val="clear" w:color="auto" w:fill="ECF1FE"/>
          </w:tcPr>
          <w:p w14:paraId="795D521C" w14:textId="62F97CF0" w:rsidR="00746AAF" w:rsidRPr="00F554FE" w:rsidRDefault="00746AAF" w:rsidP="00F554FE">
            <w:r w:rsidRPr="00F554FE">
              <w:t>Build the capacity, skills</w:t>
            </w:r>
            <w:r w:rsidR="001F21C1" w:rsidRPr="00F554FE">
              <w:t>,</w:t>
            </w:r>
            <w:r w:rsidRPr="00F554FE">
              <w:t xml:space="preserve"> knowledge</w:t>
            </w:r>
            <w:r w:rsidR="001F21C1" w:rsidRPr="00F554FE">
              <w:t>,</w:t>
            </w:r>
            <w:r w:rsidRPr="00F554FE">
              <w:t xml:space="preserve"> and understanding of mainstream health staff </w:t>
            </w:r>
            <w:r w:rsidR="001F21C1" w:rsidRPr="00F554FE">
              <w:t>to</w:t>
            </w:r>
            <w:r w:rsidRPr="00F554FE">
              <w:t xml:space="preserve"> ensure the provision of affirming and </w:t>
            </w:r>
            <w:proofErr w:type="gramStart"/>
            <w:r w:rsidRPr="00F554FE">
              <w:t>culturally-safe</w:t>
            </w:r>
            <w:proofErr w:type="gramEnd"/>
            <w:r w:rsidRPr="00F554FE">
              <w:t xml:space="preserve"> practice for LGBTQ+ people experiencing mental health challenge or suicidality.  </w:t>
            </w:r>
          </w:p>
          <w:p w14:paraId="0C23F975" w14:textId="48D4B20D" w:rsidR="00746AAF" w:rsidRPr="008548CA" w:rsidRDefault="00746AAF" w:rsidP="008548CA">
            <w:r w:rsidRPr="008548CA">
              <w:lastRenderedPageBreak/>
              <w:t xml:space="preserve">Affirming and culturally safe care has been consistently identified as a requirement for ensuring services are safe, inclusive, and affirming. They have also been directly linked to reducing additional strain placed on LGBTQ+ individuals </w:t>
            </w:r>
            <w:r w:rsidR="002B3C35" w:rsidRPr="008548CA">
              <w:t>to</w:t>
            </w:r>
            <w:r w:rsidRPr="008548CA">
              <w:t xml:space="preserve"> educate those who are providing care to them.</w:t>
            </w:r>
            <w:r w:rsidRPr="008548CA">
              <w:footnoteReference w:id="313"/>
            </w:r>
            <w:r w:rsidRPr="008548CA">
              <w:t xml:space="preserve"> The SLR also identified that many providers and practitioners have expressed an appetite for capacity building in this area. </w:t>
            </w:r>
          </w:p>
          <w:p w14:paraId="5B25A597" w14:textId="2B7A9A57" w:rsidR="00746AAF" w:rsidRPr="008548CA" w:rsidRDefault="00746AAF" w:rsidP="008548CA">
            <w:r w:rsidRPr="008548CA">
              <w:t xml:space="preserve">There is also evidence that relatively non-intensive </w:t>
            </w:r>
            <w:r w:rsidR="001F21C1" w:rsidRPr="008548CA">
              <w:t xml:space="preserve">training </w:t>
            </w:r>
            <w:r w:rsidRPr="008548CA">
              <w:t>can have good outcomes. For example, purposefully developed eLearning for mental health practitioners has been demonstrated to increase knowledge, confidence</w:t>
            </w:r>
            <w:r w:rsidR="001F21C1" w:rsidRPr="008548CA">
              <w:t>,</w:t>
            </w:r>
            <w:r w:rsidRPr="008548CA">
              <w:t xml:space="preserve"> and comfort working with non-binary people.</w:t>
            </w:r>
            <w:r w:rsidRPr="008548CA">
              <w:footnoteReference w:id="314"/>
            </w:r>
            <w:r w:rsidRPr="008548CA">
              <w:t xml:space="preserve"> However, it is also critical to ensure that training materials are co-designed to communicate the diversity of needs and experiences encompassed under the umbrella of LGBTQ+, including intersectional experience. </w:t>
            </w:r>
          </w:p>
          <w:p w14:paraId="4E4E7283" w14:textId="5BE580E6" w:rsidR="00746AAF" w:rsidRPr="008548CA" w:rsidRDefault="00746AAF" w:rsidP="008548CA">
            <w:r w:rsidRPr="008548CA">
              <w:t xml:space="preserve">LGBTQ+ specific content should also be included in undergraduate curricula for mental health and other health professionals to improve knowledge, attitudes, comfort, and preparedness for working with LGBTQ+ people in health services. This should also include strategies to evaluate in collaboration with LGBTQ+ people to ensure that curricula </w:t>
            </w:r>
            <w:proofErr w:type="gramStart"/>
            <w:r w:rsidRPr="008548CA">
              <w:t>is</w:t>
            </w:r>
            <w:proofErr w:type="gramEnd"/>
            <w:r w:rsidRPr="008548CA">
              <w:t xml:space="preserve"> affirming, culturally safe, and does not further pathologise or stigmatise LGBTQ+ people.</w:t>
            </w:r>
          </w:p>
        </w:tc>
      </w:tr>
      <w:tr w:rsidR="00746AAF" w:rsidRPr="00746AAF" w14:paraId="761B6798" w14:textId="77777777">
        <w:tc>
          <w:tcPr>
            <w:tcW w:w="9214" w:type="dxa"/>
            <w:shd w:val="clear" w:color="auto" w:fill="ECF1FE"/>
          </w:tcPr>
          <w:p w14:paraId="3DBF29AF" w14:textId="2E148011" w:rsidR="00746AAF" w:rsidRPr="00F554FE" w:rsidRDefault="00746AAF" w:rsidP="00F554FE">
            <w:r w:rsidRPr="00F554FE">
              <w:lastRenderedPageBreak/>
              <w:t xml:space="preserve">Embed LGBTQ+ people with </w:t>
            </w:r>
            <w:r w:rsidR="00DF74C2" w:rsidRPr="00F554FE">
              <w:t xml:space="preserve">intersecting </w:t>
            </w:r>
            <w:r w:rsidRPr="00F554FE">
              <w:t>lived experience within health settings and provide meaningful opportunities for them to influence every stage of the service’s development, culture</w:t>
            </w:r>
            <w:r w:rsidR="001F21C1" w:rsidRPr="00F554FE">
              <w:t>,</w:t>
            </w:r>
            <w:r w:rsidRPr="00F554FE">
              <w:t xml:space="preserve"> and practices. </w:t>
            </w:r>
          </w:p>
          <w:p w14:paraId="69AEE887" w14:textId="6DF6AF2B" w:rsidR="00746AAF" w:rsidRPr="008548CA" w:rsidRDefault="00746AAF" w:rsidP="008548CA">
            <w:r w:rsidRPr="008548CA">
              <w:t xml:space="preserve">This approach aligns with the National Mental Health Commission’s </w:t>
            </w:r>
            <w:hyperlink r:id="rId104" w:history="1">
              <w:r w:rsidRPr="008548CA">
                <w:rPr>
                  <w:rStyle w:val="Hyperlink"/>
                </w:rPr>
                <w:t>Vision 2030</w:t>
              </w:r>
            </w:hyperlink>
            <w:r w:rsidRPr="008548CA">
              <w:t xml:space="preserve"> goal that “communities are the centre of identifying people’s needs, designing responses and delivering care”.</w:t>
            </w:r>
            <w:r w:rsidRPr="008548CA">
              <w:footnoteReference w:id="315"/>
            </w:r>
            <w:r w:rsidRPr="008548CA">
              <w:t xml:space="preserve"> Nonetheless, the SLR did not find evidence that services were co-designed. </w:t>
            </w:r>
          </w:p>
        </w:tc>
      </w:tr>
      <w:tr w:rsidR="00746AAF" w:rsidRPr="00746AAF" w14:paraId="033048E2" w14:textId="77777777">
        <w:tc>
          <w:tcPr>
            <w:tcW w:w="9214" w:type="dxa"/>
            <w:shd w:val="clear" w:color="auto" w:fill="ECF1FE"/>
          </w:tcPr>
          <w:p w14:paraId="14622948" w14:textId="7E826688" w:rsidR="00746AAF" w:rsidRPr="00F554FE" w:rsidRDefault="00746AAF" w:rsidP="00F554FE">
            <w:r w:rsidRPr="00F554FE">
              <w:t>Actively support LGBTQ+ people, and particularly those with</w:t>
            </w:r>
            <w:r w:rsidR="00DF74C2" w:rsidRPr="00F554FE">
              <w:t xml:space="preserve"> intersecting</w:t>
            </w:r>
            <w:r w:rsidRPr="00F554FE">
              <w:t xml:space="preserve"> lived experience, to work in health settings, and </w:t>
            </w:r>
            <w:r w:rsidR="001F21C1" w:rsidRPr="00F554FE">
              <w:t xml:space="preserve">to </w:t>
            </w:r>
            <w:r w:rsidRPr="00F554FE">
              <w:t xml:space="preserve">take up service provider roles at all levels of seniority. This should include, though not </w:t>
            </w:r>
            <w:r w:rsidR="001F21C1" w:rsidRPr="00F554FE">
              <w:t xml:space="preserve">be </w:t>
            </w:r>
            <w:r w:rsidRPr="00F554FE">
              <w:t>limited to</w:t>
            </w:r>
            <w:r w:rsidR="001F21C1" w:rsidRPr="00F554FE">
              <w:t>,</w:t>
            </w:r>
            <w:r w:rsidRPr="00F554FE">
              <w:t xml:space="preserve"> peer worker roles, lived experience advocacy</w:t>
            </w:r>
            <w:r w:rsidR="001F21C1" w:rsidRPr="00F554FE">
              <w:t>,</w:t>
            </w:r>
            <w:r w:rsidRPr="00F554FE">
              <w:t xml:space="preserve"> and researcher roles, as well as managerial roles. </w:t>
            </w:r>
          </w:p>
          <w:p w14:paraId="14D67AC3" w14:textId="282BC7E4" w:rsidR="00746AAF" w:rsidRPr="008548CA" w:rsidRDefault="00746AAF" w:rsidP="008548CA">
            <w:r w:rsidRPr="008548CA">
              <w:t xml:space="preserve">The provision of services by LGBTQ+ people, and LGBTQ+ people with </w:t>
            </w:r>
            <w:r w:rsidR="00610F28" w:rsidRPr="008548CA">
              <w:t>intersecting</w:t>
            </w:r>
            <w:r w:rsidRPr="008548CA">
              <w:t xml:space="preserve"> lived experience, can support a sense of inclusion and safety for service users. It is also particularly important to support workers and practitioners who represent intersectional experiences, such as LGBTQ+ people from CALD backgrounds.</w:t>
            </w:r>
          </w:p>
        </w:tc>
      </w:tr>
      <w:tr w:rsidR="00746AAF" w:rsidRPr="00746AAF" w14:paraId="1098FEDA" w14:textId="77777777">
        <w:tc>
          <w:tcPr>
            <w:tcW w:w="9214" w:type="dxa"/>
            <w:shd w:val="clear" w:color="auto" w:fill="ECF1FE"/>
          </w:tcPr>
          <w:p w14:paraId="6E68C8DC" w14:textId="397B9385" w:rsidR="00746AAF" w:rsidRPr="00F554FE" w:rsidRDefault="00746AAF" w:rsidP="00F554FE">
            <w:r w:rsidRPr="00F554FE">
              <w:lastRenderedPageBreak/>
              <w:t xml:space="preserve">Update and streamline processes and referral pathways to connect LGBTQ+ people with inclusive mainstream and LGBTQ+ specific mental health providers </w:t>
            </w:r>
            <w:r w:rsidR="00FB3BF0" w:rsidRPr="00F554FE">
              <w:t xml:space="preserve">that </w:t>
            </w:r>
            <w:proofErr w:type="gramStart"/>
            <w:r w:rsidR="00FB3BF0" w:rsidRPr="00F554FE">
              <w:t xml:space="preserve">are </w:t>
            </w:r>
            <w:r w:rsidRPr="00F554FE">
              <w:t>able to</w:t>
            </w:r>
            <w:proofErr w:type="gramEnd"/>
            <w:r w:rsidRPr="00F554FE">
              <w:t xml:space="preserve"> optimally support their recovery.</w:t>
            </w:r>
          </w:p>
          <w:p w14:paraId="44EE9A0F" w14:textId="3EFD5E67" w:rsidR="00746AAF" w:rsidRPr="00B85E1C" w:rsidRDefault="00746AAF" w:rsidP="00B85E1C">
            <w:r w:rsidRPr="00B85E1C">
              <w:t>Numerous SLR studies highlighted that the process of navigating to LGBTQ+ inclusive providers in Australia was complicated by the rigidity of mental health referral processes.</w:t>
            </w:r>
            <w:r w:rsidRPr="00B85E1C">
              <w:rPr>
                <w:vertAlign w:val="superscript"/>
              </w:rPr>
              <w:footnoteReference w:id="316"/>
            </w:r>
            <w:r w:rsidRPr="00B85E1C">
              <w:t xml:space="preserve"> While coordinated care is ideal, streamlined referral mechanisms are required in the interim.  </w:t>
            </w:r>
          </w:p>
        </w:tc>
      </w:tr>
      <w:tr w:rsidR="00746AAF" w:rsidRPr="00746AAF" w14:paraId="5C7E4263" w14:textId="77777777">
        <w:tc>
          <w:tcPr>
            <w:tcW w:w="9214" w:type="dxa"/>
            <w:shd w:val="clear" w:color="auto" w:fill="ECF1FE"/>
          </w:tcPr>
          <w:p w14:paraId="5875BD06" w14:textId="1171AA30" w:rsidR="00746AAF" w:rsidRPr="00F554FE" w:rsidRDefault="00746AAF" w:rsidP="00F554FE">
            <w:r w:rsidRPr="00F554FE">
              <w:t>Develop and widely promote a trauma</w:t>
            </w:r>
            <w:r w:rsidR="00FB3BF0" w:rsidRPr="00F554FE">
              <w:t>-</w:t>
            </w:r>
            <w:r w:rsidRPr="00F554FE">
              <w:t>informed</w:t>
            </w:r>
            <w:r w:rsidR="00610F28" w:rsidRPr="00F554FE">
              <w:t xml:space="preserve">, </w:t>
            </w:r>
            <w:r w:rsidR="008F4ED7" w:rsidRPr="00F554FE">
              <w:t>recovery-oriented, equitable and safe</w:t>
            </w:r>
            <w:r w:rsidRPr="00F554FE">
              <w:t xml:space="preserve"> framework </w:t>
            </w:r>
            <w:r w:rsidR="00FB3BF0" w:rsidRPr="00F554FE">
              <w:t xml:space="preserve">of </w:t>
            </w:r>
            <w:r w:rsidRPr="00F554FE">
              <w:t xml:space="preserve">Australian mental health services that addresses minority stressors known to drive mental distress and suicidality. The Framework should provide practical advice on how to eliminate the traumatising impacts that unsafe, poor-quality service provision can have on LGBTQ+ people. </w:t>
            </w:r>
          </w:p>
          <w:p w14:paraId="37E16220" w14:textId="254426BB" w:rsidR="00746AAF" w:rsidRPr="008548CA" w:rsidRDefault="00746AAF" w:rsidP="008548CA">
            <w:r w:rsidRPr="008548CA">
              <w:t>The UTS-led research team notes that trauma-informed care is captured within the National Mental Health Commission’s understanding of recovery-oriented care, and efforts should be furthered to ensure that this is meaningfully incorporated in practice.</w:t>
            </w:r>
            <w:r w:rsidRPr="008548CA">
              <w:footnoteReference w:id="317"/>
            </w:r>
            <w:r w:rsidRPr="008548CA">
              <w:t xml:space="preserve"> In addition, some Australian states have developed trauma</w:t>
            </w:r>
            <w:r w:rsidR="00FB3BF0" w:rsidRPr="008548CA">
              <w:t>-</w:t>
            </w:r>
            <w:r w:rsidRPr="008548CA">
              <w:t xml:space="preserve">informed frameworks for their mental health services – for example, in August 2023 the NSW Government published a </w:t>
            </w:r>
            <w:hyperlink r:id="rId105" w:history="1">
              <w:r w:rsidRPr="008548CA">
                <w:rPr>
                  <w:rStyle w:val="Hyperlink"/>
                </w:rPr>
                <w:t>trauma-informed framework</w:t>
              </w:r>
            </w:hyperlink>
            <w:r w:rsidRPr="008548CA">
              <w:t xml:space="preserve"> and </w:t>
            </w:r>
            <w:hyperlink r:id="rId106" w:history="1">
              <w:r w:rsidRPr="008548CA">
                <w:rPr>
                  <w:rStyle w:val="Hyperlink"/>
                </w:rPr>
                <w:t>self-assessment tool</w:t>
              </w:r>
            </w:hyperlink>
            <w:r w:rsidRPr="008548CA">
              <w:t xml:space="preserve"> for mental health services across NSW.</w:t>
            </w:r>
            <w:r w:rsidRPr="008548CA">
              <w:footnoteReference w:id="318"/>
            </w:r>
          </w:p>
        </w:tc>
      </w:tr>
      <w:tr w:rsidR="00746AAF" w:rsidRPr="00746AAF" w14:paraId="29EEA8D5" w14:textId="77777777">
        <w:tc>
          <w:tcPr>
            <w:tcW w:w="9214" w:type="dxa"/>
            <w:shd w:val="clear" w:color="auto" w:fill="ECF1FE"/>
          </w:tcPr>
          <w:p w14:paraId="72C5A4DB" w14:textId="251E294F" w:rsidR="00746AAF" w:rsidRPr="00F554FE" w:rsidRDefault="00746AAF" w:rsidP="00F554FE">
            <w:r w:rsidRPr="00F554FE">
              <w:t>Collaborate to action current recommendations designed to overcome stigmatisation in relation to mental health and LGBTQ+ people in other health, aged care, and disability care services.</w:t>
            </w:r>
          </w:p>
          <w:p w14:paraId="23525E0C" w14:textId="5D726581" w:rsidR="00746AAF" w:rsidRPr="008548CA" w:rsidRDefault="00746AAF" w:rsidP="008548CA">
            <w:r w:rsidRPr="008548CA">
              <w:t>The researchers note that work undertaken through the Disability Royal Commission which focused on the experiences of LGBTQ+ people, led to the development of a series of recommendations for structural, service</w:t>
            </w:r>
            <w:r w:rsidR="00FB3BF0" w:rsidRPr="008548CA">
              <w:t>,</w:t>
            </w:r>
            <w:r w:rsidRPr="008548CA">
              <w:t xml:space="preserve"> and community-level interventions.</w:t>
            </w:r>
            <w:r w:rsidRPr="008548CA">
              <w:footnoteReference w:id="319"/>
            </w:r>
          </w:p>
        </w:tc>
      </w:tr>
      <w:tr w:rsidR="00746AAF" w:rsidRPr="00746AAF" w14:paraId="1FC4732C" w14:textId="77777777">
        <w:tc>
          <w:tcPr>
            <w:tcW w:w="9214" w:type="dxa"/>
            <w:shd w:val="clear" w:color="auto" w:fill="ECF1FE"/>
          </w:tcPr>
          <w:p w14:paraId="43CFCF3E" w14:textId="15F16880" w:rsidR="00746AAF" w:rsidRPr="00F554FE" w:rsidRDefault="00746AAF" w:rsidP="00F554FE">
            <w:r w:rsidRPr="00F554FE">
              <w:t xml:space="preserve">Investigate and find practical options to embed multiple explanatory frameworks for </w:t>
            </w:r>
            <w:r w:rsidR="00AF7DF4" w:rsidRPr="00F554FE">
              <w:t xml:space="preserve">distress and </w:t>
            </w:r>
            <w:r w:rsidRPr="00F554FE">
              <w:t>service provision for LGBTQ+ people experiencing mental health distress or suicidality.</w:t>
            </w:r>
          </w:p>
          <w:p w14:paraId="164E4B87" w14:textId="7E471BBB" w:rsidR="00746AAF" w:rsidRPr="008548CA" w:rsidRDefault="00746AAF" w:rsidP="008548CA">
            <w:r w:rsidRPr="008548CA">
              <w:t>To provide safe and affirming care that aligns with the needs of LGBTQ+ people, service providers need to embed a multiple explanatory framework for mental distress and suicidality in health services. This includes recognition of the impacts of minority distress, discrimination</w:t>
            </w:r>
            <w:r w:rsidR="00FB3BF0" w:rsidRPr="008548CA">
              <w:t>,</w:t>
            </w:r>
            <w:r w:rsidRPr="008548CA">
              <w:t xml:space="preserve"> and trauma of LGBTQ+ people in the community, and a de-emphasis o</w:t>
            </w:r>
            <w:r w:rsidR="00FB3BF0" w:rsidRPr="008548CA">
              <w:t>f</w:t>
            </w:r>
            <w:r w:rsidRPr="008548CA">
              <w:t xml:space="preserve"> pathologising and illness models of mental health that can be experienced as “dehumanising”. When well designed, these frameworks also provide practice options that emphasise recovery-oriented and trauma</w:t>
            </w:r>
            <w:r w:rsidR="00FB3BF0" w:rsidRPr="008548CA">
              <w:t>-</w:t>
            </w:r>
            <w:r w:rsidRPr="008548CA">
              <w:t xml:space="preserve">informed approaches to care. </w:t>
            </w:r>
          </w:p>
          <w:p w14:paraId="54B430E4" w14:textId="0B84F4F3" w:rsidR="00746AAF" w:rsidRPr="008548CA" w:rsidRDefault="00746AAF" w:rsidP="008548CA">
            <w:r w:rsidRPr="008548CA">
              <w:lastRenderedPageBreak/>
              <w:t xml:space="preserve">It should be noted that the Rainbow Embassy emphasised that “the care solution must fit the problem” and provide trauma-informed and recovery-oriented choices which are therapeutic and non-medical, as well as medication options. </w:t>
            </w:r>
          </w:p>
        </w:tc>
      </w:tr>
    </w:tbl>
    <w:p w14:paraId="4E831861" w14:textId="24EAEAD3" w:rsidR="00746AAF" w:rsidRPr="00746AAF" w:rsidRDefault="00F55E8B" w:rsidP="00DF32BE">
      <w:pPr>
        <w:pStyle w:val="Heading3"/>
      </w:pPr>
      <w:bookmarkStart w:id="142" w:name="_Toc149670640"/>
      <w:bookmarkStart w:id="143" w:name="_Toc153899545"/>
      <w:r>
        <w:lastRenderedPageBreak/>
        <w:t>5</w:t>
      </w:r>
      <w:r w:rsidR="00746AAF" w:rsidRPr="00746AAF">
        <w:t>]</w:t>
      </w:r>
      <w:r w:rsidR="00746AAF" w:rsidRPr="00746AAF">
        <w:tab/>
        <w:t>Collaborate across sectors to build connection and promote inclusion</w:t>
      </w:r>
      <w:bookmarkEnd w:id="142"/>
      <w:bookmarkEnd w:id="143"/>
      <w:r w:rsidR="00746AAF" w:rsidRPr="00746AAF">
        <w:t xml:space="preserve"> </w:t>
      </w:r>
    </w:p>
    <w:p w14:paraId="164B2053" w14:textId="4AC5789E" w:rsidR="00746AAF" w:rsidRPr="00746AAF" w:rsidRDefault="00746AAF" w:rsidP="00746AAF">
      <w:pPr>
        <w:rPr>
          <w:lang w:eastAsia="en-AU"/>
        </w:rPr>
      </w:pPr>
      <w:r w:rsidRPr="00746AAF">
        <w:rPr>
          <w:lang w:eastAsia="en-AU"/>
        </w:rPr>
        <w:t>The research consistently linked the health, mental health, and wellbeing outcomes of LGBTQ+ people with social, institutional, and structural factors. The literature also demonstrated that these factors could either risk or protect mental health and wellbeing. For example, explicit parental support and involvement in helping manag</w:t>
      </w:r>
      <w:r w:rsidR="008E15C5">
        <w:rPr>
          <w:lang w:eastAsia="en-AU"/>
        </w:rPr>
        <w:t>e</w:t>
      </w:r>
      <w:r w:rsidRPr="00746AAF">
        <w:rPr>
          <w:lang w:eastAsia="en-AU"/>
        </w:rPr>
        <w:t xml:space="preserve"> mental health distress was identified as a potent protective factor, while parental rejection was linked with grave mental health and suicide prevention outcomes. Similarly, support provided or withheld by the general community was found to have a substantive impact on psychological distress of LGBTQ+ people, independent to the availability of support from the LGBTQ+ community.</w:t>
      </w:r>
      <w:r w:rsidRPr="00746AAF">
        <w:rPr>
          <w:rFonts w:eastAsia="Times New Roman" w:cs="Times New Roman"/>
          <w:vertAlign w:val="superscript"/>
          <w:lang w:eastAsia="en-AU"/>
        </w:rPr>
        <w:footnoteReference w:id="320"/>
      </w:r>
    </w:p>
    <w:p w14:paraId="5B23D6E2" w14:textId="5CDD5002" w:rsidR="00746AAF" w:rsidRPr="00746AAF" w:rsidRDefault="00746AAF" w:rsidP="00746AAF">
      <w:pPr>
        <w:rPr>
          <w:rFonts w:eastAsia="Times New Roman" w:cs="Times New Roman"/>
          <w:lang w:eastAsia="en-AU"/>
        </w:rPr>
      </w:pPr>
      <w:r w:rsidRPr="00746AAF">
        <w:rPr>
          <w:rFonts w:eastAsia="Times New Roman" w:cs="Times New Roman"/>
          <w:lang w:eastAsia="en-AU"/>
        </w:rPr>
        <w:t>There is, therefore, significant opportunity to oversee interventions to foster the protective potential of these factors and reduce the risks they pose in the community at large. This requires seeking out multiple opportunities to collaborate across sectors to build connection and promote inclusion within workplaces, schools</w:t>
      </w:r>
      <w:r w:rsidR="001618FA">
        <w:rPr>
          <w:rFonts w:eastAsia="Times New Roman" w:cs="Times New Roman"/>
          <w:lang w:eastAsia="en-AU"/>
        </w:rPr>
        <w:t>,</w:t>
      </w:r>
      <w:r w:rsidRPr="00746AAF">
        <w:rPr>
          <w:rFonts w:eastAsia="Times New Roman" w:cs="Times New Roman"/>
          <w:lang w:eastAsia="en-AU"/>
        </w:rPr>
        <w:t xml:space="preserve"> and sports, as well as within families and community structures more broadly:  </w:t>
      </w:r>
    </w:p>
    <w:tbl>
      <w:tblPr>
        <w:tblStyle w:val="TableGrid"/>
        <w:tblW w:w="9214"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FE7FD"/>
        <w:tblLook w:val="04A0" w:firstRow="1" w:lastRow="0" w:firstColumn="1" w:lastColumn="0" w:noHBand="0" w:noVBand="1"/>
      </w:tblPr>
      <w:tblGrid>
        <w:gridCol w:w="9214"/>
      </w:tblGrid>
      <w:tr w:rsidR="00970575" w:rsidRPr="00746AAF" w14:paraId="1FBDDABE" w14:textId="77777777">
        <w:tc>
          <w:tcPr>
            <w:tcW w:w="9214" w:type="dxa"/>
            <w:shd w:val="clear" w:color="auto" w:fill="ECF1FE"/>
          </w:tcPr>
          <w:p w14:paraId="08F787ED" w14:textId="60054ED8" w:rsidR="00746AAF" w:rsidRPr="00F554FE" w:rsidRDefault="00746AAF" w:rsidP="00F554FE">
            <w:r w:rsidRPr="00F554FE">
              <w:t>Initiate a major</w:t>
            </w:r>
            <w:r w:rsidR="00693EFE" w:rsidRPr="00F554FE">
              <w:t xml:space="preserve"> whole-of-government and</w:t>
            </w:r>
            <w:r w:rsidRPr="00F554FE">
              <w:t xml:space="preserve"> cross-sectoral health and wellbeing inclusion strategy to promote social inclusion and address sources of stigma impacting LGBTQ+ people and communities.</w:t>
            </w:r>
          </w:p>
          <w:p w14:paraId="1B265130" w14:textId="7196205C" w:rsidR="00746AAF" w:rsidRPr="00746AAF" w:rsidRDefault="00746AAF" w:rsidP="001D43A9">
            <w:pPr>
              <w:ind w:left="567"/>
              <w:rPr>
                <w:lang w:eastAsia="en-AU"/>
              </w:rPr>
            </w:pPr>
            <w:r w:rsidRPr="00746AAF">
              <w:rPr>
                <w:lang w:eastAsia="en-AU"/>
              </w:rPr>
              <w:t xml:space="preserve">The research highlighted a pressing need to reduce stigma and discrimination in, and beyond, the sphere of health and mental health, </w:t>
            </w:r>
            <w:proofErr w:type="gramStart"/>
            <w:r w:rsidRPr="00746AAF">
              <w:rPr>
                <w:lang w:eastAsia="en-AU"/>
              </w:rPr>
              <w:t>in order to</w:t>
            </w:r>
            <w:proofErr w:type="gramEnd"/>
            <w:r w:rsidRPr="00746AAF">
              <w:rPr>
                <w:lang w:eastAsia="en-AU"/>
              </w:rPr>
              <w:t xml:space="preserve"> support better mental health and wellbeing outcomes for LGBTQ+ people. </w:t>
            </w:r>
          </w:p>
          <w:p w14:paraId="280559DC" w14:textId="34481F55" w:rsidR="00746AAF" w:rsidRPr="00746AAF" w:rsidRDefault="00746AAF" w:rsidP="001D43A9">
            <w:pPr>
              <w:ind w:left="567"/>
              <w:rPr>
                <w:lang w:eastAsia="en-AU"/>
              </w:rPr>
            </w:pPr>
            <w:r w:rsidRPr="00746AAF">
              <w:rPr>
                <w:lang w:eastAsia="en-AU"/>
              </w:rPr>
              <w:t xml:space="preserve">The UTS-led researchers note that some initiatives to promote social inclusion have been integrated into existing strategies at both national and state-levels </w:t>
            </w:r>
            <w:r w:rsidRPr="00A5141C">
              <w:rPr>
                <w:lang w:eastAsia="en-AU"/>
              </w:rPr>
              <w:t xml:space="preserve">(see Section </w:t>
            </w:r>
            <w:r w:rsidR="00191A48" w:rsidRPr="00A5141C">
              <w:rPr>
                <w:lang w:eastAsia="en-AU"/>
              </w:rPr>
              <w:t>3</w:t>
            </w:r>
            <w:r w:rsidR="00A5141C">
              <w:rPr>
                <w:lang w:eastAsia="en-AU"/>
              </w:rPr>
              <w:t xml:space="preserve"> and 4.6</w:t>
            </w:r>
            <w:r w:rsidRPr="00A5141C">
              <w:rPr>
                <w:lang w:eastAsia="en-AU"/>
              </w:rPr>
              <w:t>).</w:t>
            </w:r>
            <w:r w:rsidRPr="00746AAF">
              <w:rPr>
                <w:lang w:eastAsia="en-AU"/>
              </w:rPr>
              <w:t xml:space="preserve"> For example, the National Mental Health Commission is finalising a National Stigma and Discrimination Reduction Strategy focused on promoting social inclusion for people with lived experience of mental health challenges.</w:t>
            </w:r>
            <w:r w:rsidRPr="00746AAF">
              <w:rPr>
                <w:vertAlign w:val="superscript"/>
                <w:lang w:eastAsia="en-AU"/>
              </w:rPr>
              <w:footnoteReference w:id="321"/>
            </w:r>
            <w:r w:rsidRPr="00746AAF">
              <w:rPr>
                <w:lang w:eastAsia="en-AU"/>
              </w:rPr>
              <w:t xml:space="preserve"> This amongst other documents could be looked to as a model for a similar strategy promoting social inclusion for LGBTQ+ people. </w:t>
            </w:r>
          </w:p>
          <w:p w14:paraId="705501F8" w14:textId="6FA074D6" w:rsidR="00746AAF" w:rsidRPr="00746AAF" w:rsidRDefault="00746AAF" w:rsidP="001D43A9">
            <w:pPr>
              <w:ind w:left="567"/>
              <w:rPr>
                <w:lang w:eastAsia="en-AU"/>
              </w:rPr>
            </w:pPr>
            <w:r w:rsidRPr="00746AAF">
              <w:rPr>
                <w:lang w:eastAsia="en-AU"/>
              </w:rPr>
              <w:t xml:space="preserve">In addition, among other recommendations designed to reduce discrimination, the Disability Royal Commission called for the creation of a “positive duty” to promote </w:t>
            </w:r>
            <w:r w:rsidRPr="00746AAF">
              <w:rPr>
                <w:lang w:eastAsia="en-AU"/>
              </w:rPr>
              <w:lastRenderedPageBreak/>
              <w:t>disability equality and inclusion either attached to a new or current Commonwealth entity.</w:t>
            </w:r>
            <w:r w:rsidRPr="00746AAF">
              <w:rPr>
                <w:vertAlign w:val="superscript"/>
                <w:lang w:eastAsia="en-AU"/>
              </w:rPr>
              <w:footnoteReference w:id="322"/>
            </w:r>
            <w:r w:rsidRPr="00746AAF">
              <w:rPr>
                <w:lang w:eastAsia="en-AU"/>
              </w:rPr>
              <w:t xml:space="preserve"> </w:t>
            </w:r>
          </w:p>
          <w:p w14:paraId="08397804" w14:textId="03408F07" w:rsidR="00746AAF" w:rsidRPr="00746AAF" w:rsidRDefault="00746AAF" w:rsidP="001D43A9">
            <w:pPr>
              <w:ind w:left="567"/>
              <w:rPr>
                <w:strike/>
                <w:lang w:eastAsia="en-AU"/>
              </w:rPr>
            </w:pPr>
            <w:r w:rsidRPr="00746AAF">
              <w:rPr>
                <w:lang w:eastAsia="en-AU"/>
              </w:rPr>
              <w:t xml:space="preserve">Clearly, the content and optimal method for actioning the above initiative will need to </w:t>
            </w:r>
            <w:r w:rsidR="00A06C72">
              <w:rPr>
                <w:lang w:eastAsia="en-AU"/>
              </w:rPr>
              <w:t xml:space="preserve">be </w:t>
            </w:r>
            <w:r w:rsidRPr="00746AAF">
              <w:rPr>
                <w:lang w:eastAsia="en-AU"/>
              </w:rPr>
              <w:t xml:space="preserve">undertaken in conjunction </w:t>
            </w:r>
            <w:r w:rsidR="001618FA">
              <w:rPr>
                <w:lang w:eastAsia="en-AU"/>
              </w:rPr>
              <w:t xml:space="preserve">with </w:t>
            </w:r>
            <w:r w:rsidRPr="00746AAF">
              <w:rPr>
                <w:lang w:eastAsia="en-AU"/>
              </w:rPr>
              <w:t>LGBTQ+ people with lived experience</w:t>
            </w:r>
            <w:r w:rsidR="001618FA">
              <w:rPr>
                <w:lang w:eastAsia="en-AU"/>
              </w:rPr>
              <w:t>,</w:t>
            </w:r>
            <w:r w:rsidRPr="00746AAF">
              <w:rPr>
                <w:lang w:eastAsia="en-AU"/>
              </w:rPr>
              <w:t xml:space="preserve"> together with </w:t>
            </w:r>
            <w:r w:rsidR="001618FA">
              <w:rPr>
                <w:lang w:eastAsia="en-AU"/>
              </w:rPr>
              <w:t xml:space="preserve">other </w:t>
            </w:r>
            <w:r w:rsidRPr="00746AAF">
              <w:rPr>
                <w:lang w:eastAsia="en-AU"/>
              </w:rPr>
              <w:t>relevant Commonwealth and state entities, including the Australian Human Rights Commission.</w:t>
            </w:r>
          </w:p>
        </w:tc>
      </w:tr>
      <w:tr w:rsidR="00970575" w:rsidRPr="00746AAF" w14:paraId="675C08AC" w14:textId="77777777">
        <w:tc>
          <w:tcPr>
            <w:tcW w:w="9214" w:type="dxa"/>
            <w:shd w:val="clear" w:color="auto" w:fill="ECF1FE"/>
          </w:tcPr>
          <w:p w14:paraId="517D61B8" w14:textId="09525A46" w:rsidR="00746AAF" w:rsidRPr="00F554FE" w:rsidRDefault="00746AAF" w:rsidP="00F554FE">
            <w:r w:rsidRPr="00F554FE">
              <w:lastRenderedPageBreak/>
              <w:t xml:space="preserve">Work with relevant Commonwealth, state, and territory agencies to promote inclusion amongst young people, </w:t>
            </w:r>
            <w:proofErr w:type="gramStart"/>
            <w:r w:rsidRPr="00F554FE">
              <w:t>in order to</w:t>
            </w:r>
            <w:proofErr w:type="gramEnd"/>
            <w:r w:rsidRPr="00F554FE">
              <w:t xml:space="preserve"> improve understanding, connections</w:t>
            </w:r>
            <w:r w:rsidR="001618FA" w:rsidRPr="00F554FE">
              <w:t>,</w:t>
            </w:r>
            <w:r w:rsidRPr="00F554FE">
              <w:t xml:space="preserve"> and reduce stigma and discrimination against LGBTQ+ people. </w:t>
            </w:r>
          </w:p>
          <w:p w14:paraId="521AC09C" w14:textId="7BD2ED8B" w:rsidR="00746AAF" w:rsidRPr="008548CA" w:rsidRDefault="00746AAF" w:rsidP="008548CA">
            <w:r w:rsidRPr="008548CA">
              <w:t xml:space="preserve">The research indicated that early intervention and prevention measures are powerful tools in reducing mental health distress and suicidality. For example, it has been shown that school experiences can profoundly impact the mental health and wellbeing of not just the children and young people attending, but also adults as they move through their lives. Further, the research shows that while the inclusivity of school cultures differs across Australia, it can be significantly influenced by the curriculum and </w:t>
            </w:r>
            <w:r w:rsidR="001618FA" w:rsidRPr="008548CA">
              <w:t xml:space="preserve">by </w:t>
            </w:r>
            <w:r w:rsidRPr="008548CA">
              <w:t xml:space="preserve">the examples set by school staff. Reducing the prevalence of stressors in young LGBTQ+ people, may have significant and profound </w:t>
            </w:r>
            <w:r w:rsidR="00E0360E" w:rsidRPr="008548CA">
              <w:t>long-term</w:t>
            </w:r>
            <w:r w:rsidRPr="008548CA">
              <w:t xml:space="preserve"> benefits.</w:t>
            </w:r>
          </w:p>
        </w:tc>
      </w:tr>
      <w:tr w:rsidR="00970575" w:rsidRPr="00746AAF" w14:paraId="43FFAE7B" w14:textId="77777777">
        <w:tc>
          <w:tcPr>
            <w:tcW w:w="9214" w:type="dxa"/>
            <w:shd w:val="clear" w:color="auto" w:fill="ECF1FE"/>
          </w:tcPr>
          <w:p w14:paraId="50C58CD2" w14:textId="63DFF9EB" w:rsidR="00746AAF" w:rsidRPr="00F554FE" w:rsidRDefault="00746AAF" w:rsidP="00F554FE">
            <w:r w:rsidRPr="00F554FE">
              <w:t>Develop and promote educational resources to build parents, carers, family</w:t>
            </w:r>
            <w:r w:rsidR="001618FA" w:rsidRPr="00F554FE">
              <w:t>,</w:t>
            </w:r>
            <w:r w:rsidRPr="00F554FE">
              <w:t xml:space="preserve"> and community awareness, skills</w:t>
            </w:r>
            <w:r w:rsidR="004374AD" w:rsidRPr="00F554FE">
              <w:t>,</w:t>
            </w:r>
            <w:r w:rsidRPr="00F554FE">
              <w:t xml:space="preserve"> and capacity to affirm LGBTQ+ people within their lives.</w:t>
            </w:r>
          </w:p>
          <w:p w14:paraId="45B82211" w14:textId="38949228" w:rsidR="00746AAF" w:rsidRPr="008548CA" w:rsidRDefault="00746AAF" w:rsidP="008548CA">
            <w:r w:rsidRPr="008548CA">
              <w:t>The UTS-led research suggested that stressors could be reduced through designing and implementing interventions at the family</w:t>
            </w:r>
            <w:r w:rsidRPr="008548CA">
              <w:footnoteReference w:id="323"/>
            </w:r>
            <w:r w:rsidR="001618FA" w:rsidRPr="008548CA">
              <w:t>,</w:t>
            </w:r>
            <w:r w:rsidRPr="008548CA">
              <w:t xml:space="preserve"> and direct community-level</w:t>
            </w:r>
            <w:r w:rsidR="001618FA" w:rsidRPr="008548CA">
              <w:t>,</w:t>
            </w:r>
            <w:r w:rsidRPr="008548CA">
              <w:t xml:space="preserve"> in respect to LGB</w:t>
            </w:r>
            <w:r w:rsidR="00D63505" w:rsidRPr="008548CA">
              <w:t>TQ</w:t>
            </w:r>
            <w:r w:rsidRPr="008548CA">
              <w:t>+ people. Further, evidence has demonstrated that family and community education interventions can be effective and effectively scaled in the form of online programs. For example, an online programme aimed at increasing affirming behaviour among the parents of transgender youth – such as through the ‘Parent Support Program’ – has been piloted in California and found to be “highly acceptable”.</w:t>
            </w:r>
            <w:r w:rsidRPr="008548CA">
              <w:footnoteReference w:id="324"/>
            </w:r>
          </w:p>
        </w:tc>
      </w:tr>
    </w:tbl>
    <w:p w14:paraId="42D58963" w14:textId="7DB46B74" w:rsidR="00746AAF" w:rsidRPr="00746AAF" w:rsidRDefault="00B723E9" w:rsidP="00DF32BE">
      <w:pPr>
        <w:pStyle w:val="Heading3"/>
      </w:pPr>
      <w:bookmarkStart w:id="144" w:name="_Toc149670641"/>
      <w:bookmarkStart w:id="145" w:name="_Toc153899546"/>
      <w:r>
        <w:t>6</w:t>
      </w:r>
      <w:r w:rsidR="00746AAF" w:rsidRPr="00746AAF">
        <w:t>]</w:t>
      </w:r>
      <w:r w:rsidR="00746AAF" w:rsidRPr="00746AAF">
        <w:tab/>
        <w:t>Adopt and promote the consistent use of inclusive and affirming language</w:t>
      </w:r>
      <w:bookmarkEnd w:id="144"/>
      <w:bookmarkEnd w:id="145"/>
      <w:r w:rsidR="00746AAF" w:rsidRPr="00746AAF">
        <w:t xml:space="preserve"> </w:t>
      </w:r>
    </w:p>
    <w:p w14:paraId="1504799A" w14:textId="60E796BE" w:rsidR="00746AAF" w:rsidRPr="00746AAF" w:rsidRDefault="00746AAF" w:rsidP="00746AAF">
      <w:r w:rsidRPr="00746AAF">
        <w:t>A tangible means of reducing minority stressors linked to LGBTQ+ people experiencing mental health challenges and suicidality is through consistently adopting inclusive and affirming language, terminology</w:t>
      </w:r>
      <w:r w:rsidR="00D63505">
        <w:t>,</w:t>
      </w:r>
      <w:r w:rsidRPr="00746AAF">
        <w:t xml:space="preserve"> and communications. As expanded upon at Principle 7, this includes the use of updated terms preferred by LGBTQ+ people with lived experience.</w:t>
      </w:r>
    </w:p>
    <w:p w14:paraId="67B9CC3B" w14:textId="77777777" w:rsidR="00746AAF" w:rsidRPr="00746AAF" w:rsidRDefault="00746AAF" w:rsidP="00746AAF">
      <w:r w:rsidRPr="00746AAF">
        <w:lastRenderedPageBreak/>
        <w:t>This principle also has a practical application in terms of mental health and suicide prevention services:</w:t>
      </w:r>
    </w:p>
    <w:tbl>
      <w:tblPr>
        <w:tblStyle w:val="TableGrid"/>
        <w:tblW w:w="9214"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FE7FD"/>
        <w:tblLook w:val="04A0" w:firstRow="1" w:lastRow="0" w:firstColumn="1" w:lastColumn="0" w:noHBand="0" w:noVBand="1"/>
      </w:tblPr>
      <w:tblGrid>
        <w:gridCol w:w="9214"/>
      </w:tblGrid>
      <w:tr w:rsidR="00746AAF" w:rsidRPr="00746AAF" w14:paraId="0CEC647F" w14:textId="77777777">
        <w:tc>
          <w:tcPr>
            <w:tcW w:w="9214" w:type="dxa"/>
            <w:shd w:val="clear" w:color="auto" w:fill="ECF1FE"/>
          </w:tcPr>
          <w:p w14:paraId="5DDCD19E" w14:textId="72D91CBA" w:rsidR="00746AAF" w:rsidRPr="00F554FE" w:rsidRDefault="00746AAF" w:rsidP="00F554FE">
            <w:r w:rsidRPr="00F554FE">
              <w:t>Update and standardised</w:t>
            </w:r>
            <w:r w:rsidR="008335F7" w:rsidRPr="00F554FE">
              <w:t xml:space="preserve"> </w:t>
            </w:r>
            <w:r w:rsidRPr="00F554FE">
              <w:t>the inclusivity of language and terminology used in all mainstream health, mental health</w:t>
            </w:r>
            <w:r w:rsidR="005B2394" w:rsidRPr="00F554FE">
              <w:t>,</w:t>
            </w:r>
            <w:r w:rsidRPr="00F554FE">
              <w:t xml:space="preserve"> and wellbeing services, including services provided by religious organisations. </w:t>
            </w:r>
          </w:p>
          <w:p w14:paraId="7B628099" w14:textId="2AC3A896" w:rsidR="00746AAF" w:rsidRPr="008548CA" w:rsidRDefault="00746AAF" w:rsidP="008548CA">
            <w:r w:rsidRPr="008548CA">
              <w:t xml:space="preserve">For example, ensure that in-take forms accommodate and acknowledge diverse genders and </w:t>
            </w:r>
            <w:r w:rsidR="00765691" w:rsidRPr="008548CA">
              <w:t>sexual orientations</w:t>
            </w:r>
            <w:r w:rsidRPr="008548CA">
              <w:t xml:space="preserve">. This can simultaneously improve data capture and grow the evidence base to support future policy development. </w:t>
            </w:r>
          </w:p>
        </w:tc>
      </w:tr>
    </w:tbl>
    <w:p w14:paraId="63D819CD" w14:textId="77777777" w:rsidR="00746AAF" w:rsidRPr="00746AAF" w:rsidRDefault="00746AAF" w:rsidP="00DF32BE">
      <w:pPr>
        <w:pStyle w:val="NbrHeading2"/>
      </w:pPr>
      <w:bookmarkStart w:id="146" w:name="_Toc153899547"/>
      <w:bookmarkStart w:id="147" w:name="_Toc149670639"/>
      <w:r w:rsidRPr="00746AAF">
        <w:t>Other Options and Considerations</w:t>
      </w:r>
      <w:bookmarkEnd w:id="146"/>
    </w:p>
    <w:p w14:paraId="7462BA1E" w14:textId="77777777" w:rsidR="00746AAF" w:rsidRPr="00746AAF" w:rsidRDefault="00746AAF" w:rsidP="00746AAF">
      <w:pPr>
        <w:rPr>
          <w:lang w:eastAsia="en-AU"/>
        </w:rPr>
      </w:pPr>
      <w:r w:rsidRPr="00746AAF">
        <w:rPr>
          <w:lang w:eastAsia="en-AU"/>
        </w:rPr>
        <w:t xml:space="preserve">While evident in the research, though somewhat adjacent to the KRQ commissioned by the Department, the UTS-led research team identified </w:t>
      </w:r>
      <w:proofErr w:type="gramStart"/>
      <w:r w:rsidRPr="00746AAF">
        <w:rPr>
          <w:lang w:eastAsia="en-AU"/>
        </w:rPr>
        <w:t>a number of</w:t>
      </w:r>
      <w:proofErr w:type="gramEnd"/>
      <w:r w:rsidRPr="00746AAF">
        <w:rPr>
          <w:lang w:eastAsia="en-AU"/>
        </w:rPr>
        <w:t xml:space="preserve"> other options related to:</w:t>
      </w:r>
    </w:p>
    <w:p w14:paraId="0A8AF947" w14:textId="77777777" w:rsidR="00746AAF" w:rsidRPr="00746AAF" w:rsidRDefault="00746AAF" w:rsidP="00CC5BB8">
      <w:pPr>
        <w:numPr>
          <w:ilvl w:val="0"/>
          <w:numId w:val="9"/>
        </w:numPr>
        <w:spacing w:before="120" w:after="120"/>
        <w:ind w:left="567" w:hanging="567"/>
        <w:rPr>
          <w:rFonts w:eastAsia="Times New Roman" w:cs="Times New Roman"/>
          <w:b/>
          <w:bCs/>
          <w:color w:val="0F4BEB" w:themeColor="accent1"/>
          <w:szCs w:val="24"/>
          <w:lang w:eastAsia="en-AU"/>
        </w:rPr>
      </w:pPr>
      <w:r w:rsidRPr="00746AAF">
        <w:rPr>
          <w:rFonts w:eastAsia="Times New Roman" w:cs="Times New Roman"/>
          <w:b/>
          <w:bCs/>
          <w:color w:val="0F4BEB" w:themeColor="accent1"/>
          <w:szCs w:val="24"/>
          <w:lang w:eastAsia="en-AU"/>
        </w:rPr>
        <w:t>Reducing barriers to accessing gender affirming care</w:t>
      </w:r>
    </w:p>
    <w:p w14:paraId="1089CD52" w14:textId="1CB7A600" w:rsidR="00746AAF" w:rsidRPr="00746AAF" w:rsidRDefault="00746AAF" w:rsidP="00746AAF">
      <w:r w:rsidRPr="00746AAF">
        <w:rPr>
          <w:lang w:eastAsia="en-AU"/>
        </w:rPr>
        <w:t xml:space="preserve">For example, the </w:t>
      </w:r>
      <w:bookmarkEnd w:id="147"/>
      <w:r w:rsidRPr="00746AAF">
        <w:t>applied SLR found that mental health service providers were often involved in facilitating access to gender affirming care options including puberty blockers, hormone treatments</w:t>
      </w:r>
      <w:r w:rsidR="001618FA">
        <w:t>,</w:t>
      </w:r>
      <w:r w:rsidRPr="00746AAF">
        <w:t xml:space="preserve"> and various forms of surgery. Further, the literature noted that this was regularly linked to improved mental health, wellbeing</w:t>
      </w:r>
      <w:r w:rsidR="001618FA">
        <w:t>,</w:t>
      </w:r>
      <w:r w:rsidRPr="00746AAF">
        <w:t xml:space="preserve"> and suicide prevention outcomes for trans and gender diverse people.</w:t>
      </w:r>
      <w:r w:rsidRPr="00746AAF">
        <w:rPr>
          <w:vertAlign w:val="superscript"/>
        </w:rPr>
        <w:footnoteReference w:id="325"/>
      </w:r>
      <w:r w:rsidRPr="00746AAF">
        <w:t xml:space="preserve"> Among other factors, the positive impacts of gender affirming care were linked to reductions in exposure to minority stressors such as stigmatisation, discrimination, and violence.</w:t>
      </w:r>
      <w:r w:rsidRPr="00746AAF">
        <w:rPr>
          <w:vertAlign w:val="superscript"/>
        </w:rPr>
        <w:footnoteReference w:id="326"/>
      </w:r>
      <w:r w:rsidRPr="00746AAF">
        <w:t xml:space="preserve">  </w:t>
      </w:r>
    </w:p>
    <w:p w14:paraId="119682EE" w14:textId="77777777" w:rsidR="00746AAF" w:rsidRPr="00746AAF" w:rsidRDefault="00746AAF" w:rsidP="00746AAF">
      <w:r w:rsidRPr="00746AAF">
        <w:t>However, the research also indicated that many trans and gender diverse people experienced barriers to accessing treatment, including a shortage of appropriate providers, requirements for multiple assessments (referred to as “professional gatekeeping”), requirements for parental consent in the case of young people, plus costs.</w:t>
      </w:r>
      <w:r w:rsidRPr="00746AAF">
        <w:rPr>
          <w:vertAlign w:val="superscript"/>
        </w:rPr>
        <w:footnoteReference w:id="327"/>
      </w:r>
      <w:r w:rsidRPr="00746AAF">
        <w:t xml:space="preserve"> </w:t>
      </w:r>
    </w:p>
    <w:p w14:paraId="5629AA85" w14:textId="13981FDB" w:rsidR="00746AAF" w:rsidRPr="00746AAF" w:rsidRDefault="00746AAF" w:rsidP="00746AAF">
      <w:r w:rsidRPr="00746AAF">
        <w:t>Further, the research indicated that long wait lists, a lack of appropriate providers, and out-of-pocket costs commonly acted as barriers to timely access to gender affirming care</w:t>
      </w:r>
      <w:r w:rsidR="00765691">
        <w:t>.</w:t>
      </w:r>
      <w:r w:rsidRPr="00746AAF">
        <w:t xml:space="preserve"> These could be counteracted through improvements to resourcing and Medicare rebates. </w:t>
      </w:r>
      <w:r w:rsidRPr="00746AAF">
        <w:rPr>
          <w:vertAlign w:val="superscript"/>
        </w:rPr>
        <w:footnoteReference w:id="328"/>
      </w:r>
    </w:p>
    <w:p w14:paraId="177F83CA" w14:textId="77777777" w:rsidR="00746AAF" w:rsidRPr="00746AAF" w:rsidRDefault="00746AAF" w:rsidP="00746AAF">
      <w:r w:rsidRPr="00746AAF">
        <w:t xml:space="preserve">Taken together this suggests value in the National Action Plan also </w:t>
      </w:r>
      <w:proofErr w:type="gramStart"/>
      <w:r w:rsidRPr="00746AAF">
        <w:t>giving consideration to</w:t>
      </w:r>
      <w:proofErr w:type="gramEnd"/>
      <w:r w:rsidRPr="00746AAF">
        <w:t xml:space="preserve"> the following:</w:t>
      </w:r>
    </w:p>
    <w:tbl>
      <w:tblPr>
        <w:tblStyle w:val="TableGrid"/>
        <w:tblW w:w="9214"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FE7FD"/>
        <w:tblLook w:val="04A0" w:firstRow="1" w:lastRow="0" w:firstColumn="1" w:lastColumn="0" w:noHBand="0" w:noVBand="1"/>
      </w:tblPr>
      <w:tblGrid>
        <w:gridCol w:w="9214"/>
      </w:tblGrid>
      <w:tr w:rsidR="00970575" w:rsidRPr="00746AAF" w14:paraId="05A2AEFE" w14:textId="77777777">
        <w:tc>
          <w:tcPr>
            <w:tcW w:w="9214" w:type="dxa"/>
            <w:shd w:val="clear" w:color="auto" w:fill="ECF1FE"/>
          </w:tcPr>
          <w:p w14:paraId="11EF9D33" w14:textId="4A18F909" w:rsidR="00746AAF" w:rsidRPr="00F554FE" w:rsidRDefault="00746AAF" w:rsidP="00F554FE">
            <w:r w:rsidRPr="00F554FE">
              <w:lastRenderedPageBreak/>
              <w:t>Conduct addition</w:t>
            </w:r>
            <w:r w:rsidR="001618FA" w:rsidRPr="00F554FE">
              <w:t>al</w:t>
            </w:r>
            <w:r w:rsidRPr="00F554FE">
              <w:t xml:space="preserve"> research to investigate options (including potential pilot projects) to streamline, coordinate, and improve access to gender affirming care </w:t>
            </w:r>
            <w:proofErr w:type="gramStart"/>
            <w:r w:rsidRPr="00F554FE">
              <w:t>in order to</w:t>
            </w:r>
            <w:proofErr w:type="gramEnd"/>
            <w:r w:rsidRPr="00F554FE">
              <w:t xml:space="preserve"> reduce mental health distress and suicidality, including for young people. </w:t>
            </w:r>
          </w:p>
          <w:p w14:paraId="306E6593" w14:textId="7D78406B" w:rsidR="00746AAF" w:rsidRPr="008548CA" w:rsidRDefault="00746AAF" w:rsidP="008548CA">
            <w:r w:rsidRPr="008548CA">
              <w:t>The research indicated that substantial work was needed to improve the coordination of care and referral pathways across the health sector more broadly, specifically in relation to gender affirming care. Consistent with good practice, these should be investigated and developed in collaboration with trans and gender diverse people, advocates</w:t>
            </w:r>
            <w:r w:rsidR="001618FA" w:rsidRPr="008548CA">
              <w:t>,</w:t>
            </w:r>
            <w:r w:rsidRPr="008548CA">
              <w:t xml:space="preserve"> and service providers. </w:t>
            </w:r>
          </w:p>
          <w:p w14:paraId="163B8D26" w14:textId="65A926D6" w:rsidR="00746AAF" w:rsidRPr="008548CA" w:rsidRDefault="00746AAF" w:rsidP="008548CA">
            <w:r w:rsidRPr="008548CA">
              <w:t>As an interim option, however, the research indicated that the prescription of hormonal treatments by GPs was a “practical and acceptable solution” to reducing certain access hurdles and was preferable to assessment by a mental health clinician.</w:t>
            </w:r>
            <w:r w:rsidRPr="008548CA">
              <w:footnoteReference w:id="329"/>
            </w:r>
            <w:r w:rsidRPr="008548CA">
              <w:t xml:space="preserve"> Clearly, additional research is needed to further review these types of options and pathways.</w:t>
            </w:r>
          </w:p>
        </w:tc>
      </w:tr>
      <w:tr w:rsidR="00970575" w:rsidRPr="00746AAF" w14:paraId="1AE21AC5" w14:textId="77777777">
        <w:tc>
          <w:tcPr>
            <w:tcW w:w="9214" w:type="dxa"/>
            <w:shd w:val="clear" w:color="auto" w:fill="ECF1FE"/>
          </w:tcPr>
          <w:p w14:paraId="4D2004FD" w14:textId="1FB876B8" w:rsidR="00746AAF" w:rsidRPr="00F554FE" w:rsidRDefault="00746AAF" w:rsidP="00F554FE">
            <w:r w:rsidRPr="00F554FE">
              <w:t>Conduct addition</w:t>
            </w:r>
            <w:r w:rsidR="001618FA" w:rsidRPr="00F554FE">
              <w:t>al</w:t>
            </w:r>
            <w:r w:rsidRPr="00F554FE">
              <w:t xml:space="preserve"> research to investigate options (including potential pilot projects) to overcome barriers to gender-affirming care </w:t>
            </w:r>
            <w:proofErr w:type="gramStart"/>
            <w:r w:rsidRPr="00F554FE">
              <w:t>in order to</w:t>
            </w:r>
            <w:proofErr w:type="gramEnd"/>
            <w:r w:rsidRPr="00F554FE">
              <w:t xml:space="preserve"> reduce mental health distress and suicidality, including for young people. These options should consider mechanisms to:</w:t>
            </w:r>
          </w:p>
          <w:p w14:paraId="606C3905" w14:textId="77777777" w:rsidR="00746AAF" w:rsidRPr="007A0443" w:rsidRDefault="00746AAF" w:rsidP="007A0443">
            <w:pPr>
              <w:pStyle w:val="ListNumber2"/>
            </w:pPr>
            <w:r w:rsidRPr="007A0443">
              <w:t>Improve provider availability</w:t>
            </w:r>
          </w:p>
          <w:p w14:paraId="32D47039" w14:textId="403055E0" w:rsidR="00746AAF" w:rsidRPr="00A65BD2" w:rsidRDefault="00746AAF" w:rsidP="007A0443">
            <w:pPr>
              <w:pStyle w:val="ListNumber2"/>
              <w:rPr>
                <w:b/>
                <w:bCs/>
                <w:color w:val="0F4BEB" w:themeColor="accent1"/>
              </w:rPr>
            </w:pPr>
            <w:r w:rsidRPr="007A0443">
              <w:t>R</w:t>
            </w:r>
            <w:r w:rsidRPr="00746AAF">
              <w:t>educe cost</w:t>
            </w:r>
            <w:r w:rsidRPr="00746AAF">
              <w:rPr>
                <w:vertAlign w:val="superscript"/>
              </w:rPr>
              <w:footnoteReference w:id="330"/>
            </w:r>
            <w:r w:rsidRPr="00A65BD2">
              <w:rPr>
                <w:b/>
                <w:bCs/>
              </w:rPr>
              <w:t xml:space="preserve"> </w:t>
            </w:r>
          </w:p>
        </w:tc>
      </w:tr>
    </w:tbl>
    <w:p w14:paraId="6FCBABBE" w14:textId="719BC713" w:rsidR="00B7545E" w:rsidRPr="00592F94" w:rsidRDefault="00B7545E" w:rsidP="00DF32BE">
      <w:pPr>
        <w:pStyle w:val="Heading1"/>
      </w:pPr>
      <w:bookmarkStart w:id="148" w:name="_Toc153899548"/>
      <w:r w:rsidRPr="00592F94">
        <w:lastRenderedPageBreak/>
        <w:t>References</w:t>
      </w:r>
      <w:bookmarkEnd w:id="148"/>
    </w:p>
    <w:p w14:paraId="04106986" w14:textId="77777777" w:rsidR="009634BB" w:rsidRPr="009634BB" w:rsidRDefault="009634BB" w:rsidP="009634BB">
      <w:pPr>
        <w:ind w:left="720" w:hanging="720"/>
        <w:rPr>
          <w:lang w:eastAsia="en-AU"/>
        </w:rPr>
      </w:pPr>
      <w:r w:rsidRPr="009634BB">
        <w:rPr>
          <w:lang w:val="es-ES" w:eastAsia="en-AU"/>
        </w:rPr>
        <w:t xml:space="preserve">Aces&amp;Aros. "The Asexual Umbrella." </w:t>
      </w:r>
      <w:r w:rsidRPr="009634BB">
        <w:rPr>
          <w:lang w:eastAsia="en-AU"/>
        </w:rPr>
        <w:t xml:space="preserve">Accessed 2023. </w:t>
      </w:r>
      <w:hyperlink r:id="rId107" w:tgtFrame="_new" w:history="1">
        <w:r w:rsidRPr="009634BB">
          <w:rPr>
            <w:rStyle w:val="Hyperlink"/>
            <w:lang w:eastAsia="en-AU"/>
          </w:rPr>
          <w:t>https://acesandaros.org/learn/the-asexual-umbrella</w:t>
        </w:r>
      </w:hyperlink>
      <w:r w:rsidRPr="009634BB">
        <w:rPr>
          <w:lang w:eastAsia="en-AU"/>
        </w:rPr>
        <w:t>.</w:t>
      </w:r>
    </w:p>
    <w:p w14:paraId="04ACE0DF" w14:textId="77777777" w:rsidR="009634BB" w:rsidRPr="009634BB" w:rsidRDefault="009634BB" w:rsidP="009634BB">
      <w:pPr>
        <w:ind w:left="720" w:hanging="720"/>
        <w:rPr>
          <w:lang w:val="en-US" w:eastAsia="en-AU"/>
        </w:rPr>
      </w:pPr>
      <w:r w:rsidRPr="009634BB">
        <w:rPr>
          <w:lang w:eastAsia="en-AU"/>
        </w:rPr>
        <w:t xml:space="preserve">ACON, “LGBTQ+ Counselling and Support”, </w:t>
      </w:r>
      <w:hyperlink r:id="rId108" w:anchor="lgbti-counselling" w:history="1">
        <w:r w:rsidRPr="009634BB">
          <w:rPr>
            <w:rStyle w:val="Hyperlink"/>
            <w:lang w:eastAsia="en-AU"/>
          </w:rPr>
          <w:t>Mental Health -ACON – We are New South Wales’ leading HIV and LGBTQ+ health organisation.</w:t>
        </w:r>
      </w:hyperlink>
    </w:p>
    <w:p w14:paraId="773B7E69" w14:textId="77777777" w:rsidR="009634BB" w:rsidRPr="009634BB" w:rsidRDefault="009634BB" w:rsidP="009634BB">
      <w:pPr>
        <w:ind w:left="720" w:hanging="720"/>
        <w:rPr>
          <w:lang w:eastAsia="en-AU"/>
        </w:rPr>
      </w:pPr>
      <w:r w:rsidRPr="009634BB">
        <w:rPr>
          <w:lang w:eastAsia="en-AU"/>
        </w:rPr>
        <w:t xml:space="preserve">ACT Government, “Capital of Equality Strategy – ACT Government LGBTIQ+ Strategy”,  </w:t>
      </w:r>
      <w:hyperlink r:id="rId109" w:anchor=":~:text=In%202019%20the%20ACT%20Government,are%20visible%2C%20valued%2C%20respected." w:history="1">
        <w:r w:rsidRPr="009634BB">
          <w:rPr>
            <w:rStyle w:val="Hyperlink"/>
            <w:i/>
            <w:iCs/>
            <w:lang w:eastAsia="en-AU"/>
          </w:rPr>
          <w:t>Capital of Equality – ACT Government LGBTIQ+ Strategy</w:t>
        </w:r>
      </w:hyperlink>
      <w:r w:rsidRPr="009634BB">
        <w:rPr>
          <w:i/>
          <w:iCs/>
          <w:lang w:eastAsia="en-AU"/>
        </w:rPr>
        <w:t>.</w:t>
      </w:r>
    </w:p>
    <w:p w14:paraId="406D7336" w14:textId="77777777" w:rsidR="009634BB" w:rsidRPr="009634BB" w:rsidRDefault="009634BB" w:rsidP="009634BB">
      <w:pPr>
        <w:ind w:left="720" w:hanging="720"/>
        <w:rPr>
          <w:lang w:eastAsia="en-AU"/>
        </w:rPr>
      </w:pPr>
      <w:r w:rsidRPr="009634BB">
        <w:rPr>
          <w:lang w:eastAsia="en-AU"/>
        </w:rPr>
        <w:t>Albany Pride, “Events”, https://albanypride.com.au/events/</w:t>
      </w:r>
    </w:p>
    <w:p w14:paraId="41E9BC34" w14:textId="77777777" w:rsidR="009634BB" w:rsidRPr="009634BB" w:rsidRDefault="009634BB" w:rsidP="009634BB">
      <w:pPr>
        <w:ind w:left="720" w:hanging="720"/>
        <w:rPr>
          <w:lang w:eastAsia="en-AU"/>
        </w:rPr>
      </w:pPr>
      <w:r w:rsidRPr="009634BB">
        <w:rPr>
          <w:lang w:val="en-US" w:eastAsia="en-AU"/>
        </w:rPr>
        <w:t xml:space="preserve">Anae, Nicole, “Embracing what is rightfully ours”: representing Australian Aboriginal Brotherboy identities”, in </w:t>
      </w:r>
      <w:r w:rsidRPr="009634BB">
        <w:rPr>
          <w:i/>
          <w:iCs/>
          <w:lang w:val="en-US" w:eastAsia="en-AU"/>
        </w:rPr>
        <w:t>European Journal of English Studies</w:t>
      </w:r>
      <w:r w:rsidRPr="009634BB">
        <w:rPr>
          <w:lang w:val="en-US" w:eastAsia="en-AU"/>
        </w:rPr>
        <w:t xml:space="preserve">, vol. 24 (2020) </w:t>
      </w:r>
    </w:p>
    <w:p w14:paraId="3EE5EBB6" w14:textId="77777777" w:rsidR="009634BB" w:rsidRPr="009634BB" w:rsidRDefault="009634BB" w:rsidP="009634BB">
      <w:pPr>
        <w:ind w:left="720" w:hanging="720"/>
        <w:rPr>
          <w:lang w:eastAsia="en-AU"/>
        </w:rPr>
      </w:pPr>
      <w:r w:rsidRPr="009634BB">
        <w:rPr>
          <w:lang w:eastAsia="en-AU"/>
        </w:rPr>
        <w:t>Australian Bureau of Statistics.</w:t>
      </w:r>
      <w:r w:rsidRPr="009634BB">
        <w:rPr>
          <w:i/>
          <w:iCs/>
          <w:lang w:eastAsia="en-AU"/>
        </w:rPr>
        <w:t xml:space="preserve"> “</w:t>
      </w:r>
      <w:r w:rsidRPr="009634BB">
        <w:rPr>
          <w:lang w:eastAsia="en-AU"/>
        </w:rPr>
        <w:t>General Social Survey 2020: Summary Results Australia – Table 5.3.”</w:t>
      </w:r>
      <w:r w:rsidRPr="009634BB">
        <w:rPr>
          <w:i/>
          <w:iCs/>
          <w:lang w:eastAsia="en-AU"/>
        </w:rPr>
        <w:t xml:space="preserve"> </w:t>
      </w:r>
      <w:r w:rsidRPr="009634BB">
        <w:rPr>
          <w:lang w:eastAsia="en-AU"/>
        </w:rPr>
        <w:t xml:space="preserve">Accessed August 2023. </w:t>
      </w:r>
      <w:hyperlink r:id="rId110" w:history="1">
        <w:r w:rsidRPr="009634BB">
          <w:rPr>
            <w:rStyle w:val="Hyperlink"/>
            <w:lang w:eastAsia="en-AU"/>
          </w:rPr>
          <w:t>https://www.abs.gov.au/statistics/people/people-and-communities/general-social-survey-summary-results-australia/latest-release</w:t>
        </w:r>
      </w:hyperlink>
      <w:r w:rsidRPr="009634BB">
        <w:rPr>
          <w:lang w:eastAsia="en-AU"/>
        </w:rPr>
        <w:t>.</w:t>
      </w:r>
    </w:p>
    <w:p w14:paraId="15907046" w14:textId="77777777" w:rsidR="009634BB" w:rsidRPr="009634BB" w:rsidRDefault="009634BB" w:rsidP="009634BB">
      <w:pPr>
        <w:ind w:left="720" w:hanging="720"/>
        <w:rPr>
          <w:lang w:eastAsia="en-AU"/>
        </w:rPr>
      </w:pPr>
      <w:r w:rsidRPr="009634BB">
        <w:rPr>
          <w:lang w:eastAsia="en-AU"/>
        </w:rPr>
        <w:t xml:space="preserve">Australian Bureau of Statistics. “Labour Force, Australia.” Accessed 2023. </w:t>
      </w:r>
      <w:hyperlink r:id="rId111" w:history="1">
        <w:r w:rsidRPr="009634BB">
          <w:rPr>
            <w:rStyle w:val="Hyperlink"/>
            <w:lang w:eastAsia="en-AU"/>
          </w:rPr>
          <w:t>https://www.abs.gov.au/statistics/labour/employment-and-unemployment/labour-force-australia/latest-release</w:t>
        </w:r>
      </w:hyperlink>
      <w:r w:rsidRPr="009634BB">
        <w:rPr>
          <w:lang w:eastAsia="en-AU"/>
        </w:rPr>
        <w:t>.</w:t>
      </w:r>
    </w:p>
    <w:p w14:paraId="612FE806" w14:textId="77777777" w:rsidR="009634BB" w:rsidRPr="009634BB" w:rsidRDefault="009634BB" w:rsidP="009634BB">
      <w:pPr>
        <w:ind w:left="720" w:hanging="720"/>
        <w:rPr>
          <w:lang w:eastAsia="en-AU"/>
        </w:rPr>
      </w:pPr>
      <w:r w:rsidRPr="009634BB">
        <w:rPr>
          <w:lang w:eastAsia="en-AU"/>
        </w:rPr>
        <w:t xml:space="preserve">Australian Bureau of Statistics, “National Study of Mental Health and Wellbeing 2022 – 2023”, Released: 5 October 2023, </w:t>
      </w:r>
      <w:hyperlink r:id="rId112" w:history="1">
        <w:r w:rsidRPr="009634BB">
          <w:rPr>
            <w:rStyle w:val="Hyperlink"/>
            <w:lang w:eastAsia="en-AU"/>
          </w:rPr>
          <w:t>https://www.abs.gov.au/statistics/health/mental-health/national-study-mental-health-and-wellbeing/latest-release</w:t>
        </w:r>
      </w:hyperlink>
    </w:p>
    <w:p w14:paraId="05E509AC" w14:textId="77777777" w:rsidR="009634BB" w:rsidRPr="009634BB" w:rsidRDefault="009634BB" w:rsidP="009634BB">
      <w:pPr>
        <w:ind w:left="720" w:hanging="720"/>
        <w:rPr>
          <w:lang w:eastAsia="en-AU"/>
        </w:rPr>
      </w:pPr>
      <w:r w:rsidRPr="009634BB">
        <w:rPr>
          <w:lang w:eastAsia="en-AU"/>
        </w:rPr>
        <w:t xml:space="preserve">Australian Bureau of Statistics. "Statement of Regret - 2021 Census." Accessed August 2023. </w:t>
      </w:r>
      <w:hyperlink r:id="rId113" w:tgtFrame="_new" w:history="1">
        <w:r w:rsidRPr="009634BB">
          <w:rPr>
            <w:rStyle w:val="Hyperlink"/>
            <w:lang w:eastAsia="en-AU"/>
          </w:rPr>
          <w:t>https://www.abs.gov.au/media-centre/media-statements/statement-regret-2021-census</w:t>
        </w:r>
      </w:hyperlink>
      <w:r w:rsidRPr="009634BB">
        <w:rPr>
          <w:lang w:eastAsia="en-AU"/>
        </w:rPr>
        <w:t>.</w:t>
      </w:r>
    </w:p>
    <w:p w14:paraId="3EB0B6A5" w14:textId="77777777" w:rsidR="009634BB" w:rsidRPr="009634BB" w:rsidRDefault="009634BB" w:rsidP="009634BB">
      <w:pPr>
        <w:ind w:left="720" w:hanging="720"/>
        <w:rPr>
          <w:lang w:eastAsia="en-AU"/>
        </w:rPr>
      </w:pPr>
      <w:r w:rsidRPr="009634BB">
        <w:rPr>
          <w:lang w:eastAsia="en-AU"/>
        </w:rPr>
        <w:t xml:space="preserve">Australian Human Rights Commission, "Resilient Individuals: Sexual Orientation, Gender Identity &amp; Intersex Rights – National Consultant Report" (2015), 15, accessed August 2023.  </w:t>
      </w:r>
    </w:p>
    <w:p w14:paraId="1C5BA366" w14:textId="77777777" w:rsidR="009634BB" w:rsidRPr="009634BB" w:rsidRDefault="009634BB" w:rsidP="009634BB">
      <w:pPr>
        <w:ind w:left="720" w:hanging="720"/>
        <w:rPr>
          <w:lang w:eastAsia="en-AU"/>
        </w:rPr>
      </w:pPr>
      <w:r w:rsidRPr="009634BB">
        <w:rPr>
          <w:lang w:eastAsia="en-AU"/>
        </w:rPr>
        <w:t xml:space="preserve">Australian Institute of Health and Welfare, </w:t>
      </w:r>
      <w:hyperlink r:id="rId114" w:history="1">
        <w:r w:rsidRPr="009634BB">
          <w:rPr>
            <w:rStyle w:val="Hyperlink"/>
            <w:i/>
            <w:iCs/>
            <w:lang w:eastAsia="en-AU"/>
          </w:rPr>
          <w:t>Mental Health Services in Australia.</w:t>
        </w:r>
      </w:hyperlink>
      <w:r w:rsidRPr="009634BB">
        <w:rPr>
          <w:i/>
          <w:iCs/>
          <w:lang w:eastAsia="en-AU"/>
        </w:rPr>
        <w:t xml:space="preserve">, </w:t>
      </w:r>
      <w:r w:rsidRPr="009634BB">
        <w:rPr>
          <w:lang w:eastAsia="en-AU"/>
        </w:rPr>
        <w:t>Last Updated: 31 October 2023.</w:t>
      </w:r>
    </w:p>
    <w:p w14:paraId="0298302A" w14:textId="77777777" w:rsidR="009634BB" w:rsidRPr="009634BB" w:rsidRDefault="009634BB" w:rsidP="009634BB">
      <w:pPr>
        <w:ind w:left="720" w:hanging="720"/>
        <w:rPr>
          <w:lang w:eastAsia="en-AU"/>
        </w:rPr>
      </w:pPr>
      <w:r w:rsidRPr="009634BB">
        <w:rPr>
          <w:lang w:eastAsia="en-AU"/>
        </w:rPr>
        <w:t>Australian Institute of Health and Welfare, “</w:t>
      </w:r>
      <w:hyperlink r:id="rId115" w:history="1">
        <w:r w:rsidRPr="009634BB">
          <w:rPr>
            <w:rStyle w:val="Hyperlink"/>
            <w:iCs/>
            <w:lang w:eastAsia="en-AU"/>
          </w:rPr>
          <w:t>Social determinants of health</w:t>
        </w:r>
        <w:r w:rsidRPr="009634BB">
          <w:rPr>
            <w:rStyle w:val="Hyperlink"/>
            <w:i/>
            <w:lang w:eastAsia="en-AU"/>
          </w:rPr>
          <w:t>”,</w:t>
        </w:r>
      </w:hyperlink>
      <w:r w:rsidRPr="009634BB">
        <w:rPr>
          <w:i/>
          <w:lang w:eastAsia="en-AU"/>
        </w:rPr>
        <w:t xml:space="preserve"> </w:t>
      </w:r>
      <w:r w:rsidRPr="009634BB">
        <w:rPr>
          <w:iCs/>
          <w:lang w:eastAsia="en-AU"/>
        </w:rPr>
        <w:t xml:space="preserve">Published: </w:t>
      </w:r>
      <w:r w:rsidRPr="009634BB">
        <w:rPr>
          <w:lang w:eastAsia="en-AU"/>
        </w:rPr>
        <w:t xml:space="preserve">7 July 2022 </w:t>
      </w:r>
    </w:p>
    <w:p w14:paraId="237C5FE6" w14:textId="77777777" w:rsidR="009634BB" w:rsidRPr="009634BB" w:rsidRDefault="009634BB" w:rsidP="009634BB">
      <w:pPr>
        <w:ind w:left="720" w:hanging="720"/>
        <w:rPr>
          <w:lang w:eastAsia="en-AU"/>
        </w:rPr>
      </w:pPr>
      <w:r w:rsidRPr="009634BB">
        <w:rPr>
          <w:lang w:val="en-US" w:eastAsia="en-AU"/>
        </w:rPr>
        <w:t xml:space="preserve">Australian Institute of Health and Welfare, </w:t>
      </w:r>
      <w:r w:rsidRPr="009634BB">
        <w:rPr>
          <w:i/>
          <w:iCs/>
          <w:lang w:val="en-US" w:eastAsia="en-AU"/>
        </w:rPr>
        <w:t xml:space="preserve">Mental Health Services – in brief 2019, </w:t>
      </w:r>
      <w:r w:rsidRPr="009634BB">
        <w:rPr>
          <w:lang w:val="en-US" w:eastAsia="en-AU"/>
        </w:rPr>
        <w:t>Published: 2020</w:t>
      </w:r>
    </w:p>
    <w:p w14:paraId="7577CD93" w14:textId="77777777" w:rsidR="009634BB" w:rsidRPr="009634BB" w:rsidRDefault="009634BB" w:rsidP="009634BB">
      <w:pPr>
        <w:ind w:left="720" w:hanging="720"/>
        <w:rPr>
          <w:lang w:eastAsia="en-AU"/>
        </w:rPr>
      </w:pPr>
      <w:r w:rsidRPr="009634BB">
        <w:rPr>
          <w:lang w:eastAsia="en-AU"/>
        </w:rPr>
        <w:t xml:space="preserve">Australian Productivity Commission, </w:t>
      </w:r>
      <w:r w:rsidRPr="009634BB">
        <w:rPr>
          <w:i/>
          <w:iCs/>
          <w:lang w:eastAsia="en-AU"/>
        </w:rPr>
        <w:t xml:space="preserve">Mental Health Inquiry Report, </w:t>
      </w:r>
      <w:r w:rsidRPr="009634BB">
        <w:rPr>
          <w:lang w:eastAsia="en-AU"/>
        </w:rPr>
        <w:t>Published: 16 November 2020</w:t>
      </w:r>
    </w:p>
    <w:p w14:paraId="10167B23" w14:textId="77777777" w:rsidR="009634BB" w:rsidRPr="009634BB" w:rsidRDefault="009634BB" w:rsidP="009634BB">
      <w:pPr>
        <w:ind w:left="720" w:hanging="720"/>
        <w:rPr>
          <w:lang w:eastAsia="en-AU"/>
        </w:rPr>
      </w:pPr>
      <w:r w:rsidRPr="009634BB">
        <w:rPr>
          <w:lang w:eastAsia="en-AU"/>
        </w:rPr>
        <w:t xml:space="preserve">Australian Psychological Society. "Lesbian, Gay, Bisexual, Transgender and Intersex Issues." </w:t>
      </w:r>
      <w:hyperlink r:id="rId116" w:tgtFrame="_new" w:history="1">
        <w:r w:rsidRPr="009634BB">
          <w:rPr>
            <w:rStyle w:val="Hyperlink"/>
            <w:lang w:eastAsia="en-AU"/>
          </w:rPr>
          <w:t>https://psychology.org.au/community/advocacy-social-issues/lesbian-gay-bisexual-transgender-intersex</w:t>
        </w:r>
      </w:hyperlink>
      <w:r w:rsidRPr="009634BB">
        <w:rPr>
          <w:lang w:eastAsia="en-AU"/>
        </w:rPr>
        <w:t>.</w:t>
      </w:r>
    </w:p>
    <w:p w14:paraId="497EB592" w14:textId="77777777" w:rsidR="009634BB" w:rsidRPr="009634BB" w:rsidRDefault="009634BB" w:rsidP="009634BB">
      <w:pPr>
        <w:ind w:left="720" w:hanging="720"/>
        <w:rPr>
          <w:lang w:eastAsia="en-AU"/>
        </w:rPr>
      </w:pPr>
      <w:r w:rsidRPr="009634BB">
        <w:rPr>
          <w:lang w:eastAsia="en-AU"/>
        </w:rPr>
        <w:lastRenderedPageBreak/>
        <w:t xml:space="preserve">Alvarez, Rodrigo Gonzalez., Parra, Luis Armando., ten Brummelaar, Mijntje., Avraamidou, Lucy., and Lopez, Monica. "Resilience among LGBTQIA+ youth in out-of-home care: A scoping review." </w:t>
      </w:r>
      <w:r w:rsidRPr="009634BB">
        <w:rPr>
          <w:i/>
          <w:iCs/>
          <w:lang w:eastAsia="en-AU"/>
        </w:rPr>
        <w:t>Child Abuse &amp; Neglect</w:t>
      </w:r>
      <w:r w:rsidRPr="009634BB">
        <w:rPr>
          <w:lang w:eastAsia="en-AU"/>
        </w:rPr>
        <w:t xml:space="preserve"> 129 (2022). </w:t>
      </w:r>
      <w:hyperlink r:id="rId117" w:tgtFrame="_new" w:history="1">
        <w:r w:rsidRPr="009634BB">
          <w:rPr>
            <w:rStyle w:val="Hyperlink"/>
            <w:lang w:eastAsia="en-AU"/>
          </w:rPr>
          <w:t>https://doi.org/10.1016/j.chiabu.2022.105660</w:t>
        </w:r>
      </w:hyperlink>
      <w:r w:rsidRPr="009634BB">
        <w:rPr>
          <w:lang w:eastAsia="en-AU"/>
        </w:rPr>
        <w:t xml:space="preserve">.  </w:t>
      </w:r>
    </w:p>
    <w:p w14:paraId="1D08834C" w14:textId="77777777" w:rsidR="009634BB" w:rsidRPr="009634BB" w:rsidRDefault="009634BB" w:rsidP="009634BB">
      <w:pPr>
        <w:ind w:left="720" w:hanging="720"/>
        <w:rPr>
          <w:lang w:eastAsia="en-AU"/>
        </w:rPr>
      </w:pPr>
      <w:r w:rsidRPr="009634BB">
        <w:rPr>
          <w:lang w:eastAsia="en-AU"/>
        </w:rPr>
        <w:t xml:space="preserve">American Psychiatric Association. "Gender Dysphoria Diagnosis: A Guide for Working with Transgender and Gender Nonconforming Patients." Accessed August 2023. </w:t>
      </w:r>
      <w:hyperlink r:id="rId118" w:tgtFrame="_new" w:history="1">
        <w:r w:rsidRPr="009634BB">
          <w:rPr>
            <w:rStyle w:val="Hyperlink"/>
            <w:lang w:eastAsia="en-AU"/>
          </w:rPr>
          <w:t>https://www.psychiatry.org/psychiatrists/diversity/education/transgender-and-gender-nonconforming-patients/gender-dysphoria-diagnosis</w:t>
        </w:r>
      </w:hyperlink>
      <w:r w:rsidRPr="009634BB">
        <w:rPr>
          <w:lang w:eastAsia="en-AU"/>
        </w:rPr>
        <w:t>.</w:t>
      </w:r>
    </w:p>
    <w:p w14:paraId="6AA1CB9B" w14:textId="77777777" w:rsidR="009634BB" w:rsidRPr="009634BB" w:rsidRDefault="009634BB" w:rsidP="009634BB">
      <w:pPr>
        <w:ind w:left="720" w:hanging="720"/>
        <w:rPr>
          <w:lang w:eastAsia="en-AU"/>
        </w:rPr>
      </w:pPr>
      <w:r w:rsidRPr="009634BB">
        <w:rPr>
          <w:lang w:eastAsia="en-AU"/>
        </w:rPr>
        <w:t xml:space="preserve">Amos, Natalie., Hart, Bonnie., Hill, Adam., Melendez-Torres, G.J., McNair, Ruth., Carman, Marina., Lyons, Anthony., and Bourne, Adam. “Health intervention experiences and associated mental health outcomes in a sample of LGBTQ people with intersex variations in Australia.” </w:t>
      </w:r>
      <w:r w:rsidRPr="009634BB">
        <w:rPr>
          <w:i/>
          <w:iCs/>
          <w:lang w:eastAsia="en-AU"/>
        </w:rPr>
        <w:t>Culture, Health &amp; Sexuality</w:t>
      </w:r>
      <w:r w:rsidRPr="009634BB">
        <w:rPr>
          <w:lang w:eastAsia="en-AU"/>
        </w:rPr>
        <w:t xml:space="preserve"> 25, no. 7 (2023): 835</w:t>
      </w:r>
    </w:p>
    <w:p w14:paraId="5C0CE0B5" w14:textId="77777777" w:rsidR="009634BB" w:rsidRPr="009634BB" w:rsidRDefault="009634BB" w:rsidP="009634BB">
      <w:pPr>
        <w:ind w:left="720" w:hanging="720"/>
        <w:rPr>
          <w:lang w:val="en-US" w:eastAsia="en-AU"/>
        </w:rPr>
      </w:pPr>
      <w:r w:rsidRPr="009634BB">
        <w:rPr>
          <w:lang w:val="en-US" w:eastAsia="en-AU"/>
        </w:rPr>
        <w:t xml:space="preserve">Anae, Nicole. “Embracing what is rightfully ours”: representing Australian Aboriginal Brotherboy identities.” </w:t>
      </w:r>
      <w:r w:rsidRPr="009634BB">
        <w:rPr>
          <w:i/>
          <w:iCs/>
          <w:lang w:val="en-US" w:eastAsia="en-AU"/>
        </w:rPr>
        <w:t>European Journal of English Studies</w:t>
      </w:r>
      <w:r w:rsidRPr="009634BB">
        <w:rPr>
          <w:lang w:val="en-US" w:eastAsia="en-AU"/>
        </w:rPr>
        <w:t xml:space="preserve"> 24, no.1 (2020): 76 – 88.</w:t>
      </w:r>
    </w:p>
    <w:p w14:paraId="75157311" w14:textId="77777777" w:rsidR="009634BB" w:rsidRPr="009634BB" w:rsidRDefault="009634BB" w:rsidP="009634BB">
      <w:pPr>
        <w:ind w:left="720" w:hanging="720"/>
        <w:rPr>
          <w:lang w:eastAsia="en-AU"/>
        </w:rPr>
      </w:pPr>
      <w:r w:rsidRPr="009634BB">
        <w:rPr>
          <w:lang w:eastAsia="en-AU"/>
        </w:rPr>
        <w:t xml:space="preserve">Australian Human Rights Commission. “Commission welcomes resolution in Census inclusion complaint.” Accessed 15 August 2023. </w:t>
      </w:r>
      <w:hyperlink r:id="rId119" w:history="1">
        <w:r w:rsidRPr="009634BB">
          <w:rPr>
            <w:rStyle w:val="Hyperlink"/>
            <w:lang w:eastAsia="en-AU"/>
          </w:rPr>
          <w:t>https://humanrights.gov.au/about/news/media-releases/commission-welcomes-resolution-census-inclusion-complaint</w:t>
        </w:r>
      </w:hyperlink>
      <w:r w:rsidRPr="009634BB">
        <w:rPr>
          <w:lang w:eastAsia="en-AU"/>
        </w:rPr>
        <w:t>.</w:t>
      </w:r>
    </w:p>
    <w:p w14:paraId="52EC41EB" w14:textId="77777777" w:rsidR="009634BB" w:rsidRPr="009634BB" w:rsidRDefault="009634BB" w:rsidP="009634BB">
      <w:pPr>
        <w:ind w:left="720" w:hanging="720"/>
        <w:rPr>
          <w:lang w:eastAsia="en-AU"/>
        </w:rPr>
      </w:pPr>
      <w:r w:rsidRPr="009634BB">
        <w:rPr>
          <w:lang w:eastAsia="en-AU"/>
        </w:rPr>
        <w:t xml:space="preserve">Australian Human Rights Commission. "Resilient Individuals: Sexual Orientation, Gender Identity &amp; Intersex Rights – National Consultant Report." (2015), 15. Accessed August 2023. </w:t>
      </w:r>
      <w:hyperlink r:id="rId120" w:history="1">
        <w:r w:rsidRPr="009634BB">
          <w:rPr>
            <w:rStyle w:val="Hyperlink"/>
            <w:lang w:eastAsia="en-AU"/>
          </w:rPr>
          <w:t>https://humanrights.gov.au/sites/default/files/document/publication/SOGII%20Rights%20Report%202015_Web_Version.pdf</w:t>
        </w:r>
      </w:hyperlink>
      <w:r w:rsidRPr="009634BB">
        <w:rPr>
          <w:lang w:eastAsia="en-AU"/>
        </w:rPr>
        <w:t xml:space="preserve">. </w:t>
      </w:r>
    </w:p>
    <w:p w14:paraId="4CA9C031" w14:textId="77777777" w:rsidR="009634BB" w:rsidRPr="009634BB" w:rsidRDefault="009634BB" w:rsidP="009634BB">
      <w:pPr>
        <w:ind w:left="720" w:hanging="720"/>
        <w:rPr>
          <w:lang w:eastAsia="en-AU"/>
        </w:rPr>
      </w:pPr>
      <w:r w:rsidRPr="009634BB">
        <w:rPr>
          <w:lang w:eastAsia="en-AU"/>
        </w:rPr>
        <w:t xml:space="preserve"> </w:t>
      </w:r>
      <w:r w:rsidRPr="009634BB">
        <w:rPr>
          <w:lang w:val="en-US" w:eastAsia="en-AU"/>
        </w:rPr>
        <w:t xml:space="preserve">Australian Institute of Health and Welfare. “Alcohol, tobacco &amp; other drugs in Australia.” Accessed October 2023. </w:t>
      </w:r>
      <w:hyperlink r:id="rId121" w:anchor="tobacco" w:history="1">
        <w:r w:rsidRPr="009634BB">
          <w:rPr>
            <w:rStyle w:val="Hyperlink"/>
            <w:lang w:val="en-US" w:eastAsia="en-AU"/>
          </w:rPr>
          <w:t>https://www.aihw.gov.au/reports/alcohol/alcohol-tobacco-other-drugs-australia/contents/population-groups-of-interest/patterns-of-consumption-by-drug-type#tobacco</w:t>
        </w:r>
      </w:hyperlink>
      <w:r w:rsidRPr="009634BB">
        <w:rPr>
          <w:lang w:val="en-US" w:eastAsia="en-AU"/>
        </w:rPr>
        <w:t xml:space="preserve">. </w:t>
      </w:r>
      <w:r w:rsidRPr="009634BB">
        <w:rPr>
          <w:lang w:eastAsia="en-AU"/>
        </w:rPr>
        <w:t xml:space="preserve">  </w:t>
      </w:r>
    </w:p>
    <w:p w14:paraId="273F0041" w14:textId="77777777" w:rsidR="009634BB" w:rsidRPr="009634BB" w:rsidRDefault="009634BB" w:rsidP="009634BB">
      <w:pPr>
        <w:ind w:left="720" w:hanging="720"/>
        <w:rPr>
          <w:lang w:eastAsia="en-AU"/>
        </w:rPr>
      </w:pPr>
      <w:r w:rsidRPr="009634BB">
        <w:rPr>
          <w:lang w:eastAsia="en-AU"/>
        </w:rPr>
        <w:t xml:space="preserve">Australian Institute of Health and Welfare. </w:t>
      </w:r>
      <w:r w:rsidRPr="009634BB">
        <w:rPr>
          <w:i/>
          <w:iCs/>
          <w:lang w:eastAsia="en-AU"/>
        </w:rPr>
        <w:t>Social determinants of health</w:t>
      </w:r>
      <w:r w:rsidRPr="009634BB">
        <w:rPr>
          <w:lang w:eastAsia="en-AU"/>
        </w:rPr>
        <w:t xml:space="preserve">. 2022. </w:t>
      </w:r>
      <w:hyperlink r:id="rId122" w:history="1">
        <w:r w:rsidRPr="009634BB">
          <w:rPr>
            <w:rStyle w:val="Hyperlink"/>
            <w:lang w:eastAsia="en-AU"/>
          </w:rPr>
          <w:t>https://www.aihw.gov.au/reports/australias-health/social-determinants-of-health</w:t>
        </w:r>
      </w:hyperlink>
      <w:r w:rsidRPr="009634BB">
        <w:rPr>
          <w:lang w:eastAsia="en-AU"/>
        </w:rPr>
        <w:t xml:space="preserve"> </w:t>
      </w:r>
    </w:p>
    <w:p w14:paraId="36F97908" w14:textId="77777777" w:rsidR="009634BB" w:rsidRPr="009634BB" w:rsidRDefault="009634BB" w:rsidP="009634BB">
      <w:pPr>
        <w:ind w:left="720" w:hanging="720"/>
        <w:rPr>
          <w:lang w:eastAsia="en-AU"/>
        </w:rPr>
      </w:pPr>
      <w:r w:rsidRPr="009634BB">
        <w:rPr>
          <w:lang w:eastAsia="en-AU"/>
        </w:rPr>
        <w:t xml:space="preserve">Aqsuith, Nicole., Collison, Anneke., Lewis, Lisa., Noonan, Kai., Layard, Eloise., Kaur, Guneet., Bellei, Fernanda., and Yigiter, Erdem. "Home is where our story begins: CALD LGBTIQ+ people’s relationships to family." </w:t>
      </w:r>
      <w:r w:rsidRPr="009634BB">
        <w:rPr>
          <w:i/>
          <w:iCs/>
          <w:lang w:eastAsia="en-AU"/>
        </w:rPr>
        <w:t>Current Issues in Criminal Justice</w:t>
      </w:r>
      <w:r w:rsidRPr="009634BB">
        <w:rPr>
          <w:lang w:eastAsia="en-AU"/>
        </w:rPr>
        <w:t xml:space="preserve"> 31, no. 3 (2019): 311-322.</w:t>
      </w:r>
    </w:p>
    <w:p w14:paraId="1BA50352" w14:textId="77777777" w:rsidR="009634BB" w:rsidRPr="009634BB" w:rsidRDefault="009634BB" w:rsidP="009634BB">
      <w:pPr>
        <w:ind w:left="720" w:hanging="720"/>
        <w:rPr>
          <w:lang w:eastAsia="en-AU"/>
        </w:rPr>
      </w:pPr>
      <w:r w:rsidRPr="009634BB">
        <w:rPr>
          <w:lang w:eastAsia="en-AU"/>
        </w:rPr>
        <w:t xml:space="preserve">Badge, Hiero., Turner, Jackie., Fabry-Jenkins, Austin., and Sirovska, Nevena. </w:t>
      </w:r>
      <w:r w:rsidRPr="009634BB">
        <w:rPr>
          <w:i/>
          <w:iCs/>
          <w:lang w:eastAsia="en-AU"/>
        </w:rPr>
        <w:t>Fuelling Hate: Abuse, Harassment, Vilification and Violence Against Trans People in Australia.</w:t>
      </w:r>
      <w:r w:rsidRPr="009634BB">
        <w:rPr>
          <w:lang w:eastAsia="en-AU"/>
        </w:rPr>
        <w:t xml:space="preserve"> Trans Justice Project and Victorian Pride Lobby, 2023. </w:t>
      </w:r>
    </w:p>
    <w:p w14:paraId="247D2B58" w14:textId="77777777" w:rsidR="009634BB" w:rsidRPr="009634BB" w:rsidRDefault="009634BB" w:rsidP="009634BB">
      <w:pPr>
        <w:ind w:left="720" w:hanging="720"/>
        <w:rPr>
          <w:lang w:eastAsia="en-AU"/>
        </w:rPr>
      </w:pPr>
      <w:r w:rsidRPr="009634BB">
        <w:rPr>
          <w:lang w:eastAsia="en-AU"/>
        </w:rPr>
        <w:t xml:space="preserve">Bariola, Emily., Lyons, Anthony., and Lucke, Jayne. "Flourishing Among Sexual Minority Individuals: Application of the Dual Continuum Model of Mental Health in a Sample of Lesbians and Gay Men." </w:t>
      </w:r>
      <w:r w:rsidRPr="009634BB">
        <w:rPr>
          <w:i/>
          <w:iCs/>
          <w:lang w:eastAsia="en-AU"/>
        </w:rPr>
        <w:t>Psychology of Sexual Orientation and Gender Diversity</w:t>
      </w:r>
      <w:r w:rsidRPr="009634BB">
        <w:rPr>
          <w:lang w:eastAsia="en-AU"/>
        </w:rPr>
        <w:t xml:space="preserve"> 4, no. 1 (2017): 43-53.</w:t>
      </w:r>
    </w:p>
    <w:p w14:paraId="70F49E8A" w14:textId="77777777" w:rsidR="009634BB" w:rsidRPr="009634BB" w:rsidRDefault="009634BB" w:rsidP="009634BB">
      <w:pPr>
        <w:ind w:left="720" w:hanging="720"/>
        <w:rPr>
          <w:lang w:eastAsia="en-AU"/>
        </w:rPr>
      </w:pPr>
      <w:r w:rsidRPr="009634BB">
        <w:rPr>
          <w:lang w:eastAsia="en-AU"/>
        </w:rPr>
        <w:t xml:space="preserve">Bariola, Emily., Lyons, Anthony., Leonard, William., Pitts, Marian., Badcock, Paul., and Couch, Murray. "Demographic and Psychosocial Factors Associated with </w:t>
      </w:r>
      <w:r w:rsidRPr="009634BB">
        <w:rPr>
          <w:lang w:eastAsia="en-AU"/>
        </w:rPr>
        <w:lastRenderedPageBreak/>
        <w:t xml:space="preserve">Psychological Distress and Resilience among Transgender Individuals." </w:t>
      </w:r>
      <w:r w:rsidRPr="009634BB">
        <w:rPr>
          <w:i/>
          <w:iCs/>
          <w:lang w:eastAsia="en-AU"/>
        </w:rPr>
        <w:t>Health Discrimination and Disparities</w:t>
      </w:r>
      <w:r w:rsidRPr="009634BB">
        <w:rPr>
          <w:lang w:eastAsia="en-AU"/>
        </w:rPr>
        <w:t xml:space="preserve"> 105, no. 10 (2015): 2108-2116.</w:t>
      </w:r>
    </w:p>
    <w:p w14:paraId="73731096" w14:textId="77777777" w:rsidR="009634BB" w:rsidRPr="009634BB" w:rsidRDefault="009634BB" w:rsidP="009634BB">
      <w:pPr>
        <w:ind w:left="720" w:hanging="720"/>
        <w:rPr>
          <w:lang w:eastAsia="en-AU"/>
        </w:rPr>
      </w:pPr>
      <w:r w:rsidRPr="009634BB">
        <w:rPr>
          <w:lang w:eastAsia="en-AU"/>
        </w:rPr>
        <w:t xml:space="preserve">Baylis, Troy-Anthony. "Introduction: Looking </w:t>
      </w:r>
      <w:proofErr w:type="gramStart"/>
      <w:r w:rsidRPr="009634BB">
        <w:rPr>
          <w:lang w:eastAsia="en-AU"/>
        </w:rPr>
        <w:t>Into</w:t>
      </w:r>
      <w:proofErr w:type="gramEnd"/>
      <w:r w:rsidRPr="009634BB">
        <w:rPr>
          <w:lang w:eastAsia="en-AU"/>
        </w:rPr>
        <w:t xml:space="preserve"> the Mirror" In </w:t>
      </w:r>
      <w:r w:rsidRPr="009634BB">
        <w:rPr>
          <w:i/>
          <w:iCs/>
          <w:lang w:eastAsia="en-AU"/>
        </w:rPr>
        <w:t>Colouring the Rainbow: Blak Queer and Trans Perspectives</w:t>
      </w:r>
      <w:r w:rsidRPr="009634BB">
        <w:rPr>
          <w:lang w:eastAsia="en-AU"/>
        </w:rPr>
        <w:t>, edited by Dino Hodge, Wakefield Press, 2015.</w:t>
      </w:r>
    </w:p>
    <w:p w14:paraId="20503F75" w14:textId="77777777" w:rsidR="009634BB" w:rsidRPr="009634BB" w:rsidRDefault="009634BB" w:rsidP="009634BB">
      <w:pPr>
        <w:ind w:left="720" w:hanging="720"/>
        <w:rPr>
          <w:lang w:eastAsia="en-AU"/>
        </w:rPr>
      </w:pPr>
      <w:r w:rsidRPr="00624A03">
        <w:rPr>
          <w:lang w:eastAsia="en-AU"/>
        </w:rPr>
        <w:t xml:space="preserve">Bellingham, Brett, Elder, Emma, Foxlewin, Bradley, Gale, Nyree, Rose, Dr. Grenville, Sam, Katy, Thorburn, Kath &amp; River, Jo, </w:t>
      </w:r>
      <w:r w:rsidRPr="00624A03">
        <w:rPr>
          <w:i/>
          <w:iCs/>
          <w:lang w:eastAsia="en-AU"/>
        </w:rPr>
        <w:t>Co-design Kickstarter</w:t>
      </w:r>
      <w:r w:rsidRPr="00624A03">
        <w:rPr>
          <w:lang w:eastAsia="en-AU"/>
        </w:rPr>
        <w:t>. Community Mental Health Drug and Alcohol Research Network, 2023.</w:t>
      </w:r>
    </w:p>
    <w:p w14:paraId="419F33CF" w14:textId="77777777" w:rsidR="009634BB" w:rsidRPr="009634BB" w:rsidRDefault="009634BB" w:rsidP="009634BB">
      <w:pPr>
        <w:ind w:left="720" w:hanging="720"/>
        <w:rPr>
          <w:lang w:eastAsia="en-AU"/>
        </w:rPr>
      </w:pPr>
      <w:r w:rsidRPr="009634BB">
        <w:rPr>
          <w:lang w:eastAsia="en-AU"/>
        </w:rPr>
        <w:t>Benavides, Mayumi., Berry, Obianuju., and Mangus, Molly. "Treating LGBTQ Patients Who Have Experienced Intimate Partner Violence." American Psychiatric Association, April 2019.</w:t>
      </w:r>
    </w:p>
    <w:p w14:paraId="139370E8" w14:textId="77777777" w:rsidR="009634BB" w:rsidRPr="009634BB" w:rsidRDefault="009634BB" w:rsidP="009634BB">
      <w:pPr>
        <w:ind w:left="720" w:hanging="720"/>
        <w:rPr>
          <w:lang w:eastAsia="en-AU"/>
        </w:rPr>
      </w:pPr>
      <w:r w:rsidRPr="009634BB">
        <w:rPr>
          <w:lang w:eastAsia="en-AU"/>
        </w:rPr>
        <w:t>Blythe, Isaac. "Passing Notion: The Experience of Four Trans Identified Students and the Violence of Assimilation." Honors thesis, 2016.</w:t>
      </w:r>
    </w:p>
    <w:p w14:paraId="1A5F2C8E" w14:textId="77777777" w:rsidR="009634BB" w:rsidRPr="009634BB" w:rsidRDefault="009634BB" w:rsidP="009634BB">
      <w:pPr>
        <w:ind w:left="720" w:hanging="720"/>
        <w:rPr>
          <w:lang w:eastAsia="en-AU"/>
        </w:rPr>
      </w:pPr>
      <w:r w:rsidRPr="009634BB">
        <w:rPr>
          <w:lang w:eastAsia="en-AU"/>
        </w:rPr>
        <w:t xml:space="preserve">Camp, Jake., Vitoratou, Silia., and Rimes, Katharine. "LGBQ+ Self-Acceptance and Its Relationship with Minority Stressors and Mental Health: A Systematic Literature Review." </w:t>
      </w:r>
      <w:r w:rsidRPr="009634BB">
        <w:rPr>
          <w:i/>
          <w:iCs/>
          <w:lang w:eastAsia="en-AU"/>
        </w:rPr>
        <w:t>Archives of Sexual Behavior</w:t>
      </w:r>
      <w:r w:rsidRPr="009634BB">
        <w:rPr>
          <w:lang w:eastAsia="en-AU"/>
        </w:rPr>
        <w:t xml:space="preserve"> 49 (2020): 2353-2373.</w:t>
      </w:r>
    </w:p>
    <w:p w14:paraId="503D06DF" w14:textId="77777777" w:rsidR="009634BB" w:rsidRPr="009634BB" w:rsidRDefault="009634BB" w:rsidP="009634BB">
      <w:pPr>
        <w:ind w:left="720" w:hanging="720"/>
        <w:rPr>
          <w:lang w:eastAsia="en-AU"/>
        </w:rPr>
      </w:pPr>
      <w:r w:rsidRPr="009634BB">
        <w:rPr>
          <w:lang w:eastAsia="en-AU"/>
        </w:rPr>
        <w:t xml:space="preserve">Carpenter, Morgan. "Health Needs of People with Intersex Variations." </w:t>
      </w:r>
      <w:r w:rsidRPr="009634BB">
        <w:rPr>
          <w:i/>
          <w:iCs/>
          <w:lang w:eastAsia="en-AU"/>
        </w:rPr>
        <w:t>LGBTIQA+ Healthcare</w:t>
      </w:r>
      <w:r w:rsidRPr="009634BB">
        <w:rPr>
          <w:lang w:eastAsia="en-AU"/>
        </w:rPr>
        <w:t xml:space="preserve"> (General Practice Supervisors Australia, 2021): 1.</w:t>
      </w:r>
    </w:p>
    <w:p w14:paraId="503D7732" w14:textId="77777777" w:rsidR="009634BB" w:rsidRPr="009634BB" w:rsidRDefault="009634BB" w:rsidP="009634BB">
      <w:pPr>
        <w:ind w:left="720" w:hanging="720"/>
        <w:rPr>
          <w:lang w:eastAsia="en-AU"/>
        </w:rPr>
      </w:pPr>
      <w:r w:rsidRPr="009634BB">
        <w:rPr>
          <w:lang w:eastAsia="en-AU"/>
        </w:rPr>
        <w:t xml:space="preserve">Centre for Excellence in Therapeutic Care. </w:t>
      </w:r>
      <w:r w:rsidRPr="009634BB">
        <w:rPr>
          <w:i/>
          <w:iCs/>
          <w:lang w:eastAsia="en-AU"/>
        </w:rPr>
        <w:t xml:space="preserve">The Needs of LGBTIQ Young People in Out of Home Care. </w:t>
      </w:r>
      <w:r w:rsidRPr="009634BB">
        <w:rPr>
          <w:lang w:eastAsia="en-AU"/>
        </w:rPr>
        <w:t xml:space="preserve">Australian Childhood Foundation and Southern Cross University, 2019. </w:t>
      </w:r>
      <w:hyperlink r:id="rId123" w:history="1">
        <w:r w:rsidRPr="009634BB">
          <w:rPr>
            <w:rStyle w:val="Hyperlink"/>
            <w:lang w:eastAsia="en-AU"/>
          </w:rPr>
          <w:t>https://www.cetc.org.au/the-needs-of-lgbtiq-young-people-in-out-of-home-care-research-brief/</w:t>
        </w:r>
      </w:hyperlink>
    </w:p>
    <w:p w14:paraId="61129F5D" w14:textId="77777777" w:rsidR="009634BB" w:rsidRPr="009634BB" w:rsidRDefault="009634BB" w:rsidP="009634BB">
      <w:pPr>
        <w:ind w:left="720" w:hanging="720"/>
        <w:rPr>
          <w:lang w:val="en-US" w:eastAsia="en-AU"/>
        </w:rPr>
      </w:pPr>
      <w:r w:rsidRPr="009634BB">
        <w:rPr>
          <w:lang w:eastAsia="en-AU"/>
        </w:rPr>
        <w:t xml:space="preserve">Charania, Guilzar Raisa. "Regulated Narratives in Anti-Homophobia Education: Complications in Coming Out Stories." </w:t>
      </w:r>
      <w:r w:rsidRPr="009634BB">
        <w:rPr>
          <w:i/>
          <w:iCs/>
          <w:lang w:eastAsia="en-AU"/>
        </w:rPr>
        <w:t>Canadian Woman Studies</w:t>
      </w:r>
      <w:r w:rsidRPr="009634BB">
        <w:rPr>
          <w:lang w:eastAsia="en-AU"/>
        </w:rPr>
        <w:t xml:space="preserve"> 24 (2005): 31-37.</w:t>
      </w:r>
    </w:p>
    <w:p w14:paraId="2278A9B3" w14:textId="77777777" w:rsidR="009634BB" w:rsidRPr="009634BB" w:rsidRDefault="009634BB" w:rsidP="009634BB">
      <w:pPr>
        <w:ind w:left="720" w:hanging="720"/>
        <w:rPr>
          <w:lang w:eastAsia="en-AU"/>
        </w:rPr>
      </w:pPr>
      <w:r w:rsidRPr="009634BB">
        <w:rPr>
          <w:lang w:eastAsia="en-AU"/>
        </w:rPr>
        <w:t xml:space="preserve">Charter, Rosie., Ussher, Jane., Perz, Janette., and Robinson, Kerry. "Transgender Parents: Negotiating 'Coming Out' and Gender Affirmation with Children and Co-Parents." </w:t>
      </w:r>
      <w:r w:rsidRPr="009634BB">
        <w:rPr>
          <w:i/>
          <w:iCs/>
          <w:lang w:eastAsia="en-AU"/>
        </w:rPr>
        <w:t>Journal of Homosexuality</w:t>
      </w:r>
      <w:r w:rsidRPr="009634BB">
        <w:rPr>
          <w:lang w:eastAsia="en-AU"/>
        </w:rPr>
        <w:t xml:space="preserve"> 70, no. 7 (2022): 1287-1305. </w:t>
      </w:r>
    </w:p>
    <w:p w14:paraId="0A12F59F" w14:textId="77777777" w:rsidR="009634BB" w:rsidRPr="00624A03" w:rsidRDefault="009634BB" w:rsidP="009634BB">
      <w:pPr>
        <w:ind w:left="720" w:hanging="720"/>
        <w:rPr>
          <w:lang w:eastAsia="en-AU"/>
        </w:rPr>
      </w:pPr>
      <w:r w:rsidRPr="009634BB">
        <w:rPr>
          <w:lang w:eastAsia="en-AU"/>
        </w:rPr>
        <w:t xml:space="preserve">Collective Action, </w:t>
      </w:r>
      <w:proofErr w:type="gramStart"/>
      <w:r w:rsidRPr="009634BB">
        <w:rPr>
          <w:i/>
          <w:iCs/>
          <w:lang w:eastAsia="en-AU"/>
        </w:rPr>
        <w:t>The</w:t>
      </w:r>
      <w:proofErr w:type="gramEnd"/>
      <w:r w:rsidRPr="009634BB">
        <w:rPr>
          <w:i/>
          <w:iCs/>
          <w:lang w:eastAsia="en-AU"/>
        </w:rPr>
        <w:t xml:space="preserve"> role of LGBTIQA+ peer-led services in meeting the health needs of LGBTIQA+ people in Australia.</w:t>
      </w:r>
      <w:r w:rsidRPr="009634BB">
        <w:rPr>
          <w:lang w:eastAsia="en-AU"/>
        </w:rPr>
        <w:t xml:space="preserve"> </w:t>
      </w:r>
      <w:r w:rsidRPr="00624A03">
        <w:rPr>
          <w:lang w:eastAsia="en-AU"/>
        </w:rPr>
        <w:t xml:space="preserve">Meridian (2023) </w:t>
      </w:r>
      <w:hyperlink r:id="rId124" w:history="1">
        <w:r w:rsidRPr="00624A03">
          <w:rPr>
            <w:rStyle w:val="Hyperlink"/>
            <w:lang w:eastAsia="en-AU"/>
          </w:rPr>
          <w:t>https://www.meridianact.org.au/role_of_lgbtiqa_peer_led_services</w:t>
        </w:r>
      </w:hyperlink>
    </w:p>
    <w:p w14:paraId="14659414" w14:textId="77777777" w:rsidR="009634BB" w:rsidRPr="009634BB" w:rsidRDefault="009634BB" w:rsidP="009634BB">
      <w:pPr>
        <w:ind w:left="720" w:hanging="720"/>
        <w:rPr>
          <w:lang w:val="en-US" w:eastAsia="en-AU"/>
        </w:rPr>
      </w:pPr>
      <w:r w:rsidRPr="009634BB">
        <w:rPr>
          <w:lang w:eastAsia="en-AU"/>
        </w:rPr>
        <w:t xml:space="preserve">Commonwealth of Australia, </w:t>
      </w:r>
      <w:r w:rsidRPr="009634BB">
        <w:rPr>
          <w:i/>
          <w:iCs/>
          <w:lang w:val="en-US" w:eastAsia="en-AU"/>
        </w:rPr>
        <w:t xml:space="preserve">Royal Commission into Violence, Abuse, Neglect and Exploitation of People with Disability – Volume 3: Nature and extent of violence, abuse, neglect and exploitation, </w:t>
      </w:r>
      <w:r w:rsidRPr="009634BB">
        <w:rPr>
          <w:lang w:val="en-US" w:eastAsia="en-AU"/>
        </w:rPr>
        <w:t>September</w:t>
      </w:r>
      <w:r w:rsidRPr="009634BB">
        <w:rPr>
          <w:i/>
          <w:iCs/>
          <w:lang w:val="en-US" w:eastAsia="en-AU"/>
        </w:rPr>
        <w:t xml:space="preserve"> </w:t>
      </w:r>
      <w:r w:rsidRPr="009634BB">
        <w:rPr>
          <w:lang w:val="en-US" w:eastAsia="en-AU"/>
        </w:rPr>
        <w:t>2023</w:t>
      </w:r>
    </w:p>
    <w:p w14:paraId="17EE8967" w14:textId="77777777" w:rsidR="009634BB" w:rsidRPr="009634BB" w:rsidRDefault="009634BB" w:rsidP="009634BB">
      <w:pPr>
        <w:ind w:left="720" w:hanging="720"/>
        <w:rPr>
          <w:lang w:eastAsia="en-AU"/>
        </w:rPr>
      </w:pPr>
      <w:r w:rsidRPr="009634BB">
        <w:rPr>
          <w:lang w:eastAsia="en-AU"/>
        </w:rPr>
        <w:t xml:space="preserve">Commonwealth of Australia, </w:t>
      </w:r>
      <w:r w:rsidRPr="009634BB">
        <w:rPr>
          <w:i/>
          <w:iCs/>
          <w:lang w:eastAsia="en-AU"/>
        </w:rPr>
        <w:t xml:space="preserve">National Mental Health and Suicide Prevention Agreement </w:t>
      </w:r>
      <w:r w:rsidRPr="009634BB">
        <w:rPr>
          <w:lang w:eastAsia="en-AU"/>
        </w:rPr>
        <w:t>(2022).</w:t>
      </w:r>
    </w:p>
    <w:p w14:paraId="3519E87E" w14:textId="77777777" w:rsidR="009634BB" w:rsidRPr="009634BB" w:rsidRDefault="009634BB" w:rsidP="009634BB">
      <w:pPr>
        <w:ind w:left="720" w:hanging="720"/>
        <w:rPr>
          <w:lang w:eastAsia="en-AU"/>
        </w:rPr>
      </w:pPr>
      <w:r w:rsidRPr="009634BB">
        <w:rPr>
          <w:lang w:eastAsia="en-AU"/>
        </w:rPr>
        <w:t xml:space="preserve">Commonwealth Department of Health, </w:t>
      </w:r>
      <w:r w:rsidRPr="009634BB">
        <w:rPr>
          <w:i/>
          <w:iCs/>
          <w:lang w:eastAsia="en-AU"/>
        </w:rPr>
        <w:t xml:space="preserve">Annual Report 2019-20, </w:t>
      </w:r>
      <w:r w:rsidRPr="009634BB">
        <w:rPr>
          <w:lang w:eastAsia="en-AU"/>
        </w:rPr>
        <w:t>Publication Date: 1 December 2020.</w:t>
      </w:r>
    </w:p>
    <w:p w14:paraId="3DF90CD4" w14:textId="77777777" w:rsidR="009634BB" w:rsidRPr="009634BB" w:rsidRDefault="009634BB" w:rsidP="009634BB">
      <w:pPr>
        <w:ind w:left="720" w:hanging="720"/>
        <w:rPr>
          <w:lang w:eastAsia="en-AU"/>
        </w:rPr>
      </w:pPr>
      <w:r w:rsidRPr="009634BB">
        <w:rPr>
          <w:lang w:eastAsia="en-AU"/>
        </w:rPr>
        <w:t xml:space="preserve">Commonwealth Department of Health, </w:t>
      </w:r>
      <w:r w:rsidRPr="009634BB">
        <w:rPr>
          <w:i/>
          <w:iCs/>
          <w:lang w:eastAsia="en-AU"/>
        </w:rPr>
        <w:t>Prioritising Mental Health – Adult Mental Health Centres</w:t>
      </w:r>
      <w:r w:rsidRPr="009634BB">
        <w:rPr>
          <w:lang w:eastAsia="en-AU"/>
        </w:rPr>
        <w:t>, Published: 2019.</w:t>
      </w:r>
    </w:p>
    <w:p w14:paraId="166DFFCE" w14:textId="77777777" w:rsidR="009634BB" w:rsidRPr="009634BB" w:rsidRDefault="009634BB" w:rsidP="009634BB">
      <w:pPr>
        <w:ind w:left="720" w:hanging="720"/>
        <w:rPr>
          <w:lang w:eastAsia="en-AU"/>
        </w:rPr>
      </w:pPr>
      <w:r w:rsidRPr="009634BB">
        <w:rPr>
          <w:lang w:eastAsia="en-AU"/>
        </w:rPr>
        <w:lastRenderedPageBreak/>
        <w:t xml:space="preserve">Cutler, Blake., Cordoba, Beatriz., Walsh, Lucas., Mikola, Masha., and Waite, Catherine., </w:t>
      </w:r>
      <w:r w:rsidRPr="009634BB">
        <w:rPr>
          <w:i/>
          <w:iCs/>
          <w:lang w:eastAsia="en-AU"/>
        </w:rPr>
        <w:t>Queer Young People in Australia: Insights from the 2021 Australian Youth Barometer</w:t>
      </w:r>
      <w:r w:rsidRPr="009634BB">
        <w:rPr>
          <w:lang w:eastAsia="en-AU"/>
        </w:rPr>
        <w:t xml:space="preserve"> (May 2022). </w:t>
      </w:r>
    </w:p>
    <w:p w14:paraId="14FB2CB3" w14:textId="77777777" w:rsidR="009634BB" w:rsidRPr="009634BB" w:rsidRDefault="009634BB" w:rsidP="009634BB">
      <w:pPr>
        <w:ind w:left="720" w:hanging="720"/>
        <w:rPr>
          <w:lang w:eastAsia="en-AU"/>
        </w:rPr>
      </w:pPr>
      <w:r w:rsidRPr="009634BB">
        <w:rPr>
          <w:lang w:eastAsia="en-AU"/>
        </w:rPr>
        <w:t xml:space="preserve">Day, Madi., Carlson, Bronwyn., Bonson, Dameyon., and Farrelly, Terri. </w:t>
      </w:r>
      <w:r w:rsidRPr="009634BB">
        <w:rPr>
          <w:i/>
          <w:iCs/>
          <w:lang w:eastAsia="en-AU"/>
        </w:rPr>
        <w:t>Aboriginal and Torres Strait Islander LGBTQIASB+ People and Mental Health and Wellbeing.</w:t>
      </w:r>
      <w:r w:rsidRPr="009634BB">
        <w:rPr>
          <w:lang w:eastAsia="en-AU"/>
        </w:rPr>
        <w:t xml:space="preserve"> Catalogue number IMH 15. Australian Institute for Health and Welfare, Australian Government, 2023.</w:t>
      </w:r>
    </w:p>
    <w:p w14:paraId="02EE7E9C" w14:textId="77777777" w:rsidR="009634BB" w:rsidRPr="009634BB" w:rsidRDefault="009634BB" w:rsidP="009634BB">
      <w:pPr>
        <w:ind w:left="720" w:hanging="720"/>
        <w:rPr>
          <w:lang w:eastAsia="en-AU"/>
        </w:rPr>
      </w:pPr>
      <w:r w:rsidRPr="009634BB">
        <w:rPr>
          <w:lang w:eastAsia="en-AU"/>
        </w:rPr>
        <w:t xml:space="preserve">Demant, Daniel., Hides, Leanne., White, Katherine., and Kavanagh, David. "LGBT Communities and Substance Use in Queensland, Australia: Perceptions of Young People and Community Stakeholders," </w:t>
      </w:r>
      <w:r w:rsidRPr="009634BB">
        <w:rPr>
          <w:i/>
          <w:iCs/>
          <w:lang w:eastAsia="en-AU"/>
        </w:rPr>
        <w:t>PLoS One</w:t>
      </w:r>
      <w:r w:rsidRPr="009634BB">
        <w:rPr>
          <w:lang w:eastAsia="en-AU"/>
        </w:rPr>
        <w:t xml:space="preserve"> 13, no. 9 (2018).</w:t>
      </w:r>
    </w:p>
    <w:p w14:paraId="127BE743" w14:textId="77777777" w:rsidR="009634BB" w:rsidRPr="009634BB" w:rsidRDefault="009634BB" w:rsidP="009634BB">
      <w:pPr>
        <w:ind w:left="720" w:hanging="720"/>
        <w:rPr>
          <w:lang w:eastAsia="en-AU"/>
        </w:rPr>
      </w:pPr>
      <w:r w:rsidRPr="009634BB">
        <w:rPr>
          <w:lang w:val="en-US" w:eastAsia="en-AU"/>
        </w:rPr>
        <w:t xml:space="preserve">Department of Health and Aged Care, “Pathway to better health for LGBTIQA+ communities”, Date published: 1 March 2023, </w:t>
      </w:r>
      <w:hyperlink r:id="rId125" w:history="1">
        <w:r w:rsidRPr="009634BB">
          <w:rPr>
            <w:rStyle w:val="Hyperlink"/>
            <w:lang w:eastAsia="en-AU"/>
          </w:rPr>
          <w:t>Pathway to better health for LGBTIQA+ communities | Health Portfolio Ministers | Australian Government Department of Health and Aged Care</w:t>
        </w:r>
      </w:hyperlink>
    </w:p>
    <w:p w14:paraId="3663BED9" w14:textId="77777777" w:rsidR="009634BB" w:rsidRPr="009634BB" w:rsidRDefault="009634BB" w:rsidP="009634BB">
      <w:pPr>
        <w:ind w:left="720" w:hanging="720"/>
        <w:rPr>
          <w:lang w:eastAsia="en-AU"/>
        </w:rPr>
      </w:pPr>
      <w:r w:rsidRPr="009634BB">
        <w:rPr>
          <w:lang w:eastAsia="en-AU"/>
        </w:rPr>
        <w:t xml:space="preserve">Derald Wing, Sue., Capodilupo, Christina., Nadal, Kevin., and Torino, Gina. </w:t>
      </w:r>
      <w:r w:rsidRPr="009634BB">
        <w:rPr>
          <w:i/>
          <w:iCs/>
          <w:lang w:eastAsia="en-AU"/>
        </w:rPr>
        <w:t>Microaggressions in Everyday Life</w:t>
      </w:r>
      <w:r w:rsidRPr="009634BB">
        <w:rPr>
          <w:lang w:eastAsia="en-AU"/>
        </w:rPr>
        <w:t>, 2nd edition. John Wiley &amp; Sons: Hoboken, NJ, 2020.</w:t>
      </w:r>
    </w:p>
    <w:p w14:paraId="2B9D5C95" w14:textId="77777777" w:rsidR="009634BB" w:rsidRPr="009634BB" w:rsidRDefault="009634BB" w:rsidP="009634BB">
      <w:pPr>
        <w:ind w:left="720" w:hanging="720"/>
        <w:rPr>
          <w:lang w:eastAsia="en-AU"/>
        </w:rPr>
      </w:pPr>
      <w:r w:rsidRPr="009634BB">
        <w:rPr>
          <w:lang w:eastAsia="en-AU"/>
        </w:rPr>
        <w:t xml:space="preserve">Dreyfus, Mark. "Australian Law Reform Commission review of religious exemptions for educational institutions extended." 20 April 2023. Accessed August 2023. </w:t>
      </w:r>
      <w:hyperlink r:id="rId126" w:tgtFrame="_new" w:history="1">
        <w:r w:rsidRPr="009634BB">
          <w:rPr>
            <w:rStyle w:val="Hyperlink"/>
            <w:lang w:eastAsia="en-AU"/>
          </w:rPr>
          <w:t>https://ministers.ag.gov.au/media-centre/australian-law-reform-commission-review-religious-exemptions-educational-institutions-extended-20-04-2023</w:t>
        </w:r>
      </w:hyperlink>
      <w:r w:rsidRPr="009634BB">
        <w:rPr>
          <w:lang w:eastAsia="en-AU"/>
        </w:rPr>
        <w:t>.</w:t>
      </w:r>
    </w:p>
    <w:p w14:paraId="4EF57A1F" w14:textId="77777777" w:rsidR="009634BB" w:rsidRPr="009634BB" w:rsidRDefault="009634BB" w:rsidP="009634BB">
      <w:pPr>
        <w:ind w:left="720" w:hanging="720"/>
        <w:rPr>
          <w:lang w:eastAsia="en-AU"/>
        </w:rPr>
      </w:pPr>
      <w:r w:rsidRPr="009634BB">
        <w:rPr>
          <w:lang w:val="it-IT" w:eastAsia="en-AU"/>
        </w:rPr>
        <w:t xml:space="preserve">Dudgeon, Pat., Rouhani, Lobna., Darwin, Leilani., and Boe, Maddie. </w:t>
      </w:r>
      <w:r w:rsidRPr="009634BB">
        <w:rPr>
          <w:i/>
          <w:iCs/>
          <w:lang w:eastAsia="en-AU"/>
        </w:rPr>
        <w:t>Indigenous Lived Experience of Suicide: Literature Review</w:t>
      </w:r>
      <w:r w:rsidRPr="009634BB">
        <w:rPr>
          <w:lang w:eastAsia="en-AU"/>
        </w:rPr>
        <w:t xml:space="preserve"> (Western Australia: The University of Western Australia, 2018), 16. </w:t>
      </w:r>
    </w:p>
    <w:p w14:paraId="3A5AE7BB" w14:textId="77777777" w:rsidR="009634BB" w:rsidRPr="009634BB" w:rsidRDefault="009634BB" w:rsidP="009634BB">
      <w:pPr>
        <w:ind w:left="720" w:hanging="720"/>
        <w:rPr>
          <w:lang w:eastAsia="en-AU"/>
        </w:rPr>
      </w:pPr>
      <w:r w:rsidRPr="009634BB">
        <w:rPr>
          <w:lang w:eastAsia="en-AU"/>
        </w:rPr>
        <w:t xml:space="preserve">Ecker, Saan., Rostosky, Sharon., Riggle, Ellen., Riley, Elizabeth., and Byrnes, Joanne. "The Australian Marriage Equality Debate: A Qualitative Analysis of the Self-Reported Lived Experience of Lesbian, Gay, Bisexual, Transgender, Intersex and Queer (LGTBIQ) People." </w:t>
      </w:r>
      <w:r w:rsidRPr="009634BB">
        <w:rPr>
          <w:i/>
          <w:iCs/>
          <w:lang w:eastAsia="en-AU"/>
        </w:rPr>
        <w:t>International Perspectives in Psychology: Research, Practice, Consultation</w:t>
      </w:r>
      <w:r w:rsidRPr="009634BB">
        <w:rPr>
          <w:lang w:eastAsia="en-AU"/>
        </w:rPr>
        <w:t xml:space="preserve"> 8, no. 4 (2019): 212-226.</w:t>
      </w:r>
    </w:p>
    <w:p w14:paraId="4C78BD0F" w14:textId="77777777" w:rsidR="009634BB" w:rsidRPr="009634BB" w:rsidRDefault="009634BB" w:rsidP="009634BB">
      <w:pPr>
        <w:ind w:left="720" w:hanging="720"/>
        <w:rPr>
          <w:lang w:eastAsia="en-AU"/>
        </w:rPr>
      </w:pPr>
      <w:r w:rsidRPr="009634BB">
        <w:rPr>
          <w:lang w:eastAsia="en-AU"/>
        </w:rPr>
        <w:t xml:space="preserve">Eres, Robert., Postolovski, Natasha., Thielking, Monica., and Lim, Michelle. "Loneliness, Mental Health and Social Health Indicators in LGBTQIA+ Australians." </w:t>
      </w:r>
      <w:r w:rsidRPr="009634BB">
        <w:rPr>
          <w:i/>
          <w:iCs/>
          <w:lang w:eastAsia="en-AU"/>
        </w:rPr>
        <w:t>American Journal of Orthopsychiatry</w:t>
      </w:r>
      <w:r w:rsidRPr="009634BB">
        <w:rPr>
          <w:lang w:eastAsia="en-AU"/>
        </w:rPr>
        <w:t xml:space="preserve"> 91, no. 3 (2021): 358-366. </w:t>
      </w:r>
    </w:p>
    <w:p w14:paraId="4EF9D744" w14:textId="77777777" w:rsidR="009634BB" w:rsidRPr="009634BB" w:rsidRDefault="009634BB" w:rsidP="009634BB">
      <w:pPr>
        <w:ind w:left="720" w:hanging="720"/>
        <w:rPr>
          <w:lang w:eastAsia="en-AU"/>
        </w:rPr>
      </w:pPr>
      <w:r w:rsidRPr="009634BB">
        <w:rPr>
          <w:lang w:eastAsia="en-AU"/>
        </w:rPr>
        <w:t xml:space="preserve">Equality Australia. "ABS Admits New Recommendations Required to Count LGBTIQ+ People Properly in Census." Accessed August 2023. </w:t>
      </w:r>
      <w:hyperlink r:id="rId127" w:tgtFrame="_new" w:history="1">
        <w:r w:rsidRPr="009634BB">
          <w:rPr>
            <w:rStyle w:val="Hyperlink"/>
            <w:lang w:eastAsia="en-AU"/>
          </w:rPr>
          <w:t>https://equalityaustralia.org.au/abs-admits-new-recommendations-required-to-count-lgbtiq-people-properly-in-census/</w:t>
        </w:r>
      </w:hyperlink>
      <w:r w:rsidRPr="009634BB">
        <w:rPr>
          <w:lang w:eastAsia="en-AU"/>
        </w:rPr>
        <w:t>.</w:t>
      </w:r>
    </w:p>
    <w:p w14:paraId="61C43E57" w14:textId="77777777" w:rsidR="009634BB" w:rsidRPr="009634BB" w:rsidRDefault="009634BB" w:rsidP="009634BB">
      <w:pPr>
        <w:ind w:left="720" w:hanging="720"/>
        <w:rPr>
          <w:lang w:eastAsia="en-AU"/>
        </w:rPr>
      </w:pPr>
      <w:r w:rsidRPr="009634BB">
        <w:rPr>
          <w:lang w:eastAsia="en-AU"/>
        </w:rPr>
        <w:t xml:space="preserve">Evolve Communities. "Aboriginal Diversity – Why One Size Does Not Fit All." Accessed 2023. </w:t>
      </w:r>
      <w:hyperlink r:id="rId128" w:tgtFrame="_new" w:history="1">
        <w:r w:rsidRPr="009634BB">
          <w:rPr>
            <w:rStyle w:val="Hyperlink"/>
            <w:lang w:eastAsia="en-AU"/>
          </w:rPr>
          <w:t>https://www.evolves.com.au/aboriginal-diversity/</w:t>
        </w:r>
      </w:hyperlink>
      <w:r w:rsidRPr="009634BB">
        <w:rPr>
          <w:lang w:eastAsia="en-AU"/>
        </w:rPr>
        <w:t xml:space="preserve">. </w:t>
      </w:r>
    </w:p>
    <w:p w14:paraId="40988C5D" w14:textId="77777777" w:rsidR="009634BB" w:rsidRPr="009634BB" w:rsidRDefault="009634BB" w:rsidP="009634BB">
      <w:pPr>
        <w:ind w:left="720" w:hanging="720"/>
        <w:rPr>
          <w:lang w:eastAsia="en-AU"/>
        </w:rPr>
      </w:pPr>
      <w:r w:rsidRPr="009634BB">
        <w:rPr>
          <w:lang w:eastAsia="en-AU"/>
        </w:rPr>
        <w:t xml:space="preserve">Flanagan, Shelby., and Peters, Heather. "Asexual-Identified Adults: Interactions with Health-Care Practitioners." </w:t>
      </w:r>
      <w:r w:rsidRPr="009634BB">
        <w:rPr>
          <w:i/>
          <w:iCs/>
          <w:lang w:eastAsia="en-AU"/>
        </w:rPr>
        <w:t>Archives of Sexual Behavior</w:t>
      </w:r>
      <w:r w:rsidRPr="009634BB">
        <w:rPr>
          <w:lang w:eastAsia="en-AU"/>
        </w:rPr>
        <w:t xml:space="preserve"> 49 (2020): 1631-1643.</w:t>
      </w:r>
    </w:p>
    <w:p w14:paraId="374D8FD2" w14:textId="77777777" w:rsidR="009634BB" w:rsidRPr="009634BB" w:rsidRDefault="009634BB" w:rsidP="009634BB">
      <w:pPr>
        <w:ind w:left="720" w:hanging="720"/>
        <w:rPr>
          <w:lang w:eastAsia="en-AU"/>
        </w:rPr>
      </w:pPr>
      <w:r w:rsidRPr="009634BB">
        <w:rPr>
          <w:lang w:eastAsia="en-AU"/>
        </w:rPr>
        <w:lastRenderedPageBreak/>
        <w:t>Forcibly Displaced People Network, “Queer Sisterhood Project”</w:t>
      </w:r>
      <w:r w:rsidRPr="009634BB">
        <w:rPr>
          <w:i/>
          <w:iCs/>
          <w:lang w:eastAsia="en-AU"/>
        </w:rPr>
        <w:t>,</w:t>
      </w:r>
      <w:r w:rsidRPr="009634BB">
        <w:rPr>
          <w:lang w:eastAsia="en-AU"/>
        </w:rPr>
        <w:t xml:space="preserve"> https://fdpn.org.au/queer-sisterhood/</w:t>
      </w:r>
    </w:p>
    <w:p w14:paraId="3593426E" w14:textId="77777777" w:rsidR="009634BB" w:rsidRPr="009634BB" w:rsidRDefault="009634BB" w:rsidP="009634BB">
      <w:pPr>
        <w:ind w:left="720" w:hanging="720"/>
        <w:rPr>
          <w:lang w:eastAsia="en-AU"/>
        </w:rPr>
      </w:pPr>
      <w:r w:rsidRPr="009634BB">
        <w:rPr>
          <w:lang w:eastAsia="en-AU"/>
        </w:rPr>
        <w:t xml:space="preserve">Frost, David and Meyer, Ilan. “Minority stress theory: Application, critique and continued relevance.” </w:t>
      </w:r>
      <w:r w:rsidRPr="009634BB">
        <w:rPr>
          <w:i/>
          <w:iCs/>
          <w:lang w:eastAsia="en-AU"/>
        </w:rPr>
        <w:t xml:space="preserve">Current Opinion in Psychology </w:t>
      </w:r>
      <w:r w:rsidRPr="009634BB">
        <w:rPr>
          <w:lang w:eastAsia="en-AU"/>
        </w:rPr>
        <w:t xml:space="preserve">51, no. 101579 (2023), </w:t>
      </w:r>
      <w:hyperlink r:id="rId129" w:history="1">
        <w:r w:rsidRPr="009634BB">
          <w:rPr>
            <w:rStyle w:val="Hyperlink"/>
            <w:lang w:eastAsia="en-AU"/>
          </w:rPr>
          <w:t>https://doi.org/10.1016/j.copsyc.2023.101579</w:t>
        </w:r>
      </w:hyperlink>
      <w:r w:rsidRPr="009634BB">
        <w:rPr>
          <w:lang w:eastAsia="en-AU"/>
        </w:rPr>
        <w:t xml:space="preserve">. </w:t>
      </w:r>
    </w:p>
    <w:p w14:paraId="6D685950" w14:textId="77777777" w:rsidR="009634BB" w:rsidRPr="009634BB" w:rsidRDefault="009634BB" w:rsidP="009634BB">
      <w:pPr>
        <w:ind w:left="720" w:hanging="720"/>
        <w:rPr>
          <w:lang w:eastAsia="en-AU"/>
        </w:rPr>
      </w:pPr>
      <w:r w:rsidRPr="009634BB">
        <w:rPr>
          <w:lang w:eastAsia="en-AU"/>
        </w:rPr>
        <w:t>Government of South Australia, “</w:t>
      </w:r>
      <w:hyperlink r:id="rId130" w:history="1">
        <w:r w:rsidRPr="009634BB">
          <w:rPr>
            <w:rStyle w:val="Hyperlink"/>
            <w:lang w:eastAsia="en-AU"/>
          </w:rPr>
          <w:t>Mental Health Services Plan 2020 – 2025</w:t>
        </w:r>
      </w:hyperlink>
      <w:r w:rsidRPr="009634BB">
        <w:rPr>
          <w:lang w:eastAsia="en-AU"/>
        </w:rPr>
        <w:t>” (2020)</w:t>
      </w:r>
    </w:p>
    <w:p w14:paraId="57374CB8" w14:textId="77777777" w:rsidR="009634BB" w:rsidRPr="009634BB" w:rsidRDefault="009634BB" w:rsidP="009634BB">
      <w:pPr>
        <w:ind w:left="720" w:hanging="720"/>
        <w:rPr>
          <w:lang w:eastAsia="en-AU"/>
        </w:rPr>
      </w:pPr>
      <w:r w:rsidRPr="009634BB">
        <w:rPr>
          <w:lang w:val="en-US" w:eastAsia="en-AU"/>
        </w:rPr>
        <w:t>GrantConnect 2023,</w:t>
      </w:r>
      <w:r w:rsidRPr="009634BB">
        <w:rPr>
          <w:i/>
          <w:iCs/>
          <w:lang w:eastAsia="en-AU"/>
        </w:rPr>
        <w:t xml:space="preserve"> GO6063 Models of Care for Sexuality &amp; Gender Divers People &amp; People with Innate Variations of Sex Characteristics, </w:t>
      </w:r>
      <w:r w:rsidRPr="009634BB">
        <w:rPr>
          <w:lang w:eastAsia="en-AU"/>
        </w:rPr>
        <w:t>Published: 1 March 2023,</w:t>
      </w:r>
      <w:r w:rsidRPr="009634BB">
        <w:rPr>
          <w:lang w:val="en-US" w:eastAsia="en-AU"/>
        </w:rPr>
        <w:t xml:space="preserve"> </w:t>
      </w:r>
      <w:hyperlink r:id="rId131" w:history="1">
        <w:r w:rsidRPr="009634BB">
          <w:rPr>
            <w:rStyle w:val="Hyperlink"/>
            <w:lang w:val="en-US" w:eastAsia="en-AU"/>
          </w:rPr>
          <w:t>Models of Care for Sexuality &amp; Gender Diverse People &amp; People with Innate Variations of Sex Characteristics</w:t>
        </w:r>
      </w:hyperlink>
      <w:r w:rsidRPr="009634BB">
        <w:rPr>
          <w:lang w:val="en-US" w:eastAsia="en-AU"/>
        </w:rPr>
        <w:t>.</w:t>
      </w:r>
    </w:p>
    <w:p w14:paraId="7F871604" w14:textId="77777777" w:rsidR="009634BB" w:rsidRPr="009634BB" w:rsidRDefault="009634BB" w:rsidP="009634BB">
      <w:pPr>
        <w:ind w:left="720" w:hanging="720"/>
        <w:rPr>
          <w:lang w:eastAsia="en-AU"/>
        </w:rPr>
      </w:pPr>
      <w:r w:rsidRPr="009634BB">
        <w:rPr>
          <w:lang w:eastAsia="en-AU"/>
        </w:rPr>
        <w:t xml:space="preserve">Grant, Ruby, and Walker, Briohny. "Older Lesbians' Experiences of Ageing in Place in Rural Tasmania, Australia: An Exploratory Qualitative Investigation." </w:t>
      </w:r>
      <w:r w:rsidRPr="009634BB">
        <w:rPr>
          <w:i/>
          <w:iCs/>
          <w:lang w:eastAsia="en-AU"/>
        </w:rPr>
        <w:t>Health Soc Care Community</w:t>
      </w:r>
      <w:r w:rsidRPr="009634BB">
        <w:rPr>
          <w:lang w:eastAsia="en-AU"/>
        </w:rPr>
        <w:t xml:space="preserve"> 28, no. 6 (2020): 2199-2207.</w:t>
      </w:r>
    </w:p>
    <w:p w14:paraId="7C649C39" w14:textId="77777777" w:rsidR="009634BB" w:rsidRPr="009634BB" w:rsidRDefault="009634BB" w:rsidP="009634BB">
      <w:pPr>
        <w:ind w:left="720" w:hanging="720"/>
        <w:rPr>
          <w:lang w:eastAsia="en-AU"/>
        </w:rPr>
      </w:pPr>
      <w:r w:rsidRPr="009634BB">
        <w:rPr>
          <w:lang w:eastAsia="en-AU"/>
        </w:rPr>
        <w:t xml:space="preserve">Hail-Jares, Katie., Cumming, Craig., Young, Jesse., Borschmann, Rohan., Lennox, Nick., and Kinner, Stuart. "Self-harm and suicide attempts among incarcerated lesbian, gay and bisexual people in Australia." </w:t>
      </w:r>
      <w:r w:rsidRPr="009634BB">
        <w:rPr>
          <w:i/>
          <w:iCs/>
          <w:lang w:eastAsia="en-AU"/>
        </w:rPr>
        <w:t>Australian &amp; New Zealand Journal of Psychiatry</w:t>
      </w:r>
      <w:r w:rsidRPr="009634BB">
        <w:rPr>
          <w:lang w:eastAsia="en-AU"/>
        </w:rPr>
        <w:t xml:space="preserve"> 57, no. 4 (2023), </w:t>
      </w:r>
      <w:hyperlink r:id="rId132" w:tgtFrame="_new" w:history="1">
        <w:r w:rsidRPr="009634BB">
          <w:rPr>
            <w:rStyle w:val="Hyperlink"/>
            <w:lang w:eastAsia="en-AU"/>
          </w:rPr>
          <w:t>https://doi.org/10.1177/00048674221104744</w:t>
        </w:r>
      </w:hyperlink>
      <w:r w:rsidRPr="009634BB">
        <w:rPr>
          <w:lang w:eastAsia="en-AU"/>
        </w:rPr>
        <w:t>.</w:t>
      </w:r>
    </w:p>
    <w:p w14:paraId="3ACA31D1" w14:textId="77777777" w:rsidR="009634BB" w:rsidRPr="009634BB" w:rsidRDefault="009634BB" w:rsidP="009634BB">
      <w:pPr>
        <w:ind w:left="720" w:hanging="720"/>
        <w:rPr>
          <w:lang w:eastAsia="en-AU"/>
        </w:rPr>
      </w:pPr>
      <w:r w:rsidRPr="009634BB">
        <w:rPr>
          <w:lang w:eastAsia="en-AU"/>
        </w:rPr>
        <w:t>Headspace, “</w:t>
      </w:r>
      <w:proofErr w:type="gramStart"/>
      <w:r w:rsidRPr="009634BB">
        <w:rPr>
          <w:lang w:eastAsia="en-AU"/>
        </w:rPr>
        <w:t>Out-spoken</w:t>
      </w:r>
      <w:proofErr w:type="gramEnd"/>
      <w:r w:rsidRPr="009634BB">
        <w:rPr>
          <w:lang w:eastAsia="en-AU"/>
        </w:rPr>
        <w:t>”,</w:t>
      </w:r>
      <w:r w:rsidRPr="009634BB">
        <w:rPr>
          <w:i/>
          <w:iCs/>
          <w:lang w:eastAsia="en-AU"/>
        </w:rPr>
        <w:t xml:space="preserve"> </w:t>
      </w:r>
      <w:hyperlink r:id="rId133" w:history="1">
        <w:r w:rsidRPr="009634BB">
          <w:rPr>
            <w:rStyle w:val="Hyperlink"/>
            <w:lang w:eastAsia="en-AU"/>
          </w:rPr>
          <w:t>https://headspace.org.au/our-impact/campaigns/lgbtiqaplus/</w:t>
        </w:r>
      </w:hyperlink>
    </w:p>
    <w:p w14:paraId="79E5E32F" w14:textId="77777777" w:rsidR="009634BB" w:rsidRPr="009634BB" w:rsidRDefault="009634BB" w:rsidP="009634BB">
      <w:pPr>
        <w:ind w:left="720" w:hanging="720"/>
        <w:rPr>
          <w:lang w:eastAsia="en-AU"/>
        </w:rPr>
      </w:pPr>
      <w:r w:rsidRPr="009634BB">
        <w:rPr>
          <w:lang w:eastAsia="en-AU"/>
        </w:rPr>
        <w:t xml:space="preserve">Hegarty, Peter. "The Psychology of People with Variable Sex Characteristics/Intersex." </w:t>
      </w:r>
      <w:r w:rsidRPr="009634BB">
        <w:rPr>
          <w:i/>
          <w:iCs/>
          <w:lang w:eastAsia="en-AU"/>
        </w:rPr>
        <w:t>Current Opinion in Psychology</w:t>
      </w:r>
      <w:r w:rsidRPr="009634BB">
        <w:rPr>
          <w:lang w:eastAsia="en-AU"/>
        </w:rPr>
        <w:t xml:space="preserve"> 49 (2023): 101539.</w:t>
      </w:r>
    </w:p>
    <w:p w14:paraId="03496E20" w14:textId="77777777" w:rsidR="009634BB" w:rsidRPr="00624A03" w:rsidRDefault="009634BB" w:rsidP="009634BB">
      <w:pPr>
        <w:ind w:left="720" w:hanging="720"/>
        <w:rPr>
          <w:lang w:eastAsia="en-AU"/>
        </w:rPr>
      </w:pPr>
      <w:r w:rsidRPr="009634BB">
        <w:rPr>
          <w:lang w:eastAsia="en-AU"/>
        </w:rPr>
        <w:t>HERE, “HERE for LGBTQ+ communities”, https://here.org.au/</w:t>
      </w:r>
    </w:p>
    <w:p w14:paraId="33127268" w14:textId="77777777" w:rsidR="009634BB" w:rsidRPr="00624A03" w:rsidRDefault="009634BB" w:rsidP="009634BB">
      <w:pPr>
        <w:ind w:left="720" w:hanging="720"/>
        <w:rPr>
          <w:lang w:eastAsia="en-AU"/>
        </w:rPr>
      </w:pPr>
      <w:r w:rsidRPr="00624A03">
        <w:rPr>
          <w:lang w:eastAsia="en-AU"/>
        </w:rPr>
        <w:t xml:space="preserve">Here Completely, </w:t>
      </w:r>
      <w:r w:rsidRPr="009634BB">
        <w:rPr>
          <w:lang w:eastAsia="en-AU"/>
        </w:rPr>
        <w:t>“</w:t>
      </w:r>
      <w:r w:rsidRPr="00624A03">
        <w:rPr>
          <w:lang w:eastAsia="en-AU"/>
        </w:rPr>
        <w:t>Sydney Queer &amp; LGBTQI Counselling, Psychology &amp; Relationship Counselling</w:t>
      </w:r>
      <w:r w:rsidRPr="009634BB">
        <w:rPr>
          <w:lang w:eastAsia="en-AU"/>
        </w:rPr>
        <w:t>“</w:t>
      </w:r>
      <w:r w:rsidRPr="00624A03">
        <w:rPr>
          <w:i/>
          <w:iCs/>
          <w:lang w:eastAsia="en-AU"/>
        </w:rPr>
        <w:t xml:space="preserve">, </w:t>
      </w:r>
      <w:hyperlink r:id="rId134" w:history="1">
        <w:r w:rsidRPr="00624A03">
          <w:rPr>
            <w:rStyle w:val="Hyperlink"/>
            <w:lang w:eastAsia="en-AU"/>
          </w:rPr>
          <w:t>https://www.herecompletely.com.au/lgbtq</w:t>
        </w:r>
      </w:hyperlink>
    </w:p>
    <w:p w14:paraId="65BBBCC6" w14:textId="77777777" w:rsidR="009634BB" w:rsidRPr="009634BB" w:rsidRDefault="009634BB" w:rsidP="009634BB">
      <w:pPr>
        <w:ind w:left="720" w:hanging="720"/>
        <w:rPr>
          <w:lang w:eastAsia="en-AU"/>
        </w:rPr>
      </w:pPr>
      <w:r w:rsidRPr="009634BB">
        <w:rPr>
          <w:lang w:eastAsia="en-AU"/>
        </w:rPr>
        <w:t xml:space="preserve">Hereth, Jane, </w:t>
      </w:r>
      <w:r w:rsidRPr="009634BB">
        <w:rPr>
          <w:i/>
          <w:iCs/>
          <w:lang w:eastAsia="en-AU"/>
        </w:rPr>
        <w:t xml:space="preserve">Overrepresentation of people who identify as LGBTQ+ in the criminal legal system </w:t>
      </w:r>
      <w:r w:rsidRPr="009634BB">
        <w:rPr>
          <w:lang w:eastAsia="en-AU"/>
        </w:rPr>
        <w:t>(2022)</w:t>
      </w:r>
      <w:r w:rsidRPr="009634BB">
        <w:rPr>
          <w:i/>
          <w:iCs/>
          <w:lang w:eastAsia="en-AU"/>
        </w:rPr>
        <w:t xml:space="preserve">, </w:t>
      </w:r>
      <w:r w:rsidRPr="009634BB">
        <w:rPr>
          <w:lang w:eastAsia="en-AU"/>
        </w:rPr>
        <w:t xml:space="preserve">Supported by the John D. and Catherine T. MacArthur Foundation. </w:t>
      </w:r>
    </w:p>
    <w:p w14:paraId="6E45E339" w14:textId="77777777" w:rsidR="009634BB" w:rsidRPr="009634BB" w:rsidRDefault="009634BB" w:rsidP="009634BB">
      <w:pPr>
        <w:ind w:left="720" w:hanging="720"/>
        <w:rPr>
          <w:lang w:eastAsia="en-AU"/>
        </w:rPr>
      </w:pPr>
      <w:r w:rsidRPr="009634BB">
        <w:rPr>
          <w:lang w:eastAsia="en-AU"/>
        </w:rPr>
        <w:t>Hill, Adam. O., Bourne, Adam., McNair, Ruth, Carman, Marina, &amp; Lyons, Anthony,</w:t>
      </w:r>
      <w:r w:rsidRPr="009634BB">
        <w:rPr>
          <w:i/>
          <w:iCs/>
          <w:lang w:eastAsia="en-AU"/>
        </w:rPr>
        <w:t xml:space="preserve"> Private Lives 3: The health and wellbeing of LGBTIQ people in Australi</w:t>
      </w:r>
      <w:r w:rsidRPr="009634BB">
        <w:rPr>
          <w:lang w:eastAsia="en-AU"/>
        </w:rPr>
        <w:t>a. ARCSHS monograph series number 122. Melbourne: Australia, Australian Research Centre in Sex, Health and Society, La Trobe University, 2020.</w:t>
      </w:r>
    </w:p>
    <w:p w14:paraId="0A2B061C" w14:textId="77777777" w:rsidR="009634BB" w:rsidRPr="009634BB" w:rsidRDefault="009634BB" w:rsidP="009634BB">
      <w:pPr>
        <w:ind w:left="720" w:hanging="720"/>
        <w:rPr>
          <w:lang w:eastAsia="en-AU"/>
        </w:rPr>
      </w:pPr>
      <w:r w:rsidRPr="009634BB">
        <w:rPr>
          <w:lang w:eastAsia="en-AU"/>
        </w:rPr>
        <w:t xml:space="preserve">Hill, Adam., Lyons, Anthony., Jones, Jami., McGowan, Ivy., Carman, Marina., Parsons, Matthew., Power, Jennifer., and Bourne, Adam. </w:t>
      </w:r>
      <w:r w:rsidRPr="009634BB">
        <w:rPr>
          <w:i/>
          <w:iCs/>
          <w:lang w:eastAsia="en-AU"/>
        </w:rPr>
        <w:t>Writing Themselves in 4: The Health and Wellbeing of LGBTQA+ Young People in Australia</w:t>
      </w:r>
      <w:r w:rsidRPr="009634BB">
        <w:rPr>
          <w:lang w:eastAsia="en-AU"/>
        </w:rPr>
        <w:t>. February 2021, p. 15.</w:t>
      </w:r>
    </w:p>
    <w:p w14:paraId="2F961226" w14:textId="77777777" w:rsidR="009634BB" w:rsidRPr="009634BB" w:rsidRDefault="009634BB" w:rsidP="009634BB">
      <w:pPr>
        <w:ind w:left="720" w:hanging="720"/>
        <w:rPr>
          <w:lang w:eastAsia="en-AU"/>
        </w:rPr>
      </w:pPr>
      <w:r w:rsidRPr="009634BB">
        <w:rPr>
          <w:lang w:eastAsia="en-AU"/>
        </w:rPr>
        <w:t xml:space="preserve">Hill, Adam., Amos, Natalie., Bourne, Adam., Parsons, Matthew., Bigby, Christine., Carman, Marina., and Lyons, Anthony. 2022, </w:t>
      </w:r>
      <w:r w:rsidRPr="009634BB">
        <w:rPr>
          <w:i/>
          <w:iCs/>
          <w:lang w:eastAsia="en-AU"/>
        </w:rPr>
        <w:t xml:space="preserve">Violence, Abuse, Neglect and Exploitation of LGBTQA+ People with Disability: A Secondary Analysis of Data from Two National Surveys. </w:t>
      </w:r>
      <w:r w:rsidRPr="009634BB">
        <w:rPr>
          <w:lang w:eastAsia="en-AU"/>
        </w:rPr>
        <w:t xml:space="preserve">Melbourne, Australia: Australian Research Centre in Sex, Health and Society, La Trobe University, 2022, p. 1-264. </w:t>
      </w:r>
    </w:p>
    <w:p w14:paraId="2B431B91" w14:textId="77777777" w:rsidR="009634BB" w:rsidRPr="009634BB" w:rsidRDefault="009634BB" w:rsidP="009634BB">
      <w:pPr>
        <w:ind w:left="720" w:hanging="720"/>
        <w:rPr>
          <w:lang w:eastAsia="en-AU"/>
        </w:rPr>
      </w:pPr>
      <w:r w:rsidRPr="009634BB">
        <w:rPr>
          <w:lang w:eastAsia="en-AU"/>
        </w:rPr>
        <w:t xml:space="preserve">Hill, Braden., Dodd, Jennifer., Uink, Bep., Bonson, Dameyon., Bennett, Sian., and Eades, Anne-Marie. "Aboriginal and Queer Identity/ies in Western Australia: When There is a </w:t>
      </w:r>
      <w:r w:rsidRPr="009634BB">
        <w:rPr>
          <w:lang w:eastAsia="en-AU"/>
        </w:rPr>
        <w:lastRenderedPageBreak/>
        <w:t xml:space="preserve">Need to Know in Therapeutic Settings." </w:t>
      </w:r>
      <w:r w:rsidRPr="009634BB">
        <w:rPr>
          <w:i/>
          <w:iCs/>
          <w:lang w:eastAsia="en-AU"/>
        </w:rPr>
        <w:t>Qualitative Health Research</w:t>
      </w:r>
      <w:r w:rsidRPr="009634BB">
        <w:rPr>
          <w:lang w:eastAsia="en-AU"/>
        </w:rPr>
        <w:t xml:space="preserve"> 32, no. 5 (2022): 755-770.</w:t>
      </w:r>
    </w:p>
    <w:p w14:paraId="48854265" w14:textId="77777777" w:rsidR="009634BB" w:rsidRPr="009634BB" w:rsidRDefault="009634BB" w:rsidP="009634BB">
      <w:pPr>
        <w:ind w:left="720" w:hanging="720"/>
        <w:rPr>
          <w:lang w:eastAsia="en-AU"/>
        </w:rPr>
      </w:pPr>
      <w:r w:rsidRPr="009634BB">
        <w:rPr>
          <w:lang w:eastAsia="en-AU"/>
        </w:rPr>
        <w:t xml:space="preserve">Horton, Carl. "Depathologising Diversity: Trans Children and Families' Experiences of Pathologisation in the UK." </w:t>
      </w:r>
      <w:r w:rsidRPr="009634BB">
        <w:rPr>
          <w:i/>
          <w:iCs/>
          <w:lang w:eastAsia="en-AU"/>
        </w:rPr>
        <w:t>Children &amp; Society</w:t>
      </w:r>
      <w:r w:rsidRPr="009634BB">
        <w:rPr>
          <w:lang w:eastAsia="en-AU"/>
        </w:rPr>
        <w:t xml:space="preserve"> 37 (2023): 753-770.</w:t>
      </w:r>
    </w:p>
    <w:p w14:paraId="3B5109CA" w14:textId="77777777" w:rsidR="009634BB" w:rsidRPr="009634BB" w:rsidRDefault="009634BB" w:rsidP="009634BB">
      <w:pPr>
        <w:ind w:left="720" w:hanging="720"/>
        <w:rPr>
          <w:lang w:eastAsia="en-AU"/>
        </w:rPr>
      </w:pPr>
      <w:r w:rsidRPr="009634BB">
        <w:rPr>
          <w:lang w:eastAsia="en-AU"/>
        </w:rPr>
        <w:t xml:space="preserve">Institute of Medicine Committee on Crossing the Quality Chasm, </w:t>
      </w:r>
      <w:r w:rsidRPr="009634BB">
        <w:rPr>
          <w:i/>
          <w:iCs/>
          <w:lang w:eastAsia="en-AU"/>
        </w:rPr>
        <w:t>Adaption to mental health and addictive disorder: Improving the quality of health care for mental and substance use conditions</w:t>
      </w:r>
      <w:r w:rsidRPr="009634BB">
        <w:rPr>
          <w:lang w:eastAsia="en-AU"/>
        </w:rPr>
        <w:t>. (Washington, DC: Institute of Medicine, National Academies Press, 2006).</w:t>
      </w:r>
    </w:p>
    <w:p w14:paraId="2EF14FD8" w14:textId="77777777" w:rsidR="009634BB" w:rsidRPr="009634BB" w:rsidRDefault="009634BB" w:rsidP="009634BB">
      <w:pPr>
        <w:ind w:left="720" w:hanging="720"/>
        <w:rPr>
          <w:lang w:eastAsia="en-AU"/>
        </w:rPr>
      </w:pPr>
      <w:r w:rsidRPr="009634BB">
        <w:rPr>
          <w:lang w:eastAsia="en-AU"/>
        </w:rPr>
        <w:t xml:space="preserve">Jones, Timothy W., Power, Jennifer, &amp; Jones, Tiffany M., Religious trauma and moral injury from LGBTQA+ conversion practices. </w:t>
      </w:r>
      <w:r w:rsidRPr="00624A03">
        <w:rPr>
          <w:i/>
          <w:iCs/>
          <w:lang w:eastAsia="en-AU"/>
        </w:rPr>
        <w:t>Social Science &amp; Medicine</w:t>
      </w:r>
      <w:r w:rsidRPr="00624A03">
        <w:rPr>
          <w:lang w:eastAsia="en-AU"/>
        </w:rPr>
        <w:t xml:space="preserve"> , 305, (2020a): 115040–115040.</w:t>
      </w:r>
    </w:p>
    <w:p w14:paraId="7A90D38D" w14:textId="77777777" w:rsidR="009634BB" w:rsidRPr="009634BB" w:rsidRDefault="009634BB" w:rsidP="009634BB">
      <w:pPr>
        <w:ind w:left="720" w:hanging="720"/>
        <w:rPr>
          <w:lang w:eastAsia="en-AU"/>
        </w:rPr>
      </w:pPr>
      <w:r w:rsidRPr="009634BB">
        <w:rPr>
          <w:lang w:eastAsia="en-AU"/>
        </w:rPr>
        <w:t>Karp, Paul. “</w:t>
      </w:r>
      <w:r w:rsidRPr="009634BB">
        <w:rPr>
          <w:lang w:val="en-US" w:eastAsia="en-AU"/>
        </w:rPr>
        <w:t xml:space="preserve">Questions about sexual orientation and gender identity dumped from census.” </w:t>
      </w:r>
      <w:r w:rsidRPr="009634BB">
        <w:rPr>
          <w:i/>
          <w:iCs/>
          <w:lang w:val="en-US" w:eastAsia="en-AU"/>
        </w:rPr>
        <w:t xml:space="preserve">The Guardian, </w:t>
      </w:r>
      <w:r w:rsidRPr="009634BB">
        <w:rPr>
          <w:lang w:val="en-US" w:eastAsia="en-AU"/>
        </w:rPr>
        <w:t>October 5, 2019.</w:t>
      </w:r>
      <w:r w:rsidRPr="009634BB">
        <w:rPr>
          <w:lang w:eastAsia="en-AU"/>
        </w:rPr>
        <w:t xml:space="preserve"> </w:t>
      </w:r>
      <w:hyperlink r:id="rId135" w:history="1">
        <w:r w:rsidRPr="009634BB">
          <w:rPr>
            <w:rStyle w:val="Hyperlink"/>
            <w:lang w:val="en-US" w:eastAsia="en-AU"/>
          </w:rPr>
          <w:t>https://www.theguardian.com/australia-news/2019/oct/05/questions-about-sexual-orientation-and-gender-identity-dumped-from-census</w:t>
        </w:r>
      </w:hyperlink>
      <w:r w:rsidRPr="009634BB">
        <w:rPr>
          <w:lang w:val="en-US" w:eastAsia="en-AU"/>
        </w:rPr>
        <w:t>.</w:t>
      </w:r>
    </w:p>
    <w:p w14:paraId="2110D05F" w14:textId="77777777" w:rsidR="009634BB" w:rsidRPr="009634BB" w:rsidRDefault="009634BB" w:rsidP="009634BB">
      <w:pPr>
        <w:ind w:left="720" w:hanging="720"/>
        <w:rPr>
          <w:lang w:val="en-US" w:eastAsia="en-AU"/>
        </w:rPr>
      </w:pPr>
      <w:r w:rsidRPr="009634BB">
        <w:rPr>
          <w:lang w:val="en-US" w:eastAsia="en-AU"/>
        </w:rPr>
        <w:t xml:space="preserve">Klein, Kate., Holtby, Alix., Cook, Katie., and Travers, Robb. “Complicating the coming out narrative: Becoming oneself in a heterosexist and cissexist world.” </w:t>
      </w:r>
      <w:r w:rsidRPr="009634BB">
        <w:rPr>
          <w:i/>
          <w:iCs/>
          <w:lang w:val="en-US" w:eastAsia="en-AU"/>
        </w:rPr>
        <w:t>Journal of homosexuality</w:t>
      </w:r>
      <w:r w:rsidRPr="009634BB">
        <w:rPr>
          <w:lang w:val="en-US" w:eastAsia="en-AU"/>
        </w:rPr>
        <w:t xml:space="preserve"> 62, no. 3 (2015): 297-326.</w:t>
      </w:r>
    </w:p>
    <w:p w14:paraId="1D1681A3" w14:textId="77777777" w:rsidR="009634BB" w:rsidRPr="009634BB" w:rsidRDefault="009634BB" w:rsidP="009634BB">
      <w:pPr>
        <w:ind w:left="720" w:hanging="720"/>
        <w:rPr>
          <w:lang w:eastAsia="en-AU"/>
        </w:rPr>
      </w:pPr>
      <w:r w:rsidRPr="009634BB">
        <w:rPr>
          <w:lang w:eastAsia="en-AU"/>
        </w:rPr>
        <w:t xml:space="preserve">Kneale, Dylan., Henley, Josie., Thomas, James., and French, Robert. "Inequalities in Older LGBT People’s Health and Care Needs in the United Kingdom: A Systematic Scoping Review." </w:t>
      </w:r>
      <w:r w:rsidRPr="009634BB">
        <w:rPr>
          <w:i/>
          <w:iCs/>
          <w:lang w:eastAsia="en-AU"/>
        </w:rPr>
        <w:t>Ageing and Society</w:t>
      </w:r>
      <w:r w:rsidRPr="009634BB">
        <w:rPr>
          <w:lang w:eastAsia="en-AU"/>
        </w:rPr>
        <w:t xml:space="preserve"> 41 (2021): 493-515.</w:t>
      </w:r>
    </w:p>
    <w:p w14:paraId="03781BBE" w14:textId="77777777" w:rsidR="009634BB" w:rsidRPr="009634BB" w:rsidRDefault="009634BB" w:rsidP="009634BB">
      <w:pPr>
        <w:ind w:left="720" w:hanging="720"/>
        <w:rPr>
          <w:lang w:eastAsia="en-AU"/>
        </w:rPr>
      </w:pPr>
      <w:r w:rsidRPr="009634BB">
        <w:rPr>
          <w:lang w:eastAsia="en-AU"/>
        </w:rPr>
        <w:t>Levesque, J. F., &amp; Sutherland, K., “Combining patient, clinical and system perspectives in assessing performance in healthcare: an integrated measurement framework”, BMC health services research, no. 20, (2020): 1-14.</w:t>
      </w:r>
    </w:p>
    <w:p w14:paraId="31CCED1D" w14:textId="77777777" w:rsidR="009634BB" w:rsidRPr="009634BB" w:rsidRDefault="009634BB" w:rsidP="009634BB">
      <w:pPr>
        <w:ind w:left="720" w:hanging="720"/>
        <w:rPr>
          <w:lang w:eastAsia="en-AU"/>
        </w:rPr>
      </w:pPr>
      <w:r w:rsidRPr="009634BB">
        <w:rPr>
          <w:lang w:eastAsia="en-AU"/>
        </w:rPr>
        <w:t xml:space="preserve">LGBTIQ+ Health Australia, </w:t>
      </w:r>
      <w:r w:rsidRPr="009634BB">
        <w:rPr>
          <w:i/>
          <w:iCs/>
          <w:lang w:eastAsia="en-AU"/>
        </w:rPr>
        <w:t>Beyond Urgent: National LGBTIQ+ Mental Health and Suicide Prevention Strategy</w:t>
      </w:r>
      <w:r w:rsidRPr="009634BB">
        <w:rPr>
          <w:lang w:eastAsia="en-AU"/>
        </w:rPr>
        <w:t>, Published: 1 November 2021.</w:t>
      </w:r>
    </w:p>
    <w:p w14:paraId="1DB14801" w14:textId="77777777" w:rsidR="009634BB" w:rsidRPr="009634BB" w:rsidRDefault="009634BB" w:rsidP="009634BB">
      <w:pPr>
        <w:ind w:left="720" w:hanging="720"/>
        <w:rPr>
          <w:lang w:eastAsia="en-AU"/>
        </w:rPr>
      </w:pPr>
      <w:r w:rsidRPr="009634BB">
        <w:rPr>
          <w:lang w:eastAsia="en-AU"/>
        </w:rPr>
        <w:t xml:space="preserve">LGBTIQ+ Health Australia, </w:t>
      </w:r>
      <w:r w:rsidRPr="009634BB">
        <w:rPr>
          <w:i/>
          <w:iCs/>
          <w:lang w:eastAsia="en-AU"/>
        </w:rPr>
        <w:t xml:space="preserve">Current Evidence for Good Practice in Suicide Prevention for LGBTIQ+ People, </w:t>
      </w:r>
      <w:r w:rsidRPr="009634BB">
        <w:rPr>
          <w:lang w:eastAsia="en-AU"/>
        </w:rPr>
        <w:t>Published 30 October 2020.</w:t>
      </w:r>
    </w:p>
    <w:p w14:paraId="3524195E" w14:textId="77777777" w:rsidR="009634BB" w:rsidRPr="009634BB" w:rsidRDefault="009634BB" w:rsidP="009634BB">
      <w:pPr>
        <w:ind w:left="720" w:hanging="720"/>
        <w:rPr>
          <w:lang w:eastAsia="en-AU"/>
        </w:rPr>
      </w:pPr>
      <w:r w:rsidRPr="009634BB">
        <w:rPr>
          <w:lang w:eastAsia="en-AU"/>
        </w:rPr>
        <w:t>LGBTIQ+ Health Australia. “Factsheet: Understanding suicide amongst transgender and gender diverse people.”</w:t>
      </w:r>
      <w:r w:rsidRPr="009634BB">
        <w:rPr>
          <w:i/>
          <w:iCs/>
          <w:lang w:eastAsia="en-AU"/>
        </w:rPr>
        <w:t xml:space="preserve"> </w:t>
      </w:r>
      <w:r w:rsidRPr="009634BB">
        <w:rPr>
          <w:lang w:eastAsia="en-AU"/>
        </w:rPr>
        <w:t xml:space="preserve">Accessed August 2023. </w:t>
      </w:r>
      <w:hyperlink r:id="rId136" w:history="1">
        <w:r w:rsidRPr="009634BB">
          <w:rPr>
            <w:rStyle w:val="Hyperlink"/>
            <w:lang w:eastAsia="en-AU"/>
          </w:rPr>
          <w:t>https://www.lgbtiqhealth.org.au/understanding_suicide_among_tgd</w:t>
        </w:r>
      </w:hyperlink>
      <w:r w:rsidRPr="009634BB">
        <w:rPr>
          <w:lang w:eastAsia="en-AU"/>
        </w:rPr>
        <w:t>.</w:t>
      </w:r>
    </w:p>
    <w:p w14:paraId="44EDFE2B" w14:textId="77777777" w:rsidR="009634BB" w:rsidRPr="009634BB" w:rsidRDefault="009634BB" w:rsidP="009634BB">
      <w:pPr>
        <w:ind w:left="720" w:hanging="720"/>
        <w:rPr>
          <w:lang w:eastAsia="en-AU"/>
        </w:rPr>
      </w:pPr>
      <w:r w:rsidRPr="009634BB">
        <w:rPr>
          <w:lang w:val="en-US" w:eastAsia="en-AU"/>
        </w:rPr>
        <w:t xml:space="preserve">LGBTIQ+ Health Australia, </w:t>
      </w:r>
      <w:r w:rsidRPr="009634BB">
        <w:rPr>
          <w:i/>
          <w:iCs/>
          <w:lang w:val="en-US" w:eastAsia="en-AU"/>
        </w:rPr>
        <w:t>Snapshot of Mental Health and Suicide Prevention Statistics</w:t>
      </w:r>
      <w:r w:rsidRPr="009634BB">
        <w:rPr>
          <w:lang w:val="en-US" w:eastAsia="en-AU"/>
        </w:rPr>
        <w:t>, Published: October 2021</w:t>
      </w:r>
      <w:r w:rsidRPr="009634BB">
        <w:rPr>
          <w:lang w:eastAsia="en-AU"/>
        </w:rPr>
        <w:t xml:space="preserve"> </w:t>
      </w:r>
      <w:r w:rsidRPr="009634BB">
        <w:rPr>
          <w:lang w:val="en-US" w:eastAsia="en-AU"/>
        </w:rPr>
        <w:t>p.8.</w:t>
      </w:r>
    </w:p>
    <w:p w14:paraId="793C9B59" w14:textId="77777777" w:rsidR="009634BB" w:rsidRPr="009634BB" w:rsidRDefault="009634BB" w:rsidP="009634BB">
      <w:pPr>
        <w:ind w:left="720" w:hanging="720"/>
        <w:rPr>
          <w:lang w:eastAsia="en-AU"/>
        </w:rPr>
      </w:pPr>
      <w:r w:rsidRPr="009634BB">
        <w:rPr>
          <w:lang w:eastAsia="en-AU"/>
        </w:rPr>
        <w:t xml:space="preserve">LGBTIQ+ Health Australia. "Submission to ABS 2026 Census Topic Consultation Phase Two." Accessed September 2023. </w:t>
      </w:r>
      <w:hyperlink r:id="rId137" w:tgtFrame="_new" w:history="1">
        <w:r w:rsidRPr="009634BB">
          <w:rPr>
            <w:rStyle w:val="Hyperlink"/>
            <w:lang w:eastAsia="en-AU"/>
          </w:rPr>
          <w:t>https://www.lgbtiqhealth.org.au/submission_to_abs_2026_census_topic_consultation_phase_two</w:t>
        </w:r>
      </w:hyperlink>
      <w:r w:rsidRPr="009634BB">
        <w:rPr>
          <w:lang w:eastAsia="en-AU"/>
        </w:rPr>
        <w:t xml:space="preserve">. </w:t>
      </w:r>
    </w:p>
    <w:p w14:paraId="25209C78" w14:textId="77777777" w:rsidR="009634BB" w:rsidRPr="009634BB" w:rsidRDefault="009634BB" w:rsidP="009634BB">
      <w:pPr>
        <w:ind w:left="720" w:hanging="720"/>
        <w:rPr>
          <w:lang w:eastAsia="en-AU"/>
        </w:rPr>
      </w:pPr>
      <w:r w:rsidRPr="009634BB">
        <w:rPr>
          <w:lang w:eastAsia="en-AU"/>
        </w:rPr>
        <w:t xml:space="preserve">Liddelow-Hunt, Shakara, Lin, Ashleigh, Hector, James, Hill, Laurent, Daglas, Kate, Hill, Braden, Perry, Yael, Wilson, Mirella, and Uink, Bep, “Conceptualising Wellbeing for Australian Aboriginal LGBTQA+ Young People”, in </w:t>
      </w:r>
      <w:r w:rsidRPr="009634BB">
        <w:rPr>
          <w:i/>
          <w:iCs/>
          <w:lang w:eastAsia="en-AU"/>
        </w:rPr>
        <w:t xml:space="preserve">Youth 2023, </w:t>
      </w:r>
      <w:r w:rsidRPr="009634BB">
        <w:rPr>
          <w:lang w:eastAsia="en-AU"/>
        </w:rPr>
        <w:t>vol. 3 (2023)</w:t>
      </w:r>
    </w:p>
    <w:p w14:paraId="6F1F7A3D" w14:textId="77777777" w:rsidR="009634BB" w:rsidRPr="009634BB" w:rsidRDefault="009634BB" w:rsidP="009634BB">
      <w:pPr>
        <w:ind w:left="720" w:hanging="720"/>
        <w:rPr>
          <w:lang w:val="en-US" w:eastAsia="en-AU"/>
        </w:rPr>
      </w:pPr>
      <w:r w:rsidRPr="009634BB">
        <w:rPr>
          <w:lang w:eastAsia="en-AU"/>
        </w:rPr>
        <w:lastRenderedPageBreak/>
        <w:t xml:space="preserve">Lyons, Anthony., Alba, Beatrice., Waling, Andrea., Minichiello, Victor., Hughes, Mark., Barrett, Catherine., Fredriksen-Goldsen, Karen., Savage, Teresa., and Edmonds, Samantha. "Assessing the Combined Effect of Ageism and Sexuality-Related Stigma on the Mental Health and Wellbeing of Older Lesbian and Gay Adults," </w:t>
      </w:r>
      <w:r w:rsidRPr="009634BB">
        <w:rPr>
          <w:i/>
          <w:iCs/>
          <w:lang w:eastAsia="en-AU"/>
        </w:rPr>
        <w:t>Ageing &amp; Mental Health</w:t>
      </w:r>
      <w:r w:rsidRPr="009634BB">
        <w:rPr>
          <w:lang w:eastAsia="en-AU"/>
        </w:rPr>
        <w:t xml:space="preserve"> 26, no. 7 (2022): 1460-1469.</w:t>
      </w:r>
    </w:p>
    <w:p w14:paraId="25A15D6A" w14:textId="77777777" w:rsidR="009634BB" w:rsidRPr="009634BB" w:rsidRDefault="009634BB" w:rsidP="009634BB">
      <w:pPr>
        <w:ind w:left="720" w:hanging="720"/>
        <w:rPr>
          <w:lang w:eastAsia="en-AU"/>
        </w:rPr>
      </w:pPr>
      <w:r w:rsidRPr="009634BB">
        <w:rPr>
          <w:lang w:eastAsia="en-AU"/>
        </w:rPr>
        <w:t xml:space="preserve">Madireddy, Samskruthi., and Madireddy, Sahithi. "Supportive Model for the Improvement of Mental Health and Prevention of Suicide Among LGBTQ+ Youth." </w:t>
      </w:r>
      <w:r w:rsidRPr="009634BB">
        <w:rPr>
          <w:i/>
          <w:iCs/>
          <w:lang w:eastAsia="en-AU"/>
        </w:rPr>
        <w:t>International Journal of Adolescence and Youth</w:t>
      </w:r>
      <w:r w:rsidRPr="009634BB">
        <w:rPr>
          <w:lang w:eastAsia="en-AU"/>
        </w:rPr>
        <w:t xml:space="preserve"> 27, no. 1 (2022): 85-101. </w:t>
      </w:r>
    </w:p>
    <w:p w14:paraId="3A896AAC" w14:textId="77777777" w:rsidR="009634BB" w:rsidRPr="009634BB" w:rsidRDefault="009634BB" w:rsidP="009634BB">
      <w:pPr>
        <w:ind w:left="720" w:hanging="720"/>
        <w:rPr>
          <w:lang w:eastAsia="en-AU"/>
        </w:rPr>
      </w:pPr>
      <w:r w:rsidRPr="009634BB">
        <w:rPr>
          <w:lang w:eastAsia="en-AU"/>
        </w:rPr>
        <w:t xml:space="preserve">Marks, Genee., O'Shea, Amie., McVilly, Keith., Frawley, Patsie., and Despott, Nathan. "Where’s the Human Dignity in </w:t>
      </w:r>
      <w:proofErr w:type="gramStart"/>
      <w:r w:rsidRPr="009634BB">
        <w:rPr>
          <w:lang w:eastAsia="en-AU"/>
        </w:rPr>
        <w:t>That?:</w:t>
      </w:r>
      <w:proofErr w:type="gramEnd"/>
      <w:r w:rsidRPr="009634BB">
        <w:rPr>
          <w:lang w:eastAsia="en-AU"/>
        </w:rPr>
        <w:t xml:space="preserve"> LGBTQIA+ People with Intellectual Disability Exploring Sexual Lives and Respectful Relationships." </w:t>
      </w:r>
      <w:r w:rsidRPr="009634BB">
        <w:rPr>
          <w:i/>
          <w:iCs/>
          <w:lang w:eastAsia="en-AU"/>
        </w:rPr>
        <w:t>Journal of Gay &amp; Lesbian Social Services</w:t>
      </w:r>
      <w:r w:rsidRPr="009634BB">
        <w:rPr>
          <w:lang w:eastAsia="en-AU"/>
        </w:rPr>
        <w:t xml:space="preserve"> 32, no. 3 (2020): 354-376.</w:t>
      </w:r>
    </w:p>
    <w:p w14:paraId="44CE270B" w14:textId="77777777" w:rsidR="009634BB" w:rsidRPr="009634BB" w:rsidRDefault="009634BB" w:rsidP="009634BB">
      <w:pPr>
        <w:ind w:left="720" w:hanging="720"/>
        <w:rPr>
          <w:lang w:eastAsia="en-AU"/>
        </w:rPr>
      </w:pPr>
      <w:r w:rsidRPr="009634BB">
        <w:rPr>
          <w:lang w:eastAsia="en-AU"/>
        </w:rPr>
        <w:t xml:space="preserve">McDonald, Kari. "Social Support and Mental Health in LGBTQ Adolescents: A Review of Literature." </w:t>
      </w:r>
      <w:r w:rsidRPr="009634BB">
        <w:rPr>
          <w:i/>
          <w:iCs/>
          <w:lang w:eastAsia="en-AU"/>
        </w:rPr>
        <w:t>Issues in Mental Health Nursing</w:t>
      </w:r>
      <w:r w:rsidRPr="009634BB">
        <w:rPr>
          <w:lang w:eastAsia="en-AU"/>
        </w:rPr>
        <w:t xml:space="preserve"> 39, no. 1 (2018): 16-29.</w:t>
      </w:r>
    </w:p>
    <w:p w14:paraId="33BCB3AD" w14:textId="77777777" w:rsidR="009634BB" w:rsidRPr="009634BB" w:rsidRDefault="009634BB" w:rsidP="009634BB">
      <w:pPr>
        <w:ind w:left="720" w:hanging="720"/>
        <w:rPr>
          <w:lang w:eastAsia="en-AU"/>
        </w:rPr>
      </w:pPr>
      <w:r w:rsidRPr="009634BB">
        <w:rPr>
          <w:lang w:eastAsia="en-AU"/>
        </w:rPr>
        <w:t xml:space="preserve">McLean, Kirsten. "Hiding in the Closet? Bisexuals, Coming Out, and the Disclosure Imperative." </w:t>
      </w:r>
      <w:r w:rsidRPr="009634BB">
        <w:rPr>
          <w:i/>
          <w:iCs/>
          <w:lang w:eastAsia="en-AU"/>
        </w:rPr>
        <w:t>Journal of Sexuality</w:t>
      </w:r>
      <w:r w:rsidRPr="009634BB">
        <w:rPr>
          <w:lang w:eastAsia="en-AU"/>
        </w:rPr>
        <w:t xml:space="preserve"> 43 (2007): 151-166.</w:t>
      </w:r>
    </w:p>
    <w:p w14:paraId="6945D627" w14:textId="77777777" w:rsidR="009634BB" w:rsidRPr="009634BB" w:rsidRDefault="009634BB" w:rsidP="009634BB">
      <w:pPr>
        <w:ind w:left="720" w:hanging="720"/>
        <w:rPr>
          <w:lang w:eastAsia="en-AU"/>
        </w:rPr>
      </w:pPr>
      <w:r w:rsidRPr="009634BB">
        <w:rPr>
          <w:lang w:eastAsia="en-AU"/>
        </w:rPr>
        <w:t xml:space="preserve">McNair, Ruth., Andrews, Cal., Parkinson, Sharon., and Dempsey, Deborah. </w:t>
      </w:r>
      <w:r w:rsidRPr="009634BB">
        <w:rPr>
          <w:i/>
          <w:iCs/>
          <w:lang w:eastAsia="en-AU"/>
        </w:rPr>
        <w:t xml:space="preserve">Stage 1 Report LGBTI Homelessness: Preliminary findings on risks, services needs and use. </w:t>
      </w:r>
      <w:r w:rsidRPr="009634BB">
        <w:rPr>
          <w:lang w:eastAsia="en-AU"/>
        </w:rPr>
        <w:t xml:space="preserve">(Lord Mayors Charitable Foundation, Assia Altman Fund of the Australian Communities Foundation, Launch Housing and Gay and Lesbian Foundation of Australia, 2017). </w:t>
      </w:r>
    </w:p>
    <w:p w14:paraId="37357BFF" w14:textId="77777777" w:rsidR="009634BB" w:rsidRPr="009634BB" w:rsidRDefault="009634BB" w:rsidP="009634BB">
      <w:pPr>
        <w:ind w:left="720" w:hanging="720"/>
        <w:rPr>
          <w:lang w:eastAsia="en-AU"/>
        </w:rPr>
      </w:pPr>
      <w:r w:rsidRPr="009634BB">
        <w:rPr>
          <w:lang w:eastAsia="en-AU"/>
        </w:rPr>
        <w:t xml:space="preserve">Mental Health America. "Asexuality &amp; Mental Health." Accessed 2023. </w:t>
      </w:r>
      <w:hyperlink r:id="rId138" w:anchor=":~:text=Other%20research%20has%20found%20asexual,as%20compared%20to%20heterosexual%20individuals" w:tgtFrame="_new" w:history="1">
        <w:r w:rsidRPr="009634BB">
          <w:rPr>
            <w:rStyle w:val="Hyperlink"/>
            <w:lang w:eastAsia="en-AU"/>
          </w:rPr>
          <w:t>https://mhanational.org/lgbtq/asexual-community-mental-health#:~:text=Other%20research%20has%20found%20asexual,as%20compared%20to%20heterosexual%20individuals</w:t>
        </w:r>
      </w:hyperlink>
      <w:r w:rsidRPr="009634BB">
        <w:rPr>
          <w:lang w:eastAsia="en-AU"/>
        </w:rPr>
        <w:t>.</w:t>
      </w:r>
    </w:p>
    <w:p w14:paraId="19E2B9B5" w14:textId="77777777" w:rsidR="009634BB" w:rsidRPr="009634BB" w:rsidRDefault="009634BB" w:rsidP="009634BB">
      <w:pPr>
        <w:ind w:left="720" w:hanging="720"/>
        <w:rPr>
          <w:lang w:eastAsia="en-AU"/>
        </w:rPr>
      </w:pPr>
      <w:r w:rsidRPr="009634BB">
        <w:rPr>
          <w:lang w:eastAsia="en-AU"/>
        </w:rPr>
        <w:t xml:space="preserve">Mental Health Coordinating Council, </w:t>
      </w:r>
      <w:r w:rsidRPr="009634BB">
        <w:rPr>
          <w:i/>
          <w:iCs/>
          <w:lang w:eastAsia="en-AU"/>
        </w:rPr>
        <w:t xml:space="preserve">Recovery Oriented Language Guide: Third Edition </w:t>
      </w:r>
      <w:r w:rsidRPr="009634BB">
        <w:rPr>
          <w:lang w:eastAsia="en-AU"/>
        </w:rPr>
        <w:t>(Sydney, Australia, 2022).</w:t>
      </w:r>
    </w:p>
    <w:p w14:paraId="29FB26F4" w14:textId="77777777" w:rsidR="009634BB" w:rsidRPr="009634BB" w:rsidRDefault="009634BB" w:rsidP="009634BB">
      <w:pPr>
        <w:ind w:left="720" w:hanging="720"/>
        <w:rPr>
          <w:lang w:eastAsia="en-AU"/>
        </w:rPr>
      </w:pPr>
      <w:r w:rsidRPr="009634BB">
        <w:rPr>
          <w:lang w:eastAsia="en-AU"/>
        </w:rPr>
        <w:t xml:space="preserve">Mitchell, Matthew., McCrory, Adrien., Skaburskis, Isabelle., and Appleton, Brenda., "Criminalising Gender Diversity: Trans and Gender Diverse People’s Experiences with the Victorian Criminal Legal System," </w:t>
      </w:r>
      <w:r w:rsidRPr="009634BB">
        <w:rPr>
          <w:i/>
          <w:iCs/>
          <w:lang w:eastAsia="en-AU"/>
        </w:rPr>
        <w:t>International Journal for Crime, Justice and Social Democracy</w:t>
      </w:r>
      <w:r w:rsidRPr="009634BB">
        <w:rPr>
          <w:lang w:eastAsia="en-AU"/>
        </w:rPr>
        <w:t xml:space="preserve"> 11, no. 4 (2022), </w:t>
      </w:r>
      <w:hyperlink r:id="rId139" w:tgtFrame="_new" w:history="1">
        <w:r w:rsidRPr="009634BB">
          <w:rPr>
            <w:rStyle w:val="Hyperlink"/>
            <w:lang w:eastAsia="en-AU"/>
          </w:rPr>
          <w:t>https://doi.org/10.5204/ijcjsd.2225</w:t>
        </w:r>
      </w:hyperlink>
      <w:r w:rsidRPr="009634BB">
        <w:rPr>
          <w:lang w:eastAsia="en-AU"/>
        </w:rPr>
        <w:t>.</w:t>
      </w:r>
    </w:p>
    <w:p w14:paraId="23121C15" w14:textId="77777777" w:rsidR="009634BB" w:rsidRPr="009634BB" w:rsidRDefault="009634BB" w:rsidP="009634BB">
      <w:pPr>
        <w:ind w:left="720" w:hanging="720"/>
        <w:rPr>
          <w:lang w:eastAsia="en-AU"/>
        </w:rPr>
      </w:pPr>
      <w:r w:rsidRPr="009634BB">
        <w:rPr>
          <w:lang w:eastAsia="en-AU"/>
        </w:rPr>
        <w:t xml:space="preserve">Moagi, Miriam., van Der Wath, Anna., Jiyane, Priscilla., and Rikhotso, Richard. “Mental health challenges of lesbian, gay, bisexual and transgender people: an integrated literature review.” </w:t>
      </w:r>
      <w:r w:rsidRPr="009634BB">
        <w:rPr>
          <w:i/>
          <w:iCs/>
          <w:lang w:eastAsia="en-AU"/>
        </w:rPr>
        <w:t>SA Gesondheid</w:t>
      </w:r>
      <w:r w:rsidRPr="009634BB">
        <w:rPr>
          <w:lang w:eastAsia="en-AU"/>
        </w:rPr>
        <w:t xml:space="preserve"> 26, no. 1487 (2021): 8. </w:t>
      </w:r>
      <w:hyperlink r:id="rId140" w:history="1">
        <w:r w:rsidRPr="009634BB">
          <w:rPr>
            <w:rStyle w:val="Hyperlink"/>
            <w:lang w:eastAsia="en-AU"/>
          </w:rPr>
          <w:t>https://doi.org/10.4102/hsag.v26i0.1487</w:t>
        </w:r>
      </w:hyperlink>
      <w:r w:rsidRPr="009634BB">
        <w:rPr>
          <w:lang w:eastAsia="en-AU"/>
        </w:rPr>
        <w:t xml:space="preserve">.  </w:t>
      </w:r>
    </w:p>
    <w:p w14:paraId="08CC2960" w14:textId="77777777" w:rsidR="009634BB" w:rsidRPr="009634BB" w:rsidRDefault="009634BB" w:rsidP="009634BB">
      <w:pPr>
        <w:ind w:left="720" w:hanging="720"/>
        <w:rPr>
          <w:lang w:eastAsia="en-AU"/>
        </w:rPr>
      </w:pPr>
      <w:r w:rsidRPr="009634BB">
        <w:rPr>
          <w:lang w:eastAsia="en-AU"/>
        </w:rPr>
        <w:t xml:space="preserve">Monaghan, Oscar. "Dual Imperatives: Decolonising the Queer and Queering the Decolonial." In </w:t>
      </w:r>
      <w:r w:rsidRPr="009634BB">
        <w:rPr>
          <w:i/>
          <w:iCs/>
          <w:lang w:eastAsia="en-AU"/>
        </w:rPr>
        <w:t>Colouring the Rainbow: Blak Queer and Trans Perspectives</w:t>
      </w:r>
      <w:r w:rsidRPr="009634BB">
        <w:rPr>
          <w:lang w:eastAsia="en-AU"/>
        </w:rPr>
        <w:t>, edited by Dino Hodge, Wakefield Press, 2015.</w:t>
      </w:r>
    </w:p>
    <w:p w14:paraId="1B5BEFE4" w14:textId="77777777" w:rsidR="009634BB" w:rsidRPr="00624A03" w:rsidRDefault="009634BB" w:rsidP="009634BB">
      <w:pPr>
        <w:ind w:left="720" w:hanging="720"/>
        <w:rPr>
          <w:lang w:eastAsia="en-AU"/>
        </w:rPr>
      </w:pPr>
      <w:r w:rsidRPr="009634BB">
        <w:rPr>
          <w:lang w:val="en-US" w:eastAsia="en-AU"/>
        </w:rPr>
        <w:t xml:space="preserve">Monash Health, “Gender Clinic – Frequently Asked Questions”, Last Updated: 4 August 2023, </w:t>
      </w:r>
      <w:hyperlink r:id="rId141" w:history="1">
        <w:r w:rsidRPr="009634BB">
          <w:rPr>
            <w:rStyle w:val="Hyperlink"/>
            <w:lang w:val="en-US" w:eastAsia="en-AU"/>
          </w:rPr>
          <w:t>https://monashhealth.org/services/gender-clinic/questions/</w:t>
        </w:r>
      </w:hyperlink>
    </w:p>
    <w:p w14:paraId="310EB128" w14:textId="77777777" w:rsidR="009634BB" w:rsidRPr="009634BB" w:rsidRDefault="009634BB" w:rsidP="009634BB">
      <w:pPr>
        <w:ind w:left="720" w:hanging="720"/>
        <w:rPr>
          <w:lang w:eastAsia="en-AU"/>
        </w:rPr>
      </w:pPr>
      <w:r w:rsidRPr="009634BB">
        <w:rPr>
          <w:lang w:val="it-IT" w:eastAsia="en-AU"/>
        </w:rPr>
        <w:t xml:space="preserve">Mongelli, Francesca., Perrone, Daniela., Balducci, Jessica., Sacchetti, Andrea., Ferrari, Silvia., Mettai, Giorgio., and Galeazzi, Gian. </w:t>
      </w:r>
      <w:r w:rsidRPr="009634BB">
        <w:rPr>
          <w:lang w:eastAsia="en-AU"/>
        </w:rPr>
        <w:t xml:space="preserve">"Minority Stress and Mental Health </w:t>
      </w:r>
      <w:r w:rsidRPr="009634BB">
        <w:rPr>
          <w:lang w:eastAsia="en-AU"/>
        </w:rPr>
        <w:lastRenderedPageBreak/>
        <w:t xml:space="preserve">Among LGBT Populations: An Update on the Evidence." </w:t>
      </w:r>
      <w:r w:rsidRPr="009634BB">
        <w:rPr>
          <w:i/>
          <w:iCs/>
          <w:lang w:eastAsia="en-AU"/>
        </w:rPr>
        <w:t>Minerva Psichiatrica</w:t>
      </w:r>
      <w:r w:rsidRPr="009634BB">
        <w:rPr>
          <w:lang w:eastAsia="en-AU"/>
        </w:rPr>
        <w:t xml:space="preserve"> 60, no. 1 (2019): 27-50.</w:t>
      </w:r>
    </w:p>
    <w:p w14:paraId="1BAF0F45" w14:textId="77777777" w:rsidR="009634BB" w:rsidRPr="009634BB" w:rsidRDefault="009634BB" w:rsidP="009634BB">
      <w:pPr>
        <w:ind w:left="720" w:hanging="720"/>
        <w:rPr>
          <w:lang w:eastAsia="en-AU"/>
        </w:rPr>
      </w:pPr>
      <w:r w:rsidRPr="009634BB">
        <w:rPr>
          <w:lang w:eastAsia="en-AU"/>
        </w:rPr>
        <w:t>Monson, Katherine., Moeller-Saxone, Kristen., Humphreys, Cathy., Harvey, Carol., and Herrman, Helen. "Promoting Mental Health in Out of Home Care in Australia." Health Promotion International, vol. 35, no. 5 (2020): 1026-1036.</w:t>
      </w:r>
    </w:p>
    <w:p w14:paraId="25E98556" w14:textId="77777777" w:rsidR="009634BB" w:rsidRPr="009634BB" w:rsidRDefault="009634BB" w:rsidP="009634BB">
      <w:pPr>
        <w:ind w:left="720" w:hanging="720"/>
        <w:rPr>
          <w:lang w:eastAsia="en-AU"/>
        </w:rPr>
      </w:pPr>
      <w:r w:rsidRPr="009634BB">
        <w:rPr>
          <w:lang w:eastAsia="en-AU"/>
        </w:rPr>
        <w:t xml:space="preserve">Morandini, James., Strudwick, Jessica., Menzies, Rachel., and Dar-Nimrod, Ilan. "Differences between Australian Bisexual and Pansexual Women: An Assessment of Minority Stressors and Psychological Outcomes." </w:t>
      </w:r>
      <w:r w:rsidRPr="009634BB">
        <w:rPr>
          <w:i/>
          <w:iCs/>
          <w:lang w:eastAsia="en-AU"/>
        </w:rPr>
        <w:t>Psychology &amp; Sexuality</w:t>
      </w:r>
      <w:r w:rsidRPr="009634BB">
        <w:rPr>
          <w:lang w:eastAsia="en-AU"/>
        </w:rPr>
        <w:t xml:space="preserve"> 14, no. 1 (2023): 233.</w:t>
      </w:r>
    </w:p>
    <w:p w14:paraId="0AAD01B9" w14:textId="77777777" w:rsidR="009634BB" w:rsidRPr="009634BB" w:rsidRDefault="009634BB" w:rsidP="009634BB">
      <w:pPr>
        <w:ind w:left="720" w:hanging="720"/>
        <w:rPr>
          <w:lang w:eastAsia="en-AU"/>
        </w:rPr>
      </w:pPr>
      <w:r w:rsidRPr="009634BB">
        <w:rPr>
          <w:lang w:eastAsia="en-AU"/>
        </w:rPr>
        <w:t xml:space="preserve">Morris, Daniel., Fernandes, Vanessa., and Rimes, Katharine. "Sexual Minority Service User Perspectives on Mental Health Treatment Barriers to Care and Service Improvements." </w:t>
      </w:r>
      <w:r w:rsidRPr="009634BB">
        <w:rPr>
          <w:i/>
          <w:iCs/>
          <w:lang w:eastAsia="en-AU"/>
        </w:rPr>
        <w:t>International Review of Psychiatry</w:t>
      </w:r>
      <w:r w:rsidRPr="009634BB">
        <w:rPr>
          <w:lang w:eastAsia="en-AU"/>
        </w:rPr>
        <w:t xml:space="preserve"> 34, no. 3-4 (2022): 230-239.</w:t>
      </w:r>
    </w:p>
    <w:p w14:paraId="2A27C2A4" w14:textId="77777777" w:rsidR="009634BB" w:rsidRPr="009634BB" w:rsidRDefault="009634BB" w:rsidP="009634BB">
      <w:pPr>
        <w:ind w:left="720" w:hanging="720"/>
        <w:rPr>
          <w:lang w:eastAsia="en-AU"/>
        </w:rPr>
      </w:pPr>
      <w:r w:rsidRPr="009634BB">
        <w:rPr>
          <w:lang w:eastAsia="en-AU"/>
        </w:rPr>
        <w:t xml:space="preserve">National Mental Health Commission, </w:t>
      </w:r>
      <w:r w:rsidRPr="009634BB">
        <w:rPr>
          <w:i/>
          <w:iCs/>
          <w:lang w:eastAsia="en-AU"/>
        </w:rPr>
        <w:t>Monitoring mental health and suicide prevention reform: National Report 2020</w:t>
      </w:r>
    </w:p>
    <w:p w14:paraId="5262DC67" w14:textId="77777777" w:rsidR="009634BB" w:rsidRPr="009634BB" w:rsidRDefault="009634BB" w:rsidP="009634BB">
      <w:pPr>
        <w:ind w:left="720" w:hanging="720"/>
        <w:rPr>
          <w:lang w:eastAsia="en-AU"/>
        </w:rPr>
      </w:pPr>
      <w:r w:rsidRPr="009634BB">
        <w:rPr>
          <w:lang w:eastAsia="en-AU"/>
        </w:rPr>
        <w:t xml:space="preserve">National Mental Health Commission. “National Stigma and Discrimination Reduction Strategy.” Accessed 2023. </w:t>
      </w:r>
      <w:hyperlink r:id="rId142" w:history="1">
        <w:r w:rsidRPr="009634BB">
          <w:rPr>
            <w:rStyle w:val="Hyperlink"/>
            <w:lang w:eastAsia="en-AU"/>
          </w:rPr>
          <w:t>https://www.mentalhealthcommission.gov.au/Projects/stigma-and-discrimination-reduction-strategy</w:t>
        </w:r>
      </w:hyperlink>
      <w:r w:rsidRPr="009634BB">
        <w:rPr>
          <w:lang w:eastAsia="en-AU"/>
        </w:rPr>
        <w:t xml:space="preserve"> </w:t>
      </w:r>
    </w:p>
    <w:p w14:paraId="35AE388E" w14:textId="77777777" w:rsidR="009634BB" w:rsidRPr="009634BB" w:rsidRDefault="009634BB" w:rsidP="009634BB">
      <w:pPr>
        <w:ind w:left="720" w:hanging="720"/>
        <w:rPr>
          <w:lang w:eastAsia="en-AU"/>
        </w:rPr>
      </w:pPr>
      <w:r w:rsidRPr="009634BB">
        <w:rPr>
          <w:lang w:eastAsia="en-AU"/>
        </w:rPr>
        <w:t>Noble, Sarah. "Mental Health Facts on Bisexual Populations," January 2020, American Psychological Association.</w:t>
      </w:r>
    </w:p>
    <w:p w14:paraId="77BC70F4" w14:textId="77777777" w:rsidR="009634BB" w:rsidRPr="009634BB" w:rsidRDefault="009634BB" w:rsidP="009634BB">
      <w:pPr>
        <w:ind w:left="720" w:hanging="720"/>
        <w:rPr>
          <w:lang w:eastAsia="en-AU"/>
        </w:rPr>
      </w:pPr>
      <w:r w:rsidRPr="009634BB">
        <w:rPr>
          <w:lang w:eastAsia="en-AU"/>
        </w:rPr>
        <w:t xml:space="preserve">NSW Government. </w:t>
      </w:r>
      <w:r w:rsidRPr="009634BB">
        <w:rPr>
          <w:i/>
          <w:iCs/>
          <w:lang w:eastAsia="en-AU"/>
        </w:rPr>
        <w:t>Births, Deaths, and Marriages Registration Act 1995</w:t>
      </w:r>
      <w:r w:rsidRPr="009634BB">
        <w:rPr>
          <w:lang w:eastAsia="en-AU"/>
        </w:rPr>
        <w:t>. No 62, s 32A.</w:t>
      </w:r>
    </w:p>
    <w:p w14:paraId="13464AE3" w14:textId="77777777" w:rsidR="009634BB" w:rsidRPr="009634BB" w:rsidRDefault="009634BB" w:rsidP="009634BB">
      <w:pPr>
        <w:ind w:left="720" w:hanging="720"/>
        <w:rPr>
          <w:lang w:eastAsia="en-AU"/>
        </w:rPr>
      </w:pPr>
      <w:r w:rsidRPr="009634BB">
        <w:rPr>
          <w:lang w:eastAsia="en-AU"/>
        </w:rPr>
        <w:t xml:space="preserve">NSW Government Agency for Clinical Innovation, </w:t>
      </w:r>
      <w:r w:rsidRPr="009634BB">
        <w:rPr>
          <w:i/>
          <w:iCs/>
          <w:lang w:eastAsia="en-AU"/>
        </w:rPr>
        <w:t xml:space="preserve">Traum-informed care and practice in mental health services </w:t>
      </w:r>
      <w:r w:rsidRPr="009634BB">
        <w:rPr>
          <w:lang w:eastAsia="en-AU"/>
        </w:rPr>
        <w:t>(2023)</w:t>
      </w:r>
      <w:r w:rsidRPr="009634BB">
        <w:rPr>
          <w:i/>
          <w:iCs/>
          <w:lang w:eastAsia="en-AU"/>
        </w:rPr>
        <w:t xml:space="preserve"> </w:t>
      </w:r>
      <w:r w:rsidRPr="009634BB">
        <w:rPr>
          <w:lang w:eastAsia="en-AU"/>
        </w:rPr>
        <w:t>https://aci.health.nsw.gov.au/networks/mental-health/trauma-informed-care</w:t>
      </w:r>
    </w:p>
    <w:p w14:paraId="0AB39EE4" w14:textId="77777777" w:rsidR="009634BB" w:rsidRPr="009634BB" w:rsidRDefault="009634BB" w:rsidP="009634BB">
      <w:pPr>
        <w:ind w:left="720" w:hanging="720"/>
        <w:rPr>
          <w:lang w:eastAsia="en-AU"/>
        </w:rPr>
      </w:pPr>
      <w:r w:rsidRPr="009634BB">
        <w:rPr>
          <w:lang w:val="en-US" w:eastAsia="en-AU"/>
        </w:rPr>
        <w:t xml:space="preserve">NSW Health, “NSW LGBTIQ+ Health Strategy 2022-2027”, (2022), </w:t>
      </w:r>
      <w:hyperlink r:id="rId143" w:history="1">
        <w:r w:rsidRPr="009634BB">
          <w:rPr>
            <w:rStyle w:val="Hyperlink"/>
            <w:lang w:val="en-US" w:eastAsia="en-AU"/>
          </w:rPr>
          <w:t>https://www.health.nsw.gov.au/lgbtiq-health/Publications/lgbtiq-health-summary.pdf</w:t>
        </w:r>
      </w:hyperlink>
    </w:p>
    <w:p w14:paraId="27E33BB0" w14:textId="77777777" w:rsidR="009634BB" w:rsidRPr="009634BB" w:rsidRDefault="009634BB" w:rsidP="009634BB">
      <w:pPr>
        <w:ind w:left="720" w:hanging="720"/>
        <w:rPr>
          <w:lang w:eastAsia="en-AU"/>
        </w:rPr>
      </w:pPr>
      <w:r w:rsidRPr="009634BB">
        <w:rPr>
          <w:lang w:eastAsia="en-AU"/>
        </w:rPr>
        <w:t>NSW Health, “NSW opens first LGBTQ+ suicide prevention service”</w:t>
      </w:r>
      <w:r w:rsidRPr="009634BB">
        <w:rPr>
          <w:i/>
          <w:iCs/>
          <w:lang w:eastAsia="en-AU"/>
        </w:rPr>
        <w:t xml:space="preserve">, </w:t>
      </w:r>
      <w:r w:rsidRPr="009634BB">
        <w:rPr>
          <w:lang w:eastAsia="en-AU"/>
        </w:rPr>
        <w:t xml:space="preserve">Published: 15 April 2022, </w:t>
      </w:r>
      <w:hyperlink r:id="rId144" w:history="1">
        <w:r w:rsidRPr="009634BB">
          <w:rPr>
            <w:rStyle w:val="Hyperlink"/>
            <w:lang w:eastAsia="en-AU"/>
          </w:rPr>
          <w:t>NSW opens first LGBTQ+ suicide prevention service - News</w:t>
        </w:r>
      </w:hyperlink>
    </w:p>
    <w:p w14:paraId="5375A4E1" w14:textId="77777777" w:rsidR="009634BB" w:rsidRPr="009634BB" w:rsidRDefault="009634BB" w:rsidP="009634BB">
      <w:pPr>
        <w:ind w:left="720" w:hanging="720"/>
        <w:rPr>
          <w:lang w:eastAsia="en-AU"/>
        </w:rPr>
      </w:pPr>
      <w:r w:rsidRPr="009634BB">
        <w:rPr>
          <w:lang w:eastAsia="en-AU"/>
        </w:rPr>
        <w:t>Open Doors Youth Service inc, “LGBTIQAP+ Individual Support Services”</w:t>
      </w:r>
      <w:r w:rsidRPr="009634BB">
        <w:rPr>
          <w:i/>
          <w:iCs/>
          <w:lang w:eastAsia="en-AU"/>
        </w:rPr>
        <w:t xml:space="preserve">, </w:t>
      </w:r>
      <w:r w:rsidRPr="009634BB">
        <w:rPr>
          <w:lang w:eastAsia="en-AU"/>
        </w:rPr>
        <w:t>https://www.opendoors.net.au/lgbtiqap-individual-support/</w:t>
      </w:r>
    </w:p>
    <w:p w14:paraId="634332B0" w14:textId="77777777" w:rsidR="009634BB" w:rsidRPr="009634BB" w:rsidRDefault="009634BB" w:rsidP="009634BB">
      <w:pPr>
        <w:ind w:left="720" w:hanging="720"/>
        <w:rPr>
          <w:lang w:eastAsia="en-AU"/>
        </w:rPr>
      </w:pPr>
      <w:r w:rsidRPr="009634BB">
        <w:rPr>
          <w:lang w:eastAsia="en-AU"/>
        </w:rPr>
        <w:t xml:space="preserve">Parker, George., Ker, Alex., Baddock, Sally., Kerekere, Elizabeth., Veale, Jaimie., and Miller, Suzanne. "It's Total Erasure: Trans and Nonbinary Peoples' Experiences of Cisnormativity within Perinatal Care Services in Aotearoa New Zealand." </w:t>
      </w:r>
      <w:r w:rsidRPr="009634BB">
        <w:rPr>
          <w:i/>
          <w:iCs/>
          <w:lang w:eastAsia="en-AU"/>
        </w:rPr>
        <w:t>Women's Reproductive Health</w:t>
      </w:r>
      <w:r w:rsidRPr="009634BB">
        <w:rPr>
          <w:lang w:eastAsia="en-AU"/>
        </w:rPr>
        <w:t xml:space="preserve"> (2022).</w:t>
      </w:r>
    </w:p>
    <w:p w14:paraId="23FC79CF" w14:textId="77777777" w:rsidR="009634BB" w:rsidRPr="009634BB" w:rsidRDefault="009634BB" w:rsidP="009634BB">
      <w:pPr>
        <w:ind w:left="720" w:hanging="720"/>
        <w:rPr>
          <w:lang w:eastAsia="en-AU"/>
        </w:rPr>
      </w:pPr>
      <w:r w:rsidRPr="009634BB">
        <w:rPr>
          <w:lang w:eastAsia="en-AU"/>
        </w:rPr>
        <w:t xml:space="preserve">Perales, Francisco., and Anna Todd. "Structural Stigma and the Health and Wellbeing of Australian LGB Populations: Exploiting Geographic Variation in the Results of the 2017 Same-Sex Marriage Plebiscite." </w:t>
      </w:r>
      <w:r w:rsidRPr="009634BB">
        <w:rPr>
          <w:i/>
          <w:iCs/>
          <w:lang w:eastAsia="en-AU"/>
        </w:rPr>
        <w:t>Social Science &amp; Medicine</w:t>
      </w:r>
      <w:r w:rsidRPr="009634BB">
        <w:rPr>
          <w:lang w:eastAsia="en-AU"/>
        </w:rPr>
        <w:t xml:space="preserve"> 208 (2018): 190-199.</w:t>
      </w:r>
    </w:p>
    <w:p w14:paraId="27D9B4F2" w14:textId="77777777" w:rsidR="009634BB" w:rsidRPr="009634BB" w:rsidRDefault="009634BB" w:rsidP="009634BB">
      <w:pPr>
        <w:ind w:left="720" w:hanging="720"/>
        <w:rPr>
          <w:lang w:eastAsia="en-AU"/>
        </w:rPr>
      </w:pPr>
      <w:r w:rsidRPr="009634BB">
        <w:rPr>
          <w:lang w:eastAsia="en-AU"/>
        </w:rPr>
        <w:t xml:space="preserve">Peixoto, Eduardo., de Azevedo, Virginia., Soares, Jesilaine., Depret, Davi., Souza, Cleo., Messina, Maria., Velasque, Luciana. "Interpersonal Violence and Passing: Results </w:t>
      </w:r>
      <w:r w:rsidRPr="009634BB">
        <w:rPr>
          <w:lang w:eastAsia="en-AU"/>
        </w:rPr>
        <w:lastRenderedPageBreak/>
        <w:t xml:space="preserve">from a Brazilian Trans-Specific Cross-Sectional Study." </w:t>
      </w:r>
      <w:r w:rsidRPr="009634BB">
        <w:rPr>
          <w:i/>
          <w:iCs/>
          <w:lang w:eastAsia="en-AU"/>
        </w:rPr>
        <w:t>Journal of Interpersonal Violence</w:t>
      </w:r>
      <w:r w:rsidRPr="009634BB">
        <w:rPr>
          <w:lang w:eastAsia="en-AU"/>
        </w:rPr>
        <w:t xml:space="preserve"> 37, no. 15-16 (2022): NP14397-NP14410.</w:t>
      </w:r>
    </w:p>
    <w:p w14:paraId="65FF6AF9" w14:textId="77777777" w:rsidR="009634BB" w:rsidRPr="009634BB" w:rsidRDefault="009634BB" w:rsidP="009634BB">
      <w:pPr>
        <w:ind w:left="720" w:hanging="720"/>
        <w:rPr>
          <w:lang w:eastAsia="en-AU"/>
        </w:rPr>
      </w:pPr>
      <w:r w:rsidRPr="009634BB">
        <w:rPr>
          <w:lang w:eastAsia="en-AU"/>
        </w:rPr>
        <w:t xml:space="preserve">Poole, Jennifer., Jivraj, Tania., Arslanian, Araxi., Bellows, Kristen., Chiasson, Sheila., Hakimy, Husnia., Pasini, Jessica., and Reid, Jenna. "Sanism, 'Mental Health' and Social Work/Education: A Review and Call to Action." </w:t>
      </w:r>
      <w:r w:rsidRPr="009634BB">
        <w:rPr>
          <w:i/>
          <w:iCs/>
          <w:lang w:eastAsia="en-AU"/>
        </w:rPr>
        <w:t>Intersectionalities: A Global Journal of Social Work Analysis, Research, Polity and Practice</w:t>
      </w:r>
      <w:r w:rsidRPr="009634BB">
        <w:rPr>
          <w:lang w:eastAsia="en-AU"/>
        </w:rPr>
        <w:t xml:space="preserve"> 1 (2012): 20-36. </w:t>
      </w:r>
    </w:p>
    <w:p w14:paraId="12B7C21A" w14:textId="77777777" w:rsidR="009634BB" w:rsidRPr="009634BB" w:rsidRDefault="009634BB" w:rsidP="009634BB">
      <w:pPr>
        <w:ind w:left="720" w:hanging="720"/>
        <w:rPr>
          <w:lang w:eastAsia="en-AU"/>
        </w:rPr>
      </w:pPr>
      <w:r w:rsidRPr="009634BB">
        <w:rPr>
          <w:lang w:val="en-US" w:eastAsia="en-AU"/>
        </w:rPr>
        <w:t xml:space="preserve">Pride Foundation. </w:t>
      </w:r>
      <w:r w:rsidRPr="009634BB">
        <w:rPr>
          <w:i/>
          <w:iCs/>
          <w:lang w:val="en-US" w:eastAsia="en-AU"/>
        </w:rPr>
        <w:t>Federal Parliamentary Inquiry into Homelessness 2020 Pride Foundation Australia submission.</w:t>
      </w:r>
      <w:r w:rsidRPr="009634BB">
        <w:rPr>
          <w:lang w:val="en-US" w:eastAsia="en-AU"/>
        </w:rPr>
        <w:t xml:space="preserve"> Accessed 2023. </w:t>
      </w:r>
      <w:hyperlink r:id="rId145" w:history="1">
        <w:r w:rsidRPr="009634BB">
          <w:rPr>
            <w:rStyle w:val="Hyperlink"/>
            <w:lang w:val="en-US" w:eastAsia="en-AU"/>
          </w:rPr>
          <w:t>https://pridefoundation.org.au/wp-content/uploads/2020/07/Pride-Foundation-Australia-Submission-Federal-Parliamentary-Inquiry-into-Homelessness-2020-final.pdf</w:t>
        </w:r>
      </w:hyperlink>
      <w:r w:rsidRPr="009634BB">
        <w:rPr>
          <w:lang w:val="en-US" w:eastAsia="en-AU"/>
        </w:rPr>
        <w:t xml:space="preserve"> </w:t>
      </w:r>
    </w:p>
    <w:p w14:paraId="2E9E2BA6" w14:textId="77777777" w:rsidR="009634BB" w:rsidRPr="009634BB" w:rsidRDefault="009634BB" w:rsidP="009634BB">
      <w:pPr>
        <w:ind w:left="720" w:hanging="720"/>
        <w:rPr>
          <w:lang w:eastAsia="en-AU"/>
        </w:rPr>
      </w:pPr>
      <w:r w:rsidRPr="009634BB">
        <w:rPr>
          <w:lang w:eastAsia="en-AU"/>
        </w:rPr>
        <w:t xml:space="preserve">Proulx, C. N., Coulter, R. W. S., Egan, J. E., Matthews, D. D., and Mair, C. 2019, “Associations of lesbian, gay, bisexual, transgender, and questioning-inclusive sex education with mental health outcomes and school-based victimization in U.S. high school students”, </w:t>
      </w:r>
      <w:r w:rsidRPr="009634BB">
        <w:rPr>
          <w:i/>
          <w:iCs/>
          <w:lang w:eastAsia="en-AU"/>
        </w:rPr>
        <w:t>Journal of Adolescent Health</w:t>
      </w:r>
      <w:r w:rsidRPr="009634BB">
        <w:rPr>
          <w:lang w:eastAsia="en-AU"/>
        </w:rPr>
        <w:t>, vol. 64, no. 5, 608–614.</w:t>
      </w:r>
    </w:p>
    <w:p w14:paraId="04FD4EBC" w14:textId="77777777" w:rsidR="009634BB" w:rsidRPr="009634BB" w:rsidRDefault="009634BB" w:rsidP="009634BB">
      <w:pPr>
        <w:ind w:left="720" w:hanging="720"/>
        <w:rPr>
          <w:lang w:eastAsia="en-AU"/>
        </w:rPr>
      </w:pPr>
      <w:r w:rsidRPr="009634BB">
        <w:rPr>
          <w:lang w:eastAsia="en-AU"/>
        </w:rPr>
        <w:t>QLife, “Get Help”,</w:t>
      </w:r>
      <w:r w:rsidRPr="009634BB">
        <w:rPr>
          <w:i/>
          <w:iCs/>
          <w:lang w:eastAsia="en-AU"/>
        </w:rPr>
        <w:t xml:space="preserve"> </w:t>
      </w:r>
      <w:hyperlink r:id="rId146" w:history="1">
        <w:r w:rsidRPr="009634BB">
          <w:rPr>
            <w:rStyle w:val="Hyperlink"/>
            <w:lang w:eastAsia="en-AU"/>
          </w:rPr>
          <w:t>Get Help (qlife.org.au)</w:t>
        </w:r>
      </w:hyperlink>
    </w:p>
    <w:p w14:paraId="04C22418" w14:textId="77777777" w:rsidR="009634BB" w:rsidRPr="009634BB" w:rsidRDefault="009634BB" w:rsidP="009634BB">
      <w:pPr>
        <w:ind w:left="720" w:hanging="720"/>
        <w:rPr>
          <w:lang w:eastAsia="en-AU"/>
        </w:rPr>
      </w:pPr>
      <w:r w:rsidRPr="009634BB">
        <w:rPr>
          <w:lang w:eastAsia="en-AU"/>
        </w:rPr>
        <w:t xml:space="preserve">Queensland Government. </w:t>
      </w:r>
      <w:r w:rsidRPr="009634BB">
        <w:rPr>
          <w:i/>
          <w:iCs/>
          <w:lang w:eastAsia="en-AU"/>
        </w:rPr>
        <w:t>Anti-Discrimination Act 1991,</w:t>
      </w:r>
      <w:r w:rsidRPr="009634BB">
        <w:rPr>
          <w:lang w:eastAsia="en-AU"/>
        </w:rPr>
        <w:t xml:space="preserve"> s. 28.</w:t>
      </w:r>
    </w:p>
    <w:p w14:paraId="26EF5D20" w14:textId="77777777" w:rsidR="009634BB" w:rsidRPr="009634BB" w:rsidRDefault="009634BB" w:rsidP="009634BB">
      <w:pPr>
        <w:ind w:left="720" w:hanging="720"/>
        <w:rPr>
          <w:lang w:eastAsia="en-AU"/>
        </w:rPr>
      </w:pPr>
      <w:r w:rsidRPr="009634BB">
        <w:rPr>
          <w:lang w:eastAsia="en-AU"/>
        </w:rPr>
        <w:t xml:space="preserve">Queensland Government, “Every Life: the Queensland Suicide Prevention Plan 2019 – 2029: Phase One” (2009), </w:t>
      </w:r>
      <w:hyperlink r:id="rId147" w:anchor=":~:text=The%20Every%20life%20plan%20recognises,of%20people%20with%20lived%20experience" w:history="1">
        <w:r w:rsidRPr="009634BB">
          <w:rPr>
            <w:rStyle w:val="Hyperlink"/>
            <w:lang w:eastAsia="en-AU"/>
          </w:rPr>
          <w:t>https://www.qmhc.qld.gov.au/strategic-planning/action-plans/every-life-phase-one#:~:text=The%20Every%20life%20plan%20recognises,of%20people%20with%20lived%20experience</w:t>
        </w:r>
      </w:hyperlink>
    </w:p>
    <w:p w14:paraId="47D45523" w14:textId="77777777" w:rsidR="009634BB" w:rsidRPr="009634BB" w:rsidRDefault="009634BB" w:rsidP="009634BB">
      <w:pPr>
        <w:ind w:left="720" w:hanging="720"/>
        <w:rPr>
          <w:lang w:eastAsia="en-AU"/>
        </w:rPr>
      </w:pPr>
      <w:r w:rsidRPr="009634BB">
        <w:rPr>
          <w:lang w:eastAsia="en-AU"/>
        </w:rPr>
        <w:t xml:space="preserve">Queensland Government, </w:t>
      </w:r>
      <w:r w:rsidRPr="009634BB">
        <w:rPr>
          <w:i/>
          <w:iCs/>
          <w:lang w:eastAsia="en-AU"/>
        </w:rPr>
        <w:t xml:space="preserve">Shifting minds: the Queensland mental health, alcohol and other drugs, and suicide prevention strategic plan 2023- 2028 </w:t>
      </w:r>
      <w:r w:rsidRPr="009634BB">
        <w:rPr>
          <w:lang w:eastAsia="en-AU"/>
        </w:rPr>
        <w:t xml:space="preserve">(2023), </w:t>
      </w:r>
      <w:hyperlink r:id="rId148" w:history="1">
        <w:r w:rsidRPr="009634BB">
          <w:rPr>
            <w:rStyle w:val="Hyperlink"/>
            <w:lang w:eastAsia="en-AU"/>
          </w:rPr>
          <w:t>https://www.qmhc.qld.gov.au/shifting-minds-2023-2028</w:t>
        </w:r>
      </w:hyperlink>
    </w:p>
    <w:p w14:paraId="37D3089E" w14:textId="77777777" w:rsidR="009634BB" w:rsidRPr="009634BB" w:rsidRDefault="009634BB" w:rsidP="009634BB">
      <w:pPr>
        <w:ind w:left="720" w:hanging="720"/>
        <w:rPr>
          <w:lang w:eastAsia="en-AU"/>
        </w:rPr>
      </w:pPr>
      <w:r w:rsidRPr="009634BB">
        <w:rPr>
          <w:lang w:eastAsia="en-AU"/>
        </w:rPr>
        <w:t xml:space="preserve">Rainbow Health Australia. "Research Matters: Trans and Gender Diverse Health and Wellbeing." Accessed August 25, 2023, </w:t>
      </w:r>
      <w:hyperlink r:id="rId149" w:tgtFrame="_new" w:history="1">
        <w:r w:rsidRPr="009634BB">
          <w:rPr>
            <w:rStyle w:val="Hyperlink"/>
            <w:lang w:eastAsia="en-AU"/>
          </w:rPr>
          <w:t>https://rainbowhealthaustralia.org.au/media/pages/research-resources/research-matters-trans-and-gender-diverse-health-and-wellbeing/80199998-1655786493/research-matters-trans-and-gender-diverse-health-and-wellbeing.pdf</w:t>
        </w:r>
      </w:hyperlink>
      <w:r w:rsidRPr="009634BB">
        <w:rPr>
          <w:lang w:eastAsia="en-AU"/>
        </w:rPr>
        <w:t>.</w:t>
      </w:r>
    </w:p>
    <w:p w14:paraId="35FE5444" w14:textId="77777777" w:rsidR="009634BB" w:rsidRPr="009634BB" w:rsidRDefault="009634BB" w:rsidP="009634BB">
      <w:pPr>
        <w:ind w:left="720" w:hanging="720"/>
        <w:rPr>
          <w:lang w:eastAsia="en-AU"/>
        </w:rPr>
      </w:pPr>
      <w:r w:rsidRPr="009634BB">
        <w:rPr>
          <w:lang w:eastAsia="en-AU"/>
        </w:rPr>
        <w:t xml:space="preserve">Rainbow Health Victoria. "Research Matters: How Many People Are LGBTIQ?" Accessed August 2023. </w:t>
      </w:r>
      <w:hyperlink r:id="rId150" w:tgtFrame="_new" w:history="1">
        <w:r w:rsidRPr="009634BB">
          <w:rPr>
            <w:rStyle w:val="Hyperlink"/>
            <w:lang w:eastAsia="en-AU"/>
          </w:rPr>
          <w:t>https://www.rainbowhealthvic.org.au/media/pages/research-resources/research-matters-how-many-people-are-lgbtiq/4170611962-1612761890/researchmatters-numbers-lgbtiq.pdf</w:t>
        </w:r>
      </w:hyperlink>
    </w:p>
    <w:p w14:paraId="78F37763" w14:textId="77777777" w:rsidR="009634BB" w:rsidRPr="009634BB" w:rsidRDefault="009634BB" w:rsidP="009634BB">
      <w:pPr>
        <w:ind w:left="720" w:hanging="720"/>
        <w:rPr>
          <w:lang w:eastAsia="en-AU"/>
        </w:rPr>
      </w:pPr>
      <w:r w:rsidRPr="009634BB">
        <w:rPr>
          <w:lang w:eastAsia="en-AU"/>
        </w:rPr>
        <w:t xml:space="preserve">Rasmussen, Mary Lou. "The Problem of Coming Out." </w:t>
      </w:r>
      <w:r w:rsidRPr="009634BB">
        <w:rPr>
          <w:i/>
          <w:iCs/>
          <w:lang w:eastAsia="en-AU"/>
        </w:rPr>
        <w:t>Theory into Practice</w:t>
      </w:r>
      <w:r w:rsidRPr="009634BB">
        <w:rPr>
          <w:lang w:eastAsia="en-AU"/>
        </w:rPr>
        <w:t xml:space="preserve"> 43 (2004): 144-150.</w:t>
      </w:r>
    </w:p>
    <w:p w14:paraId="2F380422" w14:textId="77777777" w:rsidR="009634BB" w:rsidRPr="009634BB" w:rsidRDefault="009634BB" w:rsidP="009634BB">
      <w:pPr>
        <w:ind w:left="720" w:hanging="720"/>
        <w:rPr>
          <w:lang w:eastAsia="en-AU"/>
        </w:rPr>
      </w:pPr>
      <w:r w:rsidRPr="009634BB">
        <w:rPr>
          <w:lang w:eastAsia="en-AU"/>
        </w:rPr>
        <w:t xml:space="preserve">Riggs, Damien., Ansara, Gavriel., and Treharne, Gareth. “An Evidence-Based Model for Understanding the Mental Health Experiences of Transgender Australians.” </w:t>
      </w:r>
      <w:r w:rsidRPr="009634BB">
        <w:rPr>
          <w:i/>
          <w:iCs/>
          <w:lang w:eastAsia="en-AU"/>
        </w:rPr>
        <w:t>Australian Psychologist</w:t>
      </w:r>
      <w:r w:rsidRPr="009634BB">
        <w:rPr>
          <w:lang w:eastAsia="en-AU"/>
        </w:rPr>
        <w:t xml:space="preserve"> 50, no. 1 (2015): 32-39.</w:t>
      </w:r>
    </w:p>
    <w:p w14:paraId="130346E0" w14:textId="77777777" w:rsidR="009634BB" w:rsidRPr="009634BB" w:rsidRDefault="009634BB" w:rsidP="009634BB">
      <w:pPr>
        <w:ind w:left="720" w:hanging="720"/>
        <w:rPr>
          <w:lang w:val="en-US" w:eastAsia="en-AU"/>
        </w:rPr>
      </w:pPr>
      <w:r w:rsidRPr="009634BB">
        <w:rPr>
          <w:lang w:val="en-US" w:eastAsia="en-AU"/>
        </w:rPr>
        <w:t xml:space="preserve">Rivas-Koehl, Matthew., Rivas-Koehl, Dane., and Smith, Sharde. “The temporal intersectional minority stress model: Reimagining minority stress theory.” </w:t>
      </w:r>
      <w:r w:rsidRPr="009634BB">
        <w:rPr>
          <w:i/>
          <w:iCs/>
          <w:lang w:val="en-US" w:eastAsia="en-AU"/>
        </w:rPr>
        <w:t xml:space="preserve">Journal of Family Theory &amp; Review, </w:t>
      </w:r>
      <w:r w:rsidRPr="009634BB">
        <w:rPr>
          <w:lang w:val="en-US" w:eastAsia="en-AU"/>
        </w:rPr>
        <w:t>(2023): 1-21.</w:t>
      </w:r>
    </w:p>
    <w:p w14:paraId="7FC2AD87" w14:textId="77777777" w:rsidR="009634BB" w:rsidRPr="009634BB" w:rsidRDefault="009634BB" w:rsidP="009634BB">
      <w:pPr>
        <w:ind w:left="720" w:hanging="720"/>
        <w:rPr>
          <w:lang w:val="en-US" w:eastAsia="en-AU"/>
        </w:rPr>
      </w:pPr>
      <w:r w:rsidRPr="009634BB">
        <w:rPr>
          <w:lang w:eastAsia="en-AU"/>
        </w:rPr>
        <w:lastRenderedPageBreak/>
        <w:t xml:space="preserve">Roen, Katrine. "Intersex or Diverse Sex Development: Critical Review of Psychosocial Health Care Research and Indications for Practice." </w:t>
      </w:r>
      <w:r w:rsidRPr="009634BB">
        <w:rPr>
          <w:i/>
          <w:iCs/>
          <w:lang w:eastAsia="en-AU"/>
        </w:rPr>
        <w:t>The Journal of Sex Research</w:t>
      </w:r>
      <w:r w:rsidRPr="009634BB">
        <w:rPr>
          <w:lang w:eastAsia="en-AU"/>
        </w:rPr>
        <w:t xml:space="preserve"> 56 (2019): 511-528.</w:t>
      </w:r>
    </w:p>
    <w:p w14:paraId="6A88100C" w14:textId="77777777" w:rsidR="009634BB" w:rsidRPr="009634BB" w:rsidRDefault="009634BB" w:rsidP="009634BB">
      <w:pPr>
        <w:ind w:left="720" w:hanging="720"/>
        <w:rPr>
          <w:i/>
          <w:iCs/>
          <w:lang w:eastAsia="en-AU"/>
        </w:rPr>
      </w:pPr>
      <w:r w:rsidRPr="009634BB">
        <w:rPr>
          <w:lang w:eastAsia="en-AU"/>
        </w:rPr>
        <w:t>Royal Commission into Violence, Abuse, Neglect and Exploitation of People with Disability,</w:t>
      </w:r>
      <w:r w:rsidRPr="009634BB">
        <w:rPr>
          <w:i/>
          <w:iCs/>
          <w:lang w:eastAsia="en-AU"/>
        </w:rPr>
        <w:t xml:space="preserve"> Final Report. 2023.</w:t>
      </w:r>
    </w:p>
    <w:p w14:paraId="00DC8DE1" w14:textId="77777777" w:rsidR="009634BB" w:rsidRPr="009634BB" w:rsidRDefault="009634BB" w:rsidP="009634BB">
      <w:pPr>
        <w:ind w:left="720" w:hanging="720"/>
        <w:rPr>
          <w:lang w:eastAsia="en-AU"/>
        </w:rPr>
      </w:pPr>
      <w:r w:rsidRPr="009634BB">
        <w:rPr>
          <w:lang w:eastAsia="en-AU"/>
        </w:rPr>
        <w:t xml:space="preserve">Service Australia, </w:t>
      </w:r>
      <w:hyperlink r:id="rId151" w:history="1">
        <w:r w:rsidRPr="009634BB">
          <w:rPr>
            <w:rStyle w:val="Hyperlink"/>
            <w:lang w:eastAsia="en-AU"/>
          </w:rPr>
          <w:t>Mental health Care and Medicare</w:t>
        </w:r>
      </w:hyperlink>
      <w:r w:rsidRPr="009634BB">
        <w:rPr>
          <w:lang w:eastAsia="en-AU"/>
        </w:rPr>
        <w:t>. Accessed October 2023.</w:t>
      </w:r>
    </w:p>
    <w:p w14:paraId="283BAB56" w14:textId="77777777" w:rsidR="009634BB" w:rsidRPr="009634BB" w:rsidRDefault="009634BB" w:rsidP="009634BB">
      <w:pPr>
        <w:ind w:left="720" w:hanging="720"/>
        <w:rPr>
          <w:b/>
          <w:bCs/>
          <w:lang w:val="en-US" w:eastAsia="en-AU"/>
        </w:rPr>
      </w:pPr>
      <w:r w:rsidRPr="009634BB">
        <w:rPr>
          <w:lang w:eastAsia="en-AU"/>
        </w:rPr>
        <w:t xml:space="preserve">Simpson, Paul, Hardiman, Danika and Butler, Tony “Understanding the over-representation of lesbian or bisexual women in the Australian prisoner population”, in </w:t>
      </w:r>
      <w:r w:rsidRPr="009634BB">
        <w:rPr>
          <w:i/>
          <w:iCs/>
          <w:lang w:eastAsia="en-AU"/>
        </w:rPr>
        <w:t xml:space="preserve">Current Issues in Criminal Justice, </w:t>
      </w:r>
      <w:r w:rsidRPr="009634BB">
        <w:rPr>
          <w:lang w:eastAsia="en-AU"/>
        </w:rPr>
        <w:t>vol. 31, no. 3 (2019)</w:t>
      </w:r>
    </w:p>
    <w:p w14:paraId="790F6E2B" w14:textId="77777777" w:rsidR="009634BB" w:rsidRPr="009634BB" w:rsidRDefault="009634BB" w:rsidP="009634BB">
      <w:pPr>
        <w:ind w:left="720" w:hanging="720"/>
        <w:rPr>
          <w:lang w:eastAsia="en-AU"/>
        </w:rPr>
      </w:pPr>
      <w:r w:rsidRPr="009634BB">
        <w:rPr>
          <w:lang w:eastAsia="en-AU"/>
        </w:rPr>
        <w:t xml:space="preserve">Skerrett, Michael., Kolves, Kairi., and De Leo, Diego. "Factors Related to Suicide in LGBT Populations - A Psychological Autopsy Case-Control Study in Australia." </w:t>
      </w:r>
      <w:r w:rsidRPr="009634BB">
        <w:rPr>
          <w:i/>
          <w:iCs/>
          <w:lang w:eastAsia="en-AU"/>
        </w:rPr>
        <w:t>Crisis</w:t>
      </w:r>
      <w:r w:rsidRPr="009634BB">
        <w:rPr>
          <w:lang w:eastAsia="en-AU"/>
        </w:rPr>
        <w:t xml:space="preserve"> 37, no. 5 (2016): 361-369.</w:t>
      </w:r>
    </w:p>
    <w:p w14:paraId="60026816" w14:textId="77777777" w:rsidR="009634BB" w:rsidRPr="009634BB" w:rsidRDefault="009634BB" w:rsidP="009634BB">
      <w:pPr>
        <w:ind w:left="720" w:hanging="720"/>
        <w:rPr>
          <w:lang w:eastAsia="en-AU"/>
        </w:rPr>
      </w:pPr>
      <w:r w:rsidRPr="009634BB">
        <w:rPr>
          <w:lang w:val="en-US" w:eastAsia="en-AU"/>
        </w:rPr>
        <w:t xml:space="preserve">Slade, Tim, Grove, Rachel, &amp; Burgess, Philip, “Kessler psychological distress scale: Normative data from the 2007 Australian national survey of mental health and wellbeing”, </w:t>
      </w:r>
      <w:r w:rsidRPr="009634BB">
        <w:rPr>
          <w:i/>
          <w:iCs/>
          <w:lang w:val="en-US" w:eastAsia="en-AU"/>
        </w:rPr>
        <w:t>Australian and New Zealand Journal of Psychiatry</w:t>
      </w:r>
      <w:r w:rsidRPr="009634BB">
        <w:rPr>
          <w:lang w:val="en-US" w:eastAsia="en-AU"/>
        </w:rPr>
        <w:t>, 45(4) (2011): 308-316</w:t>
      </w:r>
    </w:p>
    <w:p w14:paraId="575FEAFC" w14:textId="77777777" w:rsidR="009634BB" w:rsidRPr="009634BB" w:rsidRDefault="009634BB" w:rsidP="009634BB">
      <w:pPr>
        <w:ind w:left="720" w:hanging="720"/>
        <w:rPr>
          <w:lang w:eastAsia="en-AU"/>
        </w:rPr>
      </w:pPr>
      <w:r w:rsidRPr="00624A03">
        <w:rPr>
          <w:lang w:eastAsia="en-AU"/>
        </w:rPr>
        <w:t xml:space="preserve">Someone.health, </w:t>
      </w:r>
      <w:r w:rsidRPr="009634BB">
        <w:rPr>
          <w:lang w:eastAsia="en-AU"/>
        </w:rPr>
        <w:t>“</w:t>
      </w:r>
      <w:r w:rsidRPr="00624A03">
        <w:rPr>
          <w:lang w:eastAsia="en-AU"/>
        </w:rPr>
        <w:t>LGBTQ Friendly Psychologsts</w:t>
      </w:r>
      <w:r w:rsidRPr="009634BB">
        <w:rPr>
          <w:lang w:eastAsia="en-AU"/>
        </w:rPr>
        <w:t>“</w:t>
      </w:r>
      <w:r w:rsidRPr="00624A03">
        <w:rPr>
          <w:i/>
          <w:iCs/>
          <w:lang w:eastAsia="en-AU"/>
        </w:rPr>
        <w:t xml:space="preserve">, </w:t>
      </w:r>
      <w:hyperlink r:id="rId152" w:history="1">
        <w:r w:rsidRPr="00624A03">
          <w:rPr>
            <w:rStyle w:val="Hyperlink"/>
            <w:lang w:eastAsia="en-AU"/>
          </w:rPr>
          <w:t>LGBTQ Friendly Psychologists | someone.health - Medicare bulk-billed counselling</w:t>
        </w:r>
      </w:hyperlink>
    </w:p>
    <w:p w14:paraId="15C69AF8" w14:textId="77777777" w:rsidR="009634BB" w:rsidRPr="009634BB" w:rsidRDefault="009634BB" w:rsidP="009634BB">
      <w:pPr>
        <w:ind w:left="720" w:hanging="720"/>
        <w:rPr>
          <w:lang w:eastAsia="en-AU"/>
        </w:rPr>
      </w:pPr>
      <w:r w:rsidRPr="009634BB">
        <w:rPr>
          <w:lang w:eastAsia="en-AU"/>
        </w:rPr>
        <w:t>Strauss, Penelope., Cook, Angus., Winter, Sam., Watson, Vanessa., Wright Toussaint, Dani., Lin, Ashleigh. (2017). "Trans Pathways: The Mental Health Experiences and Care Pathways of Trans Young People. Summary of Results." Perth: Telethon Kids Institute, 2017.</w:t>
      </w:r>
    </w:p>
    <w:p w14:paraId="7F33D243" w14:textId="77777777" w:rsidR="009634BB" w:rsidRPr="009634BB" w:rsidRDefault="009634BB" w:rsidP="009634BB">
      <w:pPr>
        <w:ind w:left="720" w:hanging="720"/>
        <w:rPr>
          <w:lang w:eastAsia="en-AU"/>
        </w:rPr>
      </w:pPr>
      <w:r w:rsidRPr="009634BB">
        <w:rPr>
          <w:lang w:eastAsia="en-AU"/>
        </w:rPr>
        <w:t>Switchboard Victoria, “Out and About”</w:t>
      </w:r>
      <w:r w:rsidRPr="009634BB">
        <w:rPr>
          <w:i/>
          <w:iCs/>
          <w:lang w:eastAsia="en-AU"/>
        </w:rPr>
        <w:t xml:space="preserve">, </w:t>
      </w:r>
      <w:r w:rsidRPr="009634BB">
        <w:rPr>
          <w:lang w:eastAsia="en-AU"/>
        </w:rPr>
        <w:t>https://www.switchboard.org.au/lgbtiolderpeople</w:t>
      </w:r>
    </w:p>
    <w:p w14:paraId="0216610F" w14:textId="77777777" w:rsidR="009634BB" w:rsidRPr="009634BB" w:rsidRDefault="009634BB" w:rsidP="009634BB">
      <w:pPr>
        <w:ind w:left="720" w:hanging="720"/>
        <w:rPr>
          <w:lang w:eastAsia="en-AU"/>
        </w:rPr>
      </w:pPr>
      <w:r w:rsidRPr="009634BB">
        <w:rPr>
          <w:lang w:eastAsia="en-AU"/>
        </w:rPr>
        <w:t xml:space="preserve">Taylor, Julia., Power, Jennifer., Smith, Elizabeth., and Rathbone, Mark. "Bisexuals' Experiences of Mental Health Services: Findings from the Who I Am Study." </w:t>
      </w:r>
      <w:r w:rsidRPr="009634BB">
        <w:rPr>
          <w:i/>
          <w:iCs/>
          <w:lang w:eastAsia="en-AU"/>
        </w:rPr>
        <w:t>Sexuality Research and Social Policy</w:t>
      </w:r>
      <w:r w:rsidRPr="009634BB">
        <w:rPr>
          <w:lang w:eastAsia="en-AU"/>
        </w:rPr>
        <w:t xml:space="preserve"> 18, no. 1 (2021): 27-38.</w:t>
      </w:r>
    </w:p>
    <w:p w14:paraId="2F9634B9" w14:textId="77777777" w:rsidR="009634BB" w:rsidRPr="009634BB" w:rsidRDefault="009634BB" w:rsidP="009634BB">
      <w:pPr>
        <w:ind w:left="720" w:hanging="720"/>
        <w:rPr>
          <w:lang w:eastAsia="en-AU"/>
        </w:rPr>
      </w:pPr>
      <w:r w:rsidRPr="009634BB">
        <w:rPr>
          <w:lang w:eastAsia="en-AU"/>
        </w:rPr>
        <w:t xml:space="preserve">Telfer, Associate Professor Michelle, Tollit, Dr Michelle, Pace, Dr Carmen, &amp; Pang, Associate Professor Ken C, </w:t>
      </w:r>
      <w:r w:rsidRPr="009634BB">
        <w:rPr>
          <w:i/>
          <w:iCs/>
          <w:lang w:eastAsia="en-AU"/>
        </w:rPr>
        <w:t xml:space="preserve">Australian Standards of Care and Treatment Guidelines for Trans and Gender Diverse Children and Adolescent Version 1.3, </w:t>
      </w:r>
      <w:r w:rsidRPr="009634BB">
        <w:rPr>
          <w:lang w:eastAsia="en-AU"/>
        </w:rPr>
        <w:t>(Melbourne, The Royal Children’s Hospital: 2020)</w:t>
      </w:r>
    </w:p>
    <w:p w14:paraId="3071607F" w14:textId="77777777" w:rsidR="009634BB" w:rsidRPr="009634BB" w:rsidRDefault="009634BB" w:rsidP="009634BB">
      <w:pPr>
        <w:ind w:left="720" w:hanging="720"/>
        <w:rPr>
          <w:lang w:eastAsia="en-AU"/>
        </w:rPr>
      </w:pPr>
      <w:r w:rsidRPr="009634BB">
        <w:rPr>
          <w:lang w:eastAsia="en-AU"/>
        </w:rPr>
        <w:t>Thorne Harbour Health, “Our Services”</w:t>
      </w:r>
      <w:r w:rsidRPr="009634BB">
        <w:rPr>
          <w:i/>
          <w:iCs/>
          <w:lang w:eastAsia="en-AU"/>
        </w:rPr>
        <w:t xml:space="preserve">, </w:t>
      </w:r>
      <w:r w:rsidRPr="009634BB">
        <w:rPr>
          <w:lang w:eastAsia="en-AU"/>
        </w:rPr>
        <w:t>https://thorneharbour.org/services/</w:t>
      </w:r>
    </w:p>
    <w:p w14:paraId="088FB6F7" w14:textId="77777777" w:rsidR="009634BB" w:rsidRPr="009634BB" w:rsidRDefault="009634BB" w:rsidP="009634BB">
      <w:pPr>
        <w:ind w:left="720" w:hanging="720"/>
        <w:rPr>
          <w:lang w:eastAsia="en-AU"/>
        </w:rPr>
      </w:pPr>
      <w:r w:rsidRPr="009634BB">
        <w:rPr>
          <w:lang w:val="en-US" w:eastAsia="en-AU"/>
        </w:rPr>
        <w:t>TransHub, “Mental Health”, https://www.transhub.org.au/mental-health</w:t>
      </w:r>
    </w:p>
    <w:p w14:paraId="0C6AD882" w14:textId="77777777" w:rsidR="009634BB" w:rsidRPr="009634BB" w:rsidRDefault="009634BB" w:rsidP="009634BB">
      <w:pPr>
        <w:ind w:left="720" w:hanging="720"/>
        <w:rPr>
          <w:lang w:eastAsia="en-AU"/>
        </w:rPr>
      </w:pPr>
      <w:r w:rsidRPr="009634BB">
        <w:rPr>
          <w:lang w:eastAsia="en-AU"/>
        </w:rPr>
        <w:t xml:space="preserve">Turban, Jack. "The Evidence for Trans Youth Gender-Affirming Medical Care: Research Suggests Gender-Affirming Medical Care Results in Better Mental Health." </w:t>
      </w:r>
      <w:r w:rsidRPr="009634BB">
        <w:rPr>
          <w:i/>
          <w:iCs/>
          <w:lang w:eastAsia="en-AU"/>
        </w:rPr>
        <w:t>Psychology Today</w:t>
      </w:r>
      <w:r w:rsidRPr="009634BB">
        <w:rPr>
          <w:lang w:eastAsia="en-AU"/>
        </w:rPr>
        <w:t xml:space="preserve">, January 24, 2022. </w:t>
      </w:r>
      <w:hyperlink r:id="rId153" w:tgtFrame="_new" w:history="1">
        <w:r w:rsidRPr="009634BB">
          <w:rPr>
            <w:rStyle w:val="Hyperlink"/>
            <w:lang w:eastAsia="en-AU"/>
          </w:rPr>
          <w:t>https://www.psychologytoday.com/us/blog/political-minds/202201/the-evidence-trans-youth-gender-affirming-medical-care</w:t>
        </w:r>
      </w:hyperlink>
      <w:r w:rsidRPr="009634BB">
        <w:rPr>
          <w:lang w:eastAsia="en-AU"/>
        </w:rPr>
        <w:t>.</w:t>
      </w:r>
    </w:p>
    <w:p w14:paraId="7A009E3B" w14:textId="77777777" w:rsidR="009634BB" w:rsidRPr="009634BB" w:rsidRDefault="009634BB" w:rsidP="009634BB">
      <w:pPr>
        <w:ind w:left="720" w:hanging="720"/>
        <w:rPr>
          <w:lang w:eastAsia="en-AU"/>
        </w:rPr>
      </w:pPr>
      <w:r w:rsidRPr="009634BB">
        <w:rPr>
          <w:lang w:eastAsia="en-AU"/>
        </w:rPr>
        <w:t>Twenty10, “Youth Services”,</w:t>
      </w:r>
      <w:r w:rsidRPr="009634BB">
        <w:rPr>
          <w:i/>
          <w:iCs/>
          <w:lang w:eastAsia="en-AU"/>
        </w:rPr>
        <w:t xml:space="preserve"> </w:t>
      </w:r>
      <w:hyperlink r:id="rId154" w:history="1">
        <w:r w:rsidRPr="009634BB">
          <w:rPr>
            <w:rStyle w:val="Hyperlink"/>
            <w:lang w:eastAsia="en-AU"/>
          </w:rPr>
          <w:t>Youth Services - Twenty10 incorporating GLCS NSW</w:t>
        </w:r>
      </w:hyperlink>
    </w:p>
    <w:p w14:paraId="04C347AE" w14:textId="77777777" w:rsidR="009634BB" w:rsidRPr="009634BB" w:rsidRDefault="009634BB" w:rsidP="009634BB">
      <w:pPr>
        <w:ind w:left="720" w:hanging="720"/>
        <w:rPr>
          <w:lang w:eastAsia="en-AU"/>
        </w:rPr>
      </w:pPr>
      <w:r w:rsidRPr="009634BB">
        <w:rPr>
          <w:lang w:eastAsia="en-AU"/>
        </w:rPr>
        <w:t xml:space="preserve">Uink, Bep., Dodd, Jenny., Bennett, Sian., Bonson, Dameyon., Eades, Anne-Marie., and Hill, Braden. "Confidence, Practices, and Training Needs of People Working with </w:t>
      </w:r>
      <w:r w:rsidRPr="009634BB">
        <w:rPr>
          <w:lang w:eastAsia="en-AU"/>
        </w:rPr>
        <w:lastRenderedPageBreak/>
        <w:t xml:space="preserve">Aboriginal and Torres Strait Islander LGBTIQ+ Clients." </w:t>
      </w:r>
      <w:r w:rsidRPr="009634BB">
        <w:rPr>
          <w:i/>
          <w:iCs/>
          <w:lang w:eastAsia="en-AU"/>
        </w:rPr>
        <w:t>Culture, Health &amp; Sexuality</w:t>
      </w:r>
      <w:r w:rsidRPr="009634BB">
        <w:rPr>
          <w:lang w:eastAsia="en-AU"/>
        </w:rPr>
        <w:t xml:space="preserve"> 25, no. 2 (2023): 206-222.</w:t>
      </w:r>
    </w:p>
    <w:p w14:paraId="52A196A2" w14:textId="77777777" w:rsidR="009634BB" w:rsidRPr="009634BB" w:rsidRDefault="009634BB" w:rsidP="009634BB">
      <w:pPr>
        <w:ind w:left="720" w:hanging="720"/>
        <w:rPr>
          <w:lang w:eastAsia="en-AU"/>
        </w:rPr>
      </w:pPr>
      <w:r w:rsidRPr="009634BB">
        <w:rPr>
          <w:lang w:eastAsia="en-AU"/>
        </w:rPr>
        <w:t xml:space="preserve">Victorian Department of Health, Proportion of population who identify as LGBTIQ+, Last modified 16 November 2023 </w:t>
      </w:r>
      <w:hyperlink r:id="rId155" w:history="1">
        <w:r w:rsidRPr="009634BB">
          <w:rPr>
            <w:rStyle w:val="Hyperlink"/>
            <w:lang w:eastAsia="en-AU"/>
          </w:rPr>
          <w:t>https://www.health.vic.gov.au/your-health-report-of-the-chief-health-officer-victoria-2018/health-inequalities/lgbtiq-victorians</w:t>
        </w:r>
      </w:hyperlink>
    </w:p>
    <w:p w14:paraId="1C1C9614" w14:textId="77777777" w:rsidR="009634BB" w:rsidRPr="009634BB" w:rsidRDefault="009634BB" w:rsidP="009634BB">
      <w:pPr>
        <w:ind w:left="720" w:hanging="720"/>
        <w:rPr>
          <w:lang w:val="en-US" w:eastAsia="en-AU"/>
        </w:rPr>
      </w:pPr>
      <w:r w:rsidRPr="009634BB">
        <w:rPr>
          <w:lang w:val="en-US" w:eastAsia="en-AU"/>
        </w:rPr>
        <w:t>Victorian Government, “</w:t>
      </w:r>
      <w:hyperlink r:id="rId156" w:history="1">
        <w:r w:rsidRPr="009634BB">
          <w:rPr>
            <w:rStyle w:val="Hyperlink"/>
            <w:lang w:val="en-US" w:eastAsia="en-AU"/>
          </w:rPr>
          <w:t>Pride in our future: Victoria’s LGBTIQ+ strategy 2022-32</w:t>
        </w:r>
      </w:hyperlink>
      <w:r w:rsidRPr="009634BB">
        <w:rPr>
          <w:lang w:val="en-US" w:eastAsia="en-AU"/>
        </w:rPr>
        <w:t>”</w:t>
      </w:r>
      <w:r w:rsidRPr="009634BB">
        <w:rPr>
          <w:i/>
          <w:iCs/>
          <w:lang w:val="en-US" w:eastAsia="en-AU"/>
        </w:rPr>
        <w:t xml:space="preserve"> </w:t>
      </w:r>
      <w:r w:rsidRPr="009634BB">
        <w:rPr>
          <w:lang w:val="en-US" w:eastAsia="en-AU"/>
        </w:rPr>
        <w:t>(2022).</w:t>
      </w:r>
    </w:p>
    <w:p w14:paraId="0FB62CD9" w14:textId="77777777" w:rsidR="009634BB" w:rsidRPr="00624A03" w:rsidRDefault="009634BB" w:rsidP="009634BB">
      <w:pPr>
        <w:ind w:left="720" w:hanging="720"/>
        <w:rPr>
          <w:lang w:val="fr-FR" w:eastAsia="en-AU"/>
        </w:rPr>
      </w:pPr>
      <w:r w:rsidRPr="009634BB">
        <w:rPr>
          <w:lang w:val="fr-FR" w:eastAsia="en-AU"/>
        </w:rPr>
        <w:t xml:space="preserve">Victorian Pride Centre, </w:t>
      </w:r>
      <w:r w:rsidRPr="00624A03">
        <w:rPr>
          <w:lang w:val="fr-FR" w:eastAsia="en-AU"/>
        </w:rPr>
        <w:t>“</w:t>
      </w:r>
      <w:r w:rsidRPr="009634BB">
        <w:rPr>
          <w:lang w:val="fr-FR" w:eastAsia="en-AU"/>
        </w:rPr>
        <w:t>Q Psychology</w:t>
      </w:r>
      <w:r w:rsidRPr="00624A03">
        <w:rPr>
          <w:lang w:val="fr-FR" w:eastAsia="en-AU"/>
        </w:rPr>
        <w:t>“</w:t>
      </w:r>
      <w:r w:rsidRPr="009634BB">
        <w:rPr>
          <w:i/>
          <w:iCs/>
          <w:lang w:val="fr-FR" w:eastAsia="en-AU"/>
        </w:rPr>
        <w:t xml:space="preserve">, </w:t>
      </w:r>
      <w:hyperlink r:id="rId157" w:history="1">
        <w:r w:rsidRPr="009634BB">
          <w:rPr>
            <w:rStyle w:val="Hyperlink"/>
            <w:lang w:val="fr-FR" w:eastAsia="en-AU"/>
          </w:rPr>
          <w:t>Q Psychology - Victorian Pride Centre</w:t>
        </w:r>
      </w:hyperlink>
    </w:p>
    <w:p w14:paraId="5AE3416B" w14:textId="77777777" w:rsidR="009634BB" w:rsidRPr="009634BB" w:rsidRDefault="009634BB" w:rsidP="009634BB">
      <w:pPr>
        <w:ind w:left="720" w:hanging="720"/>
        <w:rPr>
          <w:lang w:val="en-US" w:eastAsia="en-AU"/>
        </w:rPr>
      </w:pPr>
      <w:r w:rsidRPr="009634BB">
        <w:rPr>
          <w:lang w:eastAsia="en-AU"/>
        </w:rPr>
        <w:t>WAAC, “Freedom Centre”,</w:t>
      </w:r>
      <w:r w:rsidRPr="009634BB">
        <w:rPr>
          <w:i/>
          <w:iCs/>
          <w:lang w:eastAsia="en-AU"/>
        </w:rPr>
        <w:t xml:space="preserve"> </w:t>
      </w:r>
      <w:r w:rsidRPr="009634BB">
        <w:rPr>
          <w:lang w:eastAsia="en-AU"/>
        </w:rPr>
        <w:t>https://www.waac.com.au/what-we-do/freedom-centre/</w:t>
      </w:r>
    </w:p>
    <w:p w14:paraId="5B5195BD" w14:textId="77777777" w:rsidR="009634BB" w:rsidRPr="009634BB" w:rsidRDefault="009634BB" w:rsidP="009634BB">
      <w:pPr>
        <w:ind w:left="720" w:hanging="720"/>
        <w:rPr>
          <w:lang w:eastAsia="en-AU"/>
        </w:rPr>
      </w:pPr>
      <w:r w:rsidRPr="009634BB">
        <w:rPr>
          <w:lang w:eastAsia="en-AU"/>
        </w:rPr>
        <w:t>Wesley Mission Queensland, “LGBTIQAP+ flyer”</w:t>
      </w:r>
      <w:r w:rsidRPr="009634BB">
        <w:rPr>
          <w:i/>
          <w:iCs/>
          <w:lang w:eastAsia="en-AU"/>
        </w:rPr>
        <w:t xml:space="preserve">, </w:t>
      </w:r>
      <w:hyperlink r:id="rId158" w:history="1">
        <w:r w:rsidRPr="009634BB">
          <w:rPr>
            <w:rStyle w:val="Hyperlink"/>
            <w:lang w:eastAsia="en-AU"/>
          </w:rPr>
          <w:t>Gold Coast Short-term Mental Health Services | Supporting Minds WMQ</w:t>
        </w:r>
      </w:hyperlink>
    </w:p>
    <w:p w14:paraId="63EA54C4" w14:textId="77777777" w:rsidR="009634BB" w:rsidRPr="009634BB" w:rsidRDefault="009634BB" w:rsidP="009634BB">
      <w:pPr>
        <w:ind w:left="720" w:hanging="720"/>
        <w:rPr>
          <w:lang w:val="en-US" w:eastAsia="en-AU"/>
        </w:rPr>
      </w:pPr>
      <w:r w:rsidRPr="009634BB">
        <w:rPr>
          <w:lang w:eastAsia="en-AU"/>
        </w:rPr>
        <w:t>Western Victoria Primary Health Network, “LGBTQIA+”,</w:t>
      </w:r>
      <w:r w:rsidRPr="009634BB">
        <w:rPr>
          <w:i/>
          <w:iCs/>
          <w:lang w:eastAsia="en-AU"/>
        </w:rPr>
        <w:t xml:space="preserve"> </w:t>
      </w:r>
      <w:hyperlink r:id="rId159" w:history="1">
        <w:r w:rsidRPr="009634BB">
          <w:rPr>
            <w:rStyle w:val="Hyperlink"/>
            <w:lang w:eastAsia="en-AU"/>
          </w:rPr>
          <w:t>LGBTQIA+ | Western Victoria Primary Health Network (westvicphn.com.au)</w:t>
        </w:r>
      </w:hyperlink>
    </w:p>
    <w:p w14:paraId="2FC2CCA1" w14:textId="77777777" w:rsidR="009634BB" w:rsidRPr="009634BB" w:rsidRDefault="009634BB" w:rsidP="009634BB">
      <w:pPr>
        <w:ind w:left="720" w:hanging="720"/>
        <w:rPr>
          <w:lang w:eastAsia="en-AU"/>
        </w:rPr>
      </w:pPr>
      <w:r w:rsidRPr="009634BB">
        <w:rPr>
          <w:lang w:val="en-US" w:eastAsia="en-AU"/>
        </w:rPr>
        <w:t xml:space="preserve">Western Australian Department of Health, </w:t>
      </w:r>
      <w:hyperlink r:id="rId160" w:history="1">
        <w:r w:rsidRPr="009634BB">
          <w:rPr>
            <w:rStyle w:val="Hyperlink"/>
            <w:lang w:eastAsia="en-AU"/>
          </w:rPr>
          <w:t>Western Australian LGBTI Health Strategy 2019–2024</w:t>
        </w:r>
      </w:hyperlink>
      <w:r w:rsidRPr="009634BB">
        <w:rPr>
          <w:lang w:val="en-US" w:eastAsia="en-AU"/>
        </w:rPr>
        <w:t>, (2019)</w:t>
      </w:r>
    </w:p>
    <w:p w14:paraId="5F3105C4" w14:textId="111156CE" w:rsidR="009634BB" w:rsidRPr="009634BB" w:rsidRDefault="009634BB" w:rsidP="009634BB">
      <w:pPr>
        <w:ind w:left="720" w:hanging="720"/>
        <w:rPr>
          <w:lang w:eastAsia="en-AU"/>
        </w:rPr>
      </w:pPr>
      <w:r w:rsidRPr="009634BB">
        <w:rPr>
          <w:lang w:eastAsia="en-AU"/>
        </w:rPr>
        <w:t>Worrell, Shane., Waling, Andrea., Anderson, Joel., Lyons, Anthony., Fairchild, Jackson and Bourne, Adam. "Coping with the Stress of Providing Mental Health-Related Informal Support to Peers in an LGBTQ Context"</w:t>
      </w:r>
      <w:r w:rsidR="0063688E">
        <w:rPr>
          <w:lang w:eastAsia="en-AU"/>
        </w:rPr>
        <w:t>,</w:t>
      </w:r>
      <w:r w:rsidRPr="009634BB">
        <w:rPr>
          <w:lang w:eastAsia="en-AU"/>
        </w:rPr>
        <w:t xml:space="preserve"> </w:t>
      </w:r>
      <w:r w:rsidRPr="009634BB">
        <w:rPr>
          <w:i/>
          <w:iCs/>
          <w:lang w:eastAsia="en-AU"/>
        </w:rPr>
        <w:t>Culture, Health &amp; Sexuality</w:t>
      </w:r>
      <w:r w:rsidRPr="009634BB">
        <w:rPr>
          <w:lang w:eastAsia="en-AU"/>
        </w:rPr>
        <w:t xml:space="preserve"> 25, no. 8 (2023): 991-1006. </w:t>
      </w:r>
    </w:p>
    <w:p w14:paraId="76B722C4" w14:textId="77777777" w:rsidR="009634BB" w:rsidRPr="009634BB" w:rsidRDefault="009634BB" w:rsidP="009634BB">
      <w:pPr>
        <w:ind w:left="720" w:hanging="720"/>
        <w:rPr>
          <w:lang w:eastAsia="en-AU"/>
        </w:rPr>
      </w:pPr>
      <w:r w:rsidRPr="009634BB">
        <w:rPr>
          <w:lang w:eastAsia="en-AU"/>
        </w:rPr>
        <w:t xml:space="preserve">Worthen, Meredith. "Hetero-cis–normativity and the Gendering of Transphobia." </w:t>
      </w:r>
      <w:r w:rsidRPr="009634BB">
        <w:rPr>
          <w:i/>
          <w:iCs/>
          <w:lang w:eastAsia="en-AU"/>
        </w:rPr>
        <w:t>International Journal of Transgenderism</w:t>
      </w:r>
      <w:r w:rsidRPr="009634BB">
        <w:rPr>
          <w:lang w:eastAsia="en-AU"/>
        </w:rPr>
        <w:t xml:space="preserve"> 17, no. 1 (2016): 31-57.</w:t>
      </w:r>
    </w:p>
    <w:p w14:paraId="6ABDAEFD" w14:textId="77777777" w:rsidR="009634BB" w:rsidRPr="009634BB" w:rsidRDefault="009634BB" w:rsidP="009634BB">
      <w:pPr>
        <w:ind w:left="720" w:hanging="720"/>
        <w:rPr>
          <w:lang w:eastAsia="en-AU"/>
        </w:rPr>
      </w:pPr>
      <w:r w:rsidRPr="009634BB">
        <w:rPr>
          <w:lang w:eastAsia="en-AU"/>
        </w:rPr>
        <w:t xml:space="preserve">Zwickl, Sav., and Cheung, Ada. "Challenging Five Years of Transphobia: The Real-World Impact of the 'Transgender Debate' Is Unrelenting on Australia’s Trans Community, However, Small but Visible Acts of Allyship Can Go a Long Way." Pursuit, University of Melbourne, May 16, 2022. </w:t>
      </w:r>
      <w:hyperlink r:id="rId161" w:tgtFrame="_new" w:history="1">
        <w:r w:rsidRPr="009634BB">
          <w:rPr>
            <w:rStyle w:val="Hyperlink"/>
            <w:lang w:eastAsia="en-AU"/>
          </w:rPr>
          <w:t>https://pursuit.unimelb.edu.au/articles/challenging-five-years-of-transphobia</w:t>
        </w:r>
      </w:hyperlink>
      <w:r w:rsidRPr="009634BB">
        <w:rPr>
          <w:lang w:eastAsia="en-AU"/>
        </w:rPr>
        <w:t>.</w:t>
      </w:r>
    </w:p>
    <w:p w14:paraId="09EF0E6F" w14:textId="77777777" w:rsidR="009634BB" w:rsidRPr="009634BB" w:rsidRDefault="009634BB" w:rsidP="009634BB">
      <w:pPr>
        <w:ind w:left="720" w:hanging="720"/>
        <w:rPr>
          <w:lang w:eastAsia="en-AU"/>
        </w:rPr>
      </w:pPr>
      <w:r w:rsidRPr="009634BB">
        <w:rPr>
          <w:lang w:eastAsia="en-AU"/>
        </w:rPr>
        <w:t xml:space="preserve">Zwickl, Sav., Wong, Alex., Dowers, Eden., Leemaqz, Shalem., Bretherton, Ingrid., Cook, Teddy., Zajac, Jeffrey., Yip, Paul., and Cheung, Ada. "Factors Associated with Suicide Attempts among Australian Transgender Adults." </w:t>
      </w:r>
      <w:r w:rsidRPr="009634BB">
        <w:rPr>
          <w:i/>
          <w:iCs/>
          <w:lang w:eastAsia="en-AU"/>
        </w:rPr>
        <w:t>BMC Psychiatry</w:t>
      </w:r>
      <w:r w:rsidRPr="009634BB">
        <w:rPr>
          <w:lang w:eastAsia="en-AU"/>
        </w:rPr>
        <w:t xml:space="preserve"> 21, no. 81 (2021): 1-10.</w:t>
      </w:r>
    </w:p>
    <w:p w14:paraId="2514CF17" w14:textId="2041F9D4" w:rsidR="00B7545E" w:rsidRPr="00B7545E" w:rsidRDefault="00B7545E" w:rsidP="00B73DEC">
      <w:pPr>
        <w:pStyle w:val="Heading1"/>
      </w:pPr>
      <w:bookmarkStart w:id="149" w:name="_Toc153899549"/>
      <w:r>
        <w:lastRenderedPageBreak/>
        <w:t>A</w:t>
      </w:r>
      <w:r w:rsidR="00CC2BFD">
        <w:t>ttachments</w:t>
      </w:r>
      <w:bookmarkEnd w:id="149"/>
    </w:p>
    <w:p w14:paraId="0047669B" w14:textId="3FAF8E84" w:rsidR="00FC28C2" w:rsidRPr="00D56815" w:rsidRDefault="00FC28C2" w:rsidP="00DF32BE">
      <w:pPr>
        <w:pStyle w:val="Heading2"/>
      </w:pPr>
      <w:bookmarkStart w:id="150" w:name="_Toc153899550"/>
      <w:r>
        <w:t>Attachment 1:</w:t>
      </w:r>
      <w:r>
        <w:tab/>
        <w:t xml:space="preserve">About the SLR </w:t>
      </w:r>
      <w:r w:rsidRPr="00D56815">
        <w:t>Methodology</w:t>
      </w:r>
      <w:bookmarkEnd w:id="150"/>
    </w:p>
    <w:p w14:paraId="4E37FB56" w14:textId="77FE1C8D" w:rsidR="00FC28C2" w:rsidRPr="00D56815" w:rsidRDefault="00FC28C2" w:rsidP="00FC28C2">
      <w:pPr>
        <w:rPr>
          <w:lang w:eastAsia="en-AU"/>
        </w:rPr>
      </w:pPr>
      <w:r w:rsidRPr="00D56815">
        <w:rPr>
          <w:lang w:eastAsia="en-AU"/>
        </w:rPr>
        <w:t>The SLR research focused on texts published between February 2013 and February 2023</w:t>
      </w:r>
      <w:r w:rsidR="006F698C">
        <w:rPr>
          <w:lang w:eastAsia="en-AU"/>
        </w:rPr>
        <w:t>,</w:t>
      </w:r>
      <w:r w:rsidRPr="00D56815">
        <w:rPr>
          <w:lang w:eastAsia="en-AU"/>
        </w:rPr>
        <w:t xml:space="preserve"> as identified by the Department, (n=1895) drawing from seven databases:</w:t>
      </w:r>
    </w:p>
    <w:p w14:paraId="54B1F777" w14:textId="77777777" w:rsidR="00FC28C2" w:rsidRPr="00D56815" w:rsidRDefault="00FC28C2" w:rsidP="00A74059">
      <w:pPr>
        <w:pStyle w:val="ListBullet0"/>
      </w:pPr>
      <w:r>
        <w:t>CINAHL database</w:t>
      </w:r>
    </w:p>
    <w:p w14:paraId="4A6F6905" w14:textId="77777777" w:rsidR="00FC28C2" w:rsidRPr="00D56815" w:rsidRDefault="00FC28C2" w:rsidP="00A74059">
      <w:pPr>
        <w:pStyle w:val="ListBullet0"/>
      </w:pPr>
      <w:r>
        <w:t>EMBASE database</w:t>
      </w:r>
    </w:p>
    <w:p w14:paraId="2F1CC806" w14:textId="77777777" w:rsidR="00FC28C2" w:rsidRPr="00D56815" w:rsidRDefault="00FC28C2" w:rsidP="00A74059">
      <w:pPr>
        <w:pStyle w:val="ListBullet0"/>
      </w:pPr>
      <w:r>
        <w:t>Global Health database</w:t>
      </w:r>
    </w:p>
    <w:p w14:paraId="7E325489" w14:textId="77777777" w:rsidR="00FC28C2" w:rsidRPr="00D56815" w:rsidRDefault="00FC28C2" w:rsidP="00A74059">
      <w:pPr>
        <w:pStyle w:val="ListBullet0"/>
      </w:pPr>
      <w:r>
        <w:t>Medline</w:t>
      </w:r>
    </w:p>
    <w:p w14:paraId="6BE1FB1C" w14:textId="77777777" w:rsidR="00FC28C2" w:rsidRPr="00D56815" w:rsidRDefault="00FC28C2" w:rsidP="00A74059">
      <w:pPr>
        <w:pStyle w:val="ListBullet0"/>
      </w:pPr>
      <w:r>
        <w:t>PsycInfo</w:t>
      </w:r>
    </w:p>
    <w:p w14:paraId="576B5E60" w14:textId="77777777" w:rsidR="00FC28C2" w:rsidRPr="00D56815" w:rsidRDefault="00FC28C2" w:rsidP="00A74059">
      <w:pPr>
        <w:pStyle w:val="ListBullet0"/>
      </w:pPr>
      <w:r>
        <w:t>Health Policy Reference</w:t>
      </w:r>
    </w:p>
    <w:p w14:paraId="4D1076CB" w14:textId="77777777" w:rsidR="00FC28C2" w:rsidRPr="00D56815" w:rsidRDefault="00FC28C2" w:rsidP="00A74059">
      <w:pPr>
        <w:pStyle w:val="ListBullet0"/>
      </w:pPr>
      <w:r>
        <w:t xml:space="preserve">Informit. </w:t>
      </w:r>
    </w:p>
    <w:p w14:paraId="0BAA357F" w14:textId="77777777" w:rsidR="00FC28C2" w:rsidRPr="00D56815" w:rsidRDefault="00FC28C2" w:rsidP="00A74059">
      <w:pPr>
        <w:pStyle w:val="ListBullet0"/>
        <w:numPr>
          <w:ilvl w:val="0"/>
          <w:numId w:val="0"/>
        </w:numPr>
      </w:pPr>
      <w:r w:rsidRPr="00D56815">
        <w:t xml:space="preserve">Only those research papers included in the Department’s initial selection process (n=369) will be in scope. </w:t>
      </w:r>
    </w:p>
    <w:p w14:paraId="1BD30442" w14:textId="77777777" w:rsidR="00FC28C2" w:rsidRPr="00D56815" w:rsidRDefault="00FC28C2" w:rsidP="00A74059">
      <w:pPr>
        <w:pStyle w:val="ListBullet0"/>
        <w:numPr>
          <w:ilvl w:val="0"/>
          <w:numId w:val="0"/>
        </w:numPr>
      </w:pPr>
      <w:r w:rsidRPr="00D56815">
        <w:t>Before proceeding to full text analysis, duplicates were removed, with each remaining abstract subjected to a double-blind review, using the following exclusion criteria:</w:t>
      </w:r>
    </w:p>
    <w:p w14:paraId="14C91D15" w14:textId="6B991406" w:rsidR="00A20519" w:rsidRPr="008548CA" w:rsidRDefault="00A20519" w:rsidP="00C041CA">
      <w:pPr>
        <w:pStyle w:val="ListBullet0"/>
      </w:pPr>
      <w:fldSimple w:instr=" MERGEFIELD =exclusion_reason.reason \* MERGEFORMAT ">
        <w:r w:rsidRPr="008548CA">
          <w:t>Not peer reviewed/published</w:t>
        </w:r>
      </w:fldSimple>
      <w:r w:rsidRPr="008548CA">
        <w:t xml:space="preserve"> (n = 10)</w:t>
      </w:r>
      <w:r w:rsidRPr="008548CA">
        <w:fldChar w:fldCharType="begin"/>
      </w:r>
      <w:r w:rsidRPr="008548CA">
        <w:instrText xml:space="preserve"> MERGEFIELD =reason.number_of_citations \* MERGEFORMAT </w:instrText>
      </w:r>
      <w:r w:rsidRPr="008548CA">
        <w:fldChar w:fldCharType="end"/>
      </w:r>
    </w:p>
    <w:p w14:paraId="026D5F90" w14:textId="399321AB" w:rsidR="00A20519" w:rsidRPr="008548CA" w:rsidRDefault="00A20519" w:rsidP="00C041CA">
      <w:pPr>
        <w:pStyle w:val="ListBullet0"/>
      </w:pPr>
      <w:fldSimple w:instr=" MERGEFIELD =exclusion_reason.reason \* MERGEFORMAT ">
        <w:r w:rsidRPr="008548CA">
          <w:t>Not LGBTQ</w:t>
        </w:r>
        <w:r w:rsidR="00BD45D6" w:rsidRPr="008548CA">
          <w:t>+</w:t>
        </w:r>
        <w:r w:rsidRPr="008548CA">
          <w:t xml:space="preserve"> focused</w:t>
        </w:r>
      </w:fldSimple>
      <w:r w:rsidRPr="008548CA">
        <w:t xml:space="preserve"> (n = </w:t>
      </w:r>
      <w:r w:rsidR="00BD45D6" w:rsidRPr="008548CA">
        <w:t>8</w:t>
      </w:r>
      <w:r w:rsidRPr="008548CA">
        <w:t>)</w:t>
      </w:r>
      <w:r w:rsidRPr="008548CA">
        <w:fldChar w:fldCharType="begin"/>
      </w:r>
      <w:r w:rsidRPr="008548CA">
        <w:instrText xml:space="preserve"> MERGEFIELD =reason.number_of_citations \* MERGEFORMAT </w:instrText>
      </w:r>
      <w:r w:rsidRPr="008548CA">
        <w:fldChar w:fldCharType="end"/>
      </w:r>
    </w:p>
    <w:p w14:paraId="38F7BBE1" w14:textId="374A970F" w:rsidR="00A20519" w:rsidRPr="008548CA" w:rsidRDefault="00A20519" w:rsidP="00C041CA">
      <w:pPr>
        <w:pStyle w:val="ListBullet0"/>
      </w:pPr>
      <w:r w:rsidRPr="008548CA">
        <w:t>Not about accessing mental health, or experience or gaps (n = 266)</w:t>
      </w:r>
    </w:p>
    <w:p w14:paraId="12EF72CC" w14:textId="7CA1F108" w:rsidR="00A20519" w:rsidRPr="008548CA" w:rsidRDefault="00A20519" w:rsidP="00C041CA">
      <w:pPr>
        <w:pStyle w:val="ListBullet0"/>
      </w:pPr>
      <w:r w:rsidRPr="008548CA">
        <w:fldChar w:fldCharType="begin"/>
      </w:r>
      <w:r w:rsidRPr="008548CA">
        <w:instrText xml:space="preserve"> MERGEFIELD =exclusion_reason.reason \* MERGEFORMAT </w:instrText>
      </w:r>
      <w:r w:rsidRPr="008548CA">
        <w:fldChar w:fldCharType="separate"/>
      </w:r>
      <w:r w:rsidRPr="008548CA">
        <w:t>Not a primary study (for example, a proptocol or case study) (n=4)</w:t>
      </w:r>
    </w:p>
    <w:p w14:paraId="0713AE3D" w14:textId="111C1017" w:rsidR="00A20519" w:rsidRPr="008548CA" w:rsidRDefault="00A20519" w:rsidP="00C041CA">
      <w:pPr>
        <w:pStyle w:val="ListBullet0"/>
      </w:pPr>
      <w:r w:rsidRPr="008548CA">
        <w:t>Not UK or Australia</w:t>
      </w:r>
      <w:r w:rsidRPr="008548CA">
        <w:fldChar w:fldCharType="end"/>
      </w:r>
      <w:r w:rsidRPr="008548CA">
        <w:t xml:space="preserve"> focused (n = 7)</w:t>
      </w:r>
      <w:r w:rsidRPr="008548CA">
        <w:fldChar w:fldCharType="begin"/>
      </w:r>
      <w:r w:rsidRPr="008548CA">
        <w:instrText xml:space="preserve"> MERGEFIELD =reason.number_of_citations \* MERGEFORMAT </w:instrText>
      </w:r>
      <w:r w:rsidRPr="008548CA">
        <w:fldChar w:fldCharType="end"/>
      </w:r>
    </w:p>
    <w:p w14:paraId="1910217F" w14:textId="14E6239A" w:rsidR="00A20519" w:rsidRPr="008548CA" w:rsidRDefault="00A20519" w:rsidP="00C041CA">
      <w:pPr>
        <w:pStyle w:val="ListBullet0"/>
      </w:pPr>
      <w:fldSimple w:instr=" MERGEFIELD =exclusion_reason.reason \* MERGEFORMAT ">
        <w:r w:rsidRPr="008548CA">
          <w:t xml:space="preserve">Not published between February 2013 and February 2023 </w:t>
        </w:r>
      </w:fldSimple>
      <w:r w:rsidRPr="008548CA">
        <w:t>(n = 0)</w:t>
      </w:r>
    </w:p>
    <w:p w14:paraId="110FA744" w14:textId="77777777" w:rsidR="00FC28C2" w:rsidRPr="00C041CA" w:rsidRDefault="00FC28C2" w:rsidP="008548CA">
      <w:pPr>
        <w:rPr>
          <w:vertAlign w:val="superscript"/>
        </w:rPr>
      </w:pPr>
      <w:r w:rsidRPr="008548CA">
        <w:t>A second round of literature screening was conducted, based on identification and inclusion criteria finalised in the Stage 1 co-design process with the Department. This was informed by the Department’s existing methodology and suite of source documents. The Joanna Briggs Institute (JBI) Systematic Review methodology was utilised</w:t>
      </w:r>
      <w:r w:rsidRPr="00C041CA">
        <w:rPr>
          <w:vertAlign w:val="superscript"/>
        </w:rPr>
        <w:t>.</w:t>
      </w:r>
      <w:r w:rsidRPr="00C041CA">
        <w:rPr>
          <w:vertAlign w:val="superscript"/>
        </w:rPr>
        <w:footnoteReference w:id="331"/>
      </w:r>
    </w:p>
    <w:p w14:paraId="4D5D2EC9" w14:textId="52EEF3BF" w:rsidR="00B43363" w:rsidRPr="00C041CA" w:rsidRDefault="00FC28C2" w:rsidP="00C041CA">
      <w:r w:rsidRPr="00C041CA">
        <w:br w:type="page"/>
      </w:r>
    </w:p>
    <w:p w14:paraId="6A397569" w14:textId="56D83757" w:rsidR="007A0E78" w:rsidRPr="00D56815" w:rsidRDefault="007A0E78" w:rsidP="00DF32BE">
      <w:pPr>
        <w:pStyle w:val="Heading2"/>
      </w:pPr>
      <w:bookmarkStart w:id="151" w:name="_Toc153899551"/>
      <w:r>
        <w:lastRenderedPageBreak/>
        <w:t>Attachment 2:</w:t>
      </w:r>
      <w:r>
        <w:tab/>
        <w:t xml:space="preserve">State and Territory Legislation </w:t>
      </w:r>
      <w:r w:rsidR="00A10E82">
        <w:t>and Bodies with responsibility for protecting the rights of LGBTQIA+ people</w:t>
      </w:r>
      <w:bookmarkEnd w:id="151"/>
    </w:p>
    <w:p w14:paraId="4D64C2D0" w14:textId="77777777" w:rsidR="007A0E78" w:rsidRPr="000A01E2" w:rsidRDefault="007A0E78" w:rsidP="007A0E78">
      <w:pPr>
        <w:pStyle w:val="ListBullet0"/>
      </w:pPr>
      <w:hyperlink r:id="rId162" w:history="1">
        <w:r w:rsidRPr="00695A02">
          <w:rPr>
            <w:rStyle w:val="Hyperlink"/>
            <w:b/>
            <w:bCs/>
          </w:rPr>
          <w:t>ACT</w:t>
        </w:r>
      </w:hyperlink>
      <w:r>
        <w:rPr>
          <w:rStyle w:val="Hyperlink"/>
          <w:b/>
          <w:bCs/>
        </w:rPr>
        <w:t xml:space="preserve"> Government </w:t>
      </w:r>
    </w:p>
    <w:p w14:paraId="2D9287DF" w14:textId="49B2F4B7" w:rsidR="007A0E78" w:rsidRPr="008548CA" w:rsidRDefault="007A0E78" w:rsidP="008548CA">
      <w:r w:rsidRPr="008548CA">
        <w:t>LGBTIQ+ rights are protected in the ACT under the Discrimination Act 1991</w:t>
      </w:r>
      <w:r w:rsidR="006F698C" w:rsidRPr="008548CA">
        <w:t xml:space="preserve"> (ACT)</w:t>
      </w:r>
      <w:r w:rsidRPr="008548CA">
        <w:t>, which includes sex, sexual orientation, intersex status, gender identity</w:t>
      </w:r>
      <w:r w:rsidR="006F698C" w:rsidRPr="008548CA">
        <w:t>,</w:t>
      </w:r>
      <w:r w:rsidRPr="008548CA">
        <w:t xml:space="preserve"> and HIV/AIDS status as prescribed attributes. It is also one of only three jurisdictions that possess specific provisions protecting the rights of intersex people, which includes children with intersex variations and the protection from surgeries without their consent. </w:t>
      </w:r>
    </w:p>
    <w:p w14:paraId="69733579" w14:textId="77777777" w:rsidR="007A0E78" w:rsidRPr="008548CA" w:rsidRDefault="007A0E78" w:rsidP="008548CA">
      <w:r w:rsidRPr="008548CA">
        <w:t>In the ACT, transgender and intersex people can also change the sex listed on their birth certificate under the Births, Deaths and Marriages Registration Amendment Act 2014. The ACT is yet to pass the Bill aimed at protecting LGBTIQ rights by outlawing conversion therapy.</w:t>
      </w:r>
      <w:r w:rsidRPr="008548CA">
        <w:footnoteReference w:id="332"/>
      </w:r>
      <w:r w:rsidRPr="008548CA">
        <w:t xml:space="preserve"> </w:t>
      </w:r>
    </w:p>
    <w:p w14:paraId="03D75D65" w14:textId="77777777" w:rsidR="007A0E78" w:rsidRPr="008548CA" w:rsidRDefault="007A0E78" w:rsidP="008548CA">
      <w:r w:rsidRPr="008548CA">
        <w:t xml:space="preserve">The body responsible for protecting these rights and managing complaints is the </w:t>
      </w:r>
      <w:hyperlink r:id="rId163" w:history="1">
        <w:r w:rsidRPr="008548CA">
          <w:rPr>
            <w:rStyle w:val="Hyperlink"/>
          </w:rPr>
          <w:t>ACT Human Rights Commission</w:t>
        </w:r>
      </w:hyperlink>
      <w:r w:rsidRPr="008548CA">
        <w:t>.</w:t>
      </w:r>
    </w:p>
    <w:p w14:paraId="78269785" w14:textId="77777777" w:rsidR="007A0E78" w:rsidRPr="00280415" w:rsidRDefault="007A0E78" w:rsidP="007A0E78">
      <w:pPr>
        <w:pStyle w:val="ListBullet0"/>
      </w:pPr>
      <w:hyperlink r:id="rId164" w:history="1">
        <w:r w:rsidRPr="009C7621">
          <w:rPr>
            <w:rStyle w:val="Hyperlink"/>
            <w:b/>
            <w:bCs/>
          </w:rPr>
          <w:t>New South Wales</w:t>
        </w:r>
      </w:hyperlink>
    </w:p>
    <w:p w14:paraId="7B8FD37B" w14:textId="595F937E" w:rsidR="007A0E78" w:rsidRPr="008548CA" w:rsidRDefault="007A0E78" w:rsidP="008548CA">
      <w:r w:rsidRPr="008548CA">
        <w:t>The Anti-Discrimination Act of 1977</w:t>
      </w:r>
      <w:r w:rsidR="006F698C" w:rsidRPr="008548CA">
        <w:t xml:space="preserve"> (NSW)</w:t>
      </w:r>
      <w:r w:rsidRPr="008548CA">
        <w:t xml:space="preserve"> prohibits discrimination </w:t>
      </w:r>
      <w:proofErr w:type="gramStart"/>
      <w:r w:rsidRPr="008548CA">
        <w:t>on the basis of</w:t>
      </w:r>
      <w:proofErr w:type="gramEnd"/>
      <w:r w:rsidRPr="008548CA">
        <w:t xml:space="preserve"> a person’s sexual orientation in workplaces, education, and in the provision of goods and services. The </w:t>
      </w:r>
      <w:r w:rsidR="006F698C" w:rsidRPr="008548CA">
        <w:t>A</w:t>
      </w:r>
      <w:r w:rsidRPr="008548CA">
        <w:t>ct also prohibits discrimination against transgender individuals. The NSW Government allows a person to change their sex on their birth certificate and driver’s license</w:t>
      </w:r>
      <w:r w:rsidR="006F698C" w:rsidRPr="008548CA">
        <w:t>.</w:t>
      </w:r>
      <w:r w:rsidRPr="008548CA">
        <w:t xml:space="preserve"> </w:t>
      </w:r>
      <w:r w:rsidR="006F698C" w:rsidRPr="008548CA">
        <w:t>H</w:t>
      </w:r>
      <w:r w:rsidRPr="008548CA">
        <w:t xml:space="preserve">owever, this can only be done after sex affirmation surgery and does not accommodate the wishes of transgender individuals who have been unable or unwilling to undergo surgery. Conversion </w:t>
      </w:r>
      <w:r w:rsidR="00E86923" w:rsidRPr="008548CA">
        <w:t>practices have</w:t>
      </w:r>
      <w:r w:rsidRPr="008548CA">
        <w:t xml:space="preserve"> also not yet been outlawed in New South Wales.</w:t>
      </w:r>
    </w:p>
    <w:p w14:paraId="57B113C9" w14:textId="77777777" w:rsidR="007A0E78" w:rsidRPr="008548CA" w:rsidRDefault="007A0E78" w:rsidP="008548CA">
      <w:r w:rsidRPr="008548CA">
        <w:t xml:space="preserve">The body responsible for protecting these NSW rights and managing complaints is the </w:t>
      </w:r>
      <w:hyperlink r:id="rId165" w:history="1">
        <w:r w:rsidRPr="008548CA">
          <w:rPr>
            <w:rStyle w:val="Hyperlink"/>
          </w:rPr>
          <w:t>Anti-Discrimination Board of NSW</w:t>
        </w:r>
      </w:hyperlink>
      <w:r w:rsidRPr="008548CA">
        <w:t>.</w:t>
      </w:r>
    </w:p>
    <w:p w14:paraId="3F50FAD5" w14:textId="77777777" w:rsidR="007A0E78" w:rsidRPr="0089037D" w:rsidRDefault="007A0E78" w:rsidP="007A0E78">
      <w:pPr>
        <w:pStyle w:val="ListBullet0"/>
      </w:pPr>
      <w:hyperlink r:id="rId166" w:history="1">
        <w:r w:rsidRPr="00F07667">
          <w:rPr>
            <w:rStyle w:val="Hyperlink"/>
            <w:b/>
            <w:bCs/>
          </w:rPr>
          <w:t>Northern Territory</w:t>
        </w:r>
      </w:hyperlink>
      <w:r>
        <w:rPr>
          <w:b/>
          <w:bCs/>
        </w:rPr>
        <w:t xml:space="preserve"> </w:t>
      </w:r>
    </w:p>
    <w:p w14:paraId="20B39E0A" w14:textId="38000877" w:rsidR="007A0E78" w:rsidRPr="008548CA" w:rsidRDefault="007A0E78" w:rsidP="008548CA">
      <w:r w:rsidRPr="008548CA">
        <w:t>Under the Anti-Discrimination Act 1996</w:t>
      </w:r>
      <w:r w:rsidR="006F698C" w:rsidRPr="008548CA">
        <w:t xml:space="preserve"> (NT)</w:t>
      </w:r>
      <w:r w:rsidRPr="008548CA">
        <w:t xml:space="preserve">, the rights of non-heterosexual individuals are protected in most areas of the Northern Territory law. However, the NT Anti-Discrimination Act does not comprehensively protect individuals from discrimination </w:t>
      </w:r>
      <w:proofErr w:type="gramStart"/>
      <w:r w:rsidRPr="008548CA">
        <w:t>on the basis of</w:t>
      </w:r>
      <w:proofErr w:type="gramEnd"/>
      <w:r w:rsidRPr="008548CA">
        <w:t xml:space="preserve"> gender identity. The NT also does not have legislation prohibiting vilification </w:t>
      </w:r>
      <w:proofErr w:type="gramStart"/>
      <w:r w:rsidRPr="008548CA">
        <w:t>on the basis of</w:t>
      </w:r>
      <w:proofErr w:type="gramEnd"/>
      <w:r w:rsidRPr="008548CA">
        <w:t xml:space="preserve"> sexual orientation, gender identity, or other attributes. </w:t>
      </w:r>
    </w:p>
    <w:p w14:paraId="25C2A540" w14:textId="77777777" w:rsidR="007A0E78" w:rsidRPr="008548CA" w:rsidRDefault="007A0E78" w:rsidP="008548CA">
      <w:r w:rsidRPr="008548CA">
        <w:t xml:space="preserve">The body responsible for protecting these rights and managing complaints is the </w:t>
      </w:r>
      <w:hyperlink r:id="rId167" w:history="1">
        <w:r w:rsidRPr="008548CA">
          <w:rPr>
            <w:rStyle w:val="Hyperlink"/>
          </w:rPr>
          <w:t>Northern Territory Anti-Discrimination Commission</w:t>
        </w:r>
      </w:hyperlink>
      <w:r w:rsidRPr="008548CA">
        <w:t>.</w:t>
      </w:r>
    </w:p>
    <w:p w14:paraId="374A43E5" w14:textId="77777777" w:rsidR="007A0E78" w:rsidRPr="00D446A9" w:rsidRDefault="007A0E78" w:rsidP="007A0E78">
      <w:pPr>
        <w:pStyle w:val="ListBullet0"/>
      </w:pPr>
      <w:hyperlink r:id="rId168" w:history="1">
        <w:r w:rsidRPr="009D643D">
          <w:rPr>
            <w:rStyle w:val="Hyperlink"/>
            <w:b/>
            <w:bCs/>
          </w:rPr>
          <w:t>Queensland</w:t>
        </w:r>
      </w:hyperlink>
    </w:p>
    <w:p w14:paraId="371B7226" w14:textId="0356B66A" w:rsidR="007A0E78" w:rsidRPr="008548CA" w:rsidRDefault="007A0E78" w:rsidP="008548CA">
      <w:r w:rsidRPr="008548CA">
        <w:t>Under the Anti-Discrimination Act 1991</w:t>
      </w:r>
      <w:r w:rsidR="006F698C" w:rsidRPr="008548CA">
        <w:t xml:space="preserve"> (Qld)</w:t>
      </w:r>
      <w:r w:rsidRPr="008548CA">
        <w:t xml:space="preserve">, it is unlawful to incite hatred towards LGBTIQ+ people on the grounds of their sexuality or gender identity. Intersex people in Queensland do not currently have the right to have their intersex status recognised on their birth certificate. </w:t>
      </w:r>
    </w:p>
    <w:p w14:paraId="32F6D9FF" w14:textId="77777777" w:rsidR="007A0E78" w:rsidRPr="008548CA" w:rsidRDefault="007A0E78" w:rsidP="008548CA">
      <w:r w:rsidRPr="008548CA">
        <w:lastRenderedPageBreak/>
        <w:t xml:space="preserve">The body responsible for protecting these rights and managing complaints is the </w:t>
      </w:r>
      <w:hyperlink r:id="rId169" w:history="1">
        <w:r w:rsidRPr="008548CA">
          <w:rPr>
            <w:rStyle w:val="Hyperlink"/>
          </w:rPr>
          <w:t>Queensland Human Rights Commission</w:t>
        </w:r>
      </w:hyperlink>
      <w:r w:rsidRPr="008548CA">
        <w:t>.</w:t>
      </w:r>
    </w:p>
    <w:p w14:paraId="4315DC56" w14:textId="77777777" w:rsidR="007A0E78" w:rsidRPr="00F87490" w:rsidRDefault="007A0E78" w:rsidP="007A0E78">
      <w:pPr>
        <w:pStyle w:val="ListBullet0"/>
      </w:pPr>
      <w:hyperlink r:id="rId170" w:history="1">
        <w:r w:rsidRPr="00923A00">
          <w:rPr>
            <w:rStyle w:val="Hyperlink"/>
            <w:b/>
            <w:bCs/>
          </w:rPr>
          <w:t>South Australia</w:t>
        </w:r>
      </w:hyperlink>
    </w:p>
    <w:p w14:paraId="38B29AC5" w14:textId="149D38CF" w:rsidR="007A0E78" w:rsidRPr="008548CA" w:rsidRDefault="007A0E78" w:rsidP="008548CA">
      <w:r w:rsidRPr="008548CA">
        <w:t>The Equal Opportunity Act 1984</w:t>
      </w:r>
      <w:r w:rsidR="006F698C" w:rsidRPr="008548CA">
        <w:t xml:space="preserve"> (SA)</w:t>
      </w:r>
      <w:r w:rsidRPr="008548CA">
        <w:t xml:space="preserve"> prohibits discrimination based on sex, sexual orientation</w:t>
      </w:r>
      <w:r w:rsidR="006F698C" w:rsidRPr="008548CA">
        <w:t>,</w:t>
      </w:r>
      <w:r w:rsidRPr="008548CA">
        <w:t xml:space="preserve"> or gender identity, with the latter terms replacing outdated terms of ‘chosen gender’ and ‘sexuality’ in the</w:t>
      </w:r>
      <w:r w:rsidR="006F698C" w:rsidRPr="008548CA">
        <w:t xml:space="preserve"> Act’s</w:t>
      </w:r>
      <w:r w:rsidRPr="008548CA">
        <w:t xml:space="preserve"> </w:t>
      </w:r>
      <w:r w:rsidR="006F698C" w:rsidRPr="008548CA">
        <w:t>2016 amendment</w:t>
      </w:r>
      <w:r w:rsidRPr="008548CA">
        <w:t>. Intersex protections were added to the Equal Opportunity Act in 2017. In 2016, South Australia became the first state to allow individuals to change their sex on their birth certificate without having undergone sex affirmation surgery. South Australia has not yet passed laws outlawing conversion therapy.</w:t>
      </w:r>
    </w:p>
    <w:p w14:paraId="36E85501" w14:textId="77777777" w:rsidR="007A0E78" w:rsidRPr="008548CA" w:rsidRDefault="007A0E78" w:rsidP="008548CA">
      <w:r w:rsidRPr="008548CA">
        <w:t xml:space="preserve">The body responsible for protecting these rights and managing complaints is </w:t>
      </w:r>
      <w:hyperlink r:id="rId171" w:history="1">
        <w:r w:rsidRPr="008548CA">
          <w:rPr>
            <w:rStyle w:val="Hyperlink"/>
          </w:rPr>
          <w:t>Equal Opportunity SA</w:t>
        </w:r>
      </w:hyperlink>
      <w:r w:rsidRPr="008548CA">
        <w:t>.</w:t>
      </w:r>
    </w:p>
    <w:p w14:paraId="0A11CE40" w14:textId="77777777" w:rsidR="007A0E78" w:rsidRPr="00C3135C" w:rsidRDefault="007A0E78" w:rsidP="007A0E78">
      <w:pPr>
        <w:pStyle w:val="ListBullet0"/>
      </w:pPr>
      <w:hyperlink r:id="rId172" w:history="1">
        <w:r w:rsidRPr="009A3E57">
          <w:rPr>
            <w:rStyle w:val="Hyperlink"/>
            <w:b/>
            <w:bCs/>
          </w:rPr>
          <w:t>Tasmania</w:t>
        </w:r>
      </w:hyperlink>
    </w:p>
    <w:p w14:paraId="68221A48" w14:textId="6E2B5EF1" w:rsidR="007A0E78" w:rsidRPr="008548CA" w:rsidRDefault="007A0E78" w:rsidP="008548CA">
      <w:r w:rsidRPr="008548CA">
        <w:t>The Anti-Discrimination Act 1998</w:t>
      </w:r>
      <w:r w:rsidR="006F698C" w:rsidRPr="008548CA">
        <w:t xml:space="preserve"> (TAS)</w:t>
      </w:r>
      <w:r w:rsidRPr="008548CA">
        <w:t xml:space="preserve"> prohibits discrimination </w:t>
      </w:r>
      <w:proofErr w:type="gramStart"/>
      <w:r w:rsidRPr="008548CA">
        <w:t>on the basis of</w:t>
      </w:r>
      <w:proofErr w:type="gramEnd"/>
      <w:r w:rsidRPr="008548CA">
        <w:t xml:space="preserve"> a person’s sex, sexual orientation, gender identity</w:t>
      </w:r>
      <w:r w:rsidR="006F698C" w:rsidRPr="008548CA">
        <w:t>,</w:t>
      </w:r>
      <w:r w:rsidRPr="008548CA">
        <w:t xml:space="preserve"> and intersex variations. Tasmania’s Marriage Gender Amendments Act 2019 permits individuals to change their name and gender information on a birth certificate, </w:t>
      </w:r>
      <w:proofErr w:type="gramStart"/>
      <w:r w:rsidRPr="008548CA">
        <w:t>and also</w:t>
      </w:r>
      <w:proofErr w:type="gramEnd"/>
      <w:r w:rsidRPr="008548CA">
        <w:t xml:space="preserve"> removes the requirement for a person wish</w:t>
      </w:r>
      <w:r w:rsidR="006F698C" w:rsidRPr="008548CA">
        <w:t>ing</w:t>
      </w:r>
      <w:r w:rsidRPr="008548CA">
        <w:t xml:space="preserve"> to change their gender to have undergone sexual reassignment surgery.</w:t>
      </w:r>
    </w:p>
    <w:p w14:paraId="7F571C5C" w14:textId="77777777" w:rsidR="007A0E78" w:rsidRPr="008548CA" w:rsidRDefault="007A0E78" w:rsidP="008548CA">
      <w:r w:rsidRPr="008548CA">
        <w:t xml:space="preserve">The body responsible for protecting these rights and managing complaints is </w:t>
      </w:r>
      <w:hyperlink r:id="rId173" w:history="1">
        <w:r w:rsidRPr="008548CA">
          <w:rPr>
            <w:rStyle w:val="Hyperlink"/>
          </w:rPr>
          <w:t>Equal Opportunity Tasmania</w:t>
        </w:r>
      </w:hyperlink>
      <w:r w:rsidRPr="008548CA">
        <w:t>.</w:t>
      </w:r>
    </w:p>
    <w:p w14:paraId="4BE7FE51" w14:textId="77777777" w:rsidR="007A0E78" w:rsidRPr="00751A17" w:rsidRDefault="007A0E78" w:rsidP="007A0E78">
      <w:pPr>
        <w:pStyle w:val="ListBullet0"/>
      </w:pPr>
      <w:hyperlink r:id="rId174" w:history="1">
        <w:r w:rsidRPr="00C10E38">
          <w:rPr>
            <w:rStyle w:val="Hyperlink"/>
            <w:b/>
            <w:bCs/>
          </w:rPr>
          <w:t>Victoria</w:t>
        </w:r>
      </w:hyperlink>
    </w:p>
    <w:p w14:paraId="1E143DDF" w14:textId="6956CC46" w:rsidR="007A0E78" w:rsidRPr="008548CA" w:rsidRDefault="007A0E78" w:rsidP="008548CA">
      <w:r w:rsidRPr="008548CA">
        <w:t>Following amendment to the Equal Opportunity Act 2010</w:t>
      </w:r>
      <w:r w:rsidR="006F698C" w:rsidRPr="008548CA">
        <w:t xml:space="preserve"> (Vic)</w:t>
      </w:r>
      <w:r w:rsidRPr="008548CA">
        <w:t xml:space="preserve">, it is unlawful </w:t>
      </w:r>
      <w:r w:rsidR="006F698C" w:rsidRPr="008548CA">
        <w:t xml:space="preserve">in Victoria </w:t>
      </w:r>
      <w:r w:rsidRPr="008548CA">
        <w:t xml:space="preserve">to discriminate against an individual </w:t>
      </w:r>
      <w:proofErr w:type="gramStart"/>
      <w:r w:rsidRPr="008548CA">
        <w:t>on the basis o</w:t>
      </w:r>
      <w:r w:rsidR="006F698C" w:rsidRPr="008548CA">
        <w:t>f</w:t>
      </w:r>
      <w:proofErr w:type="gramEnd"/>
      <w:r w:rsidRPr="008548CA">
        <w:t xml:space="preserve"> their intersex characteristics, gender identity, or sexual orientation. Since 2019, trans and gender diverse Victoria</w:t>
      </w:r>
      <w:r w:rsidR="006F698C" w:rsidRPr="008548CA">
        <w:t>n</w:t>
      </w:r>
      <w:r w:rsidRPr="008548CA">
        <w:t>s no longer need to undergo sex affirmation surgery to alter the sex recorded on their birth certificate. In addition, conversion therapy practices were banned in 2021 by the Victorian Government.</w:t>
      </w:r>
    </w:p>
    <w:p w14:paraId="099662B1" w14:textId="77777777" w:rsidR="007A0E78" w:rsidRPr="008548CA" w:rsidRDefault="007A0E78" w:rsidP="008548CA">
      <w:r w:rsidRPr="008548CA">
        <w:t xml:space="preserve">The body responsible for protecting these rights and managing complaints is the </w:t>
      </w:r>
      <w:hyperlink r:id="rId175" w:history="1">
        <w:r w:rsidRPr="008548CA">
          <w:rPr>
            <w:rStyle w:val="Hyperlink"/>
          </w:rPr>
          <w:t>Victorian Equal Opportunity and Human Rights Commission</w:t>
        </w:r>
      </w:hyperlink>
      <w:r w:rsidRPr="008548CA">
        <w:t>.</w:t>
      </w:r>
    </w:p>
    <w:p w14:paraId="6954C922" w14:textId="77777777" w:rsidR="007A0E78" w:rsidRPr="00C058A9" w:rsidRDefault="007A0E78" w:rsidP="007A0E78">
      <w:pPr>
        <w:pStyle w:val="ListBullet0"/>
      </w:pPr>
      <w:hyperlink r:id="rId176" w:history="1">
        <w:r w:rsidRPr="00CA6F45">
          <w:rPr>
            <w:rStyle w:val="Hyperlink"/>
            <w:b/>
            <w:bCs/>
          </w:rPr>
          <w:t>Western Australia</w:t>
        </w:r>
      </w:hyperlink>
    </w:p>
    <w:p w14:paraId="74B51D54" w14:textId="58571F94" w:rsidR="007A0E78" w:rsidRPr="00B85E1C" w:rsidRDefault="007A0E78" w:rsidP="00B85E1C">
      <w:r w:rsidRPr="00B85E1C">
        <w:t xml:space="preserve">The </w:t>
      </w:r>
      <w:r w:rsidRPr="00B85E1C">
        <w:rPr>
          <w:rStyle w:val="Emphasis"/>
        </w:rPr>
        <w:t>Equal Opportunity Act 1984</w:t>
      </w:r>
      <w:r w:rsidRPr="00B85E1C">
        <w:t xml:space="preserve"> </w:t>
      </w:r>
      <w:r w:rsidR="006F698C" w:rsidRPr="00B85E1C">
        <w:t xml:space="preserve">(WA) </w:t>
      </w:r>
      <w:r w:rsidRPr="00B85E1C">
        <w:t xml:space="preserve">prohibits discrimination </w:t>
      </w:r>
      <w:proofErr w:type="gramStart"/>
      <w:r w:rsidRPr="00B85E1C">
        <w:t>on the basis of</w:t>
      </w:r>
      <w:proofErr w:type="gramEnd"/>
      <w:r w:rsidRPr="00B85E1C">
        <w:t xml:space="preserve"> an individual’s sexual orientation. These laws do not protect transgender people unless they have been reassigned gender under the Gender Reassignment Act 2000</w:t>
      </w:r>
      <w:r w:rsidR="006F698C" w:rsidRPr="00B85E1C">
        <w:t xml:space="preserve"> (WA)</w:t>
      </w:r>
      <w:r w:rsidRPr="00B85E1C">
        <w:t xml:space="preserve">, in which discrimination is prohibited </w:t>
      </w:r>
      <w:proofErr w:type="gramStart"/>
      <w:r w:rsidRPr="00B85E1C">
        <w:t>on the basis of</w:t>
      </w:r>
      <w:proofErr w:type="gramEnd"/>
      <w:r w:rsidRPr="00B85E1C">
        <w:t xml:space="preserve"> gender history and not gender. In addition, discrimination against intersex people is not prohibited.</w:t>
      </w:r>
    </w:p>
    <w:p w14:paraId="633302A5" w14:textId="77777777" w:rsidR="007A0E78" w:rsidRPr="008548CA" w:rsidRDefault="007A0E78" w:rsidP="008548CA">
      <w:r w:rsidRPr="008548CA">
        <w:t xml:space="preserve">The body responsible for protecting these rights and managing complaints is the </w:t>
      </w:r>
      <w:hyperlink r:id="rId177" w:history="1">
        <w:r w:rsidRPr="008548CA">
          <w:rPr>
            <w:rStyle w:val="Hyperlink"/>
          </w:rPr>
          <w:t>Equal Opportunity Commission Western Australia</w:t>
        </w:r>
      </w:hyperlink>
      <w:r w:rsidRPr="008548CA">
        <w:t>.</w:t>
      </w:r>
    </w:p>
    <w:p w14:paraId="0AAD7415" w14:textId="5D4FA5EE" w:rsidR="00FA38C3" w:rsidRDefault="00ED69CC" w:rsidP="00DF32BE">
      <w:pPr>
        <w:pStyle w:val="Heading2"/>
      </w:pPr>
      <w:bookmarkStart w:id="152" w:name="_Toc153899552"/>
      <w:r>
        <w:lastRenderedPageBreak/>
        <w:t xml:space="preserve">Attachment 3: </w:t>
      </w:r>
      <w:r w:rsidR="00A06BE4">
        <w:t>Additional</w:t>
      </w:r>
      <w:r w:rsidR="00F752DC">
        <w:t xml:space="preserve"> </w:t>
      </w:r>
      <w:r w:rsidR="000679E4" w:rsidRPr="000679E4">
        <w:t>Commonwealth, state and territory policies and strategies</w:t>
      </w:r>
      <w:bookmarkEnd w:id="152"/>
    </w:p>
    <w:p w14:paraId="1F09F364" w14:textId="3B03BC35" w:rsidR="00F5412B" w:rsidRDefault="00F5412B" w:rsidP="00F5412B">
      <w:pPr>
        <w:rPr>
          <w:lang w:eastAsia="en-AU"/>
        </w:rPr>
      </w:pPr>
      <w:r>
        <w:rPr>
          <w:lang w:eastAsia="en-AU"/>
        </w:rPr>
        <w:t>The table below provides a broad summary of additional Commonwealth, state</w:t>
      </w:r>
      <w:r w:rsidR="0089329E">
        <w:rPr>
          <w:lang w:eastAsia="en-AU"/>
        </w:rPr>
        <w:t>,</w:t>
      </w:r>
      <w:r>
        <w:rPr>
          <w:lang w:eastAsia="en-AU"/>
        </w:rPr>
        <w:t xml:space="preserve"> and territory policies and strategies with relevance to LGBTQIA+ mental health and wellbeing identified </w:t>
      </w:r>
      <w:proofErr w:type="gramStart"/>
      <w:r>
        <w:rPr>
          <w:lang w:eastAsia="en-AU"/>
        </w:rPr>
        <w:t>in the course of</w:t>
      </w:r>
      <w:proofErr w:type="gramEnd"/>
      <w:r>
        <w:rPr>
          <w:lang w:eastAsia="en-AU"/>
        </w:rPr>
        <w:t xml:space="preserve"> this research</w:t>
      </w:r>
      <w:r w:rsidR="00846A37">
        <w:rPr>
          <w:lang w:eastAsia="en-AU"/>
        </w:rPr>
        <w:t xml:space="preserve"> not covered in the main text</w:t>
      </w:r>
      <w:r>
        <w:rPr>
          <w:lang w:eastAsia="en-AU"/>
        </w:rPr>
        <w:t xml:space="preserve">. </w:t>
      </w:r>
    </w:p>
    <w:tbl>
      <w:tblPr>
        <w:tblStyle w:val="TableGridLight"/>
        <w:tblW w:w="9356" w:type="dxa"/>
        <w:tblLook w:val="06A0" w:firstRow="1" w:lastRow="0" w:firstColumn="1" w:lastColumn="0" w:noHBand="1" w:noVBand="1"/>
      </w:tblPr>
      <w:tblGrid>
        <w:gridCol w:w="2268"/>
        <w:gridCol w:w="7088"/>
      </w:tblGrid>
      <w:tr w:rsidR="00ED69CC" w:rsidRPr="00340715" w14:paraId="5F08DCE1" w14:textId="77777777" w:rsidTr="00595E32">
        <w:trPr>
          <w:trHeight w:val="292"/>
          <w:tblHeader/>
        </w:trPr>
        <w:tc>
          <w:tcPr>
            <w:tcW w:w="2268" w:type="dxa"/>
          </w:tcPr>
          <w:p w14:paraId="73F77479" w14:textId="77777777" w:rsidR="00ED69CC" w:rsidRPr="00FE53D9" w:rsidRDefault="00ED69CC" w:rsidP="009B5971">
            <w:pPr>
              <w:pStyle w:val="TableText"/>
              <w:jc w:val="center"/>
              <w:rPr>
                <w:b/>
                <w:bCs/>
                <w:sz w:val="20"/>
                <w:szCs w:val="20"/>
                <w:lang w:eastAsia="en-AU"/>
              </w:rPr>
            </w:pPr>
            <w:r>
              <w:rPr>
                <w:b/>
                <w:bCs/>
                <w:sz w:val="20"/>
                <w:szCs w:val="20"/>
                <w:lang w:eastAsia="en-AU"/>
              </w:rPr>
              <w:t>Name</w:t>
            </w:r>
          </w:p>
        </w:tc>
        <w:tc>
          <w:tcPr>
            <w:tcW w:w="7088" w:type="dxa"/>
          </w:tcPr>
          <w:p w14:paraId="773C4AA7" w14:textId="77777777" w:rsidR="00ED69CC" w:rsidRPr="00FE53D9" w:rsidRDefault="00ED69CC" w:rsidP="009B5971">
            <w:pPr>
              <w:pStyle w:val="TableText"/>
              <w:jc w:val="center"/>
              <w:rPr>
                <w:b/>
                <w:bCs/>
                <w:sz w:val="20"/>
                <w:szCs w:val="20"/>
                <w:lang w:eastAsia="en-AU"/>
              </w:rPr>
            </w:pPr>
            <w:r w:rsidRPr="00FE53D9">
              <w:rPr>
                <w:b/>
                <w:bCs/>
                <w:sz w:val="20"/>
                <w:szCs w:val="20"/>
                <w:lang w:eastAsia="en-AU"/>
              </w:rPr>
              <w:t>Summary Description</w:t>
            </w:r>
          </w:p>
        </w:tc>
      </w:tr>
      <w:tr w:rsidR="00B166D0" w:rsidRPr="00340715" w14:paraId="3521B854" w14:textId="77777777" w:rsidTr="00595E32">
        <w:trPr>
          <w:trHeight w:val="313"/>
        </w:trPr>
        <w:tc>
          <w:tcPr>
            <w:tcW w:w="2268" w:type="dxa"/>
            <w:shd w:val="clear" w:color="auto" w:fill="072575" w:themeFill="accent1" w:themeFillShade="80"/>
          </w:tcPr>
          <w:p w14:paraId="5144F913" w14:textId="3E4DC177" w:rsidR="00B166D0" w:rsidRPr="00D33B63" w:rsidRDefault="00B166D0" w:rsidP="009B5971">
            <w:pPr>
              <w:pStyle w:val="TableText"/>
              <w:spacing w:before="0" w:after="0"/>
              <w:jc w:val="center"/>
              <w:rPr>
                <w:b/>
                <w:bCs/>
                <w:sz w:val="20"/>
                <w:szCs w:val="20"/>
                <w:lang w:eastAsia="en-AU"/>
              </w:rPr>
            </w:pPr>
            <w:r>
              <w:rPr>
                <w:b/>
                <w:bCs/>
                <w:sz w:val="20"/>
                <w:szCs w:val="20"/>
                <w:lang w:eastAsia="en-AU"/>
              </w:rPr>
              <w:t>State / Territory</w:t>
            </w:r>
          </w:p>
        </w:tc>
        <w:tc>
          <w:tcPr>
            <w:tcW w:w="7088" w:type="dxa"/>
            <w:shd w:val="clear" w:color="auto" w:fill="072575" w:themeFill="accent1" w:themeFillShade="80"/>
          </w:tcPr>
          <w:p w14:paraId="720E9973" w14:textId="185FBAF0" w:rsidR="00B166D0" w:rsidRPr="00D33B63" w:rsidRDefault="00B166D0" w:rsidP="009B5971">
            <w:pPr>
              <w:pStyle w:val="TableText"/>
              <w:spacing w:before="0" w:after="0"/>
              <w:jc w:val="center"/>
              <w:rPr>
                <w:b/>
                <w:bCs/>
                <w:sz w:val="20"/>
                <w:szCs w:val="20"/>
                <w:lang w:eastAsia="en-AU"/>
              </w:rPr>
            </w:pPr>
            <w:r>
              <w:rPr>
                <w:b/>
                <w:bCs/>
                <w:sz w:val="20"/>
                <w:szCs w:val="20"/>
                <w:lang w:eastAsia="en-AU"/>
              </w:rPr>
              <w:t>Commonwealth</w:t>
            </w:r>
          </w:p>
        </w:tc>
      </w:tr>
      <w:tr w:rsidR="00ED69CC" w:rsidRPr="00340715" w14:paraId="4F74F3C1" w14:textId="77777777" w:rsidTr="00595E32">
        <w:trPr>
          <w:trHeight w:val="713"/>
        </w:trPr>
        <w:tc>
          <w:tcPr>
            <w:tcW w:w="2268" w:type="dxa"/>
          </w:tcPr>
          <w:p w14:paraId="42C8C09F" w14:textId="77777777" w:rsidR="00ED69CC" w:rsidRPr="009C71B1" w:rsidRDefault="00ED69CC" w:rsidP="00595E32">
            <w:pPr>
              <w:pStyle w:val="TableText"/>
              <w:spacing w:beforeLines="120" w:before="288" w:afterLines="120" w:after="288"/>
              <w:rPr>
                <w:sz w:val="20"/>
                <w:szCs w:val="20"/>
                <w:lang w:eastAsia="en-AU"/>
              </w:rPr>
            </w:pPr>
            <w:hyperlink r:id="rId178" w:history="1">
              <w:r w:rsidRPr="00595E32">
                <w:rPr>
                  <w:rStyle w:val="Hyperlink"/>
                </w:rPr>
                <w:t>National Mental Health Workforce Strategy 2022-2032</w:t>
              </w:r>
            </w:hyperlink>
          </w:p>
        </w:tc>
        <w:tc>
          <w:tcPr>
            <w:tcW w:w="7088" w:type="dxa"/>
          </w:tcPr>
          <w:p w14:paraId="2A9273E5" w14:textId="5D6FED79" w:rsidR="00ED69CC" w:rsidRPr="00F8245B" w:rsidRDefault="00ED69CC" w:rsidP="009B5971">
            <w:pPr>
              <w:pStyle w:val="TableText"/>
              <w:spacing w:beforeLines="120" w:before="288" w:afterLines="120" w:after="288"/>
              <w:rPr>
                <w:sz w:val="20"/>
                <w:szCs w:val="20"/>
              </w:rPr>
            </w:pPr>
            <w:r w:rsidRPr="001019AA">
              <w:rPr>
                <w:sz w:val="20"/>
                <w:szCs w:val="20"/>
              </w:rPr>
              <w:t>The Strategy is a high-level vision with aims to building a sustainable workforce that is skilled, well-distributed</w:t>
            </w:r>
            <w:r w:rsidR="0089329E">
              <w:rPr>
                <w:sz w:val="20"/>
                <w:szCs w:val="20"/>
              </w:rPr>
              <w:t>,</w:t>
            </w:r>
            <w:r w:rsidRPr="001019AA">
              <w:rPr>
                <w:sz w:val="20"/>
                <w:szCs w:val="20"/>
              </w:rPr>
              <w:t xml:space="preserve"> and supported to deliver mental health treatment, care</w:t>
            </w:r>
            <w:r w:rsidR="0089329E">
              <w:rPr>
                <w:sz w:val="20"/>
                <w:szCs w:val="20"/>
              </w:rPr>
              <w:t>,</w:t>
            </w:r>
            <w:r w:rsidRPr="001019AA">
              <w:rPr>
                <w:sz w:val="20"/>
                <w:szCs w:val="20"/>
              </w:rPr>
              <w:t xml:space="preserve"> and support that meets the current and future population needs. Goals are to attract, train, support, and retain a skilled, motivated, and coordinated mental health workforce.</w:t>
            </w:r>
          </w:p>
        </w:tc>
      </w:tr>
      <w:tr w:rsidR="004D4C76" w:rsidRPr="00D33B63" w14:paraId="33A200A4" w14:textId="77777777" w:rsidTr="00595E32">
        <w:trPr>
          <w:trHeight w:val="422"/>
        </w:trPr>
        <w:tc>
          <w:tcPr>
            <w:tcW w:w="2268" w:type="dxa"/>
            <w:shd w:val="clear" w:color="auto" w:fill="072575" w:themeFill="accent1" w:themeFillShade="80"/>
          </w:tcPr>
          <w:p w14:paraId="11F066D4" w14:textId="545044D0" w:rsidR="004D4C76" w:rsidRPr="00D33B63" w:rsidRDefault="004D4C76" w:rsidP="009B5971">
            <w:pPr>
              <w:pStyle w:val="TableText"/>
              <w:spacing w:before="0" w:after="0"/>
              <w:jc w:val="center"/>
              <w:rPr>
                <w:b/>
                <w:bCs/>
                <w:sz w:val="20"/>
                <w:szCs w:val="20"/>
                <w:lang w:eastAsia="en-AU"/>
              </w:rPr>
            </w:pPr>
            <w:r>
              <w:rPr>
                <w:b/>
                <w:bCs/>
                <w:sz w:val="20"/>
                <w:szCs w:val="20"/>
                <w:lang w:eastAsia="en-AU"/>
              </w:rPr>
              <w:t>State / Territory</w:t>
            </w:r>
          </w:p>
        </w:tc>
        <w:tc>
          <w:tcPr>
            <w:tcW w:w="7088" w:type="dxa"/>
            <w:shd w:val="clear" w:color="auto" w:fill="072575" w:themeFill="accent1" w:themeFillShade="80"/>
          </w:tcPr>
          <w:p w14:paraId="54B80B9A" w14:textId="467BC8E1" w:rsidR="004D4C76" w:rsidRPr="00D33B63" w:rsidRDefault="004D4C76" w:rsidP="009B5971">
            <w:pPr>
              <w:pStyle w:val="TableText"/>
              <w:spacing w:before="0" w:after="0"/>
              <w:jc w:val="center"/>
              <w:rPr>
                <w:b/>
                <w:bCs/>
                <w:sz w:val="20"/>
                <w:szCs w:val="20"/>
                <w:lang w:eastAsia="en-AU"/>
              </w:rPr>
            </w:pPr>
            <w:r>
              <w:rPr>
                <w:b/>
                <w:bCs/>
                <w:sz w:val="20"/>
                <w:szCs w:val="20"/>
                <w:lang w:eastAsia="en-AU"/>
              </w:rPr>
              <w:t>ACT</w:t>
            </w:r>
          </w:p>
        </w:tc>
      </w:tr>
      <w:tr w:rsidR="00ED69CC" w:rsidRPr="00340715" w14:paraId="58FDE942" w14:textId="77777777" w:rsidTr="00595E32">
        <w:trPr>
          <w:trHeight w:val="2515"/>
        </w:trPr>
        <w:tc>
          <w:tcPr>
            <w:tcW w:w="2268" w:type="dxa"/>
          </w:tcPr>
          <w:p w14:paraId="68FF6A6B" w14:textId="77777777" w:rsidR="00ED69CC" w:rsidRPr="003C63EB" w:rsidRDefault="00ED69CC" w:rsidP="00595E32">
            <w:pPr>
              <w:pStyle w:val="TableText"/>
              <w:spacing w:beforeLines="120" w:before="288" w:afterLines="120" w:after="288"/>
              <w:rPr>
                <w:sz w:val="20"/>
                <w:szCs w:val="20"/>
                <w:lang w:eastAsia="en-AU"/>
              </w:rPr>
            </w:pPr>
            <w:hyperlink r:id="rId179" w:history="1">
              <w:r w:rsidRPr="00595E32">
                <w:rPr>
                  <w:rStyle w:val="Hyperlink"/>
                </w:rPr>
                <w:t>ACT-Commonwealth Bilateral Mental Health Agreement</w:t>
              </w:r>
            </w:hyperlink>
          </w:p>
        </w:tc>
        <w:tc>
          <w:tcPr>
            <w:tcW w:w="7088" w:type="dxa"/>
          </w:tcPr>
          <w:p w14:paraId="29A278B8" w14:textId="77777777" w:rsidR="00ED69CC" w:rsidRPr="00E33C2F" w:rsidRDefault="00ED69CC" w:rsidP="009B5971">
            <w:pPr>
              <w:pStyle w:val="TableText"/>
              <w:spacing w:beforeLines="120" w:before="288" w:afterLines="120" w:after="288"/>
              <w:rPr>
                <w:sz w:val="20"/>
                <w:szCs w:val="20"/>
              </w:rPr>
            </w:pPr>
            <w:r w:rsidRPr="00E33C2F">
              <w:rPr>
                <w:sz w:val="20"/>
                <w:szCs w:val="20"/>
              </w:rPr>
              <w:t>Signed in 2022, this agreement commits to supporting improved mental health and suicide prevention outcomes for all people in the ACT, through collaborative efforts to address gaps in the mental health and suicide prevention system. More than $38 million will be invested into mental health and suicide prevention support and services in the ACT over the next five years. The funding includes $9 million to enhance the existing headspace centre, $8 million to continue Head to Health adult mental health services, among other funding.</w:t>
            </w:r>
          </w:p>
        </w:tc>
      </w:tr>
      <w:tr w:rsidR="004D4C76" w:rsidRPr="00D33B63" w14:paraId="083CC897" w14:textId="77777777" w:rsidTr="00595E32">
        <w:trPr>
          <w:trHeight w:val="368"/>
        </w:trPr>
        <w:tc>
          <w:tcPr>
            <w:tcW w:w="2268" w:type="dxa"/>
            <w:shd w:val="clear" w:color="auto" w:fill="072575" w:themeFill="accent1" w:themeFillShade="80"/>
          </w:tcPr>
          <w:p w14:paraId="338CB6E2" w14:textId="5DCB8C62" w:rsidR="004D4C76" w:rsidRPr="00D33B63" w:rsidRDefault="004D4C76" w:rsidP="009B5971">
            <w:pPr>
              <w:pStyle w:val="TableText"/>
              <w:spacing w:before="0" w:after="0"/>
              <w:jc w:val="center"/>
              <w:rPr>
                <w:b/>
                <w:bCs/>
                <w:sz w:val="20"/>
                <w:szCs w:val="20"/>
                <w:lang w:eastAsia="en-AU"/>
              </w:rPr>
            </w:pPr>
            <w:r>
              <w:rPr>
                <w:b/>
                <w:bCs/>
                <w:sz w:val="20"/>
                <w:szCs w:val="20"/>
                <w:lang w:eastAsia="en-AU"/>
              </w:rPr>
              <w:t>State / Territory</w:t>
            </w:r>
          </w:p>
        </w:tc>
        <w:tc>
          <w:tcPr>
            <w:tcW w:w="7088" w:type="dxa"/>
            <w:shd w:val="clear" w:color="auto" w:fill="072575" w:themeFill="accent1" w:themeFillShade="80"/>
          </w:tcPr>
          <w:p w14:paraId="67BAE700" w14:textId="1295FBBC" w:rsidR="004D4C76" w:rsidRPr="00D33B63" w:rsidRDefault="004D4C76" w:rsidP="009B5971">
            <w:pPr>
              <w:pStyle w:val="TableText"/>
              <w:spacing w:before="0" w:after="0"/>
              <w:jc w:val="center"/>
              <w:rPr>
                <w:b/>
                <w:bCs/>
                <w:sz w:val="20"/>
                <w:szCs w:val="20"/>
                <w:lang w:eastAsia="en-AU"/>
              </w:rPr>
            </w:pPr>
            <w:r>
              <w:rPr>
                <w:b/>
                <w:bCs/>
                <w:sz w:val="20"/>
                <w:szCs w:val="20"/>
                <w:lang w:eastAsia="en-AU"/>
              </w:rPr>
              <w:t>Northern Territory</w:t>
            </w:r>
          </w:p>
        </w:tc>
      </w:tr>
      <w:tr w:rsidR="00ED69CC" w:rsidRPr="00340715" w14:paraId="6F41B5EF" w14:textId="77777777" w:rsidTr="00595E32">
        <w:trPr>
          <w:trHeight w:val="2008"/>
        </w:trPr>
        <w:tc>
          <w:tcPr>
            <w:tcW w:w="2268" w:type="dxa"/>
          </w:tcPr>
          <w:p w14:paraId="1EE7F750" w14:textId="77777777" w:rsidR="00ED69CC" w:rsidRPr="00595E32" w:rsidRDefault="00ED69CC" w:rsidP="00595E32">
            <w:hyperlink r:id="rId180" w:history="1">
              <w:r w:rsidRPr="00595E32">
                <w:rPr>
                  <w:rStyle w:val="Hyperlink"/>
                </w:rPr>
                <w:t>NT-Commonwealth Bilateral Mental Health Agreement</w:t>
              </w:r>
            </w:hyperlink>
          </w:p>
        </w:tc>
        <w:tc>
          <w:tcPr>
            <w:tcW w:w="7088" w:type="dxa"/>
          </w:tcPr>
          <w:p w14:paraId="44078337" w14:textId="77777777" w:rsidR="00ED69CC" w:rsidRPr="00F90E3C" w:rsidRDefault="00ED69CC" w:rsidP="009B5971">
            <w:pPr>
              <w:pStyle w:val="TableText"/>
              <w:spacing w:beforeLines="120" w:before="288" w:afterLines="120" w:after="288"/>
              <w:rPr>
                <w:sz w:val="20"/>
                <w:szCs w:val="20"/>
                <w:lang w:eastAsia="en-AU"/>
              </w:rPr>
            </w:pPr>
            <w:r>
              <w:rPr>
                <w:sz w:val="20"/>
                <w:szCs w:val="20"/>
                <w:lang w:eastAsia="en-AU"/>
              </w:rPr>
              <w:t xml:space="preserve">Following the signing of a bilateral agreement between the Commonwealth and Northern Territory governments in 2022, more than $43 million will be invested into mental health and suicide prevention support and services. This includes $15 million for two new Head to Health adult mental health clinics, $9 million to establish universal aftercare services, and $9 million for a new Head to Health Kids Hub. </w:t>
            </w:r>
          </w:p>
        </w:tc>
      </w:tr>
      <w:tr w:rsidR="00ED69CC" w:rsidRPr="00340715" w14:paraId="7B7458D5" w14:textId="77777777" w:rsidTr="00595E32">
        <w:trPr>
          <w:trHeight w:val="747"/>
        </w:trPr>
        <w:tc>
          <w:tcPr>
            <w:tcW w:w="2268" w:type="dxa"/>
          </w:tcPr>
          <w:p w14:paraId="46ED93AD" w14:textId="77777777" w:rsidR="00ED69CC" w:rsidRPr="00595E32" w:rsidRDefault="00ED69CC" w:rsidP="00595E32">
            <w:hyperlink r:id="rId181" w:history="1">
              <w:r w:rsidRPr="00595E32">
                <w:rPr>
                  <w:rStyle w:val="Hyperlink"/>
                </w:rPr>
                <w:t>Northern Territory Suicide Prevention Strategy 2018-2023</w:t>
              </w:r>
            </w:hyperlink>
          </w:p>
        </w:tc>
        <w:tc>
          <w:tcPr>
            <w:tcW w:w="7088" w:type="dxa"/>
          </w:tcPr>
          <w:p w14:paraId="23472572" w14:textId="77777777" w:rsidR="00ED69CC" w:rsidRPr="00F8245B" w:rsidRDefault="00ED69CC" w:rsidP="009B5971">
            <w:pPr>
              <w:pStyle w:val="TableText"/>
              <w:spacing w:beforeLines="120" w:before="288" w:afterLines="120" w:after="288"/>
              <w:rPr>
                <w:sz w:val="20"/>
                <w:szCs w:val="20"/>
                <w:lang w:eastAsia="en-AU"/>
              </w:rPr>
            </w:pPr>
            <w:r w:rsidRPr="00F90E3C">
              <w:rPr>
                <w:sz w:val="20"/>
                <w:szCs w:val="20"/>
                <w:lang w:eastAsia="en-AU"/>
              </w:rPr>
              <w:t>A commitment funded by the NT Department of Health to halve suicide rates by 2026. Outcomes specifically relating to LGBTIQ+ individuals include targeted training for healthcare staff, especially those in primary healthcare services in supporting vulnerable people. Organisations funded in line with the Strategy are Indigenist, Rainbow Territory, The Gap, Headspace, NT AIDS and Hepatitis Council, and Tiwi Strong Women: Watering the Tree of Life.</w:t>
            </w:r>
          </w:p>
        </w:tc>
      </w:tr>
      <w:tr w:rsidR="00ED69CC" w:rsidRPr="00340715" w14:paraId="45B8C0AB" w14:textId="77777777" w:rsidTr="00595E32">
        <w:trPr>
          <w:trHeight w:val="747"/>
        </w:trPr>
        <w:tc>
          <w:tcPr>
            <w:tcW w:w="2268" w:type="dxa"/>
          </w:tcPr>
          <w:p w14:paraId="3980DC17" w14:textId="77777777" w:rsidR="00ED69CC" w:rsidRPr="00595E32" w:rsidRDefault="00ED69CC" w:rsidP="00595E32">
            <w:hyperlink r:id="rId182" w:history="1">
              <w:r w:rsidRPr="00595E32">
                <w:rPr>
                  <w:rStyle w:val="Hyperlink"/>
                </w:rPr>
                <w:t>Northern Territory Gender Equality Action Plan 2022-25</w:t>
              </w:r>
            </w:hyperlink>
          </w:p>
        </w:tc>
        <w:tc>
          <w:tcPr>
            <w:tcW w:w="7088" w:type="dxa"/>
          </w:tcPr>
          <w:p w14:paraId="1F8829D0" w14:textId="14E8EEBA" w:rsidR="00ED69CC" w:rsidRPr="00F8245B" w:rsidRDefault="00ED69CC" w:rsidP="009B5971">
            <w:pPr>
              <w:pStyle w:val="TableText"/>
              <w:spacing w:beforeLines="120" w:before="288" w:afterLines="120" w:after="288"/>
              <w:rPr>
                <w:sz w:val="20"/>
                <w:szCs w:val="20"/>
                <w:lang w:eastAsia="en-AU"/>
              </w:rPr>
            </w:pPr>
            <w:r w:rsidRPr="00826D77">
              <w:rPr>
                <w:sz w:val="20"/>
                <w:szCs w:val="20"/>
                <w:lang w:eastAsia="en-AU"/>
              </w:rPr>
              <w:t xml:space="preserve">This plan funded by the NT Department of Territory Families, Housing and Communities has aims of establishing an LGBTIQA+ consumer sub-committee, including </w:t>
            </w:r>
            <w:r w:rsidR="00EC2AE2">
              <w:rPr>
                <w:sz w:val="20"/>
                <w:szCs w:val="20"/>
                <w:lang w:eastAsia="en-AU"/>
              </w:rPr>
              <w:t>P</w:t>
            </w:r>
            <w:r w:rsidRPr="00826D77">
              <w:rPr>
                <w:sz w:val="20"/>
                <w:szCs w:val="20"/>
                <w:lang w:eastAsia="en-AU"/>
              </w:rPr>
              <w:t xml:space="preserve">ride flags in hospital foyers and other public spaces, </w:t>
            </w:r>
            <w:r w:rsidRPr="00826D77">
              <w:rPr>
                <w:sz w:val="20"/>
                <w:szCs w:val="20"/>
                <w:lang w:eastAsia="en-AU"/>
              </w:rPr>
              <w:lastRenderedPageBreak/>
              <w:t>promoting, and supporting Quality Innovation Performance Rainbow Tick Accreditation for departments in the NT Public Service, as well as the implementation of the silver Rainbow Program for NT Aged Care Services.</w:t>
            </w:r>
          </w:p>
        </w:tc>
      </w:tr>
      <w:tr w:rsidR="004D4C76" w:rsidRPr="00D33B63" w14:paraId="28330779" w14:textId="77777777" w:rsidTr="00595E32">
        <w:tblPrEx>
          <w:tblLook w:val="04A0" w:firstRow="1" w:lastRow="0" w:firstColumn="1" w:lastColumn="0" w:noHBand="0" w:noVBand="1"/>
        </w:tblPrEx>
        <w:trPr>
          <w:trHeight w:val="422"/>
        </w:trPr>
        <w:tc>
          <w:tcPr>
            <w:tcW w:w="2268" w:type="dxa"/>
            <w:shd w:val="clear" w:color="auto" w:fill="072575" w:themeFill="accent1" w:themeFillShade="80"/>
          </w:tcPr>
          <w:p w14:paraId="3F434198" w14:textId="0DA0DDC2" w:rsidR="004D4C76" w:rsidRPr="00595E32" w:rsidRDefault="009F0A07" w:rsidP="00595E32">
            <w:r w:rsidRPr="00595E32">
              <w:lastRenderedPageBreak/>
              <w:t>State / Territory</w:t>
            </w:r>
          </w:p>
        </w:tc>
        <w:tc>
          <w:tcPr>
            <w:tcW w:w="7088" w:type="dxa"/>
            <w:shd w:val="clear" w:color="auto" w:fill="072575" w:themeFill="accent1" w:themeFillShade="80"/>
          </w:tcPr>
          <w:p w14:paraId="2F068542" w14:textId="5083DAAF" w:rsidR="004D4C76" w:rsidRPr="00D33B63" w:rsidRDefault="009F0A07" w:rsidP="009B5971">
            <w:pPr>
              <w:pStyle w:val="TableText"/>
              <w:spacing w:before="0" w:after="0"/>
              <w:jc w:val="center"/>
              <w:rPr>
                <w:b/>
                <w:bCs/>
                <w:sz w:val="20"/>
                <w:szCs w:val="20"/>
                <w:lang w:eastAsia="en-AU"/>
              </w:rPr>
            </w:pPr>
            <w:r>
              <w:rPr>
                <w:b/>
                <w:bCs/>
                <w:sz w:val="20"/>
                <w:szCs w:val="20"/>
                <w:lang w:eastAsia="en-AU"/>
              </w:rPr>
              <w:t>New South Wales</w:t>
            </w:r>
          </w:p>
        </w:tc>
      </w:tr>
      <w:tr w:rsidR="00ED69CC" w:rsidRPr="00340715" w14:paraId="41CC19D0" w14:textId="77777777" w:rsidTr="00595E32">
        <w:tblPrEx>
          <w:tblLook w:val="04A0" w:firstRow="1" w:lastRow="0" w:firstColumn="1" w:lastColumn="0" w:noHBand="0" w:noVBand="1"/>
        </w:tblPrEx>
        <w:trPr>
          <w:trHeight w:val="747"/>
        </w:trPr>
        <w:tc>
          <w:tcPr>
            <w:tcW w:w="2268" w:type="dxa"/>
          </w:tcPr>
          <w:p w14:paraId="48B28645" w14:textId="77777777" w:rsidR="00ED69CC" w:rsidRPr="00595E32" w:rsidRDefault="00ED69CC" w:rsidP="00595E32">
            <w:hyperlink r:id="rId183" w:history="1">
              <w:r w:rsidRPr="00595E32">
                <w:rPr>
                  <w:rStyle w:val="Hyperlink"/>
                </w:rPr>
                <w:t>NSW-Commonwealth Bilateral Mental Health Agreement</w:t>
              </w:r>
            </w:hyperlink>
          </w:p>
        </w:tc>
        <w:tc>
          <w:tcPr>
            <w:tcW w:w="7088" w:type="dxa"/>
          </w:tcPr>
          <w:p w14:paraId="03D5F2B1" w14:textId="77777777" w:rsidR="00ED69CC" w:rsidRPr="00AF616C" w:rsidRDefault="00ED69CC" w:rsidP="009B5971">
            <w:pPr>
              <w:pStyle w:val="TableText"/>
              <w:spacing w:beforeLines="120" w:before="288" w:afterLines="120" w:after="288"/>
              <w:rPr>
                <w:sz w:val="20"/>
                <w:szCs w:val="20"/>
                <w:lang w:eastAsia="en-AU"/>
              </w:rPr>
            </w:pPr>
            <w:r>
              <w:rPr>
                <w:sz w:val="20"/>
                <w:szCs w:val="20"/>
                <w:lang w:eastAsia="en-AU"/>
              </w:rPr>
              <w:t>Following the signing of a bilateral agreement between the Commonwealth and New South Wales governments in 2022, more than $383 million will be invested into mental health and suicide prevention support and services. This includes $106 million for headspace to expand and enhance services, $121 million to establish universal aftercare services, and $84 million to establish 14 adult new Head to Health treatment centres.</w:t>
            </w:r>
          </w:p>
        </w:tc>
      </w:tr>
      <w:tr w:rsidR="00E02696" w:rsidRPr="00D33B63" w14:paraId="6CC3558C" w14:textId="77777777" w:rsidTr="00595E32">
        <w:tblPrEx>
          <w:tblLook w:val="04A0" w:firstRow="1" w:lastRow="0" w:firstColumn="1" w:lastColumn="0" w:noHBand="0" w:noVBand="1"/>
        </w:tblPrEx>
        <w:trPr>
          <w:trHeight w:val="422"/>
        </w:trPr>
        <w:tc>
          <w:tcPr>
            <w:tcW w:w="2268" w:type="dxa"/>
            <w:shd w:val="clear" w:color="auto" w:fill="072575" w:themeFill="accent1" w:themeFillShade="80"/>
          </w:tcPr>
          <w:p w14:paraId="3B445D4D" w14:textId="00027072" w:rsidR="00E02696" w:rsidRPr="00D33B63" w:rsidRDefault="00E02696" w:rsidP="009B5971">
            <w:pPr>
              <w:pStyle w:val="TableText"/>
              <w:spacing w:before="0" w:after="0"/>
              <w:jc w:val="center"/>
              <w:rPr>
                <w:b/>
                <w:bCs/>
                <w:sz w:val="20"/>
                <w:szCs w:val="20"/>
                <w:lang w:eastAsia="en-AU"/>
              </w:rPr>
            </w:pPr>
            <w:r>
              <w:rPr>
                <w:b/>
                <w:bCs/>
                <w:sz w:val="20"/>
                <w:szCs w:val="20"/>
                <w:lang w:eastAsia="en-AU"/>
              </w:rPr>
              <w:t>State / Territory</w:t>
            </w:r>
          </w:p>
        </w:tc>
        <w:tc>
          <w:tcPr>
            <w:tcW w:w="7088" w:type="dxa"/>
            <w:shd w:val="clear" w:color="auto" w:fill="072575" w:themeFill="accent1" w:themeFillShade="80"/>
          </w:tcPr>
          <w:p w14:paraId="0D32B12A" w14:textId="69BF32D3" w:rsidR="00E02696" w:rsidRPr="00D33B63" w:rsidRDefault="00E02696" w:rsidP="009B5971">
            <w:pPr>
              <w:pStyle w:val="TableText"/>
              <w:spacing w:before="0" w:after="0"/>
              <w:jc w:val="center"/>
              <w:rPr>
                <w:b/>
                <w:bCs/>
                <w:sz w:val="20"/>
                <w:szCs w:val="20"/>
                <w:lang w:eastAsia="en-AU"/>
              </w:rPr>
            </w:pPr>
            <w:r>
              <w:rPr>
                <w:b/>
                <w:bCs/>
                <w:sz w:val="20"/>
                <w:szCs w:val="20"/>
                <w:lang w:eastAsia="en-AU"/>
              </w:rPr>
              <w:t>Queensland</w:t>
            </w:r>
          </w:p>
        </w:tc>
      </w:tr>
      <w:tr w:rsidR="00ED69CC" w:rsidRPr="00340715" w14:paraId="752C80B4" w14:textId="77777777" w:rsidTr="00595E32">
        <w:tblPrEx>
          <w:tblLook w:val="04A0" w:firstRow="1" w:lastRow="0" w:firstColumn="1" w:lastColumn="0" w:noHBand="0" w:noVBand="1"/>
        </w:tblPrEx>
        <w:trPr>
          <w:trHeight w:val="747"/>
        </w:trPr>
        <w:tc>
          <w:tcPr>
            <w:tcW w:w="2268" w:type="dxa"/>
          </w:tcPr>
          <w:p w14:paraId="1CB5CC08" w14:textId="77777777" w:rsidR="00ED69CC" w:rsidRPr="00595E32" w:rsidRDefault="00ED69CC" w:rsidP="00595E32">
            <w:hyperlink r:id="rId184" w:history="1">
              <w:r w:rsidRPr="00595E32">
                <w:rPr>
                  <w:rStyle w:val="Hyperlink"/>
                </w:rPr>
                <w:t>Qld-Commonwealth Bilateral Mental Health Agreement</w:t>
              </w:r>
            </w:hyperlink>
          </w:p>
        </w:tc>
        <w:tc>
          <w:tcPr>
            <w:tcW w:w="7088" w:type="dxa"/>
          </w:tcPr>
          <w:p w14:paraId="0560FF3D" w14:textId="77777777" w:rsidR="00ED69CC" w:rsidRPr="00B12544" w:rsidRDefault="00ED69CC" w:rsidP="009B5971">
            <w:pPr>
              <w:pStyle w:val="TableText"/>
              <w:spacing w:beforeLines="120" w:before="288" w:afterLines="120" w:after="288"/>
              <w:rPr>
                <w:sz w:val="20"/>
                <w:szCs w:val="20"/>
                <w:lang w:eastAsia="en-AU"/>
              </w:rPr>
            </w:pPr>
            <w:r>
              <w:rPr>
                <w:sz w:val="20"/>
                <w:szCs w:val="20"/>
                <w:lang w:eastAsia="en-AU"/>
              </w:rPr>
              <w:t>Following the signing of a bilateral agreement between the Commonwealth and Queensland governments in 2022, more than $260 million will be invested into mental health and suicide prevention support and services. This includes $50 million for five new Head to Health adult mental health clinics with seven satellites, $78 million to expand universal aftercare services, and $21 million for two new Head to Health Kids Hub.</w:t>
            </w:r>
          </w:p>
        </w:tc>
      </w:tr>
      <w:tr w:rsidR="00ED69CC" w:rsidRPr="00340715" w14:paraId="235C3915" w14:textId="77777777" w:rsidTr="00595E32">
        <w:tblPrEx>
          <w:tblLook w:val="04A0" w:firstRow="1" w:lastRow="0" w:firstColumn="1" w:lastColumn="0" w:noHBand="0" w:noVBand="1"/>
        </w:tblPrEx>
        <w:trPr>
          <w:trHeight w:val="747"/>
        </w:trPr>
        <w:tc>
          <w:tcPr>
            <w:tcW w:w="2268" w:type="dxa"/>
          </w:tcPr>
          <w:p w14:paraId="47526669" w14:textId="3D40A2AC" w:rsidR="00ED69CC" w:rsidRPr="00595E32" w:rsidRDefault="00ED69CC" w:rsidP="00595E32">
            <w:hyperlink r:id="rId185" w:history="1">
              <w:r w:rsidRPr="00595E32">
                <w:rPr>
                  <w:rStyle w:val="Hyperlink"/>
                </w:rPr>
                <w:t>Shifting Minds</w:t>
              </w:r>
            </w:hyperlink>
            <w:hyperlink r:id="rId186" w:history="1">
              <w:r w:rsidRPr="00595E32">
                <w:rPr>
                  <w:rStyle w:val="Hyperlink"/>
                </w:rPr>
                <w:t>Every Life</w:t>
              </w:r>
            </w:hyperlink>
          </w:p>
        </w:tc>
        <w:tc>
          <w:tcPr>
            <w:tcW w:w="7088" w:type="dxa"/>
          </w:tcPr>
          <w:p w14:paraId="3F2FAF13" w14:textId="77777777" w:rsidR="00ED69CC" w:rsidRPr="00F8245B" w:rsidRDefault="00ED69CC" w:rsidP="009B5971">
            <w:pPr>
              <w:pStyle w:val="TableText"/>
              <w:spacing w:beforeLines="120" w:before="288" w:afterLines="120" w:after="288"/>
              <w:rPr>
                <w:sz w:val="20"/>
                <w:szCs w:val="20"/>
                <w:lang w:eastAsia="en-AU"/>
              </w:rPr>
            </w:pPr>
            <w:r w:rsidRPr="00B12544">
              <w:rPr>
                <w:sz w:val="20"/>
                <w:szCs w:val="20"/>
                <w:lang w:eastAsia="en-AU"/>
              </w:rPr>
              <w:t>The Shifting Minds plan funded by the Queensland Mental Health Commission aims to increase early intervention responses to address diverse needs and experiences. Another objective for LGBTIQ+ individuals is to build inclusive, resilient, and mentally healthy communities.</w:t>
            </w:r>
          </w:p>
        </w:tc>
      </w:tr>
      <w:tr w:rsidR="00ED69CC" w:rsidRPr="00340715" w14:paraId="53B0160B" w14:textId="77777777" w:rsidTr="00595E32">
        <w:tblPrEx>
          <w:tblLook w:val="04A0" w:firstRow="1" w:lastRow="0" w:firstColumn="1" w:lastColumn="0" w:noHBand="0" w:noVBand="1"/>
        </w:tblPrEx>
        <w:trPr>
          <w:trHeight w:val="747"/>
        </w:trPr>
        <w:tc>
          <w:tcPr>
            <w:tcW w:w="2268" w:type="dxa"/>
          </w:tcPr>
          <w:p w14:paraId="2406918E" w14:textId="77777777" w:rsidR="00ED69CC" w:rsidRPr="00595E32" w:rsidRDefault="00ED69CC" w:rsidP="00595E32">
            <w:hyperlink r:id="rId187" w:history="1">
              <w:r w:rsidRPr="00595E32">
                <w:rPr>
                  <w:rStyle w:val="Hyperlink"/>
                </w:rPr>
                <w:t>Queensland public sector LGBTIQ+ inclusion strategy 2017-2022</w:t>
              </w:r>
            </w:hyperlink>
          </w:p>
        </w:tc>
        <w:tc>
          <w:tcPr>
            <w:tcW w:w="7088" w:type="dxa"/>
          </w:tcPr>
          <w:p w14:paraId="2B0AAD88" w14:textId="76EF9625" w:rsidR="00ED69CC" w:rsidRPr="00F8245B" w:rsidRDefault="00ED69CC" w:rsidP="009B5971">
            <w:pPr>
              <w:pStyle w:val="TableText"/>
              <w:spacing w:beforeLines="120" w:before="288" w:afterLines="120" w:after="288"/>
              <w:rPr>
                <w:sz w:val="20"/>
                <w:szCs w:val="20"/>
                <w:lang w:eastAsia="en-AU"/>
              </w:rPr>
            </w:pPr>
            <w:r w:rsidRPr="00C45E20">
              <w:rPr>
                <w:sz w:val="20"/>
                <w:szCs w:val="20"/>
                <w:lang w:eastAsia="en-AU"/>
              </w:rPr>
              <w:t xml:space="preserve">A 5-year </w:t>
            </w:r>
            <w:r w:rsidR="00CE7C6E">
              <w:rPr>
                <w:sz w:val="20"/>
                <w:szCs w:val="20"/>
                <w:lang w:eastAsia="en-AU"/>
              </w:rPr>
              <w:t>LGBT</w:t>
            </w:r>
            <w:r w:rsidR="00295412">
              <w:rPr>
                <w:sz w:val="20"/>
                <w:szCs w:val="20"/>
                <w:lang w:eastAsia="en-AU"/>
              </w:rPr>
              <w:t xml:space="preserve">IQ+ </w:t>
            </w:r>
            <w:r w:rsidRPr="00C45E20">
              <w:rPr>
                <w:sz w:val="20"/>
                <w:szCs w:val="20"/>
                <w:lang w:eastAsia="en-AU"/>
              </w:rPr>
              <w:t>strategy funded by the Queensland Department of Health</w:t>
            </w:r>
            <w:r w:rsidR="00EC2AE2">
              <w:rPr>
                <w:sz w:val="20"/>
                <w:szCs w:val="20"/>
                <w:lang w:eastAsia="en-AU"/>
              </w:rPr>
              <w:t>,</w:t>
            </w:r>
            <w:r w:rsidRPr="00C45E20">
              <w:rPr>
                <w:sz w:val="20"/>
                <w:szCs w:val="20"/>
                <w:lang w:eastAsia="en-AU"/>
              </w:rPr>
              <w:t xml:space="preserve"> focused on building the capability of allies, leaders, and the broader workforce so they can actively champion inclusion, provide supportive workplace cultures as well as implement inclusive policy and practice.</w:t>
            </w:r>
          </w:p>
        </w:tc>
      </w:tr>
      <w:tr w:rsidR="00A12EB6" w:rsidRPr="00D33B63" w14:paraId="36A1E2B7" w14:textId="77777777" w:rsidTr="00595E32">
        <w:tblPrEx>
          <w:tblLook w:val="04A0" w:firstRow="1" w:lastRow="0" w:firstColumn="1" w:lastColumn="0" w:noHBand="0" w:noVBand="1"/>
        </w:tblPrEx>
        <w:trPr>
          <w:trHeight w:val="422"/>
        </w:trPr>
        <w:tc>
          <w:tcPr>
            <w:tcW w:w="2268" w:type="dxa"/>
            <w:shd w:val="clear" w:color="auto" w:fill="072575" w:themeFill="accent1" w:themeFillShade="80"/>
          </w:tcPr>
          <w:p w14:paraId="54FEAD20" w14:textId="1F3460D0" w:rsidR="00A12EB6" w:rsidRPr="00D33B63" w:rsidRDefault="00A12EB6" w:rsidP="009B5971">
            <w:pPr>
              <w:pStyle w:val="TableText"/>
              <w:spacing w:before="0" w:after="0"/>
              <w:jc w:val="center"/>
              <w:rPr>
                <w:b/>
                <w:bCs/>
                <w:sz w:val="20"/>
                <w:szCs w:val="20"/>
                <w:lang w:eastAsia="en-AU"/>
              </w:rPr>
            </w:pPr>
            <w:r>
              <w:rPr>
                <w:b/>
                <w:bCs/>
                <w:sz w:val="20"/>
                <w:szCs w:val="20"/>
                <w:lang w:eastAsia="en-AU"/>
              </w:rPr>
              <w:t>State / Territory</w:t>
            </w:r>
          </w:p>
        </w:tc>
        <w:tc>
          <w:tcPr>
            <w:tcW w:w="7088" w:type="dxa"/>
            <w:shd w:val="clear" w:color="auto" w:fill="072575" w:themeFill="accent1" w:themeFillShade="80"/>
          </w:tcPr>
          <w:p w14:paraId="254A8375" w14:textId="6CFCB039" w:rsidR="00A12EB6" w:rsidRPr="00D33B63" w:rsidRDefault="00A12EB6" w:rsidP="009B5971">
            <w:pPr>
              <w:pStyle w:val="TableText"/>
              <w:spacing w:before="0" w:after="0"/>
              <w:jc w:val="center"/>
              <w:rPr>
                <w:b/>
                <w:bCs/>
                <w:sz w:val="20"/>
                <w:szCs w:val="20"/>
                <w:lang w:eastAsia="en-AU"/>
              </w:rPr>
            </w:pPr>
            <w:r>
              <w:rPr>
                <w:b/>
                <w:bCs/>
                <w:sz w:val="20"/>
                <w:szCs w:val="20"/>
                <w:lang w:eastAsia="en-AU"/>
              </w:rPr>
              <w:t>South Australia</w:t>
            </w:r>
          </w:p>
        </w:tc>
      </w:tr>
      <w:tr w:rsidR="00ED69CC" w:rsidRPr="00340715" w14:paraId="31A53D29" w14:textId="77777777" w:rsidTr="00595E32">
        <w:tblPrEx>
          <w:tblLook w:val="04A0" w:firstRow="1" w:lastRow="0" w:firstColumn="1" w:lastColumn="0" w:noHBand="0" w:noVBand="1"/>
        </w:tblPrEx>
        <w:trPr>
          <w:trHeight w:val="747"/>
        </w:trPr>
        <w:tc>
          <w:tcPr>
            <w:tcW w:w="2268" w:type="dxa"/>
          </w:tcPr>
          <w:p w14:paraId="7B835DB2" w14:textId="77777777" w:rsidR="00ED69CC" w:rsidRPr="00595E32" w:rsidRDefault="00ED69CC" w:rsidP="00595E32">
            <w:hyperlink r:id="rId188" w:history="1">
              <w:r w:rsidRPr="00595E32">
                <w:rPr>
                  <w:rStyle w:val="Hyperlink"/>
                </w:rPr>
                <w:t>SA-Commonwealth Bilateral Mental Health Agreement</w:t>
              </w:r>
            </w:hyperlink>
          </w:p>
        </w:tc>
        <w:tc>
          <w:tcPr>
            <w:tcW w:w="7088" w:type="dxa"/>
          </w:tcPr>
          <w:p w14:paraId="79AE5FFC" w14:textId="77777777" w:rsidR="00ED69CC" w:rsidRPr="00BE63D0" w:rsidRDefault="00ED69CC" w:rsidP="009B5971">
            <w:pPr>
              <w:pStyle w:val="TableText"/>
              <w:spacing w:beforeLines="120" w:before="288" w:afterLines="120" w:after="288"/>
              <w:rPr>
                <w:sz w:val="20"/>
                <w:szCs w:val="20"/>
                <w:lang w:eastAsia="en-AU"/>
              </w:rPr>
            </w:pPr>
            <w:r>
              <w:rPr>
                <w:sz w:val="20"/>
                <w:szCs w:val="20"/>
                <w:lang w:eastAsia="en-AU"/>
              </w:rPr>
              <w:t>Following the signing of a bilateral agreement between the Commonwealth and South Australian governments in 2022, more than $127 million will be invested into mental health and suicide prevention support and services. This includes $101 million for a network of new Head to Health adult mental health centres with two additional satellites, $15 million to establish one new headspace centre, and $10 million to establish a new Aboriginal Mental Health and Wellbeing Centre.</w:t>
            </w:r>
          </w:p>
        </w:tc>
      </w:tr>
      <w:tr w:rsidR="00ED69CC" w:rsidRPr="00340715" w14:paraId="060BED4A" w14:textId="77777777" w:rsidTr="00595E32">
        <w:tblPrEx>
          <w:tblLook w:val="04A0" w:firstRow="1" w:lastRow="0" w:firstColumn="1" w:lastColumn="0" w:noHBand="0" w:noVBand="1"/>
        </w:tblPrEx>
        <w:trPr>
          <w:trHeight w:val="747"/>
        </w:trPr>
        <w:tc>
          <w:tcPr>
            <w:tcW w:w="2268" w:type="dxa"/>
          </w:tcPr>
          <w:p w14:paraId="2B28160D" w14:textId="77777777" w:rsidR="00ED69CC" w:rsidRPr="00595E32" w:rsidRDefault="00ED69CC" w:rsidP="00595E32">
            <w:hyperlink r:id="rId189" w:history="1">
              <w:r w:rsidRPr="00595E32">
                <w:rPr>
                  <w:rStyle w:val="Hyperlink"/>
                </w:rPr>
                <w:t>Mental Health Services Plan 2020-2025</w:t>
              </w:r>
            </w:hyperlink>
          </w:p>
        </w:tc>
        <w:tc>
          <w:tcPr>
            <w:tcW w:w="7088" w:type="dxa"/>
          </w:tcPr>
          <w:p w14:paraId="3BE2C77D" w14:textId="77777777" w:rsidR="00ED69CC" w:rsidRPr="00F8245B" w:rsidRDefault="00ED69CC" w:rsidP="009B5971">
            <w:pPr>
              <w:pStyle w:val="TableText"/>
              <w:spacing w:beforeLines="120" w:before="288" w:afterLines="120" w:after="288"/>
              <w:rPr>
                <w:sz w:val="20"/>
                <w:szCs w:val="20"/>
                <w:lang w:eastAsia="en-AU"/>
              </w:rPr>
            </w:pPr>
            <w:r w:rsidRPr="00BE63D0">
              <w:rPr>
                <w:sz w:val="20"/>
                <w:szCs w:val="20"/>
                <w:lang w:eastAsia="en-AU"/>
              </w:rPr>
              <w:t>A 5-year plan funded by the SA Department of Health promoting fairness, inclusion, tolerance, and equity in all interactions, to be achieved through an anti-stigma campaign targeting stigma and discrimination experienced by LGBTIQ+ people facing inequalities.</w:t>
            </w:r>
          </w:p>
        </w:tc>
      </w:tr>
      <w:tr w:rsidR="00A12EB6" w:rsidRPr="00D33B63" w14:paraId="5D52D819" w14:textId="77777777" w:rsidTr="00595E32">
        <w:tblPrEx>
          <w:tblLook w:val="04A0" w:firstRow="1" w:lastRow="0" w:firstColumn="1" w:lastColumn="0" w:noHBand="0" w:noVBand="1"/>
        </w:tblPrEx>
        <w:trPr>
          <w:trHeight w:val="422"/>
        </w:trPr>
        <w:tc>
          <w:tcPr>
            <w:tcW w:w="2268" w:type="dxa"/>
            <w:shd w:val="clear" w:color="auto" w:fill="072575" w:themeFill="accent1" w:themeFillShade="80"/>
          </w:tcPr>
          <w:p w14:paraId="6F109618" w14:textId="61DDEE2D" w:rsidR="00A12EB6" w:rsidRPr="00D33B63" w:rsidRDefault="00A12EB6" w:rsidP="009B5971">
            <w:pPr>
              <w:pStyle w:val="TableText"/>
              <w:spacing w:before="0" w:after="0"/>
              <w:jc w:val="center"/>
              <w:rPr>
                <w:b/>
                <w:bCs/>
                <w:sz w:val="20"/>
                <w:szCs w:val="20"/>
                <w:lang w:eastAsia="en-AU"/>
              </w:rPr>
            </w:pPr>
            <w:r>
              <w:rPr>
                <w:b/>
                <w:bCs/>
                <w:sz w:val="20"/>
                <w:szCs w:val="20"/>
                <w:lang w:eastAsia="en-AU"/>
              </w:rPr>
              <w:t>State / Territory</w:t>
            </w:r>
          </w:p>
        </w:tc>
        <w:tc>
          <w:tcPr>
            <w:tcW w:w="7088" w:type="dxa"/>
            <w:shd w:val="clear" w:color="auto" w:fill="072575" w:themeFill="accent1" w:themeFillShade="80"/>
          </w:tcPr>
          <w:p w14:paraId="129AF26C" w14:textId="68FB1A92" w:rsidR="00A12EB6" w:rsidRPr="00D33B63" w:rsidRDefault="00A12EB6" w:rsidP="009B5971">
            <w:pPr>
              <w:pStyle w:val="TableText"/>
              <w:spacing w:before="0" w:after="0"/>
              <w:jc w:val="center"/>
              <w:rPr>
                <w:b/>
                <w:bCs/>
                <w:sz w:val="20"/>
                <w:szCs w:val="20"/>
                <w:lang w:eastAsia="en-AU"/>
              </w:rPr>
            </w:pPr>
            <w:r>
              <w:rPr>
                <w:b/>
                <w:bCs/>
                <w:sz w:val="20"/>
                <w:szCs w:val="20"/>
                <w:lang w:eastAsia="en-AU"/>
              </w:rPr>
              <w:t>Tasmania</w:t>
            </w:r>
          </w:p>
        </w:tc>
      </w:tr>
      <w:tr w:rsidR="00ED69CC" w:rsidRPr="00340715" w14:paraId="100B09FB" w14:textId="77777777" w:rsidTr="00595E32">
        <w:tblPrEx>
          <w:tblLook w:val="04A0" w:firstRow="1" w:lastRow="0" w:firstColumn="1" w:lastColumn="0" w:noHBand="0" w:noVBand="1"/>
        </w:tblPrEx>
        <w:trPr>
          <w:trHeight w:val="747"/>
        </w:trPr>
        <w:tc>
          <w:tcPr>
            <w:tcW w:w="2268" w:type="dxa"/>
          </w:tcPr>
          <w:p w14:paraId="4E392022" w14:textId="77777777" w:rsidR="00ED69CC" w:rsidRPr="00595E32" w:rsidRDefault="00ED69CC" w:rsidP="00595E32">
            <w:hyperlink r:id="rId190" w:history="1">
              <w:r w:rsidRPr="00595E32">
                <w:rPr>
                  <w:rStyle w:val="Hyperlink"/>
                </w:rPr>
                <w:t>TAS-Commonwealth Bilateral Mental Health Agreement</w:t>
              </w:r>
            </w:hyperlink>
          </w:p>
        </w:tc>
        <w:tc>
          <w:tcPr>
            <w:tcW w:w="7088" w:type="dxa"/>
          </w:tcPr>
          <w:p w14:paraId="00928528" w14:textId="77777777" w:rsidR="00ED69CC" w:rsidRPr="00762B33" w:rsidRDefault="00ED69CC" w:rsidP="009B5971">
            <w:pPr>
              <w:pStyle w:val="TableText"/>
              <w:spacing w:beforeLines="120" w:before="288" w:afterLines="120" w:after="288"/>
              <w:rPr>
                <w:sz w:val="20"/>
                <w:szCs w:val="20"/>
                <w:lang w:eastAsia="en-AU"/>
              </w:rPr>
            </w:pPr>
            <w:r w:rsidRPr="001B7D41">
              <w:rPr>
                <w:sz w:val="20"/>
                <w:szCs w:val="20"/>
                <w:lang w:eastAsia="en-AU"/>
              </w:rPr>
              <w:t xml:space="preserve">Following the signing of a bilateral agreement between the Commonwealth and </w:t>
            </w:r>
            <w:r>
              <w:rPr>
                <w:sz w:val="20"/>
                <w:szCs w:val="20"/>
                <w:lang w:eastAsia="en-AU"/>
              </w:rPr>
              <w:t>Tasmanian</w:t>
            </w:r>
            <w:r w:rsidRPr="001B7D41">
              <w:rPr>
                <w:sz w:val="20"/>
                <w:szCs w:val="20"/>
                <w:lang w:eastAsia="en-AU"/>
              </w:rPr>
              <w:t xml:space="preserve"> governments in 2022, more than $</w:t>
            </w:r>
            <w:r>
              <w:rPr>
                <w:sz w:val="20"/>
                <w:szCs w:val="20"/>
                <w:lang w:eastAsia="en-AU"/>
              </w:rPr>
              <w:t>55</w:t>
            </w:r>
            <w:r w:rsidRPr="001B7D41">
              <w:rPr>
                <w:sz w:val="20"/>
                <w:szCs w:val="20"/>
                <w:lang w:eastAsia="en-AU"/>
              </w:rPr>
              <w:t xml:space="preserve"> million will be invested into mental health and suicide prevention support and services. This includes $</w:t>
            </w:r>
            <w:r>
              <w:rPr>
                <w:sz w:val="20"/>
                <w:szCs w:val="20"/>
                <w:lang w:eastAsia="en-AU"/>
              </w:rPr>
              <w:t>24</w:t>
            </w:r>
            <w:r w:rsidRPr="001B7D41">
              <w:rPr>
                <w:sz w:val="20"/>
                <w:szCs w:val="20"/>
                <w:lang w:eastAsia="en-AU"/>
              </w:rPr>
              <w:t xml:space="preserve"> million for new Head to Health adult mental health </w:t>
            </w:r>
            <w:r>
              <w:rPr>
                <w:sz w:val="20"/>
                <w:szCs w:val="20"/>
                <w:lang w:eastAsia="en-AU"/>
              </w:rPr>
              <w:t>clinics</w:t>
            </w:r>
            <w:r w:rsidRPr="001B7D41">
              <w:rPr>
                <w:sz w:val="20"/>
                <w:szCs w:val="20"/>
                <w:lang w:eastAsia="en-AU"/>
              </w:rPr>
              <w:t xml:space="preserve"> with </w:t>
            </w:r>
            <w:r>
              <w:rPr>
                <w:sz w:val="20"/>
                <w:szCs w:val="20"/>
                <w:lang w:eastAsia="en-AU"/>
              </w:rPr>
              <w:t>three satellites</w:t>
            </w:r>
            <w:r w:rsidRPr="001B7D41">
              <w:rPr>
                <w:sz w:val="20"/>
                <w:szCs w:val="20"/>
                <w:lang w:eastAsia="en-AU"/>
              </w:rPr>
              <w:t>, $</w:t>
            </w:r>
            <w:r>
              <w:rPr>
                <w:sz w:val="20"/>
                <w:szCs w:val="20"/>
                <w:lang w:eastAsia="en-AU"/>
              </w:rPr>
              <w:t>4</w:t>
            </w:r>
            <w:r w:rsidRPr="001B7D41">
              <w:rPr>
                <w:sz w:val="20"/>
                <w:szCs w:val="20"/>
                <w:lang w:eastAsia="en-AU"/>
              </w:rPr>
              <w:t xml:space="preserve"> million to establish </w:t>
            </w:r>
            <w:r>
              <w:rPr>
                <w:sz w:val="20"/>
                <w:szCs w:val="20"/>
                <w:lang w:eastAsia="en-AU"/>
              </w:rPr>
              <w:t>a</w:t>
            </w:r>
            <w:r w:rsidRPr="001B7D41">
              <w:rPr>
                <w:sz w:val="20"/>
                <w:szCs w:val="20"/>
                <w:lang w:eastAsia="en-AU"/>
              </w:rPr>
              <w:t xml:space="preserve"> new headspace centre, and $</w:t>
            </w:r>
            <w:r>
              <w:rPr>
                <w:sz w:val="20"/>
                <w:szCs w:val="20"/>
                <w:lang w:eastAsia="en-AU"/>
              </w:rPr>
              <w:t>5 million for universal aftercare services to support individuals discharged from hospitals following a suicide attempt</w:t>
            </w:r>
            <w:r w:rsidRPr="001B7D41">
              <w:rPr>
                <w:sz w:val="20"/>
                <w:szCs w:val="20"/>
                <w:lang w:eastAsia="en-AU"/>
              </w:rPr>
              <w:t>.</w:t>
            </w:r>
          </w:p>
        </w:tc>
      </w:tr>
      <w:tr w:rsidR="00ED69CC" w:rsidRPr="00340715" w14:paraId="43347746" w14:textId="77777777" w:rsidTr="00595E32">
        <w:tblPrEx>
          <w:tblLook w:val="04A0" w:firstRow="1" w:lastRow="0" w:firstColumn="1" w:lastColumn="0" w:noHBand="0" w:noVBand="1"/>
        </w:tblPrEx>
        <w:trPr>
          <w:trHeight w:val="747"/>
        </w:trPr>
        <w:tc>
          <w:tcPr>
            <w:tcW w:w="2268" w:type="dxa"/>
          </w:tcPr>
          <w:p w14:paraId="128A8960" w14:textId="77777777" w:rsidR="00ED69CC" w:rsidRPr="00595E32" w:rsidRDefault="00ED69CC" w:rsidP="00595E32">
            <w:hyperlink r:id="rId191" w:history="1">
              <w:r w:rsidRPr="00595E32">
                <w:rPr>
                  <w:rStyle w:val="Hyperlink"/>
                </w:rPr>
                <w:t>Whole of Government Framework for LGBTI Tasmanians</w:t>
              </w:r>
            </w:hyperlink>
          </w:p>
        </w:tc>
        <w:tc>
          <w:tcPr>
            <w:tcW w:w="7088" w:type="dxa"/>
          </w:tcPr>
          <w:p w14:paraId="67C4E6C6" w14:textId="471B213F" w:rsidR="00ED69CC" w:rsidRPr="00762B33" w:rsidRDefault="00ED69CC" w:rsidP="009B5971">
            <w:pPr>
              <w:pStyle w:val="TableText"/>
              <w:spacing w:beforeLines="120" w:before="288" w:afterLines="120" w:after="288"/>
              <w:rPr>
                <w:sz w:val="20"/>
                <w:szCs w:val="20"/>
                <w:lang w:eastAsia="en-AU"/>
              </w:rPr>
            </w:pPr>
            <w:r w:rsidRPr="00762B33">
              <w:rPr>
                <w:sz w:val="20"/>
                <w:szCs w:val="20"/>
                <w:lang w:eastAsia="en-AU"/>
              </w:rPr>
              <w:t xml:space="preserve">Under this framework, LGBTI Tasmanians are provided with equal </w:t>
            </w:r>
            <w:r w:rsidR="00EC2AE2">
              <w:rPr>
                <w:sz w:val="20"/>
                <w:szCs w:val="20"/>
                <w:lang w:eastAsia="en-AU"/>
              </w:rPr>
              <w:t>access</w:t>
            </w:r>
            <w:r w:rsidRPr="00762B33">
              <w:rPr>
                <w:sz w:val="20"/>
                <w:szCs w:val="20"/>
                <w:lang w:eastAsia="en-AU"/>
              </w:rPr>
              <w:t xml:space="preserve"> to government programs and services and are treated with dignity and respect. Some principles include:</w:t>
            </w:r>
          </w:p>
          <w:p w14:paraId="07D639A6" w14:textId="77777777" w:rsidR="00ED69CC" w:rsidRPr="00F6090E" w:rsidRDefault="00ED69CC" w:rsidP="009B5971">
            <w:pPr>
              <w:pStyle w:val="ListBullet0"/>
              <w:rPr>
                <w:sz w:val="20"/>
                <w:szCs w:val="22"/>
              </w:rPr>
            </w:pPr>
            <w:r w:rsidRPr="00F6090E">
              <w:rPr>
                <w:sz w:val="20"/>
                <w:szCs w:val="22"/>
              </w:rPr>
              <w:t>Diverse characteristics and experiences are both recognised and respected.</w:t>
            </w:r>
          </w:p>
          <w:p w14:paraId="406E4CE7" w14:textId="77777777" w:rsidR="00ED69CC" w:rsidRPr="00F6090E" w:rsidRDefault="00ED69CC" w:rsidP="009B5971">
            <w:pPr>
              <w:pStyle w:val="ListBullet0"/>
              <w:rPr>
                <w:sz w:val="20"/>
                <w:szCs w:val="22"/>
              </w:rPr>
            </w:pPr>
            <w:r w:rsidRPr="00F6090E">
              <w:rPr>
                <w:sz w:val="20"/>
                <w:szCs w:val="22"/>
              </w:rPr>
              <w:t>All Tasmanians have equal rights to access government services and be involved in their design and delivery.</w:t>
            </w:r>
          </w:p>
          <w:p w14:paraId="62890B37" w14:textId="77777777" w:rsidR="00ED69CC" w:rsidRPr="00F6090E" w:rsidRDefault="00ED69CC" w:rsidP="009B5971">
            <w:pPr>
              <w:pStyle w:val="ListBullet0"/>
              <w:rPr>
                <w:sz w:val="20"/>
                <w:szCs w:val="22"/>
              </w:rPr>
            </w:pPr>
            <w:r w:rsidRPr="00F6090E">
              <w:rPr>
                <w:sz w:val="20"/>
                <w:szCs w:val="22"/>
              </w:rPr>
              <w:t xml:space="preserve">All services (non-government included) are expected to coordinate and collaborate efforts to develop evidence-based, innovative service delivery. </w:t>
            </w:r>
          </w:p>
          <w:p w14:paraId="3E8019E4" w14:textId="77777777" w:rsidR="00ED69CC" w:rsidRPr="00F6090E" w:rsidRDefault="00ED69CC" w:rsidP="009B5971">
            <w:pPr>
              <w:pStyle w:val="ListBullet0"/>
              <w:rPr>
                <w:sz w:val="20"/>
                <w:szCs w:val="22"/>
              </w:rPr>
            </w:pPr>
            <w:r w:rsidRPr="00F6090E">
              <w:rPr>
                <w:sz w:val="20"/>
                <w:szCs w:val="22"/>
              </w:rPr>
              <w:t xml:space="preserve">The Tas Government will actively recognise and promote the achievements of organisations in relation to the LGBTI community. </w:t>
            </w:r>
          </w:p>
          <w:p w14:paraId="536E22A8" w14:textId="0F86C300" w:rsidR="00ED69CC" w:rsidRPr="00F8245B" w:rsidRDefault="00ED69CC" w:rsidP="009B5971">
            <w:pPr>
              <w:pStyle w:val="ListBullet0"/>
              <w:rPr>
                <w:szCs w:val="20"/>
              </w:rPr>
            </w:pPr>
            <w:r w:rsidRPr="00F6090E">
              <w:rPr>
                <w:sz w:val="20"/>
                <w:szCs w:val="22"/>
              </w:rPr>
              <w:t>Every Tasmanian</w:t>
            </w:r>
            <w:r w:rsidR="00EC2AE2">
              <w:rPr>
                <w:sz w:val="20"/>
                <w:szCs w:val="22"/>
              </w:rPr>
              <w:t>,</w:t>
            </w:r>
            <w:r w:rsidRPr="00F6090E">
              <w:rPr>
                <w:sz w:val="20"/>
                <w:szCs w:val="22"/>
              </w:rPr>
              <w:t xml:space="preserve"> regardless of their sexuality, gender identity or intersex characteristics</w:t>
            </w:r>
            <w:r w:rsidR="00EC2AE2">
              <w:rPr>
                <w:sz w:val="20"/>
                <w:szCs w:val="22"/>
              </w:rPr>
              <w:t>,</w:t>
            </w:r>
            <w:r w:rsidRPr="00F6090E">
              <w:rPr>
                <w:sz w:val="20"/>
                <w:szCs w:val="22"/>
              </w:rPr>
              <w:t xml:space="preserve"> is supported to participate and contribute to the social, political, economic, and cultural life of Tasmania.</w:t>
            </w:r>
          </w:p>
        </w:tc>
      </w:tr>
      <w:tr w:rsidR="00A12EB6" w:rsidRPr="00D33B63" w14:paraId="3317EC46" w14:textId="77777777" w:rsidTr="00595E32">
        <w:tblPrEx>
          <w:tblLook w:val="04A0" w:firstRow="1" w:lastRow="0" w:firstColumn="1" w:lastColumn="0" w:noHBand="0" w:noVBand="1"/>
        </w:tblPrEx>
        <w:trPr>
          <w:trHeight w:val="422"/>
        </w:trPr>
        <w:tc>
          <w:tcPr>
            <w:tcW w:w="2268" w:type="dxa"/>
            <w:shd w:val="clear" w:color="auto" w:fill="072575" w:themeFill="accent1" w:themeFillShade="80"/>
          </w:tcPr>
          <w:p w14:paraId="254ADEAB" w14:textId="6CDFF311" w:rsidR="00A12EB6" w:rsidRPr="00D33B63" w:rsidRDefault="00A12EB6" w:rsidP="009B5971">
            <w:pPr>
              <w:pStyle w:val="TableText"/>
              <w:spacing w:before="0" w:after="0"/>
              <w:jc w:val="center"/>
              <w:rPr>
                <w:b/>
                <w:bCs/>
                <w:sz w:val="20"/>
                <w:szCs w:val="20"/>
                <w:lang w:eastAsia="en-AU"/>
              </w:rPr>
            </w:pPr>
            <w:r>
              <w:rPr>
                <w:b/>
                <w:bCs/>
                <w:sz w:val="20"/>
                <w:szCs w:val="20"/>
                <w:lang w:eastAsia="en-AU"/>
              </w:rPr>
              <w:t>State / Territory</w:t>
            </w:r>
          </w:p>
        </w:tc>
        <w:tc>
          <w:tcPr>
            <w:tcW w:w="7088" w:type="dxa"/>
            <w:shd w:val="clear" w:color="auto" w:fill="072575" w:themeFill="accent1" w:themeFillShade="80"/>
          </w:tcPr>
          <w:p w14:paraId="4ED09604" w14:textId="4997EE87" w:rsidR="00A12EB6" w:rsidRPr="00D33B63" w:rsidRDefault="00A12EB6" w:rsidP="009B5971">
            <w:pPr>
              <w:pStyle w:val="TableText"/>
              <w:spacing w:before="0" w:after="0"/>
              <w:jc w:val="center"/>
              <w:rPr>
                <w:b/>
                <w:bCs/>
                <w:sz w:val="20"/>
                <w:szCs w:val="20"/>
                <w:lang w:eastAsia="en-AU"/>
              </w:rPr>
            </w:pPr>
            <w:r>
              <w:rPr>
                <w:b/>
                <w:bCs/>
                <w:sz w:val="20"/>
                <w:szCs w:val="20"/>
                <w:lang w:eastAsia="en-AU"/>
              </w:rPr>
              <w:t>Victoria</w:t>
            </w:r>
          </w:p>
        </w:tc>
      </w:tr>
      <w:tr w:rsidR="00ED69CC" w:rsidRPr="00340715" w14:paraId="11FF8C7C" w14:textId="77777777" w:rsidTr="00595E32">
        <w:tblPrEx>
          <w:tblLook w:val="04A0" w:firstRow="1" w:lastRow="0" w:firstColumn="1" w:lastColumn="0" w:noHBand="0" w:noVBand="1"/>
        </w:tblPrEx>
        <w:trPr>
          <w:trHeight w:val="1866"/>
        </w:trPr>
        <w:tc>
          <w:tcPr>
            <w:tcW w:w="2268" w:type="dxa"/>
          </w:tcPr>
          <w:p w14:paraId="37D00495" w14:textId="77777777" w:rsidR="00ED69CC" w:rsidRPr="00222C41" w:rsidRDefault="00ED69CC" w:rsidP="00595E32">
            <w:pPr>
              <w:rPr>
                <w:sz w:val="20"/>
                <w:szCs w:val="20"/>
              </w:rPr>
            </w:pPr>
            <w:hyperlink r:id="rId192" w:history="1">
              <w:r w:rsidRPr="00595E32">
                <w:rPr>
                  <w:rStyle w:val="Hyperlink"/>
                </w:rPr>
                <w:t>Vic-Commonwealth Bilateral Mental Health Agreement</w:t>
              </w:r>
            </w:hyperlink>
          </w:p>
        </w:tc>
        <w:tc>
          <w:tcPr>
            <w:tcW w:w="7088" w:type="dxa"/>
          </w:tcPr>
          <w:p w14:paraId="424CA916" w14:textId="77777777" w:rsidR="00ED69CC" w:rsidRPr="00C459E2" w:rsidRDefault="00ED69CC" w:rsidP="009B5971">
            <w:pPr>
              <w:pStyle w:val="TableText"/>
              <w:spacing w:beforeLines="120" w:before="288" w:afterLines="120" w:after="288"/>
              <w:rPr>
                <w:sz w:val="20"/>
                <w:szCs w:val="20"/>
                <w:lang w:eastAsia="en-AU"/>
              </w:rPr>
            </w:pPr>
            <w:r w:rsidRPr="00404FF2">
              <w:rPr>
                <w:sz w:val="20"/>
                <w:szCs w:val="20"/>
                <w:lang w:eastAsia="en-AU"/>
              </w:rPr>
              <w:t xml:space="preserve">Following the signing of a bilateral agreement between the Commonwealth and </w:t>
            </w:r>
            <w:r>
              <w:rPr>
                <w:sz w:val="20"/>
                <w:szCs w:val="20"/>
                <w:lang w:eastAsia="en-AU"/>
              </w:rPr>
              <w:t>Victorian</w:t>
            </w:r>
            <w:r w:rsidRPr="00404FF2">
              <w:rPr>
                <w:sz w:val="20"/>
                <w:szCs w:val="20"/>
                <w:lang w:eastAsia="en-AU"/>
              </w:rPr>
              <w:t xml:space="preserve"> governments in 2022, more than $</w:t>
            </w:r>
            <w:r>
              <w:rPr>
                <w:sz w:val="20"/>
                <w:szCs w:val="20"/>
                <w:lang w:eastAsia="en-AU"/>
              </w:rPr>
              <w:t>248</w:t>
            </w:r>
            <w:r w:rsidRPr="00404FF2">
              <w:rPr>
                <w:sz w:val="20"/>
                <w:szCs w:val="20"/>
                <w:lang w:eastAsia="en-AU"/>
              </w:rPr>
              <w:t xml:space="preserve"> million will be invested into mental health and suicide prevention support and services. This includes $</w:t>
            </w:r>
            <w:r>
              <w:rPr>
                <w:sz w:val="20"/>
                <w:szCs w:val="20"/>
                <w:lang w:eastAsia="en-AU"/>
              </w:rPr>
              <w:t>125</w:t>
            </w:r>
            <w:r w:rsidRPr="00404FF2">
              <w:rPr>
                <w:sz w:val="20"/>
                <w:szCs w:val="20"/>
                <w:lang w:eastAsia="en-AU"/>
              </w:rPr>
              <w:t xml:space="preserve"> million </w:t>
            </w:r>
            <w:r>
              <w:rPr>
                <w:sz w:val="20"/>
                <w:szCs w:val="20"/>
                <w:lang w:eastAsia="en-AU"/>
              </w:rPr>
              <w:t>to continue operation of the 14 existing</w:t>
            </w:r>
            <w:r w:rsidRPr="00404FF2">
              <w:rPr>
                <w:sz w:val="20"/>
                <w:szCs w:val="20"/>
                <w:lang w:eastAsia="en-AU"/>
              </w:rPr>
              <w:t xml:space="preserve"> Head to Health adult mental health clinics, $4</w:t>
            </w:r>
            <w:r>
              <w:rPr>
                <w:sz w:val="20"/>
                <w:szCs w:val="20"/>
                <w:lang w:eastAsia="en-AU"/>
              </w:rPr>
              <w:t xml:space="preserve">5 </w:t>
            </w:r>
            <w:r w:rsidRPr="00404FF2">
              <w:rPr>
                <w:sz w:val="20"/>
                <w:szCs w:val="20"/>
                <w:lang w:eastAsia="en-AU"/>
              </w:rPr>
              <w:t xml:space="preserve">million to </w:t>
            </w:r>
            <w:r>
              <w:rPr>
                <w:sz w:val="20"/>
                <w:szCs w:val="20"/>
                <w:lang w:eastAsia="en-AU"/>
              </w:rPr>
              <w:t>enhance</w:t>
            </w:r>
            <w:r w:rsidRPr="00404FF2">
              <w:rPr>
                <w:sz w:val="20"/>
                <w:szCs w:val="20"/>
                <w:lang w:eastAsia="en-AU"/>
              </w:rPr>
              <w:t xml:space="preserve"> headspace </w:t>
            </w:r>
            <w:r>
              <w:rPr>
                <w:sz w:val="20"/>
                <w:szCs w:val="20"/>
                <w:lang w:eastAsia="en-AU"/>
              </w:rPr>
              <w:t>services and establish two new centres</w:t>
            </w:r>
            <w:r w:rsidRPr="00404FF2">
              <w:rPr>
                <w:sz w:val="20"/>
                <w:szCs w:val="20"/>
                <w:lang w:eastAsia="en-AU"/>
              </w:rPr>
              <w:t>, and $</w:t>
            </w:r>
            <w:r>
              <w:rPr>
                <w:sz w:val="20"/>
                <w:szCs w:val="20"/>
                <w:lang w:eastAsia="en-AU"/>
              </w:rPr>
              <w:t>5</w:t>
            </w:r>
            <w:r w:rsidRPr="00404FF2">
              <w:rPr>
                <w:sz w:val="20"/>
                <w:szCs w:val="20"/>
                <w:lang w:eastAsia="en-AU"/>
              </w:rPr>
              <w:t xml:space="preserve"> million for </w:t>
            </w:r>
            <w:r>
              <w:rPr>
                <w:sz w:val="20"/>
                <w:szCs w:val="20"/>
                <w:lang w:eastAsia="en-AU"/>
              </w:rPr>
              <w:t>postvention support services.</w:t>
            </w:r>
          </w:p>
        </w:tc>
      </w:tr>
      <w:tr w:rsidR="00A12EB6" w:rsidRPr="00D33B63" w14:paraId="03ED8C16" w14:textId="77777777" w:rsidTr="00595E32">
        <w:tblPrEx>
          <w:tblLook w:val="04A0" w:firstRow="1" w:lastRow="0" w:firstColumn="1" w:lastColumn="0" w:noHBand="0" w:noVBand="1"/>
        </w:tblPrEx>
        <w:trPr>
          <w:trHeight w:val="422"/>
        </w:trPr>
        <w:tc>
          <w:tcPr>
            <w:tcW w:w="2268" w:type="dxa"/>
            <w:shd w:val="clear" w:color="auto" w:fill="072575" w:themeFill="accent1" w:themeFillShade="80"/>
          </w:tcPr>
          <w:p w14:paraId="30F5461D" w14:textId="0FAD2704" w:rsidR="00A12EB6" w:rsidRPr="00D33B63" w:rsidRDefault="00A12EB6" w:rsidP="009B5971">
            <w:pPr>
              <w:pStyle w:val="TableText"/>
              <w:spacing w:before="0" w:after="0"/>
              <w:jc w:val="center"/>
              <w:rPr>
                <w:b/>
                <w:bCs/>
                <w:sz w:val="20"/>
                <w:szCs w:val="20"/>
                <w:lang w:eastAsia="en-AU"/>
              </w:rPr>
            </w:pPr>
            <w:r>
              <w:rPr>
                <w:b/>
                <w:bCs/>
                <w:sz w:val="20"/>
                <w:szCs w:val="20"/>
                <w:lang w:eastAsia="en-AU"/>
              </w:rPr>
              <w:t>State / Territory</w:t>
            </w:r>
          </w:p>
        </w:tc>
        <w:tc>
          <w:tcPr>
            <w:tcW w:w="7088" w:type="dxa"/>
            <w:shd w:val="clear" w:color="auto" w:fill="072575" w:themeFill="accent1" w:themeFillShade="80"/>
          </w:tcPr>
          <w:p w14:paraId="2A972830" w14:textId="236CB857" w:rsidR="00A12EB6" w:rsidRPr="00D33B63" w:rsidRDefault="00A12EB6" w:rsidP="009B5971">
            <w:pPr>
              <w:pStyle w:val="TableText"/>
              <w:spacing w:before="0" w:after="0"/>
              <w:jc w:val="center"/>
              <w:rPr>
                <w:b/>
                <w:bCs/>
                <w:sz w:val="20"/>
                <w:szCs w:val="20"/>
                <w:lang w:eastAsia="en-AU"/>
              </w:rPr>
            </w:pPr>
            <w:r>
              <w:rPr>
                <w:b/>
                <w:bCs/>
                <w:sz w:val="20"/>
                <w:szCs w:val="20"/>
                <w:lang w:eastAsia="en-AU"/>
              </w:rPr>
              <w:t>Western Australia</w:t>
            </w:r>
          </w:p>
        </w:tc>
      </w:tr>
      <w:tr w:rsidR="00ED69CC" w:rsidRPr="00595E32" w14:paraId="7FC78085" w14:textId="77777777" w:rsidTr="00595E32">
        <w:tblPrEx>
          <w:tblLook w:val="04A0" w:firstRow="1" w:lastRow="0" w:firstColumn="1" w:lastColumn="0" w:noHBand="0" w:noVBand="1"/>
        </w:tblPrEx>
        <w:trPr>
          <w:trHeight w:val="747"/>
        </w:trPr>
        <w:tc>
          <w:tcPr>
            <w:tcW w:w="2268" w:type="dxa"/>
          </w:tcPr>
          <w:p w14:paraId="4B23E8E1" w14:textId="77777777" w:rsidR="00ED69CC" w:rsidRPr="00595E32" w:rsidRDefault="00ED69CC" w:rsidP="00595E32">
            <w:hyperlink r:id="rId193" w:history="1">
              <w:r w:rsidRPr="00595E32">
                <w:rPr>
                  <w:rStyle w:val="Hyperlink"/>
                </w:rPr>
                <w:t>WA-Commonwealth Bilateral Mental Health Agreement</w:t>
              </w:r>
            </w:hyperlink>
          </w:p>
        </w:tc>
        <w:tc>
          <w:tcPr>
            <w:tcW w:w="7088" w:type="dxa"/>
          </w:tcPr>
          <w:p w14:paraId="3BA9E51E" w14:textId="77777777" w:rsidR="00ED69CC" w:rsidRPr="00595E32" w:rsidRDefault="00ED69CC" w:rsidP="00595E32">
            <w:r w:rsidRPr="00595E32">
              <w:t>Following the signing of a bilateral agreement between the Commonwealth and Western Australia governments in 2022, more than $61 million will be invested into mental health and suicide prevention support and services. This funding will be directed to a child health and wellbeing hub, statewide aftercare services, and eating disorder services in the East Metropolitan Health Service.</w:t>
            </w:r>
          </w:p>
        </w:tc>
      </w:tr>
      <w:tr w:rsidR="00ED69CC" w:rsidRPr="00595E32" w14:paraId="319F63DB" w14:textId="77777777" w:rsidTr="00595E32">
        <w:tblPrEx>
          <w:tblLook w:val="04A0" w:firstRow="1" w:lastRow="0" w:firstColumn="1" w:lastColumn="0" w:noHBand="0" w:noVBand="1"/>
        </w:tblPrEx>
        <w:trPr>
          <w:trHeight w:val="747"/>
        </w:trPr>
        <w:tc>
          <w:tcPr>
            <w:tcW w:w="2268" w:type="dxa"/>
          </w:tcPr>
          <w:p w14:paraId="47C5BCA7" w14:textId="77777777" w:rsidR="00ED69CC" w:rsidRPr="00595E32" w:rsidRDefault="00ED69CC" w:rsidP="00595E32">
            <w:hyperlink r:id="rId194" w:history="1">
              <w:r w:rsidRPr="00595E32">
                <w:rPr>
                  <w:rStyle w:val="Hyperlink"/>
                </w:rPr>
                <w:t>LGBTQIA+ Advisory Group</w:t>
              </w:r>
            </w:hyperlink>
            <w:r w:rsidRPr="00595E32">
              <w:t xml:space="preserve"> and the </w:t>
            </w:r>
            <w:hyperlink r:id="rId195" w:history="1">
              <w:r w:rsidRPr="00595E32">
                <w:rPr>
                  <w:rStyle w:val="Hyperlink"/>
                </w:rPr>
                <w:t>LGBTQIA+ Plan 2021-2024</w:t>
              </w:r>
            </w:hyperlink>
          </w:p>
        </w:tc>
        <w:tc>
          <w:tcPr>
            <w:tcW w:w="7088" w:type="dxa"/>
          </w:tcPr>
          <w:p w14:paraId="07E32F6F" w14:textId="3E881DFB" w:rsidR="00ED69CC" w:rsidRPr="00595E32" w:rsidRDefault="00ED69CC" w:rsidP="00595E32">
            <w:r w:rsidRPr="00595E32">
              <w:t>This 3-year plan funded by the City of Perth targets seven key areas including safety, education, homelessness, healthcare, organisational capability, welcoming and accessible services, and visibility. The plan includes details of their expected timeframe, success measure, and related action areas (e.g., providing all</w:t>
            </w:r>
            <w:r w:rsidR="00EC2AE2" w:rsidRPr="00595E32">
              <w:t>-</w:t>
            </w:r>
            <w:r w:rsidRPr="00595E32">
              <w:t>gender bathrooms and change facilities)</w:t>
            </w:r>
            <w:r w:rsidR="00EC2AE2" w:rsidRPr="00595E32">
              <w:t>.</w:t>
            </w:r>
          </w:p>
        </w:tc>
      </w:tr>
    </w:tbl>
    <w:p w14:paraId="4AC69AAE" w14:textId="77777777" w:rsidR="00ED69CC" w:rsidRPr="001B762F" w:rsidRDefault="00ED69CC" w:rsidP="00595E32">
      <w:pPr>
        <w:pStyle w:val="FootnoteText"/>
      </w:pPr>
      <w:r w:rsidRPr="00595E32">
        <w:t>Source: Various incl</w:t>
      </w:r>
      <w:r>
        <w:t xml:space="preserve">uding Department of Health and Aged Care unpublished fact sheet, plus online sources listed as </w:t>
      </w:r>
      <w:proofErr w:type="gramStart"/>
      <w:r>
        <w:t>at</w:t>
      </w:r>
      <w:proofErr w:type="gramEnd"/>
      <w:r>
        <w:t xml:space="preserve"> October 2023.</w:t>
      </w:r>
    </w:p>
    <w:p w14:paraId="075412CC" w14:textId="77777777" w:rsidR="000A4D8E" w:rsidRDefault="000A4D8E" w:rsidP="00ED69CC">
      <w:pPr>
        <w:rPr>
          <w:lang w:eastAsia="en-AU"/>
        </w:rPr>
        <w:sectPr w:rsidR="000A4D8E" w:rsidSect="00CD06B3">
          <w:pgSz w:w="11906" w:h="16838" w:code="9"/>
          <w:pgMar w:top="1440" w:right="1440" w:bottom="1440" w:left="1440" w:header="567" w:footer="57" w:gutter="0"/>
          <w:cols w:space="708"/>
          <w:docGrid w:linePitch="360"/>
        </w:sectPr>
      </w:pPr>
    </w:p>
    <w:p w14:paraId="7B6F3BBA" w14:textId="09FB0666" w:rsidR="000A4D8E" w:rsidRPr="000A4D8E" w:rsidRDefault="000A4D8E" w:rsidP="00DF32BE">
      <w:pPr>
        <w:pStyle w:val="Heading2"/>
      </w:pPr>
      <w:bookmarkStart w:id="153" w:name="_Toc153899553"/>
      <w:r w:rsidRPr="000A4D8E">
        <w:lastRenderedPageBreak/>
        <w:t xml:space="preserve">Attachment </w:t>
      </w:r>
      <w:r>
        <w:t>4</w:t>
      </w:r>
      <w:r w:rsidRPr="000A4D8E">
        <w:t>:</w:t>
      </w:r>
      <w:r w:rsidRPr="000A4D8E">
        <w:tab/>
        <w:t>Subjects for further targeted research</w:t>
      </w:r>
      <w:bookmarkEnd w:id="153"/>
    </w:p>
    <w:p w14:paraId="18BCAB33" w14:textId="77777777" w:rsidR="000A4D8E" w:rsidRPr="000A4D8E" w:rsidRDefault="000A4D8E" w:rsidP="000A4D8E">
      <w:pPr>
        <w:rPr>
          <w:lang w:eastAsia="en-AU"/>
        </w:rPr>
      </w:pPr>
      <w:r w:rsidRPr="000A4D8E">
        <w:rPr>
          <w:lang w:eastAsia="en-AU"/>
        </w:rPr>
        <w:t>As highlighted in the companion SLR, the current peer-reviewed literature in Australia and the United Kingdom is weak on the following issues, strongly suggesting the need for supplementary research:</w:t>
      </w:r>
    </w:p>
    <w:p w14:paraId="1900774E" w14:textId="28513CEA" w:rsidR="000A4D8E" w:rsidRPr="000A4D8E" w:rsidRDefault="00295412" w:rsidP="002A7B58">
      <w:pPr>
        <w:pStyle w:val="ListNumber4"/>
        <w:ind w:left="714" w:hanging="357"/>
      </w:pPr>
      <w:r>
        <w:t>T</w:t>
      </w:r>
      <w:r w:rsidR="000A4D8E" w:rsidRPr="000A4D8E">
        <w:t xml:space="preserve">he experiences of diverse LGTBQIA+ people accessing LGBTQIA+ specific services, including the extent to which these services are meeting the unique needs of sub-populations (e.g., intersex people), the needs of diverse populations with intersecting experiences (e.g., people from CALD backgrounds), as well as people with severe life-interrupting mental distress and suicidality. </w:t>
      </w:r>
    </w:p>
    <w:p w14:paraId="41EDB285" w14:textId="4F9AA5C3" w:rsidR="000A4D8E" w:rsidRPr="000A4D8E" w:rsidRDefault="00295412" w:rsidP="002A7B58">
      <w:pPr>
        <w:pStyle w:val="ListNumber4"/>
        <w:ind w:left="714" w:hanging="357"/>
      </w:pPr>
      <w:r>
        <w:t>T</w:t>
      </w:r>
      <w:r w:rsidR="000A4D8E" w:rsidRPr="000A4D8E">
        <w:t>he experiences of, and outcomes for, LGBTQIA+ people receiving specific services and therapeutic approaches, including trauma-specific therapeutic interventions.</w:t>
      </w:r>
    </w:p>
    <w:p w14:paraId="56E66138" w14:textId="20028503" w:rsidR="000A4D8E" w:rsidRPr="000A4D8E" w:rsidRDefault="00295412" w:rsidP="002A7B58">
      <w:pPr>
        <w:pStyle w:val="ListNumber4"/>
        <w:ind w:left="714" w:hanging="357"/>
      </w:pPr>
      <w:r>
        <w:t>T</w:t>
      </w:r>
      <w:r w:rsidR="000A4D8E" w:rsidRPr="000A4D8E">
        <w:t>he experiences and service needs of LGBTQIA+ people with intersecting identities, with a focus on provision of safe, dignified</w:t>
      </w:r>
      <w:r w:rsidR="00CF36C0">
        <w:t>,</w:t>
      </w:r>
      <w:r w:rsidR="000A4D8E" w:rsidRPr="000A4D8E">
        <w:t xml:space="preserve"> and effective services for First Nations people and people from CALD backgrounds, that recognises and responds to intersecting experience, across specialised and mainstream services.</w:t>
      </w:r>
    </w:p>
    <w:p w14:paraId="5F2C976E" w14:textId="017D0330" w:rsidR="000A4D8E" w:rsidRPr="000A4D8E" w:rsidRDefault="00295412" w:rsidP="002A7B58">
      <w:pPr>
        <w:pStyle w:val="ListNumber4"/>
        <w:ind w:left="714" w:hanging="357"/>
      </w:pPr>
      <w:r>
        <w:t>T</w:t>
      </w:r>
      <w:r w:rsidR="000A4D8E" w:rsidRPr="000A4D8E">
        <w:t>he experiences of LGBTQIA+ people in in-patient and emergency services, particularly where care is involuntary.</w:t>
      </w:r>
    </w:p>
    <w:p w14:paraId="4CBA3AFD" w14:textId="33EFE7AF" w:rsidR="000A4D8E" w:rsidRPr="000A4D8E" w:rsidRDefault="00295412" w:rsidP="002A7B58">
      <w:pPr>
        <w:pStyle w:val="ListNumber4"/>
        <w:ind w:left="714" w:hanging="357"/>
      </w:pPr>
      <w:r>
        <w:t>T</w:t>
      </w:r>
      <w:r w:rsidR="000A4D8E" w:rsidRPr="000A4D8E">
        <w:t>he experiences of LGBTQIA+ people receiving involuntary treatment in the community, such as through Community Treatment Orders</w:t>
      </w:r>
    </w:p>
    <w:p w14:paraId="1F75E88F" w14:textId="1597F49A" w:rsidR="000A4D8E" w:rsidRPr="000A4D8E" w:rsidRDefault="00295412" w:rsidP="002A7B58">
      <w:pPr>
        <w:pStyle w:val="ListNumber4"/>
        <w:ind w:left="714" w:hanging="357"/>
      </w:pPr>
      <w:r>
        <w:t>T</w:t>
      </w:r>
      <w:r w:rsidR="000A4D8E" w:rsidRPr="000A4D8E">
        <w:t>he safety of services, including with reference to:</w:t>
      </w:r>
    </w:p>
    <w:p w14:paraId="096777F7" w14:textId="5C8067A7" w:rsidR="000A4D8E" w:rsidRPr="000A4D8E" w:rsidRDefault="00CF36C0" w:rsidP="002A7B58">
      <w:pPr>
        <w:pStyle w:val="ListNumber5"/>
        <w:ind w:left="1434" w:hanging="357"/>
      </w:pPr>
      <w:r>
        <w:t>T</w:t>
      </w:r>
      <w:r w:rsidR="000A4D8E" w:rsidRPr="000A4D8E">
        <w:t>he use of coercive and traumatising practices, including seclusion and restraint</w:t>
      </w:r>
      <w:r>
        <w:t>,</w:t>
      </w:r>
      <w:r w:rsidR="000A4D8E" w:rsidRPr="000A4D8E">
        <w:t xml:space="preserve"> etc. The UTS-led research team notes that the Disability Royal Commission recommended that a longitudinal study on the use of restrictive practices in disability, health, education, and justice sectors be commissioned by the National Disability Research Partnership.</w:t>
      </w:r>
      <w:r w:rsidR="000A4D8E" w:rsidRPr="000A4D8E">
        <w:rPr>
          <w:vertAlign w:val="superscript"/>
        </w:rPr>
        <w:footnoteReference w:id="333"/>
      </w:r>
      <w:r w:rsidR="000A4D8E" w:rsidRPr="000A4D8E">
        <w:t xml:space="preserve">  It should be ensured that research on the use of restrictive practices, as well as efforts to reduce and eliminate these, are extended to LGBTQIA+ people accessing mental health services with psychosocial disability or acute life-interrupting mental distress and suicidality.</w:t>
      </w:r>
    </w:p>
    <w:p w14:paraId="6171F32E" w14:textId="38BC29B3" w:rsidR="000A4D8E" w:rsidRPr="000A4D8E" w:rsidRDefault="00CF36C0" w:rsidP="002A7B58">
      <w:pPr>
        <w:pStyle w:val="ListNumber5"/>
        <w:ind w:left="1434" w:hanging="357"/>
      </w:pPr>
      <w:r>
        <w:t>T</w:t>
      </w:r>
      <w:r w:rsidR="000A4D8E" w:rsidRPr="000A4D8E">
        <w:t xml:space="preserve">he extent to which forms of conversion practice are still practiced by some health professionals; how regulatory bodies can act to prevent these practices; and best practice for therapeutic care for survivors of conversion practice. </w:t>
      </w:r>
    </w:p>
    <w:p w14:paraId="6B8B0B3E" w14:textId="2C3B3D77" w:rsidR="000A4D8E" w:rsidRPr="000A4D8E" w:rsidRDefault="00295412" w:rsidP="002A7B58">
      <w:pPr>
        <w:pStyle w:val="ListNumber4"/>
        <w:ind w:left="714" w:hanging="357"/>
      </w:pPr>
      <w:r>
        <w:t>A</w:t>
      </w:r>
      <w:r w:rsidR="000A4D8E" w:rsidRPr="000A4D8E">
        <w:t xml:space="preserve">pproaches to care for LGBTQIA+ people that aim to maximise choice and collaboration, including collaborative care planning, choice of treatments and therapies, </w:t>
      </w:r>
      <w:r w:rsidR="00CF36C0">
        <w:t xml:space="preserve">and </w:t>
      </w:r>
      <w:r w:rsidR="000A4D8E" w:rsidRPr="000A4D8E">
        <w:t>collaborative decision-making.</w:t>
      </w:r>
    </w:p>
    <w:p w14:paraId="503B3A11" w14:textId="77C69C92" w:rsidR="000A4D8E" w:rsidRPr="000A4D8E" w:rsidRDefault="00295412" w:rsidP="002A7B58">
      <w:pPr>
        <w:pStyle w:val="ListNumber4"/>
        <w:ind w:left="714" w:hanging="357"/>
      </w:pPr>
      <w:r>
        <w:lastRenderedPageBreak/>
        <w:t>T</w:t>
      </w:r>
      <w:r w:rsidR="000A4D8E" w:rsidRPr="000A4D8E">
        <w:t>he experiences of LGBTQIA+ people who are experiencing mental health challenges and suicidality and receiving care from peer workers, in peer-led services, or services with employed peer workers.</w:t>
      </w:r>
    </w:p>
    <w:p w14:paraId="0B2F716D" w14:textId="19717754" w:rsidR="000A4D8E" w:rsidRPr="000A4D8E" w:rsidRDefault="00295412" w:rsidP="002A7B58">
      <w:pPr>
        <w:pStyle w:val="ListNumber4"/>
        <w:ind w:left="714" w:hanging="357"/>
      </w:pPr>
      <w:r>
        <w:t>T</w:t>
      </w:r>
      <w:r w:rsidR="000A4D8E" w:rsidRPr="000A4D8E">
        <w:t>he experiences of LGBTQIA+ people accessing general medicine and/ or mental health services within Primary Health Networks and Local Area Health services.</w:t>
      </w:r>
    </w:p>
    <w:p w14:paraId="5C1E3AAD" w14:textId="1ADDAF91" w:rsidR="00C26904" w:rsidRPr="007606B8" w:rsidRDefault="00295412" w:rsidP="002A7B58">
      <w:pPr>
        <w:pStyle w:val="ListNumber4"/>
        <w:ind w:left="714" w:hanging="357"/>
        <w:sectPr w:rsidR="00C26904" w:rsidRPr="007606B8" w:rsidSect="00CD06B3">
          <w:pgSz w:w="11906" w:h="16838" w:code="9"/>
          <w:pgMar w:top="1440" w:right="1440" w:bottom="1440" w:left="1440" w:header="567" w:footer="57" w:gutter="0"/>
          <w:cols w:space="708"/>
          <w:docGrid w:linePitch="360"/>
        </w:sectPr>
      </w:pPr>
      <w:r>
        <w:t>T</w:t>
      </w:r>
      <w:r w:rsidR="000A4D8E" w:rsidRPr="000A4D8E">
        <w:t>he experiences of young LGBTQIA+ people with mental health challenges in schools, including those who are access school counselling. These should be informed by the perspectives of young people with a lived experienc</w:t>
      </w:r>
      <w:r w:rsidR="00965D53">
        <w:t>e</w:t>
      </w:r>
    </w:p>
    <w:p w14:paraId="6A585213" w14:textId="0FDC799D" w:rsidR="00B7545E" w:rsidRDefault="00C26904" w:rsidP="00647E07">
      <w:r>
        <w:rPr>
          <w:noProof/>
          <w:lang w:eastAsia="en-AU"/>
        </w:rPr>
        <w:lastRenderedPageBreak/>
        <w:drawing>
          <wp:anchor distT="0" distB="0" distL="114300" distR="114300" simplePos="0" relativeHeight="251658243" behindDoc="1" locked="0" layoutInCell="1" allowOverlap="1" wp14:anchorId="321303B7" wp14:editId="53AFBC94">
            <wp:simplePos x="0" y="0"/>
            <wp:positionH relativeFrom="page">
              <wp:align>left</wp:align>
            </wp:positionH>
            <wp:positionV relativeFrom="paragraph">
              <wp:posOffset>-969645</wp:posOffset>
            </wp:positionV>
            <wp:extent cx="7586721" cy="10731500"/>
            <wp:effectExtent l="0" t="0" r="0" b="0"/>
            <wp:wrapNone/>
            <wp:docPr id="2" name="Picture 2" descr="A blue screen with whit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creen with white dots"/>
                    <pic:cNvPicPr/>
                  </pic:nvPicPr>
                  <pic:blipFill>
                    <a:blip r:embed="rId196"/>
                    <a:stretch>
                      <a:fillRect/>
                    </a:stretch>
                  </pic:blipFill>
                  <pic:spPr>
                    <a:xfrm>
                      <a:off x="0" y="0"/>
                      <a:ext cx="7586721" cy="10731500"/>
                    </a:xfrm>
                    <a:prstGeom prst="rect">
                      <a:avLst/>
                    </a:prstGeom>
                  </pic:spPr>
                </pic:pic>
              </a:graphicData>
            </a:graphic>
            <wp14:sizeRelH relativeFrom="margin">
              <wp14:pctWidth>0</wp14:pctWidth>
            </wp14:sizeRelH>
            <wp14:sizeRelV relativeFrom="margin">
              <wp14:pctHeight>0</wp14:pctHeight>
            </wp14:sizeRelV>
          </wp:anchor>
        </w:drawing>
      </w:r>
    </w:p>
    <w:sectPr w:rsidR="00B7545E" w:rsidSect="00CD06B3">
      <w:pgSz w:w="11906" w:h="16838" w:code="9"/>
      <w:pgMar w:top="1440" w:right="1440" w:bottom="1440" w:left="1440" w:header="567"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87730" w14:textId="77777777" w:rsidR="00F6301C" w:rsidRDefault="00F6301C" w:rsidP="00185154">
      <w:r>
        <w:separator/>
      </w:r>
    </w:p>
    <w:p w14:paraId="737154CF" w14:textId="77777777" w:rsidR="00F6301C" w:rsidRDefault="00F6301C"/>
  </w:endnote>
  <w:endnote w:type="continuationSeparator" w:id="0">
    <w:p w14:paraId="7DFC6468" w14:textId="77777777" w:rsidR="00F6301C" w:rsidRDefault="00F6301C" w:rsidP="00185154">
      <w:r>
        <w:continuationSeparator/>
      </w:r>
    </w:p>
    <w:p w14:paraId="56A4DA53" w14:textId="77777777" w:rsidR="00F6301C" w:rsidRDefault="00F6301C"/>
  </w:endnote>
  <w:endnote w:type="continuationNotice" w:id="1">
    <w:p w14:paraId="159C9C54" w14:textId="77777777" w:rsidR="00F6301C" w:rsidRDefault="00F630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0F4BEB"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3428"/>
      <w:gridCol w:w="2697"/>
    </w:tblGrid>
    <w:tr w:rsidR="00440E2D" w14:paraId="370C3223" w14:textId="77777777" w:rsidTr="005E25B0">
      <w:tc>
        <w:tcPr>
          <w:tcW w:w="1607" w:type="pct"/>
          <w:tcBorders>
            <w:top w:val="nil"/>
          </w:tcBorders>
        </w:tcPr>
        <w:p w14:paraId="0248642B" w14:textId="45FA97D6" w:rsidR="00440E2D" w:rsidRPr="00BD2495" w:rsidRDefault="00440E2D" w:rsidP="00BD2495">
          <w:pPr>
            <w:rPr>
              <w:color w:val="0F4BEB" w:themeColor="accent1"/>
              <w:sz w:val="16"/>
              <w:szCs w:val="16"/>
            </w:rPr>
          </w:pPr>
          <w:r w:rsidRPr="00BD2495">
            <w:rPr>
              <w:color w:val="0F4BEB" w:themeColor="accent1"/>
              <w:sz w:val="16"/>
              <w:szCs w:val="16"/>
            </w:rPr>
            <w:fldChar w:fldCharType="begin"/>
          </w:r>
          <w:r w:rsidRPr="00BD2495">
            <w:rPr>
              <w:color w:val="0F4BEB" w:themeColor="accent1"/>
              <w:sz w:val="16"/>
              <w:szCs w:val="16"/>
            </w:rPr>
            <w:instrText xml:space="preserve"> TITLE  \* Upper  \* MERGEFORMAT </w:instrText>
          </w:r>
          <w:r w:rsidRPr="00BD2495">
            <w:rPr>
              <w:color w:val="0F4BEB" w:themeColor="accent1"/>
              <w:sz w:val="16"/>
              <w:szCs w:val="16"/>
            </w:rPr>
            <w:fldChar w:fldCharType="end"/>
          </w:r>
          <w:r w:rsidRPr="00BD2495">
            <w:rPr>
              <w:color w:val="0F4BEB" w:themeColor="accent1"/>
              <w:sz w:val="16"/>
              <w:szCs w:val="16"/>
            </w:rPr>
            <w:fldChar w:fldCharType="begin"/>
          </w:r>
          <w:r w:rsidRPr="00BD2495">
            <w:rPr>
              <w:color w:val="0F4BEB" w:themeColor="accent1"/>
              <w:sz w:val="16"/>
              <w:szCs w:val="16"/>
            </w:rPr>
            <w:instrText xml:space="preserve"> TITLE   \* MERGEFORMAT </w:instrText>
          </w:r>
          <w:r w:rsidRPr="00BD2495">
            <w:rPr>
              <w:color w:val="0F4BEB" w:themeColor="accent1"/>
              <w:sz w:val="16"/>
              <w:szCs w:val="16"/>
            </w:rPr>
            <w:fldChar w:fldCharType="end"/>
          </w:r>
          <w:r w:rsidRPr="00BD2495">
            <w:rPr>
              <w:color w:val="0F4BEB" w:themeColor="accent1"/>
              <w:sz w:val="16"/>
              <w:szCs w:val="16"/>
            </w:rPr>
            <w:t>University of Technology Sydney</w:t>
          </w:r>
          <w:r>
            <w:rPr>
              <w:color w:val="0F4BEB" w:themeColor="accent1"/>
              <w:sz w:val="16"/>
              <w:szCs w:val="16"/>
            </w:rPr>
            <w:br/>
          </w:r>
          <w:r w:rsidRPr="00BD2495">
            <w:rPr>
              <w:color w:val="0F4BEB" w:themeColor="accent1"/>
              <w:sz w:val="13"/>
              <w:szCs w:val="13"/>
            </w:rPr>
            <w:t>Institute for Public Policy and Governance</w:t>
          </w:r>
        </w:p>
      </w:tc>
      <w:tc>
        <w:tcPr>
          <w:tcW w:w="1899" w:type="pct"/>
          <w:tcBorders>
            <w:top w:val="single" w:sz="18" w:space="0" w:color="0F4BEB" w:themeColor="accent1"/>
          </w:tcBorders>
        </w:tcPr>
        <w:p w14:paraId="2E3780E4" w14:textId="77777777" w:rsidR="00440E2D" w:rsidRPr="00423573" w:rsidRDefault="00440E2D" w:rsidP="00BD2495">
          <w:pPr>
            <w:rPr>
              <w:noProof/>
              <w:color w:val="7F7F7F" w:themeColor="text1" w:themeTint="80"/>
              <w:sz w:val="18"/>
              <w:szCs w:val="18"/>
            </w:rPr>
          </w:pPr>
        </w:p>
      </w:tc>
      <w:tc>
        <w:tcPr>
          <w:tcW w:w="1494" w:type="pct"/>
          <w:tcBorders>
            <w:top w:val="single" w:sz="18" w:space="0" w:color="0F4BEB" w:themeColor="accent1"/>
          </w:tcBorders>
        </w:tcPr>
        <w:p w14:paraId="2258784F" w14:textId="77777777" w:rsidR="00440E2D" w:rsidRPr="00423573" w:rsidRDefault="00440E2D" w:rsidP="00BD2495">
          <w:pPr>
            <w:jc w:val="right"/>
            <w:rPr>
              <w:color w:val="0F4BEB" w:themeColor="accent1"/>
              <w:sz w:val="24"/>
              <w:szCs w:val="32"/>
            </w:rPr>
          </w:pPr>
        </w:p>
      </w:tc>
    </w:tr>
  </w:tbl>
  <w:p w14:paraId="69EC2E79" w14:textId="77777777" w:rsidR="00440E2D" w:rsidRPr="00BD2495" w:rsidRDefault="00440E2D" w:rsidP="00BD2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0F4BEB"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3428"/>
      <w:gridCol w:w="2697"/>
    </w:tblGrid>
    <w:tr w:rsidR="00440E2D" w14:paraId="37E8BDC8" w14:textId="77777777" w:rsidTr="005575D3">
      <w:tc>
        <w:tcPr>
          <w:tcW w:w="1607" w:type="pct"/>
          <w:tcBorders>
            <w:top w:val="nil"/>
          </w:tcBorders>
        </w:tcPr>
        <w:p w14:paraId="6D6BCF89" w14:textId="2A50D7F5" w:rsidR="00440E2D" w:rsidRPr="00BD2495" w:rsidRDefault="00440E2D" w:rsidP="005575D3">
          <w:pPr>
            <w:rPr>
              <w:color w:val="0F4BEB" w:themeColor="accent1"/>
              <w:sz w:val="16"/>
              <w:szCs w:val="16"/>
            </w:rPr>
          </w:pPr>
          <w:r w:rsidRPr="00BD2495">
            <w:rPr>
              <w:color w:val="0F4BEB" w:themeColor="accent1"/>
              <w:sz w:val="16"/>
              <w:szCs w:val="16"/>
            </w:rPr>
            <w:fldChar w:fldCharType="begin"/>
          </w:r>
          <w:r w:rsidRPr="00BD2495">
            <w:rPr>
              <w:color w:val="0F4BEB" w:themeColor="accent1"/>
              <w:sz w:val="16"/>
              <w:szCs w:val="16"/>
            </w:rPr>
            <w:instrText xml:space="preserve"> TITLE  \* Upper  \* MERGEFORMAT </w:instrText>
          </w:r>
          <w:r w:rsidRPr="00BD2495">
            <w:rPr>
              <w:color w:val="0F4BEB" w:themeColor="accent1"/>
              <w:sz w:val="16"/>
              <w:szCs w:val="16"/>
            </w:rPr>
            <w:fldChar w:fldCharType="end"/>
          </w:r>
          <w:r w:rsidRPr="00BD2495">
            <w:rPr>
              <w:color w:val="0F4BEB" w:themeColor="accent1"/>
              <w:sz w:val="16"/>
              <w:szCs w:val="16"/>
            </w:rPr>
            <w:fldChar w:fldCharType="begin"/>
          </w:r>
          <w:r w:rsidRPr="00BD2495">
            <w:rPr>
              <w:color w:val="0F4BEB" w:themeColor="accent1"/>
              <w:sz w:val="16"/>
              <w:szCs w:val="16"/>
            </w:rPr>
            <w:instrText xml:space="preserve"> TITLE   \* MERGEFORMAT </w:instrText>
          </w:r>
          <w:r w:rsidRPr="00BD2495">
            <w:rPr>
              <w:color w:val="0F4BEB" w:themeColor="accent1"/>
              <w:sz w:val="16"/>
              <w:szCs w:val="16"/>
            </w:rPr>
            <w:fldChar w:fldCharType="end"/>
          </w:r>
          <w:r w:rsidRPr="00BD2495">
            <w:rPr>
              <w:color w:val="0F4BEB" w:themeColor="accent1"/>
              <w:sz w:val="16"/>
              <w:szCs w:val="16"/>
            </w:rPr>
            <w:t>University of Technology Sydney</w:t>
          </w:r>
          <w:r>
            <w:rPr>
              <w:color w:val="0F4BEB" w:themeColor="accent1"/>
              <w:sz w:val="16"/>
              <w:szCs w:val="16"/>
            </w:rPr>
            <w:br/>
          </w:r>
          <w:r w:rsidRPr="00BD2495">
            <w:rPr>
              <w:color w:val="0F4BEB" w:themeColor="accent1"/>
              <w:sz w:val="13"/>
              <w:szCs w:val="13"/>
            </w:rPr>
            <w:t>Institute for Public Policy and Governance</w:t>
          </w:r>
        </w:p>
      </w:tc>
      <w:tc>
        <w:tcPr>
          <w:tcW w:w="1899" w:type="pct"/>
          <w:tcBorders>
            <w:top w:val="single" w:sz="18" w:space="0" w:color="0F4BEB" w:themeColor="accent1"/>
          </w:tcBorders>
        </w:tcPr>
        <w:p w14:paraId="5C05BEB8" w14:textId="77777777" w:rsidR="00440E2D" w:rsidRPr="00423573" w:rsidRDefault="00440E2D" w:rsidP="005575D3">
          <w:pPr>
            <w:rPr>
              <w:noProof/>
              <w:color w:val="7F7F7F" w:themeColor="text1" w:themeTint="80"/>
              <w:sz w:val="18"/>
              <w:szCs w:val="18"/>
            </w:rPr>
          </w:pPr>
        </w:p>
      </w:tc>
      <w:tc>
        <w:tcPr>
          <w:tcW w:w="1494" w:type="pct"/>
          <w:tcBorders>
            <w:top w:val="single" w:sz="18" w:space="0" w:color="0F4BEB" w:themeColor="accent1"/>
          </w:tcBorders>
        </w:tcPr>
        <w:p w14:paraId="63726DBC" w14:textId="77777777" w:rsidR="00440E2D" w:rsidRPr="00423573" w:rsidRDefault="00440E2D" w:rsidP="005575D3">
          <w:pPr>
            <w:jc w:val="right"/>
            <w:rPr>
              <w:color w:val="0F4BEB" w:themeColor="accent1"/>
              <w:sz w:val="24"/>
              <w:szCs w:val="32"/>
            </w:rPr>
          </w:pPr>
        </w:p>
      </w:tc>
    </w:tr>
  </w:tbl>
  <w:p w14:paraId="76C57E7D" w14:textId="77777777" w:rsidR="00440E2D" w:rsidRDefault="00440E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E9CD" w14:textId="77777777" w:rsidR="00CB257C" w:rsidRDefault="00CB25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8530804"/>
      <w:docPartObj>
        <w:docPartGallery w:val="Page Numbers (Bottom of Page)"/>
        <w:docPartUnique/>
      </w:docPartObj>
    </w:sdtPr>
    <w:sdtEndPr>
      <w:rPr>
        <w:noProof/>
        <w:sz w:val="20"/>
      </w:rPr>
    </w:sdtEndPr>
    <w:sdtContent>
      <w:p w14:paraId="1FA68BDD" w14:textId="77777777" w:rsidR="00440E2D" w:rsidRDefault="00440E2D">
        <w:pPr>
          <w:pStyle w:val="Footer"/>
          <w:jc w:val="right"/>
          <w:rPr>
            <w:noProof/>
            <w:sz w:val="20"/>
          </w:rPr>
        </w:pPr>
      </w:p>
      <w:p w14:paraId="53505914" w14:textId="77777777" w:rsidR="00CB257C" w:rsidRDefault="00D64295">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AFB8" w14:textId="77777777" w:rsidR="00CB257C" w:rsidRDefault="00CB25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685294"/>
      <w:docPartObj>
        <w:docPartGallery w:val="Page Numbers (Bottom of Page)"/>
        <w:docPartUnique/>
      </w:docPartObj>
    </w:sdtPr>
    <w:sdtEndPr>
      <w:rPr>
        <w:noProof/>
        <w:sz w:val="20"/>
      </w:rPr>
    </w:sdtEndPr>
    <w:sdtContent>
      <w:p w14:paraId="319089AE" w14:textId="77777777" w:rsidR="00440E2D" w:rsidRDefault="00440E2D">
        <w:pPr>
          <w:pStyle w:val="Footer"/>
          <w:jc w:val="right"/>
          <w:rPr>
            <w:noProof/>
            <w:sz w:val="20"/>
          </w:rPr>
        </w:pPr>
      </w:p>
      <w:tbl>
        <w:tblPr>
          <w:tblStyle w:val="TableGrid"/>
          <w:tblW w:w="5000" w:type="pct"/>
          <w:tblBorders>
            <w:top w:val="single" w:sz="4" w:space="0" w:color="0F4BEB"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793"/>
          <w:gridCol w:w="2697"/>
        </w:tblGrid>
        <w:tr w:rsidR="00440E2D" w14:paraId="107F8FFF" w14:textId="77777777" w:rsidTr="005575D3">
          <w:tc>
            <w:tcPr>
              <w:tcW w:w="2513" w:type="pct"/>
            </w:tcPr>
            <w:p w14:paraId="10FE9548" w14:textId="3A3F732F" w:rsidR="00440E2D" w:rsidRPr="00675D4E" w:rsidRDefault="00AB719D" w:rsidP="00DF2AEC">
              <w:pPr>
                <w:spacing w:after="0"/>
                <w:rPr>
                  <w:color w:val="0F4BEB" w:themeColor="accent1"/>
                  <w:sz w:val="18"/>
                  <w:szCs w:val="18"/>
                </w:rPr>
              </w:pPr>
              <w:r>
                <w:rPr>
                  <w:color w:val="0F4BEB" w:themeColor="accent1"/>
                  <w:sz w:val="18"/>
                  <w:szCs w:val="18"/>
                </w:rPr>
                <w:t>University of Technology Sydney</w:t>
              </w:r>
            </w:p>
          </w:tc>
          <w:tc>
            <w:tcPr>
              <w:tcW w:w="993" w:type="pct"/>
            </w:tcPr>
            <w:p w14:paraId="11B1A00F" w14:textId="77777777" w:rsidR="00440E2D" w:rsidRPr="00423573" w:rsidRDefault="00440E2D" w:rsidP="00DF2AEC">
              <w:pPr>
                <w:spacing w:after="0"/>
                <w:rPr>
                  <w:noProof/>
                  <w:color w:val="7F7F7F" w:themeColor="text1" w:themeTint="80"/>
                  <w:sz w:val="18"/>
                  <w:szCs w:val="18"/>
                </w:rPr>
              </w:pPr>
            </w:p>
          </w:tc>
          <w:tc>
            <w:tcPr>
              <w:tcW w:w="1494" w:type="pct"/>
            </w:tcPr>
            <w:p w14:paraId="66561C10" w14:textId="77777777" w:rsidR="00440E2D" w:rsidRPr="00423573" w:rsidRDefault="00440E2D" w:rsidP="00DF2AEC">
              <w:pPr>
                <w:spacing w:after="0"/>
                <w:jc w:val="right"/>
                <w:rPr>
                  <w:color w:val="0F4BEB" w:themeColor="accent1"/>
                  <w:sz w:val="24"/>
                  <w:szCs w:val="32"/>
                </w:rPr>
              </w:pPr>
              <w:r w:rsidRPr="002409C2">
                <w:rPr>
                  <w:color w:val="0F4BEB" w:themeColor="accent1"/>
                  <w:sz w:val="20"/>
                  <w:szCs w:val="24"/>
                </w:rPr>
                <w:fldChar w:fldCharType="begin"/>
              </w:r>
              <w:r w:rsidRPr="002409C2">
                <w:rPr>
                  <w:color w:val="0F4BEB" w:themeColor="accent1"/>
                  <w:sz w:val="20"/>
                  <w:szCs w:val="24"/>
                </w:rPr>
                <w:instrText xml:space="preserve"> PAGE   \* MERGEFORMAT </w:instrText>
              </w:r>
              <w:r w:rsidRPr="002409C2">
                <w:rPr>
                  <w:color w:val="0F4BEB" w:themeColor="accent1"/>
                  <w:sz w:val="20"/>
                  <w:szCs w:val="24"/>
                </w:rPr>
                <w:fldChar w:fldCharType="separate"/>
              </w:r>
              <w:r>
                <w:rPr>
                  <w:color w:val="0F4BEB" w:themeColor="accent1"/>
                  <w:sz w:val="20"/>
                  <w:szCs w:val="24"/>
                </w:rPr>
                <w:t>5</w:t>
              </w:r>
              <w:r w:rsidRPr="002409C2">
                <w:rPr>
                  <w:noProof/>
                  <w:color w:val="0F4BEB" w:themeColor="accent1"/>
                  <w:sz w:val="20"/>
                  <w:szCs w:val="24"/>
                </w:rPr>
                <w:fldChar w:fldCharType="end"/>
              </w:r>
            </w:p>
          </w:tc>
        </w:tr>
      </w:tbl>
      <w:p w14:paraId="08C3D89F" w14:textId="77777777" w:rsidR="00CB257C" w:rsidRDefault="00D64295">
        <w:pPr>
          <w:pStyle w:val="Foo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0F4BEB"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793"/>
      <w:gridCol w:w="2697"/>
    </w:tblGrid>
    <w:tr w:rsidR="00C26904" w14:paraId="76B9AC43" w14:textId="77777777">
      <w:tc>
        <w:tcPr>
          <w:tcW w:w="2513" w:type="pct"/>
        </w:tcPr>
        <w:p w14:paraId="06FE6A19" w14:textId="79CE729A" w:rsidR="00C26904" w:rsidRPr="00593DD6" w:rsidRDefault="00691999" w:rsidP="005575D3">
          <w:pPr>
            <w:spacing w:after="40"/>
            <w:rPr>
              <w:color w:val="0F4BEB" w:themeColor="accent1"/>
              <w:sz w:val="16"/>
              <w:szCs w:val="16"/>
            </w:rPr>
          </w:pPr>
          <w:r>
            <w:rPr>
              <w:color w:val="0F4BEB" w:themeColor="accent1"/>
              <w:sz w:val="18"/>
              <w:szCs w:val="18"/>
            </w:rPr>
            <w:t>University of Techno</w:t>
          </w:r>
          <w:r w:rsidR="0016539F">
            <w:rPr>
              <w:color w:val="0F4BEB" w:themeColor="accent1"/>
              <w:sz w:val="18"/>
              <w:szCs w:val="18"/>
            </w:rPr>
            <w:t>logy Sydney</w:t>
          </w:r>
        </w:p>
      </w:tc>
      <w:tc>
        <w:tcPr>
          <w:tcW w:w="993" w:type="pct"/>
        </w:tcPr>
        <w:p w14:paraId="6938FE12" w14:textId="77777777" w:rsidR="00C26904" w:rsidRPr="00423573" w:rsidRDefault="00C26904" w:rsidP="005575D3">
          <w:pPr>
            <w:rPr>
              <w:noProof/>
              <w:color w:val="7F7F7F" w:themeColor="text1" w:themeTint="80"/>
              <w:sz w:val="18"/>
              <w:szCs w:val="18"/>
            </w:rPr>
          </w:pPr>
        </w:p>
      </w:tc>
      <w:tc>
        <w:tcPr>
          <w:tcW w:w="1494" w:type="pct"/>
        </w:tcPr>
        <w:p w14:paraId="4A77F332" w14:textId="77777777" w:rsidR="00C26904" w:rsidRPr="00423573" w:rsidRDefault="00C26904" w:rsidP="005575D3">
          <w:pPr>
            <w:jc w:val="right"/>
            <w:rPr>
              <w:color w:val="0F4BEB" w:themeColor="accent1"/>
              <w:sz w:val="24"/>
              <w:szCs w:val="32"/>
            </w:rPr>
          </w:pPr>
          <w:r w:rsidRPr="002409C2">
            <w:rPr>
              <w:color w:val="0F4BEB" w:themeColor="accent1"/>
              <w:sz w:val="20"/>
              <w:szCs w:val="24"/>
            </w:rPr>
            <w:fldChar w:fldCharType="begin"/>
          </w:r>
          <w:r w:rsidRPr="002409C2">
            <w:rPr>
              <w:color w:val="0F4BEB" w:themeColor="accent1"/>
              <w:sz w:val="20"/>
              <w:szCs w:val="24"/>
            </w:rPr>
            <w:instrText xml:space="preserve"> PAGE   \* MERGEFORMAT </w:instrText>
          </w:r>
          <w:r w:rsidRPr="002409C2">
            <w:rPr>
              <w:color w:val="0F4BEB" w:themeColor="accent1"/>
              <w:sz w:val="20"/>
              <w:szCs w:val="24"/>
            </w:rPr>
            <w:fldChar w:fldCharType="separate"/>
          </w:r>
          <w:r>
            <w:rPr>
              <w:noProof/>
              <w:color w:val="0F4BEB" w:themeColor="accent1"/>
              <w:sz w:val="20"/>
              <w:szCs w:val="24"/>
            </w:rPr>
            <w:t>162</w:t>
          </w:r>
          <w:r w:rsidRPr="002409C2">
            <w:rPr>
              <w:noProof/>
              <w:color w:val="0F4BEB" w:themeColor="accent1"/>
              <w:sz w:val="20"/>
              <w:szCs w:val="24"/>
            </w:rPr>
            <w:fldChar w:fldCharType="end"/>
          </w:r>
        </w:p>
      </w:tc>
    </w:tr>
  </w:tbl>
  <w:p w14:paraId="4C128425" w14:textId="77777777" w:rsidR="00C26904" w:rsidRDefault="00C269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0F4BEB"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793"/>
      <w:gridCol w:w="2697"/>
    </w:tblGrid>
    <w:tr w:rsidR="00BB294B" w14:paraId="57ED6A92" w14:textId="77777777">
      <w:tc>
        <w:tcPr>
          <w:tcW w:w="2513" w:type="pct"/>
        </w:tcPr>
        <w:p w14:paraId="570165AC" w14:textId="77777777" w:rsidR="00BB294B" w:rsidRPr="00593DD6" w:rsidRDefault="00BB294B" w:rsidP="005575D3">
          <w:pPr>
            <w:spacing w:after="40"/>
            <w:rPr>
              <w:color w:val="0F4BEB" w:themeColor="accent1"/>
              <w:sz w:val="16"/>
              <w:szCs w:val="16"/>
            </w:rPr>
          </w:pPr>
          <w:r>
            <w:rPr>
              <w:color w:val="0F4BEB" w:themeColor="accent1"/>
              <w:sz w:val="18"/>
              <w:szCs w:val="18"/>
            </w:rPr>
            <w:t>University of Technology Sydney</w:t>
          </w:r>
        </w:p>
      </w:tc>
      <w:tc>
        <w:tcPr>
          <w:tcW w:w="993" w:type="pct"/>
        </w:tcPr>
        <w:p w14:paraId="6BA64B7A" w14:textId="77777777" w:rsidR="00BB294B" w:rsidRPr="00423573" w:rsidRDefault="00BB294B" w:rsidP="005575D3">
          <w:pPr>
            <w:rPr>
              <w:noProof/>
              <w:color w:val="7F7F7F" w:themeColor="text1" w:themeTint="80"/>
              <w:sz w:val="18"/>
              <w:szCs w:val="18"/>
            </w:rPr>
          </w:pPr>
        </w:p>
      </w:tc>
      <w:tc>
        <w:tcPr>
          <w:tcW w:w="1494" w:type="pct"/>
        </w:tcPr>
        <w:p w14:paraId="65AA78E9" w14:textId="77777777" w:rsidR="00BB294B" w:rsidRPr="00423573" w:rsidRDefault="00BB294B" w:rsidP="005575D3">
          <w:pPr>
            <w:jc w:val="right"/>
            <w:rPr>
              <w:color w:val="0F4BEB" w:themeColor="accent1"/>
              <w:sz w:val="24"/>
              <w:szCs w:val="32"/>
            </w:rPr>
          </w:pPr>
          <w:r w:rsidRPr="002409C2">
            <w:rPr>
              <w:color w:val="0F4BEB" w:themeColor="accent1"/>
              <w:sz w:val="20"/>
              <w:szCs w:val="24"/>
            </w:rPr>
            <w:fldChar w:fldCharType="begin"/>
          </w:r>
          <w:r w:rsidRPr="002409C2">
            <w:rPr>
              <w:color w:val="0F4BEB" w:themeColor="accent1"/>
              <w:sz w:val="20"/>
              <w:szCs w:val="24"/>
            </w:rPr>
            <w:instrText xml:space="preserve"> PAGE   \* MERGEFORMAT </w:instrText>
          </w:r>
          <w:r w:rsidRPr="002409C2">
            <w:rPr>
              <w:color w:val="0F4BEB" w:themeColor="accent1"/>
              <w:sz w:val="20"/>
              <w:szCs w:val="24"/>
            </w:rPr>
            <w:fldChar w:fldCharType="separate"/>
          </w:r>
          <w:r>
            <w:rPr>
              <w:noProof/>
              <w:color w:val="0F4BEB" w:themeColor="accent1"/>
              <w:sz w:val="20"/>
              <w:szCs w:val="24"/>
            </w:rPr>
            <w:t>162</w:t>
          </w:r>
          <w:r w:rsidRPr="002409C2">
            <w:rPr>
              <w:noProof/>
              <w:color w:val="0F4BEB" w:themeColor="accent1"/>
              <w:sz w:val="20"/>
              <w:szCs w:val="24"/>
            </w:rPr>
            <w:fldChar w:fldCharType="end"/>
          </w:r>
        </w:p>
      </w:tc>
    </w:tr>
  </w:tbl>
  <w:p w14:paraId="4A1E3A68" w14:textId="77777777" w:rsidR="00BB294B" w:rsidRDefault="00BB294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0F4BEB"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793"/>
      <w:gridCol w:w="2697"/>
    </w:tblGrid>
    <w:tr w:rsidR="00BB294B" w14:paraId="60E21D12" w14:textId="77777777">
      <w:tc>
        <w:tcPr>
          <w:tcW w:w="2513" w:type="pct"/>
        </w:tcPr>
        <w:p w14:paraId="12FBA09B" w14:textId="77777777" w:rsidR="00BB294B" w:rsidRPr="00593DD6" w:rsidRDefault="00BB294B" w:rsidP="005575D3">
          <w:pPr>
            <w:spacing w:after="40"/>
            <w:rPr>
              <w:color w:val="0F4BEB" w:themeColor="accent1"/>
              <w:sz w:val="16"/>
              <w:szCs w:val="16"/>
            </w:rPr>
          </w:pPr>
          <w:r>
            <w:rPr>
              <w:color w:val="0F4BEB" w:themeColor="accent1"/>
              <w:sz w:val="18"/>
              <w:szCs w:val="18"/>
            </w:rPr>
            <w:t>University of Technology Sydney</w:t>
          </w:r>
        </w:p>
      </w:tc>
      <w:tc>
        <w:tcPr>
          <w:tcW w:w="993" w:type="pct"/>
        </w:tcPr>
        <w:p w14:paraId="5A4D1DF8" w14:textId="77777777" w:rsidR="00BB294B" w:rsidRPr="00423573" w:rsidRDefault="00BB294B" w:rsidP="005575D3">
          <w:pPr>
            <w:rPr>
              <w:noProof/>
              <w:color w:val="7F7F7F" w:themeColor="text1" w:themeTint="80"/>
              <w:sz w:val="18"/>
              <w:szCs w:val="18"/>
            </w:rPr>
          </w:pPr>
        </w:p>
      </w:tc>
      <w:tc>
        <w:tcPr>
          <w:tcW w:w="1494" w:type="pct"/>
        </w:tcPr>
        <w:p w14:paraId="5B838DC1" w14:textId="77777777" w:rsidR="00BB294B" w:rsidRPr="00423573" w:rsidRDefault="00BB294B" w:rsidP="005575D3">
          <w:pPr>
            <w:jc w:val="right"/>
            <w:rPr>
              <w:color w:val="0F4BEB" w:themeColor="accent1"/>
              <w:sz w:val="24"/>
              <w:szCs w:val="32"/>
            </w:rPr>
          </w:pPr>
          <w:r w:rsidRPr="002409C2">
            <w:rPr>
              <w:color w:val="0F4BEB" w:themeColor="accent1"/>
              <w:sz w:val="20"/>
              <w:szCs w:val="24"/>
            </w:rPr>
            <w:fldChar w:fldCharType="begin"/>
          </w:r>
          <w:r w:rsidRPr="002409C2">
            <w:rPr>
              <w:color w:val="0F4BEB" w:themeColor="accent1"/>
              <w:sz w:val="20"/>
              <w:szCs w:val="24"/>
            </w:rPr>
            <w:instrText xml:space="preserve"> PAGE   \* MERGEFORMAT </w:instrText>
          </w:r>
          <w:r w:rsidRPr="002409C2">
            <w:rPr>
              <w:color w:val="0F4BEB" w:themeColor="accent1"/>
              <w:sz w:val="20"/>
              <w:szCs w:val="24"/>
            </w:rPr>
            <w:fldChar w:fldCharType="separate"/>
          </w:r>
          <w:r>
            <w:rPr>
              <w:noProof/>
              <w:color w:val="0F4BEB" w:themeColor="accent1"/>
              <w:sz w:val="20"/>
              <w:szCs w:val="24"/>
            </w:rPr>
            <w:t>162</w:t>
          </w:r>
          <w:r w:rsidRPr="002409C2">
            <w:rPr>
              <w:noProof/>
              <w:color w:val="0F4BEB" w:themeColor="accent1"/>
              <w:sz w:val="20"/>
              <w:szCs w:val="24"/>
            </w:rPr>
            <w:fldChar w:fldCharType="end"/>
          </w:r>
        </w:p>
      </w:tc>
    </w:tr>
  </w:tbl>
  <w:p w14:paraId="5D823452" w14:textId="77777777" w:rsidR="00BB294B" w:rsidRDefault="00BB29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AB71D" w14:textId="77777777" w:rsidR="00F6301C" w:rsidRPr="00C361AD" w:rsidRDefault="00F6301C" w:rsidP="00185154">
      <w:pPr>
        <w:rPr>
          <w:color w:val="0F4BEB" w:themeColor="accent1"/>
        </w:rPr>
      </w:pPr>
      <w:bookmarkStart w:id="0" w:name="_Hlk483310346"/>
      <w:bookmarkEnd w:id="0"/>
      <w:r w:rsidRPr="00C361AD">
        <w:rPr>
          <w:color w:val="0F4BEB" w:themeColor="accent1"/>
        </w:rPr>
        <w:separator/>
      </w:r>
    </w:p>
    <w:p w14:paraId="0EBFD191" w14:textId="77777777" w:rsidR="00F6301C" w:rsidRPr="00C361AD" w:rsidRDefault="00F6301C">
      <w:pPr>
        <w:rPr>
          <w:sz w:val="4"/>
          <w:szCs w:val="4"/>
        </w:rPr>
      </w:pPr>
    </w:p>
  </w:footnote>
  <w:footnote w:type="continuationSeparator" w:id="0">
    <w:p w14:paraId="36D3162E" w14:textId="77777777" w:rsidR="00F6301C" w:rsidRDefault="00F6301C" w:rsidP="00185154">
      <w:r>
        <w:continuationSeparator/>
      </w:r>
    </w:p>
    <w:p w14:paraId="5B06C457" w14:textId="77777777" w:rsidR="00F6301C" w:rsidRDefault="00F6301C"/>
  </w:footnote>
  <w:footnote w:type="continuationNotice" w:id="1">
    <w:p w14:paraId="0220B537" w14:textId="77777777" w:rsidR="00F6301C" w:rsidRDefault="00F6301C">
      <w:pPr>
        <w:spacing w:before="0" w:after="0" w:line="240" w:lineRule="auto"/>
      </w:pPr>
    </w:p>
  </w:footnote>
  <w:footnote w:id="2">
    <w:p w14:paraId="3099E368" w14:textId="411C0EBD" w:rsidR="005473CD" w:rsidRDefault="005473CD">
      <w:pPr>
        <w:pStyle w:val="FootnoteText"/>
      </w:pPr>
      <w:r>
        <w:rPr>
          <w:rStyle w:val="FootnoteReference"/>
        </w:rPr>
        <w:footnoteRef/>
      </w:r>
      <w:r>
        <w:t xml:space="preserve"> </w:t>
      </w:r>
      <w:r w:rsidR="00606E35" w:rsidRPr="00606E35">
        <w:t>We also use the terms mental health challenges or mental distress as they are broader non-patholgising terms that can encompass those people without a mental health diagnosis who experience distress.</w:t>
      </w:r>
    </w:p>
  </w:footnote>
  <w:footnote w:id="3">
    <w:p w14:paraId="2E56D17B" w14:textId="7DB5CA33" w:rsidR="00C11AA7" w:rsidRDefault="00C11AA7">
      <w:pPr>
        <w:pStyle w:val="FootnoteText"/>
      </w:pPr>
      <w:r>
        <w:rPr>
          <w:rStyle w:val="FootnoteReference"/>
        </w:rPr>
        <w:footnoteRef/>
      </w:r>
      <w:r>
        <w:t xml:space="preserve"> </w:t>
      </w:r>
      <w:r w:rsidRPr="00C11AA7">
        <w:t>Collectively, Rainbow Embassy members also have experience and expertise in mental health advocacy, research and education, and peer work in in-patient and community mental health services and LGBTIQA+-specific services providing mental health support, and include First Nations LGBTQSB+ people, and LGBTQ+ people from culturally and linguistically diverse backgrounds, people with disability, and people from rural areas.</w:t>
      </w:r>
    </w:p>
  </w:footnote>
  <w:footnote w:id="4">
    <w:p w14:paraId="0B8F8DF1" w14:textId="767B478B" w:rsidR="00757EB1" w:rsidRDefault="00757EB1">
      <w:pPr>
        <w:pStyle w:val="FootnoteText"/>
      </w:pPr>
      <w:r>
        <w:rPr>
          <w:rStyle w:val="FootnoteReference"/>
        </w:rPr>
        <w:footnoteRef/>
      </w:r>
      <w:r>
        <w:t xml:space="preserve"> </w:t>
      </w:r>
      <w:r w:rsidRPr="00757EB1">
        <w:t xml:space="preserve">Victorian Department of Health, </w:t>
      </w:r>
      <w:r w:rsidRPr="00757EB1">
        <w:rPr>
          <w:i/>
          <w:iCs/>
        </w:rPr>
        <w:t>Proportion of population who identify as LGBTIQ+</w:t>
      </w:r>
      <w:r w:rsidRPr="00757EB1">
        <w:t>,</w:t>
      </w:r>
      <w:r w:rsidR="00167F57">
        <w:t xml:space="preserve"> </w:t>
      </w:r>
      <w:r w:rsidR="004D11C1">
        <w:t>Last modified 16 November 2023</w:t>
      </w:r>
      <w:r w:rsidRPr="00757EB1">
        <w:t xml:space="preserve"> https://www.health.vic.gov.au/your-health-report-of-the-chief-health-officer-victoria-2018/health-inequalities/lgbtiq-victorians</w:t>
      </w:r>
    </w:p>
  </w:footnote>
  <w:footnote w:id="5">
    <w:p w14:paraId="179F7DAE" w14:textId="461553DD" w:rsidR="00183730" w:rsidRDefault="00183730">
      <w:pPr>
        <w:pStyle w:val="FootnoteText"/>
      </w:pPr>
      <w:r>
        <w:rPr>
          <w:rStyle w:val="FootnoteReference"/>
        </w:rPr>
        <w:footnoteRef/>
      </w:r>
      <w:r>
        <w:t xml:space="preserve"> </w:t>
      </w:r>
      <w:r w:rsidRPr="00183730">
        <w:t>Rainbow Health Victoria, “Research Matters: How many people are LGBTIQ?”</w:t>
      </w:r>
      <w:r w:rsidR="004416DB">
        <w:t xml:space="preserve">, </w:t>
      </w:r>
      <w:r w:rsidR="004416DB" w:rsidRPr="004416DB">
        <w:t>Accessed August 2023. https://www.rainbowhealthvic.org.au/media/pages/research-resources/research-matters-how-many-people-are-lgbtiq/4170611962-1612761890/researchmatters-numbers-lgbtiq.pdf</w:t>
      </w:r>
    </w:p>
  </w:footnote>
  <w:footnote w:id="6">
    <w:p w14:paraId="5C893671" w14:textId="145B8FC5" w:rsidR="00183730" w:rsidRDefault="00183730">
      <w:pPr>
        <w:pStyle w:val="FootnoteText"/>
      </w:pPr>
      <w:r>
        <w:rPr>
          <w:rStyle w:val="FootnoteReference"/>
        </w:rPr>
        <w:footnoteRef/>
      </w:r>
      <w:r>
        <w:t xml:space="preserve"> </w:t>
      </w:r>
      <w:r w:rsidR="006910B1" w:rsidRPr="006910B1">
        <w:t xml:space="preserve">Australian Bureau of Statistics, </w:t>
      </w:r>
      <w:r w:rsidR="00E76409">
        <w:t>“</w:t>
      </w:r>
      <w:r w:rsidR="006910B1" w:rsidRPr="006910B1">
        <w:t>National Study of Mental Health and Wellbeing 2022 – 2023</w:t>
      </w:r>
      <w:r w:rsidR="00E76409">
        <w:t>”</w:t>
      </w:r>
      <w:r w:rsidR="006910B1" w:rsidRPr="006910B1">
        <w:t>, Released: 5 October 2023</w:t>
      </w:r>
      <w:r w:rsidR="00056E7F">
        <w:t xml:space="preserve">, </w:t>
      </w:r>
      <w:r w:rsidR="00056E7F" w:rsidRPr="00056E7F">
        <w:t>https://www.abs.gov.au/statistics/health/mental-health/national-study-mental-health-and-wellbeing/latest-release</w:t>
      </w:r>
    </w:p>
  </w:footnote>
  <w:footnote w:id="7">
    <w:p w14:paraId="2F88BCC5" w14:textId="295C6DE0" w:rsidR="00DB5DD7" w:rsidRDefault="00DB5DD7">
      <w:pPr>
        <w:pStyle w:val="FootnoteText"/>
      </w:pPr>
      <w:r>
        <w:rPr>
          <w:rStyle w:val="FootnoteReference"/>
        </w:rPr>
        <w:footnoteRef/>
      </w:r>
      <w:r>
        <w:t xml:space="preserve"> </w:t>
      </w:r>
      <w:r w:rsidRPr="00DB5DD7">
        <w:t xml:space="preserve">LGBTIQ+ Health Australia, </w:t>
      </w:r>
      <w:r w:rsidRPr="003331CF">
        <w:rPr>
          <w:i/>
          <w:iCs/>
        </w:rPr>
        <w:t>Beyond Urgent: National LGBTIQ+ Mental Health and Suicide Prevention Strategy</w:t>
      </w:r>
      <w:r w:rsidRPr="00DB5DD7">
        <w:t>, Published: 1 November 2021.</w:t>
      </w:r>
    </w:p>
  </w:footnote>
  <w:footnote w:id="8">
    <w:p w14:paraId="184FD6E0" w14:textId="792D8086" w:rsidR="003B57FF" w:rsidRDefault="003B57FF">
      <w:pPr>
        <w:pStyle w:val="FootnoteText"/>
      </w:pPr>
      <w:r>
        <w:rPr>
          <w:rStyle w:val="FootnoteReference"/>
        </w:rPr>
        <w:footnoteRef/>
      </w:r>
      <w:r>
        <w:t xml:space="preserve"> </w:t>
      </w:r>
      <w:r w:rsidR="00DC57E0" w:rsidRPr="00DC57E0">
        <w:t xml:space="preserve">Institute of Medicine Committee on Crossing the Quality Chasm, </w:t>
      </w:r>
      <w:r w:rsidR="00DC57E0" w:rsidRPr="00466392">
        <w:rPr>
          <w:i/>
          <w:iCs/>
        </w:rPr>
        <w:t>Adaption to mental health and addictive disorder: Improving the quality of health care for mental and substance use conditions</w:t>
      </w:r>
      <w:r w:rsidR="00DC57E0" w:rsidRPr="00DC57E0">
        <w:t xml:space="preserve">. </w:t>
      </w:r>
      <w:r w:rsidR="00466392">
        <w:t>(</w:t>
      </w:r>
      <w:r w:rsidR="00DC57E0" w:rsidRPr="00DC57E0">
        <w:t>Washington, DC: Institute of Medicine, National Academies Press</w:t>
      </w:r>
      <w:r w:rsidR="00466392">
        <w:t>, 2006)</w:t>
      </w:r>
    </w:p>
  </w:footnote>
  <w:footnote w:id="9">
    <w:p w14:paraId="7147DA7C" w14:textId="252F33A7" w:rsidR="005334CF" w:rsidRDefault="005334CF" w:rsidP="005334CF">
      <w:pPr>
        <w:pStyle w:val="FootnoteText"/>
      </w:pPr>
      <w:r>
        <w:rPr>
          <w:rStyle w:val="FootnoteReference"/>
        </w:rPr>
        <w:footnoteRef/>
      </w:r>
      <w:r>
        <w:t xml:space="preserve"> </w:t>
      </w:r>
      <w:r w:rsidRPr="003B57FF">
        <w:t>Levesque, J. F., &amp; Sutherland, K.</w:t>
      </w:r>
      <w:r w:rsidR="00E25D00">
        <w:t>, “</w:t>
      </w:r>
      <w:r w:rsidRPr="003B57FF">
        <w:t>Combining patient, clinical and system perspectives in assessing performance in healthcare: an integrated measurement framework</w:t>
      </w:r>
      <w:r w:rsidR="00E25D00">
        <w:t xml:space="preserve">”, </w:t>
      </w:r>
      <w:r w:rsidRPr="003B57FF">
        <w:t xml:space="preserve">BMC health services research, </w:t>
      </w:r>
      <w:r w:rsidR="00872BC0">
        <w:t xml:space="preserve">no. </w:t>
      </w:r>
      <w:r w:rsidRPr="003B57FF">
        <w:t>20,</w:t>
      </w:r>
      <w:r w:rsidR="00872BC0">
        <w:t xml:space="preserve"> (2020):</w:t>
      </w:r>
      <w:r w:rsidRPr="003B57FF">
        <w:t xml:space="preserve"> 1-14.</w:t>
      </w:r>
    </w:p>
  </w:footnote>
  <w:footnote w:id="10">
    <w:p w14:paraId="572594FF" w14:textId="4540E12B" w:rsidR="00887698" w:rsidRDefault="00887698">
      <w:pPr>
        <w:pStyle w:val="FootnoteText"/>
      </w:pPr>
      <w:r>
        <w:rPr>
          <w:rStyle w:val="FootnoteReference"/>
        </w:rPr>
        <w:footnoteRef/>
      </w:r>
      <w:r>
        <w:t xml:space="preserve"> </w:t>
      </w:r>
      <w:r w:rsidRPr="00887698">
        <w:t xml:space="preserve">Personal recovery is a key focus of Australian mental health services and challenges a narrow focus on clinical definitions and measures of recovery, emphasising instead the importance of meaning, connection, hope, empowerment and identity to promote wellbeing for people with lived experience </w:t>
      </w:r>
      <w:r w:rsidRPr="00887698">
        <w:t>whether or not they have clinical symptom reduction (Leamy et al., 2011).</w:t>
      </w:r>
    </w:p>
  </w:footnote>
  <w:footnote w:id="11">
    <w:p w14:paraId="011F9A0E" w14:textId="196D46B3" w:rsidR="00AF7DF4" w:rsidRPr="00624A03" w:rsidRDefault="00AF7DF4" w:rsidP="009A486C">
      <w:pPr>
        <w:pStyle w:val="FootnoteText"/>
        <w:rPr>
          <w:rFonts w:cs="Arial"/>
          <w:szCs w:val="15"/>
          <w:u w:val="single"/>
        </w:rPr>
      </w:pPr>
      <w:r w:rsidRPr="00E900F6">
        <w:rPr>
          <w:rStyle w:val="FootnoteReference"/>
          <w:rFonts w:cs="Arial"/>
          <w:szCs w:val="15"/>
        </w:rPr>
        <w:footnoteRef/>
      </w:r>
      <w:r w:rsidRPr="00624A03">
        <w:rPr>
          <w:rFonts w:cs="Arial"/>
          <w:szCs w:val="15"/>
        </w:rPr>
        <w:t xml:space="preserve"> </w:t>
      </w:r>
      <w:r w:rsidR="00475509">
        <w:rPr>
          <w:rFonts w:cs="Arial"/>
          <w:szCs w:val="15"/>
        </w:rPr>
        <w:t>Jones</w:t>
      </w:r>
      <w:r w:rsidR="009A486C" w:rsidRPr="00E900F6">
        <w:rPr>
          <w:rFonts w:cs="Arial"/>
          <w:szCs w:val="15"/>
        </w:rPr>
        <w:t>,</w:t>
      </w:r>
      <w:r w:rsidR="00475509">
        <w:rPr>
          <w:rFonts w:cs="Arial"/>
          <w:szCs w:val="15"/>
        </w:rPr>
        <w:t xml:space="preserve"> </w:t>
      </w:r>
      <w:r w:rsidR="002D5945">
        <w:rPr>
          <w:rFonts w:cs="Arial"/>
          <w:szCs w:val="15"/>
        </w:rPr>
        <w:t xml:space="preserve">Timothy W., </w:t>
      </w:r>
      <w:r w:rsidR="009A486C" w:rsidRPr="00E900F6">
        <w:rPr>
          <w:rFonts w:cs="Arial"/>
          <w:szCs w:val="15"/>
        </w:rPr>
        <w:t>Power,</w:t>
      </w:r>
      <w:r w:rsidR="002D5945">
        <w:rPr>
          <w:rFonts w:cs="Arial"/>
          <w:szCs w:val="15"/>
        </w:rPr>
        <w:t xml:space="preserve"> Jennifer,</w:t>
      </w:r>
      <w:r w:rsidR="009A486C" w:rsidRPr="00E900F6">
        <w:rPr>
          <w:rFonts w:cs="Arial"/>
          <w:szCs w:val="15"/>
        </w:rPr>
        <w:t xml:space="preserve"> &amp; </w:t>
      </w:r>
      <w:r w:rsidR="00475509">
        <w:rPr>
          <w:rFonts w:cs="Arial"/>
          <w:szCs w:val="15"/>
        </w:rPr>
        <w:t>Jones</w:t>
      </w:r>
      <w:r w:rsidR="00E900F6" w:rsidRPr="00E900F6">
        <w:rPr>
          <w:rFonts w:cs="Arial"/>
          <w:szCs w:val="15"/>
        </w:rPr>
        <w:t>,</w:t>
      </w:r>
      <w:r w:rsidR="002D5945">
        <w:rPr>
          <w:rFonts w:cs="Arial"/>
          <w:szCs w:val="15"/>
        </w:rPr>
        <w:t xml:space="preserve"> Tiffany M.,</w:t>
      </w:r>
      <w:r w:rsidR="009A486C" w:rsidRPr="00E900F6">
        <w:rPr>
          <w:rFonts w:cs="Arial"/>
          <w:szCs w:val="15"/>
        </w:rPr>
        <w:t xml:space="preserve"> Religious trauma and moral injury from LGBTQA+ conversion practices. </w:t>
      </w:r>
      <w:r w:rsidR="009A486C" w:rsidRPr="00624A03">
        <w:rPr>
          <w:rFonts w:cs="Arial"/>
          <w:i/>
          <w:iCs/>
          <w:szCs w:val="15"/>
        </w:rPr>
        <w:t>Social Science &amp; Medicine</w:t>
      </w:r>
      <w:r w:rsidR="009A486C" w:rsidRPr="00624A03">
        <w:rPr>
          <w:rFonts w:cs="Arial"/>
          <w:szCs w:val="15"/>
        </w:rPr>
        <w:t xml:space="preserve"> , 305, </w:t>
      </w:r>
      <w:r w:rsidR="00E900F6" w:rsidRPr="00624A03">
        <w:rPr>
          <w:rFonts w:cs="Arial"/>
          <w:szCs w:val="15"/>
        </w:rPr>
        <w:t xml:space="preserve">(2020a): </w:t>
      </w:r>
      <w:r w:rsidR="009A486C" w:rsidRPr="00624A03">
        <w:rPr>
          <w:rFonts w:cs="Arial"/>
          <w:szCs w:val="15"/>
        </w:rPr>
        <w:t xml:space="preserve">115040–115040. </w:t>
      </w:r>
    </w:p>
  </w:footnote>
  <w:footnote w:id="12">
    <w:p w14:paraId="3465C0F6" w14:textId="152C8999" w:rsidR="00AF7DF4" w:rsidRPr="00624A03" w:rsidRDefault="00AF7DF4" w:rsidP="00AF7DF4">
      <w:pPr>
        <w:pStyle w:val="FootnoteText"/>
      </w:pPr>
      <w:r w:rsidRPr="00E900F6">
        <w:rPr>
          <w:rStyle w:val="FootnoteReference"/>
          <w:rFonts w:cs="Arial"/>
          <w:szCs w:val="15"/>
        </w:rPr>
        <w:footnoteRef/>
      </w:r>
      <w:r w:rsidRPr="00624A03">
        <w:rPr>
          <w:rFonts w:cs="Arial"/>
          <w:szCs w:val="15"/>
        </w:rPr>
        <w:t xml:space="preserve"> </w:t>
      </w:r>
      <w:r w:rsidR="00E900F6" w:rsidRPr="00624A03">
        <w:rPr>
          <w:rFonts w:cs="Arial"/>
          <w:szCs w:val="15"/>
        </w:rPr>
        <w:t>Bellingham,</w:t>
      </w:r>
      <w:r w:rsidR="00C23401" w:rsidRPr="00624A03">
        <w:rPr>
          <w:rFonts w:cs="Arial"/>
          <w:szCs w:val="15"/>
        </w:rPr>
        <w:t xml:space="preserve"> Brett,</w:t>
      </w:r>
      <w:r w:rsidR="004465E3" w:rsidRPr="00624A03">
        <w:rPr>
          <w:rFonts w:cs="Arial"/>
          <w:szCs w:val="15"/>
        </w:rPr>
        <w:t xml:space="preserve"> </w:t>
      </w:r>
      <w:r w:rsidR="00E900F6" w:rsidRPr="00624A03">
        <w:rPr>
          <w:rFonts w:cs="Arial"/>
          <w:szCs w:val="15"/>
        </w:rPr>
        <w:t>Elder,</w:t>
      </w:r>
      <w:r w:rsidR="00C23401" w:rsidRPr="00624A03">
        <w:rPr>
          <w:rFonts w:cs="Arial"/>
          <w:szCs w:val="15"/>
        </w:rPr>
        <w:t xml:space="preserve"> Emma, </w:t>
      </w:r>
      <w:r w:rsidR="00E900F6" w:rsidRPr="00624A03">
        <w:rPr>
          <w:rFonts w:cs="Arial"/>
          <w:szCs w:val="15"/>
        </w:rPr>
        <w:t>Foxlewin,</w:t>
      </w:r>
      <w:r w:rsidR="00C23401" w:rsidRPr="00624A03">
        <w:rPr>
          <w:rFonts w:cs="Arial"/>
          <w:szCs w:val="15"/>
        </w:rPr>
        <w:t xml:space="preserve"> Bradley, </w:t>
      </w:r>
      <w:r w:rsidR="00E900F6" w:rsidRPr="00624A03">
        <w:rPr>
          <w:rFonts w:cs="Arial"/>
          <w:szCs w:val="15"/>
        </w:rPr>
        <w:t>Gale,</w:t>
      </w:r>
      <w:r w:rsidR="00C23401" w:rsidRPr="00624A03">
        <w:rPr>
          <w:rFonts w:cs="Arial"/>
          <w:szCs w:val="15"/>
        </w:rPr>
        <w:t xml:space="preserve"> Nyree,</w:t>
      </w:r>
      <w:r w:rsidR="00E900F6" w:rsidRPr="00624A03">
        <w:rPr>
          <w:rFonts w:cs="Arial"/>
          <w:szCs w:val="15"/>
        </w:rPr>
        <w:t xml:space="preserve"> Rose,</w:t>
      </w:r>
      <w:r w:rsidR="00C23401" w:rsidRPr="00624A03">
        <w:rPr>
          <w:rFonts w:cs="Arial"/>
          <w:szCs w:val="15"/>
        </w:rPr>
        <w:t xml:space="preserve"> Dr. Grenville, </w:t>
      </w:r>
      <w:r w:rsidR="00E900F6" w:rsidRPr="00624A03">
        <w:rPr>
          <w:rFonts w:cs="Arial"/>
          <w:szCs w:val="15"/>
        </w:rPr>
        <w:t>Sam,</w:t>
      </w:r>
      <w:r w:rsidR="00C23401" w:rsidRPr="00624A03">
        <w:rPr>
          <w:rFonts w:cs="Arial"/>
          <w:szCs w:val="15"/>
        </w:rPr>
        <w:t xml:space="preserve"> Katy, </w:t>
      </w:r>
      <w:r w:rsidR="00E900F6" w:rsidRPr="00624A03">
        <w:rPr>
          <w:rFonts w:cs="Arial"/>
          <w:szCs w:val="15"/>
        </w:rPr>
        <w:t>Thorburn,</w:t>
      </w:r>
      <w:r w:rsidR="002D5945" w:rsidRPr="00624A03">
        <w:rPr>
          <w:rFonts w:cs="Arial"/>
          <w:szCs w:val="15"/>
        </w:rPr>
        <w:t xml:space="preserve"> Kath</w:t>
      </w:r>
      <w:r w:rsidR="00E900F6" w:rsidRPr="00624A03">
        <w:rPr>
          <w:rFonts w:cs="Arial"/>
          <w:szCs w:val="15"/>
        </w:rPr>
        <w:t xml:space="preserve"> &amp;</w:t>
      </w:r>
      <w:r w:rsidR="00C23401" w:rsidRPr="00624A03">
        <w:rPr>
          <w:rFonts w:cs="Arial"/>
          <w:szCs w:val="15"/>
        </w:rPr>
        <w:t xml:space="preserve"> </w:t>
      </w:r>
      <w:r w:rsidR="00E900F6" w:rsidRPr="00624A03">
        <w:rPr>
          <w:rFonts w:cs="Arial"/>
          <w:szCs w:val="15"/>
        </w:rPr>
        <w:t>River,</w:t>
      </w:r>
      <w:r w:rsidR="002D5945" w:rsidRPr="00624A03">
        <w:rPr>
          <w:rFonts w:cs="Arial"/>
          <w:szCs w:val="15"/>
        </w:rPr>
        <w:t xml:space="preserve"> Jo,</w:t>
      </w:r>
      <w:r w:rsidR="00E900F6" w:rsidRPr="00624A03">
        <w:rPr>
          <w:rFonts w:cs="Arial"/>
          <w:szCs w:val="15"/>
        </w:rPr>
        <w:t xml:space="preserve"> </w:t>
      </w:r>
      <w:r w:rsidR="00E900F6" w:rsidRPr="00624A03">
        <w:rPr>
          <w:rFonts w:cs="Arial"/>
          <w:i/>
          <w:iCs/>
          <w:szCs w:val="15"/>
        </w:rPr>
        <w:t>Co-design Kickstarter</w:t>
      </w:r>
      <w:r w:rsidR="00E900F6" w:rsidRPr="00624A03">
        <w:rPr>
          <w:rFonts w:cs="Arial"/>
          <w:szCs w:val="15"/>
        </w:rPr>
        <w:t>. Community Mental Health Drug and Alcohol Research Network, 2023.</w:t>
      </w:r>
    </w:p>
  </w:footnote>
  <w:footnote w:id="13">
    <w:p w14:paraId="3C7715D4" w14:textId="693E7D7E" w:rsidR="00A86311" w:rsidRPr="0034306E" w:rsidRDefault="00A86311" w:rsidP="00455645">
      <w:pPr>
        <w:rPr>
          <w:sz w:val="16"/>
          <w:szCs w:val="16"/>
        </w:rPr>
      </w:pPr>
      <w:r w:rsidRPr="0034306E">
        <w:rPr>
          <w:rStyle w:val="FootnoteReference"/>
          <w:sz w:val="16"/>
          <w:szCs w:val="16"/>
        </w:rPr>
        <w:footnoteRef/>
      </w:r>
      <w:r w:rsidRPr="0034306E">
        <w:rPr>
          <w:sz w:val="16"/>
          <w:szCs w:val="16"/>
        </w:rPr>
        <w:t xml:space="preserve"> </w:t>
      </w:r>
      <w:r w:rsidR="004A6597" w:rsidRPr="0034306E">
        <w:rPr>
          <w:rFonts w:ascii="Arial" w:eastAsia="Arial" w:hAnsi="Arial"/>
          <w:sz w:val="16"/>
          <w:szCs w:val="16"/>
        </w:rPr>
        <w:t xml:space="preserve">Collectively, </w:t>
      </w:r>
      <w:r w:rsidR="005C37FA" w:rsidRPr="0034306E">
        <w:rPr>
          <w:rFonts w:ascii="Arial" w:eastAsia="Arial" w:hAnsi="Arial"/>
          <w:sz w:val="16"/>
          <w:szCs w:val="16"/>
        </w:rPr>
        <w:t>Rainbow E</w:t>
      </w:r>
      <w:r w:rsidR="004A6597" w:rsidRPr="0034306E">
        <w:rPr>
          <w:rFonts w:ascii="Arial" w:eastAsia="Arial" w:hAnsi="Arial"/>
          <w:sz w:val="16"/>
          <w:szCs w:val="16"/>
        </w:rPr>
        <w:t>m</w:t>
      </w:r>
      <w:r w:rsidR="005C37FA" w:rsidRPr="0034306E">
        <w:rPr>
          <w:rFonts w:ascii="Arial" w:eastAsia="Arial" w:hAnsi="Arial"/>
          <w:sz w:val="16"/>
          <w:szCs w:val="16"/>
        </w:rPr>
        <w:t>bassy m</w:t>
      </w:r>
      <w:r w:rsidR="004A6597" w:rsidRPr="0034306E">
        <w:rPr>
          <w:rFonts w:ascii="Arial" w:eastAsia="Arial" w:hAnsi="Arial"/>
          <w:sz w:val="16"/>
          <w:szCs w:val="16"/>
        </w:rPr>
        <w:t xml:space="preserve">embers also have experience and expertise in mental health advocacy, research and education, and peer work in in-patient and community mental health services and LGBTIQA+ specific services providing mental health support. </w:t>
      </w:r>
    </w:p>
  </w:footnote>
  <w:footnote w:id="14">
    <w:p w14:paraId="24377907" w14:textId="563FCC73" w:rsidR="00522B22" w:rsidRPr="0034306E" w:rsidRDefault="00522B22">
      <w:pPr>
        <w:pStyle w:val="FootnoteText"/>
        <w:rPr>
          <w:sz w:val="16"/>
          <w:szCs w:val="22"/>
          <w:lang w:val="en-US"/>
        </w:rPr>
      </w:pPr>
      <w:r w:rsidRPr="0034306E">
        <w:rPr>
          <w:rStyle w:val="FootnoteReference"/>
          <w:sz w:val="16"/>
          <w:szCs w:val="22"/>
        </w:rPr>
        <w:footnoteRef/>
      </w:r>
      <w:r w:rsidRPr="0034306E">
        <w:rPr>
          <w:sz w:val="16"/>
          <w:szCs w:val="22"/>
        </w:rPr>
        <w:t xml:space="preserve"> </w:t>
      </w:r>
      <w:r w:rsidR="00840DE6" w:rsidRPr="0034306E">
        <w:rPr>
          <w:sz w:val="16"/>
          <w:szCs w:val="22"/>
        </w:rPr>
        <w:t xml:space="preserve">Australian Bureau of Statistics, </w:t>
      </w:r>
      <w:r w:rsidR="00C8478B" w:rsidRPr="0034306E">
        <w:rPr>
          <w:sz w:val="16"/>
          <w:szCs w:val="22"/>
        </w:rPr>
        <w:t xml:space="preserve">"Statement of Regret - 2021 Census," accessed August 2023, </w:t>
      </w:r>
      <w:hyperlink r:id="rId1" w:tgtFrame="_new" w:history="1">
        <w:r w:rsidR="00C8478B" w:rsidRPr="0034306E">
          <w:rPr>
            <w:rStyle w:val="Hyperlink"/>
            <w:sz w:val="16"/>
            <w:szCs w:val="22"/>
          </w:rPr>
          <w:t>https://www.abs.gov.au/media-centre/media-statements/statement-regret-2021-census</w:t>
        </w:r>
      </w:hyperlink>
      <w:r w:rsidR="00C8478B" w:rsidRPr="0034306E">
        <w:rPr>
          <w:sz w:val="16"/>
          <w:szCs w:val="22"/>
        </w:rPr>
        <w:t>.</w:t>
      </w:r>
    </w:p>
  </w:footnote>
  <w:footnote w:id="15">
    <w:p w14:paraId="312B9A33" w14:textId="4677E7F3" w:rsidR="000A73B0" w:rsidRPr="0034306E" w:rsidRDefault="000A73B0" w:rsidP="000A73B0">
      <w:pPr>
        <w:pStyle w:val="FootnoteText"/>
        <w:rPr>
          <w:sz w:val="16"/>
          <w:szCs w:val="22"/>
          <w:lang w:val="en-US"/>
        </w:rPr>
      </w:pPr>
      <w:r w:rsidRPr="0034306E">
        <w:rPr>
          <w:rStyle w:val="FootnoteReference"/>
          <w:sz w:val="16"/>
          <w:szCs w:val="22"/>
        </w:rPr>
        <w:footnoteRef/>
      </w:r>
      <w:r w:rsidRPr="0034306E">
        <w:rPr>
          <w:sz w:val="16"/>
          <w:szCs w:val="22"/>
        </w:rPr>
        <w:t xml:space="preserve"> </w:t>
      </w:r>
      <w:r w:rsidR="00840DE6" w:rsidRPr="0034306E">
        <w:rPr>
          <w:sz w:val="16"/>
          <w:szCs w:val="22"/>
        </w:rPr>
        <w:t xml:space="preserve">Equality Australia, </w:t>
      </w:r>
      <w:r w:rsidR="00C8478B" w:rsidRPr="0034306E">
        <w:rPr>
          <w:sz w:val="16"/>
          <w:szCs w:val="22"/>
        </w:rPr>
        <w:t xml:space="preserve">"ABS Admits New Recommendations Required to Count LGBTIQ+ People Properly in Census," accessed August 2023, </w:t>
      </w:r>
      <w:hyperlink r:id="rId2" w:tgtFrame="_new" w:history="1">
        <w:r w:rsidR="00C8478B" w:rsidRPr="0034306E">
          <w:rPr>
            <w:rStyle w:val="Hyperlink"/>
            <w:sz w:val="16"/>
            <w:szCs w:val="22"/>
          </w:rPr>
          <w:t>https://equalityaustralia.org.au/abs-admits-new-recommendations-required-to-count-lgbtiq-people-properly-in-census/</w:t>
        </w:r>
      </w:hyperlink>
      <w:r w:rsidRPr="0034306E">
        <w:rPr>
          <w:sz w:val="16"/>
          <w:szCs w:val="22"/>
          <w:lang w:val="en-US"/>
        </w:rPr>
        <w:t xml:space="preserve">. </w:t>
      </w:r>
    </w:p>
  </w:footnote>
  <w:footnote w:id="16">
    <w:p w14:paraId="3E84C888" w14:textId="10D01D63" w:rsidR="005A52AE" w:rsidRPr="0034306E" w:rsidRDefault="005A52AE">
      <w:pPr>
        <w:pStyle w:val="FootnoteText"/>
        <w:rPr>
          <w:sz w:val="16"/>
          <w:szCs w:val="22"/>
        </w:rPr>
      </w:pPr>
      <w:r w:rsidRPr="0034306E">
        <w:rPr>
          <w:rStyle w:val="FootnoteReference"/>
          <w:sz w:val="16"/>
          <w:szCs w:val="22"/>
        </w:rPr>
        <w:footnoteRef/>
      </w:r>
      <w:r w:rsidRPr="0034306E">
        <w:rPr>
          <w:sz w:val="16"/>
          <w:szCs w:val="22"/>
        </w:rPr>
        <w:t xml:space="preserve"> </w:t>
      </w:r>
      <w:r w:rsidR="00605333" w:rsidRPr="0034306E">
        <w:rPr>
          <w:sz w:val="16"/>
          <w:szCs w:val="22"/>
        </w:rPr>
        <w:t xml:space="preserve">For example, in consultation with the community, La Trobe University has adjusted and expanded the terminology used in their </w:t>
      </w:r>
      <w:r w:rsidR="00605333" w:rsidRPr="0034306E">
        <w:rPr>
          <w:i/>
          <w:iCs/>
          <w:sz w:val="16"/>
          <w:szCs w:val="22"/>
        </w:rPr>
        <w:t xml:space="preserve">Writing Themselves in </w:t>
      </w:r>
      <w:r w:rsidR="00605333" w:rsidRPr="0034306E">
        <w:rPr>
          <w:sz w:val="16"/>
          <w:szCs w:val="22"/>
        </w:rPr>
        <w:t>surveys, which focuses on the experiences of LGBTQIA+ youth. The terminology used to capture data on gender diverse youth has expanded from a single ‘gender-questioning’ option in 2010, to include 19 gender identity options in 2021</w:t>
      </w:r>
      <w:r w:rsidR="005C1A38" w:rsidRPr="0034306E">
        <w:rPr>
          <w:sz w:val="16"/>
          <w:szCs w:val="22"/>
        </w:rPr>
        <w:t>.</w:t>
      </w:r>
      <w:r w:rsidR="00F42CDB" w:rsidRPr="0034306E">
        <w:rPr>
          <w:sz w:val="16"/>
          <w:szCs w:val="22"/>
        </w:rPr>
        <w:t xml:space="preserve"> (Hill AO, Lyons A, Jones J, McGowan I, Carman M, Parsons M, Power J, Bourne A 2021, </w:t>
      </w:r>
      <w:r w:rsidR="00F42CDB" w:rsidRPr="0034306E">
        <w:rPr>
          <w:i/>
          <w:iCs/>
          <w:sz w:val="16"/>
          <w:szCs w:val="22"/>
        </w:rPr>
        <w:t>Writing Themselves In 4: The health and wellbeing of LGBTQA+ young people in Australia, National report,</w:t>
      </w:r>
      <w:r w:rsidR="00F42CDB" w:rsidRPr="0034306E">
        <w:rPr>
          <w:sz w:val="16"/>
          <w:szCs w:val="22"/>
        </w:rPr>
        <w:t xml:space="preserve"> monograph series number 124. Melbourne: Australian Research Centre in Sex, Health and Society, La Trobe University p. 26).</w:t>
      </w:r>
    </w:p>
  </w:footnote>
  <w:footnote w:id="17">
    <w:p w14:paraId="70C7604B" w14:textId="217EED52" w:rsidR="000A73B0" w:rsidRPr="0034306E" w:rsidRDefault="000A73B0" w:rsidP="000A73B0">
      <w:pPr>
        <w:pStyle w:val="FootnoteText"/>
        <w:rPr>
          <w:i/>
          <w:iCs/>
          <w:sz w:val="16"/>
          <w:szCs w:val="16"/>
        </w:rPr>
      </w:pPr>
      <w:r w:rsidRPr="0034306E">
        <w:rPr>
          <w:rStyle w:val="FootnoteReference"/>
          <w:sz w:val="16"/>
          <w:szCs w:val="16"/>
        </w:rPr>
        <w:footnoteRef/>
      </w:r>
      <w:r w:rsidRPr="0034306E">
        <w:rPr>
          <w:sz w:val="16"/>
          <w:szCs w:val="16"/>
        </w:rPr>
        <w:t xml:space="preserve"> </w:t>
      </w:r>
      <w:r w:rsidR="000E43D6" w:rsidRPr="0034306E">
        <w:rPr>
          <w:sz w:val="16"/>
          <w:szCs w:val="16"/>
        </w:rPr>
        <w:t>Rainbow Health Victoria, "Research Matters: How Many People Are LGBTIQ?</w:t>
      </w:r>
      <w:r w:rsidR="000604FF">
        <w:rPr>
          <w:sz w:val="16"/>
          <w:szCs w:val="16"/>
        </w:rPr>
        <w:t>”</w:t>
      </w:r>
    </w:p>
  </w:footnote>
  <w:footnote w:id="18">
    <w:p w14:paraId="14A3F4E4" w14:textId="4CE729B8" w:rsidR="00BC4041" w:rsidRPr="0034306E" w:rsidRDefault="00BC4041" w:rsidP="0056127B">
      <w:pPr>
        <w:rPr>
          <w:sz w:val="16"/>
          <w:szCs w:val="16"/>
        </w:rPr>
      </w:pPr>
      <w:r w:rsidRPr="0034306E">
        <w:rPr>
          <w:rStyle w:val="FootnoteReference"/>
          <w:sz w:val="16"/>
          <w:szCs w:val="16"/>
        </w:rPr>
        <w:footnoteRef/>
      </w:r>
      <w:r w:rsidRPr="0034306E">
        <w:rPr>
          <w:sz w:val="16"/>
          <w:szCs w:val="16"/>
        </w:rPr>
        <w:t xml:space="preserve"> It should also be noted that organisations such as LHA have been campaigning to improve the way LGBTQ+ data is collected across Australia. Among other actions, this has included campaigning and the development of submissions to support the proposed inclusion of </w:t>
      </w:r>
      <w:r w:rsidRPr="0034306E">
        <w:rPr>
          <w:i/>
          <w:iCs/>
          <w:sz w:val="16"/>
          <w:szCs w:val="16"/>
        </w:rPr>
        <w:t xml:space="preserve">gender, sexual orientation, </w:t>
      </w:r>
      <w:r w:rsidRPr="0034306E">
        <w:rPr>
          <w:sz w:val="16"/>
          <w:szCs w:val="16"/>
        </w:rPr>
        <w:t xml:space="preserve">and </w:t>
      </w:r>
      <w:r w:rsidRPr="0034306E">
        <w:rPr>
          <w:i/>
          <w:iCs/>
          <w:sz w:val="16"/>
          <w:szCs w:val="16"/>
        </w:rPr>
        <w:t xml:space="preserve">variations of sex characteristics </w:t>
      </w:r>
      <w:r w:rsidRPr="0034306E">
        <w:rPr>
          <w:sz w:val="16"/>
          <w:szCs w:val="16"/>
        </w:rPr>
        <w:t xml:space="preserve">as new topics in the 2026 Census. </w:t>
      </w:r>
    </w:p>
  </w:footnote>
  <w:footnote w:id="19">
    <w:p w14:paraId="36D4291C" w14:textId="4CD3CB00" w:rsidR="00650902" w:rsidRPr="0034306E" w:rsidRDefault="00650902" w:rsidP="00650902">
      <w:pPr>
        <w:pStyle w:val="FootnoteText"/>
        <w:rPr>
          <w:i/>
          <w:iCs/>
          <w:sz w:val="16"/>
          <w:szCs w:val="16"/>
        </w:rPr>
      </w:pPr>
      <w:r w:rsidRPr="0034306E">
        <w:rPr>
          <w:rStyle w:val="FootnoteReference"/>
          <w:sz w:val="16"/>
          <w:szCs w:val="16"/>
        </w:rPr>
        <w:footnoteRef/>
      </w:r>
      <w:r w:rsidRPr="0034306E">
        <w:rPr>
          <w:sz w:val="16"/>
          <w:szCs w:val="16"/>
        </w:rPr>
        <w:t xml:space="preserve"> Rainbow Health Victoria, </w:t>
      </w:r>
      <w:r w:rsidR="009E4DDB" w:rsidRPr="0034306E">
        <w:rPr>
          <w:sz w:val="16"/>
          <w:szCs w:val="16"/>
        </w:rPr>
        <w:t>“</w:t>
      </w:r>
      <w:r w:rsidRPr="002A698E">
        <w:rPr>
          <w:sz w:val="16"/>
          <w:szCs w:val="16"/>
        </w:rPr>
        <w:t xml:space="preserve">Research Matters: How many people are </w:t>
      </w:r>
      <w:r w:rsidR="009E4DDB" w:rsidRPr="002A698E">
        <w:rPr>
          <w:sz w:val="16"/>
          <w:szCs w:val="16"/>
        </w:rPr>
        <w:t>LGBTIQ?”</w:t>
      </w:r>
      <w:r w:rsidRPr="0034306E">
        <w:rPr>
          <w:i/>
          <w:iCs/>
          <w:sz w:val="16"/>
          <w:szCs w:val="16"/>
        </w:rPr>
        <w:t xml:space="preserve"> </w:t>
      </w:r>
    </w:p>
  </w:footnote>
  <w:footnote w:id="20">
    <w:p w14:paraId="2BD14C51" w14:textId="4B0B0FB9" w:rsidR="006C5E73" w:rsidRPr="0034306E" w:rsidRDefault="006C5E73" w:rsidP="006C5E73">
      <w:pPr>
        <w:pStyle w:val="FootnoteText"/>
        <w:rPr>
          <w:i/>
          <w:iCs/>
          <w:sz w:val="16"/>
          <w:szCs w:val="16"/>
        </w:rPr>
      </w:pPr>
      <w:r w:rsidRPr="0034306E">
        <w:rPr>
          <w:rStyle w:val="FootnoteReference"/>
          <w:sz w:val="16"/>
          <w:szCs w:val="16"/>
        </w:rPr>
        <w:footnoteRef/>
      </w:r>
      <w:r w:rsidRPr="0034306E">
        <w:rPr>
          <w:sz w:val="16"/>
          <w:szCs w:val="16"/>
        </w:rPr>
        <w:t xml:space="preserve"> </w:t>
      </w:r>
      <w:r w:rsidR="009E4DDB" w:rsidRPr="0034306E">
        <w:rPr>
          <w:sz w:val="16"/>
          <w:szCs w:val="16"/>
        </w:rPr>
        <w:t>Rainbow Health Victoria, “</w:t>
      </w:r>
      <w:r w:rsidR="009E4DDB" w:rsidRPr="002A698E">
        <w:rPr>
          <w:sz w:val="16"/>
          <w:szCs w:val="16"/>
        </w:rPr>
        <w:t>Research Matters: How many people are LGBTIQ?”</w:t>
      </w:r>
    </w:p>
  </w:footnote>
  <w:footnote w:id="21">
    <w:p w14:paraId="0439E88C" w14:textId="6A7F276C" w:rsidR="00650902" w:rsidRPr="0034306E" w:rsidRDefault="00650902" w:rsidP="00650902">
      <w:pPr>
        <w:pStyle w:val="FootnoteText"/>
        <w:rPr>
          <w:i/>
          <w:iCs/>
          <w:sz w:val="16"/>
          <w:szCs w:val="16"/>
        </w:rPr>
      </w:pPr>
      <w:r w:rsidRPr="0034306E">
        <w:rPr>
          <w:rStyle w:val="FootnoteReference"/>
          <w:sz w:val="16"/>
          <w:szCs w:val="16"/>
        </w:rPr>
        <w:footnoteRef/>
      </w:r>
      <w:r w:rsidRPr="0034306E">
        <w:rPr>
          <w:sz w:val="16"/>
          <w:szCs w:val="16"/>
        </w:rPr>
        <w:t xml:space="preserve"> </w:t>
      </w:r>
      <w:r w:rsidR="009E4DDB" w:rsidRPr="0034306E">
        <w:rPr>
          <w:sz w:val="16"/>
          <w:szCs w:val="16"/>
        </w:rPr>
        <w:t xml:space="preserve">Rainbow Health Victoria, </w:t>
      </w:r>
      <w:r w:rsidR="009E4DDB" w:rsidRPr="00B868C6">
        <w:rPr>
          <w:sz w:val="16"/>
          <w:szCs w:val="16"/>
        </w:rPr>
        <w:t>“Research Matters: How many people are LGBTIQ?”</w:t>
      </w:r>
    </w:p>
  </w:footnote>
  <w:footnote w:id="22">
    <w:p w14:paraId="3C9B0060" w14:textId="19CBCB1F" w:rsidR="00650902" w:rsidRPr="00001FB7" w:rsidRDefault="00650902" w:rsidP="00650902">
      <w:pPr>
        <w:pStyle w:val="FootnoteText"/>
        <w:rPr>
          <w:i/>
          <w:iCs/>
          <w:sz w:val="16"/>
          <w:szCs w:val="22"/>
        </w:rPr>
      </w:pPr>
      <w:r w:rsidRPr="00001FB7">
        <w:rPr>
          <w:rStyle w:val="FootnoteReference"/>
          <w:sz w:val="16"/>
          <w:szCs w:val="22"/>
        </w:rPr>
        <w:footnoteRef/>
      </w:r>
      <w:r w:rsidRPr="00001FB7">
        <w:rPr>
          <w:sz w:val="16"/>
          <w:szCs w:val="22"/>
        </w:rPr>
        <w:t xml:space="preserve"> </w:t>
      </w:r>
      <w:r w:rsidR="009E4DDB" w:rsidRPr="00001FB7">
        <w:rPr>
          <w:sz w:val="16"/>
          <w:szCs w:val="22"/>
        </w:rPr>
        <w:t xml:space="preserve">Rainbow Health Victoria, </w:t>
      </w:r>
      <w:r w:rsidR="009E4DDB" w:rsidRPr="00B868C6">
        <w:rPr>
          <w:sz w:val="16"/>
          <w:szCs w:val="22"/>
        </w:rPr>
        <w:t>“Research Matters: How many people are LGBTIQ?”</w:t>
      </w:r>
    </w:p>
  </w:footnote>
  <w:footnote w:id="23">
    <w:p w14:paraId="704FB583" w14:textId="5D4DB269" w:rsidR="00665119" w:rsidRPr="00001FB7" w:rsidRDefault="00CB257C">
      <w:pPr>
        <w:pStyle w:val="FootnoteText"/>
        <w:rPr>
          <w:i/>
          <w:iCs/>
          <w:sz w:val="16"/>
          <w:szCs w:val="22"/>
          <w:lang w:val="en-US"/>
        </w:rPr>
      </w:pPr>
      <w:r w:rsidRPr="00001FB7">
        <w:rPr>
          <w:rStyle w:val="FootnoteReference"/>
          <w:sz w:val="16"/>
          <w:szCs w:val="22"/>
        </w:rPr>
        <w:footnoteRef/>
      </w:r>
      <w:r w:rsidRPr="00001FB7">
        <w:rPr>
          <w:sz w:val="16"/>
          <w:szCs w:val="22"/>
        </w:rPr>
        <w:t xml:space="preserve"> </w:t>
      </w:r>
      <w:r w:rsidR="00EC3573" w:rsidRPr="00EC3573">
        <w:rPr>
          <w:sz w:val="16"/>
          <w:szCs w:val="22"/>
          <w:lang w:val="en-US"/>
        </w:rPr>
        <w:t>Australian Bureau of Statistics. “General Social Survey 2020: Summary Results Australia – Table 5.3.” Accessed August 2023. https://www.abs.gov.au/statistics/people/people-and-communities/general-social-survey-summary-results-australia/latest-release.</w:t>
      </w:r>
    </w:p>
  </w:footnote>
  <w:footnote w:id="24">
    <w:p w14:paraId="2096B327" w14:textId="0C9EA15B" w:rsidR="007021A7" w:rsidRPr="0034306E" w:rsidRDefault="007021A7">
      <w:pPr>
        <w:pStyle w:val="FootnoteText"/>
        <w:rPr>
          <w:sz w:val="16"/>
          <w:szCs w:val="22"/>
        </w:rPr>
      </w:pPr>
      <w:r w:rsidRPr="0034306E">
        <w:rPr>
          <w:rStyle w:val="FootnoteReference"/>
          <w:sz w:val="16"/>
          <w:szCs w:val="22"/>
        </w:rPr>
        <w:footnoteRef/>
      </w:r>
      <w:r w:rsidRPr="0034306E">
        <w:rPr>
          <w:sz w:val="16"/>
          <w:szCs w:val="22"/>
        </w:rPr>
        <w:t xml:space="preserve"> The </w:t>
      </w:r>
      <w:r w:rsidR="005978B9" w:rsidRPr="0034306E">
        <w:rPr>
          <w:sz w:val="16"/>
          <w:szCs w:val="22"/>
        </w:rPr>
        <w:t xml:space="preserve">literature that the present research is based on generally uses the term mental health condition to mean </w:t>
      </w:r>
      <w:r w:rsidR="000F7A44" w:rsidRPr="0034306E">
        <w:rPr>
          <w:sz w:val="16"/>
          <w:szCs w:val="22"/>
        </w:rPr>
        <w:t xml:space="preserve">a condition classified in </w:t>
      </w:r>
      <w:r w:rsidR="000F7A00" w:rsidRPr="0034306E">
        <w:rPr>
          <w:sz w:val="16"/>
          <w:szCs w:val="22"/>
        </w:rPr>
        <w:t>internationally recognised diagnostic manuals (e.g., the Diagnostic Statistical Manual or the International Classification of Diseases)</w:t>
      </w:r>
      <w:r w:rsidR="00F052AA" w:rsidRPr="0034306E">
        <w:rPr>
          <w:sz w:val="16"/>
          <w:szCs w:val="22"/>
        </w:rPr>
        <w:t>.</w:t>
      </w:r>
    </w:p>
  </w:footnote>
  <w:footnote w:id="25">
    <w:p w14:paraId="7CFCC3A5" w14:textId="58C8E42F" w:rsidR="005A4CD5" w:rsidRPr="0034306E" w:rsidRDefault="005A4CD5" w:rsidP="009C31C2">
      <w:pPr>
        <w:pStyle w:val="FootnoteText"/>
        <w:rPr>
          <w:i/>
          <w:iCs/>
          <w:sz w:val="16"/>
          <w:szCs w:val="22"/>
          <w:lang w:val="en-US"/>
        </w:rPr>
      </w:pPr>
      <w:r w:rsidRPr="0034306E">
        <w:rPr>
          <w:rStyle w:val="FootnoteReference"/>
          <w:sz w:val="16"/>
          <w:szCs w:val="22"/>
        </w:rPr>
        <w:footnoteRef/>
      </w:r>
      <w:r w:rsidRPr="0034306E">
        <w:rPr>
          <w:sz w:val="16"/>
          <w:szCs w:val="22"/>
        </w:rPr>
        <w:t xml:space="preserve"> </w:t>
      </w:r>
      <w:r w:rsidR="007F2F7D" w:rsidRPr="0034306E">
        <w:rPr>
          <w:sz w:val="16"/>
          <w:szCs w:val="22"/>
          <w:lang w:val="en-US"/>
        </w:rPr>
        <w:t>LGBTI</w:t>
      </w:r>
      <w:r w:rsidR="0060259C" w:rsidRPr="0034306E">
        <w:rPr>
          <w:sz w:val="16"/>
          <w:szCs w:val="22"/>
          <w:lang w:val="en-US"/>
        </w:rPr>
        <w:t>Q</w:t>
      </w:r>
      <w:r w:rsidR="007F2F7D" w:rsidRPr="0034306E">
        <w:rPr>
          <w:sz w:val="16"/>
          <w:szCs w:val="22"/>
          <w:lang w:val="en-US"/>
        </w:rPr>
        <w:t xml:space="preserve">+ Health Australia, </w:t>
      </w:r>
      <w:r w:rsidR="007F2F7D" w:rsidRPr="0034306E">
        <w:rPr>
          <w:i/>
          <w:iCs/>
          <w:sz w:val="16"/>
          <w:szCs w:val="22"/>
          <w:lang w:val="en-US"/>
        </w:rPr>
        <w:t>Snapshot of Mental Health and Suicide Prevention Statistics</w:t>
      </w:r>
      <w:r w:rsidR="00024548">
        <w:rPr>
          <w:sz w:val="16"/>
          <w:szCs w:val="22"/>
          <w:lang w:val="en-US"/>
        </w:rPr>
        <w:t>, October 2021</w:t>
      </w:r>
      <w:r w:rsidR="007F2F7D" w:rsidRPr="0034306E">
        <w:rPr>
          <w:sz w:val="16"/>
          <w:szCs w:val="22"/>
        </w:rPr>
        <w:t xml:space="preserve"> </w:t>
      </w:r>
      <w:r w:rsidRPr="0034306E">
        <w:rPr>
          <w:sz w:val="16"/>
          <w:szCs w:val="22"/>
          <w:lang w:val="en-US"/>
        </w:rPr>
        <w:t>p.8.</w:t>
      </w:r>
    </w:p>
  </w:footnote>
  <w:footnote w:id="26">
    <w:p w14:paraId="50BF3183" w14:textId="5F3D657B" w:rsidR="007E31C2" w:rsidRPr="0034306E" w:rsidRDefault="007E31C2">
      <w:pPr>
        <w:pStyle w:val="FootnoteText"/>
        <w:rPr>
          <w:sz w:val="16"/>
          <w:szCs w:val="22"/>
        </w:rPr>
      </w:pPr>
      <w:r w:rsidRPr="0034306E">
        <w:rPr>
          <w:rStyle w:val="FootnoteReference"/>
          <w:sz w:val="16"/>
          <w:szCs w:val="22"/>
        </w:rPr>
        <w:footnoteRef/>
      </w:r>
      <w:r w:rsidRPr="0034306E">
        <w:rPr>
          <w:sz w:val="16"/>
          <w:szCs w:val="22"/>
        </w:rPr>
        <w:t xml:space="preserve"> Australian Bureau of Statistics, </w:t>
      </w:r>
      <w:r w:rsidRPr="00D76E5A">
        <w:rPr>
          <w:i/>
          <w:iCs/>
          <w:sz w:val="16"/>
          <w:szCs w:val="22"/>
        </w:rPr>
        <w:t>National Study of Mental Health and Wellbeing 2022 – 2023</w:t>
      </w:r>
      <w:r w:rsidRPr="0034306E">
        <w:rPr>
          <w:i/>
          <w:iCs/>
          <w:sz w:val="16"/>
          <w:szCs w:val="22"/>
        </w:rPr>
        <w:t xml:space="preserve">, </w:t>
      </w:r>
      <w:r w:rsidRPr="0034306E">
        <w:rPr>
          <w:sz w:val="16"/>
          <w:szCs w:val="22"/>
        </w:rPr>
        <w:t>Released: 5 October 2023</w:t>
      </w:r>
    </w:p>
  </w:footnote>
  <w:footnote w:id="27">
    <w:p w14:paraId="1E201F4E" w14:textId="1A2EF1CA" w:rsidR="00664B8B" w:rsidRPr="0034306E" w:rsidRDefault="00664B8B">
      <w:pPr>
        <w:pStyle w:val="FootnoteText"/>
        <w:rPr>
          <w:sz w:val="16"/>
          <w:szCs w:val="22"/>
        </w:rPr>
      </w:pPr>
      <w:r w:rsidRPr="0034306E">
        <w:rPr>
          <w:rStyle w:val="FootnoteReference"/>
          <w:sz w:val="16"/>
          <w:szCs w:val="22"/>
        </w:rPr>
        <w:footnoteRef/>
      </w:r>
      <w:r w:rsidRPr="0034306E">
        <w:rPr>
          <w:sz w:val="16"/>
          <w:szCs w:val="22"/>
        </w:rPr>
        <w:t xml:space="preserve"> </w:t>
      </w:r>
      <w:r w:rsidR="00B96815">
        <w:rPr>
          <w:sz w:val="16"/>
          <w:szCs w:val="16"/>
        </w:rPr>
        <w:t xml:space="preserve">Adam </w:t>
      </w:r>
      <w:r w:rsidR="00B96815" w:rsidRPr="003A42D4">
        <w:rPr>
          <w:sz w:val="16"/>
          <w:szCs w:val="16"/>
        </w:rPr>
        <w:t xml:space="preserve">Hill, Adam Bourne, </w:t>
      </w:r>
      <w:r w:rsidR="00B96815">
        <w:rPr>
          <w:sz w:val="16"/>
          <w:szCs w:val="16"/>
        </w:rPr>
        <w:t xml:space="preserve">Ruth </w:t>
      </w:r>
      <w:r w:rsidR="00B96815" w:rsidRPr="003A42D4">
        <w:rPr>
          <w:sz w:val="16"/>
          <w:szCs w:val="16"/>
        </w:rPr>
        <w:t xml:space="preserve">McNair, </w:t>
      </w:r>
      <w:r w:rsidR="00B96815">
        <w:rPr>
          <w:sz w:val="16"/>
          <w:szCs w:val="16"/>
        </w:rPr>
        <w:t xml:space="preserve">Marina </w:t>
      </w:r>
      <w:r w:rsidR="00B96815" w:rsidRPr="003A42D4">
        <w:rPr>
          <w:sz w:val="16"/>
          <w:szCs w:val="16"/>
        </w:rPr>
        <w:t>Carman</w:t>
      </w:r>
      <w:r w:rsidR="00B96815">
        <w:rPr>
          <w:sz w:val="16"/>
          <w:szCs w:val="16"/>
        </w:rPr>
        <w:t xml:space="preserve"> and Anthony</w:t>
      </w:r>
      <w:r w:rsidR="00B96815" w:rsidRPr="003A42D4">
        <w:rPr>
          <w:sz w:val="16"/>
          <w:szCs w:val="16"/>
        </w:rPr>
        <w:t xml:space="preserve"> Lyons,</w:t>
      </w:r>
      <w:r w:rsidR="00B96815" w:rsidRPr="003A42D4">
        <w:rPr>
          <w:i/>
          <w:iCs/>
          <w:sz w:val="16"/>
          <w:szCs w:val="16"/>
        </w:rPr>
        <w:t xml:space="preserve"> Private Lives 3: The health and wellbeing of LGBTIQ people in Australi</w:t>
      </w:r>
      <w:r w:rsidR="00B96815" w:rsidRPr="003A42D4">
        <w:rPr>
          <w:sz w:val="16"/>
          <w:szCs w:val="16"/>
        </w:rPr>
        <w:t>a. ARCSHS monograph series number 122. Melbourne: Australia, Australian Research Centre in Sex, Health and Society, La Trobe University, 2020.</w:t>
      </w:r>
    </w:p>
  </w:footnote>
  <w:footnote w:id="28">
    <w:p w14:paraId="440F58BF" w14:textId="06C7BBF1" w:rsidR="00465E48" w:rsidRPr="0034306E" w:rsidRDefault="00465E48" w:rsidP="00454BFF">
      <w:pPr>
        <w:pStyle w:val="FootnoteText"/>
        <w:rPr>
          <w:sz w:val="16"/>
          <w:szCs w:val="22"/>
          <w:lang w:val="en-US"/>
        </w:rPr>
      </w:pPr>
      <w:r w:rsidRPr="0034306E">
        <w:rPr>
          <w:rStyle w:val="FootnoteReference"/>
          <w:sz w:val="16"/>
          <w:szCs w:val="22"/>
        </w:rPr>
        <w:footnoteRef/>
      </w:r>
      <w:r w:rsidRPr="0034306E">
        <w:rPr>
          <w:sz w:val="16"/>
          <w:szCs w:val="22"/>
        </w:rPr>
        <w:t xml:space="preserve"> </w:t>
      </w:r>
      <w:r w:rsidR="00F04D79">
        <w:rPr>
          <w:sz w:val="16"/>
          <w:szCs w:val="22"/>
        </w:rPr>
        <w:t xml:space="preserve">Tim </w:t>
      </w:r>
      <w:r w:rsidR="00454BFF" w:rsidRPr="0034306E">
        <w:rPr>
          <w:sz w:val="16"/>
          <w:szCs w:val="22"/>
          <w:lang w:val="en-US"/>
        </w:rPr>
        <w:t xml:space="preserve">Slade, </w:t>
      </w:r>
      <w:r w:rsidR="00F04D79">
        <w:rPr>
          <w:sz w:val="16"/>
          <w:szCs w:val="22"/>
          <w:lang w:val="en-US"/>
        </w:rPr>
        <w:t xml:space="preserve">Rachel </w:t>
      </w:r>
      <w:r w:rsidR="00454BFF" w:rsidRPr="0034306E">
        <w:rPr>
          <w:sz w:val="16"/>
          <w:szCs w:val="22"/>
          <w:lang w:val="en-US"/>
        </w:rPr>
        <w:t>Grove</w:t>
      </w:r>
      <w:r w:rsidR="00F04D79">
        <w:rPr>
          <w:sz w:val="16"/>
          <w:szCs w:val="22"/>
          <w:lang w:val="en-US"/>
        </w:rPr>
        <w:t xml:space="preserve"> and</w:t>
      </w:r>
      <w:r w:rsidR="00454BFF" w:rsidRPr="0034306E">
        <w:rPr>
          <w:sz w:val="16"/>
          <w:szCs w:val="22"/>
          <w:lang w:val="en-US"/>
        </w:rPr>
        <w:t xml:space="preserve"> P</w:t>
      </w:r>
      <w:r w:rsidR="00F535E1">
        <w:rPr>
          <w:sz w:val="16"/>
          <w:szCs w:val="22"/>
          <w:lang w:val="en-US"/>
        </w:rPr>
        <w:t>hilip</w:t>
      </w:r>
      <w:r w:rsidR="00F04D79">
        <w:rPr>
          <w:sz w:val="16"/>
          <w:szCs w:val="22"/>
          <w:lang w:val="en-US"/>
        </w:rPr>
        <w:t xml:space="preserve"> Burgess</w:t>
      </w:r>
      <w:r w:rsidR="00F535E1">
        <w:rPr>
          <w:sz w:val="16"/>
          <w:szCs w:val="22"/>
          <w:lang w:val="en-US"/>
        </w:rPr>
        <w:t>,</w:t>
      </w:r>
      <w:r w:rsidR="00454BFF" w:rsidRPr="0034306E">
        <w:rPr>
          <w:sz w:val="16"/>
          <w:szCs w:val="22"/>
          <w:lang w:val="en-US"/>
        </w:rPr>
        <w:t xml:space="preserve"> </w:t>
      </w:r>
      <w:r w:rsidR="00F535E1">
        <w:rPr>
          <w:sz w:val="16"/>
          <w:szCs w:val="22"/>
          <w:lang w:val="en-US"/>
        </w:rPr>
        <w:t>“</w:t>
      </w:r>
      <w:r w:rsidR="00454BFF" w:rsidRPr="0034306E">
        <w:rPr>
          <w:sz w:val="16"/>
          <w:szCs w:val="22"/>
          <w:lang w:val="en-US"/>
        </w:rPr>
        <w:t>Kessler psychological distress scale: Normative data from the 2007 Australian national survey of mental health and wellbeing</w:t>
      </w:r>
      <w:r w:rsidR="00F535E1">
        <w:rPr>
          <w:sz w:val="16"/>
          <w:szCs w:val="22"/>
          <w:lang w:val="en-US"/>
        </w:rPr>
        <w:t>”,</w:t>
      </w:r>
      <w:r w:rsidR="00454BFF" w:rsidRPr="0034306E">
        <w:rPr>
          <w:sz w:val="16"/>
          <w:szCs w:val="22"/>
          <w:lang w:val="en-US"/>
        </w:rPr>
        <w:t xml:space="preserve"> </w:t>
      </w:r>
      <w:r w:rsidR="00454BFF" w:rsidRPr="00F535E1">
        <w:rPr>
          <w:i/>
          <w:iCs/>
          <w:sz w:val="16"/>
          <w:szCs w:val="22"/>
          <w:lang w:val="en-US"/>
        </w:rPr>
        <w:t>Australian and New Zealand Journal of Psychiatry</w:t>
      </w:r>
      <w:r w:rsidR="00454BFF" w:rsidRPr="0034306E">
        <w:rPr>
          <w:sz w:val="16"/>
          <w:szCs w:val="22"/>
          <w:lang w:val="en-US"/>
        </w:rPr>
        <w:t xml:space="preserve">, </w:t>
      </w:r>
      <w:r w:rsidR="00F04D79">
        <w:rPr>
          <w:sz w:val="16"/>
          <w:szCs w:val="22"/>
          <w:lang w:val="en-US"/>
        </w:rPr>
        <w:t>vol. 45 (</w:t>
      </w:r>
      <w:r w:rsidR="00F535E1">
        <w:rPr>
          <w:sz w:val="16"/>
          <w:szCs w:val="22"/>
          <w:lang w:val="en-US"/>
        </w:rPr>
        <w:t>2011):</w:t>
      </w:r>
      <w:r w:rsidR="00454BFF" w:rsidRPr="0034306E">
        <w:rPr>
          <w:sz w:val="16"/>
          <w:szCs w:val="22"/>
          <w:lang w:val="en-US"/>
        </w:rPr>
        <w:t xml:space="preserve"> 308-316</w:t>
      </w:r>
    </w:p>
  </w:footnote>
  <w:footnote w:id="29">
    <w:p w14:paraId="143FBD52" w14:textId="4F9CC211" w:rsidR="00357A1D" w:rsidRPr="001E3E62" w:rsidRDefault="00357A1D" w:rsidP="00964BA5">
      <w:pPr>
        <w:pStyle w:val="FootnoteText"/>
        <w:rPr>
          <w:sz w:val="16"/>
          <w:szCs w:val="16"/>
          <w:lang w:val="en-US"/>
        </w:rPr>
      </w:pPr>
      <w:r w:rsidRPr="001E3E62">
        <w:rPr>
          <w:rStyle w:val="FootnoteReference"/>
          <w:sz w:val="16"/>
          <w:szCs w:val="16"/>
        </w:rPr>
        <w:footnoteRef/>
      </w:r>
      <w:r w:rsidRPr="001E3E62">
        <w:rPr>
          <w:sz w:val="16"/>
          <w:szCs w:val="16"/>
        </w:rPr>
        <w:t xml:space="preserve"> </w:t>
      </w:r>
      <w:r w:rsidR="00B96815">
        <w:rPr>
          <w:sz w:val="16"/>
          <w:szCs w:val="16"/>
        </w:rPr>
        <w:t>Hill et al., 2020</w:t>
      </w:r>
    </w:p>
  </w:footnote>
  <w:footnote w:id="30">
    <w:p w14:paraId="6C4EAD9B" w14:textId="7D9C40D2" w:rsidR="00357A1D" w:rsidRPr="00033AD7" w:rsidRDefault="00357A1D" w:rsidP="00033AD7">
      <w:pPr>
        <w:pStyle w:val="FootnoteText"/>
        <w:rPr>
          <w:sz w:val="16"/>
          <w:szCs w:val="16"/>
        </w:rPr>
      </w:pPr>
      <w:r w:rsidRPr="001E3E62">
        <w:rPr>
          <w:rStyle w:val="FootnoteReference"/>
          <w:sz w:val="16"/>
          <w:szCs w:val="16"/>
        </w:rPr>
        <w:footnoteRef/>
      </w:r>
      <w:r w:rsidRPr="001E3E62">
        <w:rPr>
          <w:sz w:val="16"/>
          <w:szCs w:val="16"/>
        </w:rPr>
        <w:t xml:space="preserve"> </w:t>
      </w:r>
      <w:r w:rsidR="00B96815">
        <w:rPr>
          <w:sz w:val="16"/>
          <w:szCs w:val="16"/>
        </w:rPr>
        <w:t xml:space="preserve">Penelop </w:t>
      </w:r>
      <w:r w:rsidR="005E6A1B" w:rsidRPr="005E6A1B">
        <w:rPr>
          <w:sz w:val="16"/>
          <w:szCs w:val="16"/>
        </w:rPr>
        <w:t xml:space="preserve">Strauss, </w:t>
      </w:r>
      <w:r w:rsidR="00B96815">
        <w:rPr>
          <w:sz w:val="16"/>
          <w:szCs w:val="16"/>
        </w:rPr>
        <w:t>Angus</w:t>
      </w:r>
      <w:r w:rsidR="005E6A1B" w:rsidRPr="005E6A1B">
        <w:rPr>
          <w:sz w:val="16"/>
          <w:szCs w:val="16"/>
        </w:rPr>
        <w:t xml:space="preserve"> Cook, </w:t>
      </w:r>
      <w:r w:rsidR="00B96815">
        <w:rPr>
          <w:sz w:val="16"/>
          <w:szCs w:val="16"/>
        </w:rPr>
        <w:t xml:space="preserve">Sam </w:t>
      </w:r>
      <w:r w:rsidR="005E6A1B" w:rsidRPr="005E6A1B">
        <w:rPr>
          <w:sz w:val="16"/>
          <w:szCs w:val="16"/>
        </w:rPr>
        <w:t>Winter,</w:t>
      </w:r>
      <w:r w:rsidR="00B96815">
        <w:rPr>
          <w:sz w:val="16"/>
          <w:szCs w:val="16"/>
        </w:rPr>
        <w:t xml:space="preserve"> Vanessa </w:t>
      </w:r>
      <w:r w:rsidR="005E6A1B" w:rsidRPr="005E6A1B">
        <w:rPr>
          <w:sz w:val="16"/>
          <w:szCs w:val="16"/>
        </w:rPr>
        <w:t>Watson,</w:t>
      </w:r>
      <w:r w:rsidR="00B96815">
        <w:rPr>
          <w:sz w:val="16"/>
          <w:szCs w:val="16"/>
        </w:rPr>
        <w:t xml:space="preserve"> Dani</w:t>
      </w:r>
      <w:r w:rsidR="005E6A1B" w:rsidRPr="005E6A1B">
        <w:rPr>
          <w:sz w:val="16"/>
          <w:szCs w:val="16"/>
        </w:rPr>
        <w:t xml:space="preserve"> Toussaint</w:t>
      </w:r>
      <w:r w:rsidR="00B96815">
        <w:rPr>
          <w:sz w:val="16"/>
          <w:szCs w:val="16"/>
        </w:rPr>
        <w:t xml:space="preserve"> and </w:t>
      </w:r>
      <w:r w:rsidR="005E6A1B" w:rsidRPr="005E6A1B">
        <w:rPr>
          <w:sz w:val="16"/>
          <w:szCs w:val="16"/>
        </w:rPr>
        <w:t>Ashleigh</w:t>
      </w:r>
      <w:r w:rsidR="00B96815">
        <w:rPr>
          <w:sz w:val="16"/>
          <w:szCs w:val="16"/>
        </w:rPr>
        <w:t xml:space="preserve"> Lin, </w:t>
      </w:r>
      <w:r w:rsidR="005E6A1B" w:rsidRPr="005E6A1B">
        <w:rPr>
          <w:sz w:val="16"/>
          <w:szCs w:val="16"/>
        </w:rPr>
        <w:t>"Trans Pathways: The Mental Health Experiences and Care Pathways of Trans Young People. Summary of Results." Perth: Telethon Kids Institute, 2017.</w:t>
      </w:r>
    </w:p>
  </w:footnote>
  <w:footnote w:id="31">
    <w:p w14:paraId="216703B4" w14:textId="18F8179A" w:rsidR="00357A1D" w:rsidRPr="001E3E62" w:rsidRDefault="00357A1D" w:rsidP="00357A1D">
      <w:pPr>
        <w:pStyle w:val="FootnoteText"/>
        <w:rPr>
          <w:sz w:val="16"/>
          <w:szCs w:val="16"/>
          <w:lang w:val="en-US"/>
        </w:rPr>
      </w:pPr>
      <w:r w:rsidRPr="001E3E62">
        <w:rPr>
          <w:rStyle w:val="FootnoteReference"/>
          <w:sz w:val="16"/>
          <w:szCs w:val="16"/>
        </w:rPr>
        <w:footnoteRef/>
      </w:r>
      <w:r w:rsidRPr="001E3E62">
        <w:rPr>
          <w:sz w:val="16"/>
          <w:szCs w:val="16"/>
        </w:rPr>
        <w:t xml:space="preserve"> </w:t>
      </w:r>
      <w:r w:rsidR="009757CB" w:rsidRPr="001E3E62">
        <w:rPr>
          <w:sz w:val="16"/>
          <w:szCs w:val="16"/>
          <w:lang w:val="en-US"/>
        </w:rPr>
        <w:t>Australian Bureau of Statistics, National Study of Mental Health and Wellbeing 2022 – 2023, Released: 5 October 2023</w:t>
      </w:r>
    </w:p>
  </w:footnote>
  <w:footnote w:id="32">
    <w:p w14:paraId="3F80BDA3" w14:textId="444394EE" w:rsidR="00695AD5" w:rsidRPr="001E3E62" w:rsidRDefault="00695AD5" w:rsidP="003A42D4">
      <w:pPr>
        <w:pStyle w:val="FootnoteText"/>
        <w:rPr>
          <w:sz w:val="16"/>
          <w:szCs w:val="16"/>
        </w:rPr>
      </w:pPr>
      <w:r w:rsidRPr="001E3E62">
        <w:rPr>
          <w:rStyle w:val="FootnoteReference"/>
          <w:sz w:val="16"/>
          <w:szCs w:val="16"/>
        </w:rPr>
        <w:footnoteRef/>
      </w:r>
      <w:r w:rsidRPr="001E3E62">
        <w:rPr>
          <w:sz w:val="16"/>
          <w:szCs w:val="16"/>
        </w:rPr>
        <w:t xml:space="preserve"> </w:t>
      </w:r>
      <w:r w:rsidR="00B96815">
        <w:rPr>
          <w:sz w:val="16"/>
          <w:szCs w:val="16"/>
        </w:rPr>
        <w:t>Hill et al., 2020</w:t>
      </w:r>
    </w:p>
  </w:footnote>
  <w:footnote w:id="33">
    <w:p w14:paraId="76F392EA" w14:textId="304867C2" w:rsidR="00680155" w:rsidRPr="001E3E62" w:rsidRDefault="00680155">
      <w:pPr>
        <w:pStyle w:val="FootnoteText"/>
        <w:rPr>
          <w:sz w:val="16"/>
          <w:szCs w:val="16"/>
        </w:rPr>
      </w:pPr>
      <w:r w:rsidRPr="001E3E62">
        <w:rPr>
          <w:rStyle w:val="FootnoteReference"/>
          <w:sz w:val="16"/>
          <w:szCs w:val="16"/>
        </w:rPr>
        <w:footnoteRef/>
      </w:r>
      <w:r w:rsidRPr="001E3E62">
        <w:rPr>
          <w:sz w:val="16"/>
          <w:szCs w:val="16"/>
        </w:rPr>
        <w:t xml:space="preserve"> </w:t>
      </w:r>
      <w:r w:rsidRPr="001E3E62">
        <w:rPr>
          <w:sz w:val="16"/>
          <w:szCs w:val="16"/>
          <w:lang w:val="en-US"/>
        </w:rPr>
        <w:t>Australian Bureau of Statistics, National Study of Mental Health and Wellbeing 2022 – 2023, Released: 5 October 2023</w:t>
      </w:r>
    </w:p>
  </w:footnote>
  <w:footnote w:id="34">
    <w:p w14:paraId="19B48513" w14:textId="57480D4E" w:rsidR="00721CCC" w:rsidRPr="001E3E62" w:rsidRDefault="00721CCC" w:rsidP="00721CCC">
      <w:pPr>
        <w:pStyle w:val="FootnoteText"/>
        <w:rPr>
          <w:sz w:val="16"/>
          <w:szCs w:val="16"/>
          <w:lang w:val="en-US"/>
        </w:rPr>
      </w:pPr>
      <w:r w:rsidRPr="001E3E62">
        <w:rPr>
          <w:rStyle w:val="FootnoteReference"/>
          <w:sz w:val="16"/>
          <w:szCs w:val="16"/>
        </w:rPr>
        <w:footnoteRef/>
      </w:r>
      <w:r w:rsidRPr="001E3E62">
        <w:rPr>
          <w:sz w:val="16"/>
          <w:szCs w:val="16"/>
        </w:rPr>
        <w:t xml:space="preserve"> </w:t>
      </w:r>
      <w:r w:rsidR="00A57BD1" w:rsidRPr="001E3E62">
        <w:rPr>
          <w:sz w:val="16"/>
          <w:szCs w:val="16"/>
        </w:rPr>
        <w:t xml:space="preserve">Commonwealth of Australia, </w:t>
      </w:r>
      <w:r w:rsidRPr="001E3E62">
        <w:rPr>
          <w:i/>
          <w:iCs/>
          <w:sz w:val="16"/>
          <w:szCs w:val="16"/>
          <w:lang w:val="en-US"/>
        </w:rPr>
        <w:t>Royal Commission into Violence, Abuse, Neglect and Exploitation of People with Disability</w:t>
      </w:r>
      <w:r w:rsidR="00677A5F" w:rsidRPr="001E3E62">
        <w:rPr>
          <w:i/>
          <w:iCs/>
          <w:sz w:val="16"/>
          <w:szCs w:val="16"/>
          <w:lang w:val="en-US"/>
        </w:rPr>
        <w:t xml:space="preserve"> – Volume 3: </w:t>
      </w:r>
      <w:r w:rsidR="00D1085D" w:rsidRPr="001E3E62">
        <w:rPr>
          <w:i/>
          <w:iCs/>
          <w:sz w:val="16"/>
          <w:szCs w:val="16"/>
          <w:lang w:val="en-US"/>
        </w:rPr>
        <w:t>Nature and extent of violence, abuse, neglect and exploitation</w:t>
      </w:r>
      <w:r w:rsidR="00A57BD1" w:rsidRPr="001E3E62">
        <w:rPr>
          <w:i/>
          <w:iCs/>
          <w:sz w:val="16"/>
          <w:szCs w:val="16"/>
          <w:lang w:val="en-US"/>
        </w:rPr>
        <w:t xml:space="preserve">, </w:t>
      </w:r>
      <w:r w:rsidR="00A57BD1" w:rsidRPr="001E3E62">
        <w:rPr>
          <w:sz w:val="16"/>
          <w:szCs w:val="16"/>
          <w:lang w:val="en-US"/>
        </w:rPr>
        <w:t>September</w:t>
      </w:r>
      <w:r w:rsidR="00D1085D" w:rsidRPr="001E3E62">
        <w:rPr>
          <w:i/>
          <w:iCs/>
          <w:sz w:val="16"/>
          <w:szCs w:val="16"/>
          <w:lang w:val="en-US"/>
        </w:rPr>
        <w:t xml:space="preserve"> </w:t>
      </w:r>
      <w:r w:rsidR="00001A54" w:rsidRPr="001E3E62">
        <w:rPr>
          <w:sz w:val="16"/>
          <w:szCs w:val="16"/>
          <w:lang w:val="en-US"/>
        </w:rPr>
        <w:t>2023</w:t>
      </w:r>
      <w:r w:rsidR="00001A54" w:rsidRPr="001E3E62">
        <w:rPr>
          <w:i/>
          <w:iCs/>
          <w:sz w:val="16"/>
          <w:szCs w:val="16"/>
          <w:lang w:val="en-US"/>
        </w:rPr>
        <w:t xml:space="preserve"> </w:t>
      </w:r>
      <w:r w:rsidRPr="001E3E62">
        <w:rPr>
          <w:sz w:val="16"/>
          <w:szCs w:val="16"/>
          <w:lang w:val="en-US"/>
        </w:rPr>
        <w:t>p. 155</w:t>
      </w:r>
    </w:p>
  </w:footnote>
  <w:footnote w:id="35">
    <w:p w14:paraId="7F62A52E" w14:textId="3E8C2D8F" w:rsidR="00B252B5" w:rsidRPr="003C139F" w:rsidRDefault="00B252B5" w:rsidP="00B252B5">
      <w:pPr>
        <w:pStyle w:val="FootnoteText"/>
        <w:rPr>
          <w:sz w:val="16"/>
          <w:szCs w:val="22"/>
        </w:rPr>
      </w:pPr>
      <w:r w:rsidRPr="0034306E">
        <w:rPr>
          <w:rStyle w:val="FootnoteReference"/>
          <w:sz w:val="16"/>
          <w:szCs w:val="22"/>
        </w:rPr>
        <w:footnoteRef/>
      </w:r>
      <w:r w:rsidRPr="0034306E">
        <w:rPr>
          <w:sz w:val="16"/>
          <w:szCs w:val="22"/>
        </w:rPr>
        <w:t xml:space="preserve"> LGTBIQ+ Health Australia, </w:t>
      </w:r>
      <w:r w:rsidRPr="0034306E">
        <w:rPr>
          <w:i/>
          <w:iCs/>
          <w:sz w:val="16"/>
          <w:szCs w:val="22"/>
        </w:rPr>
        <w:t>Beyond Urgent: National LGBTIQ+ Mental Health and Suicide Prevention Strategy 2021 – 2026</w:t>
      </w:r>
      <w:r w:rsidR="003C139F">
        <w:rPr>
          <w:i/>
          <w:iCs/>
          <w:sz w:val="16"/>
          <w:szCs w:val="22"/>
        </w:rPr>
        <w:t xml:space="preserve">, </w:t>
      </w:r>
      <w:r w:rsidR="003C139F">
        <w:rPr>
          <w:sz w:val="16"/>
          <w:szCs w:val="22"/>
        </w:rPr>
        <w:t>N</w:t>
      </w:r>
      <w:r w:rsidR="00BF2DD7">
        <w:rPr>
          <w:sz w:val="16"/>
          <w:szCs w:val="22"/>
        </w:rPr>
        <w:t>ovember 2021</w:t>
      </w:r>
    </w:p>
  </w:footnote>
  <w:footnote w:id="36">
    <w:p w14:paraId="2E0F6562" w14:textId="00F614FD" w:rsidR="00467F3F" w:rsidRPr="003C3FA5" w:rsidRDefault="00467F3F" w:rsidP="00467F3F">
      <w:pPr>
        <w:pStyle w:val="FootnoteText"/>
        <w:rPr>
          <w:sz w:val="16"/>
          <w:szCs w:val="22"/>
        </w:rPr>
      </w:pPr>
      <w:r w:rsidRPr="003C3FA5">
        <w:rPr>
          <w:rStyle w:val="FootnoteReference"/>
          <w:sz w:val="16"/>
          <w:szCs w:val="22"/>
        </w:rPr>
        <w:footnoteRef/>
      </w:r>
      <w:r w:rsidRPr="003C3FA5">
        <w:rPr>
          <w:sz w:val="16"/>
          <w:szCs w:val="22"/>
        </w:rPr>
        <w:t xml:space="preserve"> </w:t>
      </w:r>
      <w:r w:rsidR="0019212F">
        <w:rPr>
          <w:sz w:val="16"/>
          <w:szCs w:val="22"/>
        </w:rPr>
        <w:t xml:space="preserve">Commonwealth of Australia, </w:t>
      </w:r>
      <w:r w:rsidRPr="00CE3304">
        <w:rPr>
          <w:i/>
          <w:iCs/>
          <w:sz w:val="16"/>
          <w:szCs w:val="22"/>
        </w:rPr>
        <w:t>National Mental Health and Suicide Prevention Agreement</w:t>
      </w:r>
      <w:r w:rsidR="00CE3304" w:rsidRPr="00CE3304">
        <w:rPr>
          <w:i/>
          <w:iCs/>
          <w:sz w:val="16"/>
          <w:szCs w:val="22"/>
        </w:rPr>
        <w:t xml:space="preserve"> </w:t>
      </w:r>
      <w:r w:rsidR="00CE3304">
        <w:rPr>
          <w:sz w:val="16"/>
          <w:szCs w:val="22"/>
        </w:rPr>
        <w:t>(</w:t>
      </w:r>
      <w:r w:rsidRPr="003C3FA5">
        <w:rPr>
          <w:sz w:val="16"/>
          <w:szCs w:val="22"/>
        </w:rPr>
        <w:t>2022</w:t>
      </w:r>
      <w:r w:rsidR="00CE3304">
        <w:rPr>
          <w:sz w:val="16"/>
          <w:szCs w:val="22"/>
        </w:rPr>
        <w:t>)</w:t>
      </w:r>
      <w:r w:rsidRPr="003C3FA5">
        <w:rPr>
          <w:sz w:val="16"/>
          <w:szCs w:val="22"/>
        </w:rPr>
        <w:t>. p.1</w:t>
      </w:r>
    </w:p>
  </w:footnote>
  <w:footnote w:id="37">
    <w:p w14:paraId="49B6312A" w14:textId="01F55176" w:rsidR="00732939" w:rsidRPr="003C3FA5" w:rsidRDefault="00467F3F">
      <w:pPr>
        <w:pStyle w:val="FootnoteText"/>
        <w:rPr>
          <w:sz w:val="16"/>
          <w:szCs w:val="22"/>
        </w:rPr>
      </w:pPr>
      <w:r w:rsidRPr="003C3FA5">
        <w:rPr>
          <w:rStyle w:val="FootnoteReference"/>
          <w:sz w:val="16"/>
          <w:szCs w:val="22"/>
        </w:rPr>
        <w:footnoteRef/>
      </w:r>
      <w:r w:rsidRPr="003C3FA5">
        <w:rPr>
          <w:sz w:val="16"/>
          <w:szCs w:val="22"/>
        </w:rPr>
        <w:t xml:space="preserve"> </w:t>
      </w:r>
      <w:r w:rsidRPr="00CD2EE8">
        <w:rPr>
          <w:i/>
          <w:iCs/>
          <w:sz w:val="16"/>
          <w:szCs w:val="22"/>
        </w:rPr>
        <w:t>National Mental Health and Suicide Prevention Agreement</w:t>
      </w:r>
      <w:r w:rsidR="00CD2EE8">
        <w:rPr>
          <w:sz w:val="16"/>
          <w:szCs w:val="22"/>
        </w:rPr>
        <w:t xml:space="preserve"> (</w:t>
      </w:r>
      <w:r w:rsidRPr="003C3FA5">
        <w:rPr>
          <w:sz w:val="16"/>
          <w:szCs w:val="22"/>
        </w:rPr>
        <w:t>2022</w:t>
      </w:r>
      <w:r w:rsidR="00CD2EE8">
        <w:rPr>
          <w:sz w:val="16"/>
          <w:szCs w:val="22"/>
        </w:rPr>
        <w:t>)</w:t>
      </w:r>
      <w:r w:rsidRPr="003C3FA5">
        <w:rPr>
          <w:sz w:val="16"/>
          <w:szCs w:val="22"/>
        </w:rPr>
        <w:t xml:space="preserve"> p.</w:t>
      </w:r>
      <w:r w:rsidR="00732939" w:rsidRPr="003C3FA5">
        <w:rPr>
          <w:sz w:val="16"/>
          <w:szCs w:val="22"/>
        </w:rPr>
        <w:t>4</w:t>
      </w:r>
    </w:p>
  </w:footnote>
  <w:footnote w:id="38">
    <w:p w14:paraId="454510F0" w14:textId="4C4CBA1B" w:rsidR="004E5D09" w:rsidRPr="003C3FA5" w:rsidRDefault="004E5D09" w:rsidP="004E5D09">
      <w:pPr>
        <w:pStyle w:val="FootnoteText"/>
        <w:rPr>
          <w:sz w:val="16"/>
          <w:szCs w:val="22"/>
        </w:rPr>
      </w:pPr>
      <w:r w:rsidRPr="003C3FA5">
        <w:rPr>
          <w:rStyle w:val="FootnoteReference"/>
          <w:sz w:val="16"/>
          <w:szCs w:val="22"/>
        </w:rPr>
        <w:footnoteRef/>
      </w:r>
      <w:r w:rsidRPr="003C3FA5">
        <w:rPr>
          <w:sz w:val="16"/>
          <w:szCs w:val="22"/>
        </w:rPr>
        <w:t xml:space="preserve"> </w:t>
      </w:r>
      <w:r w:rsidRPr="00CD2EE8">
        <w:rPr>
          <w:i/>
          <w:iCs/>
          <w:sz w:val="16"/>
          <w:szCs w:val="22"/>
        </w:rPr>
        <w:t>National Mental Health and Suicide Prevention Agreement</w:t>
      </w:r>
      <w:r w:rsidR="00CD2EE8">
        <w:rPr>
          <w:sz w:val="16"/>
          <w:szCs w:val="22"/>
        </w:rPr>
        <w:t xml:space="preserve"> (</w:t>
      </w:r>
      <w:r w:rsidRPr="003C3FA5">
        <w:rPr>
          <w:sz w:val="16"/>
          <w:szCs w:val="22"/>
        </w:rPr>
        <w:t>2022</w:t>
      </w:r>
      <w:r w:rsidR="00CD2EE8">
        <w:rPr>
          <w:sz w:val="16"/>
          <w:szCs w:val="22"/>
        </w:rPr>
        <w:t>)</w:t>
      </w:r>
      <w:r w:rsidRPr="003C3FA5">
        <w:rPr>
          <w:sz w:val="16"/>
          <w:szCs w:val="22"/>
        </w:rPr>
        <w:t xml:space="preserve"> p.25</w:t>
      </w:r>
    </w:p>
  </w:footnote>
  <w:footnote w:id="39">
    <w:p w14:paraId="14ED454B" w14:textId="4492FF28" w:rsidR="00A17852" w:rsidRPr="003C3FA5" w:rsidRDefault="00A17852" w:rsidP="00A17852">
      <w:pPr>
        <w:pStyle w:val="FootnoteText"/>
        <w:rPr>
          <w:sz w:val="16"/>
          <w:szCs w:val="22"/>
        </w:rPr>
      </w:pPr>
      <w:r w:rsidRPr="003C3FA5">
        <w:rPr>
          <w:rStyle w:val="FootnoteReference"/>
          <w:sz w:val="16"/>
          <w:szCs w:val="22"/>
        </w:rPr>
        <w:footnoteRef/>
      </w:r>
      <w:r w:rsidRPr="003C3FA5">
        <w:rPr>
          <w:sz w:val="16"/>
          <w:szCs w:val="22"/>
        </w:rPr>
        <w:t xml:space="preserve"> </w:t>
      </w:r>
      <w:r w:rsidRPr="00CD2EE8">
        <w:rPr>
          <w:i/>
          <w:iCs/>
          <w:sz w:val="16"/>
          <w:szCs w:val="22"/>
        </w:rPr>
        <w:t>National Mental Health and Suicide Prevention Agreement</w:t>
      </w:r>
      <w:r w:rsidR="00CD2EE8">
        <w:rPr>
          <w:sz w:val="16"/>
          <w:szCs w:val="22"/>
        </w:rPr>
        <w:t xml:space="preserve"> (</w:t>
      </w:r>
      <w:r w:rsidRPr="003C3FA5">
        <w:rPr>
          <w:sz w:val="16"/>
          <w:szCs w:val="22"/>
        </w:rPr>
        <w:t>2022</w:t>
      </w:r>
      <w:r w:rsidR="00CD2EE8">
        <w:rPr>
          <w:sz w:val="16"/>
          <w:szCs w:val="22"/>
        </w:rPr>
        <w:t>)</w:t>
      </w:r>
      <w:r w:rsidRPr="003C3FA5">
        <w:rPr>
          <w:sz w:val="16"/>
          <w:szCs w:val="22"/>
        </w:rPr>
        <w:t xml:space="preserve"> p.7</w:t>
      </w:r>
    </w:p>
  </w:footnote>
  <w:footnote w:id="40">
    <w:p w14:paraId="3314D7A8" w14:textId="7B05C56D" w:rsidR="00C8262A" w:rsidRPr="003C3FA5" w:rsidRDefault="00C8262A" w:rsidP="001A2BC3">
      <w:pPr>
        <w:pStyle w:val="FootnoteText"/>
        <w:rPr>
          <w:sz w:val="16"/>
          <w:szCs w:val="22"/>
          <w:lang w:val="en-US"/>
        </w:rPr>
      </w:pPr>
      <w:r w:rsidRPr="003C3FA5">
        <w:rPr>
          <w:rStyle w:val="FootnoteReference"/>
          <w:sz w:val="16"/>
          <w:szCs w:val="22"/>
        </w:rPr>
        <w:footnoteRef/>
      </w:r>
      <w:r w:rsidRPr="003C3FA5">
        <w:rPr>
          <w:sz w:val="16"/>
          <w:szCs w:val="22"/>
        </w:rPr>
        <w:t xml:space="preserve"> </w:t>
      </w:r>
      <w:r w:rsidRPr="003C3FA5">
        <w:rPr>
          <w:sz w:val="16"/>
          <w:szCs w:val="22"/>
          <w:lang w:val="en-US"/>
        </w:rPr>
        <w:t>Department of Health and Aged Care</w:t>
      </w:r>
      <w:r w:rsidR="00507C12">
        <w:rPr>
          <w:sz w:val="16"/>
          <w:szCs w:val="22"/>
          <w:lang w:val="en-US"/>
        </w:rPr>
        <w:t xml:space="preserve">, “Pathway to better health for LGBTIQA+ communities”, Date published: 1 March 2023, </w:t>
      </w:r>
      <w:hyperlink r:id="rId3" w:history="1">
        <w:r w:rsidR="001A2BC3" w:rsidRPr="001A2BC3">
          <w:rPr>
            <w:rStyle w:val="Hyperlink"/>
          </w:rPr>
          <w:t>Pathway to better health for LGBTIQA+ communities | Health Portfolio Ministers | Australian Government Department of Health and Aged Care</w:t>
        </w:r>
      </w:hyperlink>
    </w:p>
  </w:footnote>
  <w:footnote w:id="41">
    <w:p w14:paraId="7AF2AF93" w14:textId="52FFB0DD" w:rsidR="000A7899" w:rsidRPr="003C3FA5" w:rsidRDefault="000A7899" w:rsidP="000A7899">
      <w:pPr>
        <w:pStyle w:val="FootnoteText"/>
        <w:rPr>
          <w:sz w:val="16"/>
          <w:szCs w:val="22"/>
          <w:lang w:val="en-US"/>
        </w:rPr>
      </w:pPr>
      <w:r w:rsidRPr="003C3FA5">
        <w:rPr>
          <w:rStyle w:val="FootnoteReference"/>
          <w:sz w:val="16"/>
          <w:szCs w:val="22"/>
        </w:rPr>
        <w:footnoteRef/>
      </w:r>
      <w:r w:rsidRPr="003C3FA5">
        <w:rPr>
          <w:sz w:val="16"/>
          <w:szCs w:val="22"/>
        </w:rPr>
        <w:t xml:space="preserve"> </w:t>
      </w:r>
      <w:r w:rsidRPr="003C3FA5">
        <w:rPr>
          <w:sz w:val="16"/>
          <w:szCs w:val="22"/>
          <w:lang w:val="en-US"/>
        </w:rPr>
        <w:t>GrantConnect 2023,</w:t>
      </w:r>
      <w:r w:rsidR="00CE0DAB">
        <w:rPr>
          <w:i/>
          <w:iCs/>
        </w:rPr>
        <w:t xml:space="preserve"> </w:t>
      </w:r>
      <w:r w:rsidR="00672B2F">
        <w:rPr>
          <w:i/>
          <w:iCs/>
        </w:rPr>
        <w:t xml:space="preserve">GO6063 Models of Care for Sexuality &amp; Gender Divers People &amp; People with Innate Variations of Sex Characteristics, </w:t>
      </w:r>
      <w:r w:rsidR="00672B2F">
        <w:t>Published: 1 March 2023,</w:t>
      </w:r>
      <w:r w:rsidRPr="003C3FA5">
        <w:rPr>
          <w:sz w:val="16"/>
          <w:szCs w:val="22"/>
          <w:lang w:val="en-US"/>
        </w:rPr>
        <w:t xml:space="preserve"> </w:t>
      </w:r>
      <w:hyperlink r:id="rId4" w:history="1">
        <w:r w:rsidRPr="003C3FA5">
          <w:rPr>
            <w:rStyle w:val="Hyperlink"/>
            <w:sz w:val="16"/>
            <w:szCs w:val="22"/>
            <w:lang w:val="en-US"/>
          </w:rPr>
          <w:t>Models of Care for Sexuality &amp; Gender Diverse People &amp; People with Innate Variations of Sex Characteristics</w:t>
        </w:r>
      </w:hyperlink>
      <w:r w:rsidRPr="003C3FA5">
        <w:rPr>
          <w:sz w:val="16"/>
          <w:szCs w:val="22"/>
          <w:lang w:val="en-US"/>
        </w:rPr>
        <w:t>.</w:t>
      </w:r>
    </w:p>
  </w:footnote>
  <w:footnote w:id="42">
    <w:p w14:paraId="24AF1226" w14:textId="4DB3A5C0" w:rsidR="00E62EF5" w:rsidRPr="00A958D3" w:rsidRDefault="00E62EF5" w:rsidP="00E62EF5">
      <w:pPr>
        <w:pStyle w:val="FootnoteText"/>
        <w:rPr>
          <w:sz w:val="16"/>
          <w:szCs w:val="22"/>
          <w:lang w:val="en-US"/>
        </w:rPr>
      </w:pPr>
      <w:r w:rsidRPr="00A958D3">
        <w:rPr>
          <w:rStyle w:val="FootnoteReference"/>
          <w:sz w:val="16"/>
          <w:szCs w:val="22"/>
        </w:rPr>
        <w:footnoteRef/>
      </w:r>
      <w:r w:rsidRPr="00A958D3">
        <w:rPr>
          <w:sz w:val="16"/>
          <w:szCs w:val="22"/>
        </w:rPr>
        <w:t xml:space="preserve"> ACT Government,</w:t>
      </w:r>
      <w:r w:rsidR="00822F3D">
        <w:rPr>
          <w:sz w:val="16"/>
          <w:szCs w:val="22"/>
        </w:rPr>
        <w:t xml:space="preserve"> “Capital of Equality Strategy – ACT Government LGBTIQ+ Strategy”, </w:t>
      </w:r>
      <w:r w:rsidRPr="00A958D3">
        <w:rPr>
          <w:sz w:val="16"/>
          <w:szCs w:val="22"/>
        </w:rPr>
        <w:t xml:space="preserve"> </w:t>
      </w:r>
      <w:hyperlink r:id="rId5" w:anchor=":~:text=In%202019%20the%20ACT%20Government,are%20visible%2C%20valued%2C%20respected." w:history="1">
        <w:r w:rsidRPr="00A958D3">
          <w:rPr>
            <w:rStyle w:val="Hyperlink"/>
            <w:i/>
            <w:iCs/>
            <w:sz w:val="16"/>
            <w:szCs w:val="22"/>
          </w:rPr>
          <w:t>Capital of Equality – ACT Government LGBTIQ+ Strategy</w:t>
        </w:r>
      </w:hyperlink>
      <w:r w:rsidRPr="00A958D3">
        <w:rPr>
          <w:i/>
          <w:iCs/>
          <w:sz w:val="16"/>
          <w:szCs w:val="22"/>
        </w:rPr>
        <w:t xml:space="preserve">. </w:t>
      </w:r>
    </w:p>
  </w:footnote>
  <w:footnote w:id="43">
    <w:p w14:paraId="6B58078E" w14:textId="77777777" w:rsidR="00E62EF5" w:rsidRPr="00A958D3" w:rsidRDefault="00E62EF5" w:rsidP="00E62EF5">
      <w:pPr>
        <w:pStyle w:val="FootnoteText"/>
        <w:rPr>
          <w:sz w:val="16"/>
          <w:szCs w:val="22"/>
          <w:lang w:val="en-US"/>
        </w:rPr>
      </w:pPr>
      <w:r w:rsidRPr="00A958D3">
        <w:rPr>
          <w:rStyle w:val="FootnoteReference"/>
          <w:sz w:val="16"/>
          <w:szCs w:val="22"/>
        </w:rPr>
        <w:footnoteRef/>
      </w:r>
      <w:r w:rsidRPr="00A958D3">
        <w:rPr>
          <w:sz w:val="16"/>
          <w:szCs w:val="22"/>
        </w:rPr>
        <w:t xml:space="preserve"> ACT Government 2022, </w:t>
      </w:r>
      <w:hyperlink r:id="rId6" w:history="1">
        <w:r w:rsidRPr="00A958D3">
          <w:rPr>
            <w:rStyle w:val="Hyperlink"/>
            <w:i/>
            <w:iCs/>
            <w:sz w:val="16"/>
            <w:szCs w:val="22"/>
          </w:rPr>
          <w:t>Capital of Equality Strategy Second Action Plan (2022-2023).</w:t>
        </w:r>
      </w:hyperlink>
      <w:r w:rsidRPr="00A958D3">
        <w:rPr>
          <w:i/>
          <w:iCs/>
          <w:sz w:val="16"/>
          <w:szCs w:val="22"/>
        </w:rPr>
        <w:t xml:space="preserve"> </w:t>
      </w:r>
    </w:p>
  </w:footnote>
  <w:footnote w:id="44">
    <w:p w14:paraId="46CDD84C" w14:textId="66F856D9" w:rsidR="00DB5AA7" w:rsidRPr="00A958D3" w:rsidRDefault="00E62EF5" w:rsidP="00DB5AA7">
      <w:pPr>
        <w:pStyle w:val="FootnoteText"/>
        <w:rPr>
          <w:sz w:val="16"/>
          <w:szCs w:val="22"/>
          <w:lang w:val="en-US"/>
        </w:rPr>
      </w:pPr>
      <w:r w:rsidRPr="00A958D3">
        <w:rPr>
          <w:rStyle w:val="FootnoteReference"/>
          <w:sz w:val="16"/>
          <w:szCs w:val="22"/>
        </w:rPr>
        <w:footnoteRef/>
      </w:r>
      <w:r w:rsidRPr="00A958D3">
        <w:rPr>
          <w:sz w:val="16"/>
          <w:szCs w:val="22"/>
        </w:rPr>
        <w:t xml:space="preserve"> </w:t>
      </w:r>
      <w:r w:rsidRPr="00A958D3">
        <w:rPr>
          <w:sz w:val="16"/>
          <w:szCs w:val="22"/>
          <w:lang w:val="en-US"/>
        </w:rPr>
        <w:t xml:space="preserve">NSW Government, </w:t>
      </w:r>
      <w:r w:rsidR="00DB5AA7">
        <w:rPr>
          <w:sz w:val="16"/>
          <w:szCs w:val="22"/>
          <w:lang w:val="en-US"/>
        </w:rPr>
        <w:t>“</w:t>
      </w:r>
      <w:hyperlink r:id="rId7" w:history="1">
        <w:r w:rsidRPr="00BE5C60">
          <w:rPr>
            <w:rStyle w:val="Hyperlink"/>
            <w:sz w:val="16"/>
            <w:szCs w:val="22"/>
            <w:lang w:val="en-US"/>
          </w:rPr>
          <w:t>NSW LGBTIQ+ Health Strategy 2022-202</w:t>
        </w:r>
        <w:r w:rsidR="00DB5AA7" w:rsidRPr="00BE5C60">
          <w:rPr>
            <w:rStyle w:val="Hyperlink"/>
            <w:sz w:val="16"/>
            <w:szCs w:val="22"/>
            <w:lang w:val="en-US"/>
          </w:rPr>
          <w:t>7”,</w:t>
        </w:r>
      </w:hyperlink>
      <w:r w:rsidR="00DB5AA7">
        <w:rPr>
          <w:sz w:val="16"/>
          <w:szCs w:val="22"/>
          <w:lang w:val="en-US"/>
        </w:rPr>
        <w:t xml:space="preserve"> </w:t>
      </w:r>
      <w:r w:rsidR="002E6258">
        <w:rPr>
          <w:sz w:val="16"/>
          <w:szCs w:val="22"/>
          <w:lang w:val="en-US"/>
        </w:rPr>
        <w:t>(2022)</w:t>
      </w:r>
      <w:r w:rsidR="00DB5AA7">
        <w:rPr>
          <w:sz w:val="16"/>
          <w:szCs w:val="22"/>
          <w:lang w:val="en-US"/>
        </w:rPr>
        <w:t xml:space="preserve">, </w:t>
      </w:r>
    </w:p>
  </w:footnote>
  <w:footnote w:id="45">
    <w:p w14:paraId="7CA3C8AD" w14:textId="52C19169" w:rsidR="00CC4F8B" w:rsidRPr="00A958D3" w:rsidRDefault="00CC4F8B" w:rsidP="00DF6E3A">
      <w:pPr>
        <w:pStyle w:val="FootnoteText"/>
        <w:rPr>
          <w:sz w:val="16"/>
          <w:szCs w:val="22"/>
        </w:rPr>
      </w:pPr>
      <w:r w:rsidRPr="00A958D3">
        <w:rPr>
          <w:rStyle w:val="FootnoteReference"/>
          <w:sz w:val="16"/>
          <w:szCs w:val="22"/>
        </w:rPr>
        <w:footnoteRef/>
      </w:r>
      <w:r w:rsidRPr="00A958D3">
        <w:rPr>
          <w:sz w:val="16"/>
          <w:szCs w:val="22"/>
        </w:rPr>
        <w:t xml:space="preserve"> Queensland Government</w:t>
      </w:r>
      <w:r w:rsidR="000934D8">
        <w:rPr>
          <w:sz w:val="16"/>
          <w:szCs w:val="22"/>
        </w:rPr>
        <w:t>,</w:t>
      </w:r>
      <w:hyperlink r:id="rId8" w:anchor=":~:text=The%20Every%20life%20plan%20recognises,of%20people%20with%20lived%20experience" w:history="1">
        <w:r w:rsidR="000934D8" w:rsidRPr="00BE5C60">
          <w:rPr>
            <w:rStyle w:val="Hyperlink"/>
            <w:sz w:val="16"/>
            <w:szCs w:val="22"/>
          </w:rPr>
          <w:t xml:space="preserve"> “Every Life: t</w:t>
        </w:r>
        <w:r w:rsidRPr="00BE5C60">
          <w:rPr>
            <w:rStyle w:val="Hyperlink"/>
            <w:sz w:val="16"/>
            <w:szCs w:val="22"/>
          </w:rPr>
          <w:t>he Queensland Suicide Prevention Plan 2019 – 2029: Phase One</w:t>
        </w:r>
        <w:r w:rsidR="000934D8" w:rsidRPr="00BE5C60">
          <w:rPr>
            <w:rStyle w:val="Hyperlink"/>
            <w:sz w:val="16"/>
            <w:szCs w:val="22"/>
          </w:rPr>
          <w:t>”</w:t>
        </w:r>
      </w:hyperlink>
      <w:r w:rsidR="000934D8">
        <w:rPr>
          <w:sz w:val="16"/>
          <w:szCs w:val="22"/>
        </w:rPr>
        <w:t xml:space="preserve"> (20</w:t>
      </w:r>
      <w:r w:rsidR="00072C73">
        <w:rPr>
          <w:sz w:val="16"/>
          <w:szCs w:val="22"/>
        </w:rPr>
        <w:t>1</w:t>
      </w:r>
      <w:r w:rsidR="000934D8">
        <w:rPr>
          <w:sz w:val="16"/>
          <w:szCs w:val="22"/>
        </w:rPr>
        <w:t xml:space="preserve">9), </w:t>
      </w:r>
      <w:r w:rsidRPr="00A958D3">
        <w:rPr>
          <w:sz w:val="16"/>
          <w:szCs w:val="22"/>
        </w:rPr>
        <w:t xml:space="preserve">p. 17 </w:t>
      </w:r>
    </w:p>
  </w:footnote>
  <w:footnote w:id="46">
    <w:p w14:paraId="70D93FF2" w14:textId="10F40AD5" w:rsidR="00AD7BED" w:rsidRPr="00A958D3" w:rsidRDefault="00AD7BED">
      <w:pPr>
        <w:pStyle w:val="FootnoteText"/>
        <w:rPr>
          <w:sz w:val="16"/>
          <w:szCs w:val="22"/>
        </w:rPr>
      </w:pPr>
      <w:r w:rsidRPr="00A958D3">
        <w:rPr>
          <w:rStyle w:val="FootnoteReference"/>
          <w:sz w:val="16"/>
          <w:szCs w:val="22"/>
        </w:rPr>
        <w:footnoteRef/>
      </w:r>
      <w:r w:rsidRPr="00A958D3">
        <w:rPr>
          <w:sz w:val="16"/>
          <w:szCs w:val="22"/>
        </w:rPr>
        <w:t xml:space="preserve"> Queensland Government</w:t>
      </w:r>
      <w:r w:rsidR="00BE5C60">
        <w:rPr>
          <w:sz w:val="16"/>
          <w:szCs w:val="22"/>
        </w:rPr>
        <w:t>, “</w:t>
      </w:r>
      <w:hyperlink r:id="rId9" w:history="1">
        <w:r w:rsidR="003B68AF" w:rsidRPr="00BE5C60">
          <w:rPr>
            <w:rStyle w:val="Hyperlink"/>
            <w:sz w:val="16"/>
            <w:szCs w:val="22"/>
          </w:rPr>
          <w:t>Shifting minds: the Queensland mental health, alcohol and other drugs, and suicide prevention strategic plan 2023</w:t>
        </w:r>
        <w:r w:rsidR="00CC0C8E" w:rsidRPr="00BE5C60">
          <w:rPr>
            <w:rStyle w:val="Hyperlink"/>
            <w:sz w:val="16"/>
            <w:szCs w:val="22"/>
          </w:rPr>
          <w:t>- 2028</w:t>
        </w:r>
      </w:hyperlink>
      <w:r w:rsidR="00BE5C60">
        <w:rPr>
          <w:sz w:val="16"/>
          <w:szCs w:val="22"/>
        </w:rPr>
        <w:t>”</w:t>
      </w:r>
      <w:r w:rsidR="00066952">
        <w:rPr>
          <w:i/>
          <w:iCs/>
          <w:sz w:val="16"/>
          <w:szCs w:val="22"/>
        </w:rPr>
        <w:t xml:space="preserve"> </w:t>
      </w:r>
      <w:r w:rsidR="00066952">
        <w:rPr>
          <w:sz w:val="16"/>
          <w:szCs w:val="22"/>
        </w:rPr>
        <w:t xml:space="preserve">(2023), </w:t>
      </w:r>
      <w:r w:rsidRPr="00A958D3">
        <w:rPr>
          <w:sz w:val="16"/>
          <w:szCs w:val="22"/>
        </w:rPr>
        <w:t>p. 34</w:t>
      </w:r>
    </w:p>
  </w:footnote>
  <w:footnote w:id="47">
    <w:p w14:paraId="095D9922" w14:textId="427515F7" w:rsidR="00E62EF5" w:rsidRPr="00A958D3" w:rsidRDefault="00E62EF5" w:rsidP="00E62EF5">
      <w:pPr>
        <w:pStyle w:val="FootnoteText"/>
        <w:rPr>
          <w:sz w:val="16"/>
          <w:szCs w:val="22"/>
        </w:rPr>
      </w:pPr>
      <w:r w:rsidRPr="00A958D3">
        <w:rPr>
          <w:rStyle w:val="FootnoteReference"/>
          <w:sz w:val="16"/>
          <w:szCs w:val="22"/>
        </w:rPr>
        <w:footnoteRef/>
      </w:r>
      <w:r w:rsidRPr="00A958D3">
        <w:rPr>
          <w:sz w:val="16"/>
          <w:szCs w:val="22"/>
        </w:rPr>
        <w:t xml:space="preserve"> Government of South Australia, </w:t>
      </w:r>
      <w:r w:rsidR="00BE5C60">
        <w:rPr>
          <w:sz w:val="16"/>
          <w:szCs w:val="22"/>
        </w:rPr>
        <w:t>“</w:t>
      </w:r>
      <w:hyperlink r:id="rId10" w:history="1">
        <w:r w:rsidRPr="00BE5C60">
          <w:rPr>
            <w:rStyle w:val="Hyperlink"/>
            <w:sz w:val="16"/>
            <w:szCs w:val="22"/>
          </w:rPr>
          <w:t>Mental Health Services Plan 2020 – 2025</w:t>
        </w:r>
      </w:hyperlink>
      <w:r w:rsidR="00BE5C60">
        <w:rPr>
          <w:sz w:val="16"/>
          <w:szCs w:val="22"/>
        </w:rPr>
        <w:t>”</w:t>
      </w:r>
      <w:r w:rsidR="00BE5C60" w:rsidRPr="00BE5C60">
        <w:rPr>
          <w:sz w:val="16"/>
          <w:szCs w:val="22"/>
        </w:rPr>
        <w:t xml:space="preserve"> </w:t>
      </w:r>
      <w:r w:rsidR="00BE5C60">
        <w:rPr>
          <w:sz w:val="16"/>
          <w:szCs w:val="22"/>
        </w:rPr>
        <w:t xml:space="preserve">(2020) </w:t>
      </w:r>
      <w:r w:rsidRPr="00A958D3">
        <w:rPr>
          <w:sz w:val="16"/>
          <w:szCs w:val="22"/>
        </w:rPr>
        <w:t xml:space="preserve">p. 29 &amp; 86 </w:t>
      </w:r>
    </w:p>
  </w:footnote>
  <w:footnote w:id="48">
    <w:p w14:paraId="3C34C6D0" w14:textId="0F28E8CB" w:rsidR="00C40F1A" w:rsidRPr="00A958D3" w:rsidRDefault="00C40F1A">
      <w:pPr>
        <w:pStyle w:val="FootnoteText"/>
        <w:rPr>
          <w:sz w:val="16"/>
          <w:szCs w:val="22"/>
        </w:rPr>
      </w:pPr>
      <w:r w:rsidRPr="00A958D3">
        <w:rPr>
          <w:rStyle w:val="FootnoteReference"/>
          <w:sz w:val="16"/>
          <w:szCs w:val="22"/>
        </w:rPr>
        <w:footnoteRef/>
      </w:r>
      <w:r w:rsidRPr="00A958D3">
        <w:rPr>
          <w:sz w:val="16"/>
          <w:szCs w:val="22"/>
        </w:rPr>
        <w:t xml:space="preserve"> </w:t>
      </w:r>
      <w:r w:rsidR="008B62C1" w:rsidRPr="00A958D3">
        <w:rPr>
          <w:sz w:val="16"/>
          <w:szCs w:val="22"/>
        </w:rPr>
        <w:t xml:space="preserve">Tasmanian Government, </w:t>
      </w:r>
      <w:r w:rsidR="008361DA">
        <w:rPr>
          <w:sz w:val="16"/>
          <w:szCs w:val="22"/>
        </w:rPr>
        <w:t>“</w:t>
      </w:r>
      <w:hyperlink r:id="rId11" w:history="1">
        <w:r w:rsidR="000F49B7" w:rsidRPr="00D3138E">
          <w:rPr>
            <w:rStyle w:val="Hyperlink"/>
            <w:sz w:val="16"/>
            <w:szCs w:val="22"/>
          </w:rPr>
          <w:t xml:space="preserve">Rethink 2020: a state plan for mental health in Tasmania 2020 – 2025: </w:t>
        </w:r>
        <w:r w:rsidR="008B62C1" w:rsidRPr="00D3138E">
          <w:rPr>
            <w:rStyle w:val="Hyperlink"/>
            <w:sz w:val="16"/>
            <w:szCs w:val="22"/>
          </w:rPr>
          <w:t>2023 – 24 Rethink 2020 Implementation Plan</w:t>
        </w:r>
      </w:hyperlink>
      <w:r w:rsidR="008361DA">
        <w:rPr>
          <w:sz w:val="16"/>
          <w:szCs w:val="22"/>
        </w:rPr>
        <w:t>”</w:t>
      </w:r>
      <w:r w:rsidR="008B62C1" w:rsidRPr="00A958D3">
        <w:rPr>
          <w:i/>
          <w:iCs/>
          <w:sz w:val="16"/>
          <w:szCs w:val="22"/>
        </w:rPr>
        <w:t xml:space="preserve"> </w:t>
      </w:r>
      <w:r w:rsidR="00C157EB">
        <w:rPr>
          <w:sz w:val="16"/>
          <w:szCs w:val="22"/>
        </w:rPr>
        <w:t>(2023) p</w:t>
      </w:r>
      <w:r w:rsidRPr="00A958D3">
        <w:rPr>
          <w:sz w:val="16"/>
          <w:szCs w:val="22"/>
        </w:rPr>
        <w:t>. 13</w:t>
      </w:r>
    </w:p>
  </w:footnote>
  <w:footnote w:id="49">
    <w:p w14:paraId="66C86971" w14:textId="094C23D9" w:rsidR="00E62EF5" w:rsidRPr="00A958D3" w:rsidRDefault="00E62EF5" w:rsidP="00E62EF5">
      <w:pPr>
        <w:pStyle w:val="FootnoteText"/>
        <w:rPr>
          <w:sz w:val="16"/>
          <w:szCs w:val="22"/>
          <w:lang w:val="en-US"/>
        </w:rPr>
      </w:pPr>
      <w:r w:rsidRPr="00A958D3">
        <w:rPr>
          <w:rStyle w:val="FootnoteReference"/>
          <w:sz w:val="16"/>
          <w:szCs w:val="22"/>
        </w:rPr>
        <w:footnoteRef/>
      </w:r>
      <w:r w:rsidRPr="00A958D3">
        <w:rPr>
          <w:sz w:val="16"/>
          <w:szCs w:val="22"/>
        </w:rPr>
        <w:t xml:space="preserve"> </w:t>
      </w:r>
      <w:r w:rsidRPr="00A958D3">
        <w:rPr>
          <w:sz w:val="16"/>
          <w:szCs w:val="22"/>
          <w:lang w:val="en-US"/>
        </w:rPr>
        <w:t xml:space="preserve">Victorian Government, </w:t>
      </w:r>
      <w:r w:rsidR="008361DA">
        <w:rPr>
          <w:sz w:val="16"/>
          <w:szCs w:val="22"/>
          <w:lang w:val="en-US"/>
        </w:rPr>
        <w:t>“</w:t>
      </w:r>
      <w:hyperlink r:id="rId12" w:history="1">
        <w:r w:rsidRPr="008361DA">
          <w:rPr>
            <w:rStyle w:val="Hyperlink"/>
            <w:sz w:val="16"/>
            <w:szCs w:val="22"/>
            <w:lang w:val="en-US"/>
          </w:rPr>
          <w:t>Pride in our future: Victoria’s LGBTIQ+ strategy 2022-32</w:t>
        </w:r>
      </w:hyperlink>
      <w:r w:rsidR="008361DA">
        <w:rPr>
          <w:sz w:val="16"/>
          <w:szCs w:val="22"/>
          <w:lang w:val="en-US"/>
        </w:rPr>
        <w:t>”</w:t>
      </w:r>
      <w:r w:rsidR="008361DA">
        <w:rPr>
          <w:i/>
          <w:iCs/>
          <w:sz w:val="16"/>
          <w:szCs w:val="22"/>
          <w:lang w:val="en-US"/>
        </w:rPr>
        <w:t xml:space="preserve"> </w:t>
      </w:r>
      <w:r w:rsidR="008361DA">
        <w:rPr>
          <w:sz w:val="16"/>
          <w:szCs w:val="22"/>
          <w:lang w:val="en-US"/>
        </w:rPr>
        <w:t>(2002)</w:t>
      </w:r>
      <w:r w:rsidRPr="00A958D3">
        <w:rPr>
          <w:i/>
          <w:iCs/>
          <w:sz w:val="16"/>
          <w:szCs w:val="22"/>
          <w:lang w:val="en-US"/>
        </w:rPr>
        <w:t xml:space="preserve"> </w:t>
      </w:r>
    </w:p>
  </w:footnote>
  <w:footnote w:id="50">
    <w:p w14:paraId="318207D1" w14:textId="7B5F710C" w:rsidR="00E62EF5" w:rsidRPr="00A958D3" w:rsidRDefault="00E62EF5" w:rsidP="00E62EF5">
      <w:pPr>
        <w:pStyle w:val="FootnoteText"/>
        <w:rPr>
          <w:sz w:val="16"/>
          <w:szCs w:val="22"/>
          <w:lang w:val="en-US"/>
        </w:rPr>
      </w:pPr>
      <w:r w:rsidRPr="00A958D3">
        <w:rPr>
          <w:rStyle w:val="FootnoteReference"/>
          <w:sz w:val="16"/>
          <w:szCs w:val="22"/>
        </w:rPr>
        <w:footnoteRef/>
      </w:r>
      <w:r w:rsidRPr="00A958D3">
        <w:rPr>
          <w:sz w:val="16"/>
          <w:szCs w:val="22"/>
        </w:rPr>
        <w:t xml:space="preserve"> </w:t>
      </w:r>
      <w:r w:rsidRPr="00A958D3">
        <w:rPr>
          <w:sz w:val="16"/>
          <w:szCs w:val="22"/>
          <w:lang w:val="en-US"/>
        </w:rPr>
        <w:t xml:space="preserve">Victorian Government, </w:t>
      </w:r>
      <w:r w:rsidR="00C66935">
        <w:rPr>
          <w:sz w:val="16"/>
          <w:szCs w:val="22"/>
          <w:lang w:val="en-US"/>
        </w:rPr>
        <w:t>“</w:t>
      </w:r>
      <w:hyperlink r:id="rId13" w:history="1">
        <w:r w:rsidRPr="00C66935">
          <w:rPr>
            <w:rStyle w:val="Hyperlink"/>
            <w:sz w:val="16"/>
            <w:szCs w:val="22"/>
            <w:lang w:val="en-US"/>
          </w:rPr>
          <w:t>Pride in our future: Victoria’s LGBTIQ+ strategy 2022-32</w:t>
        </w:r>
      </w:hyperlink>
      <w:r w:rsidR="00C66935" w:rsidRPr="00C66935">
        <w:rPr>
          <w:sz w:val="16"/>
          <w:szCs w:val="22"/>
          <w:lang w:val="en-US"/>
        </w:rPr>
        <w:t>”</w:t>
      </w:r>
      <w:r w:rsidR="00C66935">
        <w:rPr>
          <w:i/>
          <w:iCs/>
          <w:sz w:val="16"/>
          <w:szCs w:val="22"/>
          <w:lang w:val="en-US"/>
        </w:rPr>
        <w:t xml:space="preserve"> </w:t>
      </w:r>
      <w:r w:rsidR="00C66935">
        <w:rPr>
          <w:sz w:val="16"/>
          <w:szCs w:val="22"/>
          <w:lang w:val="en-US"/>
        </w:rPr>
        <w:t>(2022)</w:t>
      </w:r>
      <w:r w:rsidRPr="00A958D3">
        <w:rPr>
          <w:sz w:val="16"/>
          <w:szCs w:val="22"/>
          <w:lang w:val="en-US"/>
        </w:rPr>
        <w:t xml:space="preserve">. 6 – 7 </w:t>
      </w:r>
    </w:p>
  </w:footnote>
  <w:footnote w:id="51">
    <w:p w14:paraId="5EF3ECFC" w14:textId="1E3BD4AC" w:rsidR="006032EE" w:rsidRPr="00A958D3" w:rsidRDefault="006032EE">
      <w:pPr>
        <w:pStyle w:val="FootnoteText"/>
        <w:rPr>
          <w:sz w:val="16"/>
          <w:szCs w:val="16"/>
        </w:rPr>
      </w:pPr>
      <w:r w:rsidRPr="00A958D3">
        <w:rPr>
          <w:rStyle w:val="FootnoteReference"/>
          <w:sz w:val="16"/>
          <w:szCs w:val="16"/>
        </w:rPr>
        <w:footnoteRef/>
      </w:r>
      <w:r w:rsidRPr="00A958D3">
        <w:rPr>
          <w:sz w:val="16"/>
          <w:szCs w:val="16"/>
        </w:rPr>
        <w:t xml:space="preserve"> LGTB</w:t>
      </w:r>
      <w:r w:rsidR="00D422F2" w:rsidRPr="00A958D3">
        <w:rPr>
          <w:sz w:val="16"/>
          <w:szCs w:val="16"/>
        </w:rPr>
        <w:t>IQ</w:t>
      </w:r>
      <w:r w:rsidRPr="00A958D3">
        <w:rPr>
          <w:sz w:val="16"/>
          <w:szCs w:val="16"/>
        </w:rPr>
        <w:t xml:space="preserve">+ Health Australia, </w:t>
      </w:r>
      <w:r w:rsidRPr="00A958D3">
        <w:rPr>
          <w:i/>
          <w:iCs/>
          <w:sz w:val="16"/>
          <w:szCs w:val="16"/>
        </w:rPr>
        <w:t>Beyond Urgent: National LGBTIQ+ Mental Health and Suicide Prevention Strategy 2021 – 2026</w:t>
      </w:r>
      <w:r w:rsidR="00DF4868">
        <w:rPr>
          <w:i/>
          <w:iCs/>
          <w:sz w:val="16"/>
          <w:szCs w:val="16"/>
        </w:rPr>
        <w:t xml:space="preserve"> </w:t>
      </w:r>
      <w:r w:rsidR="00DF4868">
        <w:rPr>
          <w:sz w:val="16"/>
          <w:szCs w:val="16"/>
        </w:rPr>
        <w:t>(2022)</w:t>
      </w:r>
      <w:r w:rsidRPr="00A958D3">
        <w:rPr>
          <w:i/>
          <w:iCs/>
          <w:sz w:val="16"/>
          <w:szCs w:val="16"/>
        </w:rPr>
        <w:t xml:space="preserve"> </w:t>
      </w:r>
      <w:r w:rsidRPr="00A958D3">
        <w:rPr>
          <w:sz w:val="16"/>
          <w:szCs w:val="16"/>
        </w:rPr>
        <w:t>p.8</w:t>
      </w:r>
    </w:p>
  </w:footnote>
  <w:footnote w:id="52">
    <w:p w14:paraId="30DEDC8F" w14:textId="785A8959" w:rsidR="00CE5EF5" w:rsidRPr="00A958D3" w:rsidRDefault="00CE5EF5">
      <w:pPr>
        <w:pStyle w:val="FootnoteText"/>
        <w:rPr>
          <w:sz w:val="16"/>
          <w:szCs w:val="16"/>
        </w:rPr>
      </w:pPr>
      <w:r w:rsidRPr="00A958D3">
        <w:rPr>
          <w:rStyle w:val="FootnoteReference"/>
          <w:sz w:val="16"/>
          <w:szCs w:val="16"/>
        </w:rPr>
        <w:footnoteRef/>
      </w:r>
      <w:r w:rsidRPr="00A958D3">
        <w:rPr>
          <w:sz w:val="16"/>
          <w:szCs w:val="16"/>
        </w:rPr>
        <w:t xml:space="preserve"> </w:t>
      </w:r>
      <w:r w:rsidR="0020610E" w:rsidRPr="00A958D3">
        <w:rPr>
          <w:sz w:val="16"/>
          <w:szCs w:val="16"/>
        </w:rPr>
        <w:t xml:space="preserve">LGBTIQ+ Health Australia, </w:t>
      </w:r>
      <w:r w:rsidR="00474851" w:rsidRPr="00A958D3">
        <w:rPr>
          <w:i/>
          <w:iCs/>
          <w:sz w:val="16"/>
          <w:szCs w:val="16"/>
        </w:rPr>
        <w:t xml:space="preserve">Current Evidence for Good Practice in Suicide Prevention for LGBTIQ+ People, </w:t>
      </w:r>
      <w:r w:rsidR="00D761F6" w:rsidRPr="00A958D3">
        <w:rPr>
          <w:sz w:val="16"/>
          <w:szCs w:val="16"/>
        </w:rPr>
        <w:t xml:space="preserve">Published 30 October 2020. </w:t>
      </w:r>
    </w:p>
  </w:footnote>
  <w:footnote w:id="53">
    <w:p w14:paraId="20DA3D31" w14:textId="3CE93819" w:rsidR="00D43DF9" w:rsidRPr="00A958D3" w:rsidRDefault="00D43DF9" w:rsidP="005A783F">
      <w:pPr>
        <w:pStyle w:val="FootnoteText"/>
        <w:rPr>
          <w:sz w:val="16"/>
          <w:szCs w:val="16"/>
        </w:rPr>
      </w:pPr>
      <w:r w:rsidRPr="00A958D3">
        <w:rPr>
          <w:rStyle w:val="FootnoteReference"/>
          <w:sz w:val="16"/>
          <w:szCs w:val="16"/>
        </w:rPr>
        <w:footnoteRef/>
      </w:r>
      <w:r w:rsidRPr="00A958D3">
        <w:rPr>
          <w:sz w:val="16"/>
          <w:szCs w:val="16"/>
        </w:rPr>
        <w:t xml:space="preserve"> </w:t>
      </w:r>
      <w:r w:rsidR="005A783F" w:rsidRPr="00A958D3">
        <w:rPr>
          <w:sz w:val="16"/>
          <w:szCs w:val="16"/>
        </w:rPr>
        <w:t xml:space="preserve">Mental Health Coordinating </w:t>
      </w:r>
      <w:r w:rsidR="00487CC4" w:rsidRPr="00A958D3">
        <w:rPr>
          <w:sz w:val="16"/>
          <w:szCs w:val="16"/>
        </w:rPr>
        <w:t>Counci</w:t>
      </w:r>
      <w:r w:rsidR="00487CC4">
        <w:rPr>
          <w:sz w:val="16"/>
          <w:szCs w:val="16"/>
        </w:rPr>
        <w:t>l</w:t>
      </w:r>
      <w:r w:rsidR="005A783F" w:rsidRPr="00A958D3">
        <w:rPr>
          <w:sz w:val="16"/>
          <w:szCs w:val="16"/>
        </w:rPr>
        <w:t xml:space="preserve">, </w:t>
      </w:r>
      <w:r w:rsidR="005A783F" w:rsidRPr="00A958D3">
        <w:rPr>
          <w:i/>
          <w:iCs/>
          <w:sz w:val="16"/>
          <w:szCs w:val="16"/>
        </w:rPr>
        <w:t>Recovery Oriented Language Guide: Third Edition</w:t>
      </w:r>
      <w:r w:rsidR="00EF298B">
        <w:rPr>
          <w:i/>
          <w:iCs/>
          <w:sz w:val="16"/>
          <w:szCs w:val="16"/>
        </w:rPr>
        <w:t xml:space="preserve"> </w:t>
      </w:r>
      <w:r w:rsidR="00EF298B">
        <w:rPr>
          <w:sz w:val="16"/>
          <w:szCs w:val="16"/>
        </w:rPr>
        <w:t>(</w:t>
      </w:r>
      <w:r w:rsidR="005A783F" w:rsidRPr="00A958D3">
        <w:rPr>
          <w:sz w:val="16"/>
          <w:szCs w:val="16"/>
        </w:rPr>
        <w:t>Sydney, Australia</w:t>
      </w:r>
      <w:r w:rsidR="00EF298B">
        <w:rPr>
          <w:sz w:val="16"/>
          <w:szCs w:val="16"/>
        </w:rPr>
        <w:t>, 2022).</w:t>
      </w:r>
    </w:p>
  </w:footnote>
  <w:footnote w:id="54">
    <w:p w14:paraId="4004302F" w14:textId="12FA3604" w:rsidR="00CB257C" w:rsidRPr="00A958D3" w:rsidRDefault="00CB257C" w:rsidP="003A7B21">
      <w:pPr>
        <w:pStyle w:val="FootnoteText"/>
        <w:rPr>
          <w:sz w:val="16"/>
          <w:szCs w:val="22"/>
        </w:rPr>
      </w:pPr>
      <w:r w:rsidRPr="00A958D3">
        <w:rPr>
          <w:rStyle w:val="FootnoteReference"/>
          <w:sz w:val="16"/>
          <w:szCs w:val="22"/>
        </w:rPr>
        <w:footnoteRef/>
      </w:r>
      <w:r w:rsidRPr="00A958D3">
        <w:rPr>
          <w:sz w:val="16"/>
          <w:szCs w:val="22"/>
        </w:rPr>
        <w:t xml:space="preserve"> National Mental Health Commission</w:t>
      </w:r>
      <w:r w:rsidR="00DE44B5">
        <w:rPr>
          <w:sz w:val="16"/>
          <w:szCs w:val="22"/>
        </w:rPr>
        <w:t xml:space="preserve">, </w:t>
      </w:r>
      <w:r w:rsidR="00DE44B5">
        <w:rPr>
          <w:i/>
          <w:iCs/>
          <w:sz w:val="16"/>
          <w:szCs w:val="22"/>
        </w:rPr>
        <w:t xml:space="preserve">Monitoring mental health and suicide prevention reform: National Report 2020, </w:t>
      </w:r>
      <w:r w:rsidRPr="00A958D3">
        <w:rPr>
          <w:sz w:val="16"/>
          <w:szCs w:val="22"/>
        </w:rPr>
        <w:t>p. 13.</w:t>
      </w:r>
    </w:p>
  </w:footnote>
  <w:footnote w:id="55">
    <w:p w14:paraId="7BB9537C" w14:textId="128EA256" w:rsidR="00CB257C" w:rsidRPr="00A958D3" w:rsidRDefault="00CB257C" w:rsidP="003A7B21">
      <w:pPr>
        <w:pStyle w:val="FootnoteText"/>
        <w:rPr>
          <w:sz w:val="16"/>
          <w:szCs w:val="22"/>
          <w:lang w:val="en-US"/>
        </w:rPr>
      </w:pPr>
      <w:r w:rsidRPr="00A958D3">
        <w:rPr>
          <w:rStyle w:val="FootnoteReference"/>
          <w:sz w:val="16"/>
          <w:szCs w:val="22"/>
        </w:rPr>
        <w:footnoteRef/>
      </w:r>
      <w:r w:rsidRPr="00A958D3">
        <w:rPr>
          <w:sz w:val="16"/>
          <w:szCs w:val="22"/>
        </w:rPr>
        <w:t xml:space="preserve"> Commonwealth Department of Health, </w:t>
      </w:r>
      <w:r w:rsidRPr="00A958D3">
        <w:rPr>
          <w:i/>
          <w:iCs/>
          <w:sz w:val="16"/>
          <w:szCs w:val="22"/>
        </w:rPr>
        <w:t>Annual Report 2019-20</w:t>
      </w:r>
      <w:r w:rsidR="0088767E">
        <w:rPr>
          <w:sz w:val="16"/>
          <w:szCs w:val="22"/>
        </w:rPr>
        <w:t>, Publi</w:t>
      </w:r>
      <w:r w:rsidR="00E17154">
        <w:rPr>
          <w:sz w:val="16"/>
          <w:szCs w:val="22"/>
        </w:rPr>
        <w:t xml:space="preserve">shed: </w:t>
      </w:r>
      <w:r w:rsidR="0088767E">
        <w:rPr>
          <w:sz w:val="16"/>
          <w:szCs w:val="22"/>
        </w:rPr>
        <w:t xml:space="preserve">1 December 2020 </w:t>
      </w:r>
      <w:r w:rsidRPr="00A958D3">
        <w:rPr>
          <w:sz w:val="16"/>
          <w:szCs w:val="22"/>
        </w:rPr>
        <w:t>p. 129.</w:t>
      </w:r>
    </w:p>
  </w:footnote>
  <w:footnote w:id="56">
    <w:p w14:paraId="0FC4C924" w14:textId="298C42E3" w:rsidR="000544E8" w:rsidRPr="00A958D3" w:rsidRDefault="000544E8" w:rsidP="000544E8">
      <w:pPr>
        <w:pStyle w:val="FootnoteText"/>
        <w:rPr>
          <w:sz w:val="16"/>
          <w:szCs w:val="22"/>
        </w:rPr>
      </w:pPr>
      <w:r w:rsidRPr="00A958D3">
        <w:rPr>
          <w:rStyle w:val="FootnoteReference"/>
          <w:sz w:val="16"/>
          <w:szCs w:val="22"/>
        </w:rPr>
        <w:footnoteRef/>
      </w:r>
      <w:r w:rsidRPr="00A958D3">
        <w:rPr>
          <w:sz w:val="16"/>
          <w:szCs w:val="22"/>
        </w:rPr>
        <w:t xml:space="preserve"> Australian Productivity Commission, </w:t>
      </w:r>
      <w:r w:rsidRPr="00A958D3">
        <w:rPr>
          <w:i/>
          <w:iCs/>
          <w:sz w:val="16"/>
          <w:szCs w:val="22"/>
        </w:rPr>
        <w:t>Mental Health Inquiry Report,</w:t>
      </w:r>
      <w:r w:rsidR="00E17154">
        <w:rPr>
          <w:i/>
          <w:iCs/>
          <w:sz w:val="16"/>
          <w:szCs w:val="22"/>
        </w:rPr>
        <w:t xml:space="preserve"> </w:t>
      </w:r>
      <w:r w:rsidR="00E17154">
        <w:rPr>
          <w:sz w:val="16"/>
          <w:szCs w:val="22"/>
        </w:rPr>
        <w:t>Published: 16 November 2020</w:t>
      </w:r>
      <w:r w:rsidRPr="00A958D3">
        <w:rPr>
          <w:i/>
          <w:iCs/>
          <w:sz w:val="16"/>
          <w:szCs w:val="22"/>
        </w:rPr>
        <w:t xml:space="preserve"> </w:t>
      </w:r>
      <w:r w:rsidRPr="00A958D3">
        <w:rPr>
          <w:sz w:val="16"/>
          <w:szCs w:val="22"/>
        </w:rPr>
        <w:t>p. 154.</w:t>
      </w:r>
    </w:p>
  </w:footnote>
  <w:footnote w:id="57">
    <w:p w14:paraId="0B651EC2" w14:textId="4C02D21B" w:rsidR="000544E8" w:rsidRPr="00D915E0" w:rsidRDefault="000544E8" w:rsidP="000544E8">
      <w:pPr>
        <w:pStyle w:val="FootnoteText"/>
        <w:rPr>
          <w:sz w:val="16"/>
          <w:szCs w:val="22"/>
        </w:rPr>
      </w:pPr>
      <w:r w:rsidRPr="00A958D3">
        <w:rPr>
          <w:rStyle w:val="FootnoteReference"/>
          <w:sz w:val="16"/>
          <w:szCs w:val="22"/>
        </w:rPr>
        <w:footnoteRef/>
      </w:r>
      <w:r w:rsidRPr="00A958D3">
        <w:rPr>
          <w:sz w:val="16"/>
          <w:szCs w:val="22"/>
        </w:rPr>
        <w:t xml:space="preserve"> </w:t>
      </w:r>
      <w:r w:rsidRPr="00A958D3">
        <w:rPr>
          <w:rFonts w:ascii="Arial" w:eastAsia="Arial" w:hAnsi="Arial" w:cs="Times New Roman"/>
          <w:color w:val="000000"/>
          <w:sz w:val="16"/>
          <w:szCs w:val="22"/>
        </w:rPr>
        <w:t xml:space="preserve">Australian Institute of Health and Welfare, </w:t>
      </w:r>
      <w:hyperlink r:id="rId14" w:history="1">
        <w:r w:rsidRPr="00F421C1">
          <w:rPr>
            <w:rStyle w:val="Hyperlink"/>
            <w:rFonts w:ascii="Arial" w:eastAsia="Arial" w:hAnsi="Arial" w:cs="Times New Roman"/>
            <w:i/>
            <w:iCs/>
            <w:sz w:val="16"/>
            <w:szCs w:val="22"/>
          </w:rPr>
          <w:t>Mental Health Services in Australia.</w:t>
        </w:r>
      </w:hyperlink>
      <w:r w:rsidR="00D915E0">
        <w:rPr>
          <w:rFonts w:ascii="Arial" w:eastAsia="Arial" w:hAnsi="Arial" w:cs="Times New Roman"/>
          <w:i/>
          <w:iCs/>
          <w:color w:val="000000"/>
          <w:sz w:val="16"/>
          <w:szCs w:val="22"/>
        </w:rPr>
        <w:t xml:space="preserve">, </w:t>
      </w:r>
      <w:r w:rsidR="00D915E0">
        <w:rPr>
          <w:rFonts w:ascii="Arial" w:eastAsia="Arial" w:hAnsi="Arial" w:cs="Times New Roman"/>
          <w:color w:val="000000"/>
          <w:sz w:val="16"/>
          <w:szCs w:val="22"/>
        </w:rPr>
        <w:t>Last Updated: 31 October 2023.</w:t>
      </w:r>
    </w:p>
  </w:footnote>
  <w:footnote w:id="58">
    <w:p w14:paraId="4159A030" w14:textId="5E7C2E47" w:rsidR="00CB257C" w:rsidRPr="00DF4ABC" w:rsidRDefault="00CB257C" w:rsidP="003A7B21">
      <w:pPr>
        <w:pStyle w:val="FootnoteText"/>
        <w:rPr>
          <w:lang w:val="en-US"/>
        </w:rPr>
      </w:pPr>
      <w:r w:rsidRPr="00DF4ABC">
        <w:rPr>
          <w:rStyle w:val="FootnoteReference"/>
        </w:rPr>
        <w:footnoteRef/>
      </w:r>
      <w:r w:rsidRPr="00DF4ABC">
        <w:t xml:space="preserve"> </w:t>
      </w:r>
      <w:r w:rsidRPr="00DF4ABC">
        <w:rPr>
          <w:lang w:val="en-US"/>
        </w:rPr>
        <w:t xml:space="preserve">Australian Institute of Health and Welfare, </w:t>
      </w:r>
      <w:r w:rsidRPr="00DF4ABC">
        <w:rPr>
          <w:i/>
          <w:iCs/>
          <w:lang w:val="en-US"/>
        </w:rPr>
        <w:t xml:space="preserve">Mental Health Services – in brief 2019, </w:t>
      </w:r>
      <w:r w:rsidR="0064284C">
        <w:rPr>
          <w:lang w:val="en-US"/>
        </w:rPr>
        <w:t xml:space="preserve">Published: 2020 </w:t>
      </w:r>
      <w:r w:rsidRPr="00DF4ABC">
        <w:rPr>
          <w:lang w:val="en-US"/>
        </w:rPr>
        <w:t xml:space="preserve">p. 21. </w:t>
      </w:r>
    </w:p>
  </w:footnote>
  <w:footnote w:id="59">
    <w:p w14:paraId="2F3FDCA8" w14:textId="58AD0B72" w:rsidR="00584569" w:rsidRDefault="00584569">
      <w:pPr>
        <w:pStyle w:val="FootnoteText"/>
      </w:pPr>
      <w:r>
        <w:rPr>
          <w:rStyle w:val="FootnoteReference"/>
        </w:rPr>
        <w:footnoteRef/>
      </w:r>
      <w:r w:rsidR="0047577A">
        <w:t xml:space="preserve"> Service Australia</w:t>
      </w:r>
      <w:r w:rsidR="00357162">
        <w:t xml:space="preserve">, </w:t>
      </w:r>
      <w:hyperlink r:id="rId15" w:history="1">
        <w:r w:rsidR="00357162" w:rsidRPr="00FC463E">
          <w:rPr>
            <w:rStyle w:val="Hyperlink"/>
          </w:rPr>
          <w:t>Mental health Care and Medicare</w:t>
        </w:r>
      </w:hyperlink>
      <w:r w:rsidR="00FC463E">
        <w:t xml:space="preserve">. Accessed </w:t>
      </w:r>
      <w:r w:rsidR="00363D5F">
        <w:t>Oct</w:t>
      </w:r>
      <w:r w:rsidR="009127B4">
        <w:t>ob</w:t>
      </w:r>
      <w:r w:rsidR="00363D5F">
        <w:t>er 2023</w:t>
      </w:r>
      <w:r w:rsidR="009127B4">
        <w:t>.</w:t>
      </w:r>
    </w:p>
  </w:footnote>
  <w:footnote w:id="60">
    <w:p w14:paraId="6277541C" w14:textId="43D66D12" w:rsidR="00CB257C" w:rsidRPr="00AD0921" w:rsidRDefault="00CB257C" w:rsidP="004C79C4">
      <w:pPr>
        <w:pStyle w:val="FootnoteText"/>
        <w:rPr>
          <w:rFonts w:cstheme="minorHAnsi"/>
          <w:sz w:val="16"/>
          <w:szCs w:val="16"/>
          <w:lang w:val="en-US"/>
        </w:rPr>
      </w:pPr>
      <w:r w:rsidRPr="00AD0921">
        <w:rPr>
          <w:rStyle w:val="FootnoteReference"/>
          <w:rFonts w:cstheme="minorHAnsi"/>
          <w:sz w:val="16"/>
          <w:szCs w:val="16"/>
        </w:rPr>
        <w:footnoteRef/>
      </w:r>
      <w:r w:rsidRPr="00AD0921">
        <w:rPr>
          <w:rFonts w:cstheme="minorHAnsi"/>
          <w:sz w:val="16"/>
          <w:szCs w:val="16"/>
        </w:rPr>
        <w:t xml:space="preserve"> </w:t>
      </w:r>
      <w:r w:rsidRPr="00AD0921">
        <w:rPr>
          <w:rFonts w:cstheme="minorHAnsi"/>
          <w:sz w:val="16"/>
          <w:szCs w:val="16"/>
          <w:lang w:val="en-US"/>
        </w:rPr>
        <w:t>A</w:t>
      </w:r>
      <w:r w:rsidR="0089276B">
        <w:rPr>
          <w:rFonts w:cstheme="minorHAnsi"/>
          <w:sz w:val="16"/>
          <w:szCs w:val="16"/>
          <w:lang w:val="en-US"/>
        </w:rPr>
        <w:t>IHW</w:t>
      </w:r>
      <w:r w:rsidRPr="00AD0921">
        <w:rPr>
          <w:rFonts w:cstheme="minorHAnsi"/>
          <w:sz w:val="16"/>
          <w:szCs w:val="16"/>
          <w:lang w:val="en-US"/>
        </w:rPr>
        <w:t xml:space="preserve">, </w:t>
      </w:r>
      <w:r w:rsidRPr="00AD0921">
        <w:rPr>
          <w:rFonts w:cstheme="minorHAnsi"/>
          <w:i/>
          <w:iCs/>
          <w:sz w:val="16"/>
          <w:szCs w:val="16"/>
          <w:lang w:val="en-US"/>
        </w:rPr>
        <w:t>Mental Health Services – in brief 2019</w:t>
      </w:r>
      <w:r w:rsidR="0089276B">
        <w:rPr>
          <w:rFonts w:cstheme="minorHAnsi"/>
          <w:i/>
          <w:iCs/>
          <w:sz w:val="16"/>
          <w:szCs w:val="16"/>
          <w:lang w:val="en-US"/>
        </w:rPr>
        <w:t xml:space="preserve">, </w:t>
      </w:r>
      <w:r w:rsidR="0089276B">
        <w:rPr>
          <w:rFonts w:cstheme="minorHAnsi"/>
          <w:sz w:val="16"/>
          <w:szCs w:val="16"/>
          <w:lang w:val="en-US"/>
        </w:rPr>
        <w:t>2020</w:t>
      </w:r>
      <w:r w:rsidRPr="00AD0921">
        <w:rPr>
          <w:rFonts w:cstheme="minorHAnsi"/>
          <w:i/>
          <w:iCs/>
          <w:sz w:val="16"/>
          <w:szCs w:val="16"/>
          <w:lang w:val="en-US"/>
        </w:rPr>
        <w:t xml:space="preserve"> </w:t>
      </w:r>
      <w:r w:rsidRPr="00AD0921">
        <w:rPr>
          <w:rFonts w:cstheme="minorHAnsi"/>
          <w:sz w:val="16"/>
          <w:szCs w:val="16"/>
          <w:lang w:val="en-US"/>
        </w:rPr>
        <w:t>p. 16.</w:t>
      </w:r>
    </w:p>
  </w:footnote>
  <w:footnote w:id="61">
    <w:p w14:paraId="5275F2BB" w14:textId="62D622CF" w:rsidR="00CB257C" w:rsidRPr="00AD0921" w:rsidRDefault="00CB257C" w:rsidP="00A45A04">
      <w:pPr>
        <w:pStyle w:val="FootnoteText"/>
        <w:rPr>
          <w:rFonts w:cstheme="minorHAnsi"/>
          <w:sz w:val="16"/>
          <w:szCs w:val="16"/>
        </w:rPr>
      </w:pPr>
      <w:r w:rsidRPr="00AD0921">
        <w:rPr>
          <w:rStyle w:val="FootnoteReference"/>
          <w:rFonts w:cstheme="minorHAnsi"/>
          <w:sz w:val="16"/>
          <w:szCs w:val="16"/>
        </w:rPr>
        <w:footnoteRef/>
      </w:r>
      <w:r w:rsidRPr="00AD0921">
        <w:rPr>
          <w:rFonts w:cstheme="minorHAnsi"/>
          <w:sz w:val="16"/>
          <w:szCs w:val="16"/>
        </w:rPr>
        <w:t xml:space="preserve"> Commonwealth Department of Health, </w:t>
      </w:r>
      <w:r w:rsidRPr="00AD0921">
        <w:rPr>
          <w:rFonts w:cstheme="minorHAnsi"/>
          <w:i/>
          <w:iCs/>
          <w:sz w:val="16"/>
          <w:szCs w:val="16"/>
        </w:rPr>
        <w:t>Prioritising Mental Health – Adult Mental Health Centres</w:t>
      </w:r>
      <w:r w:rsidR="005E099E">
        <w:rPr>
          <w:rFonts w:cstheme="minorHAnsi"/>
          <w:sz w:val="16"/>
          <w:szCs w:val="16"/>
        </w:rPr>
        <w:t xml:space="preserve">, Published: 2019. </w:t>
      </w:r>
    </w:p>
  </w:footnote>
  <w:footnote w:id="62">
    <w:p w14:paraId="11EDE25A" w14:textId="76EF77B8" w:rsidR="00CB257C" w:rsidRPr="00AD0921" w:rsidRDefault="00CB257C" w:rsidP="007A67B5">
      <w:pPr>
        <w:rPr>
          <w:rFonts w:cstheme="minorHAnsi"/>
          <w:i/>
          <w:iCs/>
          <w:sz w:val="16"/>
          <w:szCs w:val="16"/>
        </w:rPr>
      </w:pPr>
      <w:r w:rsidRPr="00AD0921">
        <w:rPr>
          <w:rStyle w:val="FootnoteReference"/>
          <w:rFonts w:cstheme="minorHAnsi"/>
          <w:sz w:val="16"/>
          <w:szCs w:val="16"/>
        </w:rPr>
        <w:footnoteRef/>
      </w:r>
      <w:r w:rsidRPr="00AD0921">
        <w:rPr>
          <w:rFonts w:cstheme="minorHAnsi"/>
          <w:sz w:val="16"/>
          <w:szCs w:val="16"/>
        </w:rPr>
        <w:t xml:space="preserve"> </w:t>
      </w:r>
      <w:r w:rsidR="007A67B5" w:rsidRPr="00AD0921">
        <w:rPr>
          <w:rFonts w:cstheme="minorHAnsi"/>
          <w:sz w:val="16"/>
          <w:szCs w:val="16"/>
        </w:rPr>
        <w:t xml:space="preserve">At the time of writing, there are 18 of these (11 centres and 7 satellites) so coverage is limited. </w:t>
      </w:r>
      <w:r w:rsidR="007A67B5" w:rsidRPr="00AD0921">
        <w:rPr>
          <w:rFonts w:cstheme="minorHAnsi"/>
          <w:sz w:val="16"/>
          <w:szCs w:val="16"/>
        </w:rPr>
        <w:br/>
      </w:r>
      <w:r w:rsidRPr="00AD0921">
        <w:rPr>
          <w:rFonts w:cstheme="minorHAnsi"/>
          <w:sz w:val="16"/>
          <w:szCs w:val="16"/>
        </w:rPr>
        <w:t xml:space="preserve">Commonwealth Department of Treasury, </w:t>
      </w:r>
      <w:r w:rsidRPr="00AD0921">
        <w:rPr>
          <w:rFonts w:cstheme="minorHAnsi"/>
          <w:i/>
          <w:iCs/>
          <w:sz w:val="16"/>
          <w:szCs w:val="16"/>
        </w:rPr>
        <w:t>Budget 2021 – 22: Budget Paper No. 1 - Budget Overview</w:t>
      </w:r>
      <w:r w:rsidR="001168B5">
        <w:rPr>
          <w:rFonts w:cstheme="minorHAnsi"/>
          <w:i/>
          <w:iCs/>
          <w:sz w:val="16"/>
          <w:szCs w:val="16"/>
        </w:rPr>
        <w:t xml:space="preserve"> </w:t>
      </w:r>
      <w:r w:rsidR="001168B5">
        <w:rPr>
          <w:rFonts w:cstheme="minorHAnsi"/>
          <w:sz w:val="16"/>
          <w:szCs w:val="16"/>
        </w:rPr>
        <w:t>(2021)</w:t>
      </w:r>
      <w:r w:rsidRPr="00AD0921">
        <w:rPr>
          <w:rFonts w:cstheme="minorHAnsi"/>
          <w:i/>
          <w:iCs/>
          <w:sz w:val="16"/>
          <w:szCs w:val="16"/>
        </w:rPr>
        <w:t xml:space="preserve"> </w:t>
      </w:r>
      <w:r w:rsidRPr="00AD0921">
        <w:rPr>
          <w:rFonts w:cstheme="minorHAnsi"/>
          <w:sz w:val="16"/>
          <w:szCs w:val="16"/>
        </w:rPr>
        <w:t>p. 22.</w:t>
      </w:r>
      <w:r w:rsidRPr="00AD0921">
        <w:rPr>
          <w:rFonts w:cstheme="minorHAnsi"/>
          <w:i/>
          <w:iCs/>
          <w:sz w:val="16"/>
          <w:szCs w:val="16"/>
        </w:rPr>
        <w:t xml:space="preserve"> </w:t>
      </w:r>
    </w:p>
  </w:footnote>
  <w:footnote w:id="63">
    <w:p w14:paraId="020CD56B" w14:textId="77777777" w:rsidR="00CB257C" w:rsidRPr="00AD0921" w:rsidRDefault="00CB257C" w:rsidP="00A45A04">
      <w:pPr>
        <w:pStyle w:val="FootnoteText"/>
        <w:rPr>
          <w:sz w:val="16"/>
          <w:szCs w:val="16"/>
        </w:rPr>
      </w:pPr>
      <w:r w:rsidRPr="00AD0921">
        <w:rPr>
          <w:rStyle w:val="FootnoteReference"/>
          <w:sz w:val="16"/>
          <w:szCs w:val="16"/>
        </w:rPr>
        <w:footnoteRef/>
      </w:r>
      <w:r w:rsidRPr="00AD0921">
        <w:rPr>
          <w:sz w:val="16"/>
          <w:szCs w:val="16"/>
        </w:rPr>
        <w:t xml:space="preserve"> National Mental Health Commission, </w:t>
      </w:r>
      <w:r w:rsidRPr="00AD0921">
        <w:rPr>
          <w:i/>
          <w:iCs/>
          <w:sz w:val="16"/>
          <w:szCs w:val="16"/>
        </w:rPr>
        <w:t xml:space="preserve">Get Help. </w:t>
      </w:r>
    </w:p>
  </w:footnote>
  <w:footnote w:id="64">
    <w:p w14:paraId="14BF4DF8" w14:textId="5790357E" w:rsidR="00CB257C" w:rsidRPr="0097049F" w:rsidRDefault="00CB257C" w:rsidP="00A45A04">
      <w:pPr>
        <w:pStyle w:val="FootnoteText"/>
        <w:rPr>
          <w:i/>
          <w:sz w:val="16"/>
          <w:szCs w:val="22"/>
          <w:lang w:val="en-US"/>
        </w:rPr>
      </w:pPr>
      <w:r w:rsidRPr="0097049F">
        <w:rPr>
          <w:rStyle w:val="FootnoteReference"/>
          <w:sz w:val="16"/>
          <w:szCs w:val="22"/>
        </w:rPr>
        <w:footnoteRef/>
      </w:r>
      <w:r w:rsidRPr="0097049F">
        <w:rPr>
          <w:sz w:val="16"/>
          <w:szCs w:val="22"/>
        </w:rPr>
        <w:t xml:space="preserve"> </w:t>
      </w:r>
      <w:r w:rsidRPr="0097049F">
        <w:rPr>
          <w:sz w:val="16"/>
          <w:szCs w:val="22"/>
          <w:lang w:val="en-US"/>
        </w:rPr>
        <w:t xml:space="preserve">StandBy Support After Suicide, n.d., </w:t>
      </w:r>
      <w:hyperlink r:id="rId16" w:history="1">
        <w:r w:rsidRPr="0097049F">
          <w:rPr>
            <w:rStyle w:val="Hyperlink"/>
            <w:i/>
            <w:iCs/>
            <w:sz w:val="16"/>
            <w:szCs w:val="22"/>
            <w:lang w:val="en-US"/>
          </w:rPr>
          <w:t>What we do</w:t>
        </w:r>
      </w:hyperlink>
      <w:r w:rsidRPr="0097049F">
        <w:rPr>
          <w:i/>
          <w:iCs/>
          <w:sz w:val="16"/>
          <w:szCs w:val="22"/>
          <w:lang w:val="en-US"/>
        </w:rPr>
        <w:t xml:space="preserve">. </w:t>
      </w:r>
    </w:p>
  </w:footnote>
  <w:footnote w:id="65">
    <w:p w14:paraId="30B7A995" w14:textId="7253F870" w:rsidR="00F117C8" w:rsidRPr="0097049F" w:rsidRDefault="00F117C8" w:rsidP="00F117C8">
      <w:pPr>
        <w:pStyle w:val="FootnoteText"/>
        <w:rPr>
          <w:sz w:val="16"/>
          <w:szCs w:val="22"/>
          <w:lang w:val="en-US"/>
        </w:rPr>
      </w:pPr>
      <w:r w:rsidRPr="0097049F">
        <w:rPr>
          <w:rStyle w:val="FootnoteReference"/>
          <w:sz w:val="16"/>
          <w:szCs w:val="22"/>
        </w:rPr>
        <w:footnoteRef/>
      </w:r>
      <w:r w:rsidRPr="0097049F">
        <w:rPr>
          <w:sz w:val="16"/>
          <w:szCs w:val="22"/>
        </w:rPr>
        <w:t xml:space="preserve"> </w:t>
      </w:r>
      <w:r w:rsidRPr="0097049F">
        <w:rPr>
          <w:sz w:val="16"/>
          <w:szCs w:val="22"/>
          <w:lang w:val="en-US"/>
        </w:rPr>
        <w:t>Australian Institute of Health and Welfare</w:t>
      </w:r>
      <w:r w:rsidR="00C65790">
        <w:rPr>
          <w:sz w:val="16"/>
          <w:szCs w:val="22"/>
          <w:lang w:val="en-US"/>
        </w:rPr>
        <w:t>,</w:t>
      </w:r>
      <w:r w:rsidRPr="0097049F">
        <w:rPr>
          <w:sz w:val="16"/>
          <w:szCs w:val="22"/>
          <w:lang w:val="en-US"/>
        </w:rPr>
        <w:t xml:space="preserve"> </w:t>
      </w:r>
      <w:r w:rsidRPr="0097049F">
        <w:rPr>
          <w:i/>
          <w:iCs/>
          <w:sz w:val="16"/>
          <w:szCs w:val="22"/>
          <w:lang w:val="en-US"/>
        </w:rPr>
        <w:t xml:space="preserve">Mental Health Services – in brief 2019 </w:t>
      </w:r>
      <w:r w:rsidR="00C65790" w:rsidRPr="00C65790">
        <w:rPr>
          <w:sz w:val="16"/>
          <w:szCs w:val="22"/>
          <w:lang w:val="en-US"/>
        </w:rPr>
        <w:t xml:space="preserve">(2020) </w:t>
      </w:r>
      <w:r w:rsidRPr="0097049F">
        <w:rPr>
          <w:sz w:val="16"/>
          <w:szCs w:val="22"/>
          <w:lang w:val="en-US"/>
        </w:rPr>
        <w:t>p. 18</w:t>
      </w:r>
    </w:p>
  </w:footnote>
  <w:footnote w:id="66">
    <w:p w14:paraId="10F18EB3" w14:textId="4698E1F2" w:rsidR="00F117C8" w:rsidRPr="00C65790" w:rsidRDefault="00F117C8" w:rsidP="00F117C8">
      <w:pPr>
        <w:pStyle w:val="FootnoteText"/>
        <w:rPr>
          <w:color w:val="0F4BEB" w:themeColor="accent1"/>
          <w:sz w:val="16"/>
          <w:szCs w:val="22"/>
          <w:u w:val="single"/>
        </w:rPr>
      </w:pPr>
      <w:r w:rsidRPr="0097049F">
        <w:rPr>
          <w:rStyle w:val="FootnoteReference"/>
          <w:sz w:val="16"/>
          <w:szCs w:val="22"/>
        </w:rPr>
        <w:footnoteRef/>
      </w:r>
      <w:r w:rsidRPr="0097049F">
        <w:rPr>
          <w:sz w:val="16"/>
          <w:szCs w:val="22"/>
        </w:rPr>
        <w:t xml:space="preserve"> Australian Institute of Health and Welfare</w:t>
      </w:r>
      <w:r w:rsidR="00C65790">
        <w:rPr>
          <w:sz w:val="16"/>
          <w:szCs w:val="22"/>
        </w:rPr>
        <w:t xml:space="preserve">, </w:t>
      </w:r>
      <w:r w:rsidR="00D07BC6">
        <w:rPr>
          <w:i/>
          <w:iCs/>
          <w:sz w:val="16"/>
          <w:szCs w:val="22"/>
        </w:rPr>
        <w:t>M</w:t>
      </w:r>
      <w:r w:rsidRPr="0097049F">
        <w:rPr>
          <w:i/>
          <w:iCs/>
          <w:sz w:val="16"/>
          <w:szCs w:val="22"/>
        </w:rPr>
        <w:t>ental health services</w:t>
      </w:r>
      <w:r w:rsidR="00C65790">
        <w:rPr>
          <w:i/>
          <w:iCs/>
          <w:sz w:val="16"/>
          <w:szCs w:val="22"/>
        </w:rPr>
        <w:t xml:space="preserve"> </w:t>
      </w:r>
      <w:r w:rsidR="001E736E">
        <w:rPr>
          <w:i/>
          <w:iCs/>
          <w:sz w:val="16"/>
          <w:szCs w:val="22"/>
        </w:rPr>
        <w:t>in Australia</w:t>
      </w:r>
      <w:r w:rsidR="00786F48">
        <w:rPr>
          <w:i/>
          <w:iCs/>
          <w:sz w:val="16"/>
          <w:szCs w:val="22"/>
        </w:rPr>
        <w:t xml:space="preserve"> </w:t>
      </w:r>
      <w:r w:rsidR="00C65790">
        <w:rPr>
          <w:sz w:val="16"/>
          <w:szCs w:val="22"/>
        </w:rPr>
        <w:t>(2022)</w:t>
      </w:r>
    </w:p>
  </w:footnote>
  <w:footnote w:id="67">
    <w:p w14:paraId="1DFC2D24" w14:textId="41B7FA30" w:rsidR="00F117C8" w:rsidRPr="0097049F" w:rsidRDefault="00F117C8" w:rsidP="00F117C8">
      <w:pPr>
        <w:pStyle w:val="FootnoteText"/>
        <w:rPr>
          <w:sz w:val="16"/>
          <w:szCs w:val="22"/>
        </w:rPr>
      </w:pPr>
      <w:r w:rsidRPr="0097049F">
        <w:rPr>
          <w:rStyle w:val="FootnoteReference"/>
          <w:sz w:val="16"/>
          <w:szCs w:val="22"/>
        </w:rPr>
        <w:footnoteRef/>
      </w:r>
      <w:r w:rsidRPr="0097049F">
        <w:rPr>
          <w:sz w:val="16"/>
          <w:szCs w:val="22"/>
        </w:rPr>
        <w:t xml:space="preserve"> Australian Productivity Commission</w:t>
      </w:r>
      <w:r w:rsidR="001E736E">
        <w:rPr>
          <w:sz w:val="16"/>
          <w:szCs w:val="22"/>
        </w:rPr>
        <w:t xml:space="preserve">, </w:t>
      </w:r>
      <w:r w:rsidRPr="0097049F">
        <w:rPr>
          <w:i/>
          <w:iCs/>
          <w:sz w:val="16"/>
          <w:szCs w:val="22"/>
        </w:rPr>
        <w:t>Mental Health Inquiry Repor</w:t>
      </w:r>
      <w:r w:rsidR="001E736E">
        <w:rPr>
          <w:i/>
          <w:iCs/>
          <w:sz w:val="16"/>
          <w:szCs w:val="22"/>
        </w:rPr>
        <w:t xml:space="preserve">t </w:t>
      </w:r>
      <w:r w:rsidR="001E736E">
        <w:rPr>
          <w:sz w:val="16"/>
          <w:szCs w:val="22"/>
        </w:rPr>
        <w:t>(2020)</w:t>
      </w:r>
      <w:r w:rsidRPr="0097049F">
        <w:rPr>
          <w:i/>
          <w:iCs/>
          <w:sz w:val="16"/>
          <w:szCs w:val="22"/>
        </w:rPr>
        <w:t xml:space="preserve">, </w:t>
      </w:r>
      <w:r w:rsidRPr="0097049F">
        <w:rPr>
          <w:sz w:val="16"/>
          <w:szCs w:val="22"/>
        </w:rPr>
        <w:t xml:space="preserve">p. 593-594. </w:t>
      </w:r>
    </w:p>
  </w:footnote>
  <w:footnote w:id="68">
    <w:p w14:paraId="31408C81" w14:textId="2FEA8DAF" w:rsidR="00CB257C" w:rsidRPr="0097049F" w:rsidRDefault="00CB257C" w:rsidP="00DF4967">
      <w:pPr>
        <w:pStyle w:val="FootnoteText"/>
        <w:rPr>
          <w:sz w:val="16"/>
          <w:szCs w:val="22"/>
          <w:lang w:val="en-US"/>
        </w:rPr>
      </w:pPr>
      <w:r w:rsidRPr="0097049F">
        <w:rPr>
          <w:rStyle w:val="FootnoteReference"/>
          <w:sz w:val="16"/>
          <w:szCs w:val="22"/>
        </w:rPr>
        <w:footnoteRef/>
      </w:r>
      <w:r w:rsidRPr="0097049F">
        <w:rPr>
          <w:sz w:val="16"/>
          <w:szCs w:val="22"/>
        </w:rPr>
        <w:t xml:space="preserve"> </w:t>
      </w:r>
      <w:r w:rsidRPr="0097049F">
        <w:rPr>
          <w:sz w:val="16"/>
          <w:szCs w:val="22"/>
          <w:lang w:val="en-US"/>
        </w:rPr>
        <w:t xml:space="preserve">Australian Institute of Health and Wellbeing, </w:t>
      </w:r>
      <w:r w:rsidRPr="0097049F">
        <w:rPr>
          <w:i/>
          <w:iCs/>
          <w:sz w:val="16"/>
          <w:szCs w:val="22"/>
          <w:lang w:val="en-US"/>
        </w:rPr>
        <w:t>Mental Health Services – in brief 2019</w:t>
      </w:r>
      <w:r w:rsidR="00786F48">
        <w:rPr>
          <w:sz w:val="16"/>
          <w:szCs w:val="22"/>
          <w:lang w:val="en-US"/>
        </w:rPr>
        <w:t xml:space="preserve"> (2020)</w:t>
      </w:r>
      <w:r w:rsidRPr="0097049F">
        <w:rPr>
          <w:i/>
          <w:iCs/>
          <w:sz w:val="16"/>
          <w:szCs w:val="22"/>
          <w:lang w:val="en-US"/>
        </w:rPr>
        <w:t xml:space="preserve"> </w:t>
      </w:r>
      <w:r w:rsidRPr="0097049F">
        <w:rPr>
          <w:sz w:val="16"/>
          <w:szCs w:val="22"/>
          <w:lang w:val="en-US"/>
        </w:rPr>
        <w:t xml:space="preserve">p. 8. </w:t>
      </w:r>
    </w:p>
  </w:footnote>
  <w:footnote w:id="69">
    <w:p w14:paraId="2F55F7BF" w14:textId="35C57724" w:rsidR="00CB257C" w:rsidRPr="0097049F" w:rsidRDefault="00CB257C" w:rsidP="009A5FEA">
      <w:pPr>
        <w:pStyle w:val="FootnoteText"/>
        <w:rPr>
          <w:sz w:val="16"/>
          <w:szCs w:val="22"/>
        </w:rPr>
      </w:pPr>
      <w:r w:rsidRPr="0097049F">
        <w:rPr>
          <w:rStyle w:val="FootnoteReference"/>
          <w:sz w:val="16"/>
          <w:szCs w:val="22"/>
        </w:rPr>
        <w:footnoteRef/>
      </w:r>
      <w:r w:rsidRPr="0097049F">
        <w:rPr>
          <w:sz w:val="16"/>
          <w:szCs w:val="22"/>
        </w:rPr>
        <w:t xml:space="preserve"> NSW Health</w:t>
      </w:r>
      <w:r w:rsidR="00786F48">
        <w:rPr>
          <w:sz w:val="16"/>
          <w:szCs w:val="22"/>
        </w:rPr>
        <w:t>,</w:t>
      </w:r>
      <w:r w:rsidRPr="0097049F">
        <w:rPr>
          <w:sz w:val="16"/>
          <w:szCs w:val="22"/>
        </w:rPr>
        <w:t xml:space="preserve"> </w:t>
      </w:r>
      <w:r w:rsidR="0001687A">
        <w:rPr>
          <w:sz w:val="16"/>
          <w:szCs w:val="22"/>
        </w:rPr>
        <w:t>“</w:t>
      </w:r>
      <w:r w:rsidRPr="0001687A">
        <w:rPr>
          <w:sz w:val="16"/>
          <w:szCs w:val="22"/>
        </w:rPr>
        <w:t>Community Living Supports</w:t>
      </w:r>
      <w:r w:rsidR="0001687A">
        <w:rPr>
          <w:sz w:val="16"/>
          <w:szCs w:val="22"/>
        </w:rPr>
        <w:t>”, Last updated: 12 April 2023</w:t>
      </w:r>
      <w:r w:rsidRPr="0097049F">
        <w:rPr>
          <w:i/>
          <w:iCs/>
          <w:sz w:val="16"/>
          <w:szCs w:val="22"/>
        </w:rPr>
        <w:t xml:space="preserve"> </w:t>
      </w:r>
    </w:p>
  </w:footnote>
  <w:footnote w:id="70">
    <w:p w14:paraId="0D40B2F6" w14:textId="1C72B80E" w:rsidR="00CB257C" w:rsidRPr="0097049F" w:rsidRDefault="00CB257C" w:rsidP="009A5FEA">
      <w:pPr>
        <w:pStyle w:val="FootnoteText"/>
        <w:rPr>
          <w:sz w:val="16"/>
          <w:szCs w:val="22"/>
        </w:rPr>
      </w:pPr>
      <w:r w:rsidRPr="0097049F">
        <w:rPr>
          <w:rStyle w:val="FootnoteReference"/>
          <w:sz w:val="16"/>
          <w:szCs w:val="22"/>
        </w:rPr>
        <w:footnoteRef/>
      </w:r>
      <w:r w:rsidRPr="0097049F">
        <w:rPr>
          <w:sz w:val="16"/>
          <w:szCs w:val="22"/>
        </w:rPr>
        <w:t xml:space="preserve"> National Mental Health Commission</w:t>
      </w:r>
      <w:r w:rsidR="00786F48">
        <w:rPr>
          <w:sz w:val="16"/>
          <w:szCs w:val="22"/>
        </w:rPr>
        <w:t>,</w:t>
      </w:r>
      <w:r w:rsidRPr="0097049F">
        <w:rPr>
          <w:sz w:val="16"/>
          <w:szCs w:val="22"/>
        </w:rPr>
        <w:t xml:space="preserve"> </w:t>
      </w:r>
      <w:r w:rsidRPr="0097049F">
        <w:rPr>
          <w:i/>
          <w:iCs/>
          <w:sz w:val="16"/>
          <w:szCs w:val="22"/>
        </w:rPr>
        <w:t>National Report 2020</w:t>
      </w:r>
      <w:r w:rsidR="00786F48">
        <w:rPr>
          <w:i/>
          <w:iCs/>
          <w:sz w:val="16"/>
          <w:szCs w:val="22"/>
        </w:rPr>
        <w:t xml:space="preserve"> </w:t>
      </w:r>
      <w:r w:rsidR="00786F48">
        <w:rPr>
          <w:sz w:val="16"/>
          <w:szCs w:val="22"/>
        </w:rPr>
        <w:t>(2020)</w:t>
      </w:r>
      <w:r w:rsidRPr="0097049F">
        <w:rPr>
          <w:i/>
          <w:iCs/>
          <w:sz w:val="16"/>
          <w:szCs w:val="22"/>
        </w:rPr>
        <w:t xml:space="preserve"> </w:t>
      </w:r>
      <w:r w:rsidRPr="0097049F">
        <w:rPr>
          <w:sz w:val="16"/>
          <w:szCs w:val="22"/>
        </w:rPr>
        <w:t xml:space="preserve">p. 14. </w:t>
      </w:r>
    </w:p>
  </w:footnote>
  <w:footnote w:id="71">
    <w:p w14:paraId="061E32C1" w14:textId="77777777" w:rsidR="00CB257C" w:rsidRPr="0097049F" w:rsidRDefault="00CB257C" w:rsidP="009A5FEA">
      <w:pPr>
        <w:pStyle w:val="FootnoteText"/>
        <w:rPr>
          <w:sz w:val="16"/>
          <w:szCs w:val="22"/>
        </w:rPr>
      </w:pPr>
      <w:r w:rsidRPr="0097049F">
        <w:rPr>
          <w:rStyle w:val="FootnoteReference"/>
          <w:sz w:val="16"/>
          <w:szCs w:val="22"/>
        </w:rPr>
        <w:footnoteRef/>
      </w:r>
      <w:r w:rsidRPr="0097049F">
        <w:rPr>
          <w:sz w:val="16"/>
          <w:szCs w:val="22"/>
        </w:rPr>
        <w:t xml:space="preserve"> Head to Health n.d. </w:t>
      </w:r>
      <w:r w:rsidRPr="0097049F">
        <w:rPr>
          <w:i/>
          <w:iCs/>
          <w:sz w:val="16"/>
          <w:szCs w:val="22"/>
        </w:rPr>
        <w:t xml:space="preserve">About Us. </w:t>
      </w:r>
    </w:p>
  </w:footnote>
  <w:footnote w:id="72">
    <w:p w14:paraId="4F8DD01B" w14:textId="77777777" w:rsidR="00CB257C" w:rsidRPr="0097049F" w:rsidRDefault="00CB257C" w:rsidP="009A5FEA">
      <w:pPr>
        <w:pStyle w:val="FootnoteText"/>
        <w:rPr>
          <w:sz w:val="16"/>
          <w:szCs w:val="22"/>
        </w:rPr>
      </w:pPr>
      <w:r w:rsidRPr="0097049F">
        <w:rPr>
          <w:rStyle w:val="FootnoteReference"/>
          <w:sz w:val="16"/>
          <w:szCs w:val="22"/>
        </w:rPr>
        <w:footnoteRef/>
      </w:r>
      <w:r w:rsidRPr="0097049F">
        <w:rPr>
          <w:sz w:val="16"/>
          <w:szCs w:val="22"/>
        </w:rPr>
        <w:t xml:space="preserve"> Please note that </w:t>
      </w:r>
      <w:r w:rsidRPr="0097049F">
        <w:rPr>
          <w:i/>
          <w:sz w:val="16"/>
          <w:szCs w:val="22"/>
        </w:rPr>
        <w:t>headspace</w:t>
      </w:r>
      <w:r w:rsidRPr="0097049F">
        <w:rPr>
          <w:sz w:val="16"/>
          <w:szCs w:val="22"/>
        </w:rPr>
        <w:t xml:space="preserve"> also provides services at physical locations across Australia. </w:t>
      </w:r>
    </w:p>
  </w:footnote>
  <w:footnote w:id="73">
    <w:p w14:paraId="0E758C48" w14:textId="05A56737" w:rsidR="00CB257C" w:rsidRPr="00C90A40" w:rsidRDefault="00CB257C" w:rsidP="009A5FEA">
      <w:pPr>
        <w:pStyle w:val="FootnoteText"/>
        <w:rPr>
          <w:sz w:val="16"/>
          <w:szCs w:val="22"/>
        </w:rPr>
      </w:pPr>
      <w:r w:rsidRPr="00C90A40">
        <w:rPr>
          <w:sz w:val="16"/>
          <w:szCs w:val="22"/>
        </w:rPr>
        <w:t xml:space="preserve">Wellmob n.d. </w:t>
      </w:r>
      <w:r w:rsidRPr="00C90A40">
        <w:rPr>
          <w:i/>
          <w:iCs/>
          <w:sz w:val="16"/>
          <w:szCs w:val="22"/>
        </w:rPr>
        <w:t>About</w:t>
      </w:r>
    </w:p>
  </w:footnote>
  <w:footnote w:id="74">
    <w:p w14:paraId="3C4F53A3" w14:textId="7F44F1DC" w:rsidR="00A74C02" w:rsidRPr="00151B5A" w:rsidRDefault="00A74C02">
      <w:pPr>
        <w:pStyle w:val="FootnoteText"/>
        <w:rPr>
          <w:i/>
          <w:iCs/>
          <w:sz w:val="16"/>
          <w:szCs w:val="22"/>
        </w:rPr>
      </w:pPr>
      <w:r w:rsidRPr="00C90A40">
        <w:rPr>
          <w:rStyle w:val="FootnoteReference"/>
          <w:sz w:val="16"/>
          <w:szCs w:val="22"/>
        </w:rPr>
        <w:footnoteRef/>
      </w:r>
      <w:r w:rsidRPr="00C90A40">
        <w:rPr>
          <w:sz w:val="16"/>
          <w:szCs w:val="22"/>
        </w:rPr>
        <w:t xml:space="preserve"> LGTBI</w:t>
      </w:r>
      <w:r w:rsidR="00894E03" w:rsidRPr="00C90A40">
        <w:rPr>
          <w:sz w:val="16"/>
          <w:szCs w:val="22"/>
        </w:rPr>
        <w:t>Q</w:t>
      </w:r>
      <w:r w:rsidRPr="00C90A40">
        <w:rPr>
          <w:sz w:val="16"/>
          <w:szCs w:val="22"/>
        </w:rPr>
        <w:t xml:space="preserve">+ Health Australia, </w:t>
      </w:r>
      <w:r w:rsidRPr="00C90A40">
        <w:rPr>
          <w:i/>
          <w:iCs/>
          <w:sz w:val="16"/>
          <w:szCs w:val="22"/>
        </w:rPr>
        <w:t>Beyond Urgent</w:t>
      </w:r>
      <w:r w:rsidR="0001687A">
        <w:rPr>
          <w:i/>
          <w:iCs/>
          <w:sz w:val="16"/>
          <w:szCs w:val="22"/>
        </w:rPr>
        <w:t xml:space="preserve"> </w:t>
      </w:r>
      <w:r w:rsidR="0001687A">
        <w:rPr>
          <w:sz w:val="16"/>
          <w:szCs w:val="22"/>
        </w:rPr>
        <w:t>(2022)</w:t>
      </w:r>
      <w:r w:rsidRPr="00151B5A">
        <w:rPr>
          <w:i/>
          <w:iCs/>
          <w:sz w:val="16"/>
          <w:szCs w:val="22"/>
        </w:rPr>
        <w:t xml:space="preserve"> </w:t>
      </w:r>
    </w:p>
  </w:footnote>
  <w:footnote w:id="75">
    <w:p w14:paraId="5637CDD3" w14:textId="3B917FDE" w:rsidR="00634E07" w:rsidRPr="00151B5A" w:rsidRDefault="00634E07" w:rsidP="00634E07">
      <w:pPr>
        <w:pStyle w:val="FootnoteText"/>
        <w:rPr>
          <w:sz w:val="16"/>
          <w:szCs w:val="22"/>
          <w:lang w:val="en-US"/>
        </w:rPr>
      </w:pPr>
      <w:r w:rsidRPr="00151B5A">
        <w:rPr>
          <w:rStyle w:val="FootnoteReference"/>
          <w:sz w:val="16"/>
          <w:szCs w:val="22"/>
        </w:rPr>
        <w:footnoteRef/>
      </w:r>
      <w:r w:rsidRPr="00151B5A">
        <w:rPr>
          <w:sz w:val="16"/>
          <w:szCs w:val="22"/>
        </w:rPr>
        <w:t xml:space="preserve"> </w:t>
      </w:r>
      <w:r w:rsidR="0029201A">
        <w:rPr>
          <w:sz w:val="16"/>
          <w:szCs w:val="22"/>
        </w:rPr>
        <w:t xml:space="preserve">ACON, “LGBTQ+ Counselling and Support”, </w:t>
      </w:r>
      <w:hyperlink r:id="rId17" w:anchor="lgbti-counselling" w:history="1">
        <w:r w:rsidRPr="00151B5A">
          <w:rPr>
            <w:rStyle w:val="Hyperlink"/>
            <w:sz w:val="16"/>
            <w:szCs w:val="22"/>
          </w:rPr>
          <w:t>Mental Health -ACON – We are New South Wales’ leading HIV and LGBTQ+ health organisation.</w:t>
        </w:r>
      </w:hyperlink>
    </w:p>
  </w:footnote>
  <w:footnote w:id="76">
    <w:p w14:paraId="55A798BB" w14:textId="269A2956" w:rsidR="00CB257C" w:rsidRPr="00151B5A" w:rsidRDefault="00CB257C" w:rsidP="000E2430">
      <w:pPr>
        <w:pStyle w:val="FootnoteText"/>
        <w:rPr>
          <w:sz w:val="16"/>
          <w:szCs w:val="22"/>
        </w:rPr>
      </w:pPr>
      <w:r w:rsidRPr="00151B5A">
        <w:rPr>
          <w:rStyle w:val="FootnoteReference"/>
          <w:sz w:val="16"/>
          <w:szCs w:val="22"/>
        </w:rPr>
        <w:footnoteRef/>
      </w:r>
      <w:r w:rsidRPr="00151B5A">
        <w:rPr>
          <w:sz w:val="16"/>
          <w:szCs w:val="22"/>
        </w:rPr>
        <w:t xml:space="preserve"> NSW Health, </w:t>
      </w:r>
      <w:r w:rsidR="001C50A7">
        <w:rPr>
          <w:sz w:val="16"/>
          <w:szCs w:val="22"/>
        </w:rPr>
        <w:t>“</w:t>
      </w:r>
      <w:r w:rsidRPr="001C50A7">
        <w:rPr>
          <w:sz w:val="16"/>
          <w:szCs w:val="22"/>
        </w:rPr>
        <w:t>NSW opens first LGBTQ+ suicide prevention service</w:t>
      </w:r>
      <w:r w:rsidR="001C50A7">
        <w:rPr>
          <w:sz w:val="16"/>
          <w:szCs w:val="22"/>
        </w:rPr>
        <w:t>”</w:t>
      </w:r>
      <w:r w:rsidRPr="00151B5A">
        <w:rPr>
          <w:i/>
          <w:iCs/>
          <w:sz w:val="16"/>
          <w:szCs w:val="22"/>
        </w:rPr>
        <w:t xml:space="preserve">, </w:t>
      </w:r>
      <w:r w:rsidR="001C50A7">
        <w:rPr>
          <w:sz w:val="16"/>
          <w:szCs w:val="22"/>
        </w:rPr>
        <w:t xml:space="preserve">Published: </w:t>
      </w:r>
      <w:r w:rsidRPr="00151B5A">
        <w:rPr>
          <w:sz w:val="16"/>
          <w:szCs w:val="22"/>
        </w:rPr>
        <w:t xml:space="preserve">15 April 2022, </w:t>
      </w:r>
      <w:hyperlink r:id="rId18" w:history="1">
        <w:r w:rsidRPr="00151B5A">
          <w:rPr>
            <w:rStyle w:val="Hyperlink"/>
            <w:sz w:val="16"/>
            <w:szCs w:val="22"/>
          </w:rPr>
          <w:t>NSW opens first LGBTQ+ suicide prevention service - News</w:t>
        </w:r>
      </w:hyperlink>
    </w:p>
  </w:footnote>
  <w:footnote w:id="77">
    <w:p w14:paraId="59635B16" w14:textId="09CAC90F" w:rsidR="00283074" w:rsidRPr="00151B5A" w:rsidRDefault="00283074">
      <w:pPr>
        <w:pStyle w:val="FootnoteText"/>
        <w:rPr>
          <w:sz w:val="16"/>
          <w:szCs w:val="22"/>
        </w:rPr>
      </w:pPr>
      <w:r w:rsidRPr="00151B5A">
        <w:rPr>
          <w:rStyle w:val="FootnoteReference"/>
          <w:sz w:val="16"/>
          <w:szCs w:val="22"/>
        </w:rPr>
        <w:footnoteRef/>
      </w:r>
      <w:r w:rsidRPr="00151B5A">
        <w:rPr>
          <w:sz w:val="16"/>
          <w:szCs w:val="22"/>
        </w:rPr>
        <w:t xml:space="preserve"> </w:t>
      </w:r>
      <w:r w:rsidR="00543F83" w:rsidRPr="00151B5A">
        <w:rPr>
          <w:sz w:val="16"/>
          <w:szCs w:val="22"/>
        </w:rPr>
        <w:t xml:space="preserve">Thorne Harbour Health, </w:t>
      </w:r>
      <w:r w:rsidR="008F407A">
        <w:rPr>
          <w:sz w:val="16"/>
          <w:szCs w:val="22"/>
        </w:rPr>
        <w:t>“</w:t>
      </w:r>
      <w:r w:rsidR="00543F83" w:rsidRPr="008F407A">
        <w:rPr>
          <w:sz w:val="16"/>
          <w:szCs w:val="22"/>
        </w:rPr>
        <w:t>Our Services</w:t>
      </w:r>
      <w:r w:rsidR="008F407A">
        <w:rPr>
          <w:sz w:val="16"/>
          <w:szCs w:val="22"/>
        </w:rPr>
        <w:t>”</w:t>
      </w:r>
      <w:r w:rsidR="00543F83" w:rsidRPr="00151B5A">
        <w:rPr>
          <w:i/>
          <w:iCs/>
          <w:sz w:val="16"/>
          <w:szCs w:val="22"/>
        </w:rPr>
        <w:t xml:space="preserve">, </w:t>
      </w:r>
      <w:r w:rsidR="00FA44D4" w:rsidRPr="00151B5A">
        <w:rPr>
          <w:sz w:val="16"/>
          <w:szCs w:val="22"/>
        </w:rPr>
        <w:t>https://thorneharbour.org/services/</w:t>
      </w:r>
    </w:p>
  </w:footnote>
  <w:footnote w:id="78">
    <w:p w14:paraId="03711D45" w14:textId="617A9B91" w:rsidR="00B4276E" w:rsidRPr="00151B5A" w:rsidRDefault="00B4276E">
      <w:pPr>
        <w:pStyle w:val="FootnoteText"/>
        <w:rPr>
          <w:sz w:val="16"/>
          <w:szCs w:val="22"/>
        </w:rPr>
      </w:pPr>
      <w:r w:rsidRPr="00151B5A">
        <w:rPr>
          <w:rStyle w:val="FootnoteReference"/>
          <w:sz w:val="16"/>
          <w:szCs w:val="22"/>
        </w:rPr>
        <w:footnoteRef/>
      </w:r>
      <w:r w:rsidRPr="00151B5A">
        <w:rPr>
          <w:sz w:val="16"/>
          <w:szCs w:val="22"/>
        </w:rPr>
        <w:t xml:space="preserve"> Twenty10, </w:t>
      </w:r>
      <w:r w:rsidR="00CB59AA">
        <w:rPr>
          <w:sz w:val="16"/>
          <w:szCs w:val="22"/>
        </w:rPr>
        <w:t>“</w:t>
      </w:r>
      <w:r w:rsidR="00B4206C" w:rsidRPr="00CB59AA">
        <w:rPr>
          <w:sz w:val="16"/>
          <w:szCs w:val="22"/>
        </w:rPr>
        <w:t>Youth Services</w:t>
      </w:r>
      <w:r w:rsidR="00CB59AA">
        <w:rPr>
          <w:sz w:val="16"/>
          <w:szCs w:val="22"/>
        </w:rPr>
        <w:t>”,</w:t>
      </w:r>
      <w:r w:rsidR="00B4206C" w:rsidRPr="00151B5A">
        <w:rPr>
          <w:i/>
          <w:iCs/>
          <w:sz w:val="16"/>
          <w:szCs w:val="22"/>
        </w:rPr>
        <w:t xml:space="preserve"> </w:t>
      </w:r>
      <w:hyperlink r:id="rId19" w:history="1">
        <w:r w:rsidR="00B4206C" w:rsidRPr="00151B5A">
          <w:rPr>
            <w:rStyle w:val="Hyperlink"/>
            <w:sz w:val="16"/>
            <w:szCs w:val="22"/>
          </w:rPr>
          <w:t>Youth Services - Twenty10 incorporating GLCS NSW</w:t>
        </w:r>
      </w:hyperlink>
    </w:p>
  </w:footnote>
  <w:footnote w:id="79">
    <w:p w14:paraId="283BECEF" w14:textId="773DBB10" w:rsidR="00452EE4" w:rsidRPr="0079344F" w:rsidRDefault="00452EE4">
      <w:pPr>
        <w:pStyle w:val="FootnoteText"/>
        <w:rPr>
          <w:sz w:val="16"/>
          <w:szCs w:val="22"/>
        </w:rPr>
      </w:pPr>
      <w:r w:rsidRPr="0079344F">
        <w:rPr>
          <w:rStyle w:val="FootnoteReference"/>
          <w:sz w:val="16"/>
          <w:szCs w:val="22"/>
        </w:rPr>
        <w:footnoteRef/>
      </w:r>
      <w:r w:rsidRPr="0079344F">
        <w:rPr>
          <w:sz w:val="16"/>
          <w:szCs w:val="22"/>
        </w:rPr>
        <w:t xml:space="preserve"> </w:t>
      </w:r>
      <w:r w:rsidR="006D6C52" w:rsidRPr="0079344F">
        <w:rPr>
          <w:sz w:val="16"/>
          <w:szCs w:val="22"/>
        </w:rPr>
        <w:t xml:space="preserve">WAAC, </w:t>
      </w:r>
      <w:r w:rsidR="00EE47B8">
        <w:rPr>
          <w:sz w:val="16"/>
          <w:szCs w:val="22"/>
        </w:rPr>
        <w:t>“</w:t>
      </w:r>
      <w:r w:rsidR="006D6C52" w:rsidRPr="00EE47B8">
        <w:rPr>
          <w:sz w:val="16"/>
          <w:szCs w:val="22"/>
        </w:rPr>
        <w:t>Freedom Centre</w:t>
      </w:r>
      <w:r w:rsidR="00EE47B8">
        <w:rPr>
          <w:sz w:val="16"/>
          <w:szCs w:val="22"/>
        </w:rPr>
        <w:t>”</w:t>
      </w:r>
      <w:r w:rsidR="006D6C52" w:rsidRPr="00EE47B8">
        <w:rPr>
          <w:sz w:val="16"/>
          <w:szCs w:val="22"/>
        </w:rPr>
        <w:t>,</w:t>
      </w:r>
      <w:r w:rsidR="006D6C52" w:rsidRPr="0079344F">
        <w:rPr>
          <w:i/>
          <w:iCs/>
          <w:sz w:val="16"/>
          <w:szCs w:val="22"/>
        </w:rPr>
        <w:t xml:space="preserve"> </w:t>
      </w:r>
      <w:r w:rsidRPr="0079344F">
        <w:rPr>
          <w:sz w:val="16"/>
          <w:szCs w:val="22"/>
        </w:rPr>
        <w:t>https://www.waac.com.au/what-we-do/freedom-centre/</w:t>
      </w:r>
    </w:p>
  </w:footnote>
  <w:footnote w:id="80">
    <w:p w14:paraId="16766BC4" w14:textId="2C2EBB33" w:rsidR="00902603" w:rsidRPr="0079344F" w:rsidRDefault="00902603">
      <w:pPr>
        <w:pStyle w:val="FootnoteText"/>
        <w:rPr>
          <w:sz w:val="16"/>
          <w:szCs w:val="22"/>
        </w:rPr>
      </w:pPr>
      <w:r w:rsidRPr="0079344F">
        <w:rPr>
          <w:rStyle w:val="FootnoteReference"/>
          <w:sz w:val="16"/>
          <w:szCs w:val="22"/>
        </w:rPr>
        <w:footnoteRef/>
      </w:r>
      <w:r w:rsidRPr="0079344F">
        <w:rPr>
          <w:sz w:val="16"/>
          <w:szCs w:val="22"/>
        </w:rPr>
        <w:t xml:space="preserve"> Open Doors Youth Service inc, </w:t>
      </w:r>
      <w:r w:rsidR="00DB395D">
        <w:rPr>
          <w:sz w:val="16"/>
          <w:szCs w:val="22"/>
        </w:rPr>
        <w:t>“</w:t>
      </w:r>
      <w:r w:rsidRPr="00DB395D">
        <w:rPr>
          <w:sz w:val="16"/>
          <w:szCs w:val="22"/>
        </w:rPr>
        <w:t>LGBTIQAP+ Individual Support Services</w:t>
      </w:r>
      <w:r w:rsidR="00DB395D">
        <w:rPr>
          <w:sz w:val="16"/>
          <w:szCs w:val="22"/>
        </w:rPr>
        <w:t>”</w:t>
      </w:r>
      <w:r w:rsidRPr="0079344F">
        <w:rPr>
          <w:i/>
          <w:iCs/>
          <w:sz w:val="16"/>
          <w:szCs w:val="22"/>
        </w:rPr>
        <w:t xml:space="preserve">, </w:t>
      </w:r>
      <w:r w:rsidR="006C777E" w:rsidRPr="006C777E">
        <w:t>https://www.opendoors.net.au/lgbtiqap-individual-support/</w:t>
      </w:r>
    </w:p>
  </w:footnote>
  <w:footnote w:id="81">
    <w:p w14:paraId="5CF62BA4" w14:textId="6A50115F" w:rsidR="00320C08" w:rsidRPr="0079344F" w:rsidRDefault="00320C08" w:rsidP="00320C08">
      <w:pPr>
        <w:pStyle w:val="FootnoteText"/>
        <w:rPr>
          <w:i/>
          <w:iCs/>
          <w:sz w:val="16"/>
          <w:szCs w:val="22"/>
          <w:lang w:val="en-US"/>
        </w:rPr>
      </w:pPr>
      <w:r w:rsidRPr="0079344F">
        <w:rPr>
          <w:rStyle w:val="FootnoteReference"/>
          <w:sz w:val="16"/>
          <w:szCs w:val="22"/>
        </w:rPr>
        <w:footnoteRef/>
      </w:r>
      <w:r w:rsidRPr="0079344F">
        <w:rPr>
          <w:sz w:val="16"/>
          <w:szCs w:val="22"/>
        </w:rPr>
        <w:t xml:space="preserve"> </w:t>
      </w:r>
      <w:r w:rsidRPr="0079344F">
        <w:rPr>
          <w:sz w:val="16"/>
          <w:szCs w:val="22"/>
          <w:lang w:val="en-US"/>
        </w:rPr>
        <w:t>BLAQ Aboriginal Corporatio</w:t>
      </w:r>
      <w:r w:rsidR="00A20A68">
        <w:rPr>
          <w:sz w:val="16"/>
          <w:szCs w:val="22"/>
          <w:lang w:val="en-US"/>
        </w:rPr>
        <w:t xml:space="preserve">n, </w:t>
      </w:r>
      <w:r w:rsidRPr="0079344F">
        <w:rPr>
          <w:i/>
          <w:iCs/>
          <w:sz w:val="16"/>
          <w:szCs w:val="22"/>
          <w:lang w:val="en-US"/>
        </w:rPr>
        <w:t>Case Management.</w:t>
      </w:r>
    </w:p>
  </w:footnote>
  <w:footnote w:id="82">
    <w:p w14:paraId="196446D2" w14:textId="6C788794" w:rsidR="0070386D" w:rsidRPr="0079344F" w:rsidRDefault="0070386D">
      <w:pPr>
        <w:pStyle w:val="FootnoteText"/>
        <w:rPr>
          <w:sz w:val="16"/>
          <w:szCs w:val="22"/>
        </w:rPr>
      </w:pPr>
      <w:r w:rsidRPr="0079344F">
        <w:rPr>
          <w:rStyle w:val="FootnoteReference"/>
          <w:sz w:val="16"/>
          <w:szCs w:val="22"/>
        </w:rPr>
        <w:footnoteRef/>
      </w:r>
      <w:r w:rsidRPr="0079344F">
        <w:rPr>
          <w:sz w:val="16"/>
          <w:szCs w:val="22"/>
        </w:rPr>
        <w:t xml:space="preserve"> </w:t>
      </w:r>
      <w:r w:rsidR="00D647AE" w:rsidRPr="0079344F">
        <w:rPr>
          <w:sz w:val="16"/>
          <w:szCs w:val="22"/>
        </w:rPr>
        <w:t>Wesley Mission Queensland</w:t>
      </w:r>
      <w:r w:rsidR="00493CC0" w:rsidRPr="0079344F">
        <w:rPr>
          <w:sz w:val="16"/>
          <w:szCs w:val="22"/>
        </w:rPr>
        <w:t xml:space="preserve">, </w:t>
      </w:r>
      <w:r w:rsidR="00D1008A">
        <w:rPr>
          <w:sz w:val="16"/>
          <w:szCs w:val="22"/>
        </w:rPr>
        <w:t>“</w:t>
      </w:r>
      <w:r w:rsidR="00493CC0" w:rsidRPr="00D1008A">
        <w:rPr>
          <w:sz w:val="16"/>
          <w:szCs w:val="22"/>
        </w:rPr>
        <w:t>LGBTIQAP+ flyer</w:t>
      </w:r>
      <w:r w:rsidR="00D1008A">
        <w:rPr>
          <w:sz w:val="16"/>
          <w:szCs w:val="22"/>
        </w:rPr>
        <w:t>”</w:t>
      </w:r>
      <w:r w:rsidR="00493CC0" w:rsidRPr="0079344F">
        <w:rPr>
          <w:i/>
          <w:iCs/>
          <w:sz w:val="16"/>
          <w:szCs w:val="22"/>
        </w:rPr>
        <w:t xml:space="preserve">, </w:t>
      </w:r>
      <w:hyperlink r:id="rId20" w:history="1">
        <w:r w:rsidR="00DB3710" w:rsidRPr="0079344F">
          <w:rPr>
            <w:rStyle w:val="Hyperlink"/>
            <w:sz w:val="16"/>
            <w:szCs w:val="22"/>
          </w:rPr>
          <w:t>Gold Coast Short-term Mental Health Services | Supporting Minds WMQ</w:t>
        </w:r>
      </w:hyperlink>
    </w:p>
  </w:footnote>
  <w:footnote w:id="83">
    <w:p w14:paraId="3C4F6A95" w14:textId="32DCBC64" w:rsidR="00BD3FB8" w:rsidRPr="0079344F" w:rsidRDefault="00BD3FB8">
      <w:pPr>
        <w:pStyle w:val="FootnoteText"/>
        <w:rPr>
          <w:sz w:val="16"/>
          <w:szCs w:val="22"/>
        </w:rPr>
      </w:pPr>
      <w:r w:rsidRPr="0079344F">
        <w:rPr>
          <w:rStyle w:val="FootnoteReference"/>
          <w:sz w:val="16"/>
          <w:szCs w:val="22"/>
        </w:rPr>
        <w:footnoteRef/>
      </w:r>
      <w:r w:rsidRPr="0079344F">
        <w:rPr>
          <w:sz w:val="16"/>
          <w:szCs w:val="22"/>
        </w:rPr>
        <w:t xml:space="preserve"> Western Victoria Primary Health Network, </w:t>
      </w:r>
      <w:r w:rsidR="0009535A">
        <w:rPr>
          <w:sz w:val="16"/>
          <w:szCs w:val="22"/>
        </w:rPr>
        <w:t>“</w:t>
      </w:r>
      <w:r w:rsidRPr="0009535A">
        <w:rPr>
          <w:sz w:val="16"/>
          <w:szCs w:val="22"/>
        </w:rPr>
        <w:t>LGBTQIA+</w:t>
      </w:r>
      <w:r w:rsidR="0009535A">
        <w:rPr>
          <w:sz w:val="16"/>
          <w:szCs w:val="22"/>
        </w:rPr>
        <w:t>”</w:t>
      </w:r>
      <w:r w:rsidRPr="0009535A">
        <w:rPr>
          <w:sz w:val="16"/>
          <w:szCs w:val="22"/>
        </w:rPr>
        <w:t>,</w:t>
      </w:r>
      <w:r w:rsidRPr="0079344F">
        <w:rPr>
          <w:i/>
          <w:iCs/>
          <w:sz w:val="16"/>
          <w:szCs w:val="22"/>
        </w:rPr>
        <w:t xml:space="preserve"> </w:t>
      </w:r>
      <w:hyperlink r:id="rId21" w:history="1">
        <w:r w:rsidRPr="0079344F">
          <w:rPr>
            <w:rStyle w:val="Hyperlink"/>
            <w:sz w:val="16"/>
            <w:szCs w:val="22"/>
          </w:rPr>
          <w:t>LGBTQIA+ | Western Victoria Primary Health Network (westvicphn.com.au)</w:t>
        </w:r>
      </w:hyperlink>
    </w:p>
  </w:footnote>
  <w:footnote w:id="84">
    <w:p w14:paraId="61F983A6" w14:textId="36A40AC9" w:rsidR="00195795" w:rsidRPr="00AF7DF4" w:rsidRDefault="00195795">
      <w:pPr>
        <w:pStyle w:val="FootnoteText"/>
        <w:rPr>
          <w:i/>
          <w:iCs/>
          <w:lang w:val="fr-FR"/>
        </w:rPr>
      </w:pPr>
      <w:r>
        <w:rPr>
          <w:rStyle w:val="FootnoteReference"/>
        </w:rPr>
        <w:footnoteRef/>
      </w:r>
      <w:r w:rsidRPr="00AF7DF4">
        <w:rPr>
          <w:lang w:val="fr-FR"/>
        </w:rPr>
        <w:t xml:space="preserve"> </w:t>
      </w:r>
      <w:r w:rsidR="00E55763" w:rsidRPr="00AF7DF4">
        <w:rPr>
          <w:lang w:val="fr-FR"/>
        </w:rPr>
        <w:t xml:space="preserve">Victorian Pride Centre, </w:t>
      </w:r>
      <w:r w:rsidR="00D60979" w:rsidRPr="00624A03">
        <w:rPr>
          <w:lang w:val="fr-FR" w:eastAsia="en-AU"/>
        </w:rPr>
        <w:t>“</w:t>
      </w:r>
      <w:r w:rsidR="00E55763" w:rsidRPr="00EE5822">
        <w:rPr>
          <w:lang w:val="fr-FR"/>
        </w:rPr>
        <w:t>Q Psychology</w:t>
      </w:r>
      <w:r w:rsidR="00D60979" w:rsidRPr="00624A03">
        <w:rPr>
          <w:lang w:val="fr-FR" w:eastAsia="en-AU"/>
        </w:rPr>
        <w:t>“</w:t>
      </w:r>
      <w:r w:rsidR="00E55763" w:rsidRPr="00AF7DF4">
        <w:rPr>
          <w:i/>
          <w:iCs/>
          <w:lang w:val="fr-FR"/>
        </w:rPr>
        <w:t xml:space="preserve">, </w:t>
      </w:r>
      <w:hyperlink r:id="rId22" w:history="1">
        <w:r w:rsidR="00E55763" w:rsidRPr="00AF7DF4">
          <w:rPr>
            <w:rStyle w:val="Hyperlink"/>
            <w:lang w:val="fr-FR"/>
          </w:rPr>
          <w:t>Q Psychology - Victorian Pride Centre</w:t>
        </w:r>
      </w:hyperlink>
      <w:r w:rsidR="007D5780" w:rsidRPr="00AF7DF4">
        <w:rPr>
          <w:lang w:val="fr-FR"/>
        </w:rPr>
        <w:t xml:space="preserve"> </w:t>
      </w:r>
    </w:p>
  </w:footnote>
  <w:footnote w:id="85">
    <w:p w14:paraId="09428686" w14:textId="41A7E09B" w:rsidR="00E55763" w:rsidRPr="00624A03" w:rsidRDefault="00E55763">
      <w:pPr>
        <w:pStyle w:val="FootnoteText"/>
      </w:pPr>
      <w:r>
        <w:rPr>
          <w:rStyle w:val="FootnoteReference"/>
        </w:rPr>
        <w:footnoteRef/>
      </w:r>
      <w:r w:rsidRPr="00624A03">
        <w:t xml:space="preserve"> Here Completely, </w:t>
      </w:r>
      <w:r w:rsidR="00C165F5" w:rsidRPr="0036376E">
        <w:rPr>
          <w:lang w:eastAsia="en-AU"/>
        </w:rPr>
        <w:t>“</w:t>
      </w:r>
      <w:r w:rsidRPr="00624A03">
        <w:t>Sydney Queer &amp; LGBTQI Counselling, Psychology &amp; Relationship Counselling</w:t>
      </w:r>
      <w:r w:rsidR="00C165F5" w:rsidRPr="0036376E">
        <w:rPr>
          <w:lang w:eastAsia="en-AU"/>
        </w:rPr>
        <w:t>“</w:t>
      </w:r>
      <w:r w:rsidRPr="00624A03">
        <w:rPr>
          <w:i/>
          <w:iCs/>
        </w:rPr>
        <w:t>,</w:t>
      </w:r>
      <w:r w:rsidR="00BD26D9" w:rsidRPr="00624A03">
        <w:rPr>
          <w:i/>
          <w:iCs/>
        </w:rPr>
        <w:t>https://www.herecompletely.com.au/lgbtq</w:t>
      </w:r>
    </w:p>
  </w:footnote>
  <w:footnote w:id="86">
    <w:p w14:paraId="4FACEAB7" w14:textId="159760AD" w:rsidR="00B8047C" w:rsidRPr="00624A03" w:rsidRDefault="00B8047C">
      <w:pPr>
        <w:pStyle w:val="FootnoteText"/>
        <w:rPr>
          <w:i/>
          <w:iCs/>
        </w:rPr>
      </w:pPr>
      <w:r>
        <w:rPr>
          <w:rStyle w:val="FootnoteReference"/>
        </w:rPr>
        <w:footnoteRef/>
      </w:r>
      <w:r w:rsidRPr="00624A03">
        <w:t xml:space="preserve"> Someone.</w:t>
      </w:r>
      <w:r w:rsidR="00EA4055" w:rsidRPr="00624A03">
        <w:t xml:space="preserve">health, </w:t>
      </w:r>
      <w:r w:rsidR="00CE3A75" w:rsidRPr="0036376E">
        <w:rPr>
          <w:lang w:eastAsia="en-AU"/>
        </w:rPr>
        <w:t>“</w:t>
      </w:r>
      <w:r w:rsidR="00CE3A75" w:rsidRPr="00624A03">
        <w:t>LGBTQ Friendly Psychologsts</w:t>
      </w:r>
      <w:r w:rsidR="00CE3A75" w:rsidRPr="0036376E">
        <w:rPr>
          <w:lang w:eastAsia="en-AU"/>
        </w:rPr>
        <w:t>“</w:t>
      </w:r>
      <w:r w:rsidR="00EA4055" w:rsidRPr="00624A03">
        <w:rPr>
          <w:i/>
          <w:iCs/>
        </w:rPr>
        <w:t xml:space="preserve">, </w:t>
      </w:r>
      <w:hyperlink r:id="rId23" w:history="1">
        <w:r w:rsidR="00EA4055" w:rsidRPr="00624A03">
          <w:rPr>
            <w:rStyle w:val="Hyperlink"/>
          </w:rPr>
          <w:t>LGBTQ Friendly Psychologists | someone.health - Medicare bulk-billed counselling</w:t>
        </w:r>
      </w:hyperlink>
    </w:p>
  </w:footnote>
  <w:footnote w:id="87">
    <w:p w14:paraId="6A095352" w14:textId="0531917D" w:rsidR="002C6C21" w:rsidRPr="009F3AAE" w:rsidRDefault="002C6C21" w:rsidP="002C6C21">
      <w:pPr>
        <w:pStyle w:val="FootnoteText"/>
        <w:rPr>
          <w:lang w:val="en-US"/>
        </w:rPr>
      </w:pPr>
      <w:r>
        <w:rPr>
          <w:rStyle w:val="FootnoteReference"/>
        </w:rPr>
        <w:footnoteRef/>
      </w:r>
      <w:r>
        <w:t xml:space="preserve"> Telfer, </w:t>
      </w:r>
      <w:r w:rsidR="00614EA1">
        <w:t>Associate Professor Michelle</w:t>
      </w:r>
      <w:r w:rsidR="00D52BCD">
        <w:t>,</w:t>
      </w:r>
      <w:r>
        <w:t xml:space="preserve"> Tollit,</w:t>
      </w:r>
      <w:r w:rsidR="00D52BCD">
        <w:t xml:space="preserve"> Dr Michelle, </w:t>
      </w:r>
      <w:r>
        <w:t>Pace,</w:t>
      </w:r>
      <w:r w:rsidR="00D52BCD">
        <w:t xml:space="preserve"> Dr</w:t>
      </w:r>
      <w:r>
        <w:t xml:space="preserve"> C</w:t>
      </w:r>
      <w:r w:rsidR="00214BE5">
        <w:t xml:space="preserve">armen, &amp; Pang, Associate Professor Ken </w:t>
      </w:r>
      <w:r>
        <w:t xml:space="preserve">C, </w:t>
      </w:r>
      <w:r>
        <w:rPr>
          <w:i/>
          <w:iCs/>
        </w:rPr>
        <w:t xml:space="preserve">Australian Standards of Care and Treatment Guidelines for Trans and Gender Diverse Children and Adolescent Version 1.3, </w:t>
      </w:r>
      <w:r w:rsidR="00D36930">
        <w:t xml:space="preserve">(Melbourne, The Royal Children’s Hospital: 2020) </w:t>
      </w:r>
      <w:r>
        <w:t>p. 9 &amp; 11</w:t>
      </w:r>
      <w:r w:rsidR="00214BE5">
        <w:t xml:space="preserve"> </w:t>
      </w:r>
      <w:r>
        <w:t xml:space="preserve"> </w:t>
      </w:r>
    </w:p>
  </w:footnote>
  <w:footnote w:id="88">
    <w:p w14:paraId="02CE69BA" w14:textId="50D4CC4A" w:rsidR="002C6C21" w:rsidRPr="009F3AAE" w:rsidRDefault="002C6C21" w:rsidP="002C6C21">
      <w:pPr>
        <w:pStyle w:val="FootnoteText"/>
        <w:rPr>
          <w:lang w:val="en-US"/>
        </w:rPr>
      </w:pPr>
      <w:r>
        <w:rPr>
          <w:rStyle w:val="FootnoteReference"/>
        </w:rPr>
        <w:footnoteRef/>
      </w:r>
      <w:r>
        <w:t xml:space="preserve"> </w:t>
      </w:r>
      <w:r>
        <w:rPr>
          <w:lang w:val="en-US"/>
        </w:rPr>
        <w:t xml:space="preserve">Monash Health, </w:t>
      </w:r>
      <w:r w:rsidR="00FC7084">
        <w:rPr>
          <w:lang w:val="en-US"/>
        </w:rPr>
        <w:t>“</w:t>
      </w:r>
      <w:r w:rsidRPr="00FC7084">
        <w:rPr>
          <w:lang w:val="en-US"/>
        </w:rPr>
        <w:t>Gender Clinic – Frequently Asked Questions</w:t>
      </w:r>
      <w:r w:rsidR="00FC7084">
        <w:rPr>
          <w:lang w:val="en-US"/>
        </w:rPr>
        <w:t>”</w:t>
      </w:r>
      <w:r>
        <w:rPr>
          <w:lang w:val="en-US"/>
        </w:rPr>
        <w:t xml:space="preserve">, Last Updated: 4 August 2023, </w:t>
      </w:r>
      <w:hyperlink r:id="rId24" w:history="1">
        <w:r w:rsidRPr="00B92661">
          <w:rPr>
            <w:rStyle w:val="Hyperlink"/>
            <w:lang w:val="en-US"/>
          </w:rPr>
          <w:t>https://monashhealth.org/services/gender-clinic/questions/</w:t>
        </w:r>
      </w:hyperlink>
    </w:p>
  </w:footnote>
  <w:footnote w:id="89">
    <w:p w14:paraId="4F938F75" w14:textId="7DE6AF50" w:rsidR="00BA7CBC" w:rsidRPr="00324710" w:rsidRDefault="00BA7CBC">
      <w:pPr>
        <w:pStyle w:val="FootnoteText"/>
        <w:rPr>
          <w:i/>
          <w:iCs/>
        </w:rPr>
      </w:pPr>
      <w:r>
        <w:rPr>
          <w:rStyle w:val="FootnoteReference"/>
        </w:rPr>
        <w:footnoteRef/>
      </w:r>
      <w:r>
        <w:t xml:space="preserve"> QLife, </w:t>
      </w:r>
      <w:r w:rsidR="00D211AF">
        <w:t>“</w:t>
      </w:r>
      <w:r w:rsidR="00324710" w:rsidRPr="00D211AF">
        <w:t>Get Help</w:t>
      </w:r>
      <w:r w:rsidR="00D211AF">
        <w:t>”</w:t>
      </w:r>
      <w:r w:rsidR="00324710" w:rsidRPr="00D211AF">
        <w:t>,</w:t>
      </w:r>
      <w:r w:rsidR="00324710">
        <w:rPr>
          <w:i/>
          <w:iCs/>
        </w:rPr>
        <w:t xml:space="preserve"> </w:t>
      </w:r>
      <w:hyperlink r:id="rId25" w:history="1">
        <w:r w:rsidR="00324710">
          <w:rPr>
            <w:rStyle w:val="Hyperlink"/>
          </w:rPr>
          <w:t>Get Help (qlife.org.au)</w:t>
        </w:r>
      </w:hyperlink>
    </w:p>
  </w:footnote>
  <w:footnote w:id="90">
    <w:p w14:paraId="364034AC" w14:textId="5BB5DBFF" w:rsidR="00324710" w:rsidRPr="00B40D28" w:rsidRDefault="00324710">
      <w:pPr>
        <w:pStyle w:val="FootnoteText"/>
        <w:rPr>
          <w:sz w:val="16"/>
          <w:szCs w:val="22"/>
        </w:rPr>
      </w:pPr>
      <w:r w:rsidRPr="00B40D28">
        <w:rPr>
          <w:rStyle w:val="FootnoteReference"/>
          <w:sz w:val="16"/>
          <w:szCs w:val="22"/>
        </w:rPr>
        <w:footnoteRef/>
      </w:r>
      <w:r w:rsidRPr="00B40D28">
        <w:rPr>
          <w:sz w:val="16"/>
          <w:szCs w:val="22"/>
        </w:rPr>
        <w:t xml:space="preserve"> Headspace</w:t>
      </w:r>
      <w:r w:rsidR="00A617C5" w:rsidRPr="00B40D28">
        <w:rPr>
          <w:sz w:val="16"/>
          <w:szCs w:val="22"/>
        </w:rPr>
        <w:t xml:space="preserve">, </w:t>
      </w:r>
      <w:r w:rsidR="008A4622">
        <w:rPr>
          <w:sz w:val="16"/>
          <w:szCs w:val="22"/>
        </w:rPr>
        <w:t>“</w:t>
      </w:r>
      <w:r w:rsidR="00A617C5" w:rsidRPr="008A4622">
        <w:rPr>
          <w:sz w:val="16"/>
          <w:szCs w:val="22"/>
        </w:rPr>
        <w:t>Out-spoken</w:t>
      </w:r>
      <w:r w:rsidR="008A4622">
        <w:rPr>
          <w:sz w:val="16"/>
          <w:szCs w:val="22"/>
        </w:rPr>
        <w:t>”</w:t>
      </w:r>
      <w:r w:rsidR="00A617C5" w:rsidRPr="008A4622">
        <w:rPr>
          <w:sz w:val="16"/>
          <w:szCs w:val="22"/>
        </w:rPr>
        <w:t>,</w:t>
      </w:r>
      <w:r w:rsidR="00A617C5" w:rsidRPr="00B40D28">
        <w:rPr>
          <w:i/>
          <w:iCs/>
          <w:sz w:val="16"/>
          <w:szCs w:val="22"/>
        </w:rPr>
        <w:t xml:space="preserve"> </w:t>
      </w:r>
      <w:r w:rsidR="00802AD0" w:rsidRPr="00802AD0">
        <w:t>https://headspace.org.au/our-impact/campaigns/lgbtiqaplus/</w:t>
      </w:r>
    </w:p>
  </w:footnote>
  <w:footnote w:id="91">
    <w:p w14:paraId="05FB4227" w14:textId="67DF1B57" w:rsidR="00AA33E7" w:rsidRPr="00B40D28" w:rsidRDefault="00D51BB5" w:rsidP="00AA33E7">
      <w:pPr>
        <w:pStyle w:val="FootnoteText"/>
        <w:rPr>
          <w:sz w:val="16"/>
          <w:szCs w:val="22"/>
        </w:rPr>
      </w:pPr>
      <w:r w:rsidRPr="00B40D28">
        <w:rPr>
          <w:rStyle w:val="FootnoteReference"/>
          <w:sz w:val="16"/>
          <w:szCs w:val="22"/>
        </w:rPr>
        <w:footnoteRef/>
      </w:r>
      <w:r w:rsidRPr="00B40D28">
        <w:rPr>
          <w:sz w:val="16"/>
          <w:szCs w:val="22"/>
        </w:rPr>
        <w:t xml:space="preserve"> HERE, </w:t>
      </w:r>
      <w:r w:rsidR="00A67F96">
        <w:rPr>
          <w:sz w:val="16"/>
          <w:szCs w:val="22"/>
        </w:rPr>
        <w:t>“</w:t>
      </w:r>
      <w:r w:rsidRPr="00A67F96">
        <w:rPr>
          <w:sz w:val="16"/>
          <w:szCs w:val="22"/>
        </w:rPr>
        <w:t>H</w:t>
      </w:r>
      <w:r w:rsidR="00D1320B" w:rsidRPr="00A67F96">
        <w:rPr>
          <w:sz w:val="16"/>
          <w:szCs w:val="22"/>
        </w:rPr>
        <w:t>ERE for LGBTQ+ communities</w:t>
      </w:r>
      <w:r w:rsidR="00A67F96">
        <w:rPr>
          <w:sz w:val="16"/>
          <w:szCs w:val="22"/>
        </w:rPr>
        <w:t>”</w:t>
      </w:r>
      <w:r w:rsidR="00D1320B" w:rsidRPr="00A67F96">
        <w:rPr>
          <w:sz w:val="16"/>
          <w:szCs w:val="22"/>
        </w:rPr>
        <w:t>,</w:t>
      </w:r>
      <w:r w:rsidR="00AA33E7" w:rsidRPr="00AA33E7">
        <w:t xml:space="preserve"> </w:t>
      </w:r>
      <w:r w:rsidR="00AA33E7" w:rsidRPr="00AA33E7">
        <w:rPr>
          <w:sz w:val="16"/>
          <w:szCs w:val="22"/>
        </w:rPr>
        <w:t>https://here.org.au/</w:t>
      </w:r>
    </w:p>
  </w:footnote>
  <w:footnote w:id="92">
    <w:p w14:paraId="136913D5" w14:textId="1D93C14C" w:rsidR="0071425F" w:rsidRPr="00B40D28" w:rsidRDefault="0071425F" w:rsidP="0071425F">
      <w:pPr>
        <w:pStyle w:val="FootnoteText"/>
        <w:rPr>
          <w:sz w:val="16"/>
          <w:szCs w:val="22"/>
          <w:lang w:val="en-US"/>
        </w:rPr>
      </w:pPr>
      <w:r w:rsidRPr="00B40D28">
        <w:rPr>
          <w:rStyle w:val="FootnoteReference"/>
          <w:sz w:val="16"/>
          <w:szCs w:val="22"/>
        </w:rPr>
        <w:footnoteRef/>
      </w:r>
      <w:r w:rsidRPr="00B40D28">
        <w:rPr>
          <w:sz w:val="16"/>
          <w:szCs w:val="22"/>
        </w:rPr>
        <w:t xml:space="preserve"> </w:t>
      </w:r>
      <w:r w:rsidRPr="00B40D28">
        <w:rPr>
          <w:sz w:val="16"/>
          <w:szCs w:val="22"/>
          <w:lang w:val="en-US"/>
        </w:rPr>
        <w:t>TransHub</w:t>
      </w:r>
      <w:r w:rsidR="00975233">
        <w:rPr>
          <w:sz w:val="16"/>
          <w:szCs w:val="22"/>
          <w:lang w:val="en-US"/>
        </w:rPr>
        <w:t xml:space="preserve">, </w:t>
      </w:r>
      <w:r w:rsidR="00D03F75">
        <w:rPr>
          <w:sz w:val="16"/>
          <w:szCs w:val="22"/>
          <w:lang w:val="en-US"/>
        </w:rPr>
        <w:t xml:space="preserve">“Mental Health”, </w:t>
      </w:r>
      <w:r w:rsidR="00D03F75" w:rsidRPr="00D03F75">
        <w:rPr>
          <w:sz w:val="16"/>
          <w:szCs w:val="22"/>
          <w:lang w:val="en-US"/>
        </w:rPr>
        <w:t>https://www.transhub.org.au/mental-health</w:t>
      </w:r>
    </w:p>
  </w:footnote>
  <w:footnote w:id="93">
    <w:p w14:paraId="412A906B" w14:textId="21C36DCA" w:rsidR="0071425F" w:rsidRPr="00624A03" w:rsidRDefault="0071425F" w:rsidP="0071425F">
      <w:pPr>
        <w:pStyle w:val="FootnoteText"/>
        <w:rPr>
          <w:sz w:val="16"/>
          <w:szCs w:val="22"/>
          <w:lang w:val="es-ES"/>
        </w:rPr>
      </w:pPr>
      <w:r w:rsidRPr="00B40D28">
        <w:rPr>
          <w:rStyle w:val="FootnoteReference"/>
          <w:sz w:val="16"/>
          <w:szCs w:val="22"/>
        </w:rPr>
        <w:footnoteRef/>
      </w:r>
      <w:r w:rsidRPr="00624A03">
        <w:rPr>
          <w:sz w:val="16"/>
          <w:szCs w:val="22"/>
          <w:lang w:val="es-ES"/>
        </w:rPr>
        <w:t xml:space="preserve"> </w:t>
      </w:r>
      <w:r w:rsidR="001C2226" w:rsidRPr="00624A03">
        <w:rPr>
          <w:sz w:val="16"/>
          <w:szCs w:val="22"/>
          <w:lang w:val="es-ES"/>
        </w:rPr>
        <w:t>ACON, “</w:t>
      </w:r>
      <w:r w:rsidR="00A9659D" w:rsidRPr="00624A03">
        <w:rPr>
          <w:sz w:val="16"/>
          <w:szCs w:val="22"/>
          <w:lang w:val="es-ES"/>
        </w:rPr>
        <w:t>About ACON”, https://www.acon.org.au/about-acon/</w:t>
      </w:r>
    </w:p>
  </w:footnote>
  <w:footnote w:id="94">
    <w:p w14:paraId="12101823" w14:textId="41382D30" w:rsidR="00A36846" w:rsidRDefault="00A36846">
      <w:pPr>
        <w:pStyle w:val="FootnoteText"/>
      </w:pPr>
      <w:r w:rsidRPr="00B40D28">
        <w:rPr>
          <w:rStyle w:val="FootnoteReference"/>
          <w:sz w:val="16"/>
          <w:szCs w:val="22"/>
        </w:rPr>
        <w:footnoteRef/>
      </w:r>
      <w:r w:rsidRPr="00B40D28">
        <w:rPr>
          <w:sz w:val="16"/>
          <w:szCs w:val="22"/>
        </w:rPr>
        <w:t xml:space="preserve"> </w:t>
      </w:r>
      <w:r w:rsidR="00F361C6" w:rsidRPr="00B40D28">
        <w:rPr>
          <w:sz w:val="16"/>
          <w:szCs w:val="22"/>
        </w:rPr>
        <w:t xml:space="preserve">Forcibly Displaced People Network, </w:t>
      </w:r>
      <w:r w:rsidR="00A9659D">
        <w:rPr>
          <w:sz w:val="16"/>
          <w:szCs w:val="22"/>
        </w:rPr>
        <w:t>“</w:t>
      </w:r>
      <w:r w:rsidR="00F361C6" w:rsidRPr="00A9659D">
        <w:rPr>
          <w:sz w:val="16"/>
          <w:szCs w:val="22"/>
        </w:rPr>
        <w:t>Queer Sisterhood Project</w:t>
      </w:r>
      <w:r w:rsidR="00A9659D">
        <w:rPr>
          <w:sz w:val="16"/>
          <w:szCs w:val="22"/>
        </w:rPr>
        <w:t>”</w:t>
      </w:r>
      <w:r w:rsidR="00F361C6" w:rsidRPr="00B40D28">
        <w:rPr>
          <w:i/>
          <w:iCs/>
          <w:sz w:val="16"/>
          <w:szCs w:val="22"/>
        </w:rPr>
        <w:t>,</w:t>
      </w:r>
      <w:r w:rsidRPr="00B40D28">
        <w:rPr>
          <w:sz w:val="16"/>
          <w:szCs w:val="22"/>
        </w:rPr>
        <w:t xml:space="preserve"> </w:t>
      </w:r>
      <w:r w:rsidR="00A9659D" w:rsidRPr="00A9659D">
        <w:t>https://fdpn.org.au/queer-sisterhood/</w:t>
      </w:r>
    </w:p>
  </w:footnote>
  <w:footnote w:id="95">
    <w:p w14:paraId="677CDADE" w14:textId="3C341EE9" w:rsidR="00F361C6" w:rsidRPr="00B40D28" w:rsidRDefault="00F361C6">
      <w:pPr>
        <w:pStyle w:val="FootnoteText"/>
        <w:rPr>
          <w:sz w:val="16"/>
          <w:szCs w:val="22"/>
        </w:rPr>
      </w:pPr>
      <w:r w:rsidRPr="00B40D28">
        <w:rPr>
          <w:rStyle w:val="FootnoteReference"/>
          <w:sz w:val="16"/>
          <w:szCs w:val="22"/>
        </w:rPr>
        <w:footnoteRef/>
      </w:r>
      <w:r w:rsidRPr="00B40D28">
        <w:rPr>
          <w:sz w:val="16"/>
          <w:szCs w:val="22"/>
        </w:rPr>
        <w:t xml:space="preserve"> Switchboard Victoria, </w:t>
      </w:r>
      <w:r w:rsidR="000F3D37">
        <w:rPr>
          <w:sz w:val="16"/>
          <w:szCs w:val="22"/>
        </w:rPr>
        <w:t>“</w:t>
      </w:r>
      <w:r w:rsidRPr="000F3D37">
        <w:rPr>
          <w:sz w:val="16"/>
          <w:szCs w:val="22"/>
        </w:rPr>
        <w:t>Out and About</w:t>
      </w:r>
      <w:r w:rsidR="000F3D37">
        <w:rPr>
          <w:sz w:val="16"/>
          <w:szCs w:val="22"/>
        </w:rPr>
        <w:t>”</w:t>
      </w:r>
      <w:r w:rsidRPr="00B40D28">
        <w:rPr>
          <w:i/>
          <w:iCs/>
          <w:sz w:val="16"/>
          <w:szCs w:val="22"/>
        </w:rPr>
        <w:t xml:space="preserve">, </w:t>
      </w:r>
      <w:r w:rsidR="004267A2" w:rsidRPr="004267A2">
        <w:t>https://www.switchboard.org.au/lgbtiolderpeople</w:t>
      </w:r>
    </w:p>
  </w:footnote>
  <w:footnote w:id="96">
    <w:p w14:paraId="4AD6BEAA" w14:textId="7B11EC47" w:rsidR="008B7ED5" w:rsidRPr="009F23E1" w:rsidRDefault="008B7ED5">
      <w:pPr>
        <w:pStyle w:val="FootnoteText"/>
      </w:pPr>
      <w:r w:rsidRPr="00B40D28">
        <w:rPr>
          <w:rStyle w:val="FootnoteReference"/>
          <w:sz w:val="16"/>
          <w:szCs w:val="22"/>
        </w:rPr>
        <w:footnoteRef/>
      </w:r>
      <w:r w:rsidRPr="00B40D28">
        <w:rPr>
          <w:sz w:val="16"/>
          <w:szCs w:val="22"/>
        </w:rPr>
        <w:t xml:space="preserve"> </w:t>
      </w:r>
      <w:r w:rsidR="009F23E1" w:rsidRPr="00B40D28">
        <w:rPr>
          <w:sz w:val="16"/>
          <w:szCs w:val="22"/>
        </w:rPr>
        <w:t xml:space="preserve">Albany Pride, </w:t>
      </w:r>
      <w:r w:rsidR="00877A81">
        <w:rPr>
          <w:sz w:val="16"/>
          <w:szCs w:val="22"/>
        </w:rPr>
        <w:t>“</w:t>
      </w:r>
      <w:r w:rsidR="009F23E1" w:rsidRPr="00877A81">
        <w:rPr>
          <w:sz w:val="16"/>
          <w:szCs w:val="22"/>
        </w:rPr>
        <w:t>Events</w:t>
      </w:r>
      <w:r w:rsidR="007F40BD">
        <w:rPr>
          <w:sz w:val="16"/>
          <w:szCs w:val="22"/>
        </w:rPr>
        <w:t>”</w:t>
      </w:r>
      <w:r w:rsidR="009F23E1" w:rsidRPr="00877A81">
        <w:rPr>
          <w:sz w:val="16"/>
          <w:szCs w:val="22"/>
        </w:rPr>
        <w:t>,</w:t>
      </w:r>
      <w:r w:rsidR="007F40BD" w:rsidRPr="007F40BD">
        <w:t xml:space="preserve"> </w:t>
      </w:r>
      <w:r w:rsidR="007F40BD" w:rsidRPr="007F40BD">
        <w:rPr>
          <w:sz w:val="16"/>
          <w:szCs w:val="22"/>
        </w:rPr>
        <w:t>https://albanypride.com.au/events/</w:t>
      </w:r>
    </w:p>
  </w:footnote>
  <w:footnote w:id="97">
    <w:p w14:paraId="0E6C683B" w14:textId="1E0BCFB1" w:rsidR="005E1B78" w:rsidRPr="00847129" w:rsidRDefault="005E1B78" w:rsidP="005E1B78">
      <w:pPr>
        <w:pStyle w:val="FootnoteText"/>
      </w:pPr>
      <w:r>
        <w:rPr>
          <w:rStyle w:val="FootnoteReference"/>
        </w:rPr>
        <w:footnoteRef/>
      </w:r>
      <w:r>
        <w:t xml:space="preserve"> </w:t>
      </w:r>
      <w:r w:rsidR="006366C1">
        <w:t>David Frost and Ilan Meyer</w:t>
      </w:r>
      <w:r>
        <w:t>, “Minority stress theory: Application, critique and continued relevance</w:t>
      </w:r>
      <w:r w:rsidR="0032070F">
        <w:t>,</w:t>
      </w:r>
      <w:r>
        <w:t xml:space="preserve">” </w:t>
      </w:r>
      <w:r>
        <w:rPr>
          <w:i/>
          <w:iCs/>
        </w:rPr>
        <w:t xml:space="preserve">Current Opinion in Psychology </w:t>
      </w:r>
      <w:r>
        <w:t xml:space="preserve">51, </w:t>
      </w:r>
      <w:r w:rsidR="005722EA">
        <w:t xml:space="preserve">no. 101579 </w:t>
      </w:r>
      <w:r w:rsidR="0032070F">
        <w:t>(2023)</w:t>
      </w:r>
      <w:r w:rsidR="00C63EC7">
        <w:t xml:space="preserve">, </w:t>
      </w:r>
      <w:hyperlink r:id="rId26" w:history="1">
        <w:r w:rsidR="00323370" w:rsidRPr="00974698">
          <w:rPr>
            <w:rStyle w:val="Hyperlink"/>
          </w:rPr>
          <w:t>https://doi.org/10.1016/j.copsyc.2023.101579</w:t>
        </w:r>
      </w:hyperlink>
      <w:r w:rsidR="00323370">
        <w:t xml:space="preserve">. </w:t>
      </w:r>
    </w:p>
  </w:footnote>
  <w:footnote w:id="98">
    <w:p w14:paraId="4FF7814F" w14:textId="2744B3D2" w:rsidR="008E013A" w:rsidRPr="00847129" w:rsidRDefault="008E013A" w:rsidP="008E013A">
      <w:pPr>
        <w:pStyle w:val="FootnoteText"/>
      </w:pPr>
      <w:r>
        <w:rPr>
          <w:rStyle w:val="FootnoteReference"/>
        </w:rPr>
        <w:footnoteRef/>
      </w:r>
      <w:r>
        <w:t xml:space="preserve"> </w:t>
      </w:r>
      <w:r w:rsidR="00360294">
        <w:t>Frost and Meyer, “Minority stress theory”</w:t>
      </w:r>
      <w:r>
        <w:t>.</w:t>
      </w:r>
    </w:p>
  </w:footnote>
  <w:footnote w:id="99">
    <w:p w14:paraId="65288E49" w14:textId="47EA20D7" w:rsidR="008E013A" w:rsidRPr="00847129" w:rsidRDefault="008E013A" w:rsidP="008E013A">
      <w:pPr>
        <w:pStyle w:val="FootnoteText"/>
      </w:pPr>
      <w:r>
        <w:rPr>
          <w:rStyle w:val="FootnoteReference"/>
        </w:rPr>
        <w:footnoteRef/>
      </w:r>
      <w:r>
        <w:t xml:space="preserve"> </w:t>
      </w:r>
      <w:r w:rsidR="00FC11C3">
        <w:t>Frost and Meyer, “Minority stress theory”.</w:t>
      </w:r>
    </w:p>
  </w:footnote>
  <w:footnote w:id="100">
    <w:p w14:paraId="5FE77783" w14:textId="1A0B0680" w:rsidR="008E013A" w:rsidRPr="00764623" w:rsidRDefault="008E013A" w:rsidP="008E013A">
      <w:pPr>
        <w:pStyle w:val="FootnoteText"/>
        <w:rPr>
          <w:sz w:val="16"/>
          <w:szCs w:val="22"/>
        </w:rPr>
      </w:pPr>
      <w:r w:rsidRPr="00764623">
        <w:rPr>
          <w:rStyle w:val="FootnoteReference"/>
          <w:sz w:val="16"/>
          <w:szCs w:val="22"/>
        </w:rPr>
        <w:footnoteRef/>
      </w:r>
      <w:r w:rsidRPr="00764623">
        <w:rPr>
          <w:sz w:val="16"/>
          <w:szCs w:val="22"/>
        </w:rPr>
        <w:t xml:space="preserve"> </w:t>
      </w:r>
      <w:r w:rsidR="00447A60" w:rsidRPr="00764623">
        <w:rPr>
          <w:sz w:val="16"/>
          <w:szCs w:val="22"/>
        </w:rPr>
        <w:t xml:space="preserve">Matthew </w:t>
      </w:r>
      <w:r w:rsidRPr="00764623">
        <w:rPr>
          <w:sz w:val="16"/>
          <w:szCs w:val="22"/>
          <w:lang w:val="en-US"/>
        </w:rPr>
        <w:t xml:space="preserve">Rivas-Koehl, </w:t>
      </w:r>
      <w:r w:rsidR="00CF47C0" w:rsidRPr="00764623">
        <w:rPr>
          <w:sz w:val="16"/>
          <w:szCs w:val="22"/>
          <w:lang w:val="en-US"/>
        </w:rPr>
        <w:t xml:space="preserve">Dane </w:t>
      </w:r>
      <w:r w:rsidRPr="00764623">
        <w:rPr>
          <w:sz w:val="16"/>
          <w:szCs w:val="22"/>
          <w:lang w:val="en-US"/>
        </w:rPr>
        <w:t xml:space="preserve">Rivas-Koehl, </w:t>
      </w:r>
      <w:r w:rsidR="00CF47C0" w:rsidRPr="00764623">
        <w:rPr>
          <w:sz w:val="16"/>
          <w:szCs w:val="22"/>
          <w:lang w:val="en-US"/>
        </w:rPr>
        <w:t>and Sharde</w:t>
      </w:r>
      <w:r w:rsidRPr="00764623">
        <w:rPr>
          <w:sz w:val="16"/>
          <w:szCs w:val="22"/>
          <w:lang w:val="en-US"/>
        </w:rPr>
        <w:t xml:space="preserve"> Smith, “The temporal intersectional minority stress model: Reimagining minority stress theory</w:t>
      </w:r>
      <w:r w:rsidR="00CF47C0" w:rsidRPr="00764623">
        <w:rPr>
          <w:sz w:val="16"/>
          <w:szCs w:val="22"/>
          <w:lang w:val="en-US"/>
        </w:rPr>
        <w:t>,</w:t>
      </w:r>
      <w:r w:rsidRPr="00764623">
        <w:rPr>
          <w:sz w:val="16"/>
          <w:szCs w:val="22"/>
          <w:lang w:val="en-US"/>
        </w:rPr>
        <w:t xml:space="preserve">” </w:t>
      </w:r>
      <w:r w:rsidRPr="00764623">
        <w:rPr>
          <w:i/>
          <w:iCs/>
          <w:sz w:val="16"/>
          <w:szCs w:val="22"/>
          <w:lang w:val="en-US"/>
        </w:rPr>
        <w:t>Journal of Family Theory &amp; Review</w:t>
      </w:r>
      <w:r w:rsidR="000714DF" w:rsidRPr="00764623">
        <w:rPr>
          <w:i/>
          <w:iCs/>
          <w:sz w:val="16"/>
          <w:szCs w:val="22"/>
          <w:lang w:val="en-US"/>
        </w:rPr>
        <w:t xml:space="preserve">, </w:t>
      </w:r>
      <w:r w:rsidR="00011B1F" w:rsidRPr="00764623">
        <w:rPr>
          <w:sz w:val="16"/>
          <w:szCs w:val="22"/>
          <w:lang w:val="en-US"/>
        </w:rPr>
        <w:t>(2023): 1-21.</w:t>
      </w:r>
    </w:p>
  </w:footnote>
  <w:footnote w:id="101">
    <w:p w14:paraId="4DE0B322" w14:textId="107137B8" w:rsidR="008E013A" w:rsidRPr="00764623" w:rsidRDefault="008E013A" w:rsidP="008E013A">
      <w:pPr>
        <w:pStyle w:val="FootnoteText"/>
        <w:rPr>
          <w:sz w:val="16"/>
          <w:szCs w:val="22"/>
        </w:rPr>
      </w:pPr>
      <w:r w:rsidRPr="00764623">
        <w:rPr>
          <w:rStyle w:val="FootnoteReference"/>
          <w:sz w:val="16"/>
          <w:szCs w:val="22"/>
        </w:rPr>
        <w:footnoteRef/>
      </w:r>
      <w:r w:rsidRPr="00764623">
        <w:rPr>
          <w:sz w:val="16"/>
          <w:szCs w:val="22"/>
        </w:rPr>
        <w:t xml:space="preserve"> </w:t>
      </w:r>
      <w:r w:rsidR="00CD7B1E" w:rsidRPr="00764623">
        <w:rPr>
          <w:sz w:val="16"/>
          <w:szCs w:val="22"/>
        </w:rPr>
        <w:t xml:space="preserve">Miriam </w:t>
      </w:r>
      <w:r w:rsidRPr="00764623">
        <w:rPr>
          <w:sz w:val="16"/>
          <w:szCs w:val="22"/>
        </w:rPr>
        <w:t>Mo</w:t>
      </w:r>
      <w:r w:rsidR="00CD7B1E" w:rsidRPr="00764623">
        <w:rPr>
          <w:sz w:val="16"/>
          <w:szCs w:val="22"/>
        </w:rPr>
        <w:t xml:space="preserve">agi, Anna </w:t>
      </w:r>
      <w:r w:rsidRPr="00764623">
        <w:rPr>
          <w:sz w:val="16"/>
          <w:szCs w:val="22"/>
        </w:rPr>
        <w:t xml:space="preserve">van Der Wath, </w:t>
      </w:r>
      <w:r w:rsidR="00CD7B1E" w:rsidRPr="00764623">
        <w:rPr>
          <w:sz w:val="16"/>
          <w:szCs w:val="22"/>
        </w:rPr>
        <w:t>Priscilla</w:t>
      </w:r>
      <w:r w:rsidRPr="00764623">
        <w:rPr>
          <w:sz w:val="16"/>
          <w:szCs w:val="22"/>
        </w:rPr>
        <w:t xml:space="preserve"> Jiyane, </w:t>
      </w:r>
      <w:r w:rsidR="00775603" w:rsidRPr="00764623">
        <w:rPr>
          <w:sz w:val="16"/>
          <w:szCs w:val="22"/>
        </w:rPr>
        <w:t>and R</w:t>
      </w:r>
      <w:r w:rsidR="00416149" w:rsidRPr="00764623">
        <w:rPr>
          <w:sz w:val="16"/>
          <w:szCs w:val="22"/>
        </w:rPr>
        <w:t>ichard</w:t>
      </w:r>
      <w:r w:rsidR="00775603" w:rsidRPr="00764623">
        <w:rPr>
          <w:sz w:val="16"/>
          <w:szCs w:val="22"/>
        </w:rPr>
        <w:t xml:space="preserve"> </w:t>
      </w:r>
      <w:r w:rsidRPr="00764623">
        <w:rPr>
          <w:sz w:val="16"/>
          <w:szCs w:val="22"/>
        </w:rPr>
        <w:t>Rikhotso, “Mental health challenges of lesbian, gay, bisexual and transgender people: an integrated literature review</w:t>
      </w:r>
      <w:r w:rsidR="00416149" w:rsidRPr="00764623">
        <w:rPr>
          <w:sz w:val="16"/>
          <w:szCs w:val="22"/>
        </w:rPr>
        <w:t>,</w:t>
      </w:r>
      <w:r w:rsidRPr="00764623">
        <w:rPr>
          <w:sz w:val="16"/>
          <w:szCs w:val="22"/>
        </w:rPr>
        <w:t xml:space="preserve">” </w:t>
      </w:r>
      <w:r w:rsidRPr="00764623">
        <w:rPr>
          <w:i/>
          <w:iCs/>
          <w:sz w:val="16"/>
          <w:szCs w:val="22"/>
        </w:rPr>
        <w:t>SA Gesondheid</w:t>
      </w:r>
      <w:r w:rsidRPr="00764623">
        <w:rPr>
          <w:sz w:val="16"/>
          <w:szCs w:val="22"/>
        </w:rPr>
        <w:t xml:space="preserve"> 26, </w:t>
      </w:r>
      <w:r w:rsidR="00D63C12" w:rsidRPr="00764623">
        <w:rPr>
          <w:sz w:val="16"/>
          <w:szCs w:val="22"/>
        </w:rPr>
        <w:t>no.</w:t>
      </w:r>
      <w:r w:rsidRPr="00764623">
        <w:rPr>
          <w:sz w:val="16"/>
          <w:szCs w:val="22"/>
        </w:rPr>
        <w:t xml:space="preserve"> 1487</w:t>
      </w:r>
      <w:r w:rsidR="00423100" w:rsidRPr="00764623">
        <w:rPr>
          <w:sz w:val="16"/>
          <w:szCs w:val="22"/>
        </w:rPr>
        <w:t xml:space="preserve"> (2021):</w:t>
      </w:r>
      <w:r w:rsidRPr="00764623">
        <w:rPr>
          <w:sz w:val="16"/>
          <w:szCs w:val="22"/>
        </w:rPr>
        <w:t xml:space="preserve"> 8</w:t>
      </w:r>
      <w:r w:rsidR="008D7BFB" w:rsidRPr="00764623">
        <w:rPr>
          <w:sz w:val="16"/>
          <w:szCs w:val="22"/>
        </w:rPr>
        <w:t>.</w:t>
      </w:r>
      <w:r w:rsidR="009F5084" w:rsidRPr="00764623">
        <w:rPr>
          <w:sz w:val="16"/>
          <w:szCs w:val="22"/>
        </w:rPr>
        <w:t xml:space="preserve"> </w:t>
      </w:r>
      <w:hyperlink r:id="rId27" w:history="1">
        <w:r w:rsidR="009F5084" w:rsidRPr="00764623">
          <w:rPr>
            <w:rStyle w:val="Hyperlink"/>
            <w:sz w:val="16"/>
            <w:szCs w:val="22"/>
          </w:rPr>
          <w:t>https://doi.org/10.4102/hsag.v26i0.1487</w:t>
        </w:r>
      </w:hyperlink>
      <w:r w:rsidR="009F5084" w:rsidRPr="00764623">
        <w:rPr>
          <w:sz w:val="16"/>
          <w:szCs w:val="22"/>
        </w:rPr>
        <w:t xml:space="preserve"> </w:t>
      </w:r>
    </w:p>
    <w:p w14:paraId="4AF4EF57" w14:textId="00958421" w:rsidR="008A7AAA" w:rsidRPr="0046398C" w:rsidRDefault="0046398C" w:rsidP="008E013A">
      <w:pPr>
        <w:pStyle w:val="FootnoteText"/>
        <w:rPr>
          <w:sz w:val="16"/>
          <w:szCs w:val="16"/>
        </w:rPr>
      </w:pPr>
      <w:r>
        <w:rPr>
          <w:sz w:val="16"/>
          <w:szCs w:val="16"/>
        </w:rPr>
        <w:t xml:space="preserve">Also </w:t>
      </w:r>
      <w:r w:rsidR="008A7AAA" w:rsidRPr="0046398C">
        <w:rPr>
          <w:sz w:val="16"/>
          <w:szCs w:val="16"/>
        </w:rPr>
        <w:t>Sav</w:t>
      </w:r>
      <w:r w:rsidR="00B410B6" w:rsidRPr="0046398C">
        <w:rPr>
          <w:sz w:val="16"/>
          <w:szCs w:val="16"/>
        </w:rPr>
        <w:t xml:space="preserve"> Zwickl</w:t>
      </w:r>
      <w:r w:rsidR="00AE230D" w:rsidRPr="0046398C">
        <w:rPr>
          <w:sz w:val="16"/>
          <w:szCs w:val="16"/>
        </w:rPr>
        <w:t>,</w:t>
      </w:r>
      <w:r w:rsidR="00E4029C" w:rsidRPr="0046398C">
        <w:rPr>
          <w:sz w:val="16"/>
          <w:szCs w:val="16"/>
        </w:rPr>
        <w:t xml:space="preserve"> Alex</w:t>
      </w:r>
      <w:r w:rsidR="008A7AAA" w:rsidRPr="0046398C">
        <w:rPr>
          <w:sz w:val="16"/>
          <w:szCs w:val="16"/>
        </w:rPr>
        <w:t xml:space="preserve"> Wong, </w:t>
      </w:r>
      <w:r w:rsidR="00E4029C" w:rsidRPr="0046398C">
        <w:rPr>
          <w:sz w:val="16"/>
          <w:szCs w:val="16"/>
        </w:rPr>
        <w:t>Eden</w:t>
      </w:r>
      <w:r w:rsidR="008A7AAA" w:rsidRPr="0046398C">
        <w:rPr>
          <w:sz w:val="16"/>
          <w:szCs w:val="16"/>
        </w:rPr>
        <w:t xml:space="preserve"> Dowers, </w:t>
      </w:r>
      <w:r w:rsidR="00E4029C" w:rsidRPr="0046398C">
        <w:rPr>
          <w:sz w:val="16"/>
          <w:szCs w:val="16"/>
        </w:rPr>
        <w:t>Shalem</w:t>
      </w:r>
      <w:r w:rsidR="008A7AAA" w:rsidRPr="0046398C">
        <w:rPr>
          <w:sz w:val="16"/>
          <w:szCs w:val="16"/>
        </w:rPr>
        <w:t xml:space="preserve"> Leemaqz, </w:t>
      </w:r>
      <w:r w:rsidR="00E4029C" w:rsidRPr="0046398C">
        <w:rPr>
          <w:sz w:val="16"/>
          <w:szCs w:val="16"/>
        </w:rPr>
        <w:t>Ingrid</w:t>
      </w:r>
      <w:r w:rsidR="008A7AAA" w:rsidRPr="0046398C">
        <w:rPr>
          <w:sz w:val="16"/>
          <w:szCs w:val="16"/>
        </w:rPr>
        <w:t xml:space="preserve"> Bretherton, </w:t>
      </w:r>
      <w:r w:rsidR="00E4029C" w:rsidRPr="0046398C">
        <w:rPr>
          <w:sz w:val="16"/>
          <w:szCs w:val="16"/>
        </w:rPr>
        <w:t>Teddy</w:t>
      </w:r>
      <w:r w:rsidR="008A7AAA" w:rsidRPr="0046398C">
        <w:rPr>
          <w:sz w:val="16"/>
          <w:szCs w:val="16"/>
        </w:rPr>
        <w:t xml:space="preserve"> Cook, </w:t>
      </w:r>
      <w:r w:rsidR="00E4029C" w:rsidRPr="0046398C">
        <w:rPr>
          <w:sz w:val="16"/>
          <w:szCs w:val="16"/>
        </w:rPr>
        <w:t>Jeffrey</w:t>
      </w:r>
      <w:r w:rsidR="008A7AAA" w:rsidRPr="0046398C">
        <w:rPr>
          <w:sz w:val="16"/>
          <w:szCs w:val="16"/>
        </w:rPr>
        <w:t xml:space="preserve"> Zajac, </w:t>
      </w:r>
      <w:r w:rsidR="00E4029C" w:rsidRPr="0046398C">
        <w:rPr>
          <w:sz w:val="16"/>
          <w:szCs w:val="16"/>
        </w:rPr>
        <w:t>Paul</w:t>
      </w:r>
      <w:r w:rsidR="008A7AAA" w:rsidRPr="0046398C">
        <w:rPr>
          <w:sz w:val="16"/>
          <w:szCs w:val="16"/>
        </w:rPr>
        <w:t xml:space="preserve"> Yip, and </w:t>
      </w:r>
      <w:r w:rsidR="00E4029C" w:rsidRPr="0046398C">
        <w:rPr>
          <w:sz w:val="16"/>
          <w:szCs w:val="16"/>
        </w:rPr>
        <w:t xml:space="preserve">Ada </w:t>
      </w:r>
      <w:r w:rsidR="008A7AAA" w:rsidRPr="0046398C">
        <w:rPr>
          <w:sz w:val="16"/>
          <w:szCs w:val="16"/>
        </w:rPr>
        <w:t>Cheung</w:t>
      </w:r>
      <w:r w:rsidR="00B410B6" w:rsidRPr="0046398C">
        <w:rPr>
          <w:sz w:val="16"/>
          <w:szCs w:val="16"/>
        </w:rPr>
        <w:t>,</w:t>
      </w:r>
      <w:r w:rsidR="00E4029C" w:rsidRPr="0046398C">
        <w:rPr>
          <w:sz w:val="16"/>
          <w:szCs w:val="16"/>
        </w:rPr>
        <w:t xml:space="preserve"> "</w:t>
      </w:r>
      <w:r w:rsidR="008A7AAA" w:rsidRPr="0046398C">
        <w:rPr>
          <w:sz w:val="16"/>
          <w:szCs w:val="16"/>
        </w:rPr>
        <w:t xml:space="preserve">Factors </w:t>
      </w:r>
      <w:r w:rsidR="00E4029C" w:rsidRPr="0046398C">
        <w:rPr>
          <w:sz w:val="16"/>
          <w:szCs w:val="16"/>
        </w:rPr>
        <w:t>Associated</w:t>
      </w:r>
      <w:r w:rsidR="008A7AAA" w:rsidRPr="0046398C">
        <w:rPr>
          <w:sz w:val="16"/>
          <w:szCs w:val="16"/>
        </w:rPr>
        <w:t xml:space="preserve"> with </w:t>
      </w:r>
      <w:r w:rsidR="00E4029C" w:rsidRPr="0046398C">
        <w:rPr>
          <w:sz w:val="16"/>
          <w:szCs w:val="16"/>
        </w:rPr>
        <w:t>Suicide Attempts</w:t>
      </w:r>
      <w:r w:rsidR="008A7AAA" w:rsidRPr="0046398C">
        <w:rPr>
          <w:sz w:val="16"/>
          <w:szCs w:val="16"/>
        </w:rPr>
        <w:t xml:space="preserve"> among Australian </w:t>
      </w:r>
      <w:r w:rsidR="00E4029C" w:rsidRPr="0046398C">
        <w:rPr>
          <w:sz w:val="16"/>
          <w:szCs w:val="16"/>
        </w:rPr>
        <w:t>Transgender Adults</w:t>
      </w:r>
      <w:r w:rsidR="00B410B6" w:rsidRPr="0046398C">
        <w:rPr>
          <w:sz w:val="16"/>
          <w:szCs w:val="16"/>
        </w:rPr>
        <w:t>,"</w:t>
      </w:r>
      <w:r w:rsidR="008A7AAA" w:rsidRPr="0046398C">
        <w:rPr>
          <w:sz w:val="16"/>
          <w:szCs w:val="16"/>
        </w:rPr>
        <w:t xml:space="preserve"> </w:t>
      </w:r>
      <w:r w:rsidR="008A7AAA" w:rsidRPr="0046398C">
        <w:rPr>
          <w:i/>
          <w:iCs/>
          <w:sz w:val="16"/>
          <w:szCs w:val="16"/>
        </w:rPr>
        <w:t>BMC Psychiatry</w:t>
      </w:r>
      <w:r w:rsidR="008A7AAA" w:rsidRPr="0046398C">
        <w:rPr>
          <w:sz w:val="16"/>
          <w:szCs w:val="16"/>
        </w:rPr>
        <w:t xml:space="preserve"> 21, no. 81 </w:t>
      </w:r>
      <w:r w:rsidR="00E4029C" w:rsidRPr="0046398C">
        <w:rPr>
          <w:sz w:val="16"/>
          <w:szCs w:val="16"/>
        </w:rPr>
        <w:t>(2021):</w:t>
      </w:r>
      <w:r w:rsidR="008A7AAA" w:rsidRPr="0046398C">
        <w:rPr>
          <w:sz w:val="16"/>
          <w:szCs w:val="16"/>
        </w:rPr>
        <w:t xml:space="preserve"> </w:t>
      </w:r>
      <w:r w:rsidR="00B410B6" w:rsidRPr="0046398C">
        <w:rPr>
          <w:sz w:val="16"/>
          <w:szCs w:val="16"/>
        </w:rPr>
        <w:t>1-10.</w:t>
      </w:r>
    </w:p>
  </w:footnote>
  <w:footnote w:id="102">
    <w:p w14:paraId="2FEACC0E" w14:textId="33872FFA" w:rsidR="008E013A" w:rsidRPr="0046398C" w:rsidRDefault="008E013A" w:rsidP="008E013A">
      <w:pPr>
        <w:pStyle w:val="FootnoteText"/>
        <w:rPr>
          <w:sz w:val="16"/>
          <w:szCs w:val="16"/>
        </w:rPr>
      </w:pPr>
      <w:r w:rsidRPr="0046398C">
        <w:rPr>
          <w:rStyle w:val="FootnoteReference"/>
          <w:sz w:val="16"/>
          <w:szCs w:val="16"/>
        </w:rPr>
        <w:footnoteRef/>
      </w:r>
      <w:r w:rsidRPr="0046398C">
        <w:rPr>
          <w:sz w:val="16"/>
          <w:szCs w:val="16"/>
        </w:rPr>
        <w:t xml:space="preserve"> </w:t>
      </w:r>
      <w:r w:rsidR="000C4631" w:rsidRPr="0046398C">
        <w:rPr>
          <w:sz w:val="16"/>
          <w:szCs w:val="16"/>
        </w:rPr>
        <w:t>Moagi, van Der Wath, Jiyane, and Rikhotso, “Mental health challenges of lesbian, gay, bisexual and transgender people</w:t>
      </w:r>
      <w:r w:rsidR="004B5E2E" w:rsidRPr="0046398C">
        <w:rPr>
          <w:sz w:val="16"/>
          <w:szCs w:val="16"/>
        </w:rPr>
        <w:t>,</w:t>
      </w:r>
      <w:r w:rsidR="000C4631" w:rsidRPr="0046398C">
        <w:rPr>
          <w:sz w:val="16"/>
          <w:szCs w:val="16"/>
        </w:rPr>
        <w:t>” 8.</w:t>
      </w:r>
    </w:p>
  </w:footnote>
  <w:footnote w:id="103">
    <w:p w14:paraId="5DA2F2D3" w14:textId="44CD90FA" w:rsidR="008E013A" w:rsidRPr="0046398C" w:rsidRDefault="008E013A" w:rsidP="008E013A">
      <w:pPr>
        <w:pStyle w:val="FootnoteText"/>
        <w:rPr>
          <w:sz w:val="16"/>
          <w:szCs w:val="16"/>
        </w:rPr>
      </w:pPr>
      <w:r w:rsidRPr="0046398C">
        <w:rPr>
          <w:rStyle w:val="FootnoteReference"/>
          <w:sz w:val="16"/>
          <w:szCs w:val="16"/>
        </w:rPr>
        <w:footnoteRef/>
      </w:r>
      <w:r w:rsidRPr="0046398C">
        <w:rPr>
          <w:sz w:val="16"/>
          <w:szCs w:val="16"/>
        </w:rPr>
        <w:t xml:space="preserve"> </w:t>
      </w:r>
      <w:r w:rsidR="00805A7E" w:rsidRPr="0046398C">
        <w:rPr>
          <w:sz w:val="16"/>
          <w:szCs w:val="16"/>
        </w:rPr>
        <w:t>ABS,</w:t>
      </w:r>
      <w:r w:rsidR="00805A7E" w:rsidRPr="0046398C">
        <w:rPr>
          <w:i/>
          <w:iCs/>
          <w:sz w:val="16"/>
          <w:szCs w:val="16"/>
        </w:rPr>
        <w:t xml:space="preserve"> </w:t>
      </w:r>
      <w:r w:rsidR="00B4647E" w:rsidRPr="0046398C">
        <w:rPr>
          <w:i/>
          <w:iCs/>
          <w:sz w:val="16"/>
          <w:szCs w:val="16"/>
        </w:rPr>
        <w:t>“</w:t>
      </w:r>
      <w:r w:rsidRPr="0046398C">
        <w:rPr>
          <w:sz w:val="16"/>
          <w:szCs w:val="16"/>
        </w:rPr>
        <w:t>General Social Survey: Summary Results Australia – Table 5.3</w:t>
      </w:r>
      <w:r w:rsidR="000B3488">
        <w:rPr>
          <w:sz w:val="16"/>
          <w:szCs w:val="16"/>
        </w:rPr>
        <w:t>”.</w:t>
      </w:r>
    </w:p>
  </w:footnote>
  <w:footnote w:id="104">
    <w:p w14:paraId="4F4A7C44" w14:textId="138DA902" w:rsidR="008E013A" w:rsidRPr="0046398C" w:rsidRDefault="008E013A" w:rsidP="008E013A">
      <w:pPr>
        <w:pStyle w:val="FootnoteText"/>
        <w:rPr>
          <w:sz w:val="16"/>
          <w:szCs w:val="16"/>
        </w:rPr>
      </w:pPr>
      <w:r w:rsidRPr="0046398C">
        <w:rPr>
          <w:rStyle w:val="FootnoteReference"/>
          <w:sz w:val="16"/>
          <w:szCs w:val="16"/>
        </w:rPr>
        <w:footnoteRef/>
      </w:r>
      <w:r w:rsidRPr="0046398C">
        <w:rPr>
          <w:sz w:val="16"/>
          <w:szCs w:val="16"/>
        </w:rPr>
        <w:t xml:space="preserve"> </w:t>
      </w:r>
      <w:r w:rsidR="00805A7E" w:rsidRPr="0046398C">
        <w:rPr>
          <w:sz w:val="16"/>
          <w:szCs w:val="16"/>
        </w:rPr>
        <w:t xml:space="preserve">LGBTIQ+ Health Australia, </w:t>
      </w:r>
      <w:r w:rsidR="00B46E96" w:rsidRPr="0046398C">
        <w:rPr>
          <w:sz w:val="16"/>
          <w:szCs w:val="16"/>
        </w:rPr>
        <w:t>“</w:t>
      </w:r>
      <w:r w:rsidRPr="0046398C">
        <w:rPr>
          <w:sz w:val="16"/>
          <w:szCs w:val="16"/>
        </w:rPr>
        <w:t>Factsheet: Understanding suicide amongst transgender and gender diverse people</w:t>
      </w:r>
      <w:r w:rsidR="00B46E96" w:rsidRPr="0046398C">
        <w:rPr>
          <w:sz w:val="16"/>
          <w:szCs w:val="16"/>
        </w:rPr>
        <w:t>,”</w:t>
      </w:r>
      <w:r w:rsidR="00BB1F6C" w:rsidRPr="0046398C">
        <w:rPr>
          <w:i/>
          <w:iCs/>
          <w:sz w:val="16"/>
          <w:szCs w:val="16"/>
        </w:rPr>
        <w:t xml:space="preserve"> </w:t>
      </w:r>
      <w:r w:rsidR="00BB1F6C" w:rsidRPr="0046398C">
        <w:rPr>
          <w:sz w:val="16"/>
          <w:szCs w:val="16"/>
        </w:rPr>
        <w:t xml:space="preserve">accessed August 2023, </w:t>
      </w:r>
      <w:hyperlink r:id="rId28" w:history="1">
        <w:r w:rsidR="00A47F4F" w:rsidRPr="0046398C">
          <w:rPr>
            <w:rStyle w:val="Hyperlink"/>
            <w:sz w:val="16"/>
            <w:szCs w:val="16"/>
          </w:rPr>
          <w:t>https://www.lgbtiqhealth.org.au/understanding_suicide_among_tgd</w:t>
        </w:r>
      </w:hyperlink>
      <w:r w:rsidR="00A47F4F" w:rsidRPr="0046398C">
        <w:rPr>
          <w:sz w:val="16"/>
          <w:szCs w:val="16"/>
        </w:rPr>
        <w:t xml:space="preserve">. </w:t>
      </w:r>
    </w:p>
  </w:footnote>
  <w:footnote w:id="105">
    <w:p w14:paraId="38C30024" w14:textId="610B4AC9" w:rsidR="1982E542" w:rsidRPr="0046398C" w:rsidRDefault="1982E542" w:rsidP="1982E542">
      <w:pPr>
        <w:pStyle w:val="FootnoteText"/>
        <w:rPr>
          <w:sz w:val="16"/>
          <w:szCs w:val="16"/>
        </w:rPr>
      </w:pPr>
      <w:r w:rsidRPr="0046398C">
        <w:rPr>
          <w:rStyle w:val="FootnoteReference"/>
          <w:sz w:val="16"/>
          <w:szCs w:val="16"/>
        </w:rPr>
        <w:footnoteRef/>
      </w:r>
      <w:r w:rsidRPr="0046398C">
        <w:rPr>
          <w:sz w:val="16"/>
          <w:szCs w:val="16"/>
        </w:rPr>
        <w:t xml:space="preserve"> </w:t>
      </w:r>
      <w:r w:rsidR="00FE162E" w:rsidRPr="0046398C">
        <w:rPr>
          <w:sz w:val="16"/>
          <w:szCs w:val="16"/>
        </w:rPr>
        <w:t xml:space="preserve">Australian Human Rights Commission, </w:t>
      </w:r>
      <w:r w:rsidRPr="0046398C">
        <w:rPr>
          <w:sz w:val="16"/>
          <w:szCs w:val="16"/>
        </w:rPr>
        <w:t>“Commission welcomes resolution in Census inclusion complaint</w:t>
      </w:r>
      <w:r w:rsidR="00A47F4F" w:rsidRPr="0046398C">
        <w:rPr>
          <w:sz w:val="16"/>
          <w:szCs w:val="16"/>
        </w:rPr>
        <w:t>,</w:t>
      </w:r>
      <w:r w:rsidRPr="0046398C">
        <w:rPr>
          <w:sz w:val="16"/>
          <w:szCs w:val="16"/>
        </w:rPr>
        <w:t>”</w:t>
      </w:r>
      <w:r w:rsidR="00A47F4F" w:rsidRPr="0046398C">
        <w:rPr>
          <w:sz w:val="16"/>
          <w:szCs w:val="16"/>
        </w:rPr>
        <w:t xml:space="preserve"> accessed</w:t>
      </w:r>
      <w:r w:rsidRPr="0046398C">
        <w:rPr>
          <w:sz w:val="16"/>
          <w:szCs w:val="16"/>
        </w:rPr>
        <w:t xml:space="preserve"> 15 August 2023, </w:t>
      </w:r>
      <w:hyperlink r:id="rId29" w:history="1">
        <w:r w:rsidR="005B4B75" w:rsidRPr="0046398C">
          <w:rPr>
            <w:rStyle w:val="Hyperlink"/>
            <w:sz w:val="16"/>
            <w:szCs w:val="16"/>
          </w:rPr>
          <w:t>https://humanrights.gov.au/about/news/media-releases/commission-welcomes-resolution-census-inclusion-complaint</w:t>
        </w:r>
      </w:hyperlink>
      <w:r w:rsidR="005B4B75" w:rsidRPr="0046398C">
        <w:rPr>
          <w:sz w:val="16"/>
          <w:szCs w:val="16"/>
        </w:rPr>
        <w:t xml:space="preserve">. </w:t>
      </w:r>
    </w:p>
  </w:footnote>
  <w:footnote w:id="106">
    <w:p w14:paraId="2A9319D8" w14:textId="65DBA930" w:rsidR="00794088" w:rsidRPr="0046398C" w:rsidRDefault="00794088">
      <w:pPr>
        <w:pStyle w:val="FootnoteText"/>
        <w:rPr>
          <w:sz w:val="16"/>
          <w:szCs w:val="16"/>
        </w:rPr>
      </w:pPr>
      <w:r w:rsidRPr="0046398C">
        <w:rPr>
          <w:rStyle w:val="FootnoteReference"/>
          <w:sz w:val="16"/>
          <w:szCs w:val="16"/>
        </w:rPr>
        <w:footnoteRef/>
      </w:r>
      <w:r w:rsidRPr="0046398C">
        <w:rPr>
          <w:sz w:val="16"/>
          <w:szCs w:val="16"/>
        </w:rPr>
        <w:t xml:space="preserve"> Queensland Government, </w:t>
      </w:r>
      <w:r w:rsidRPr="0046398C">
        <w:rPr>
          <w:i/>
          <w:iCs/>
          <w:sz w:val="16"/>
          <w:szCs w:val="16"/>
        </w:rPr>
        <w:t>Anti-Discrimination Act 1991,</w:t>
      </w:r>
      <w:r w:rsidRPr="0046398C">
        <w:rPr>
          <w:sz w:val="16"/>
          <w:szCs w:val="16"/>
        </w:rPr>
        <w:t xml:space="preserve"> </w:t>
      </w:r>
      <w:r w:rsidR="005F622F" w:rsidRPr="0046398C">
        <w:rPr>
          <w:sz w:val="16"/>
          <w:szCs w:val="16"/>
        </w:rPr>
        <w:t>s.</w:t>
      </w:r>
      <w:r w:rsidRPr="0046398C">
        <w:rPr>
          <w:sz w:val="16"/>
          <w:szCs w:val="16"/>
        </w:rPr>
        <w:t xml:space="preserve"> 28</w:t>
      </w:r>
      <w:r w:rsidR="005F622F" w:rsidRPr="0046398C">
        <w:rPr>
          <w:sz w:val="16"/>
          <w:szCs w:val="16"/>
        </w:rPr>
        <w:t>.</w:t>
      </w:r>
    </w:p>
  </w:footnote>
  <w:footnote w:id="107">
    <w:p w14:paraId="778E20F4" w14:textId="5A4F1123" w:rsidR="008E013A" w:rsidRPr="0046398C" w:rsidRDefault="008E013A" w:rsidP="008E013A">
      <w:pPr>
        <w:pStyle w:val="FootnoteText"/>
        <w:rPr>
          <w:sz w:val="16"/>
          <w:szCs w:val="16"/>
        </w:rPr>
      </w:pPr>
      <w:r w:rsidRPr="0046398C">
        <w:rPr>
          <w:rStyle w:val="FootnoteReference"/>
          <w:sz w:val="16"/>
          <w:szCs w:val="16"/>
        </w:rPr>
        <w:footnoteRef/>
      </w:r>
      <w:r w:rsidRPr="0046398C">
        <w:rPr>
          <w:sz w:val="16"/>
          <w:szCs w:val="16"/>
        </w:rPr>
        <w:t xml:space="preserve"> </w:t>
      </w:r>
      <w:r w:rsidR="005C2997" w:rsidRPr="0046398C">
        <w:rPr>
          <w:sz w:val="16"/>
          <w:szCs w:val="16"/>
        </w:rPr>
        <w:t>Australian Human Rights Commission</w:t>
      </w:r>
      <w:r w:rsidR="0017424F" w:rsidRPr="0046398C">
        <w:rPr>
          <w:sz w:val="16"/>
          <w:szCs w:val="16"/>
        </w:rPr>
        <w:t>, "</w:t>
      </w:r>
      <w:r w:rsidR="005C2997" w:rsidRPr="0046398C">
        <w:rPr>
          <w:sz w:val="16"/>
          <w:szCs w:val="16"/>
        </w:rPr>
        <w:t>Resilient Individuals: Sexual Orientation, Gender Identity &amp; Intersex Rights – National Consultant Report</w:t>
      </w:r>
      <w:r w:rsidR="0017424F" w:rsidRPr="0046398C">
        <w:rPr>
          <w:sz w:val="16"/>
          <w:szCs w:val="16"/>
        </w:rPr>
        <w:t>," (2015),</w:t>
      </w:r>
      <w:r w:rsidR="00C51238" w:rsidRPr="0046398C">
        <w:rPr>
          <w:sz w:val="16"/>
          <w:szCs w:val="16"/>
        </w:rPr>
        <w:t xml:space="preserve"> 15</w:t>
      </w:r>
      <w:r w:rsidR="0017424F" w:rsidRPr="0046398C">
        <w:rPr>
          <w:sz w:val="16"/>
          <w:szCs w:val="16"/>
        </w:rPr>
        <w:t xml:space="preserve">, accessed August 2023, </w:t>
      </w:r>
      <w:r w:rsidR="00FD2305" w:rsidRPr="0046398C">
        <w:rPr>
          <w:sz w:val="16"/>
          <w:szCs w:val="16"/>
        </w:rPr>
        <w:t>https://humanrights.gov.au/sites/default/files/document/publication/SOGII%20Rights%20Report%202015_Web_Version.pdf</w:t>
      </w:r>
      <w:r w:rsidR="0017424F" w:rsidRPr="0046398C">
        <w:rPr>
          <w:sz w:val="16"/>
          <w:szCs w:val="16"/>
        </w:rPr>
        <w:t>.</w:t>
      </w:r>
      <w:r w:rsidR="00FD2305" w:rsidRPr="0046398C">
        <w:rPr>
          <w:sz w:val="16"/>
          <w:szCs w:val="16"/>
        </w:rPr>
        <w:t xml:space="preserve">  </w:t>
      </w:r>
    </w:p>
  </w:footnote>
  <w:footnote w:id="108">
    <w:p w14:paraId="22933232" w14:textId="1EF8C4DD" w:rsidR="008E013A" w:rsidRPr="0046398C" w:rsidRDefault="008E013A" w:rsidP="008E013A">
      <w:pPr>
        <w:pStyle w:val="FootnoteText"/>
        <w:rPr>
          <w:sz w:val="16"/>
          <w:szCs w:val="16"/>
        </w:rPr>
      </w:pPr>
      <w:r w:rsidRPr="0046398C">
        <w:rPr>
          <w:rStyle w:val="FootnoteReference"/>
          <w:sz w:val="16"/>
          <w:szCs w:val="16"/>
        </w:rPr>
        <w:footnoteRef/>
      </w:r>
      <w:r w:rsidRPr="0046398C">
        <w:rPr>
          <w:sz w:val="16"/>
          <w:szCs w:val="16"/>
        </w:rPr>
        <w:t xml:space="preserve"> </w:t>
      </w:r>
      <w:r w:rsidR="006241C8" w:rsidRPr="0046398C">
        <w:rPr>
          <w:sz w:val="16"/>
          <w:szCs w:val="16"/>
        </w:rPr>
        <w:t>Dreyfus,</w:t>
      </w:r>
      <w:r w:rsidR="008C02FD">
        <w:rPr>
          <w:sz w:val="16"/>
          <w:szCs w:val="16"/>
        </w:rPr>
        <w:t xml:space="preserve"> Mark,</w:t>
      </w:r>
      <w:r w:rsidR="006241C8" w:rsidRPr="0046398C">
        <w:rPr>
          <w:sz w:val="16"/>
          <w:szCs w:val="16"/>
        </w:rPr>
        <w:t xml:space="preserve"> "Australian Law Reform Commission review of religious exemptions for educational institutions extended," 20 April 2023, accessed August 2023, </w:t>
      </w:r>
      <w:hyperlink r:id="rId30" w:tgtFrame="_new" w:history="1">
        <w:r w:rsidR="006241C8" w:rsidRPr="0046398C">
          <w:rPr>
            <w:rStyle w:val="Hyperlink"/>
            <w:sz w:val="16"/>
            <w:szCs w:val="16"/>
          </w:rPr>
          <w:t>https://ministers.ag.gov.au/media-centre/australian-law-reform-commission-review-religious-exemptions-educational-institutions-extended-20-04-2023</w:t>
        </w:r>
      </w:hyperlink>
      <w:r w:rsidR="006241C8" w:rsidRPr="0046398C">
        <w:rPr>
          <w:sz w:val="16"/>
          <w:szCs w:val="16"/>
        </w:rPr>
        <w:t>.</w:t>
      </w:r>
      <w:r w:rsidR="00A603A3" w:rsidRPr="0046398C">
        <w:rPr>
          <w:sz w:val="16"/>
          <w:szCs w:val="16"/>
        </w:rPr>
        <w:t xml:space="preserve"> </w:t>
      </w:r>
    </w:p>
  </w:footnote>
  <w:footnote w:id="109">
    <w:p w14:paraId="54936120" w14:textId="7D6DE92D" w:rsidR="00C53EAF" w:rsidRDefault="00C53EAF">
      <w:pPr>
        <w:pStyle w:val="FootnoteText"/>
      </w:pPr>
      <w:r>
        <w:rPr>
          <w:rStyle w:val="FootnoteReference"/>
        </w:rPr>
        <w:footnoteRef/>
      </w:r>
      <w:r>
        <w:t xml:space="preserve"> Australian Human Rights Commission, </w:t>
      </w:r>
      <w:r w:rsidR="00056B88">
        <w:t>“</w:t>
      </w:r>
      <w:r w:rsidRPr="00056B88">
        <w:t>Resilient Individuals</w:t>
      </w:r>
      <w:r>
        <w:rPr>
          <w:i/>
          <w:iCs/>
        </w:rPr>
        <w:t>,</w:t>
      </w:r>
      <w:r w:rsidR="00056B88">
        <w:t>”</w:t>
      </w:r>
      <w:r>
        <w:rPr>
          <w:i/>
          <w:iCs/>
        </w:rPr>
        <w:t xml:space="preserve"> </w:t>
      </w:r>
      <w:r>
        <w:t>14</w:t>
      </w:r>
      <w:r w:rsidR="00056B88">
        <w:t xml:space="preserve">. </w:t>
      </w:r>
    </w:p>
  </w:footnote>
  <w:footnote w:id="110">
    <w:p w14:paraId="103F429B" w14:textId="2E514F8F" w:rsidR="1CEF5F41" w:rsidRDefault="1CEF5F41" w:rsidP="1CEF5F41">
      <w:pPr>
        <w:pStyle w:val="FootnoteText"/>
      </w:pPr>
      <w:r w:rsidRPr="1CEF5F41">
        <w:rPr>
          <w:rStyle w:val="FootnoteReference"/>
        </w:rPr>
        <w:footnoteRef/>
      </w:r>
      <w:r>
        <w:t xml:space="preserve"> </w:t>
      </w:r>
      <w:r w:rsidR="003B75DE">
        <w:t xml:space="preserve">Saan, </w:t>
      </w:r>
      <w:r>
        <w:t xml:space="preserve">Ecker, </w:t>
      </w:r>
      <w:r w:rsidR="00460E8B" w:rsidRPr="00460E8B">
        <w:t xml:space="preserve">Sharon </w:t>
      </w:r>
      <w:r>
        <w:t xml:space="preserve">Rostosky, </w:t>
      </w:r>
      <w:r w:rsidR="00460E8B" w:rsidRPr="00460E8B">
        <w:t>Ellen</w:t>
      </w:r>
      <w:r>
        <w:t xml:space="preserve"> Riggle, Elizabeth</w:t>
      </w:r>
      <w:r w:rsidR="00460E8B" w:rsidRPr="00460E8B">
        <w:t xml:space="preserve"> Riley, </w:t>
      </w:r>
      <w:r>
        <w:t xml:space="preserve">and </w:t>
      </w:r>
      <w:r w:rsidR="00460E8B" w:rsidRPr="00460E8B">
        <w:t xml:space="preserve">Joanne </w:t>
      </w:r>
      <w:r>
        <w:t xml:space="preserve">Byrnes, </w:t>
      </w:r>
      <w:r w:rsidR="00460E8B" w:rsidRPr="00460E8B">
        <w:t>"</w:t>
      </w:r>
      <w:r>
        <w:t>The Australian Marriage Equality Debate: A Qualitative Analysis of the Self-Reported Lived Experience of Lesbian, Gay, Bisexual, Transgender, Intersex and Queer (LGTBIQ) People</w:t>
      </w:r>
      <w:r w:rsidR="00702BAD">
        <w:t>,</w:t>
      </w:r>
      <w:r w:rsidR="00460E8B" w:rsidRPr="00460E8B">
        <w:t>"</w:t>
      </w:r>
      <w:r>
        <w:t xml:space="preserve"> </w:t>
      </w:r>
      <w:r w:rsidRPr="1CEF5F41">
        <w:rPr>
          <w:i/>
          <w:iCs/>
        </w:rPr>
        <w:t>International Perspectives in Psychology: Research, Practice, Consultation</w:t>
      </w:r>
      <w:r>
        <w:t xml:space="preserve"> 8, no.</w:t>
      </w:r>
      <w:r w:rsidR="00460E8B" w:rsidRPr="00460E8B">
        <w:t xml:space="preserve"> </w:t>
      </w:r>
      <w:r>
        <w:t xml:space="preserve">4 </w:t>
      </w:r>
      <w:r w:rsidR="00460E8B" w:rsidRPr="00460E8B">
        <w:t>(2019):</w:t>
      </w:r>
      <w:r>
        <w:t xml:space="preserve"> 212.</w:t>
      </w:r>
    </w:p>
  </w:footnote>
  <w:footnote w:id="111">
    <w:p w14:paraId="7A6B5C13" w14:textId="0FC6A733" w:rsidR="1CEF5F41" w:rsidRDefault="1CEF5F41" w:rsidP="1CEF5F41">
      <w:pPr>
        <w:pStyle w:val="FootnoteText"/>
      </w:pPr>
      <w:r w:rsidRPr="1CEF5F41">
        <w:rPr>
          <w:rStyle w:val="FootnoteReference"/>
        </w:rPr>
        <w:footnoteRef/>
      </w:r>
      <w:r>
        <w:t xml:space="preserve"> Ecker, Rostosky, Riggle, Riley, and Byrnes, 2019, “The Australian Marriage Equality Debate</w:t>
      </w:r>
      <w:r w:rsidR="00664B19">
        <w:t>,</w:t>
      </w:r>
      <w:r>
        <w:t>” 212 and 223.</w:t>
      </w:r>
    </w:p>
  </w:footnote>
  <w:footnote w:id="112">
    <w:p w14:paraId="537C5FD3" w14:textId="66292334" w:rsidR="009F23DF" w:rsidRDefault="009F23DF" w:rsidP="009F23DF">
      <w:pPr>
        <w:pStyle w:val="FootnoteText"/>
        <w:rPr>
          <w:lang w:val="en-US"/>
        </w:rPr>
      </w:pPr>
      <w:r w:rsidRPr="1CEF5F41">
        <w:rPr>
          <w:rStyle w:val="FootnoteReference"/>
        </w:rPr>
        <w:footnoteRef/>
      </w:r>
      <w:r>
        <w:t xml:space="preserve"> </w:t>
      </w:r>
      <w:r w:rsidR="00456A7A" w:rsidRPr="00456A7A">
        <w:t>Francisco</w:t>
      </w:r>
      <w:r>
        <w:t xml:space="preserve"> </w:t>
      </w:r>
      <w:r w:rsidRPr="00456A7A">
        <w:t xml:space="preserve">Perales and </w:t>
      </w:r>
      <w:r w:rsidR="00456A7A" w:rsidRPr="00456A7A">
        <w:t xml:space="preserve">Anna </w:t>
      </w:r>
      <w:r w:rsidRPr="00456A7A">
        <w:t xml:space="preserve">Todd, </w:t>
      </w:r>
      <w:r w:rsidR="00456A7A" w:rsidRPr="00456A7A">
        <w:t>"</w:t>
      </w:r>
      <w:r w:rsidRPr="00456A7A">
        <w:t xml:space="preserve">Structural </w:t>
      </w:r>
      <w:r w:rsidR="00456A7A" w:rsidRPr="00456A7A">
        <w:t>Stigma</w:t>
      </w:r>
      <w:r w:rsidRPr="00456A7A">
        <w:t xml:space="preserve"> and the </w:t>
      </w:r>
      <w:r w:rsidR="00456A7A" w:rsidRPr="00456A7A">
        <w:t>Health</w:t>
      </w:r>
      <w:r w:rsidRPr="00456A7A">
        <w:t xml:space="preserve"> and </w:t>
      </w:r>
      <w:r w:rsidR="00456A7A" w:rsidRPr="00456A7A">
        <w:t>Wellbeing</w:t>
      </w:r>
      <w:r w:rsidRPr="00456A7A">
        <w:t xml:space="preserve"> of Australian LGB </w:t>
      </w:r>
      <w:r w:rsidR="00456A7A" w:rsidRPr="00456A7A">
        <w:t>Populations</w:t>
      </w:r>
      <w:r w:rsidRPr="00456A7A">
        <w:t xml:space="preserve">: Exploiting </w:t>
      </w:r>
      <w:r w:rsidR="00456A7A" w:rsidRPr="00456A7A">
        <w:t>Geographic Variation</w:t>
      </w:r>
      <w:r w:rsidRPr="00456A7A">
        <w:t xml:space="preserve"> in the </w:t>
      </w:r>
      <w:r w:rsidR="00456A7A" w:rsidRPr="00456A7A">
        <w:t>Results</w:t>
      </w:r>
      <w:r w:rsidRPr="00456A7A">
        <w:t xml:space="preserve"> of the 2017 </w:t>
      </w:r>
      <w:r w:rsidR="00456A7A" w:rsidRPr="00456A7A">
        <w:t>Same-Sex Marriage Plebiscite,"</w:t>
      </w:r>
      <w:r w:rsidRPr="00456A7A">
        <w:t xml:space="preserve"> </w:t>
      </w:r>
      <w:r w:rsidRPr="00456A7A">
        <w:rPr>
          <w:i/>
          <w:iCs/>
        </w:rPr>
        <w:t>Social Science &amp; Medicine</w:t>
      </w:r>
      <w:r w:rsidRPr="00456A7A">
        <w:t xml:space="preserve"> 208 </w:t>
      </w:r>
      <w:r w:rsidR="00456A7A" w:rsidRPr="00456A7A">
        <w:t>(2018):</w:t>
      </w:r>
      <w:r w:rsidRPr="00456A7A">
        <w:t xml:space="preserve"> 19</w:t>
      </w:r>
      <w:r>
        <w:t>6</w:t>
      </w:r>
      <w:r w:rsidRPr="00456A7A">
        <w:t>.</w:t>
      </w:r>
    </w:p>
  </w:footnote>
  <w:footnote w:id="113">
    <w:p w14:paraId="6574F618" w14:textId="59AEE535" w:rsidR="009F23DF" w:rsidRDefault="009F23DF" w:rsidP="009F23DF">
      <w:pPr>
        <w:pStyle w:val="FootnoteText"/>
        <w:rPr>
          <w:lang w:val="en-US"/>
        </w:rPr>
      </w:pPr>
      <w:r w:rsidRPr="1CEF5F41">
        <w:rPr>
          <w:rStyle w:val="FootnoteReference"/>
        </w:rPr>
        <w:footnoteRef/>
      </w:r>
      <w:r>
        <w:t xml:space="preserve"> </w:t>
      </w:r>
      <w:r w:rsidR="004D0284" w:rsidRPr="004D0284">
        <w:t>Perales and Todd, "Structural Stigma," 19</w:t>
      </w:r>
      <w:r w:rsidR="004D0284">
        <w:t>7</w:t>
      </w:r>
      <w:r w:rsidRPr="1CEF5F41">
        <w:rPr>
          <w:lang w:val="en-US"/>
        </w:rPr>
        <w:t xml:space="preserve">. </w:t>
      </w:r>
    </w:p>
  </w:footnote>
  <w:footnote w:id="114">
    <w:p w14:paraId="5311EBC2" w14:textId="50300D48" w:rsidR="009F23DF" w:rsidRDefault="009F23DF" w:rsidP="009F23DF">
      <w:pPr>
        <w:pStyle w:val="FootnoteText"/>
        <w:rPr>
          <w:lang w:val="en-US"/>
        </w:rPr>
      </w:pPr>
      <w:r w:rsidRPr="1CEF5F41">
        <w:rPr>
          <w:rStyle w:val="FootnoteReference"/>
        </w:rPr>
        <w:footnoteRef/>
      </w:r>
      <w:r>
        <w:t xml:space="preserve"> </w:t>
      </w:r>
      <w:r w:rsidR="00C3036E" w:rsidRPr="00C3036E">
        <w:t>Perales and Todd, "Structural Stigma," 197</w:t>
      </w:r>
      <w:r w:rsidR="00C3036E" w:rsidRPr="00C3036E">
        <w:rPr>
          <w:lang w:val="en-US"/>
        </w:rPr>
        <w:t>.</w:t>
      </w:r>
    </w:p>
  </w:footnote>
  <w:footnote w:id="115">
    <w:p w14:paraId="1093B060" w14:textId="35B6AB27" w:rsidR="008E013A" w:rsidRPr="002A5BD6" w:rsidRDefault="008E013A" w:rsidP="008E013A">
      <w:pPr>
        <w:pStyle w:val="FootnoteText"/>
      </w:pPr>
      <w:r>
        <w:rPr>
          <w:rStyle w:val="FootnoteReference"/>
        </w:rPr>
        <w:footnoteRef/>
      </w:r>
      <w:r>
        <w:t xml:space="preserve"> </w:t>
      </w:r>
      <w:r w:rsidR="008F40D6" w:rsidRPr="008F40D6">
        <w:t xml:space="preserve">Sue Derald Wing, Christina Capodilupo, Kevin Nadal, and Gina Torino. </w:t>
      </w:r>
      <w:r w:rsidR="008F40D6" w:rsidRPr="008F40D6">
        <w:rPr>
          <w:i/>
          <w:iCs/>
        </w:rPr>
        <w:t>Microaggressions</w:t>
      </w:r>
      <w:r w:rsidRPr="00D53C86">
        <w:rPr>
          <w:i/>
          <w:iCs/>
        </w:rPr>
        <w:t xml:space="preserve"> in </w:t>
      </w:r>
      <w:r w:rsidR="008F40D6" w:rsidRPr="008F40D6">
        <w:rPr>
          <w:i/>
          <w:iCs/>
        </w:rPr>
        <w:t>Everyday Life</w:t>
      </w:r>
      <w:r>
        <w:t xml:space="preserve">, </w:t>
      </w:r>
      <w:r w:rsidRPr="002A5BD6">
        <w:t>2</w:t>
      </w:r>
      <w:r w:rsidRPr="008F40D6">
        <w:t>nd</w:t>
      </w:r>
      <w:r w:rsidRPr="002A5BD6">
        <w:t xml:space="preserve"> </w:t>
      </w:r>
      <w:r w:rsidR="008F40D6" w:rsidRPr="008F40D6">
        <w:t>edition.</w:t>
      </w:r>
      <w:r w:rsidRPr="002A5BD6">
        <w:t xml:space="preserve"> John Wiley &amp; Sons: Hoboken</w:t>
      </w:r>
      <w:r w:rsidR="008F40D6" w:rsidRPr="008F40D6">
        <w:t>,</w:t>
      </w:r>
      <w:r w:rsidRPr="002A5BD6">
        <w:t xml:space="preserve"> NJ</w:t>
      </w:r>
      <w:r w:rsidR="008F40D6" w:rsidRPr="008F40D6">
        <w:t>, 2020.</w:t>
      </w:r>
    </w:p>
  </w:footnote>
  <w:footnote w:id="116">
    <w:p w14:paraId="0CE1FD5D" w14:textId="74F1236E"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Moagi, van Der Wath, Jiyane, and Rikhotso, “Mental health challenges of lesbian, gay, bisexual and transgender people</w:t>
      </w:r>
      <w:r w:rsidR="003C43C2" w:rsidRPr="00CE46D8">
        <w:rPr>
          <w:sz w:val="16"/>
          <w:szCs w:val="22"/>
        </w:rPr>
        <w:t>,”</w:t>
      </w:r>
      <w:r w:rsidRPr="00CE46D8">
        <w:rPr>
          <w:sz w:val="16"/>
          <w:szCs w:val="22"/>
        </w:rPr>
        <w:t xml:space="preserve"> 9</w:t>
      </w:r>
      <w:r w:rsidR="003C43C2" w:rsidRPr="00CE46D8">
        <w:rPr>
          <w:sz w:val="16"/>
          <w:szCs w:val="22"/>
        </w:rPr>
        <w:t>.</w:t>
      </w:r>
    </w:p>
  </w:footnote>
  <w:footnote w:id="117">
    <w:p w14:paraId="54C18BE3" w14:textId="63ADA4FD" w:rsidR="008E013A" w:rsidRPr="00CE46D8" w:rsidRDefault="008E013A" w:rsidP="008E013A">
      <w:pPr>
        <w:pStyle w:val="FootnoteText"/>
        <w:rPr>
          <w:sz w:val="16"/>
          <w:szCs w:val="22"/>
          <w:lang w:val="en-US"/>
        </w:rPr>
      </w:pPr>
      <w:r w:rsidRPr="00CE46D8">
        <w:rPr>
          <w:rStyle w:val="FootnoteReference"/>
          <w:sz w:val="16"/>
          <w:szCs w:val="22"/>
        </w:rPr>
        <w:footnoteRef/>
      </w:r>
      <w:r w:rsidRPr="00CE46D8">
        <w:rPr>
          <w:sz w:val="16"/>
          <w:szCs w:val="22"/>
        </w:rPr>
        <w:t xml:space="preserve"> </w:t>
      </w:r>
      <w:r w:rsidR="00DF1218" w:rsidRPr="00CE46D8">
        <w:rPr>
          <w:sz w:val="16"/>
          <w:szCs w:val="22"/>
        </w:rPr>
        <w:t>Meredith Wort</w:t>
      </w:r>
      <w:r w:rsidR="00011712" w:rsidRPr="00CE46D8">
        <w:rPr>
          <w:sz w:val="16"/>
          <w:szCs w:val="22"/>
        </w:rPr>
        <w:t>h</w:t>
      </w:r>
      <w:r w:rsidR="00DF1218" w:rsidRPr="00CE46D8">
        <w:rPr>
          <w:sz w:val="16"/>
          <w:szCs w:val="22"/>
        </w:rPr>
        <w:t>en</w:t>
      </w:r>
      <w:r w:rsidR="0005078A" w:rsidRPr="00CE46D8">
        <w:rPr>
          <w:sz w:val="16"/>
          <w:szCs w:val="22"/>
        </w:rPr>
        <w:t>, “</w:t>
      </w:r>
      <w:r w:rsidRPr="00CE46D8">
        <w:rPr>
          <w:sz w:val="16"/>
          <w:szCs w:val="22"/>
        </w:rPr>
        <w:t>“Hetero-cis–normativity and the gendering of transphobia</w:t>
      </w:r>
      <w:r w:rsidR="0005078A" w:rsidRPr="00CE46D8">
        <w:rPr>
          <w:sz w:val="16"/>
          <w:szCs w:val="22"/>
        </w:rPr>
        <w:t>,</w:t>
      </w:r>
      <w:r w:rsidRPr="00CE46D8">
        <w:rPr>
          <w:sz w:val="16"/>
          <w:szCs w:val="22"/>
        </w:rPr>
        <w:t xml:space="preserve">” </w:t>
      </w:r>
      <w:r w:rsidRPr="00CE46D8">
        <w:rPr>
          <w:i/>
          <w:sz w:val="16"/>
          <w:szCs w:val="22"/>
        </w:rPr>
        <w:t>International Journal of Transgenderism</w:t>
      </w:r>
      <w:r w:rsidR="0005078A" w:rsidRPr="00CE46D8">
        <w:rPr>
          <w:sz w:val="16"/>
          <w:szCs w:val="22"/>
        </w:rPr>
        <w:t xml:space="preserve"> 41</w:t>
      </w:r>
      <w:r w:rsidR="00011712" w:rsidRPr="00CE46D8">
        <w:rPr>
          <w:sz w:val="16"/>
          <w:szCs w:val="22"/>
        </w:rPr>
        <w:t>, no</w:t>
      </w:r>
      <w:r w:rsidRPr="00CE46D8">
        <w:rPr>
          <w:sz w:val="16"/>
          <w:szCs w:val="22"/>
        </w:rPr>
        <w:t xml:space="preserve"> 17</w:t>
      </w:r>
      <w:r w:rsidR="00011712" w:rsidRPr="00CE46D8">
        <w:rPr>
          <w:sz w:val="16"/>
          <w:szCs w:val="22"/>
        </w:rPr>
        <w:t xml:space="preserve"> (2016):</w:t>
      </w:r>
      <w:r w:rsidRPr="00CE46D8">
        <w:rPr>
          <w:sz w:val="16"/>
          <w:szCs w:val="22"/>
        </w:rPr>
        <w:t xml:space="preserve"> 31-57.</w:t>
      </w:r>
    </w:p>
  </w:footnote>
  <w:footnote w:id="118">
    <w:p w14:paraId="13F61307" w14:textId="19B6ECD2"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Moagi, van Der Wath, Jiyane, and Rikhotso, “Mental health challenges of lesbian, gay, bisexual and transgender people</w:t>
      </w:r>
      <w:r w:rsidR="00FD107E" w:rsidRPr="00CE46D8">
        <w:rPr>
          <w:sz w:val="16"/>
          <w:szCs w:val="22"/>
        </w:rPr>
        <w:t>,”</w:t>
      </w:r>
      <w:r w:rsidRPr="00CE46D8">
        <w:rPr>
          <w:sz w:val="16"/>
          <w:szCs w:val="22"/>
        </w:rPr>
        <w:t xml:space="preserve"> 8</w:t>
      </w:r>
      <w:r w:rsidR="00FD107E" w:rsidRPr="00CE46D8">
        <w:rPr>
          <w:sz w:val="16"/>
          <w:szCs w:val="22"/>
        </w:rPr>
        <w:t>.</w:t>
      </w:r>
    </w:p>
  </w:footnote>
  <w:footnote w:id="119">
    <w:p w14:paraId="6244BFE5" w14:textId="7134F719"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Moagi, van Der Wath, Jiyane, and Rikhotso, “Mental health challenges of lesbian, gay, bisexual and transgender people</w:t>
      </w:r>
      <w:r w:rsidR="00FD107E" w:rsidRPr="00CE46D8">
        <w:rPr>
          <w:sz w:val="16"/>
          <w:szCs w:val="22"/>
        </w:rPr>
        <w:t>,”</w:t>
      </w:r>
      <w:r w:rsidRPr="00CE46D8">
        <w:rPr>
          <w:sz w:val="16"/>
          <w:szCs w:val="22"/>
        </w:rPr>
        <w:t xml:space="preserve"> 8</w:t>
      </w:r>
      <w:r w:rsidR="00FD107E" w:rsidRPr="00CE46D8">
        <w:rPr>
          <w:sz w:val="16"/>
          <w:szCs w:val="22"/>
        </w:rPr>
        <w:t>.</w:t>
      </w:r>
    </w:p>
  </w:footnote>
  <w:footnote w:id="120">
    <w:p w14:paraId="0282918E" w14:textId="31183FDF" w:rsidR="008E013A" w:rsidRPr="00CE46D8" w:rsidRDefault="008E013A" w:rsidP="008E013A">
      <w:pPr>
        <w:pStyle w:val="FootnoteText"/>
        <w:rPr>
          <w:sz w:val="16"/>
          <w:szCs w:val="22"/>
          <w:lang w:val="en-US"/>
        </w:rPr>
      </w:pPr>
      <w:r w:rsidRPr="00CE46D8">
        <w:rPr>
          <w:rStyle w:val="FootnoteReference"/>
          <w:sz w:val="16"/>
          <w:szCs w:val="22"/>
        </w:rPr>
        <w:footnoteRef/>
      </w:r>
      <w:r w:rsidRPr="00CE46D8">
        <w:rPr>
          <w:sz w:val="16"/>
          <w:szCs w:val="22"/>
        </w:rPr>
        <w:t xml:space="preserve"> </w:t>
      </w:r>
      <w:r w:rsidR="002963A8" w:rsidRPr="00CE46D8">
        <w:rPr>
          <w:sz w:val="16"/>
          <w:szCs w:val="22"/>
        </w:rPr>
        <w:t>Dylan</w:t>
      </w:r>
      <w:r w:rsidRPr="00CE46D8">
        <w:rPr>
          <w:sz w:val="16"/>
          <w:szCs w:val="22"/>
        </w:rPr>
        <w:t xml:space="preserve"> Kneale, </w:t>
      </w:r>
      <w:r w:rsidR="002963A8" w:rsidRPr="00CE46D8">
        <w:rPr>
          <w:sz w:val="16"/>
          <w:szCs w:val="22"/>
        </w:rPr>
        <w:t>Josie</w:t>
      </w:r>
      <w:r w:rsidRPr="00CE46D8">
        <w:rPr>
          <w:sz w:val="16"/>
          <w:szCs w:val="22"/>
        </w:rPr>
        <w:t xml:space="preserve"> Henley, </w:t>
      </w:r>
      <w:r w:rsidR="002963A8" w:rsidRPr="00CE46D8">
        <w:rPr>
          <w:sz w:val="16"/>
          <w:szCs w:val="22"/>
        </w:rPr>
        <w:t xml:space="preserve">James </w:t>
      </w:r>
      <w:r w:rsidRPr="00CE46D8">
        <w:rPr>
          <w:sz w:val="16"/>
          <w:szCs w:val="22"/>
        </w:rPr>
        <w:t xml:space="preserve">Thomas, and </w:t>
      </w:r>
      <w:r w:rsidR="002963A8" w:rsidRPr="00CE46D8">
        <w:rPr>
          <w:sz w:val="16"/>
          <w:szCs w:val="22"/>
        </w:rPr>
        <w:t xml:space="preserve">Robert </w:t>
      </w:r>
      <w:r w:rsidRPr="00CE46D8">
        <w:rPr>
          <w:sz w:val="16"/>
          <w:szCs w:val="22"/>
        </w:rPr>
        <w:t xml:space="preserve">French, </w:t>
      </w:r>
      <w:r w:rsidR="002963A8" w:rsidRPr="00CE46D8">
        <w:rPr>
          <w:sz w:val="16"/>
          <w:szCs w:val="22"/>
        </w:rPr>
        <w:t>"</w:t>
      </w:r>
      <w:r w:rsidRPr="00CE46D8">
        <w:rPr>
          <w:sz w:val="16"/>
          <w:szCs w:val="22"/>
        </w:rPr>
        <w:t xml:space="preserve">Inequalities in </w:t>
      </w:r>
      <w:r w:rsidR="002963A8" w:rsidRPr="00CE46D8">
        <w:rPr>
          <w:sz w:val="16"/>
          <w:szCs w:val="22"/>
        </w:rPr>
        <w:t>Older</w:t>
      </w:r>
      <w:r w:rsidRPr="00CE46D8">
        <w:rPr>
          <w:sz w:val="16"/>
          <w:szCs w:val="22"/>
        </w:rPr>
        <w:t xml:space="preserve"> LGBT </w:t>
      </w:r>
      <w:r w:rsidR="002963A8" w:rsidRPr="00CE46D8">
        <w:rPr>
          <w:sz w:val="16"/>
          <w:szCs w:val="22"/>
        </w:rPr>
        <w:t>People’s Health</w:t>
      </w:r>
      <w:r w:rsidRPr="00CE46D8">
        <w:rPr>
          <w:sz w:val="16"/>
          <w:szCs w:val="22"/>
        </w:rPr>
        <w:t xml:space="preserve"> and </w:t>
      </w:r>
      <w:r w:rsidR="002963A8" w:rsidRPr="00CE46D8">
        <w:rPr>
          <w:sz w:val="16"/>
          <w:szCs w:val="22"/>
        </w:rPr>
        <w:t>Care Needs</w:t>
      </w:r>
      <w:r w:rsidRPr="00CE46D8">
        <w:rPr>
          <w:sz w:val="16"/>
          <w:szCs w:val="22"/>
        </w:rPr>
        <w:t xml:space="preserve"> in the United Kingdom: </w:t>
      </w:r>
      <w:r w:rsidR="002963A8" w:rsidRPr="00CE46D8">
        <w:rPr>
          <w:sz w:val="16"/>
          <w:szCs w:val="22"/>
        </w:rPr>
        <w:t>A Systematic Scoping Review,"</w:t>
      </w:r>
      <w:r w:rsidRPr="00CE46D8">
        <w:rPr>
          <w:sz w:val="16"/>
          <w:szCs w:val="22"/>
        </w:rPr>
        <w:t xml:space="preserve"> </w:t>
      </w:r>
      <w:r w:rsidRPr="00CE46D8">
        <w:rPr>
          <w:i/>
          <w:iCs/>
          <w:sz w:val="16"/>
          <w:szCs w:val="22"/>
        </w:rPr>
        <w:t>Ageing and Society</w:t>
      </w:r>
      <w:r w:rsidRPr="00CE46D8">
        <w:rPr>
          <w:sz w:val="16"/>
          <w:szCs w:val="22"/>
        </w:rPr>
        <w:t xml:space="preserve"> 41 </w:t>
      </w:r>
      <w:r w:rsidR="002963A8" w:rsidRPr="00CE46D8">
        <w:rPr>
          <w:sz w:val="16"/>
          <w:szCs w:val="22"/>
        </w:rPr>
        <w:t>(2021):</w:t>
      </w:r>
      <w:r w:rsidRPr="00CE46D8">
        <w:rPr>
          <w:sz w:val="16"/>
          <w:szCs w:val="22"/>
        </w:rPr>
        <w:t xml:space="preserve"> 501.</w:t>
      </w:r>
    </w:p>
  </w:footnote>
  <w:footnote w:id="121">
    <w:p w14:paraId="2DE8EE69" w14:textId="6408A3CF" w:rsidR="002305CD" w:rsidRPr="00CE46D8" w:rsidRDefault="002305CD">
      <w:pPr>
        <w:pStyle w:val="FootnoteText"/>
        <w:rPr>
          <w:sz w:val="16"/>
          <w:szCs w:val="22"/>
        </w:rPr>
      </w:pPr>
      <w:r w:rsidRPr="00CE46D8">
        <w:rPr>
          <w:rStyle w:val="FootnoteReference"/>
          <w:sz w:val="16"/>
          <w:szCs w:val="22"/>
        </w:rPr>
        <w:footnoteRef/>
      </w:r>
      <w:r w:rsidRPr="00CE46D8">
        <w:rPr>
          <w:sz w:val="16"/>
          <w:szCs w:val="22"/>
        </w:rPr>
        <w:t xml:space="preserve"> M</w:t>
      </w:r>
      <w:r w:rsidR="00A53409" w:rsidRPr="00CE46D8">
        <w:rPr>
          <w:sz w:val="16"/>
          <w:szCs w:val="22"/>
        </w:rPr>
        <w:t>ichael</w:t>
      </w:r>
      <w:r w:rsidRPr="00CE46D8">
        <w:rPr>
          <w:sz w:val="16"/>
          <w:szCs w:val="22"/>
        </w:rPr>
        <w:t xml:space="preserve"> Skerre</w:t>
      </w:r>
      <w:r w:rsidR="00A53409" w:rsidRPr="00CE46D8">
        <w:rPr>
          <w:sz w:val="16"/>
          <w:szCs w:val="22"/>
        </w:rPr>
        <w:t>t</w:t>
      </w:r>
      <w:r w:rsidRPr="00CE46D8">
        <w:rPr>
          <w:sz w:val="16"/>
          <w:szCs w:val="22"/>
        </w:rPr>
        <w:t>t, K</w:t>
      </w:r>
      <w:r w:rsidR="00A53409" w:rsidRPr="00CE46D8">
        <w:rPr>
          <w:sz w:val="16"/>
          <w:szCs w:val="22"/>
        </w:rPr>
        <w:t>airi</w:t>
      </w:r>
      <w:r w:rsidRPr="00CE46D8">
        <w:rPr>
          <w:sz w:val="16"/>
          <w:szCs w:val="22"/>
        </w:rPr>
        <w:t xml:space="preserve"> Kolves, and D</w:t>
      </w:r>
      <w:r w:rsidR="00A53409" w:rsidRPr="00CE46D8">
        <w:rPr>
          <w:sz w:val="16"/>
          <w:szCs w:val="22"/>
        </w:rPr>
        <w:t>iego</w:t>
      </w:r>
      <w:r w:rsidRPr="00CE46D8">
        <w:rPr>
          <w:sz w:val="16"/>
          <w:szCs w:val="22"/>
        </w:rPr>
        <w:t xml:space="preserve"> De Leo, "Factors Related to Suicide in LGBT Populations - A Psychological Autopsy Case-Control Study in Australia," </w:t>
      </w:r>
      <w:r w:rsidRPr="00CE46D8">
        <w:rPr>
          <w:i/>
          <w:iCs/>
          <w:sz w:val="16"/>
          <w:szCs w:val="22"/>
        </w:rPr>
        <w:t>Crisis</w:t>
      </w:r>
      <w:r w:rsidRPr="00CE46D8">
        <w:rPr>
          <w:sz w:val="16"/>
          <w:szCs w:val="22"/>
        </w:rPr>
        <w:t xml:space="preserve"> 37, no. 5 (2016): 364.</w:t>
      </w:r>
      <w:r w:rsidR="002D4C12" w:rsidRPr="00CE46D8">
        <w:rPr>
          <w:sz w:val="16"/>
          <w:szCs w:val="22"/>
        </w:rPr>
        <w:t xml:space="preserve"> </w:t>
      </w:r>
    </w:p>
    <w:p w14:paraId="0B71B844" w14:textId="39B51DBC" w:rsidR="002305CD" w:rsidRPr="00CE46D8" w:rsidRDefault="008D6A6E">
      <w:pPr>
        <w:pStyle w:val="FootnoteText"/>
        <w:rPr>
          <w:sz w:val="16"/>
          <w:szCs w:val="22"/>
        </w:rPr>
      </w:pPr>
      <w:r w:rsidRPr="00CE46D8">
        <w:rPr>
          <w:sz w:val="16"/>
          <w:szCs w:val="22"/>
        </w:rPr>
        <w:t xml:space="preserve">Madi </w:t>
      </w:r>
      <w:r w:rsidR="001962CB" w:rsidRPr="00CE46D8">
        <w:rPr>
          <w:sz w:val="16"/>
          <w:szCs w:val="22"/>
        </w:rPr>
        <w:t xml:space="preserve">Day, </w:t>
      </w:r>
      <w:r w:rsidRPr="00CE46D8">
        <w:rPr>
          <w:sz w:val="16"/>
          <w:szCs w:val="22"/>
        </w:rPr>
        <w:t>Bronwyn</w:t>
      </w:r>
      <w:r w:rsidR="001962CB" w:rsidRPr="00CE46D8">
        <w:rPr>
          <w:sz w:val="16"/>
          <w:szCs w:val="22"/>
        </w:rPr>
        <w:t xml:space="preserve"> Carlson, </w:t>
      </w:r>
      <w:r w:rsidRPr="00CE46D8">
        <w:rPr>
          <w:sz w:val="16"/>
          <w:szCs w:val="22"/>
        </w:rPr>
        <w:t xml:space="preserve">Dameyon </w:t>
      </w:r>
      <w:r w:rsidR="001962CB" w:rsidRPr="00CE46D8">
        <w:rPr>
          <w:sz w:val="16"/>
          <w:szCs w:val="22"/>
        </w:rPr>
        <w:t xml:space="preserve">Bonson, and </w:t>
      </w:r>
      <w:r w:rsidRPr="00CE46D8">
        <w:rPr>
          <w:sz w:val="16"/>
          <w:szCs w:val="22"/>
        </w:rPr>
        <w:t xml:space="preserve">Terri </w:t>
      </w:r>
      <w:r w:rsidR="001962CB" w:rsidRPr="00CE46D8">
        <w:rPr>
          <w:sz w:val="16"/>
          <w:szCs w:val="22"/>
        </w:rPr>
        <w:t xml:space="preserve">Farrelly, </w:t>
      </w:r>
      <w:r w:rsidR="001962CB" w:rsidRPr="00CE46D8">
        <w:rPr>
          <w:i/>
          <w:sz w:val="16"/>
          <w:szCs w:val="22"/>
        </w:rPr>
        <w:t xml:space="preserve">Aboriginal and Torres Strait Islander LGBTQIASB+ </w:t>
      </w:r>
      <w:r w:rsidRPr="00CE46D8">
        <w:rPr>
          <w:i/>
          <w:sz w:val="16"/>
          <w:szCs w:val="22"/>
        </w:rPr>
        <w:t>People</w:t>
      </w:r>
      <w:r w:rsidR="001962CB" w:rsidRPr="00CE46D8">
        <w:rPr>
          <w:i/>
          <w:sz w:val="16"/>
          <w:szCs w:val="22"/>
        </w:rPr>
        <w:t xml:space="preserve"> and </w:t>
      </w:r>
      <w:r w:rsidRPr="00CE46D8">
        <w:rPr>
          <w:i/>
          <w:sz w:val="16"/>
          <w:szCs w:val="22"/>
        </w:rPr>
        <w:t>Mental Health and Wellbeing</w:t>
      </w:r>
      <w:r w:rsidR="001962CB" w:rsidRPr="00CE46D8">
        <w:rPr>
          <w:sz w:val="16"/>
          <w:szCs w:val="22"/>
        </w:rPr>
        <w:t>, Catalogue number IMH 15</w:t>
      </w:r>
      <w:r w:rsidRPr="00CE46D8">
        <w:rPr>
          <w:sz w:val="16"/>
          <w:szCs w:val="22"/>
        </w:rPr>
        <w:t xml:space="preserve"> (</w:t>
      </w:r>
      <w:r w:rsidR="001962CB" w:rsidRPr="00CE46D8">
        <w:rPr>
          <w:sz w:val="16"/>
          <w:szCs w:val="22"/>
        </w:rPr>
        <w:t>Australian Institute for Health and Welfare, Australian Government</w:t>
      </w:r>
      <w:r w:rsidRPr="00CE46D8">
        <w:rPr>
          <w:sz w:val="16"/>
          <w:szCs w:val="22"/>
        </w:rPr>
        <w:t>, 2023).</w:t>
      </w:r>
    </w:p>
  </w:footnote>
  <w:footnote w:id="122">
    <w:p w14:paraId="441F905D" w14:textId="3340BC72" w:rsidR="0066483C" w:rsidRPr="00CE46D8" w:rsidRDefault="0066483C" w:rsidP="0066483C">
      <w:pPr>
        <w:pStyle w:val="FootnoteText"/>
        <w:rPr>
          <w:sz w:val="16"/>
          <w:szCs w:val="22"/>
        </w:rPr>
      </w:pPr>
      <w:r w:rsidRPr="00CE46D8">
        <w:rPr>
          <w:rStyle w:val="FootnoteReference"/>
          <w:sz w:val="16"/>
          <w:szCs w:val="22"/>
        </w:rPr>
        <w:footnoteRef/>
      </w:r>
      <w:r w:rsidRPr="00CE46D8">
        <w:rPr>
          <w:sz w:val="16"/>
          <w:szCs w:val="22"/>
        </w:rPr>
        <w:t xml:space="preserve"> </w:t>
      </w:r>
      <w:r w:rsidR="00AD7539" w:rsidRPr="00CE46D8">
        <w:rPr>
          <w:sz w:val="16"/>
          <w:szCs w:val="22"/>
        </w:rPr>
        <w:t>Hiero</w:t>
      </w:r>
      <w:r w:rsidRPr="00CE46D8">
        <w:rPr>
          <w:sz w:val="16"/>
          <w:szCs w:val="22"/>
        </w:rPr>
        <w:t xml:space="preserve"> Badge, </w:t>
      </w:r>
      <w:r w:rsidR="00AD7539" w:rsidRPr="00CE46D8">
        <w:rPr>
          <w:sz w:val="16"/>
          <w:szCs w:val="22"/>
        </w:rPr>
        <w:t>Jackie</w:t>
      </w:r>
      <w:r w:rsidRPr="00CE46D8">
        <w:rPr>
          <w:sz w:val="16"/>
          <w:szCs w:val="22"/>
        </w:rPr>
        <w:t xml:space="preserve"> Turner, </w:t>
      </w:r>
      <w:r w:rsidR="00AD7539" w:rsidRPr="00CE46D8">
        <w:rPr>
          <w:sz w:val="16"/>
          <w:szCs w:val="22"/>
        </w:rPr>
        <w:t>Austin</w:t>
      </w:r>
      <w:r w:rsidRPr="00CE46D8">
        <w:rPr>
          <w:sz w:val="16"/>
          <w:szCs w:val="22"/>
        </w:rPr>
        <w:t xml:space="preserve"> Fabry-Jenkins, and </w:t>
      </w:r>
      <w:r w:rsidR="00AD7539" w:rsidRPr="00CE46D8">
        <w:rPr>
          <w:sz w:val="16"/>
          <w:szCs w:val="22"/>
        </w:rPr>
        <w:t xml:space="preserve">Nevena </w:t>
      </w:r>
      <w:r w:rsidRPr="00CE46D8">
        <w:rPr>
          <w:sz w:val="16"/>
          <w:szCs w:val="22"/>
        </w:rPr>
        <w:t xml:space="preserve">Sirovska, </w:t>
      </w:r>
      <w:r w:rsidR="00AD7539" w:rsidRPr="00CE46D8">
        <w:rPr>
          <w:sz w:val="16"/>
          <w:szCs w:val="22"/>
        </w:rPr>
        <w:t>"</w:t>
      </w:r>
      <w:r w:rsidRPr="00CE46D8">
        <w:rPr>
          <w:sz w:val="16"/>
          <w:szCs w:val="22"/>
        </w:rPr>
        <w:t>Fuelling Hate: Abuse, Harassment, Vilification and Violence Against Trans People in Australia</w:t>
      </w:r>
      <w:r w:rsidR="00AD7539" w:rsidRPr="00CE46D8">
        <w:rPr>
          <w:sz w:val="16"/>
          <w:szCs w:val="22"/>
        </w:rPr>
        <w:t>,"</w:t>
      </w:r>
      <w:r w:rsidRPr="00CE46D8">
        <w:rPr>
          <w:sz w:val="16"/>
          <w:szCs w:val="22"/>
        </w:rPr>
        <w:t xml:space="preserve"> Trans Justice Project and Victorian Pride Lobby</w:t>
      </w:r>
      <w:r w:rsidR="00AD7539" w:rsidRPr="00CE46D8">
        <w:rPr>
          <w:sz w:val="16"/>
          <w:szCs w:val="22"/>
        </w:rPr>
        <w:t>,</w:t>
      </w:r>
      <w:r w:rsidRPr="00CE46D8">
        <w:rPr>
          <w:sz w:val="16"/>
          <w:szCs w:val="22"/>
        </w:rPr>
        <w:t xml:space="preserve"> 19</w:t>
      </w:r>
      <w:r w:rsidR="00AD7539" w:rsidRPr="00CE46D8">
        <w:rPr>
          <w:sz w:val="16"/>
          <w:szCs w:val="22"/>
        </w:rPr>
        <w:t>.</w:t>
      </w:r>
    </w:p>
  </w:footnote>
  <w:footnote w:id="123">
    <w:p w14:paraId="68C5EE43" w14:textId="73D74251" w:rsidR="004C69E8" w:rsidRPr="00CE46D8" w:rsidRDefault="004C69E8" w:rsidP="004C69E8">
      <w:pPr>
        <w:pStyle w:val="FootnoteText"/>
        <w:rPr>
          <w:sz w:val="16"/>
          <w:szCs w:val="22"/>
        </w:rPr>
      </w:pPr>
      <w:r w:rsidRPr="00CE46D8">
        <w:rPr>
          <w:rStyle w:val="FootnoteReference"/>
          <w:sz w:val="16"/>
          <w:szCs w:val="22"/>
        </w:rPr>
        <w:footnoteRef/>
      </w:r>
      <w:r w:rsidRPr="00CE46D8">
        <w:rPr>
          <w:sz w:val="16"/>
          <w:szCs w:val="22"/>
        </w:rPr>
        <w:t xml:space="preserve"> Badge, Turner, Fabry-Jenkins, and Sirovska, </w:t>
      </w:r>
      <w:r w:rsidRPr="00CE46D8">
        <w:rPr>
          <w:i/>
          <w:iCs/>
          <w:sz w:val="16"/>
          <w:szCs w:val="22"/>
        </w:rPr>
        <w:t>Fuelling Hate</w:t>
      </w:r>
      <w:r w:rsidRPr="00CE46D8">
        <w:rPr>
          <w:sz w:val="16"/>
          <w:szCs w:val="22"/>
        </w:rPr>
        <w:t>, 19</w:t>
      </w:r>
      <w:r w:rsidR="005A2FAE" w:rsidRPr="00CE46D8">
        <w:rPr>
          <w:sz w:val="16"/>
          <w:szCs w:val="22"/>
        </w:rPr>
        <w:t xml:space="preserve">. </w:t>
      </w:r>
    </w:p>
  </w:footnote>
  <w:footnote w:id="124">
    <w:p w14:paraId="0DB48FEB" w14:textId="05866E24"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5A2FAE" w:rsidRPr="00CE46D8">
        <w:rPr>
          <w:sz w:val="16"/>
          <w:szCs w:val="22"/>
        </w:rPr>
        <w:t>Sav</w:t>
      </w:r>
      <w:r w:rsidRPr="00CE46D8">
        <w:rPr>
          <w:sz w:val="16"/>
          <w:szCs w:val="22"/>
        </w:rPr>
        <w:t xml:space="preserve"> Zwickl, </w:t>
      </w:r>
      <w:r w:rsidR="005A2FAE" w:rsidRPr="00CE46D8">
        <w:rPr>
          <w:sz w:val="16"/>
          <w:szCs w:val="22"/>
        </w:rPr>
        <w:t>Alex</w:t>
      </w:r>
      <w:r w:rsidRPr="00CE46D8">
        <w:rPr>
          <w:sz w:val="16"/>
          <w:szCs w:val="22"/>
        </w:rPr>
        <w:t xml:space="preserve"> Wong, </w:t>
      </w:r>
      <w:r w:rsidR="005A2FAE" w:rsidRPr="00CE46D8">
        <w:rPr>
          <w:sz w:val="16"/>
          <w:szCs w:val="22"/>
        </w:rPr>
        <w:t>Eden</w:t>
      </w:r>
      <w:r w:rsidRPr="00CE46D8">
        <w:rPr>
          <w:sz w:val="16"/>
          <w:szCs w:val="22"/>
        </w:rPr>
        <w:t xml:space="preserve"> Dowers, </w:t>
      </w:r>
      <w:r w:rsidR="005A2FAE" w:rsidRPr="00CE46D8">
        <w:rPr>
          <w:sz w:val="16"/>
          <w:szCs w:val="22"/>
        </w:rPr>
        <w:t>Shalem</w:t>
      </w:r>
      <w:r w:rsidRPr="00CE46D8">
        <w:rPr>
          <w:sz w:val="16"/>
          <w:szCs w:val="22"/>
        </w:rPr>
        <w:t xml:space="preserve"> Leemaqz, </w:t>
      </w:r>
      <w:r w:rsidR="005A2FAE" w:rsidRPr="00CE46D8">
        <w:rPr>
          <w:sz w:val="16"/>
          <w:szCs w:val="22"/>
        </w:rPr>
        <w:t>Ingrid</w:t>
      </w:r>
      <w:r w:rsidRPr="00CE46D8">
        <w:rPr>
          <w:sz w:val="16"/>
          <w:szCs w:val="22"/>
        </w:rPr>
        <w:t xml:space="preserve"> Bretherton, </w:t>
      </w:r>
      <w:r w:rsidR="005A2FAE" w:rsidRPr="00CE46D8">
        <w:rPr>
          <w:sz w:val="16"/>
          <w:szCs w:val="22"/>
        </w:rPr>
        <w:t>Teddy</w:t>
      </w:r>
      <w:r w:rsidRPr="00CE46D8">
        <w:rPr>
          <w:sz w:val="16"/>
          <w:szCs w:val="22"/>
        </w:rPr>
        <w:t xml:space="preserve"> Cook, </w:t>
      </w:r>
      <w:r w:rsidR="005A2FAE" w:rsidRPr="00CE46D8">
        <w:rPr>
          <w:sz w:val="16"/>
          <w:szCs w:val="22"/>
        </w:rPr>
        <w:t>Jeffrey</w:t>
      </w:r>
      <w:r w:rsidRPr="00CE46D8">
        <w:rPr>
          <w:sz w:val="16"/>
          <w:szCs w:val="22"/>
        </w:rPr>
        <w:t xml:space="preserve"> Zajac, </w:t>
      </w:r>
      <w:r w:rsidR="005A2FAE" w:rsidRPr="00CE46D8">
        <w:rPr>
          <w:sz w:val="16"/>
          <w:szCs w:val="22"/>
        </w:rPr>
        <w:t>Paul</w:t>
      </w:r>
      <w:r w:rsidRPr="00CE46D8">
        <w:rPr>
          <w:sz w:val="16"/>
          <w:szCs w:val="22"/>
        </w:rPr>
        <w:t xml:space="preserve"> Yip, and </w:t>
      </w:r>
      <w:r w:rsidR="005A2FAE" w:rsidRPr="00CE46D8">
        <w:rPr>
          <w:sz w:val="16"/>
          <w:szCs w:val="22"/>
        </w:rPr>
        <w:t xml:space="preserve">Ada </w:t>
      </w:r>
      <w:r w:rsidRPr="00CE46D8">
        <w:rPr>
          <w:sz w:val="16"/>
          <w:szCs w:val="22"/>
        </w:rPr>
        <w:t xml:space="preserve">Cheung, </w:t>
      </w:r>
      <w:r w:rsidR="005A2FAE" w:rsidRPr="00CE46D8">
        <w:rPr>
          <w:sz w:val="16"/>
          <w:szCs w:val="22"/>
        </w:rPr>
        <w:t>"</w:t>
      </w:r>
      <w:r w:rsidRPr="00CE46D8">
        <w:rPr>
          <w:sz w:val="16"/>
          <w:szCs w:val="22"/>
        </w:rPr>
        <w:t xml:space="preserve">Factors </w:t>
      </w:r>
      <w:r w:rsidR="005A2FAE" w:rsidRPr="00CE46D8">
        <w:rPr>
          <w:sz w:val="16"/>
          <w:szCs w:val="22"/>
        </w:rPr>
        <w:t>Associated</w:t>
      </w:r>
      <w:r w:rsidRPr="00CE46D8">
        <w:rPr>
          <w:sz w:val="16"/>
          <w:szCs w:val="22"/>
        </w:rPr>
        <w:t xml:space="preserve"> with </w:t>
      </w:r>
      <w:r w:rsidR="005A2FAE" w:rsidRPr="00CE46D8">
        <w:rPr>
          <w:sz w:val="16"/>
          <w:szCs w:val="22"/>
        </w:rPr>
        <w:t>Suicide Attempts</w:t>
      </w:r>
      <w:r w:rsidRPr="00CE46D8">
        <w:rPr>
          <w:sz w:val="16"/>
          <w:szCs w:val="22"/>
        </w:rPr>
        <w:t xml:space="preserve"> among Australian </w:t>
      </w:r>
      <w:r w:rsidR="005A2FAE" w:rsidRPr="00CE46D8">
        <w:rPr>
          <w:sz w:val="16"/>
          <w:szCs w:val="22"/>
        </w:rPr>
        <w:t>Transgender Adults,"</w:t>
      </w:r>
      <w:r w:rsidRPr="00CE46D8">
        <w:rPr>
          <w:sz w:val="16"/>
          <w:szCs w:val="22"/>
        </w:rPr>
        <w:t xml:space="preserve"> </w:t>
      </w:r>
      <w:r w:rsidRPr="00CE46D8">
        <w:rPr>
          <w:i/>
          <w:iCs/>
          <w:sz w:val="16"/>
          <w:szCs w:val="22"/>
        </w:rPr>
        <w:t>BMC Psychiatry</w:t>
      </w:r>
      <w:r w:rsidRPr="00CE46D8">
        <w:rPr>
          <w:sz w:val="16"/>
          <w:szCs w:val="22"/>
        </w:rPr>
        <w:t xml:space="preserve"> 21, no. 81 </w:t>
      </w:r>
      <w:r w:rsidR="005A2FAE" w:rsidRPr="00CE46D8">
        <w:rPr>
          <w:sz w:val="16"/>
          <w:szCs w:val="22"/>
        </w:rPr>
        <w:t>(2021):</w:t>
      </w:r>
      <w:r w:rsidRPr="00CE46D8">
        <w:rPr>
          <w:sz w:val="16"/>
          <w:szCs w:val="22"/>
        </w:rPr>
        <w:t xml:space="preserve"> 6</w:t>
      </w:r>
      <w:r w:rsidR="005A2FAE" w:rsidRPr="00CE46D8">
        <w:rPr>
          <w:sz w:val="16"/>
          <w:szCs w:val="22"/>
        </w:rPr>
        <w:t>.</w:t>
      </w:r>
    </w:p>
  </w:footnote>
  <w:footnote w:id="125">
    <w:p w14:paraId="6301F513" w14:textId="4329F839"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E451B3" w:rsidRPr="00CE46D8">
        <w:rPr>
          <w:sz w:val="16"/>
          <w:szCs w:val="22"/>
        </w:rPr>
        <w:t>Francesca</w:t>
      </w:r>
      <w:r w:rsidRPr="00CE46D8">
        <w:rPr>
          <w:sz w:val="16"/>
          <w:szCs w:val="22"/>
        </w:rPr>
        <w:t xml:space="preserve"> Mongelli, </w:t>
      </w:r>
      <w:r w:rsidR="00E451B3" w:rsidRPr="00CE46D8">
        <w:rPr>
          <w:sz w:val="16"/>
          <w:szCs w:val="22"/>
        </w:rPr>
        <w:t>Daniela</w:t>
      </w:r>
      <w:r w:rsidRPr="00CE46D8">
        <w:rPr>
          <w:sz w:val="16"/>
          <w:szCs w:val="22"/>
        </w:rPr>
        <w:t xml:space="preserve"> Perrone, </w:t>
      </w:r>
      <w:r w:rsidR="00E451B3" w:rsidRPr="00CE46D8">
        <w:rPr>
          <w:sz w:val="16"/>
          <w:szCs w:val="22"/>
        </w:rPr>
        <w:t>Jessica</w:t>
      </w:r>
      <w:r w:rsidRPr="00CE46D8">
        <w:rPr>
          <w:sz w:val="16"/>
          <w:szCs w:val="22"/>
        </w:rPr>
        <w:t xml:space="preserve"> Balducci, </w:t>
      </w:r>
      <w:r w:rsidR="00E451B3" w:rsidRPr="00CE46D8">
        <w:rPr>
          <w:sz w:val="16"/>
          <w:szCs w:val="22"/>
        </w:rPr>
        <w:t>Andrea</w:t>
      </w:r>
      <w:r w:rsidRPr="00CE46D8">
        <w:rPr>
          <w:sz w:val="16"/>
          <w:szCs w:val="22"/>
        </w:rPr>
        <w:t xml:space="preserve"> Sacchetti, </w:t>
      </w:r>
      <w:r w:rsidR="00E451B3" w:rsidRPr="00CE46D8">
        <w:rPr>
          <w:sz w:val="16"/>
          <w:szCs w:val="22"/>
        </w:rPr>
        <w:t>Silvia</w:t>
      </w:r>
      <w:r w:rsidRPr="00CE46D8">
        <w:rPr>
          <w:sz w:val="16"/>
          <w:szCs w:val="22"/>
        </w:rPr>
        <w:t xml:space="preserve"> Ferrari, </w:t>
      </w:r>
      <w:r w:rsidR="00E451B3" w:rsidRPr="00CE46D8">
        <w:rPr>
          <w:sz w:val="16"/>
          <w:szCs w:val="22"/>
        </w:rPr>
        <w:t>Giorgio</w:t>
      </w:r>
      <w:r w:rsidRPr="00CE46D8">
        <w:rPr>
          <w:sz w:val="16"/>
          <w:szCs w:val="22"/>
        </w:rPr>
        <w:t xml:space="preserve"> Mettai, </w:t>
      </w:r>
      <w:r w:rsidR="00E451B3" w:rsidRPr="00CE46D8">
        <w:rPr>
          <w:sz w:val="16"/>
          <w:szCs w:val="22"/>
        </w:rPr>
        <w:t xml:space="preserve">and Gian </w:t>
      </w:r>
      <w:r w:rsidRPr="00CE46D8">
        <w:rPr>
          <w:sz w:val="16"/>
          <w:szCs w:val="22"/>
        </w:rPr>
        <w:t xml:space="preserve">Galeazzi, </w:t>
      </w:r>
      <w:r w:rsidR="00E451B3" w:rsidRPr="00CE46D8">
        <w:rPr>
          <w:sz w:val="16"/>
          <w:szCs w:val="22"/>
        </w:rPr>
        <w:t>"</w:t>
      </w:r>
      <w:r w:rsidRPr="00CE46D8">
        <w:rPr>
          <w:sz w:val="16"/>
          <w:szCs w:val="22"/>
        </w:rPr>
        <w:t xml:space="preserve">Minority </w:t>
      </w:r>
      <w:r w:rsidR="00E451B3" w:rsidRPr="00CE46D8">
        <w:rPr>
          <w:sz w:val="16"/>
          <w:szCs w:val="22"/>
        </w:rPr>
        <w:t>Stress and Mental Health Among</w:t>
      </w:r>
      <w:r w:rsidRPr="00CE46D8">
        <w:rPr>
          <w:sz w:val="16"/>
          <w:szCs w:val="22"/>
        </w:rPr>
        <w:t xml:space="preserve"> LGBT </w:t>
      </w:r>
      <w:r w:rsidR="00E451B3" w:rsidRPr="00CE46D8">
        <w:rPr>
          <w:sz w:val="16"/>
          <w:szCs w:val="22"/>
        </w:rPr>
        <w:t>Populations: An Update</w:t>
      </w:r>
      <w:r w:rsidRPr="00CE46D8">
        <w:rPr>
          <w:sz w:val="16"/>
          <w:szCs w:val="22"/>
        </w:rPr>
        <w:t xml:space="preserve"> on the </w:t>
      </w:r>
      <w:r w:rsidR="00E451B3" w:rsidRPr="00CE46D8">
        <w:rPr>
          <w:sz w:val="16"/>
          <w:szCs w:val="22"/>
        </w:rPr>
        <w:t>Evidence,"</w:t>
      </w:r>
      <w:r w:rsidRPr="00CE46D8">
        <w:rPr>
          <w:sz w:val="16"/>
          <w:szCs w:val="22"/>
        </w:rPr>
        <w:t xml:space="preserve"> </w:t>
      </w:r>
      <w:r w:rsidRPr="00CE46D8">
        <w:rPr>
          <w:i/>
          <w:iCs/>
          <w:sz w:val="16"/>
          <w:szCs w:val="22"/>
        </w:rPr>
        <w:t>Minerva Psichiatrica</w:t>
      </w:r>
      <w:r w:rsidRPr="00CE46D8">
        <w:rPr>
          <w:sz w:val="16"/>
          <w:szCs w:val="22"/>
        </w:rPr>
        <w:t xml:space="preserve"> 60, no. 1 </w:t>
      </w:r>
      <w:r w:rsidR="00E451B3" w:rsidRPr="00CE46D8">
        <w:rPr>
          <w:sz w:val="16"/>
          <w:szCs w:val="22"/>
        </w:rPr>
        <w:t>(2019):</w:t>
      </w:r>
      <w:r w:rsidRPr="00CE46D8">
        <w:rPr>
          <w:sz w:val="16"/>
          <w:szCs w:val="22"/>
        </w:rPr>
        <w:t xml:space="preserve"> 37</w:t>
      </w:r>
      <w:r w:rsidR="00E451B3" w:rsidRPr="00CE46D8">
        <w:rPr>
          <w:sz w:val="16"/>
          <w:szCs w:val="22"/>
        </w:rPr>
        <w:t>.</w:t>
      </w:r>
    </w:p>
  </w:footnote>
  <w:footnote w:id="126">
    <w:p w14:paraId="5D23B769" w14:textId="75E0C7FA"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0432DB" w:rsidRPr="00CE46D8">
        <w:rPr>
          <w:sz w:val="16"/>
          <w:szCs w:val="22"/>
        </w:rPr>
        <w:t>Mayumi</w:t>
      </w:r>
      <w:r w:rsidRPr="00CE46D8">
        <w:rPr>
          <w:sz w:val="16"/>
          <w:szCs w:val="22"/>
        </w:rPr>
        <w:t xml:space="preserve"> Benavides, Obianuju </w:t>
      </w:r>
      <w:r w:rsidR="000432DB" w:rsidRPr="00CE46D8">
        <w:rPr>
          <w:sz w:val="16"/>
          <w:szCs w:val="22"/>
        </w:rPr>
        <w:t xml:space="preserve">Berry, </w:t>
      </w:r>
      <w:r w:rsidRPr="00CE46D8">
        <w:rPr>
          <w:sz w:val="16"/>
          <w:szCs w:val="22"/>
        </w:rPr>
        <w:t xml:space="preserve">and </w:t>
      </w:r>
      <w:r w:rsidR="000432DB" w:rsidRPr="00CE46D8">
        <w:rPr>
          <w:sz w:val="16"/>
          <w:szCs w:val="22"/>
        </w:rPr>
        <w:t xml:space="preserve">Molly </w:t>
      </w:r>
      <w:r w:rsidRPr="00CE46D8">
        <w:rPr>
          <w:sz w:val="16"/>
          <w:szCs w:val="22"/>
        </w:rPr>
        <w:t xml:space="preserve">Mangus, </w:t>
      </w:r>
      <w:r w:rsidR="000432DB" w:rsidRPr="00CE46D8">
        <w:rPr>
          <w:sz w:val="16"/>
          <w:szCs w:val="22"/>
        </w:rPr>
        <w:t>"</w:t>
      </w:r>
      <w:r w:rsidRPr="00CE46D8">
        <w:rPr>
          <w:sz w:val="16"/>
          <w:szCs w:val="22"/>
        </w:rPr>
        <w:t xml:space="preserve">Treating LGBTQ </w:t>
      </w:r>
      <w:r w:rsidR="000432DB" w:rsidRPr="00CE46D8">
        <w:rPr>
          <w:sz w:val="16"/>
          <w:szCs w:val="22"/>
        </w:rPr>
        <w:t>Patients Who Have Experienced Intimate Partner Violence,"</w:t>
      </w:r>
      <w:r w:rsidRPr="00CE46D8">
        <w:rPr>
          <w:sz w:val="16"/>
          <w:szCs w:val="22"/>
        </w:rPr>
        <w:t xml:space="preserve"> American Psychiatric Association, April 2019</w:t>
      </w:r>
      <w:r w:rsidR="000432DB" w:rsidRPr="00CE46D8">
        <w:rPr>
          <w:sz w:val="16"/>
          <w:szCs w:val="22"/>
        </w:rPr>
        <w:t>,</w:t>
      </w:r>
      <w:r w:rsidRPr="00CE46D8">
        <w:rPr>
          <w:sz w:val="16"/>
          <w:szCs w:val="22"/>
        </w:rPr>
        <w:t xml:space="preserve"> 1</w:t>
      </w:r>
      <w:r w:rsidR="000432DB" w:rsidRPr="00CE46D8">
        <w:rPr>
          <w:sz w:val="16"/>
          <w:szCs w:val="22"/>
        </w:rPr>
        <w:t>-</w:t>
      </w:r>
      <w:r w:rsidRPr="00CE46D8">
        <w:rPr>
          <w:sz w:val="16"/>
          <w:szCs w:val="22"/>
        </w:rPr>
        <w:t>2</w:t>
      </w:r>
      <w:r w:rsidR="000432DB" w:rsidRPr="00CE46D8">
        <w:rPr>
          <w:sz w:val="16"/>
          <w:szCs w:val="22"/>
        </w:rPr>
        <w:t>.</w:t>
      </w:r>
    </w:p>
  </w:footnote>
  <w:footnote w:id="127">
    <w:p w14:paraId="3E402B5C" w14:textId="408FB9B8"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0432DB" w:rsidRPr="00CE46D8">
        <w:rPr>
          <w:sz w:val="16"/>
          <w:szCs w:val="22"/>
        </w:rPr>
        <w:t>Benavides, Berry, and Mangus, "Treating LGBTQ Patients," 1-2.</w:t>
      </w:r>
    </w:p>
  </w:footnote>
  <w:footnote w:id="128">
    <w:p w14:paraId="3ECC37B2" w14:textId="19C8A9E4"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0432DB" w:rsidRPr="00CE46D8">
        <w:rPr>
          <w:sz w:val="16"/>
          <w:szCs w:val="22"/>
        </w:rPr>
        <w:t>Benavides, Berry, and Mangus, "Treating LGBTQ Patients," 1-2.</w:t>
      </w:r>
    </w:p>
  </w:footnote>
  <w:footnote w:id="129">
    <w:p w14:paraId="7354B7E5" w14:textId="2B3B63B8" w:rsidR="008E013A" w:rsidRPr="00CE46D8" w:rsidRDefault="008E013A" w:rsidP="008E013A">
      <w:pPr>
        <w:pStyle w:val="FootnoteText"/>
        <w:rPr>
          <w:sz w:val="16"/>
          <w:szCs w:val="22"/>
          <w:lang w:val="en-US"/>
        </w:rPr>
      </w:pPr>
      <w:r w:rsidRPr="00CE46D8">
        <w:rPr>
          <w:rStyle w:val="FootnoteReference"/>
          <w:sz w:val="16"/>
          <w:szCs w:val="22"/>
        </w:rPr>
        <w:footnoteRef/>
      </w:r>
      <w:r w:rsidRPr="00CE46D8">
        <w:rPr>
          <w:sz w:val="16"/>
          <w:szCs w:val="22"/>
        </w:rPr>
        <w:t xml:space="preserve"> </w:t>
      </w:r>
      <w:r w:rsidR="001152E5" w:rsidRPr="00CE46D8">
        <w:rPr>
          <w:sz w:val="16"/>
          <w:szCs w:val="22"/>
        </w:rPr>
        <w:t>Dylan</w:t>
      </w:r>
      <w:r w:rsidRPr="00CE46D8">
        <w:rPr>
          <w:sz w:val="16"/>
          <w:szCs w:val="22"/>
        </w:rPr>
        <w:t xml:space="preserve"> Kneale, </w:t>
      </w:r>
      <w:r w:rsidR="001152E5" w:rsidRPr="00CE46D8">
        <w:rPr>
          <w:sz w:val="16"/>
          <w:szCs w:val="22"/>
        </w:rPr>
        <w:t>Josie</w:t>
      </w:r>
      <w:r w:rsidRPr="00CE46D8">
        <w:rPr>
          <w:sz w:val="16"/>
          <w:szCs w:val="22"/>
        </w:rPr>
        <w:t xml:space="preserve"> Henley, </w:t>
      </w:r>
      <w:r w:rsidR="001152E5" w:rsidRPr="00CE46D8">
        <w:rPr>
          <w:sz w:val="16"/>
          <w:szCs w:val="22"/>
        </w:rPr>
        <w:t xml:space="preserve">James </w:t>
      </w:r>
      <w:r w:rsidRPr="00CE46D8">
        <w:rPr>
          <w:sz w:val="16"/>
          <w:szCs w:val="22"/>
        </w:rPr>
        <w:t xml:space="preserve">Thomas, and </w:t>
      </w:r>
      <w:r w:rsidR="001152E5" w:rsidRPr="00CE46D8">
        <w:rPr>
          <w:sz w:val="16"/>
          <w:szCs w:val="22"/>
        </w:rPr>
        <w:t xml:space="preserve">Robert </w:t>
      </w:r>
      <w:r w:rsidRPr="00CE46D8">
        <w:rPr>
          <w:sz w:val="16"/>
          <w:szCs w:val="22"/>
        </w:rPr>
        <w:t xml:space="preserve">French, </w:t>
      </w:r>
      <w:r w:rsidR="001152E5" w:rsidRPr="00CE46D8">
        <w:rPr>
          <w:sz w:val="16"/>
          <w:szCs w:val="22"/>
        </w:rPr>
        <w:t>"</w:t>
      </w:r>
      <w:r w:rsidRPr="00CE46D8">
        <w:rPr>
          <w:sz w:val="16"/>
          <w:szCs w:val="22"/>
        </w:rPr>
        <w:t xml:space="preserve">Inequalities in </w:t>
      </w:r>
      <w:r w:rsidR="001152E5" w:rsidRPr="00CE46D8">
        <w:rPr>
          <w:sz w:val="16"/>
          <w:szCs w:val="22"/>
        </w:rPr>
        <w:t>Older</w:t>
      </w:r>
      <w:r w:rsidRPr="00CE46D8">
        <w:rPr>
          <w:sz w:val="16"/>
          <w:szCs w:val="22"/>
        </w:rPr>
        <w:t xml:space="preserve"> LGBT </w:t>
      </w:r>
      <w:r w:rsidR="001152E5" w:rsidRPr="00CE46D8">
        <w:rPr>
          <w:sz w:val="16"/>
          <w:szCs w:val="22"/>
        </w:rPr>
        <w:t>People’s Health</w:t>
      </w:r>
      <w:r w:rsidRPr="00CE46D8">
        <w:rPr>
          <w:sz w:val="16"/>
          <w:szCs w:val="22"/>
        </w:rPr>
        <w:t xml:space="preserve"> and </w:t>
      </w:r>
      <w:r w:rsidR="001152E5" w:rsidRPr="00CE46D8">
        <w:rPr>
          <w:sz w:val="16"/>
          <w:szCs w:val="22"/>
        </w:rPr>
        <w:t>Care Needs</w:t>
      </w:r>
      <w:r w:rsidRPr="00CE46D8">
        <w:rPr>
          <w:sz w:val="16"/>
          <w:szCs w:val="22"/>
        </w:rPr>
        <w:t xml:space="preserve"> in the United Kingdom: </w:t>
      </w:r>
      <w:r w:rsidR="001152E5" w:rsidRPr="00CE46D8">
        <w:rPr>
          <w:sz w:val="16"/>
          <w:szCs w:val="22"/>
        </w:rPr>
        <w:t>A Systematic Scoping Review,"</w:t>
      </w:r>
      <w:r w:rsidRPr="00CE46D8">
        <w:rPr>
          <w:sz w:val="16"/>
          <w:szCs w:val="22"/>
        </w:rPr>
        <w:t xml:space="preserve"> </w:t>
      </w:r>
      <w:r w:rsidRPr="00CE46D8">
        <w:rPr>
          <w:i/>
          <w:iCs/>
          <w:sz w:val="16"/>
          <w:szCs w:val="22"/>
        </w:rPr>
        <w:t>Ageing and Society</w:t>
      </w:r>
      <w:r w:rsidRPr="00CE46D8">
        <w:rPr>
          <w:sz w:val="16"/>
          <w:szCs w:val="22"/>
        </w:rPr>
        <w:t xml:space="preserve"> 41 </w:t>
      </w:r>
      <w:r w:rsidR="001152E5" w:rsidRPr="00CE46D8">
        <w:rPr>
          <w:sz w:val="16"/>
          <w:szCs w:val="22"/>
        </w:rPr>
        <w:t>(2021):</w:t>
      </w:r>
      <w:r w:rsidRPr="00CE46D8">
        <w:rPr>
          <w:sz w:val="16"/>
          <w:szCs w:val="22"/>
        </w:rPr>
        <w:t xml:space="preserve"> 503</w:t>
      </w:r>
      <w:r w:rsidR="001152E5" w:rsidRPr="00CE46D8">
        <w:rPr>
          <w:sz w:val="16"/>
          <w:szCs w:val="22"/>
        </w:rPr>
        <w:t>.</w:t>
      </w:r>
    </w:p>
  </w:footnote>
  <w:footnote w:id="130">
    <w:p w14:paraId="141FB252" w14:textId="2E23344E"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164B75" w:rsidRPr="00CE46D8">
        <w:rPr>
          <w:sz w:val="16"/>
          <w:szCs w:val="22"/>
        </w:rPr>
        <w:t>Emily</w:t>
      </w:r>
      <w:r w:rsidRPr="00CE46D8">
        <w:rPr>
          <w:sz w:val="16"/>
          <w:szCs w:val="22"/>
        </w:rPr>
        <w:t xml:space="preserve"> Bariola, </w:t>
      </w:r>
      <w:r w:rsidR="00164B75" w:rsidRPr="00CE46D8">
        <w:rPr>
          <w:sz w:val="16"/>
          <w:szCs w:val="22"/>
        </w:rPr>
        <w:t>Anthony</w:t>
      </w:r>
      <w:r w:rsidRPr="00CE46D8">
        <w:rPr>
          <w:sz w:val="16"/>
          <w:szCs w:val="22"/>
        </w:rPr>
        <w:t xml:space="preserve"> Lyons, </w:t>
      </w:r>
      <w:r w:rsidR="00164B75" w:rsidRPr="00CE46D8">
        <w:rPr>
          <w:sz w:val="16"/>
          <w:szCs w:val="22"/>
        </w:rPr>
        <w:t>William</w:t>
      </w:r>
      <w:r w:rsidRPr="00CE46D8">
        <w:rPr>
          <w:sz w:val="16"/>
          <w:szCs w:val="22"/>
        </w:rPr>
        <w:t xml:space="preserve"> Leonard, </w:t>
      </w:r>
      <w:r w:rsidR="00164B75" w:rsidRPr="00CE46D8">
        <w:rPr>
          <w:sz w:val="16"/>
          <w:szCs w:val="22"/>
        </w:rPr>
        <w:t>Marian</w:t>
      </w:r>
      <w:r w:rsidRPr="00CE46D8">
        <w:rPr>
          <w:sz w:val="16"/>
          <w:szCs w:val="22"/>
        </w:rPr>
        <w:t xml:space="preserve"> Pitts, </w:t>
      </w:r>
      <w:r w:rsidR="00164B75" w:rsidRPr="00CE46D8">
        <w:rPr>
          <w:sz w:val="16"/>
          <w:szCs w:val="22"/>
        </w:rPr>
        <w:t>Paul</w:t>
      </w:r>
      <w:r w:rsidRPr="00CE46D8">
        <w:rPr>
          <w:sz w:val="16"/>
          <w:szCs w:val="22"/>
        </w:rPr>
        <w:t xml:space="preserve"> Badcock, and </w:t>
      </w:r>
      <w:r w:rsidR="00164B75" w:rsidRPr="00CE46D8">
        <w:rPr>
          <w:sz w:val="16"/>
          <w:szCs w:val="22"/>
        </w:rPr>
        <w:t xml:space="preserve">Murray </w:t>
      </w:r>
      <w:r w:rsidRPr="00CE46D8">
        <w:rPr>
          <w:sz w:val="16"/>
          <w:szCs w:val="22"/>
        </w:rPr>
        <w:t xml:space="preserve">Couch, </w:t>
      </w:r>
      <w:r w:rsidR="00164B75" w:rsidRPr="00CE46D8">
        <w:rPr>
          <w:sz w:val="16"/>
          <w:szCs w:val="22"/>
        </w:rPr>
        <w:t>"</w:t>
      </w:r>
      <w:r w:rsidRPr="00CE46D8">
        <w:rPr>
          <w:sz w:val="16"/>
          <w:szCs w:val="22"/>
        </w:rPr>
        <w:t>Demographic and Psychosocial Factors Associated with Psychological Distress and Resilience among Transgender Individuals</w:t>
      </w:r>
      <w:r w:rsidR="00164B75" w:rsidRPr="00CE46D8">
        <w:rPr>
          <w:sz w:val="16"/>
          <w:szCs w:val="22"/>
        </w:rPr>
        <w:t>,"</w:t>
      </w:r>
      <w:r w:rsidRPr="00CE46D8">
        <w:rPr>
          <w:sz w:val="16"/>
          <w:szCs w:val="22"/>
        </w:rPr>
        <w:t xml:space="preserve"> </w:t>
      </w:r>
      <w:r w:rsidRPr="00CE46D8">
        <w:rPr>
          <w:i/>
          <w:iCs/>
          <w:sz w:val="16"/>
          <w:szCs w:val="22"/>
        </w:rPr>
        <w:t>Health Discrimination and Disparities</w:t>
      </w:r>
      <w:r w:rsidRPr="00CE46D8">
        <w:rPr>
          <w:sz w:val="16"/>
          <w:szCs w:val="22"/>
        </w:rPr>
        <w:t xml:space="preserve"> 105, no. 10 </w:t>
      </w:r>
      <w:r w:rsidR="00164B75" w:rsidRPr="00CE46D8">
        <w:rPr>
          <w:sz w:val="16"/>
          <w:szCs w:val="22"/>
        </w:rPr>
        <w:t>(2015):</w:t>
      </w:r>
      <w:r w:rsidRPr="00CE46D8">
        <w:rPr>
          <w:sz w:val="16"/>
          <w:szCs w:val="22"/>
        </w:rPr>
        <w:t xml:space="preserve"> 2110.</w:t>
      </w:r>
    </w:p>
  </w:footnote>
  <w:footnote w:id="131">
    <w:p w14:paraId="5A79D136" w14:textId="77777777" w:rsidR="005C6AA2" w:rsidRPr="00CE46D8" w:rsidRDefault="005C6AA2" w:rsidP="005C6AA2">
      <w:pPr>
        <w:pStyle w:val="FootnoteText"/>
        <w:rPr>
          <w:sz w:val="16"/>
          <w:szCs w:val="22"/>
        </w:rPr>
      </w:pPr>
      <w:r w:rsidRPr="00CE46D8">
        <w:rPr>
          <w:rStyle w:val="FootnoteReference"/>
          <w:sz w:val="16"/>
          <w:szCs w:val="22"/>
        </w:rPr>
        <w:footnoteRef/>
      </w:r>
      <w:r w:rsidRPr="00CE46D8">
        <w:rPr>
          <w:sz w:val="16"/>
          <w:szCs w:val="22"/>
        </w:rPr>
        <w:t xml:space="preserve"> Shane Worrell, Andrea Waling, Joel Anderson, Anthony Lyons, Jackson Fairchild, and Adam Bourne, "Coping with the Stress of Providing Mental Health-Related Informal Support to Peers in an LGBTQ Context," </w:t>
      </w:r>
      <w:r w:rsidRPr="00CE46D8">
        <w:rPr>
          <w:i/>
          <w:iCs/>
          <w:sz w:val="16"/>
          <w:szCs w:val="22"/>
        </w:rPr>
        <w:t>Culture, Health &amp; Sexuality</w:t>
      </w:r>
      <w:r w:rsidRPr="00CE46D8">
        <w:rPr>
          <w:sz w:val="16"/>
          <w:szCs w:val="22"/>
        </w:rPr>
        <w:t xml:space="preserve"> 25, no. 8 (2023): 991-1006.</w:t>
      </w:r>
    </w:p>
  </w:footnote>
  <w:footnote w:id="132">
    <w:p w14:paraId="1F08BD72" w14:textId="609D5F6E"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1B216A" w:rsidRPr="00CE46D8">
        <w:rPr>
          <w:sz w:val="16"/>
          <w:szCs w:val="22"/>
        </w:rPr>
        <w:t>Shane</w:t>
      </w:r>
      <w:r w:rsidRPr="00CE46D8">
        <w:rPr>
          <w:sz w:val="16"/>
          <w:szCs w:val="22"/>
        </w:rPr>
        <w:t xml:space="preserve"> </w:t>
      </w:r>
      <w:r w:rsidR="008C74B4" w:rsidRPr="00CE46D8">
        <w:rPr>
          <w:sz w:val="16"/>
          <w:szCs w:val="22"/>
        </w:rPr>
        <w:t xml:space="preserve">Worrell, </w:t>
      </w:r>
      <w:r w:rsidR="001B216A" w:rsidRPr="00CE46D8">
        <w:rPr>
          <w:sz w:val="16"/>
          <w:szCs w:val="22"/>
        </w:rPr>
        <w:t>Andrea</w:t>
      </w:r>
      <w:r w:rsidR="008C74B4" w:rsidRPr="00CE46D8">
        <w:rPr>
          <w:sz w:val="16"/>
          <w:szCs w:val="22"/>
        </w:rPr>
        <w:t xml:space="preserve"> Waling, </w:t>
      </w:r>
      <w:r w:rsidR="001B216A" w:rsidRPr="00CE46D8">
        <w:rPr>
          <w:sz w:val="16"/>
          <w:szCs w:val="22"/>
        </w:rPr>
        <w:t>Joel</w:t>
      </w:r>
      <w:r w:rsidR="008C74B4" w:rsidRPr="00CE46D8">
        <w:rPr>
          <w:sz w:val="16"/>
          <w:szCs w:val="22"/>
        </w:rPr>
        <w:t xml:space="preserve"> Anderson, </w:t>
      </w:r>
      <w:r w:rsidR="001B216A" w:rsidRPr="00CE46D8">
        <w:rPr>
          <w:sz w:val="16"/>
          <w:szCs w:val="22"/>
        </w:rPr>
        <w:t>Anthony</w:t>
      </w:r>
      <w:r w:rsidR="008C74B4" w:rsidRPr="00CE46D8">
        <w:rPr>
          <w:sz w:val="16"/>
          <w:szCs w:val="22"/>
        </w:rPr>
        <w:t xml:space="preserve"> Lyons, </w:t>
      </w:r>
      <w:r w:rsidR="001B216A" w:rsidRPr="00CE46D8">
        <w:rPr>
          <w:sz w:val="16"/>
          <w:szCs w:val="22"/>
        </w:rPr>
        <w:t>Jackson</w:t>
      </w:r>
      <w:r w:rsidR="008C74B4" w:rsidRPr="00CE46D8">
        <w:rPr>
          <w:sz w:val="16"/>
          <w:szCs w:val="22"/>
        </w:rPr>
        <w:t xml:space="preserve"> Fairchild, </w:t>
      </w:r>
      <w:r w:rsidR="001B216A" w:rsidRPr="00CE46D8">
        <w:rPr>
          <w:sz w:val="16"/>
          <w:szCs w:val="22"/>
        </w:rPr>
        <w:t>and Adam</w:t>
      </w:r>
      <w:r w:rsidR="008C74B4" w:rsidRPr="00CE46D8">
        <w:rPr>
          <w:sz w:val="16"/>
          <w:szCs w:val="22"/>
        </w:rPr>
        <w:t xml:space="preserve"> Bourne, </w:t>
      </w:r>
      <w:r w:rsidR="001B216A" w:rsidRPr="00CE46D8">
        <w:rPr>
          <w:sz w:val="16"/>
          <w:szCs w:val="22"/>
        </w:rPr>
        <w:t>"</w:t>
      </w:r>
      <w:r w:rsidR="008C74B4" w:rsidRPr="00CE46D8">
        <w:rPr>
          <w:sz w:val="16"/>
          <w:szCs w:val="22"/>
        </w:rPr>
        <w:t xml:space="preserve">Coping with the </w:t>
      </w:r>
      <w:r w:rsidR="001B216A" w:rsidRPr="00CE46D8">
        <w:rPr>
          <w:sz w:val="16"/>
          <w:szCs w:val="22"/>
        </w:rPr>
        <w:t>Stress</w:t>
      </w:r>
      <w:r w:rsidR="008C74B4" w:rsidRPr="00CE46D8">
        <w:rPr>
          <w:sz w:val="16"/>
          <w:szCs w:val="22"/>
        </w:rPr>
        <w:t xml:space="preserve"> of </w:t>
      </w:r>
      <w:r w:rsidR="001B216A" w:rsidRPr="00CE46D8">
        <w:rPr>
          <w:sz w:val="16"/>
          <w:szCs w:val="22"/>
        </w:rPr>
        <w:t>Providing Mental Health-Related Informal Support</w:t>
      </w:r>
      <w:r w:rsidR="008C74B4" w:rsidRPr="00CE46D8">
        <w:rPr>
          <w:sz w:val="16"/>
          <w:szCs w:val="22"/>
        </w:rPr>
        <w:t xml:space="preserve"> to </w:t>
      </w:r>
      <w:r w:rsidR="001B216A" w:rsidRPr="00CE46D8">
        <w:rPr>
          <w:sz w:val="16"/>
          <w:szCs w:val="22"/>
        </w:rPr>
        <w:t>Peers</w:t>
      </w:r>
      <w:r w:rsidR="008C74B4" w:rsidRPr="00CE46D8">
        <w:rPr>
          <w:sz w:val="16"/>
          <w:szCs w:val="22"/>
        </w:rPr>
        <w:t xml:space="preserve"> in an LGBTQ </w:t>
      </w:r>
      <w:r w:rsidR="001B216A" w:rsidRPr="00CE46D8">
        <w:rPr>
          <w:sz w:val="16"/>
          <w:szCs w:val="22"/>
        </w:rPr>
        <w:t>Context,"</w:t>
      </w:r>
      <w:r w:rsidR="008C74B4" w:rsidRPr="00CE46D8">
        <w:rPr>
          <w:sz w:val="16"/>
          <w:szCs w:val="22"/>
        </w:rPr>
        <w:t xml:space="preserve"> </w:t>
      </w:r>
      <w:r w:rsidR="008C74B4" w:rsidRPr="00CE46D8">
        <w:rPr>
          <w:i/>
          <w:iCs/>
          <w:sz w:val="16"/>
          <w:szCs w:val="22"/>
        </w:rPr>
        <w:t>Culture, Health &amp; Sexuality</w:t>
      </w:r>
      <w:r w:rsidR="008C74B4" w:rsidRPr="00CE46D8">
        <w:rPr>
          <w:sz w:val="16"/>
          <w:szCs w:val="22"/>
        </w:rPr>
        <w:t xml:space="preserve"> 25, no. 8 </w:t>
      </w:r>
      <w:r w:rsidR="001B216A" w:rsidRPr="00CE46D8">
        <w:rPr>
          <w:sz w:val="16"/>
          <w:szCs w:val="22"/>
        </w:rPr>
        <w:t>(2023):</w:t>
      </w:r>
      <w:r w:rsidR="008C74B4" w:rsidRPr="00CE46D8">
        <w:rPr>
          <w:sz w:val="16"/>
          <w:szCs w:val="22"/>
        </w:rPr>
        <w:t xml:space="preserve"> 991-1006.</w:t>
      </w:r>
    </w:p>
  </w:footnote>
  <w:footnote w:id="133">
    <w:p w14:paraId="08FB3DA2" w14:textId="77777777" w:rsidR="00F46435" w:rsidRPr="00CE46D8" w:rsidRDefault="00F46435" w:rsidP="00F46435">
      <w:pPr>
        <w:pStyle w:val="FootnoteText"/>
        <w:rPr>
          <w:sz w:val="16"/>
          <w:szCs w:val="22"/>
        </w:rPr>
      </w:pPr>
      <w:r w:rsidRPr="00CE46D8">
        <w:rPr>
          <w:rStyle w:val="FootnoteReference"/>
          <w:sz w:val="16"/>
          <w:szCs w:val="22"/>
        </w:rPr>
        <w:footnoteRef/>
      </w:r>
      <w:r w:rsidRPr="00CE46D8">
        <w:rPr>
          <w:sz w:val="16"/>
          <w:szCs w:val="22"/>
        </w:rPr>
        <w:t xml:space="preserve"> Francesca Mongelli, Daniela Perrone, Jessica Balducci, Andrea Sacchetti, Silvia Ferrari, Giorgio Mettai, and Gian Galeazzi, "Minority Stress and Mental Health Among LGBT Populations: An Update on the Evidence," </w:t>
      </w:r>
      <w:r w:rsidRPr="00CE46D8">
        <w:rPr>
          <w:i/>
          <w:iCs/>
          <w:sz w:val="16"/>
          <w:szCs w:val="22"/>
        </w:rPr>
        <w:t>Minerva Psichiatrica</w:t>
      </w:r>
      <w:r w:rsidRPr="00CE46D8">
        <w:rPr>
          <w:sz w:val="16"/>
          <w:szCs w:val="22"/>
        </w:rPr>
        <w:t xml:space="preserve"> 60, no. 1 (2019): 31.</w:t>
      </w:r>
    </w:p>
  </w:footnote>
  <w:footnote w:id="134">
    <w:p w14:paraId="2D588719" w14:textId="348DC0C0"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536EF9" w:rsidRPr="00CE46D8">
        <w:rPr>
          <w:sz w:val="16"/>
          <w:szCs w:val="22"/>
        </w:rPr>
        <w:t>Mongelli, Perrone, Balducci, Sacchetti, Ferrari, Mettai, and Galeazzi, "Minority Stress and Mental Health Among LGBT Populations,"</w:t>
      </w:r>
      <w:r w:rsidR="000954A9" w:rsidRPr="00CE46D8">
        <w:rPr>
          <w:sz w:val="16"/>
          <w:szCs w:val="22"/>
        </w:rPr>
        <w:t xml:space="preserve"> </w:t>
      </w:r>
      <w:r w:rsidR="00536EF9" w:rsidRPr="00CE46D8">
        <w:rPr>
          <w:sz w:val="16"/>
          <w:szCs w:val="22"/>
        </w:rPr>
        <w:t>31.</w:t>
      </w:r>
    </w:p>
  </w:footnote>
  <w:footnote w:id="135">
    <w:p w14:paraId="384384E7" w14:textId="6286A18E"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F60F8B" w:rsidRPr="00CE46D8">
        <w:rPr>
          <w:sz w:val="16"/>
          <w:szCs w:val="22"/>
        </w:rPr>
        <w:t>Samskruthi</w:t>
      </w:r>
      <w:r w:rsidRPr="00CE46D8">
        <w:rPr>
          <w:sz w:val="16"/>
          <w:szCs w:val="22"/>
        </w:rPr>
        <w:t xml:space="preserve"> Madireddy and </w:t>
      </w:r>
      <w:r w:rsidR="00F60F8B" w:rsidRPr="00CE46D8">
        <w:rPr>
          <w:sz w:val="16"/>
          <w:szCs w:val="22"/>
        </w:rPr>
        <w:t xml:space="preserve">Sahithi </w:t>
      </w:r>
      <w:r w:rsidRPr="00CE46D8">
        <w:rPr>
          <w:sz w:val="16"/>
          <w:szCs w:val="22"/>
        </w:rPr>
        <w:t xml:space="preserve">Madireddy, </w:t>
      </w:r>
      <w:r w:rsidR="00F60F8B" w:rsidRPr="00CE46D8">
        <w:rPr>
          <w:sz w:val="16"/>
          <w:szCs w:val="22"/>
        </w:rPr>
        <w:t>"</w:t>
      </w:r>
      <w:r w:rsidRPr="00CE46D8">
        <w:rPr>
          <w:sz w:val="16"/>
          <w:szCs w:val="22"/>
        </w:rPr>
        <w:t xml:space="preserve">Supportive </w:t>
      </w:r>
      <w:r w:rsidR="00F60F8B" w:rsidRPr="00CE46D8">
        <w:rPr>
          <w:sz w:val="16"/>
          <w:szCs w:val="22"/>
        </w:rPr>
        <w:t>Model</w:t>
      </w:r>
      <w:r w:rsidRPr="00CE46D8">
        <w:rPr>
          <w:sz w:val="16"/>
          <w:szCs w:val="22"/>
        </w:rPr>
        <w:t xml:space="preserve"> for the </w:t>
      </w:r>
      <w:r w:rsidR="00F60F8B" w:rsidRPr="00CE46D8">
        <w:rPr>
          <w:sz w:val="16"/>
          <w:szCs w:val="22"/>
        </w:rPr>
        <w:t>Improvement</w:t>
      </w:r>
      <w:r w:rsidRPr="00CE46D8">
        <w:rPr>
          <w:sz w:val="16"/>
          <w:szCs w:val="22"/>
        </w:rPr>
        <w:t xml:space="preserve"> of </w:t>
      </w:r>
      <w:r w:rsidR="00F60F8B" w:rsidRPr="00CE46D8">
        <w:rPr>
          <w:sz w:val="16"/>
          <w:szCs w:val="22"/>
        </w:rPr>
        <w:t>Mental Health</w:t>
      </w:r>
      <w:r w:rsidRPr="00CE46D8">
        <w:rPr>
          <w:sz w:val="16"/>
          <w:szCs w:val="22"/>
        </w:rPr>
        <w:t xml:space="preserve"> and </w:t>
      </w:r>
      <w:r w:rsidR="00F60F8B" w:rsidRPr="00CE46D8">
        <w:rPr>
          <w:sz w:val="16"/>
          <w:szCs w:val="22"/>
        </w:rPr>
        <w:t>Prevention</w:t>
      </w:r>
      <w:r w:rsidRPr="00CE46D8">
        <w:rPr>
          <w:sz w:val="16"/>
          <w:szCs w:val="22"/>
        </w:rPr>
        <w:t xml:space="preserve"> of </w:t>
      </w:r>
      <w:r w:rsidR="00F60F8B" w:rsidRPr="00CE46D8">
        <w:rPr>
          <w:sz w:val="16"/>
          <w:szCs w:val="22"/>
        </w:rPr>
        <w:t>Suicide Among LGBTQ+ Youth,"</w:t>
      </w:r>
      <w:r w:rsidRPr="00CE46D8">
        <w:rPr>
          <w:sz w:val="16"/>
          <w:szCs w:val="22"/>
        </w:rPr>
        <w:t xml:space="preserve"> </w:t>
      </w:r>
      <w:r w:rsidRPr="00CE46D8">
        <w:rPr>
          <w:i/>
          <w:iCs/>
          <w:sz w:val="16"/>
          <w:szCs w:val="22"/>
        </w:rPr>
        <w:t>International Journal of Adolescence and Youth</w:t>
      </w:r>
      <w:r w:rsidRPr="00CE46D8">
        <w:rPr>
          <w:sz w:val="16"/>
          <w:szCs w:val="22"/>
        </w:rPr>
        <w:t xml:space="preserve"> 27, no. </w:t>
      </w:r>
      <w:r w:rsidR="00F60F8B" w:rsidRPr="00CE46D8">
        <w:rPr>
          <w:sz w:val="16"/>
          <w:szCs w:val="22"/>
        </w:rPr>
        <w:t>1 (2022): 85-101.</w:t>
      </w:r>
    </w:p>
  </w:footnote>
  <w:footnote w:id="136">
    <w:p w14:paraId="114E5BF3" w14:textId="0B9E26C4"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816E08" w:rsidRPr="00CE46D8">
        <w:rPr>
          <w:sz w:val="16"/>
          <w:szCs w:val="22"/>
        </w:rPr>
        <w:t>Nicole</w:t>
      </w:r>
      <w:r w:rsidRPr="00CE46D8">
        <w:rPr>
          <w:sz w:val="16"/>
          <w:szCs w:val="22"/>
        </w:rPr>
        <w:t xml:space="preserve"> Aqsuith, </w:t>
      </w:r>
      <w:r w:rsidR="00816E08" w:rsidRPr="00CE46D8">
        <w:rPr>
          <w:sz w:val="16"/>
          <w:szCs w:val="22"/>
        </w:rPr>
        <w:t>Anneke</w:t>
      </w:r>
      <w:r w:rsidRPr="00CE46D8">
        <w:rPr>
          <w:sz w:val="16"/>
          <w:szCs w:val="22"/>
        </w:rPr>
        <w:t xml:space="preserve"> Collison, </w:t>
      </w:r>
      <w:r w:rsidR="00816E08" w:rsidRPr="00CE46D8">
        <w:rPr>
          <w:sz w:val="16"/>
          <w:szCs w:val="22"/>
        </w:rPr>
        <w:t>Lisa</w:t>
      </w:r>
      <w:r w:rsidRPr="00CE46D8">
        <w:rPr>
          <w:sz w:val="16"/>
          <w:szCs w:val="22"/>
        </w:rPr>
        <w:t xml:space="preserve"> Lewis, </w:t>
      </w:r>
      <w:r w:rsidR="00816E08" w:rsidRPr="00CE46D8">
        <w:rPr>
          <w:sz w:val="16"/>
          <w:szCs w:val="22"/>
        </w:rPr>
        <w:t>Kai</w:t>
      </w:r>
      <w:r w:rsidRPr="00CE46D8">
        <w:rPr>
          <w:sz w:val="16"/>
          <w:szCs w:val="22"/>
        </w:rPr>
        <w:t xml:space="preserve"> Noonan, </w:t>
      </w:r>
      <w:r w:rsidR="00816E08" w:rsidRPr="00CE46D8">
        <w:rPr>
          <w:sz w:val="16"/>
          <w:szCs w:val="22"/>
        </w:rPr>
        <w:t>Eloise</w:t>
      </w:r>
      <w:r w:rsidRPr="00CE46D8">
        <w:rPr>
          <w:sz w:val="16"/>
          <w:szCs w:val="22"/>
        </w:rPr>
        <w:t xml:space="preserve"> Layard, </w:t>
      </w:r>
      <w:r w:rsidR="00816E08" w:rsidRPr="00CE46D8">
        <w:rPr>
          <w:sz w:val="16"/>
          <w:szCs w:val="22"/>
        </w:rPr>
        <w:t>Guneet</w:t>
      </w:r>
      <w:r w:rsidRPr="00CE46D8">
        <w:rPr>
          <w:sz w:val="16"/>
          <w:szCs w:val="22"/>
        </w:rPr>
        <w:t xml:space="preserve"> Kaur, </w:t>
      </w:r>
      <w:r w:rsidR="00816E08" w:rsidRPr="00CE46D8">
        <w:rPr>
          <w:sz w:val="16"/>
          <w:szCs w:val="22"/>
        </w:rPr>
        <w:t>Fernanda</w:t>
      </w:r>
      <w:r w:rsidRPr="00CE46D8">
        <w:rPr>
          <w:sz w:val="16"/>
          <w:szCs w:val="22"/>
        </w:rPr>
        <w:t xml:space="preserve"> Bellei, and </w:t>
      </w:r>
      <w:r w:rsidR="00816E08" w:rsidRPr="00CE46D8">
        <w:rPr>
          <w:sz w:val="16"/>
          <w:szCs w:val="22"/>
        </w:rPr>
        <w:t xml:space="preserve">Erdem </w:t>
      </w:r>
      <w:r w:rsidRPr="00CE46D8">
        <w:rPr>
          <w:sz w:val="16"/>
          <w:szCs w:val="22"/>
        </w:rPr>
        <w:t xml:space="preserve">Yigiter, </w:t>
      </w:r>
      <w:r w:rsidR="00816E08" w:rsidRPr="00CE46D8">
        <w:rPr>
          <w:sz w:val="16"/>
          <w:szCs w:val="22"/>
        </w:rPr>
        <w:t>"</w:t>
      </w:r>
      <w:r w:rsidRPr="00CE46D8">
        <w:rPr>
          <w:sz w:val="16"/>
          <w:szCs w:val="22"/>
        </w:rPr>
        <w:t xml:space="preserve">Home </w:t>
      </w:r>
      <w:r w:rsidR="00816E08" w:rsidRPr="00CE46D8">
        <w:rPr>
          <w:sz w:val="16"/>
          <w:szCs w:val="22"/>
        </w:rPr>
        <w:t>Is Where Our Story Begins</w:t>
      </w:r>
      <w:r w:rsidRPr="00CE46D8">
        <w:rPr>
          <w:sz w:val="16"/>
          <w:szCs w:val="22"/>
        </w:rPr>
        <w:t xml:space="preserve">: CALD LGBTIQ+ </w:t>
      </w:r>
      <w:r w:rsidR="00816E08" w:rsidRPr="00CE46D8">
        <w:rPr>
          <w:sz w:val="16"/>
          <w:szCs w:val="22"/>
        </w:rPr>
        <w:t>People’s Relationships</w:t>
      </w:r>
      <w:r w:rsidRPr="00CE46D8">
        <w:rPr>
          <w:sz w:val="16"/>
          <w:szCs w:val="22"/>
        </w:rPr>
        <w:t xml:space="preserve"> to </w:t>
      </w:r>
      <w:r w:rsidR="00816E08" w:rsidRPr="00CE46D8">
        <w:rPr>
          <w:sz w:val="16"/>
          <w:szCs w:val="22"/>
        </w:rPr>
        <w:t>Family,"</w:t>
      </w:r>
      <w:r w:rsidRPr="00CE46D8">
        <w:rPr>
          <w:sz w:val="16"/>
          <w:szCs w:val="22"/>
        </w:rPr>
        <w:t xml:space="preserve"> </w:t>
      </w:r>
      <w:r w:rsidRPr="00CE46D8">
        <w:rPr>
          <w:i/>
          <w:iCs/>
          <w:sz w:val="16"/>
          <w:szCs w:val="22"/>
        </w:rPr>
        <w:t>Current Issues in Criminal Justice</w:t>
      </w:r>
      <w:r w:rsidRPr="00CE46D8">
        <w:rPr>
          <w:sz w:val="16"/>
          <w:szCs w:val="22"/>
        </w:rPr>
        <w:t xml:space="preserve"> 31, no. </w:t>
      </w:r>
      <w:r w:rsidR="00816E08" w:rsidRPr="00CE46D8">
        <w:rPr>
          <w:sz w:val="16"/>
          <w:szCs w:val="22"/>
        </w:rPr>
        <w:t xml:space="preserve">3 (2019): </w:t>
      </w:r>
      <w:r w:rsidR="005743CC" w:rsidRPr="00CE46D8">
        <w:rPr>
          <w:sz w:val="16"/>
          <w:szCs w:val="22"/>
        </w:rPr>
        <w:t>315</w:t>
      </w:r>
      <w:r w:rsidR="00816E08" w:rsidRPr="00CE46D8">
        <w:rPr>
          <w:sz w:val="16"/>
          <w:szCs w:val="22"/>
        </w:rPr>
        <w:t>.</w:t>
      </w:r>
    </w:p>
  </w:footnote>
  <w:footnote w:id="137">
    <w:p w14:paraId="062A3E71" w14:textId="30E7626B"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DC3627" w:rsidRPr="00CE46D8">
        <w:rPr>
          <w:sz w:val="16"/>
          <w:szCs w:val="22"/>
        </w:rPr>
        <w:t>Emily</w:t>
      </w:r>
      <w:r w:rsidRPr="00CE46D8">
        <w:rPr>
          <w:sz w:val="16"/>
          <w:szCs w:val="22"/>
        </w:rPr>
        <w:t xml:space="preserve"> Bariola, </w:t>
      </w:r>
      <w:r w:rsidR="00DC3627" w:rsidRPr="00CE46D8">
        <w:rPr>
          <w:sz w:val="16"/>
          <w:szCs w:val="22"/>
        </w:rPr>
        <w:t>Anthony</w:t>
      </w:r>
      <w:r w:rsidRPr="00CE46D8">
        <w:rPr>
          <w:sz w:val="16"/>
          <w:szCs w:val="22"/>
        </w:rPr>
        <w:t xml:space="preserve"> Lyons, </w:t>
      </w:r>
      <w:r w:rsidR="00DC3627" w:rsidRPr="00CE46D8">
        <w:rPr>
          <w:sz w:val="16"/>
          <w:szCs w:val="22"/>
        </w:rPr>
        <w:t>William</w:t>
      </w:r>
      <w:r w:rsidRPr="00CE46D8">
        <w:rPr>
          <w:sz w:val="16"/>
          <w:szCs w:val="22"/>
        </w:rPr>
        <w:t xml:space="preserve"> Leonard, </w:t>
      </w:r>
      <w:r w:rsidR="00DC3627" w:rsidRPr="00CE46D8">
        <w:rPr>
          <w:sz w:val="16"/>
          <w:szCs w:val="22"/>
        </w:rPr>
        <w:t>Marian</w:t>
      </w:r>
      <w:r w:rsidRPr="00CE46D8">
        <w:rPr>
          <w:sz w:val="16"/>
          <w:szCs w:val="22"/>
        </w:rPr>
        <w:t xml:space="preserve"> Pitts, </w:t>
      </w:r>
      <w:r w:rsidR="00DC3627" w:rsidRPr="00CE46D8">
        <w:rPr>
          <w:sz w:val="16"/>
          <w:szCs w:val="22"/>
        </w:rPr>
        <w:t>Paul</w:t>
      </w:r>
      <w:r w:rsidRPr="00CE46D8">
        <w:rPr>
          <w:sz w:val="16"/>
          <w:szCs w:val="22"/>
        </w:rPr>
        <w:t xml:space="preserve"> Badcock, and </w:t>
      </w:r>
      <w:r w:rsidR="00DC3627" w:rsidRPr="00CE46D8">
        <w:rPr>
          <w:sz w:val="16"/>
          <w:szCs w:val="22"/>
        </w:rPr>
        <w:t xml:space="preserve">Murray </w:t>
      </w:r>
      <w:r w:rsidRPr="00CE46D8">
        <w:rPr>
          <w:sz w:val="16"/>
          <w:szCs w:val="22"/>
        </w:rPr>
        <w:t xml:space="preserve">Couch, </w:t>
      </w:r>
      <w:r w:rsidR="00DC3627" w:rsidRPr="00CE46D8">
        <w:rPr>
          <w:sz w:val="16"/>
          <w:szCs w:val="22"/>
        </w:rPr>
        <w:t>"</w:t>
      </w:r>
      <w:r w:rsidRPr="00CE46D8">
        <w:rPr>
          <w:sz w:val="16"/>
          <w:szCs w:val="22"/>
        </w:rPr>
        <w:t>Demographic and Psychosocial Factors Associated with Psychological Distress and Resilience among Transgender Individuals</w:t>
      </w:r>
      <w:r w:rsidR="00DC3627" w:rsidRPr="00CE46D8">
        <w:rPr>
          <w:sz w:val="16"/>
          <w:szCs w:val="22"/>
        </w:rPr>
        <w:t>,"</w:t>
      </w:r>
      <w:r w:rsidRPr="00CE46D8">
        <w:rPr>
          <w:sz w:val="16"/>
          <w:szCs w:val="22"/>
        </w:rPr>
        <w:t xml:space="preserve"> </w:t>
      </w:r>
      <w:r w:rsidRPr="00CE46D8">
        <w:rPr>
          <w:i/>
          <w:iCs/>
          <w:sz w:val="16"/>
          <w:szCs w:val="22"/>
        </w:rPr>
        <w:t>Health Discrimination and Disparities</w:t>
      </w:r>
      <w:r w:rsidRPr="00CE46D8">
        <w:rPr>
          <w:sz w:val="16"/>
          <w:szCs w:val="22"/>
        </w:rPr>
        <w:t xml:space="preserve"> 105, no. 10 </w:t>
      </w:r>
      <w:r w:rsidR="00DC3627" w:rsidRPr="00CE46D8">
        <w:rPr>
          <w:sz w:val="16"/>
          <w:szCs w:val="22"/>
        </w:rPr>
        <w:t>(2015):</w:t>
      </w:r>
      <w:r w:rsidRPr="00CE46D8">
        <w:rPr>
          <w:sz w:val="16"/>
          <w:szCs w:val="22"/>
        </w:rPr>
        <w:t xml:space="preserve"> 2112.</w:t>
      </w:r>
    </w:p>
  </w:footnote>
  <w:footnote w:id="138">
    <w:p w14:paraId="1DAA1B44" w14:textId="6AB8CF09"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6E2AC9" w:rsidRPr="00CE46D8">
        <w:rPr>
          <w:sz w:val="16"/>
          <w:szCs w:val="22"/>
        </w:rPr>
        <w:t>Robert</w:t>
      </w:r>
      <w:r w:rsidRPr="00CE46D8">
        <w:rPr>
          <w:sz w:val="16"/>
          <w:szCs w:val="22"/>
        </w:rPr>
        <w:t xml:space="preserve"> Eres, </w:t>
      </w:r>
      <w:r w:rsidR="006E2AC9" w:rsidRPr="00CE46D8">
        <w:rPr>
          <w:sz w:val="16"/>
          <w:szCs w:val="22"/>
        </w:rPr>
        <w:t>Natasha</w:t>
      </w:r>
      <w:r w:rsidRPr="00CE46D8">
        <w:rPr>
          <w:sz w:val="16"/>
          <w:szCs w:val="22"/>
        </w:rPr>
        <w:t xml:space="preserve"> Postolovski, </w:t>
      </w:r>
      <w:r w:rsidR="006E2AC9" w:rsidRPr="00CE46D8">
        <w:rPr>
          <w:sz w:val="16"/>
          <w:szCs w:val="22"/>
        </w:rPr>
        <w:t xml:space="preserve">Monica </w:t>
      </w:r>
      <w:r w:rsidRPr="00CE46D8">
        <w:rPr>
          <w:sz w:val="16"/>
          <w:szCs w:val="22"/>
        </w:rPr>
        <w:t xml:space="preserve">Thielking, and Michelle </w:t>
      </w:r>
      <w:r w:rsidR="006E2AC9" w:rsidRPr="00CE46D8">
        <w:rPr>
          <w:sz w:val="16"/>
          <w:szCs w:val="22"/>
        </w:rPr>
        <w:t>Lim, "</w:t>
      </w:r>
      <w:r w:rsidRPr="00CE46D8">
        <w:rPr>
          <w:sz w:val="16"/>
          <w:szCs w:val="22"/>
        </w:rPr>
        <w:t>Loneliness, Mental Health and Social Health Indicators in LGBTQIA+ Australians</w:t>
      </w:r>
      <w:r w:rsidR="006E2AC9" w:rsidRPr="00CE46D8">
        <w:rPr>
          <w:sz w:val="16"/>
          <w:szCs w:val="22"/>
        </w:rPr>
        <w:t>,"</w:t>
      </w:r>
      <w:r w:rsidRPr="00CE46D8">
        <w:rPr>
          <w:sz w:val="16"/>
          <w:szCs w:val="22"/>
        </w:rPr>
        <w:t xml:space="preserve"> </w:t>
      </w:r>
      <w:r w:rsidRPr="00CE46D8">
        <w:rPr>
          <w:i/>
          <w:iCs/>
          <w:sz w:val="16"/>
          <w:szCs w:val="22"/>
        </w:rPr>
        <w:t>American Journal of Orthopsychiatry</w:t>
      </w:r>
      <w:r w:rsidRPr="00CE46D8">
        <w:rPr>
          <w:sz w:val="16"/>
          <w:szCs w:val="22"/>
        </w:rPr>
        <w:t xml:space="preserve"> 91, no. 3 </w:t>
      </w:r>
      <w:r w:rsidR="006E2AC9" w:rsidRPr="00CE46D8">
        <w:rPr>
          <w:sz w:val="16"/>
          <w:szCs w:val="22"/>
        </w:rPr>
        <w:t>(2021):</w:t>
      </w:r>
      <w:r w:rsidRPr="00CE46D8">
        <w:rPr>
          <w:sz w:val="16"/>
          <w:szCs w:val="22"/>
        </w:rPr>
        <w:t xml:space="preserve"> 363</w:t>
      </w:r>
      <w:r w:rsidR="006E2AC9" w:rsidRPr="00CE46D8">
        <w:rPr>
          <w:sz w:val="16"/>
          <w:szCs w:val="22"/>
        </w:rPr>
        <w:t>.</w:t>
      </w:r>
    </w:p>
  </w:footnote>
  <w:footnote w:id="139">
    <w:p w14:paraId="21E4CB9C" w14:textId="2486898D"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D91073" w:rsidRPr="00CE46D8">
        <w:rPr>
          <w:sz w:val="16"/>
          <w:szCs w:val="22"/>
        </w:rPr>
        <w:t>Aqsuith, Collison, Lewis, Noonan, Layard, Kaur, Bellei, and Yigiter, "Home Is Where Our Story Begins," 327.</w:t>
      </w:r>
    </w:p>
  </w:footnote>
  <w:footnote w:id="140">
    <w:p w14:paraId="6163D339" w14:textId="02DEC95A" w:rsidR="008E013A" w:rsidRPr="00CE46D8" w:rsidRDefault="008E013A" w:rsidP="008E013A">
      <w:pPr>
        <w:pStyle w:val="FootnoteText"/>
        <w:rPr>
          <w:sz w:val="16"/>
          <w:szCs w:val="22"/>
          <w:lang w:val="en-US"/>
        </w:rPr>
      </w:pPr>
      <w:r w:rsidRPr="00CE46D8">
        <w:rPr>
          <w:rStyle w:val="FootnoteReference"/>
          <w:sz w:val="16"/>
          <w:szCs w:val="22"/>
        </w:rPr>
        <w:footnoteRef/>
      </w:r>
      <w:r w:rsidRPr="00CE46D8">
        <w:rPr>
          <w:sz w:val="16"/>
          <w:szCs w:val="22"/>
        </w:rPr>
        <w:t xml:space="preserve"> </w:t>
      </w:r>
      <w:r w:rsidR="005F5BDD" w:rsidRPr="00CE46D8">
        <w:rPr>
          <w:sz w:val="16"/>
          <w:szCs w:val="22"/>
        </w:rPr>
        <w:t>Michael Skerrett, Kairi</w:t>
      </w:r>
      <w:r w:rsidRPr="00CE46D8">
        <w:rPr>
          <w:sz w:val="16"/>
          <w:szCs w:val="22"/>
        </w:rPr>
        <w:t xml:space="preserve"> Kolves, and </w:t>
      </w:r>
      <w:r w:rsidR="005F5BDD" w:rsidRPr="00CE46D8">
        <w:rPr>
          <w:sz w:val="16"/>
          <w:szCs w:val="22"/>
        </w:rPr>
        <w:t xml:space="preserve">Diego </w:t>
      </w:r>
      <w:r w:rsidRPr="00CE46D8">
        <w:rPr>
          <w:sz w:val="16"/>
          <w:szCs w:val="22"/>
        </w:rPr>
        <w:t xml:space="preserve">De Leo, </w:t>
      </w:r>
      <w:r w:rsidR="005F5BDD" w:rsidRPr="00CE46D8">
        <w:rPr>
          <w:sz w:val="16"/>
          <w:szCs w:val="22"/>
        </w:rPr>
        <w:t>"</w:t>
      </w:r>
      <w:r w:rsidRPr="00CE46D8">
        <w:rPr>
          <w:sz w:val="16"/>
          <w:szCs w:val="22"/>
        </w:rPr>
        <w:t>Factors Related to Suicide in LGBT Populations - A Psychological Autopsy Case-Control Study in Australia</w:t>
      </w:r>
      <w:r w:rsidR="005F5BDD" w:rsidRPr="00CE46D8">
        <w:rPr>
          <w:sz w:val="16"/>
          <w:szCs w:val="22"/>
        </w:rPr>
        <w:t>,"</w:t>
      </w:r>
      <w:r w:rsidRPr="00CE46D8">
        <w:rPr>
          <w:sz w:val="16"/>
          <w:szCs w:val="22"/>
        </w:rPr>
        <w:t xml:space="preserve"> </w:t>
      </w:r>
      <w:r w:rsidRPr="00CE46D8">
        <w:rPr>
          <w:i/>
          <w:iCs/>
          <w:sz w:val="16"/>
          <w:szCs w:val="22"/>
        </w:rPr>
        <w:t>Crisis</w:t>
      </w:r>
      <w:r w:rsidRPr="00CE46D8">
        <w:rPr>
          <w:sz w:val="16"/>
          <w:szCs w:val="22"/>
        </w:rPr>
        <w:t xml:space="preserve"> 37, no. 5 </w:t>
      </w:r>
      <w:r w:rsidR="005F5BDD" w:rsidRPr="00CE46D8">
        <w:rPr>
          <w:sz w:val="16"/>
          <w:szCs w:val="22"/>
        </w:rPr>
        <w:t>(2016):</w:t>
      </w:r>
      <w:r w:rsidRPr="00CE46D8">
        <w:rPr>
          <w:sz w:val="16"/>
          <w:szCs w:val="22"/>
        </w:rPr>
        <w:t xml:space="preserve"> 365.</w:t>
      </w:r>
    </w:p>
  </w:footnote>
  <w:footnote w:id="141">
    <w:p w14:paraId="4DAB0A59" w14:textId="6DB82AE4" w:rsidR="008E013A" w:rsidRPr="00CE46D8" w:rsidRDefault="008E013A" w:rsidP="008E013A">
      <w:pPr>
        <w:pStyle w:val="FootnoteText"/>
        <w:rPr>
          <w:sz w:val="16"/>
          <w:szCs w:val="22"/>
          <w:lang w:val="en-US"/>
        </w:rPr>
      </w:pPr>
      <w:r w:rsidRPr="00CE46D8">
        <w:rPr>
          <w:rStyle w:val="FootnoteReference"/>
          <w:sz w:val="16"/>
          <w:szCs w:val="22"/>
        </w:rPr>
        <w:footnoteRef/>
      </w:r>
      <w:r w:rsidRPr="00CE46D8">
        <w:rPr>
          <w:sz w:val="16"/>
          <w:szCs w:val="22"/>
        </w:rPr>
        <w:t xml:space="preserve"> </w:t>
      </w:r>
      <w:r w:rsidR="00CF02A9" w:rsidRPr="00CE46D8">
        <w:rPr>
          <w:sz w:val="16"/>
          <w:szCs w:val="22"/>
        </w:rPr>
        <w:t>Kari</w:t>
      </w:r>
      <w:r w:rsidRPr="00CE46D8">
        <w:rPr>
          <w:sz w:val="16"/>
          <w:szCs w:val="22"/>
        </w:rPr>
        <w:t xml:space="preserve"> McDonald, </w:t>
      </w:r>
      <w:r w:rsidR="00007CCE" w:rsidRPr="00CE46D8">
        <w:rPr>
          <w:sz w:val="16"/>
          <w:szCs w:val="22"/>
        </w:rPr>
        <w:t>"</w:t>
      </w:r>
      <w:r w:rsidRPr="00CE46D8">
        <w:rPr>
          <w:sz w:val="16"/>
          <w:szCs w:val="22"/>
        </w:rPr>
        <w:t xml:space="preserve">Social Support and Mental Health in LGBTQ Adolescents: A </w:t>
      </w:r>
      <w:r w:rsidR="00007CCE" w:rsidRPr="00CE46D8">
        <w:rPr>
          <w:sz w:val="16"/>
          <w:szCs w:val="22"/>
        </w:rPr>
        <w:t>Review</w:t>
      </w:r>
      <w:r w:rsidRPr="00CE46D8">
        <w:rPr>
          <w:sz w:val="16"/>
          <w:szCs w:val="22"/>
        </w:rPr>
        <w:t xml:space="preserve"> of </w:t>
      </w:r>
      <w:r w:rsidR="00007CCE" w:rsidRPr="00CE46D8">
        <w:rPr>
          <w:sz w:val="16"/>
          <w:szCs w:val="22"/>
        </w:rPr>
        <w:t>Literature</w:t>
      </w:r>
      <w:r w:rsidR="0073106C" w:rsidRPr="00CE46D8">
        <w:rPr>
          <w:sz w:val="16"/>
          <w:szCs w:val="22"/>
        </w:rPr>
        <w:t>,</w:t>
      </w:r>
      <w:r w:rsidR="00007CCE" w:rsidRPr="00CE46D8">
        <w:rPr>
          <w:sz w:val="16"/>
          <w:szCs w:val="22"/>
        </w:rPr>
        <w:t>"</w:t>
      </w:r>
      <w:r w:rsidRPr="00CE46D8">
        <w:rPr>
          <w:sz w:val="16"/>
          <w:szCs w:val="22"/>
        </w:rPr>
        <w:t xml:space="preserve"> </w:t>
      </w:r>
      <w:r w:rsidRPr="00CE46D8">
        <w:rPr>
          <w:i/>
          <w:iCs/>
          <w:sz w:val="16"/>
          <w:szCs w:val="22"/>
        </w:rPr>
        <w:t>Issues in Mental Health Nursing</w:t>
      </w:r>
      <w:r w:rsidRPr="00CE46D8">
        <w:rPr>
          <w:sz w:val="16"/>
          <w:szCs w:val="22"/>
        </w:rPr>
        <w:t xml:space="preserve"> 39, no. </w:t>
      </w:r>
      <w:r w:rsidR="00007CCE" w:rsidRPr="00CE46D8">
        <w:rPr>
          <w:sz w:val="16"/>
          <w:szCs w:val="22"/>
        </w:rPr>
        <w:t>1 (2018): 16-29.</w:t>
      </w:r>
    </w:p>
  </w:footnote>
  <w:footnote w:id="142">
    <w:p w14:paraId="35B8CD9A" w14:textId="2F2A1414" w:rsidR="008E013A" w:rsidRPr="00CE46D8" w:rsidRDefault="008E013A" w:rsidP="008E013A">
      <w:pPr>
        <w:pStyle w:val="FootnoteText"/>
        <w:rPr>
          <w:sz w:val="16"/>
          <w:szCs w:val="22"/>
        </w:rPr>
      </w:pPr>
      <w:r w:rsidRPr="00CE46D8">
        <w:rPr>
          <w:rStyle w:val="FootnoteReference"/>
          <w:sz w:val="16"/>
          <w:szCs w:val="22"/>
        </w:rPr>
        <w:footnoteRef/>
      </w:r>
      <w:r w:rsidRPr="00CE46D8">
        <w:rPr>
          <w:sz w:val="16"/>
          <w:szCs w:val="22"/>
        </w:rPr>
        <w:t xml:space="preserve"> </w:t>
      </w:r>
      <w:r w:rsidR="007C52A0" w:rsidRPr="00CE46D8">
        <w:rPr>
          <w:sz w:val="16"/>
          <w:szCs w:val="22"/>
        </w:rPr>
        <w:t>Mongelli, Perrone, Balducci, Sacchetti, Ferrari, Mettai, and Galeazzi, "Minority Stress and Mental Health Among LGBT Populations," 32.</w:t>
      </w:r>
    </w:p>
  </w:footnote>
  <w:footnote w:id="143">
    <w:p w14:paraId="73D44E98" w14:textId="77777777" w:rsidR="00D16FF6" w:rsidRPr="00AD31EA" w:rsidRDefault="00D16FF6" w:rsidP="00D16FF6">
      <w:pPr>
        <w:pStyle w:val="FootnoteText"/>
        <w:rPr>
          <w:sz w:val="16"/>
          <w:szCs w:val="22"/>
        </w:rPr>
      </w:pPr>
      <w:r w:rsidRPr="00AD31EA">
        <w:rPr>
          <w:rStyle w:val="FootnoteReference"/>
          <w:sz w:val="16"/>
          <w:szCs w:val="22"/>
        </w:rPr>
        <w:footnoteRef/>
      </w:r>
      <w:r w:rsidRPr="00AD31EA">
        <w:rPr>
          <w:sz w:val="16"/>
          <w:szCs w:val="22"/>
        </w:rPr>
        <w:t xml:space="preserve"> Kate Klein, Alix Holtby, Katie Cook and Robb Travers, "Complicating the Coming Out Narrative: Becoming Oneself in a Heterosexist and Cissexist World." </w:t>
      </w:r>
      <w:r w:rsidRPr="00AD31EA">
        <w:rPr>
          <w:i/>
          <w:iCs/>
          <w:sz w:val="16"/>
          <w:szCs w:val="22"/>
        </w:rPr>
        <w:t>Journal of Homosexuality</w:t>
      </w:r>
      <w:r w:rsidRPr="00AD31EA">
        <w:rPr>
          <w:sz w:val="16"/>
          <w:szCs w:val="22"/>
        </w:rPr>
        <w:t xml:space="preserve"> 62, no. 3 (2015): 297-326.</w:t>
      </w:r>
    </w:p>
  </w:footnote>
  <w:footnote w:id="144">
    <w:p w14:paraId="0DB45B8C" w14:textId="5FB6E60F" w:rsidR="008E013A" w:rsidRPr="00AD31EA" w:rsidRDefault="008E013A" w:rsidP="008E013A">
      <w:pPr>
        <w:pStyle w:val="FootnoteText"/>
        <w:rPr>
          <w:sz w:val="16"/>
          <w:szCs w:val="22"/>
        </w:rPr>
      </w:pPr>
      <w:r w:rsidRPr="00AD31EA">
        <w:rPr>
          <w:rStyle w:val="FootnoteReference"/>
          <w:sz w:val="16"/>
          <w:szCs w:val="22"/>
        </w:rPr>
        <w:footnoteRef/>
      </w:r>
      <w:r w:rsidRPr="00AD31EA">
        <w:rPr>
          <w:sz w:val="16"/>
          <w:szCs w:val="22"/>
        </w:rPr>
        <w:t xml:space="preserve"> </w:t>
      </w:r>
      <w:r w:rsidR="00797313" w:rsidRPr="00AD31EA">
        <w:rPr>
          <w:sz w:val="16"/>
          <w:szCs w:val="22"/>
        </w:rPr>
        <w:t xml:space="preserve">Emily Bariola, Anthony </w:t>
      </w:r>
      <w:r w:rsidR="00646F39" w:rsidRPr="00AD31EA">
        <w:rPr>
          <w:sz w:val="16"/>
          <w:szCs w:val="22"/>
        </w:rPr>
        <w:t>Lyons,</w:t>
      </w:r>
      <w:r w:rsidR="00797313" w:rsidRPr="00AD31EA">
        <w:rPr>
          <w:sz w:val="16"/>
          <w:szCs w:val="22"/>
        </w:rPr>
        <w:t xml:space="preserve"> and Jayne Lucke</w:t>
      </w:r>
      <w:r w:rsidR="0094195C" w:rsidRPr="00AD31EA">
        <w:rPr>
          <w:sz w:val="16"/>
          <w:szCs w:val="22"/>
        </w:rPr>
        <w:t>,</w:t>
      </w:r>
      <w:r w:rsidRPr="00AD31EA">
        <w:rPr>
          <w:sz w:val="16"/>
          <w:szCs w:val="22"/>
        </w:rPr>
        <w:t xml:space="preserve"> “Flourishing Among Sexual Minority Individuals: Application of the Dual Continuum Model of Mental Health in a Sample of Lesbians and Gay Men”, </w:t>
      </w:r>
      <w:r w:rsidRPr="00AD31EA">
        <w:rPr>
          <w:i/>
          <w:iCs/>
          <w:sz w:val="16"/>
          <w:szCs w:val="22"/>
        </w:rPr>
        <w:t>Psychology of Sexual Orientation and Gender Diversity</w:t>
      </w:r>
      <w:r w:rsidR="0094195C" w:rsidRPr="00AD31EA">
        <w:rPr>
          <w:i/>
          <w:iCs/>
          <w:sz w:val="16"/>
          <w:szCs w:val="22"/>
        </w:rPr>
        <w:t xml:space="preserve"> </w:t>
      </w:r>
      <w:r w:rsidR="0094195C" w:rsidRPr="00AD31EA">
        <w:rPr>
          <w:sz w:val="16"/>
          <w:szCs w:val="22"/>
        </w:rPr>
        <w:t>4</w:t>
      </w:r>
      <w:r w:rsidRPr="00AD31EA">
        <w:rPr>
          <w:sz w:val="16"/>
          <w:szCs w:val="22"/>
        </w:rPr>
        <w:t>, no. 1</w:t>
      </w:r>
      <w:r w:rsidR="009566D7" w:rsidRPr="00AD31EA">
        <w:rPr>
          <w:sz w:val="16"/>
          <w:szCs w:val="22"/>
        </w:rPr>
        <w:t xml:space="preserve"> (2017)</w:t>
      </w:r>
      <w:r w:rsidR="00CF5F55" w:rsidRPr="00AD31EA">
        <w:rPr>
          <w:sz w:val="16"/>
          <w:szCs w:val="22"/>
        </w:rPr>
        <w:t xml:space="preserve">: </w:t>
      </w:r>
      <w:r w:rsidRPr="00AD31EA">
        <w:rPr>
          <w:sz w:val="16"/>
          <w:szCs w:val="22"/>
        </w:rPr>
        <w:t xml:space="preserve">50. </w:t>
      </w:r>
    </w:p>
  </w:footnote>
  <w:footnote w:id="145">
    <w:p w14:paraId="48109A17" w14:textId="49B0D035" w:rsidR="008E013A" w:rsidRPr="00AD31EA" w:rsidRDefault="008E013A" w:rsidP="000F09E7">
      <w:pPr>
        <w:pStyle w:val="FootnoteText"/>
        <w:rPr>
          <w:sz w:val="16"/>
          <w:szCs w:val="22"/>
        </w:rPr>
      </w:pPr>
      <w:r w:rsidRPr="00AD31EA">
        <w:rPr>
          <w:rStyle w:val="FootnoteReference"/>
          <w:sz w:val="16"/>
          <w:szCs w:val="22"/>
        </w:rPr>
        <w:footnoteRef/>
      </w:r>
      <w:r w:rsidRPr="00AD31EA">
        <w:rPr>
          <w:sz w:val="16"/>
          <w:szCs w:val="22"/>
        </w:rPr>
        <w:t xml:space="preserve"> </w:t>
      </w:r>
      <w:r w:rsidR="00FF6438" w:rsidRPr="00AD31EA">
        <w:rPr>
          <w:sz w:val="16"/>
          <w:szCs w:val="22"/>
        </w:rPr>
        <w:t>Moagi, van Der Wath, Jiyane, and Rikhotso, “Mental health challenges of lesbian, gay, bisexual and transgender people,” 8</w:t>
      </w:r>
      <w:r w:rsidR="000F09E7" w:rsidRPr="00AD31EA">
        <w:rPr>
          <w:sz w:val="16"/>
          <w:szCs w:val="22"/>
        </w:rPr>
        <w:t xml:space="preserve">; </w:t>
      </w:r>
      <w:r w:rsidR="005F5BDD" w:rsidRPr="00AD31EA">
        <w:rPr>
          <w:sz w:val="16"/>
          <w:szCs w:val="22"/>
        </w:rPr>
        <w:t>Michael Skerrett, Kairi</w:t>
      </w:r>
      <w:r w:rsidRPr="00AD31EA">
        <w:rPr>
          <w:sz w:val="16"/>
          <w:szCs w:val="22"/>
        </w:rPr>
        <w:t xml:space="preserve"> Kolves, and </w:t>
      </w:r>
      <w:r w:rsidR="005F5BDD" w:rsidRPr="00AD31EA">
        <w:rPr>
          <w:sz w:val="16"/>
          <w:szCs w:val="22"/>
        </w:rPr>
        <w:t xml:space="preserve">Diego </w:t>
      </w:r>
      <w:r w:rsidRPr="00AD31EA">
        <w:rPr>
          <w:sz w:val="16"/>
          <w:szCs w:val="22"/>
        </w:rPr>
        <w:t xml:space="preserve">De Leo, </w:t>
      </w:r>
      <w:r w:rsidR="005F5BDD" w:rsidRPr="00AD31EA">
        <w:rPr>
          <w:sz w:val="16"/>
          <w:szCs w:val="22"/>
        </w:rPr>
        <w:t>"</w:t>
      </w:r>
      <w:r w:rsidRPr="00AD31EA">
        <w:rPr>
          <w:sz w:val="16"/>
          <w:szCs w:val="22"/>
        </w:rPr>
        <w:t>Factors Related to Suicide in LGBT Populations - A Psychological Autopsy Case-Control Study in Australia</w:t>
      </w:r>
      <w:r w:rsidR="005F5BDD" w:rsidRPr="00AD31EA">
        <w:rPr>
          <w:sz w:val="16"/>
          <w:szCs w:val="22"/>
        </w:rPr>
        <w:t>,"</w:t>
      </w:r>
      <w:r w:rsidRPr="00AD31EA">
        <w:rPr>
          <w:sz w:val="16"/>
          <w:szCs w:val="22"/>
        </w:rPr>
        <w:t xml:space="preserve"> </w:t>
      </w:r>
      <w:r w:rsidRPr="00AD31EA">
        <w:rPr>
          <w:i/>
          <w:sz w:val="16"/>
          <w:szCs w:val="22"/>
        </w:rPr>
        <w:t>Crisis</w:t>
      </w:r>
      <w:r w:rsidRPr="00AD31EA">
        <w:rPr>
          <w:sz w:val="16"/>
          <w:szCs w:val="22"/>
        </w:rPr>
        <w:t xml:space="preserve"> 37, no. 5 </w:t>
      </w:r>
      <w:r w:rsidR="005F5BDD" w:rsidRPr="00AD31EA">
        <w:rPr>
          <w:sz w:val="16"/>
          <w:szCs w:val="22"/>
        </w:rPr>
        <w:t>(2016):</w:t>
      </w:r>
      <w:r w:rsidRPr="00AD31EA">
        <w:rPr>
          <w:sz w:val="16"/>
          <w:szCs w:val="22"/>
        </w:rPr>
        <w:t xml:space="preserve"> 365.</w:t>
      </w:r>
    </w:p>
  </w:footnote>
  <w:footnote w:id="146">
    <w:p w14:paraId="1958E673" w14:textId="26B94090" w:rsidR="008E013A" w:rsidRPr="00AD31EA" w:rsidRDefault="008E013A" w:rsidP="008E013A">
      <w:pPr>
        <w:pStyle w:val="FootnoteText"/>
        <w:rPr>
          <w:sz w:val="16"/>
          <w:szCs w:val="22"/>
        </w:rPr>
      </w:pPr>
      <w:r w:rsidRPr="00AD31EA">
        <w:rPr>
          <w:rStyle w:val="FootnoteReference"/>
          <w:sz w:val="16"/>
          <w:szCs w:val="22"/>
        </w:rPr>
        <w:footnoteRef/>
      </w:r>
      <w:r w:rsidRPr="00AD31EA">
        <w:rPr>
          <w:sz w:val="16"/>
          <w:szCs w:val="22"/>
        </w:rPr>
        <w:t xml:space="preserve"> Klein, Holtby, Cook</w:t>
      </w:r>
      <w:r w:rsidR="00AF017A" w:rsidRPr="00AD31EA">
        <w:rPr>
          <w:sz w:val="16"/>
          <w:szCs w:val="22"/>
        </w:rPr>
        <w:t xml:space="preserve"> and </w:t>
      </w:r>
      <w:r w:rsidRPr="00AD31EA">
        <w:rPr>
          <w:sz w:val="16"/>
          <w:szCs w:val="22"/>
        </w:rPr>
        <w:t xml:space="preserve">Travers, </w:t>
      </w:r>
      <w:r w:rsidR="00F47985" w:rsidRPr="00AD31EA">
        <w:rPr>
          <w:sz w:val="16"/>
          <w:szCs w:val="22"/>
        </w:rPr>
        <w:t>"</w:t>
      </w:r>
      <w:r w:rsidRPr="00AD31EA">
        <w:rPr>
          <w:sz w:val="16"/>
          <w:szCs w:val="22"/>
        </w:rPr>
        <w:t xml:space="preserve">Complicating the </w:t>
      </w:r>
      <w:r w:rsidR="00F47985" w:rsidRPr="00AD31EA">
        <w:rPr>
          <w:sz w:val="16"/>
          <w:szCs w:val="22"/>
        </w:rPr>
        <w:t>Coming Out Narrative</w:t>
      </w:r>
      <w:r w:rsidR="00B12617" w:rsidRPr="00AD31EA">
        <w:rPr>
          <w:sz w:val="16"/>
          <w:szCs w:val="22"/>
        </w:rPr>
        <w:t>,</w:t>
      </w:r>
      <w:r w:rsidR="00F47985" w:rsidRPr="00AD31EA">
        <w:rPr>
          <w:sz w:val="16"/>
          <w:szCs w:val="22"/>
        </w:rPr>
        <w:t>"</w:t>
      </w:r>
      <w:r w:rsidRPr="00AD31EA">
        <w:rPr>
          <w:sz w:val="16"/>
          <w:szCs w:val="22"/>
        </w:rPr>
        <w:t xml:space="preserve"> 297-326.</w:t>
      </w:r>
    </w:p>
  </w:footnote>
  <w:footnote w:id="147">
    <w:p w14:paraId="37605C58" w14:textId="5D4BBD14" w:rsidR="00226C5C" w:rsidRPr="00AD31EA" w:rsidRDefault="00226C5C" w:rsidP="00226C5C">
      <w:pPr>
        <w:pStyle w:val="FootnoteText"/>
        <w:rPr>
          <w:sz w:val="16"/>
          <w:szCs w:val="22"/>
        </w:rPr>
      </w:pPr>
      <w:r w:rsidRPr="00AD31EA">
        <w:rPr>
          <w:rStyle w:val="FootnoteReference"/>
          <w:sz w:val="16"/>
          <w:szCs w:val="22"/>
        </w:rPr>
        <w:footnoteRef/>
      </w:r>
      <w:r w:rsidRPr="00AD31EA">
        <w:rPr>
          <w:sz w:val="16"/>
          <w:szCs w:val="22"/>
        </w:rPr>
        <w:t xml:space="preserve"> </w:t>
      </w:r>
      <w:r w:rsidR="00575BAA" w:rsidRPr="00AD31EA">
        <w:rPr>
          <w:sz w:val="16"/>
          <w:szCs w:val="22"/>
        </w:rPr>
        <w:t>Mary Lou</w:t>
      </w:r>
      <w:r w:rsidRPr="00AD31EA">
        <w:rPr>
          <w:sz w:val="16"/>
          <w:szCs w:val="22"/>
        </w:rPr>
        <w:t xml:space="preserve"> Rasmussen, </w:t>
      </w:r>
      <w:r w:rsidR="00584D4C" w:rsidRPr="00AD31EA">
        <w:rPr>
          <w:sz w:val="16"/>
          <w:szCs w:val="22"/>
        </w:rPr>
        <w:t>"</w:t>
      </w:r>
      <w:r w:rsidRPr="00AD31EA">
        <w:rPr>
          <w:sz w:val="16"/>
          <w:szCs w:val="22"/>
        </w:rPr>
        <w:t xml:space="preserve">The </w:t>
      </w:r>
      <w:r w:rsidR="00584D4C" w:rsidRPr="00AD31EA">
        <w:rPr>
          <w:sz w:val="16"/>
          <w:szCs w:val="22"/>
        </w:rPr>
        <w:t>Problem</w:t>
      </w:r>
      <w:r w:rsidRPr="00AD31EA">
        <w:rPr>
          <w:sz w:val="16"/>
          <w:szCs w:val="22"/>
        </w:rPr>
        <w:t xml:space="preserve"> of </w:t>
      </w:r>
      <w:r w:rsidR="00584D4C" w:rsidRPr="00AD31EA">
        <w:rPr>
          <w:sz w:val="16"/>
          <w:szCs w:val="22"/>
        </w:rPr>
        <w:t>Coming Out</w:t>
      </w:r>
      <w:r w:rsidR="002B7923" w:rsidRPr="00AD31EA">
        <w:rPr>
          <w:sz w:val="16"/>
          <w:szCs w:val="22"/>
        </w:rPr>
        <w:t>,</w:t>
      </w:r>
      <w:r w:rsidR="00584D4C" w:rsidRPr="00AD31EA">
        <w:rPr>
          <w:sz w:val="16"/>
          <w:szCs w:val="22"/>
        </w:rPr>
        <w:t>"</w:t>
      </w:r>
      <w:r w:rsidRPr="00AD31EA">
        <w:rPr>
          <w:sz w:val="16"/>
          <w:szCs w:val="22"/>
        </w:rPr>
        <w:t xml:space="preserve"> </w:t>
      </w:r>
      <w:r w:rsidRPr="00AD31EA">
        <w:rPr>
          <w:i/>
          <w:iCs/>
          <w:sz w:val="16"/>
          <w:szCs w:val="22"/>
        </w:rPr>
        <w:t>Theory into Practice</w:t>
      </w:r>
      <w:r w:rsidRPr="00AD31EA">
        <w:rPr>
          <w:sz w:val="16"/>
          <w:szCs w:val="22"/>
        </w:rPr>
        <w:t xml:space="preserve"> 43</w:t>
      </w:r>
      <w:r w:rsidR="00584D4C" w:rsidRPr="00AD31EA">
        <w:rPr>
          <w:sz w:val="16"/>
          <w:szCs w:val="22"/>
        </w:rPr>
        <w:t xml:space="preserve"> (2004):</w:t>
      </w:r>
      <w:r w:rsidRPr="00AD31EA">
        <w:rPr>
          <w:sz w:val="16"/>
          <w:szCs w:val="22"/>
        </w:rPr>
        <w:t xml:space="preserve"> 144</w:t>
      </w:r>
      <w:r w:rsidR="00584D4C" w:rsidRPr="00AD31EA">
        <w:rPr>
          <w:sz w:val="16"/>
          <w:szCs w:val="22"/>
        </w:rPr>
        <w:t>-</w:t>
      </w:r>
      <w:r w:rsidRPr="00AD31EA">
        <w:rPr>
          <w:sz w:val="16"/>
          <w:szCs w:val="22"/>
        </w:rPr>
        <w:t>150.</w:t>
      </w:r>
    </w:p>
  </w:footnote>
  <w:footnote w:id="148">
    <w:p w14:paraId="3FC5506E" w14:textId="188656E5" w:rsidR="008E013A" w:rsidRPr="00956B5E" w:rsidRDefault="008E013A" w:rsidP="008E013A">
      <w:pPr>
        <w:pStyle w:val="FootnoteText"/>
        <w:rPr>
          <w:lang w:val="en-US"/>
        </w:rPr>
      </w:pPr>
      <w:r w:rsidRPr="00AD31EA">
        <w:rPr>
          <w:rStyle w:val="FootnoteReference"/>
          <w:sz w:val="16"/>
          <w:szCs w:val="22"/>
        </w:rPr>
        <w:footnoteRef/>
      </w:r>
      <w:r w:rsidRPr="00AD31EA">
        <w:rPr>
          <w:sz w:val="16"/>
          <w:szCs w:val="22"/>
        </w:rPr>
        <w:t xml:space="preserve"> G</w:t>
      </w:r>
      <w:r w:rsidR="007A5327" w:rsidRPr="00AD31EA">
        <w:rPr>
          <w:sz w:val="16"/>
          <w:szCs w:val="22"/>
        </w:rPr>
        <w:t>uilzar</w:t>
      </w:r>
      <w:r w:rsidRPr="00AD31EA">
        <w:rPr>
          <w:sz w:val="16"/>
          <w:szCs w:val="22"/>
        </w:rPr>
        <w:t xml:space="preserve"> R</w:t>
      </w:r>
      <w:r w:rsidR="007A5327" w:rsidRPr="00AD31EA">
        <w:rPr>
          <w:sz w:val="16"/>
          <w:szCs w:val="22"/>
        </w:rPr>
        <w:t>aisa</w:t>
      </w:r>
      <w:r w:rsidRPr="00AD31EA">
        <w:rPr>
          <w:sz w:val="16"/>
          <w:szCs w:val="22"/>
        </w:rPr>
        <w:t xml:space="preserve"> Charania,</w:t>
      </w:r>
      <w:r w:rsidRPr="00AD31EA">
        <w:rPr>
          <w:rFonts w:ascii="Segoe UI" w:hAnsi="Segoe UI" w:cs="Segoe UI"/>
          <w:color w:val="374151"/>
          <w:sz w:val="24"/>
          <w:szCs w:val="24"/>
          <w:shd w:val="clear" w:color="auto" w:fill="F7F7F8"/>
        </w:rPr>
        <w:t xml:space="preserve"> </w:t>
      </w:r>
      <w:r w:rsidR="001C683A" w:rsidRPr="00AD31EA">
        <w:rPr>
          <w:sz w:val="16"/>
          <w:szCs w:val="22"/>
        </w:rPr>
        <w:t>"</w:t>
      </w:r>
      <w:r w:rsidRPr="00AD31EA">
        <w:rPr>
          <w:sz w:val="16"/>
          <w:szCs w:val="22"/>
        </w:rPr>
        <w:t xml:space="preserve">Regulated </w:t>
      </w:r>
      <w:r w:rsidR="001C683A" w:rsidRPr="00AD31EA">
        <w:rPr>
          <w:sz w:val="16"/>
          <w:szCs w:val="22"/>
        </w:rPr>
        <w:t>Narratives</w:t>
      </w:r>
      <w:r w:rsidRPr="00AD31EA">
        <w:rPr>
          <w:sz w:val="16"/>
          <w:szCs w:val="22"/>
        </w:rPr>
        <w:t xml:space="preserve"> in </w:t>
      </w:r>
      <w:r w:rsidR="001C683A" w:rsidRPr="00AD31EA">
        <w:rPr>
          <w:sz w:val="16"/>
          <w:szCs w:val="22"/>
        </w:rPr>
        <w:t>Anti-Homophobia Education</w:t>
      </w:r>
      <w:r w:rsidRPr="00AD31EA">
        <w:rPr>
          <w:sz w:val="16"/>
          <w:szCs w:val="22"/>
        </w:rPr>
        <w:t xml:space="preserve">: Complications in </w:t>
      </w:r>
      <w:r w:rsidR="001C683A" w:rsidRPr="00AD31EA">
        <w:rPr>
          <w:sz w:val="16"/>
          <w:szCs w:val="22"/>
        </w:rPr>
        <w:t>Coming Out Stories."</w:t>
      </w:r>
      <w:r w:rsidRPr="00AD31EA">
        <w:rPr>
          <w:sz w:val="16"/>
          <w:szCs w:val="22"/>
        </w:rPr>
        <w:t xml:space="preserve"> </w:t>
      </w:r>
      <w:r w:rsidRPr="00AD31EA">
        <w:rPr>
          <w:i/>
          <w:iCs/>
          <w:sz w:val="16"/>
          <w:szCs w:val="22"/>
        </w:rPr>
        <w:t>Canadian Woman Studies</w:t>
      </w:r>
      <w:r w:rsidRPr="00AD31EA">
        <w:rPr>
          <w:sz w:val="16"/>
          <w:szCs w:val="22"/>
        </w:rPr>
        <w:t xml:space="preserve"> 24</w:t>
      </w:r>
      <w:r w:rsidR="001C683A" w:rsidRPr="00AD31EA">
        <w:rPr>
          <w:sz w:val="16"/>
          <w:szCs w:val="22"/>
        </w:rPr>
        <w:t xml:space="preserve"> (2005):</w:t>
      </w:r>
      <w:r w:rsidRPr="00AD31EA">
        <w:rPr>
          <w:sz w:val="16"/>
          <w:szCs w:val="22"/>
        </w:rPr>
        <w:t xml:space="preserve"> 31</w:t>
      </w:r>
      <w:r w:rsidR="001C683A" w:rsidRPr="00AD31EA">
        <w:rPr>
          <w:sz w:val="16"/>
          <w:szCs w:val="22"/>
        </w:rPr>
        <w:t>-</w:t>
      </w:r>
      <w:r w:rsidRPr="00AD31EA">
        <w:rPr>
          <w:sz w:val="16"/>
          <w:szCs w:val="22"/>
        </w:rPr>
        <w:t>37.</w:t>
      </w:r>
    </w:p>
  </w:footnote>
  <w:footnote w:id="149">
    <w:p w14:paraId="28C94D01" w14:textId="2CFC35BC" w:rsidR="005A577C" w:rsidRPr="00DB7F9E" w:rsidRDefault="005A577C" w:rsidP="005A577C">
      <w:pPr>
        <w:pStyle w:val="FootnoteText"/>
        <w:rPr>
          <w:sz w:val="16"/>
          <w:szCs w:val="22"/>
          <w:lang w:val="en-US"/>
        </w:rPr>
      </w:pPr>
      <w:r w:rsidRPr="00DB7F9E">
        <w:rPr>
          <w:rStyle w:val="FootnoteReference"/>
          <w:sz w:val="16"/>
          <w:szCs w:val="22"/>
        </w:rPr>
        <w:footnoteRef/>
      </w:r>
      <w:r w:rsidRPr="00DB7F9E">
        <w:rPr>
          <w:sz w:val="16"/>
          <w:szCs w:val="22"/>
        </w:rPr>
        <w:t xml:space="preserve"> </w:t>
      </w:r>
      <w:r w:rsidR="00F30666" w:rsidRPr="00DB7F9E">
        <w:rPr>
          <w:sz w:val="16"/>
          <w:szCs w:val="22"/>
        </w:rPr>
        <w:t>Kirsten</w:t>
      </w:r>
      <w:r w:rsidRPr="00DB7F9E">
        <w:rPr>
          <w:sz w:val="16"/>
          <w:szCs w:val="22"/>
        </w:rPr>
        <w:t xml:space="preserve"> McLean, </w:t>
      </w:r>
      <w:r w:rsidR="00F30666" w:rsidRPr="00DB7F9E">
        <w:rPr>
          <w:sz w:val="16"/>
          <w:szCs w:val="22"/>
        </w:rPr>
        <w:t>"</w:t>
      </w:r>
      <w:r w:rsidRPr="00DB7F9E">
        <w:rPr>
          <w:sz w:val="16"/>
          <w:szCs w:val="22"/>
        </w:rPr>
        <w:t xml:space="preserve">Hiding in the </w:t>
      </w:r>
      <w:r w:rsidR="00F30666" w:rsidRPr="00DB7F9E">
        <w:rPr>
          <w:sz w:val="16"/>
          <w:szCs w:val="22"/>
        </w:rPr>
        <w:t>Closet?</w:t>
      </w:r>
      <w:r w:rsidRPr="00DB7F9E">
        <w:rPr>
          <w:sz w:val="16"/>
          <w:szCs w:val="22"/>
        </w:rPr>
        <w:t xml:space="preserve"> Bisexuals, </w:t>
      </w:r>
      <w:r w:rsidR="00F30666" w:rsidRPr="00DB7F9E">
        <w:rPr>
          <w:sz w:val="16"/>
          <w:szCs w:val="22"/>
        </w:rPr>
        <w:t>Coming Out,</w:t>
      </w:r>
      <w:r w:rsidRPr="00DB7F9E">
        <w:rPr>
          <w:sz w:val="16"/>
          <w:szCs w:val="22"/>
        </w:rPr>
        <w:t xml:space="preserve"> and the </w:t>
      </w:r>
      <w:r w:rsidR="00F30666" w:rsidRPr="00DB7F9E">
        <w:rPr>
          <w:sz w:val="16"/>
          <w:szCs w:val="22"/>
        </w:rPr>
        <w:t>Disclosure Imperative,"</w:t>
      </w:r>
      <w:r w:rsidRPr="00DB7F9E">
        <w:rPr>
          <w:sz w:val="16"/>
          <w:szCs w:val="22"/>
        </w:rPr>
        <w:t xml:space="preserve"> </w:t>
      </w:r>
      <w:r w:rsidRPr="00DB7F9E">
        <w:rPr>
          <w:i/>
          <w:iCs/>
          <w:sz w:val="16"/>
          <w:szCs w:val="22"/>
        </w:rPr>
        <w:t>Journal of Sexuality</w:t>
      </w:r>
      <w:r w:rsidRPr="00DB7F9E">
        <w:rPr>
          <w:sz w:val="16"/>
          <w:szCs w:val="22"/>
        </w:rPr>
        <w:t xml:space="preserve"> 43</w:t>
      </w:r>
      <w:r w:rsidR="00F30666" w:rsidRPr="00DB7F9E">
        <w:rPr>
          <w:sz w:val="16"/>
          <w:szCs w:val="22"/>
        </w:rPr>
        <w:t>:</w:t>
      </w:r>
      <w:r w:rsidRPr="00DB7F9E">
        <w:rPr>
          <w:sz w:val="16"/>
          <w:szCs w:val="22"/>
        </w:rPr>
        <w:t xml:space="preserve"> 151</w:t>
      </w:r>
      <w:r w:rsidR="00F30666" w:rsidRPr="00DB7F9E">
        <w:rPr>
          <w:sz w:val="16"/>
          <w:szCs w:val="22"/>
        </w:rPr>
        <w:t>-</w:t>
      </w:r>
      <w:r w:rsidRPr="00DB7F9E">
        <w:rPr>
          <w:sz w:val="16"/>
          <w:szCs w:val="22"/>
        </w:rPr>
        <w:t>166.</w:t>
      </w:r>
      <w:r w:rsidR="00F30666" w:rsidRPr="00DB7F9E">
        <w:rPr>
          <w:sz w:val="16"/>
          <w:szCs w:val="22"/>
        </w:rPr>
        <w:t xml:space="preserve"> </w:t>
      </w:r>
    </w:p>
  </w:footnote>
  <w:footnote w:id="150">
    <w:p w14:paraId="1E87E59E" w14:textId="480D6D57" w:rsidR="00002E2A" w:rsidRPr="00DB7F9E" w:rsidRDefault="00002E2A" w:rsidP="00002E2A">
      <w:pPr>
        <w:pStyle w:val="FootnoteText"/>
        <w:rPr>
          <w:sz w:val="16"/>
          <w:szCs w:val="22"/>
          <w:lang w:val="en-US"/>
        </w:rPr>
      </w:pPr>
      <w:r w:rsidRPr="00DB7F9E">
        <w:rPr>
          <w:rStyle w:val="FootnoteReference"/>
          <w:sz w:val="16"/>
          <w:szCs w:val="22"/>
        </w:rPr>
        <w:footnoteRef/>
      </w:r>
      <w:r w:rsidRPr="00DB7F9E">
        <w:rPr>
          <w:sz w:val="16"/>
          <w:szCs w:val="22"/>
        </w:rPr>
        <w:t xml:space="preserve"> </w:t>
      </w:r>
      <w:r w:rsidR="00517E59" w:rsidRPr="00517E59">
        <w:rPr>
          <w:sz w:val="16"/>
          <w:szCs w:val="22"/>
          <w:lang w:val="en-US"/>
        </w:rPr>
        <w:t>Skerrett, Michael., Kolves, Kairi., and De Leo, Diego. "Factors Related to Suicide in LGBT Populations</w:t>
      </w:r>
      <w:r w:rsidR="00772894">
        <w:rPr>
          <w:sz w:val="16"/>
          <w:szCs w:val="22"/>
          <w:lang w:val="en-US"/>
        </w:rPr>
        <w:t>”</w:t>
      </w:r>
      <w:r w:rsidRPr="00DB7F9E">
        <w:rPr>
          <w:sz w:val="16"/>
          <w:szCs w:val="22"/>
        </w:rPr>
        <w:t xml:space="preserve"> p. 366.</w:t>
      </w:r>
    </w:p>
  </w:footnote>
  <w:footnote w:id="151">
    <w:p w14:paraId="2166FEF6" w14:textId="02196DBE" w:rsidR="00FF3C03" w:rsidRPr="00DB7F9E" w:rsidRDefault="00FF3C03" w:rsidP="00FF3C03">
      <w:pPr>
        <w:pStyle w:val="FootnoteText"/>
        <w:rPr>
          <w:sz w:val="16"/>
          <w:szCs w:val="22"/>
          <w:lang w:val="en-US"/>
        </w:rPr>
      </w:pPr>
      <w:r w:rsidRPr="00DB7F9E">
        <w:rPr>
          <w:rStyle w:val="FootnoteReference"/>
          <w:sz w:val="16"/>
          <w:szCs w:val="22"/>
        </w:rPr>
        <w:footnoteRef/>
      </w:r>
      <w:r w:rsidRPr="00DB7F9E">
        <w:rPr>
          <w:sz w:val="16"/>
          <w:szCs w:val="22"/>
        </w:rPr>
        <w:t xml:space="preserve"> </w:t>
      </w:r>
      <w:r w:rsidR="00772894" w:rsidRPr="00772894">
        <w:rPr>
          <w:sz w:val="16"/>
          <w:szCs w:val="22"/>
          <w:lang w:val="en-US"/>
        </w:rPr>
        <w:t xml:space="preserve">Skerrett, Michael., Kolves, Kairi., and De Leo, Diego. "Factors Related to Suicide in LGBT Populations </w:t>
      </w:r>
      <w:r w:rsidRPr="00DB7F9E">
        <w:rPr>
          <w:sz w:val="16"/>
          <w:szCs w:val="22"/>
        </w:rPr>
        <w:t>p. 366.</w:t>
      </w:r>
    </w:p>
  </w:footnote>
  <w:footnote w:id="152">
    <w:p w14:paraId="6C3EDECE" w14:textId="0873F69F" w:rsidR="00050BA6" w:rsidRPr="00DB7F9E" w:rsidRDefault="00050BA6">
      <w:pPr>
        <w:pStyle w:val="FootnoteText"/>
        <w:rPr>
          <w:sz w:val="16"/>
          <w:szCs w:val="22"/>
        </w:rPr>
      </w:pPr>
      <w:r w:rsidRPr="00DB7F9E">
        <w:rPr>
          <w:rStyle w:val="FootnoteReference"/>
          <w:sz w:val="16"/>
          <w:szCs w:val="22"/>
        </w:rPr>
        <w:footnoteRef/>
      </w:r>
      <w:r w:rsidR="007411BC" w:rsidRPr="00DB7F9E">
        <w:rPr>
          <w:sz w:val="16"/>
          <w:szCs w:val="22"/>
        </w:rPr>
        <w:t xml:space="preserve"> Jack Turban</w:t>
      </w:r>
      <w:r w:rsidR="00A15DBC" w:rsidRPr="00DB7F9E">
        <w:rPr>
          <w:sz w:val="16"/>
          <w:szCs w:val="22"/>
        </w:rPr>
        <w:t>,</w:t>
      </w:r>
      <w:r w:rsidR="007411BC" w:rsidRPr="00DB7F9E">
        <w:rPr>
          <w:sz w:val="16"/>
          <w:szCs w:val="22"/>
        </w:rPr>
        <w:t xml:space="preserve"> "The Evidence for Trans Youth Gender-Affirming Medical Care: Research Suggests Gender-Affirming Medical Care Results in Better Mental Health." </w:t>
      </w:r>
      <w:r w:rsidR="007411BC" w:rsidRPr="00DB7F9E">
        <w:rPr>
          <w:i/>
          <w:iCs/>
          <w:sz w:val="16"/>
          <w:szCs w:val="22"/>
        </w:rPr>
        <w:t>Psychology Today</w:t>
      </w:r>
      <w:r w:rsidR="007411BC" w:rsidRPr="00DB7F9E">
        <w:rPr>
          <w:sz w:val="16"/>
          <w:szCs w:val="22"/>
        </w:rPr>
        <w:t xml:space="preserve">, January 24, 2022. </w:t>
      </w:r>
      <w:hyperlink r:id="rId31" w:tgtFrame="_new" w:history="1">
        <w:r w:rsidR="007411BC" w:rsidRPr="00DB7F9E">
          <w:rPr>
            <w:rStyle w:val="Hyperlink"/>
            <w:sz w:val="16"/>
            <w:szCs w:val="22"/>
          </w:rPr>
          <w:t>https://www.psychologytoday.com/us/blog/political-minds/202201/the-evidence-trans-youth-gender-affirming-medical-care</w:t>
        </w:r>
      </w:hyperlink>
      <w:r w:rsidR="007411BC" w:rsidRPr="00DB7F9E">
        <w:rPr>
          <w:sz w:val="16"/>
          <w:szCs w:val="22"/>
        </w:rPr>
        <w:t xml:space="preserve">. </w:t>
      </w:r>
    </w:p>
  </w:footnote>
  <w:footnote w:id="153">
    <w:p w14:paraId="1453C706" w14:textId="404AFC1C" w:rsidR="008E013A" w:rsidRDefault="008E013A" w:rsidP="008E013A">
      <w:pPr>
        <w:pStyle w:val="FootnoteText"/>
      </w:pPr>
      <w:r w:rsidRPr="00DB7F9E">
        <w:rPr>
          <w:rStyle w:val="FootnoteReference"/>
          <w:sz w:val="16"/>
          <w:szCs w:val="22"/>
        </w:rPr>
        <w:footnoteRef/>
      </w:r>
      <w:r w:rsidRPr="00DB7F9E">
        <w:rPr>
          <w:sz w:val="16"/>
          <w:szCs w:val="22"/>
        </w:rPr>
        <w:t xml:space="preserve"> </w:t>
      </w:r>
      <w:r w:rsidR="00954C68" w:rsidRPr="00DB7F9E">
        <w:rPr>
          <w:sz w:val="16"/>
          <w:szCs w:val="22"/>
        </w:rPr>
        <w:t>Rosie</w:t>
      </w:r>
      <w:r w:rsidRPr="00DB7F9E">
        <w:rPr>
          <w:sz w:val="16"/>
          <w:szCs w:val="22"/>
        </w:rPr>
        <w:t xml:space="preserve"> Charter, </w:t>
      </w:r>
      <w:r w:rsidR="00954C68" w:rsidRPr="00DB7F9E">
        <w:rPr>
          <w:sz w:val="16"/>
          <w:szCs w:val="22"/>
        </w:rPr>
        <w:t>Jane</w:t>
      </w:r>
      <w:r w:rsidRPr="00DB7F9E">
        <w:rPr>
          <w:sz w:val="16"/>
          <w:szCs w:val="22"/>
        </w:rPr>
        <w:t xml:space="preserve"> Ussher, Janette </w:t>
      </w:r>
      <w:r w:rsidR="00954C68" w:rsidRPr="00DB7F9E">
        <w:rPr>
          <w:sz w:val="16"/>
          <w:szCs w:val="22"/>
        </w:rPr>
        <w:t xml:space="preserve">Perz, </w:t>
      </w:r>
      <w:r w:rsidRPr="00DB7F9E">
        <w:rPr>
          <w:sz w:val="16"/>
          <w:szCs w:val="22"/>
        </w:rPr>
        <w:t xml:space="preserve">and </w:t>
      </w:r>
      <w:r w:rsidR="00954C68" w:rsidRPr="00DB7F9E">
        <w:rPr>
          <w:sz w:val="16"/>
          <w:szCs w:val="22"/>
        </w:rPr>
        <w:t xml:space="preserve">Kerry </w:t>
      </w:r>
      <w:r w:rsidRPr="00DB7F9E">
        <w:rPr>
          <w:sz w:val="16"/>
          <w:szCs w:val="22"/>
        </w:rPr>
        <w:t xml:space="preserve">Robinson, </w:t>
      </w:r>
      <w:r w:rsidR="00954C68" w:rsidRPr="00DB7F9E">
        <w:rPr>
          <w:sz w:val="16"/>
          <w:szCs w:val="22"/>
        </w:rPr>
        <w:t>"</w:t>
      </w:r>
      <w:r w:rsidRPr="00DB7F9E">
        <w:rPr>
          <w:sz w:val="16"/>
          <w:szCs w:val="22"/>
        </w:rPr>
        <w:t xml:space="preserve">Transgender Parents: Negotiating </w:t>
      </w:r>
      <w:r w:rsidR="00954C68" w:rsidRPr="00DB7F9E">
        <w:rPr>
          <w:sz w:val="16"/>
          <w:szCs w:val="22"/>
        </w:rPr>
        <w:t>'Coming Out'</w:t>
      </w:r>
      <w:r w:rsidRPr="00DB7F9E">
        <w:rPr>
          <w:sz w:val="16"/>
          <w:szCs w:val="22"/>
        </w:rPr>
        <w:t xml:space="preserve"> and Gender Affirmation with Children and Co-Parents</w:t>
      </w:r>
      <w:r w:rsidR="00954C68" w:rsidRPr="00DB7F9E">
        <w:rPr>
          <w:sz w:val="16"/>
          <w:szCs w:val="22"/>
        </w:rPr>
        <w:t>,"</w:t>
      </w:r>
      <w:r w:rsidRPr="00DB7F9E">
        <w:rPr>
          <w:sz w:val="16"/>
          <w:szCs w:val="22"/>
        </w:rPr>
        <w:t xml:space="preserve"> </w:t>
      </w:r>
      <w:r w:rsidRPr="00DB7F9E">
        <w:rPr>
          <w:i/>
          <w:iCs/>
          <w:sz w:val="16"/>
          <w:szCs w:val="22"/>
        </w:rPr>
        <w:t>Journal of Homosexuality</w:t>
      </w:r>
      <w:r w:rsidRPr="00DB7F9E">
        <w:rPr>
          <w:sz w:val="16"/>
          <w:szCs w:val="22"/>
        </w:rPr>
        <w:t xml:space="preserve"> 70, no. 7 </w:t>
      </w:r>
      <w:r w:rsidR="00954C68" w:rsidRPr="00DB7F9E">
        <w:rPr>
          <w:sz w:val="16"/>
          <w:szCs w:val="22"/>
        </w:rPr>
        <w:t>(2022):</w:t>
      </w:r>
      <w:r w:rsidRPr="00DB7F9E">
        <w:rPr>
          <w:sz w:val="16"/>
          <w:szCs w:val="22"/>
        </w:rPr>
        <w:t xml:space="preserve"> 1292.</w:t>
      </w:r>
    </w:p>
  </w:footnote>
  <w:footnote w:id="154">
    <w:p w14:paraId="6D06EC98" w14:textId="54409294" w:rsidR="008E013A" w:rsidRPr="00E94F9F" w:rsidRDefault="008E013A" w:rsidP="008E013A">
      <w:pPr>
        <w:pStyle w:val="FootnoteText"/>
        <w:rPr>
          <w:sz w:val="16"/>
          <w:szCs w:val="22"/>
          <w:lang w:val="en-US"/>
        </w:rPr>
      </w:pPr>
      <w:r w:rsidRPr="00E94F9F">
        <w:rPr>
          <w:rStyle w:val="FootnoteReference"/>
          <w:sz w:val="16"/>
          <w:szCs w:val="22"/>
        </w:rPr>
        <w:footnoteRef/>
      </w:r>
      <w:r w:rsidRPr="00E94F9F">
        <w:rPr>
          <w:sz w:val="16"/>
          <w:szCs w:val="22"/>
        </w:rPr>
        <w:t xml:space="preserve"> Matthew </w:t>
      </w:r>
      <w:r w:rsidRPr="00E94F9F">
        <w:rPr>
          <w:sz w:val="16"/>
          <w:szCs w:val="22"/>
          <w:lang w:val="en-US"/>
        </w:rPr>
        <w:t xml:space="preserve">Rivas-Koehl, Dane </w:t>
      </w:r>
      <w:r w:rsidR="00196973" w:rsidRPr="00E94F9F">
        <w:rPr>
          <w:sz w:val="16"/>
          <w:szCs w:val="22"/>
          <w:lang w:val="en-US"/>
        </w:rPr>
        <w:t xml:space="preserve">Rivas-Koehl, </w:t>
      </w:r>
      <w:r w:rsidRPr="00E94F9F">
        <w:rPr>
          <w:sz w:val="16"/>
          <w:szCs w:val="22"/>
          <w:lang w:val="en-US"/>
        </w:rPr>
        <w:t xml:space="preserve">and Sharde </w:t>
      </w:r>
      <w:r w:rsidR="00196973" w:rsidRPr="00E94F9F">
        <w:rPr>
          <w:sz w:val="16"/>
          <w:szCs w:val="22"/>
          <w:lang w:val="en-US"/>
        </w:rPr>
        <w:t>Smith</w:t>
      </w:r>
      <w:r w:rsidRPr="00E94F9F">
        <w:rPr>
          <w:sz w:val="16"/>
          <w:szCs w:val="22"/>
          <w:lang w:val="en-US"/>
        </w:rPr>
        <w:t>, “The temporal intersectional minority stress model: Reimagining minority stress theory</w:t>
      </w:r>
      <w:r w:rsidR="00196973" w:rsidRPr="00E94F9F">
        <w:rPr>
          <w:sz w:val="16"/>
          <w:szCs w:val="22"/>
          <w:lang w:val="en-US"/>
        </w:rPr>
        <w:t>,”</w:t>
      </w:r>
      <w:r w:rsidRPr="00E94F9F">
        <w:rPr>
          <w:sz w:val="16"/>
          <w:szCs w:val="22"/>
          <w:lang w:val="en-US"/>
        </w:rPr>
        <w:t xml:space="preserve"> </w:t>
      </w:r>
      <w:r w:rsidRPr="00E94F9F">
        <w:rPr>
          <w:i/>
          <w:iCs/>
          <w:sz w:val="16"/>
          <w:szCs w:val="22"/>
          <w:lang w:val="en-US"/>
        </w:rPr>
        <w:t>Journal of Family Theory &amp; Review</w:t>
      </w:r>
      <w:r w:rsidR="00196973" w:rsidRPr="00E94F9F">
        <w:rPr>
          <w:i/>
          <w:iCs/>
          <w:sz w:val="16"/>
          <w:szCs w:val="22"/>
          <w:lang w:val="en-US"/>
        </w:rPr>
        <w:t xml:space="preserve">, </w:t>
      </w:r>
      <w:r w:rsidR="00196973" w:rsidRPr="00E94F9F">
        <w:rPr>
          <w:sz w:val="16"/>
          <w:szCs w:val="22"/>
          <w:lang w:val="en-US"/>
        </w:rPr>
        <w:t>(2023):</w:t>
      </w:r>
      <w:r w:rsidRPr="00E94F9F">
        <w:rPr>
          <w:sz w:val="16"/>
          <w:szCs w:val="22"/>
          <w:lang w:val="en-US"/>
        </w:rPr>
        <w:t xml:space="preserve"> 6</w:t>
      </w:r>
      <w:r w:rsidR="00196973" w:rsidRPr="00E94F9F">
        <w:rPr>
          <w:sz w:val="16"/>
          <w:szCs w:val="22"/>
          <w:lang w:val="en-US"/>
        </w:rPr>
        <w:t>.</w:t>
      </w:r>
    </w:p>
    <w:p w14:paraId="3DAF84FF" w14:textId="21A2560B" w:rsidR="008E013A" w:rsidRPr="00E94F9F" w:rsidRDefault="002E2378" w:rsidP="008E013A">
      <w:pPr>
        <w:pStyle w:val="FootnoteText"/>
        <w:rPr>
          <w:sz w:val="16"/>
          <w:szCs w:val="22"/>
          <w:lang w:val="en-US"/>
        </w:rPr>
      </w:pPr>
      <w:r w:rsidRPr="00E94F9F">
        <w:rPr>
          <w:sz w:val="16"/>
          <w:szCs w:val="22"/>
        </w:rPr>
        <w:t xml:space="preserve">Kate </w:t>
      </w:r>
      <w:r w:rsidR="008E013A" w:rsidRPr="00E94F9F">
        <w:rPr>
          <w:sz w:val="16"/>
          <w:szCs w:val="22"/>
        </w:rPr>
        <w:t xml:space="preserve">Klein, </w:t>
      </w:r>
      <w:r w:rsidRPr="00E94F9F">
        <w:rPr>
          <w:sz w:val="16"/>
          <w:szCs w:val="22"/>
        </w:rPr>
        <w:t>Alix</w:t>
      </w:r>
      <w:r w:rsidR="008E013A" w:rsidRPr="00E94F9F">
        <w:rPr>
          <w:sz w:val="16"/>
          <w:szCs w:val="22"/>
        </w:rPr>
        <w:t xml:space="preserve"> Holtby, </w:t>
      </w:r>
      <w:r w:rsidRPr="00E94F9F">
        <w:rPr>
          <w:sz w:val="16"/>
          <w:szCs w:val="22"/>
        </w:rPr>
        <w:t>Katie</w:t>
      </w:r>
      <w:r w:rsidR="008E013A" w:rsidRPr="00E94F9F">
        <w:rPr>
          <w:sz w:val="16"/>
          <w:szCs w:val="22"/>
        </w:rPr>
        <w:t xml:space="preserve"> Cook</w:t>
      </w:r>
      <w:r w:rsidRPr="00E94F9F">
        <w:rPr>
          <w:sz w:val="16"/>
          <w:szCs w:val="22"/>
        </w:rPr>
        <w:t xml:space="preserve"> and Robb</w:t>
      </w:r>
      <w:r w:rsidR="008E013A" w:rsidRPr="00E94F9F">
        <w:rPr>
          <w:sz w:val="16"/>
          <w:szCs w:val="22"/>
        </w:rPr>
        <w:t xml:space="preserve"> Travers, </w:t>
      </w:r>
      <w:r w:rsidRPr="00E94F9F">
        <w:rPr>
          <w:sz w:val="16"/>
          <w:szCs w:val="22"/>
        </w:rPr>
        <w:t>"</w:t>
      </w:r>
      <w:r w:rsidR="008E013A" w:rsidRPr="00E94F9F">
        <w:rPr>
          <w:sz w:val="16"/>
          <w:szCs w:val="22"/>
        </w:rPr>
        <w:t xml:space="preserve">Complicating the </w:t>
      </w:r>
      <w:r w:rsidRPr="00E94F9F">
        <w:rPr>
          <w:sz w:val="16"/>
          <w:szCs w:val="22"/>
        </w:rPr>
        <w:t>Coming Out Narrative</w:t>
      </w:r>
      <w:r w:rsidR="008E013A" w:rsidRPr="00E94F9F">
        <w:rPr>
          <w:sz w:val="16"/>
          <w:szCs w:val="22"/>
        </w:rPr>
        <w:t xml:space="preserve">: Becoming </w:t>
      </w:r>
      <w:r w:rsidRPr="00E94F9F">
        <w:rPr>
          <w:sz w:val="16"/>
          <w:szCs w:val="22"/>
        </w:rPr>
        <w:t>Oneself</w:t>
      </w:r>
      <w:r w:rsidR="008E013A" w:rsidRPr="00E94F9F">
        <w:rPr>
          <w:sz w:val="16"/>
          <w:szCs w:val="22"/>
        </w:rPr>
        <w:t xml:space="preserve"> in a </w:t>
      </w:r>
      <w:r w:rsidRPr="00E94F9F">
        <w:rPr>
          <w:sz w:val="16"/>
          <w:szCs w:val="22"/>
        </w:rPr>
        <w:t>Heterosexist and Cissexist World."</w:t>
      </w:r>
      <w:r w:rsidR="008E013A" w:rsidRPr="00E94F9F">
        <w:rPr>
          <w:sz w:val="16"/>
          <w:szCs w:val="22"/>
        </w:rPr>
        <w:t xml:space="preserve"> </w:t>
      </w:r>
      <w:r w:rsidR="008E013A" w:rsidRPr="00E94F9F">
        <w:rPr>
          <w:i/>
          <w:iCs/>
          <w:sz w:val="16"/>
          <w:szCs w:val="22"/>
        </w:rPr>
        <w:t xml:space="preserve">Journal of </w:t>
      </w:r>
      <w:r w:rsidRPr="00E94F9F">
        <w:rPr>
          <w:i/>
          <w:iCs/>
          <w:sz w:val="16"/>
          <w:szCs w:val="22"/>
        </w:rPr>
        <w:t>Homosexuality</w:t>
      </w:r>
      <w:r w:rsidRPr="00E94F9F">
        <w:rPr>
          <w:sz w:val="16"/>
          <w:szCs w:val="22"/>
        </w:rPr>
        <w:t xml:space="preserve"> 62, no. </w:t>
      </w:r>
      <w:r w:rsidR="008E013A" w:rsidRPr="00E94F9F">
        <w:rPr>
          <w:sz w:val="16"/>
          <w:szCs w:val="22"/>
        </w:rPr>
        <w:t xml:space="preserve">3 </w:t>
      </w:r>
      <w:r w:rsidRPr="00E94F9F">
        <w:rPr>
          <w:sz w:val="16"/>
          <w:szCs w:val="22"/>
        </w:rPr>
        <w:t xml:space="preserve">(2015): </w:t>
      </w:r>
      <w:r w:rsidR="008E013A" w:rsidRPr="00E94F9F">
        <w:rPr>
          <w:sz w:val="16"/>
          <w:szCs w:val="22"/>
        </w:rPr>
        <w:t>297-326.</w:t>
      </w:r>
    </w:p>
  </w:footnote>
  <w:footnote w:id="155">
    <w:p w14:paraId="6D696FA7" w14:textId="4EEDA4A1" w:rsidR="00B21894" w:rsidRPr="008E27C5" w:rsidRDefault="00B21894" w:rsidP="00B21894">
      <w:pPr>
        <w:pStyle w:val="FootnoteText"/>
      </w:pPr>
      <w:r w:rsidRPr="00E94F9F">
        <w:rPr>
          <w:rStyle w:val="FootnoteReference"/>
          <w:sz w:val="16"/>
          <w:szCs w:val="22"/>
        </w:rPr>
        <w:footnoteRef/>
      </w:r>
      <w:r w:rsidRPr="00E94F9F">
        <w:rPr>
          <w:sz w:val="16"/>
          <w:szCs w:val="22"/>
        </w:rPr>
        <w:t xml:space="preserve"> </w:t>
      </w:r>
      <w:r w:rsidR="00F93CFA" w:rsidRPr="00E94F9F">
        <w:rPr>
          <w:sz w:val="16"/>
          <w:szCs w:val="22"/>
        </w:rPr>
        <w:t xml:space="preserve">Rainbow Health Australia, "Research Matters: Trans and Gender Diverse Health and Wellbeing," </w:t>
      </w:r>
      <w:r w:rsidR="00AD1E00" w:rsidRPr="00E94F9F">
        <w:rPr>
          <w:sz w:val="16"/>
          <w:szCs w:val="22"/>
        </w:rPr>
        <w:t>a</w:t>
      </w:r>
      <w:r w:rsidR="00F93CFA" w:rsidRPr="00E94F9F">
        <w:rPr>
          <w:sz w:val="16"/>
          <w:szCs w:val="22"/>
        </w:rPr>
        <w:t>ccessed August 25, 2023</w:t>
      </w:r>
      <w:r w:rsidR="00AD1E00" w:rsidRPr="00E94F9F">
        <w:rPr>
          <w:sz w:val="16"/>
          <w:szCs w:val="22"/>
        </w:rPr>
        <w:t>.</w:t>
      </w:r>
      <w:r w:rsidR="00F93CFA" w:rsidRPr="00E94F9F">
        <w:rPr>
          <w:sz w:val="16"/>
          <w:szCs w:val="22"/>
        </w:rPr>
        <w:t xml:space="preserve"> </w:t>
      </w:r>
      <w:hyperlink r:id="rId32" w:tgtFrame="_new" w:history="1">
        <w:r w:rsidR="00F93CFA" w:rsidRPr="00E94F9F">
          <w:rPr>
            <w:rStyle w:val="Hyperlink"/>
            <w:sz w:val="16"/>
            <w:szCs w:val="22"/>
          </w:rPr>
          <w:t>https://rainbowhealthaustralia.org.au/media/pages/research-resources/research-matters-trans-and-gender-diverse-health-and-wellbeing/80199998-1655786493/research-matters-trans-and-gender-diverse-health-and-wellbeing.pdf</w:t>
        </w:r>
      </w:hyperlink>
      <w:r w:rsidR="00F93CFA" w:rsidRPr="00E94F9F">
        <w:rPr>
          <w:sz w:val="16"/>
          <w:szCs w:val="22"/>
        </w:rPr>
        <w:t>.</w:t>
      </w:r>
    </w:p>
  </w:footnote>
  <w:footnote w:id="156">
    <w:p w14:paraId="580757C6" w14:textId="16C3165A" w:rsidR="00476AE2" w:rsidRPr="00E94F9F" w:rsidRDefault="00476AE2" w:rsidP="00476AE2">
      <w:pPr>
        <w:pStyle w:val="FootnoteText"/>
        <w:rPr>
          <w:sz w:val="16"/>
          <w:szCs w:val="22"/>
        </w:rPr>
      </w:pPr>
      <w:r w:rsidRPr="00E94F9F">
        <w:rPr>
          <w:rStyle w:val="FootnoteReference"/>
          <w:sz w:val="16"/>
          <w:szCs w:val="22"/>
        </w:rPr>
        <w:footnoteRef/>
      </w:r>
      <w:r w:rsidRPr="00E94F9F">
        <w:rPr>
          <w:sz w:val="16"/>
          <w:szCs w:val="22"/>
        </w:rPr>
        <w:t xml:space="preserve"> </w:t>
      </w:r>
      <w:r w:rsidR="00E9079C" w:rsidRPr="00E94F9F">
        <w:rPr>
          <w:sz w:val="16"/>
          <w:szCs w:val="22"/>
        </w:rPr>
        <w:t>George</w:t>
      </w:r>
      <w:r w:rsidRPr="00E94F9F">
        <w:rPr>
          <w:sz w:val="16"/>
          <w:szCs w:val="22"/>
        </w:rPr>
        <w:t xml:space="preserve"> Parker, </w:t>
      </w:r>
      <w:r w:rsidR="00E9079C" w:rsidRPr="00E94F9F">
        <w:rPr>
          <w:sz w:val="16"/>
          <w:szCs w:val="22"/>
        </w:rPr>
        <w:t>Alex</w:t>
      </w:r>
      <w:r w:rsidRPr="00E94F9F">
        <w:rPr>
          <w:sz w:val="16"/>
          <w:szCs w:val="22"/>
        </w:rPr>
        <w:t xml:space="preserve"> Ker, </w:t>
      </w:r>
      <w:r w:rsidR="00E9079C" w:rsidRPr="00E94F9F">
        <w:rPr>
          <w:sz w:val="16"/>
          <w:szCs w:val="22"/>
        </w:rPr>
        <w:t>Sally</w:t>
      </w:r>
      <w:r w:rsidRPr="00E94F9F">
        <w:rPr>
          <w:sz w:val="16"/>
          <w:szCs w:val="22"/>
        </w:rPr>
        <w:t xml:space="preserve"> Baddock, </w:t>
      </w:r>
      <w:r w:rsidR="00E9079C" w:rsidRPr="00E94F9F">
        <w:rPr>
          <w:sz w:val="16"/>
          <w:szCs w:val="22"/>
        </w:rPr>
        <w:t>Elizabeth</w:t>
      </w:r>
      <w:r w:rsidRPr="00E94F9F">
        <w:rPr>
          <w:sz w:val="16"/>
          <w:szCs w:val="22"/>
        </w:rPr>
        <w:t xml:space="preserve"> Kerekere, </w:t>
      </w:r>
      <w:r w:rsidR="00E9079C" w:rsidRPr="00E94F9F">
        <w:rPr>
          <w:sz w:val="16"/>
          <w:szCs w:val="22"/>
        </w:rPr>
        <w:t>Jaimie</w:t>
      </w:r>
      <w:r w:rsidRPr="00E94F9F">
        <w:rPr>
          <w:sz w:val="16"/>
          <w:szCs w:val="22"/>
        </w:rPr>
        <w:t xml:space="preserve"> Veale, </w:t>
      </w:r>
      <w:r w:rsidR="00E9079C" w:rsidRPr="00E94F9F">
        <w:rPr>
          <w:sz w:val="16"/>
          <w:szCs w:val="22"/>
        </w:rPr>
        <w:t>and Suzanne</w:t>
      </w:r>
      <w:r w:rsidRPr="00E94F9F">
        <w:rPr>
          <w:sz w:val="16"/>
          <w:szCs w:val="22"/>
        </w:rPr>
        <w:t xml:space="preserve"> Miller, "It's </w:t>
      </w:r>
      <w:r w:rsidR="00E9079C" w:rsidRPr="00E94F9F">
        <w:rPr>
          <w:sz w:val="16"/>
          <w:szCs w:val="22"/>
        </w:rPr>
        <w:t>Total Erasure:</w:t>
      </w:r>
      <w:r w:rsidRPr="00E94F9F">
        <w:rPr>
          <w:sz w:val="16"/>
          <w:szCs w:val="22"/>
        </w:rPr>
        <w:t xml:space="preserve"> Trans and </w:t>
      </w:r>
      <w:r w:rsidR="00E9079C" w:rsidRPr="00E94F9F">
        <w:rPr>
          <w:sz w:val="16"/>
          <w:szCs w:val="22"/>
        </w:rPr>
        <w:t>Nonbinary Peoples' Experiences</w:t>
      </w:r>
      <w:r w:rsidRPr="00E94F9F">
        <w:rPr>
          <w:sz w:val="16"/>
          <w:szCs w:val="22"/>
        </w:rPr>
        <w:t xml:space="preserve"> of </w:t>
      </w:r>
      <w:r w:rsidR="00E9079C" w:rsidRPr="00E94F9F">
        <w:rPr>
          <w:sz w:val="16"/>
          <w:szCs w:val="22"/>
        </w:rPr>
        <w:t>Cisnormativity</w:t>
      </w:r>
      <w:r w:rsidRPr="00E94F9F">
        <w:rPr>
          <w:sz w:val="16"/>
          <w:szCs w:val="22"/>
        </w:rPr>
        <w:t xml:space="preserve"> within </w:t>
      </w:r>
      <w:r w:rsidR="00E9079C" w:rsidRPr="00E94F9F">
        <w:rPr>
          <w:sz w:val="16"/>
          <w:szCs w:val="22"/>
        </w:rPr>
        <w:t>Perinatal Care Services</w:t>
      </w:r>
      <w:r w:rsidRPr="00E94F9F">
        <w:rPr>
          <w:sz w:val="16"/>
          <w:szCs w:val="22"/>
        </w:rPr>
        <w:t xml:space="preserve"> in Aotearoa New Zealand</w:t>
      </w:r>
      <w:r w:rsidR="00E9079C" w:rsidRPr="00E94F9F">
        <w:rPr>
          <w:sz w:val="16"/>
          <w:szCs w:val="22"/>
        </w:rPr>
        <w:t>,"</w:t>
      </w:r>
      <w:r w:rsidRPr="00E94F9F">
        <w:rPr>
          <w:sz w:val="16"/>
          <w:szCs w:val="22"/>
        </w:rPr>
        <w:t xml:space="preserve"> </w:t>
      </w:r>
      <w:r w:rsidRPr="00E94F9F">
        <w:rPr>
          <w:i/>
          <w:iCs/>
          <w:sz w:val="16"/>
          <w:szCs w:val="22"/>
        </w:rPr>
        <w:t>Women's Reproductive Health</w:t>
      </w:r>
      <w:r w:rsidR="00E9079C" w:rsidRPr="00E94F9F">
        <w:rPr>
          <w:sz w:val="16"/>
          <w:szCs w:val="22"/>
        </w:rPr>
        <w:t xml:space="preserve"> (2022). </w:t>
      </w:r>
    </w:p>
  </w:footnote>
  <w:footnote w:id="157">
    <w:p w14:paraId="3FAC8413" w14:textId="277DFA80" w:rsidR="00D91CD4" w:rsidRPr="00E94F9F" w:rsidRDefault="00D91CD4" w:rsidP="00D91CD4">
      <w:pPr>
        <w:pStyle w:val="FootnoteText"/>
        <w:rPr>
          <w:sz w:val="16"/>
          <w:szCs w:val="22"/>
        </w:rPr>
      </w:pPr>
      <w:r w:rsidRPr="00E94F9F">
        <w:rPr>
          <w:rStyle w:val="FootnoteReference"/>
          <w:sz w:val="16"/>
          <w:szCs w:val="22"/>
        </w:rPr>
        <w:footnoteRef/>
      </w:r>
      <w:r w:rsidRPr="00E94F9F">
        <w:rPr>
          <w:sz w:val="16"/>
          <w:szCs w:val="22"/>
        </w:rPr>
        <w:t xml:space="preserve"> </w:t>
      </w:r>
      <w:r w:rsidRPr="00E94F9F">
        <w:rPr>
          <w:i/>
          <w:iCs/>
          <w:sz w:val="16"/>
          <w:szCs w:val="22"/>
        </w:rPr>
        <w:t>Births, Deaths, and Marriages Registration Act 1995</w:t>
      </w:r>
      <w:r w:rsidRPr="00E94F9F">
        <w:rPr>
          <w:sz w:val="16"/>
          <w:szCs w:val="22"/>
        </w:rPr>
        <w:t xml:space="preserve"> </w:t>
      </w:r>
      <w:r w:rsidR="00225857" w:rsidRPr="00E94F9F">
        <w:rPr>
          <w:sz w:val="16"/>
          <w:szCs w:val="22"/>
        </w:rPr>
        <w:t xml:space="preserve">(NSW) </w:t>
      </w:r>
      <w:r w:rsidRPr="00E94F9F">
        <w:rPr>
          <w:sz w:val="16"/>
          <w:szCs w:val="22"/>
        </w:rPr>
        <w:t xml:space="preserve">No 62, </w:t>
      </w:r>
      <w:r w:rsidR="00225857" w:rsidRPr="00E94F9F">
        <w:rPr>
          <w:sz w:val="16"/>
          <w:szCs w:val="22"/>
        </w:rPr>
        <w:t>s 32A.</w:t>
      </w:r>
    </w:p>
  </w:footnote>
  <w:footnote w:id="158">
    <w:p w14:paraId="0D71F985" w14:textId="7D1FBC3D" w:rsidR="00851FA7" w:rsidRPr="00E94F9F" w:rsidRDefault="00851FA7" w:rsidP="00851FA7">
      <w:pPr>
        <w:pStyle w:val="FootnoteText"/>
        <w:rPr>
          <w:sz w:val="16"/>
          <w:szCs w:val="22"/>
        </w:rPr>
      </w:pPr>
      <w:r w:rsidRPr="00E94F9F">
        <w:rPr>
          <w:rStyle w:val="FootnoteReference"/>
          <w:sz w:val="16"/>
          <w:szCs w:val="22"/>
        </w:rPr>
        <w:footnoteRef/>
      </w:r>
      <w:r w:rsidRPr="00E94F9F">
        <w:rPr>
          <w:sz w:val="16"/>
          <w:szCs w:val="22"/>
        </w:rPr>
        <w:t xml:space="preserve"> </w:t>
      </w:r>
      <w:r w:rsidR="009E3F13" w:rsidRPr="00E94F9F">
        <w:rPr>
          <w:sz w:val="16"/>
          <w:szCs w:val="22"/>
        </w:rPr>
        <w:t xml:space="preserve">Carl </w:t>
      </w:r>
      <w:r w:rsidRPr="00E94F9F">
        <w:rPr>
          <w:sz w:val="16"/>
          <w:szCs w:val="22"/>
        </w:rPr>
        <w:t xml:space="preserve">Horton, </w:t>
      </w:r>
      <w:r w:rsidR="009E3F13" w:rsidRPr="00E94F9F">
        <w:rPr>
          <w:sz w:val="16"/>
          <w:szCs w:val="22"/>
        </w:rPr>
        <w:t>"</w:t>
      </w:r>
      <w:r w:rsidRPr="00E94F9F">
        <w:rPr>
          <w:sz w:val="16"/>
          <w:szCs w:val="22"/>
        </w:rPr>
        <w:t xml:space="preserve">Depathologising </w:t>
      </w:r>
      <w:r w:rsidR="009E3F13" w:rsidRPr="00E94F9F">
        <w:rPr>
          <w:sz w:val="16"/>
          <w:szCs w:val="22"/>
        </w:rPr>
        <w:t>Diversity</w:t>
      </w:r>
      <w:r w:rsidRPr="00E94F9F">
        <w:rPr>
          <w:sz w:val="16"/>
          <w:szCs w:val="22"/>
        </w:rPr>
        <w:t xml:space="preserve">: Trans </w:t>
      </w:r>
      <w:r w:rsidR="009E3F13" w:rsidRPr="00E94F9F">
        <w:rPr>
          <w:sz w:val="16"/>
          <w:szCs w:val="22"/>
        </w:rPr>
        <w:t xml:space="preserve">Children </w:t>
      </w:r>
      <w:r w:rsidRPr="00E94F9F">
        <w:rPr>
          <w:sz w:val="16"/>
          <w:szCs w:val="22"/>
        </w:rPr>
        <w:t xml:space="preserve">and </w:t>
      </w:r>
      <w:r w:rsidR="009E3F13" w:rsidRPr="00E94F9F">
        <w:rPr>
          <w:sz w:val="16"/>
          <w:szCs w:val="22"/>
        </w:rPr>
        <w:t>Families' Experiences</w:t>
      </w:r>
      <w:r w:rsidRPr="00E94F9F">
        <w:rPr>
          <w:sz w:val="16"/>
          <w:szCs w:val="22"/>
        </w:rPr>
        <w:t xml:space="preserve"> of </w:t>
      </w:r>
      <w:r w:rsidR="009E3F13" w:rsidRPr="00E94F9F">
        <w:rPr>
          <w:sz w:val="16"/>
          <w:szCs w:val="22"/>
        </w:rPr>
        <w:t>Pathologisation</w:t>
      </w:r>
      <w:r w:rsidRPr="00E94F9F">
        <w:rPr>
          <w:sz w:val="16"/>
          <w:szCs w:val="22"/>
        </w:rPr>
        <w:t xml:space="preserve"> in the UK</w:t>
      </w:r>
      <w:r w:rsidR="009E3F13" w:rsidRPr="00E94F9F">
        <w:rPr>
          <w:sz w:val="16"/>
          <w:szCs w:val="22"/>
        </w:rPr>
        <w:t>,"</w:t>
      </w:r>
      <w:r w:rsidRPr="00E94F9F">
        <w:rPr>
          <w:sz w:val="16"/>
          <w:szCs w:val="22"/>
        </w:rPr>
        <w:t xml:space="preserve"> </w:t>
      </w:r>
      <w:r w:rsidRPr="00E94F9F">
        <w:rPr>
          <w:i/>
          <w:iCs/>
          <w:sz w:val="16"/>
          <w:szCs w:val="22"/>
        </w:rPr>
        <w:t>Children &amp; Society</w:t>
      </w:r>
      <w:r w:rsidRPr="00E94F9F">
        <w:rPr>
          <w:sz w:val="16"/>
          <w:szCs w:val="22"/>
        </w:rPr>
        <w:t xml:space="preserve"> 37 </w:t>
      </w:r>
      <w:r w:rsidR="009E3F13" w:rsidRPr="00E94F9F">
        <w:rPr>
          <w:sz w:val="16"/>
          <w:szCs w:val="22"/>
        </w:rPr>
        <w:t>(2023):</w:t>
      </w:r>
      <w:r w:rsidRPr="00E94F9F">
        <w:rPr>
          <w:sz w:val="16"/>
          <w:szCs w:val="22"/>
        </w:rPr>
        <w:t xml:space="preserve"> 754</w:t>
      </w:r>
      <w:r w:rsidR="009E3F13" w:rsidRPr="00E94F9F">
        <w:rPr>
          <w:sz w:val="16"/>
          <w:szCs w:val="22"/>
        </w:rPr>
        <w:t>.</w:t>
      </w:r>
    </w:p>
  </w:footnote>
  <w:footnote w:id="159">
    <w:p w14:paraId="42AE616C" w14:textId="4ED34E4F" w:rsidR="008E013A" w:rsidRPr="00E94F9F" w:rsidRDefault="008E013A" w:rsidP="008E013A">
      <w:pPr>
        <w:pStyle w:val="FootnoteText"/>
        <w:rPr>
          <w:sz w:val="16"/>
          <w:szCs w:val="22"/>
        </w:rPr>
      </w:pPr>
      <w:r w:rsidRPr="00E94F9F">
        <w:rPr>
          <w:rStyle w:val="FootnoteReference"/>
          <w:sz w:val="16"/>
          <w:szCs w:val="22"/>
        </w:rPr>
        <w:footnoteRef/>
      </w:r>
      <w:r w:rsidRPr="00E94F9F">
        <w:rPr>
          <w:sz w:val="16"/>
          <w:szCs w:val="22"/>
        </w:rPr>
        <w:t xml:space="preserve"> </w:t>
      </w:r>
      <w:r w:rsidR="009E3F13" w:rsidRPr="00E94F9F">
        <w:rPr>
          <w:sz w:val="16"/>
          <w:szCs w:val="22"/>
        </w:rPr>
        <w:t>Horton, "Depathologising Diversity," 754.</w:t>
      </w:r>
    </w:p>
  </w:footnote>
  <w:footnote w:id="160">
    <w:p w14:paraId="36DC3C7C" w14:textId="4595274B" w:rsidR="008E013A" w:rsidRPr="00E94F9F" w:rsidRDefault="008E013A" w:rsidP="008E013A">
      <w:pPr>
        <w:pStyle w:val="FootnoteText"/>
        <w:rPr>
          <w:sz w:val="16"/>
          <w:szCs w:val="22"/>
        </w:rPr>
      </w:pPr>
      <w:r w:rsidRPr="00E94F9F">
        <w:rPr>
          <w:rStyle w:val="FootnoteReference"/>
          <w:sz w:val="16"/>
          <w:szCs w:val="22"/>
        </w:rPr>
        <w:footnoteRef/>
      </w:r>
      <w:r w:rsidRPr="00E94F9F">
        <w:rPr>
          <w:sz w:val="16"/>
          <w:szCs w:val="22"/>
        </w:rPr>
        <w:t xml:space="preserve"> </w:t>
      </w:r>
      <w:r w:rsidR="009E3F13" w:rsidRPr="00E94F9F">
        <w:rPr>
          <w:sz w:val="16"/>
          <w:szCs w:val="22"/>
        </w:rPr>
        <w:t>Horton, "Depathologising Diversity," 754.</w:t>
      </w:r>
    </w:p>
  </w:footnote>
  <w:footnote w:id="161">
    <w:p w14:paraId="3A092921" w14:textId="03A541B8" w:rsidR="008E013A" w:rsidRPr="00E94F9F" w:rsidRDefault="008E013A" w:rsidP="008E013A">
      <w:pPr>
        <w:pStyle w:val="FootnoteText"/>
        <w:rPr>
          <w:sz w:val="16"/>
          <w:szCs w:val="22"/>
        </w:rPr>
      </w:pPr>
      <w:r w:rsidRPr="00E94F9F">
        <w:rPr>
          <w:rStyle w:val="FootnoteReference"/>
          <w:sz w:val="16"/>
          <w:szCs w:val="22"/>
        </w:rPr>
        <w:footnoteRef/>
      </w:r>
      <w:r w:rsidRPr="00E94F9F">
        <w:rPr>
          <w:sz w:val="16"/>
          <w:szCs w:val="22"/>
        </w:rPr>
        <w:t xml:space="preserve"> </w:t>
      </w:r>
      <w:r w:rsidR="00587C3F" w:rsidRPr="00E94F9F">
        <w:rPr>
          <w:sz w:val="16"/>
          <w:szCs w:val="22"/>
        </w:rPr>
        <w:t xml:space="preserve">American Psychiatric Association, "Gender Dysphoria Diagnosis: A Guide for Working with Transgender and Gender Nonconforming Patients," accessed August 2023, </w:t>
      </w:r>
      <w:hyperlink r:id="rId33" w:tgtFrame="_new" w:history="1">
        <w:r w:rsidR="00587C3F" w:rsidRPr="00E94F9F">
          <w:rPr>
            <w:rStyle w:val="Hyperlink"/>
            <w:sz w:val="16"/>
            <w:szCs w:val="22"/>
          </w:rPr>
          <w:t>https://www.psychiatry.org/psychiatrists/diversity/education/transgender-and-gender-nonconforming-patients/gender-dysphoria-diagnosis</w:t>
        </w:r>
      </w:hyperlink>
      <w:r w:rsidR="00587C3F" w:rsidRPr="00E94F9F">
        <w:rPr>
          <w:sz w:val="16"/>
          <w:szCs w:val="22"/>
        </w:rPr>
        <w:t>.</w:t>
      </w:r>
    </w:p>
  </w:footnote>
  <w:footnote w:id="162">
    <w:p w14:paraId="7053588D" w14:textId="3AEC0841" w:rsidR="008170D6" w:rsidRPr="004C5F39" w:rsidRDefault="008170D6" w:rsidP="008170D6">
      <w:pPr>
        <w:pStyle w:val="FootnoteText"/>
      </w:pPr>
      <w:r w:rsidRPr="00E94F9F">
        <w:rPr>
          <w:rStyle w:val="FootnoteReference"/>
          <w:sz w:val="16"/>
          <w:szCs w:val="22"/>
        </w:rPr>
        <w:footnoteRef/>
      </w:r>
      <w:r w:rsidRPr="00E94F9F">
        <w:rPr>
          <w:sz w:val="16"/>
          <w:szCs w:val="22"/>
        </w:rPr>
        <w:t xml:space="preserve"> </w:t>
      </w:r>
      <w:r w:rsidR="00587C3F" w:rsidRPr="00E94F9F">
        <w:rPr>
          <w:sz w:val="16"/>
          <w:szCs w:val="22"/>
        </w:rPr>
        <w:t xml:space="preserve">American Psychiatric Association, "Gender Dysphoria Diagnosis: A Guide for Working with Transgender and Gender Nonconforming Patients," accessed August 2023, </w:t>
      </w:r>
      <w:hyperlink r:id="rId34" w:tgtFrame="_new" w:history="1">
        <w:r w:rsidR="00587C3F" w:rsidRPr="00E94F9F">
          <w:rPr>
            <w:rStyle w:val="Hyperlink"/>
            <w:sz w:val="16"/>
            <w:szCs w:val="22"/>
          </w:rPr>
          <w:t>https://www.psychiatry.org/psychiatrists/diversity/education/transgender-and-gender-nonconforming-patients/gender-dysphoria-diagnosis</w:t>
        </w:r>
      </w:hyperlink>
      <w:r w:rsidR="00587C3F" w:rsidRPr="00E94F9F">
        <w:rPr>
          <w:sz w:val="16"/>
          <w:szCs w:val="22"/>
        </w:rPr>
        <w:t>.</w:t>
      </w:r>
    </w:p>
  </w:footnote>
  <w:footnote w:id="163">
    <w:p w14:paraId="0C7BA6CA" w14:textId="7D407870" w:rsidR="008E013A" w:rsidRPr="00E94F9F" w:rsidRDefault="008E013A" w:rsidP="008E013A">
      <w:pPr>
        <w:pStyle w:val="FootnoteText"/>
        <w:rPr>
          <w:sz w:val="16"/>
          <w:szCs w:val="22"/>
        </w:rPr>
      </w:pPr>
      <w:r w:rsidRPr="00E94F9F">
        <w:rPr>
          <w:rStyle w:val="FootnoteReference"/>
          <w:sz w:val="16"/>
          <w:szCs w:val="22"/>
        </w:rPr>
        <w:footnoteRef/>
      </w:r>
      <w:r w:rsidRPr="00E94F9F">
        <w:rPr>
          <w:sz w:val="16"/>
          <w:szCs w:val="22"/>
        </w:rPr>
        <w:t xml:space="preserve"> </w:t>
      </w:r>
      <w:r w:rsidR="00587C3F" w:rsidRPr="00E94F9F">
        <w:rPr>
          <w:sz w:val="16"/>
          <w:szCs w:val="22"/>
        </w:rPr>
        <w:t xml:space="preserve">American Psychiatric Association, "Gender Dysphoria Diagnosis: A Guide for Working with Transgender and Gender Nonconforming Patients," accessed [insert date], </w:t>
      </w:r>
      <w:hyperlink r:id="rId35" w:tgtFrame="_new" w:history="1">
        <w:r w:rsidR="00587C3F" w:rsidRPr="00E94F9F">
          <w:rPr>
            <w:rStyle w:val="Hyperlink"/>
            <w:sz w:val="16"/>
            <w:szCs w:val="22"/>
          </w:rPr>
          <w:t>https://www.psychiatry.org/psychiatrists/diversity/education/transgender-and-gender-nonconforming-patients/gender-dysphoria-diagnosis</w:t>
        </w:r>
      </w:hyperlink>
      <w:r w:rsidR="00587C3F" w:rsidRPr="00E94F9F">
        <w:rPr>
          <w:sz w:val="16"/>
          <w:szCs w:val="22"/>
        </w:rPr>
        <w:t>.</w:t>
      </w:r>
    </w:p>
  </w:footnote>
  <w:footnote w:id="164">
    <w:p w14:paraId="7EBA5803" w14:textId="1D5F3D6E" w:rsidR="008E013A" w:rsidRPr="00E94F9F" w:rsidRDefault="008E013A" w:rsidP="008E013A">
      <w:pPr>
        <w:pStyle w:val="FootnoteText"/>
        <w:rPr>
          <w:sz w:val="16"/>
          <w:szCs w:val="22"/>
        </w:rPr>
      </w:pPr>
      <w:r w:rsidRPr="00E94F9F">
        <w:rPr>
          <w:rStyle w:val="FootnoteReference"/>
          <w:sz w:val="16"/>
          <w:szCs w:val="22"/>
        </w:rPr>
        <w:footnoteRef/>
      </w:r>
      <w:r w:rsidRPr="00E94F9F">
        <w:rPr>
          <w:sz w:val="16"/>
          <w:szCs w:val="22"/>
        </w:rPr>
        <w:t xml:space="preserve"> </w:t>
      </w:r>
      <w:r w:rsidR="0031513D" w:rsidRPr="00E94F9F">
        <w:rPr>
          <w:sz w:val="16"/>
          <w:szCs w:val="22"/>
        </w:rPr>
        <w:t xml:space="preserve">Australian Psychological Society, "Lesbian, Gay, Bisexual, Transgender and Intersex Issues," </w:t>
      </w:r>
      <w:hyperlink r:id="rId36" w:tgtFrame="_new" w:history="1">
        <w:r w:rsidR="0031513D" w:rsidRPr="00E94F9F">
          <w:rPr>
            <w:rStyle w:val="Hyperlink"/>
            <w:sz w:val="16"/>
            <w:szCs w:val="22"/>
          </w:rPr>
          <w:t>https://psychology.org.au/community/advocacy-social-issues/lesbian-gay-bisexual-transgender-intersex</w:t>
        </w:r>
      </w:hyperlink>
      <w:r w:rsidR="0031513D" w:rsidRPr="00E94F9F">
        <w:rPr>
          <w:sz w:val="16"/>
          <w:szCs w:val="22"/>
        </w:rPr>
        <w:t>.</w:t>
      </w:r>
    </w:p>
  </w:footnote>
  <w:footnote w:id="165">
    <w:p w14:paraId="4DCF79FA" w14:textId="475296AB" w:rsidR="008E013A" w:rsidRPr="00E94F9F" w:rsidRDefault="008E013A" w:rsidP="008E013A">
      <w:pPr>
        <w:pStyle w:val="FootnoteText"/>
        <w:rPr>
          <w:sz w:val="16"/>
          <w:szCs w:val="22"/>
        </w:rPr>
      </w:pPr>
      <w:r w:rsidRPr="00E94F9F">
        <w:rPr>
          <w:rStyle w:val="FootnoteReference"/>
          <w:sz w:val="16"/>
          <w:szCs w:val="22"/>
        </w:rPr>
        <w:footnoteRef/>
      </w:r>
      <w:r w:rsidRPr="00E94F9F">
        <w:rPr>
          <w:sz w:val="16"/>
          <w:szCs w:val="22"/>
        </w:rPr>
        <w:t xml:space="preserve"> </w:t>
      </w:r>
      <w:r w:rsidR="00014C71" w:rsidRPr="00E94F9F">
        <w:rPr>
          <w:sz w:val="16"/>
          <w:szCs w:val="22"/>
        </w:rPr>
        <w:t xml:space="preserve">Sav Zwickl and Ada Cheung, "Challenging Five Years of Transphobia: The Real-World Impact of the 'Transgender Debate' Is Unrelenting on Australia’s Trans Community, However, Small but Visible Acts of Allyship Can Go a Long Way," </w:t>
      </w:r>
      <w:r w:rsidR="00014C71" w:rsidRPr="00E94F9F">
        <w:rPr>
          <w:i/>
          <w:iCs/>
          <w:sz w:val="16"/>
          <w:szCs w:val="22"/>
        </w:rPr>
        <w:t>Pursuit</w:t>
      </w:r>
      <w:r w:rsidR="00014C71" w:rsidRPr="00E94F9F">
        <w:rPr>
          <w:sz w:val="16"/>
          <w:szCs w:val="22"/>
        </w:rPr>
        <w:t xml:space="preserve">, University of Melbourne, May 16, 2022, </w:t>
      </w:r>
      <w:hyperlink r:id="rId37" w:tgtFrame="_new" w:history="1">
        <w:r w:rsidR="00014C71" w:rsidRPr="00E94F9F">
          <w:rPr>
            <w:rStyle w:val="Hyperlink"/>
            <w:sz w:val="16"/>
            <w:szCs w:val="22"/>
          </w:rPr>
          <w:t>https://pursuit.unimelb.edu.au/articles/challenging-five-years-of-transphobia</w:t>
        </w:r>
      </w:hyperlink>
      <w:r w:rsidR="00014C71" w:rsidRPr="00E94F9F">
        <w:rPr>
          <w:sz w:val="16"/>
          <w:szCs w:val="22"/>
        </w:rPr>
        <w:t xml:space="preserve">. </w:t>
      </w:r>
    </w:p>
  </w:footnote>
  <w:footnote w:id="166">
    <w:p w14:paraId="2B8754A6" w14:textId="037EE6D6" w:rsidR="008E013A" w:rsidRPr="00E94F9F" w:rsidRDefault="008E013A" w:rsidP="008E013A">
      <w:pPr>
        <w:pStyle w:val="FootnoteText"/>
        <w:rPr>
          <w:sz w:val="16"/>
          <w:szCs w:val="22"/>
        </w:rPr>
      </w:pPr>
      <w:r w:rsidRPr="00E94F9F">
        <w:rPr>
          <w:rStyle w:val="FootnoteReference"/>
          <w:sz w:val="16"/>
          <w:szCs w:val="22"/>
        </w:rPr>
        <w:footnoteRef/>
      </w:r>
      <w:r w:rsidRPr="00E94F9F">
        <w:rPr>
          <w:sz w:val="16"/>
          <w:szCs w:val="22"/>
        </w:rPr>
        <w:t xml:space="preserve"> </w:t>
      </w:r>
      <w:r w:rsidR="00745D22" w:rsidRPr="00E94F9F">
        <w:rPr>
          <w:sz w:val="16"/>
          <w:szCs w:val="22"/>
        </w:rPr>
        <w:t xml:space="preserve">Saan </w:t>
      </w:r>
      <w:r w:rsidRPr="00E94F9F">
        <w:rPr>
          <w:sz w:val="16"/>
          <w:szCs w:val="22"/>
        </w:rPr>
        <w:t xml:space="preserve">Ecker, </w:t>
      </w:r>
      <w:r w:rsidR="00745D22" w:rsidRPr="00E94F9F">
        <w:rPr>
          <w:sz w:val="16"/>
          <w:szCs w:val="22"/>
        </w:rPr>
        <w:t xml:space="preserve">Sharon </w:t>
      </w:r>
      <w:r w:rsidRPr="00E94F9F">
        <w:rPr>
          <w:sz w:val="16"/>
          <w:szCs w:val="22"/>
        </w:rPr>
        <w:t xml:space="preserve">Rostosky, </w:t>
      </w:r>
      <w:r w:rsidR="00745D22" w:rsidRPr="00E94F9F">
        <w:rPr>
          <w:sz w:val="16"/>
          <w:szCs w:val="22"/>
        </w:rPr>
        <w:t>Ellen</w:t>
      </w:r>
      <w:r w:rsidRPr="00E94F9F">
        <w:rPr>
          <w:sz w:val="16"/>
          <w:szCs w:val="22"/>
        </w:rPr>
        <w:t xml:space="preserve"> Riggle, Elizabeth</w:t>
      </w:r>
      <w:r w:rsidR="00745D22" w:rsidRPr="00E94F9F">
        <w:rPr>
          <w:sz w:val="16"/>
          <w:szCs w:val="22"/>
        </w:rPr>
        <w:t xml:space="preserve"> Riley, </w:t>
      </w:r>
      <w:r w:rsidRPr="00E94F9F">
        <w:rPr>
          <w:sz w:val="16"/>
          <w:szCs w:val="22"/>
        </w:rPr>
        <w:t xml:space="preserve">and </w:t>
      </w:r>
      <w:r w:rsidR="00745D22" w:rsidRPr="00E94F9F">
        <w:rPr>
          <w:sz w:val="16"/>
          <w:szCs w:val="22"/>
        </w:rPr>
        <w:t xml:space="preserve">Joanne </w:t>
      </w:r>
      <w:r w:rsidRPr="00E94F9F">
        <w:rPr>
          <w:sz w:val="16"/>
          <w:szCs w:val="22"/>
        </w:rPr>
        <w:t xml:space="preserve">Byrnes, </w:t>
      </w:r>
      <w:r w:rsidR="00745D22" w:rsidRPr="00E94F9F">
        <w:rPr>
          <w:sz w:val="16"/>
          <w:szCs w:val="22"/>
        </w:rPr>
        <w:t>"</w:t>
      </w:r>
      <w:r w:rsidRPr="00E94F9F">
        <w:rPr>
          <w:sz w:val="16"/>
          <w:szCs w:val="22"/>
        </w:rPr>
        <w:t>The Australian Marriage Equality Debate: A Qualitative Analysis of the Self-Reported Lived Experience of Lesbian, Gay, Bisexual, Transgender, Intersex and Queer (LGTBIQ) People</w:t>
      </w:r>
      <w:r w:rsidR="00745D22" w:rsidRPr="00E94F9F">
        <w:rPr>
          <w:sz w:val="16"/>
          <w:szCs w:val="22"/>
        </w:rPr>
        <w:t>,"</w:t>
      </w:r>
      <w:r w:rsidRPr="00E94F9F">
        <w:rPr>
          <w:sz w:val="16"/>
          <w:szCs w:val="22"/>
        </w:rPr>
        <w:t xml:space="preserve"> </w:t>
      </w:r>
      <w:r w:rsidRPr="00E94F9F">
        <w:rPr>
          <w:i/>
          <w:iCs/>
          <w:sz w:val="16"/>
          <w:szCs w:val="22"/>
        </w:rPr>
        <w:t>International Perspectives in Psychology: Research, Practice, Consultation</w:t>
      </w:r>
      <w:r w:rsidRPr="00E94F9F">
        <w:rPr>
          <w:sz w:val="16"/>
          <w:szCs w:val="22"/>
        </w:rPr>
        <w:t xml:space="preserve"> 8, no.</w:t>
      </w:r>
      <w:r w:rsidR="00745D22" w:rsidRPr="00E94F9F">
        <w:rPr>
          <w:sz w:val="16"/>
          <w:szCs w:val="22"/>
        </w:rPr>
        <w:t xml:space="preserve"> </w:t>
      </w:r>
      <w:r w:rsidRPr="00E94F9F">
        <w:rPr>
          <w:sz w:val="16"/>
          <w:szCs w:val="22"/>
        </w:rPr>
        <w:t xml:space="preserve">4 </w:t>
      </w:r>
      <w:r w:rsidR="00745D22" w:rsidRPr="00E94F9F">
        <w:rPr>
          <w:sz w:val="16"/>
          <w:szCs w:val="22"/>
        </w:rPr>
        <w:t>(2019):</w:t>
      </w:r>
      <w:r w:rsidRPr="00E94F9F">
        <w:rPr>
          <w:sz w:val="16"/>
          <w:szCs w:val="22"/>
        </w:rPr>
        <w:t xml:space="preserve"> 212</w:t>
      </w:r>
      <w:r w:rsidR="00926642" w:rsidRPr="00E94F9F">
        <w:rPr>
          <w:sz w:val="16"/>
          <w:szCs w:val="22"/>
        </w:rPr>
        <w:t>-</w:t>
      </w:r>
      <w:r w:rsidRPr="00E94F9F">
        <w:rPr>
          <w:sz w:val="16"/>
          <w:szCs w:val="22"/>
        </w:rPr>
        <w:t>223.</w:t>
      </w:r>
    </w:p>
  </w:footnote>
  <w:footnote w:id="167">
    <w:p w14:paraId="01C71C35" w14:textId="56D4AD53" w:rsidR="008E013A" w:rsidRPr="00E94F9F" w:rsidRDefault="008E013A" w:rsidP="008E013A">
      <w:pPr>
        <w:pStyle w:val="FootnoteText"/>
        <w:rPr>
          <w:sz w:val="16"/>
          <w:szCs w:val="22"/>
        </w:rPr>
      </w:pPr>
      <w:r w:rsidRPr="00E94F9F">
        <w:rPr>
          <w:rStyle w:val="FootnoteReference"/>
          <w:sz w:val="16"/>
          <w:szCs w:val="22"/>
        </w:rPr>
        <w:footnoteRef/>
      </w:r>
      <w:r w:rsidRPr="00E94F9F">
        <w:rPr>
          <w:sz w:val="16"/>
          <w:szCs w:val="22"/>
        </w:rPr>
        <w:t xml:space="preserve"> </w:t>
      </w:r>
      <w:r w:rsidR="00991E6B" w:rsidRPr="00E94F9F">
        <w:rPr>
          <w:sz w:val="16"/>
          <w:szCs w:val="22"/>
        </w:rPr>
        <w:t>Sav</w:t>
      </w:r>
      <w:r w:rsidRPr="00E94F9F">
        <w:rPr>
          <w:sz w:val="16"/>
          <w:szCs w:val="22"/>
        </w:rPr>
        <w:t xml:space="preserve"> Zwickl, </w:t>
      </w:r>
      <w:r w:rsidR="00991E6B" w:rsidRPr="00E94F9F">
        <w:rPr>
          <w:sz w:val="16"/>
          <w:szCs w:val="22"/>
        </w:rPr>
        <w:t>Alex</w:t>
      </w:r>
      <w:r w:rsidRPr="00E94F9F">
        <w:rPr>
          <w:sz w:val="16"/>
          <w:szCs w:val="22"/>
        </w:rPr>
        <w:t xml:space="preserve"> Wong, </w:t>
      </w:r>
      <w:r w:rsidR="00991E6B" w:rsidRPr="00E94F9F">
        <w:rPr>
          <w:sz w:val="16"/>
          <w:szCs w:val="22"/>
        </w:rPr>
        <w:t>Eden</w:t>
      </w:r>
      <w:r w:rsidRPr="00E94F9F">
        <w:rPr>
          <w:sz w:val="16"/>
          <w:szCs w:val="22"/>
        </w:rPr>
        <w:t xml:space="preserve"> Dowers, </w:t>
      </w:r>
      <w:r w:rsidR="00991E6B" w:rsidRPr="00E94F9F">
        <w:rPr>
          <w:sz w:val="16"/>
          <w:szCs w:val="22"/>
        </w:rPr>
        <w:t>Shalem</w:t>
      </w:r>
      <w:r w:rsidRPr="00E94F9F">
        <w:rPr>
          <w:sz w:val="16"/>
          <w:szCs w:val="22"/>
        </w:rPr>
        <w:t xml:space="preserve"> Leemaqz, </w:t>
      </w:r>
      <w:r w:rsidR="00991E6B" w:rsidRPr="00E94F9F">
        <w:rPr>
          <w:sz w:val="16"/>
          <w:szCs w:val="22"/>
        </w:rPr>
        <w:t>Ingrid</w:t>
      </w:r>
      <w:r w:rsidRPr="00E94F9F">
        <w:rPr>
          <w:sz w:val="16"/>
          <w:szCs w:val="22"/>
        </w:rPr>
        <w:t xml:space="preserve"> Bretherton, </w:t>
      </w:r>
      <w:r w:rsidR="00991E6B" w:rsidRPr="00E94F9F">
        <w:rPr>
          <w:sz w:val="16"/>
          <w:szCs w:val="22"/>
        </w:rPr>
        <w:t>Teddy</w:t>
      </w:r>
      <w:r w:rsidRPr="00E94F9F">
        <w:rPr>
          <w:sz w:val="16"/>
          <w:szCs w:val="22"/>
        </w:rPr>
        <w:t xml:space="preserve"> Cook, </w:t>
      </w:r>
      <w:r w:rsidR="00991E6B" w:rsidRPr="00E94F9F">
        <w:rPr>
          <w:sz w:val="16"/>
          <w:szCs w:val="22"/>
        </w:rPr>
        <w:t>Jeffrey</w:t>
      </w:r>
      <w:r w:rsidRPr="00E94F9F">
        <w:rPr>
          <w:sz w:val="16"/>
          <w:szCs w:val="22"/>
        </w:rPr>
        <w:t xml:space="preserve"> Zajac, </w:t>
      </w:r>
      <w:r w:rsidR="00991E6B" w:rsidRPr="00E94F9F">
        <w:rPr>
          <w:sz w:val="16"/>
          <w:szCs w:val="22"/>
        </w:rPr>
        <w:t>Paul</w:t>
      </w:r>
      <w:r w:rsidRPr="00E94F9F">
        <w:rPr>
          <w:sz w:val="16"/>
          <w:szCs w:val="22"/>
        </w:rPr>
        <w:t xml:space="preserve"> Yip, and </w:t>
      </w:r>
      <w:r w:rsidR="00991E6B" w:rsidRPr="00E94F9F">
        <w:rPr>
          <w:sz w:val="16"/>
          <w:szCs w:val="22"/>
        </w:rPr>
        <w:t xml:space="preserve">Ada </w:t>
      </w:r>
      <w:r w:rsidRPr="00E94F9F">
        <w:rPr>
          <w:sz w:val="16"/>
          <w:szCs w:val="22"/>
        </w:rPr>
        <w:t xml:space="preserve">Cheung, </w:t>
      </w:r>
      <w:r w:rsidR="00991E6B" w:rsidRPr="00E94F9F">
        <w:rPr>
          <w:sz w:val="16"/>
          <w:szCs w:val="22"/>
        </w:rPr>
        <w:t>"</w:t>
      </w:r>
      <w:r w:rsidRPr="00E94F9F">
        <w:rPr>
          <w:sz w:val="16"/>
          <w:szCs w:val="22"/>
        </w:rPr>
        <w:t xml:space="preserve">Factors </w:t>
      </w:r>
      <w:r w:rsidR="00991E6B" w:rsidRPr="00E94F9F">
        <w:rPr>
          <w:sz w:val="16"/>
          <w:szCs w:val="22"/>
        </w:rPr>
        <w:t>Associated</w:t>
      </w:r>
      <w:r w:rsidRPr="00E94F9F">
        <w:rPr>
          <w:sz w:val="16"/>
          <w:szCs w:val="22"/>
        </w:rPr>
        <w:t xml:space="preserve"> with </w:t>
      </w:r>
      <w:r w:rsidR="00991E6B" w:rsidRPr="00E94F9F">
        <w:rPr>
          <w:sz w:val="16"/>
          <w:szCs w:val="22"/>
        </w:rPr>
        <w:t>Suicide Attempts</w:t>
      </w:r>
      <w:r w:rsidRPr="00E94F9F">
        <w:rPr>
          <w:sz w:val="16"/>
          <w:szCs w:val="22"/>
        </w:rPr>
        <w:t xml:space="preserve"> among Australian </w:t>
      </w:r>
      <w:r w:rsidR="00991E6B" w:rsidRPr="00E94F9F">
        <w:rPr>
          <w:sz w:val="16"/>
          <w:szCs w:val="22"/>
        </w:rPr>
        <w:t>Transgender Adults,"</w:t>
      </w:r>
      <w:r w:rsidRPr="00E94F9F">
        <w:rPr>
          <w:sz w:val="16"/>
          <w:szCs w:val="22"/>
        </w:rPr>
        <w:t xml:space="preserve"> </w:t>
      </w:r>
      <w:r w:rsidRPr="00E94F9F">
        <w:rPr>
          <w:i/>
          <w:iCs/>
          <w:sz w:val="16"/>
          <w:szCs w:val="22"/>
        </w:rPr>
        <w:t>BMC Psychiatry</w:t>
      </w:r>
      <w:r w:rsidRPr="00E94F9F">
        <w:rPr>
          <w:sz w:val="16"/>
          <w:szCs w:val="22"/>
        </w:rPr>
        <w:t xml:space="preserve"> 21, no. </w:t>
      </w:r>
      <w:r w:rsidR="00991E6B" w:rsidRPr="00E94F9F">
        <w:rPr>
          <w:sz w:val="16"/>
          <w:szCs w:val="22"/>
        </w:rPr>
        <w:t>81 (2021): 7.</w:t>
      </w:r>
    </w:p>
  </w:footnote>
  <w:footnote w:id="168">
    <w:p w14:paraId="77164E0F" w14:textId="15970B88" w:rsidR="002E5E87" w:rsidRDefault="002E5E87">
      <w:pPr>
        <w:pStyle w:val="FootnoteText"/>
      </w:pPr>
      <w:r w:rsidRPr="00E94F9F">
        <w:rPr>
          <w:rStyle w:val="FootnoteReference"/>
          <w:sz w:val="16"/>
          <w:szCs w:val="22"/>
        </w:rPr>
        <w:footnoteRef/>
      </w:r>
      <w:r w:rsidRPr="00E94F9F">
        <w:rPr>
          <w:sz w:val="16"/>
          <w:szCs w:val="22"/>
        </w:rPr>
        <w:t xml:space="preserve"> </w:t>
      </w:r>
      <w:r w:rsidR="007B170D" w:rsidRPr="00E94F9F">
        <w:rPr>
          <w:sz w:val="16"/>
          <w:szCs w:val="22"/>
        </w:rPr>
        <w:t>The NHS England Cass Review, for example, is still underway. See: https://cass.independent-review.uk/publications/interim-report/</w:t>
      </w:r>
    </w:p>
  </w:footnote>
  <w:footnote w:id="169">
    <w:p w14:paraId="04075828" w14:textId="503FB139" w:rsidR="009E1D72" w:rsidRPr="00E94F9F" w:rsidRDefault="009E1D72" w:rsidP="009E1D72">
      <w:pPr>
        <w:pStyle w:val="FootnoteText"/>
        <w:rPr>
          <w:sz w:val="16"/>
          <w:szCs w:val="22"/>
          <w:lang w:val="en-US"/>
        </w:rPr>
      </w:pPr>
      <w:r w:rsidRPr="00E94F9F">
        <w:rPr>
          <w:rStyle w:val="FootnoteReference"/>
          <w:sz w:val="16"/>
          <w:szCs w:val="22"/>
        </w:rPr>
        <w:footnoteRef/>
      </w:r>
      <w:r w:rsidRPr="00E94F9F">
        <w:rPr>
          <w:sz w:val="16"/>
          <w:szCs w:val="22"/>
        </w:rPr>
        <w:t xml:space="preserve"> </w:t>
      </w:r>
      <w:r w:rsidR="00926642" w:rsidRPr="00E94F9F">
        <w:rPr>
          <w:sz w:val="16"/>
          <w:szCs w:val="22"/>
        </w:rPr>
        <w:t xml:space="preserve"> Damien Riggs, Gavriel Ansara and Gareth Treharne, “An Evidence-Based Model for Understanding the Mental Health Experiences of Transgender Australians,” </w:t>
      </w:r>
      <w:r w:rsidR="00926642" w:rsidRPr="00E94F9F">
        <w:rPr>
          <w:i/>
          <w:iCs/>
          <w:sz w:val="16"/>
          <w:szCs w:val="22"/>
        </w:rPr>
        <w:t>Australian Psychologist</w:t>
      </w:r>
      <w:r w:rsidR="00926642" w:rsidRPr="00E94F9F">
        <w:rPr>
          <w:sz w:val="16"/>
          <w:szCs w:val="22"/>
        </w:rPr>
        <w:t xml:space="preserve"> 50, no. 1 (2015): 32-39. </w:t>
      </w:r>
    </w:p>
  </w:footnote>
  <w:footnote w:id="170">
    <w:p w14:paraId="28CDACC8" w14:textId="47F70E68" w:rsidR="009E1D72" w:rsidRPr="00E94F9F" w:rsidRDefault="009E1D72" w:rsidP="009E1D72">
      <w:pPr>
        <w:pStyle w:val="FootnoteText"/>
        <w:rPr>
          <w:sz w:val="16"/>
          <w:szCs w:val="22"/>
          <w:highlight w:val="green"/>
          <w:lang w:val="en-US"/>
        </w:rPr>
      </w:pPr>
      <w:r w:rsidRPr="00E94F9F">
        <w:rPr>
          <w:rStyle w:val="FootnoteReference"/>
          <w:sz w:val="16"/>
          <w:szCs w:val="22"/>
        </w:rPr>
        <w:footnoteRef/>
      </w:r>
      <w:r w:rsidRPr="00E94F9F">
        <w:rPr>
          <w:sz w:val="16"/>
          <w:szCs w:val="22"/>
        </w:rPr>
        <w:t xml:space="preserve"> </w:t>
      </w:r>
      <w:r w:rsidR="00A33E0F" w:rsidRPr="00E94F9F">
        <w:rPr>
          <w:sz w:val="16"/>
          <w:szCs w:val="22"/>
        </w:rPr>
        <w:t>E</w:t>
      </w:r>
      <w:r w:rsidR="00EB6B79" w:rsidRPr="00E94F9F">
        <w:rPr>
          <w:sz w:val="16"/>
          <w:szCs w:val="22"/>
        </w:rPr>
        <w:t>duardo</w:t>
      </w:r>
      <w:r w:rsidR="00A33E0F" w:rsidRPr="00E94F9F">
        <w:rPr>
          <w:sz w:val="16"/>
          <w:szCs w:val="22"/>
        </w:rPr>
        <w:t xml:space="preserve"> M</w:t>
      </w:r>
      <w:r w:rsidR="00EB6B79" w:rsidRPr="00E94F9F">
        <w:rPr>
          <w:sz w:val="16"/>
          <w:szCs w:val="22"/>
        </w:rPr>
        <w:t>esquita</w:t>
      </w:r>
      <w:r w:rsidRPr="00E94F9F">
        <w:rPr>
          <w:sz w:val="16"/>
          <w:szCs w:val="22"/>
        </w:rPr>
        <w:t xml:space="preserve"> Peixoto, </w:t>
      </w:r>
      <w:r w:rsidR="00A33E0F" w:rsidRPr="00E94F9F">
        <w:rPr>
          <w:sz w:val="16"/>
          <w:szCs w:val="22"/>
        </w:rPr>
        <w:t>V</w:t>
      </w:r>
      <w:r w:rsidR="00826683" w:rsidRPr="00E94F9F">
        <w:rPr>
          <w:sz w:val="16"/>
          <w:szCs w:val="22"/>
        </w:rPr>
        <w:t xml:space="preserve">irginia </w:t>
      </w:r>
      <w:r w:rsidRPr="00E94F9F">
        <w:rPr>
          <w:sz w:val="16"/>
          <w:szCs w:val="22"/>
        </w:rPr>
        <w:t>M</w:t>
      </w:r>
      <w:r w:rsidR="00826683" w:rsidRPr="00E94F9F">
        <w:rPr>
          <w:sz w:val="16"/>
          <w:szCs w:val="22"/>
        </w:rPr>
        <w:t>aria</w:t>
      </w:r>
      <w:r w:rsidRPr="00E94F9F">
        <w:rPr>
          <w:sz w:val="16"/>
          <w:szCs w:val="22"/>
        </w:rPr>
        <w:t xml:space="preserve"> de Azevedo Oliveira Knupp, </w:t>
      </w:r>
      <w:r w:rsidR="00826683" w:rsidRPr="00E94F9F">
        <w:rPr>
          <w:sz w:val="16"/>
          <w:szCs w:val="22"/>
        </w:rPr>
        <w:t>Jesilaine Resende Tei</w:t>
      </w:r>
      <w:r w:rsidR="00EC32A6" w:rsidRPr="00E94F9F">
        <w:rPr>
          <w:sz w:val="16"/>
          <w:szCs w:val="22"/>
        </w:rPr>
        <w:t>xeira Soares</w:t>
      </w:r>
      <w:r w:rsidRPr="00E94F9F">
        <w:rPr>
          <w:sz w:val="16"/>
          <w:szCs w:val="22"/>
        </w:rPr>
        <w:t xml:space="preserve">, </w:t>
      </w:r>
      <w:r w:rsidR="00EC32A6" w:rsidRPr="00E94F9F">
        <w:rPr>
          <w:sz w:val="16"/>
          <w:szCs w:val="22"/>
        </w:rPr>
        <w:t>Davi Gomes</w:t>
      </w:r>
      <w:r w:rsidRPr="00E94F9F">
        <w:rPr>
          <w:sz w:val="16"/>
          <w:szCs w:val="22"/>
        </w:rPr>
        <w:t xml:space="preserve"> Depret, </w:t>
      </w:r>
      <w:r w:rsidR="00FD3825" w:rsidRPr="00E94F9F">
        <w:rPr>
          <w:sz w:val="16"/>
          <w:szCs w:val="22"/>
        </w:rPr>
        <w:t>Cleo de</w:t>
      </w:r>
      <w:r w:rsidRPr="00E94F9F">
        <w:rPr>
          <w:sz w:val="16"/>
          <w:szCs w:val="22"/>
        </w:rPr>
        <w:t xml:space="preserve"> Oliveira Souza, </w:t>
      </w:r>
      <w:r w:rsidR="00FD3825" w:rsidRPr="00E94F9F">
        <w:rPr>
          <w:sz w:val="16"/>
          <w:szCs w:val="22"/>
        </w:rPr>
        <w:t>Maria Eduarda Dantas</w:t>
      </w:r>
      <w:r w:rsidRPr="00E94F9F">
        <w:rPr>
          <w:sz w:val="16"/>
          <w:szCs w:val="22"/>
        </w:rPr>
        <w:t xml:space="preserve"> Messina, </w:t>
      </w:r>
      <w:r w:rsidR="00A33E0F" w:rsidRPr="00E94F9F">
        <w:rPr>
          <w:sz w:val="16"/>
          <w:szCs w:val="22"/>
        </w:rPr>
        <w:t>and L</w:t>
      </w:r>
      <w:r w:rsidR="00F65CCA" w:rsidRPr="00E94F9F">
        <w:rPr>
          <w:sz w:val="16"/>
          <w:szCs w:val="22"/>
        </w:rPr>
        <w:t>uciana</w:t>
      </w:r>
      <w:r w:rsidR="00A33E0F" w:rsidRPr="00E94F9F">
        <w:rPr>
          <w:sz w:val="16"/>
          <w:szCs w:val="22"/>
        </w:rPr>
        <w:t xml:space="preserve"> </w:t>
      </w:r>
      <w:r w:rsidRPr="00E94F9F">
        <w:rPr>
          <w:sz w:val="16"/>
          <w:szCs w:val="22"/>
        </w:rPr>
        <w:t xml:space="preserve">de Souza Velasque, </w:t>
      </w:r>
      <w:r w:rsidR="00A33E0F" w:rsidRPr="00E94F9F">
        <w:rPr>
          <w:sz w:val="16"/>
          <w:szCs w:val="22"/>
        </w:rPr>
        <w:t>"</w:t>
      </w:r>
      <w:r w:rsidRPr="00E94F9F">
        <w:rPr>
          <w:sz w:val="16"/>
          <w:szCs w:val="22"/>
        </w:rPr>
        <w:t xml:space="preserve">Interpersonal </w:t>
      </w:r>
      <w:r w:rsidR="00A33E0F" w:rsidRPr="00E94F9F">
        <w:rPr>
          <w:sz w:val="16"/>
          <w:szCs w:val="22"/>
        </w:rPr>
        <w:t>Violence and Passing</w:t>
      </w:r>
      <w:r w:rsidRPr="00E94F9F">
        <w:rPr>
          <w:sz w:val="16"/>
          <w:szCs w:val="22"/>
        </w:rPr>
        <w:t xml:space="preserve">: Results from a Brazilian </w:t>
      </w:r>
      <w:r w:rsidR="00A33E0F" w:rsidRPr="00E94F9F">
        <w:rPr>
          <w:sz w:val="16"/>
          <w:szCs w:val="22"/>
        </w:rPr>
        <w:t>Trans-Specific Cross-Sectional Study,"</w:t>
      </w:r>
      <w:r w:rsidRPr="00E94F9F">
        <w:rPr>
          <w:sz w:val="16"/>
          <w:szCs w:val="22"/>
        </w:rPr>
        <w:t xml:space="preserve"> </w:t>
      </w:r>
      <w:r w:rsidRPr="00E94F9F">
        <w:rPr>
          <w:i/>
          <w:iCs/>
          <w:sz w:val="16"/>
          <w:szCs w:val="22"/>
        </w:rPr>
        <w:t xml:space="preserve">Journal of </w:t>
      </w:r>
      <w:r w:rsidR="00A33E0F" w:rsidRPr="00E94F9F">
        <w:rPr>
          <w:i/>
          <w:iCs/>
          <w:sz w:val="16"/>
          <w:szCs w:val="22"/>
        </w:rPr>
        <w:t>Interpersonal Violence</w:t>
      </w:r>
      <w:r w:rsidRPr="00E94F9F">
        <w:rPr>
          <w:sz w:val="16"/>
          <w:szCs w:val="22"/>
        </w:rPr>
        <w:t xml:space="preserve"> 37, </w:t>
      </w:r>
      <w:r w:rsidR="00A33E0F" w:rsidRPr="00E94F9F">
        <w:rPr>
          <w:sz w:val="16"/>
          <w:szCs w:val="22"/>
        </w:rPr>
        <w:t>no.</w:t>
      </w:r>
      <w:r w:rsidRPr="00E94F9F">
        <w:rPr>
          <w:sz w:val="16"/>
          <w:szCs w:val="22"/>
        </w:rPr>
        <w:t xml:space="preserve"> 15-16</w:t>
      </w:r>
      <w:r w:rsidR="00A33E0F" w:rsidRPr="00E94F9F">
        <w:rPr>
          <w:sz w:val="16"/>
          <w:szCs w:val="22"/>
        </w:rPr>
        <w:t xml:space="preserve"> (2022):</w:t>
      </w:r>
      <w:r w:rsidRPr="00E94F9F">
        <w:rPr>
          <w:sz w:val="16"/>
          <w:szCs w:val="22"/>
        </w:rPr>
        <w:t xml:space="preserve"> NP14397-NP14410.</w:t>
      </w:r>
      <w:r w:rsidR="00A33E0F" w:rsidRPr="00E94F9F">
        <w:rPr>
          <w:sz w:val="16"/>
          <w:szCs w:val="22"/>
        </w:rPr>
        <w:t xml:space="preserve"> </w:t>
      </w:r>
    </w:p>
  </w:footnote>
  <w:footnote w:id="171">
    <w:p w14:paraId="756A3B9C" w14:textId="04568B53" w:rsidR="009E1D72" w:rsidRPr="00E94F9F" w:rsidRDefault="009E1D72" w:rsidP="009E1D72">
      <w:pPr>
        <w:pStyle w:val="FootnoteText"/>
        <w:rPr>
          <w:sz w:val="16"/>
          <w:szCs w:val="22"/>
          <w:lang w:val="en-US"/>
        </w:rPr>
      </w:pPr>
      <w:r w:rsidRPr="00E94F9F">
        <w:rPr>
          <w:rStyle w:val="FootnoteReference"/>
          <w:sz w:val="16"/>
          <w:szCs w:val="22"/>
        </w:rPr>
        <w:footnoteRef/>
      </w:r>
      <w:r w:rsidRPr="00E94F9F">
        <w:rPr>
          <w:sz w:val="16"/>
          <w:szCs w:val="22"/>
        </w:rPr>
        <w:t xml:space="preserve"> </w:t>
      </w:r>
      <w:r w:rsidR="005B1093" w:rsidRPr="00E94F9F">
        <w:rPr>
          <w:sz w:val="16"/>
          <w:szCs w:val="22"/>
        </w:rPr>
        <w:t xml:space="preserve">Isaac </w:t>
      </w:r>
      <w:r w:rsidRPr="00E94F9F">
        <w:rPr>
          <w:sz w:val="16"/>
          <w:szCs w:val="22"/>
        </w:rPr>
        <w:t xml:space="preserve">Blythe, </w:t>
      </w:r>
      <w:r w:rsidR="00DD63A1" w:rsidRPr="00E94F9F">
        <w:rPr>
          <w:sz w:val="16"/>
          <w:szCs w:val="22"/>
        </w:rPr>
        <w:t>"</w:t>
      </w:r>
      <w:r w:rsidRPr="00E94F9F">
        <w:rPr>
          <w:sz w:val="16"/>
          <w:szCs w:val="22"/>
        </w:rPr>
        <w:t>Passing Notion: The Experience of Four Trans Identified Students and the Violence of Assimilation</w:t>
      </w:r>
      <w:r w:rsidR="00DD63A1" w:rsidRPr="00E94F9F">
        <w:rPr>
          <w:sz w:val="16"/>
          <w:szCs w:val="22"/>
        </w:rPr>
        <w:t xml:space="preserve">." Honors thesis, 2016. </w:t>
      </w:r>
    </w:p>
  </w:footnote>
  <w:footnote w:id="172">
    <w:p w14:paraId="077DD067" w14:textId="0C73B40D" w:rsidR="009E1D72" w:rsidRPr="00E94F9F" w:rsidRDefault="009E1D72" w:rsidP="009E1D72">
      <w:pPr>
        <w:pStyle w:val="FootnoteText"/>
        <w:rPr>
          <w:sz w:val="16"/>
          <w:szCs w:val="22"/>
        </w:rPr>
      </w:pPr>
      <w:r w:rsidRPr="00E94F9F">
        <w:rPr>
          <w:rStyle w:val="FootnoteReference"/>
          <w:sz w:val="16"/>
          <w:szCs w:val="22"/>
        </w:rPr>
        <w:footnoteRef/>
      </w:r>
      <w:r w:rsidRPr="00E94F9F">
        <w:rPr>
          <w:sz w:val="16"/>
          <w:szCs w:val="22"/>
        </w:rPr>
        <w:t xml:space="preserve"> </w:t>
      </w:r>
      <w:r w:rsidR="00CD6D5F" w:rsidRPr="00E94F9F">
        <w:rPr>
          <w:sz w:val="16"/>
          <w:szCs w:val="22"/>
        </w:rPr>
        <w:t>Rosie</w:t>
      </w:r>
      <w:r w:rsidRPr="00E94F9F">
        <w:rPr>
          <w:sz w:val="16"/>
          <w:szCs w:val="22"/>
        </w:rPr>
        <w:t xml:space="preserve"> Charter, </w:t>
      </w:r>
      <w:r w:rsidR="00CD6D5F" w:rsidRPr="00E94F9F">
        <w:rPr>
          <w:sz w:val="16"/>
          <w:szCs w:val="22"/>
        </w:rPr>
        <w:t>Jane</w:t>
      </w:r>
      <w:r w:rsidRPr="00E94F9F">
        <w:rPr>
          <w:sz w:val="16"/>
          <w:szCs w:val="22"/>
        </w:rPr>
        <w:t xml:space="preserve"> Ussher, Janette </w:t>
      </w:r>
      <w:r w:rsidR="00CD6D5F" w:rsidRPr="00E94F9F">
        <w:rPr>
          <w:sz w:val="16"/>
          <w:szCs w:val="22"/>
        </w:rPr>
        <w:t xml:space="preserve">Perz, </w:t>
      </w:r>
      <w:r w:rsidRPr="00E94F9F">
        <w:rPr>
          <w:sz w:val="16"/>
          <w:szCs w:val="22"/>
        </w:rPr>
        <w:t xml:space="preserve">and </w:t>
      </w:r>
      <w:r w:rsidR="00CD6D5F" w:rsidRPr="00E94F9F">
        <w:rPr>
          <w:sz w:val="16"/>
          <w:szCs w:val="22"/>
        </w:rPr>
        <w:t xml:space="preserve">Kerry </w:t>
      </w:r>
      <w:r w:rsidRPr="00E94F9F">
        <w:rPr>
          <w:sz w:val="16"/>
          <w:szCs w:val="22"/>
        </w:rPr>
        <w:t xml:space="preserve">Robinson, </w:t>
      </w:r>
      <w:r w:rsidR="00CD6D5F" w:rsidRPr="00E94F9F">
        <w:rPr>
          <w:sz w:val="16"/>
          <w:szCs w:val="22"/>
        </w:rPr>
        <w:t>"</w:t>
      </w:r>
      <w:r w:rsidRPr="00E94F9F">
        <w:rPr>
          <w:sz w:val="16"/>
          <w:szCs w:val="22"/>
        </w:rPr>
        <w:t xml:space="preserve">Transgender Parents: Negotiating </w:t>
      </w:r>
      <w:r w:rsidR="00CD6D5F" w:rsidRPr="00E94F9F">
        <w:rPr>
          <w:sz w:val="16"/>
          <w:szCs w:val="22"/>
        </w:rPr>
        <w:t>'Coming Out'</w:t>
      </w:r>
      <w:r w:rsidRPr="00E94F9F">
        <w:rPr>
          <w:sz w:val="16"/>
          <w:szCs w:val="22"/>
        </w:rPr>
        <w:t xml:space="preserve"> and Gender Affirmation with Children and Co-Parents</w:t>
      </w:r>
      <w:r w:rsidR="00CD6D5F" w:rsidRPr="00E94F9F">
        <w:rPr>
          <w:sz w:val="16"/>
          <w:szCs w:val="22"/>
        </w:rPr>
        <w:t>,"</w:t>
      </w:r>
      <w:r w:rsidRPr="00E94F9F">
        <w:rPr>
          <w:sz w:val="16"/>
          <w:szCs w:val="22"/>
        </w:rPr>
        <w:t xml:space="preserve"> </w:t>
      </w:r>
      <w:r w:rsidRPr="00E94F9F">
        <w:rPr>
          <w:i/>
          <w:iCs/>
          <w:sz w:val="16"/>
          <w:szCs w:val="22"/>
        </w:rPr>
        <w:t>Journal of Homosexuality</w:t>
      </w:r>
      <w:r w:rsidRPr="00E94F9F">
        <w:rPr>
          <w:sz w:val="16"/>
          <w:szCs w:val="22"/>
        </w:rPr>
        <w:t xml:space="preserve"> 70, no. 7 </w:t>
      </w:r>
      <w:r w:rsidR="00CD6D5F" w:rsidRPr="00E94F9F">
        <w:rPr>
          <w:sz w:val="16"/>
          <w:szCs w:val="22"/>
        </w:rPr>
        <w:t>(2022):</w:t>
      </w:r>
      <w:r w:rsidRPr="00E94F9F">
        <w:rPr>
          <w:sz w:val="16"/>
          <w:szCs w:val="22"/>
        </w:rPr>
        <w:t xml:space="preserve"> 1298.</w:t>
      </w:r>
    </w:p>
  </w:footnote>
  <w:footnote w:id="173">
    <w:p w14:paraId="4E91BDB3" w14:textId="3CED2AD3" w:rsidR="008E013A" w:rsidRPr="00E94F9F" w:rsidRDefault="008E013A" w:rsidP="008E013A">
      <w:pPr>
        <w:pStyle w:val="FootnoteText"/>
        <w:rPr>
          <w:sz w:val="16"/>
          <w:szCs w:val="22"/>
        </w:rPr>
      </w:pPr>
      <w:r w:rsidRPr="00E94F9F">
        <w:rPr>
          <w:rStyle w:val="FootnoteReference"/>
          <w:sz w:val="16"/>
          <w:szCs w:val="22"/>
        </w:rPr>
        <w:footnoteRef/>
      </w:r>
      <w:r w:rsidRPr="00E94F9F">
        <w:rPr>
          <w:sz w:val="16"/>
          <w:szCs w:val="22"/>
        </w:rPr>
        <w:t xml:space="preserve"> </w:t>
      </w:r>
      <w:r w:rsidR="00FA3F37" w:rsidRPr="00E94F9F">
        <w:rPr>
          <w:sz w:val="16"/>
          <w:szCs w:val="22"/>
        </w:rPr>
        <w:t xml:space="preserve">Sarah </w:t>
      </w:r>
      <w:r w:rsidRPr="00E94F9F">
        <w:rPr>
          <w:sz w:val="16"/>
          <w:szCs w:val="22"/>
        </w:rPr>
        <w:t xml:space="preserve">Noble, </w:t>
      </w:r>
      <w:r w:rsidR="00FA3F37" w:rsidRPr="00E94F9F">
        <w:rPr>
          <w:sz w:val="16"/>
          <w:szCs w:val="22"/>
        </w:rPr>
        <w:t>"</w:t>
      </w:r>
      <w:r w:rsidRPr="00E94F9F">
        <w:rPr>
          <w:sz w:val="16"/>
          <w:szCs w:val="22"/>
        </w:rPr>
        <w:t xml:space="preserve">Mental </w:t>
      </w:r>
      <w:r w:rsidR="00FA3F37" w:rsidRPr="00E94F9F">
        <w:rPr>
          <w:sz w:val="16"/>
          <w:szCs w:val="22"/>
        </w:rPr>
        <w:t>Health Facts</w:t>
      </w:r>
      <w:r w:rsidRPr="00E94F9F">
        <w:rPr>
          <w:sz w:val="16"/>
          <w:szCs w:val="22"/>
        </w:rPr>
        <w:t xml:space="preserve"> on </w:t>
      </w:r>
      <w:r w:rsidR="00FA3F37" w:rsidRPr="00E94F9F">
        <w:rPr>
          <w:sz w:val="16"/>
          <w:szCs w:val="22"/>
        </w:rPr>
        <w:t>Bisexual Populations,"</w:t>
      </w:r>
      <w:r w:rsidRPr="00E94F9F">
        <w:rPr>
          <w:sz w:val="16"/>
          <w:szCs w:val="22"/>
        </w:rPr>
        <w:t xml:space="preserve"> January 2020, American Psychological </w:t>
      </w:r>
      <w:r w:rsidR="00FA3F37" w:rsidRPr="00E94F9F">
        <w:rPr>
          <w:sz w:val="16"/>
          <w:szCs w:val="22"/>
        </w:rPr>
        <w:t>Association</w:t>
      </w:r>
      <w:r w:rsidRPr="00E94F9F">
        <w:rPr>
          <w:sz w:val="16"/>
          <w:szCs w:val="22"/>
        </w:rPr>
        <w:t>.</w:t>
      </w:r>
    </w:p>
  </w:footnote>
  <w:footnote w:id="174">
    <w:p w14:paraId="48274875" w14:textId="0794241E" w:rsidR="008E013A" w:rsidRPr="00956B5E" w:rsidRDefault="008E013A" w:rsidP="008E013A">
      <w:pPr>
        <w:pStyle w:val="FootnoteText"/>
      </w:pPr>
      <w:r w:rsidRPr="00E94F9F">
        <w:rPr>
          <w:rStyle w:val="FootnoteReference"/>
          <w:sz w:val="16"/>
          <w:szCs w:val="22"/>
        </w:rPr>
        <w:footnoteRef/>
      </w:r>
      <w:r w:rsidRPr="00E94F9F">
        <w:rPr>
          <w:sz w:val="16"/>
          <w:szCs w:val="22"/>
        </w:rPr>
        <w:t xml:space="preserve"> </w:t>
      </w:r>
      <w:r w:rsidR="00EF2A69" w:rsidRPr="00E94F9F">
        <w:rPr>
          <w:sz w:val="16"/>
          <w:szCs w:val="22"/>
        </w:rPr>
        <w:t>Jake</w:t>
      </w:r>
      <w:r w:rsidRPr="00E94F9F">
        <w:rPr>
          <w:sz w:val="16"/>
          <w:szCs w:val="22"/>
        </w:rPr>
        <w:t xml:space="preserve"> Camp, </w:t>
      </w:r>
      <w:r w:rsidR="00EF2A69" w:rsidRPr="00E94F9F">
        <w:rPr>
          <w:sz w:val="16"/>
          <w:szCs w:val="22"/>
        </w:rPr>
        <w:t xml:space="preserve">Silia </w:t>
      </w:r>
      <w:r w:rsidRPr="00E94F9F">
        <w:rPr>
          <w:sz w:val="16"/>
          <w:szCs w:val="22"/>
        </w:rPr>
        <w:t xml:space="preserve">Vitoratou, and Katharine </w:t>
      </w:r>
      <w:r w:rsidR="00EF2A69" w:rsidRPr="00E94F9F">
        <w:rPr>
          <w:sz w:val="16"/>
          <w:szCs w:val="22"/>
        </w:rPr>
        <w:t>Rimes, "</w:t>
      </w:r>
      <w:r w:rsidRPr="00E94F9F">
        <w:rPr>
          <w:sz w:val="16"/>
          <w:szCs w:val="22"/>
        </w:rPr>
        <w:t>LGBQ+ Self-Acceptance and Its Relationship with Minority Stressors and Mental Health: A Systematic Literature Review</w:t>
      </w:r>
      <w:r w:rsidR="00EF2A69" w:rsidRPr="00E94F9F">
        <w:rPr>
          <w:sz w:val="16"/>
          <w:szCs w:val="22"/>
        </w:rPr>
        <w:t>,"</w:t>
      </w:r>
      <w:r w:rsidRPr="00E94F9F">
        <w:rPr>
          <w:sz w:val="16"/>
          <w:szCs w:val="22"/>
        </w:rPr>
        <w:t xml:space="preserve"> </w:t>
      </w:r>
      <w:r w:rsidRPr="00E94F9F">
        <w:rPr>
          <w:i/>
          <w:iCs/>
          <w:sz w:val="16"/>
          <w:szCs w:val="22"/>
        </w:rPr>
        <w:t xml:space="preserve">Archives of Sexual </w:t>
      </w:r>
      <w:r w:rsidR="00EF2A69" w:rsidRPr="00E94F9F">
        <w:rPr>
          <w:i/>
          <w:iCs/>
          <w:sz w:val="16"/>
          <w:szCs w:val="22"/>
        </w:rPr>
        <w:t>Behavior</w:t>
      </w:r>
      <w:r w:rsidRPr="00E94F9F">
        <w:rPr>
          <w:sz w:val="16"/>
          <w:szCs w:val="22"/>
        </w:rPr>
        <w:t xml:space="preserve"> 49 </w:t>
      </w:r>
      <w:r w:rsidR="00EF2A69" w:rsidRPr="00E94F9F">
        <w:rPr>
          <w:sz w:val="16"/>
          <w:szCs w:val="22"/>
        </w:rPr>
        <w:t>(2020):</w:t>
      </w:r>
      <w:r w:rsidRPr="00E94F9F">
        <w:rPr>
          <w:sz w:val="16"/>
          <w:szCs w:val="22"/>
        </w:rPr>
        <w:t xml:space="preserve"> 2353.</w:t>
      </w:r>
    </w:p>
  </w:footnote>
  <w:footnote w:id="175">
    <w:p w14:paraId="26138579" w14:textId="05486C84" w:rsidR="008E013A" w:rsidRPr="00335355" w:rsidRDefault="008E013A" w:rsidP="008E013A">
      <w:pPr>
        <w:pStyle w:val="FootnoteText"/>
        <w:rPr>
          <w:sz w:val="16"/>
          <w:szCs w:val="22"/>
        </w:rPr>
      </w:pPr>
      <w:r w:rsidRPr="00335355">
        <w:rPr>
          <w:rStyle w:val="FootnoteReference"/>
          <w:sz w:val="16"/>
          <w:szCs w:val="22"/>
        </w:rPr>
        <w:footnoteRef/>
      </w:r>
      <w:r w:rsidRPr="00335355">
        <w:rPr>
          <w:sz w:val="16"/>
          <w:szCs w:val="22"/>
        </w:rPr>
        <w:t xml:space="preserve"> </w:t>
      </w:r>
      <w:r w:rsidR="00283958" w:rsidRPr="00335355">
        <w:rPr>
          <w:sz w:val="16"/>
          <w:szCs w:val="22"/>
        </w:rPr>
        <w:t>Daniel</w:t>
      </w:r>
      <w:r w:rsidRPr="00335355">
        <w:rPr>
          <w:sz w:val="16"/>
          <w:szCs w:val="22"/>
        </w:rPr>
        <w:t xml:space="preserve"> Morris, </w:t>
      </w:r>
      <w:r w:rsidR="00283958" w:rsidRPr="00335355">
        <w:rPr>
          <w:sz w:val="16"/>
          <w:szCs w:val="22"/>
        </w:rPr>
        <w:t>Vanessa</w:t>
      </w:r>
      <w:r w:rsidRPr="00335355">
        <w:rPr>
          <w:sz w:val="16"/>
          <w:szCs w:val="22"/>
        </w:rPr>
        <w:t xml:space="preserve"> Fernandes, </w:t>
      </w:r>
      <w:r w:rsidR="00283958" w:rsidRPr="00335355">
        <w:rPr>
          <w:sz w:val="16"/>
          <w:szCs w:val="22"/>
        </w:rPr>
        <w:t>and Katharine Rimes</w:t>
      </w:r>
      <w:r w:rsidRPr="00335355">
        <w:rPr>
          <w:sz w:val="16"/>
          <w:szCs w:val="22"/>
        </w:rPr>
        <w:t xml:space="preserve">, </w:t>
      </w:r>
      <w:r w:rsidR="00BA2244" w:rsidRPr="00335355">
        <w:rPr>
          <w:sz w:val="16"/>
          <w:szCs w:val="22"/>
        </w:rPr>
        <w:t>"</w:t>
      </w:r>
      <w:r w:rsidRPr="00335355">
        <w:rPr>
          <w:sz w:val="16"/>
          <w:szCs w:val="22"/>
        </w:rPr>
        <w:t xml:space="preserve">Sexual </w:t>
      </w:r>
      <w:r w:rsidR="00BA2244" w:rsidRPr="00335355">
        <w:rPr>
          <w:sz w:val="16"/>
          <w:szCs w:val="22"/>
        </w:rPr>
        <w:t>Minority Service User Perspectives</w:t>
      </w:r>
      <w:r w:rsidRPr="00335355">
        <w:rPr>
          <w:sz w:val="16"/>
          <w:szCs w:val="22"/>
        </w:rPr>
        <w:t xml:space="preserve"> on </w:t>
      </w:r>
      <w:r w:rsidR="00BA2244" w:rsidRPr="00335355">
        <w:rPr>
          <w:sz w:val="16"/>
          <w:szCs w:val="22"/>
        </w:rPr>
        <w:t>Mental Health Treatment Barriers</w:t>
      </w:r>
      <w:r w:rsidRPr="00335355">
        <w:rPr>
          <w:sz w:val="16"/>
          <w:szCs w:val="22"/>
        </w:rPr>
        <w:t xml:space="preserve"> to </w:t>
      </w:r>
      <w:r w:rsidR="00BA2244" w:rsidRPr="00335355">
        <w:rPr>
          <w:sz w:val="16"/>
          <w:szCs w:val="22"/>
        </w:rPr>
        <w:t>Care</w:t>
      </w:r>
      <w:r w:rsidRPr="00335355">
        <w:rPr>
          <w:sz w:val="16"/>
          <w:szCs w:val="22"/>
        </w:rPr>
        <w:t xml:space="preserve"> and </w:t>
      </w:r>
      <w:r w:rsidR="00BA2244" w:rsidRPr="00335355">
        <w:rPr>
          <w:sz w:val="16"/>
          <w:szCs w:val="22"/>
        </w:rPr>
        <w:t>Service Improvements,"</w:t>
      </w:r>
      <w:r w:rsidRPr="00335355">
        <w:rPr>
          <w:sz w:val="16"/>
          <w:szCs w:val="22"/>
        </w:rPr>
        <w:t xml:space="preserve"> </w:t>
      </w:r>
      <w:r w:rsidRPr="00335355">
        <w:rPr>
          <w:i/>
          <w:iCs/>
          <w:sz w:val="16"/>
          <w:szCs w:val="22"/>
        </w:rPr>
        <w:t>International Review of Psychiatry</w:t>
      </w:r>
      <w:r w:rsidRPr="00335355">
        <w:rPr>
          <w:sz w:val="16"/>
          <w:szCs w:val="22"/>
        </w:rPr>
        <w:t xml:space="preserve"> 34, no. 3-4</w:t>
      </w:r>
      <w:r w:rsidR="00BA2244" w:rsidRPr="00335355">
        <w:rPr>
          <w:sz w:val="16"/>
          <w:szCs w:val="22"/>
        </w:rPr>
        <w:t xml:space="preserve"> (2022):</w:t>
      </w:r>
      <w:r w:rsidRPr="00335355">
        <w:rPr>
          <w:sz w:val="16"/>
          <w:szCs w:val="22"/>
        </w:rPr>
        <w:t xml:space="preserve"> 230-239.</w:t>
      </w:r>
    </w:p>
  </w:footnote>
  <w:footnote w:id="176">
    <w:p w14:paraId="55F44C0C" w14:textId="7822C04B" w:rsidR="008E013A" w:rsidRPr="00335355" w:rsidRDefault="008E013A" w:rsidP="008E013A">
      <w:pPr>
        <w:pStyle w:val="FootnoteText"/>
        <w:rPr>
          <w:sz w:val="16"/>
          <w:szCs w:val="22"/>
          <w:lang w:val="en-US"/>
        </w:rPr>
      </w:pPr>
      <w:r w:rsidRPr="00335355">
        <w:rPr>
          <w:rStyle w:val="FootnoteReference"/>
          <w:sz w:val="16"/>
          <w:szCs w:val="22"/>
        </w:rPr>
        <w:footnoteRef/>
      </w:r>
      <w:r w:rsidRPr="00335355">
        <w:rPr>
          <w:sz w:val="16"/>
          <w:szCs w:val="22"/>
        </w:rPr>
        <w:t xml:space="preserve"> </w:t>
      </w:r>
      <w:r w:rsidR="00F852F3" w:rsidRPr="00335355">
        <w:rPr>
          <w:sz w:val="16"/>
          <w:szCs w:val="22"/>
        </w:rPr>
        <w:t>Taylor, Julia., Power, Jennifer., Smith, Elizabeth</w:t>
      </w:r>
      <w:r w:rsidR="00324635" w:rsidRPr="00335355">
        <w:rPr>
          <w:sz w:val="16"/>
          <w:szCs w:val="22"/>
        </w:rPr>
        <w:t>., and Rathbone, Mark.</w:t>
      </w:r>
      <w:r w:rsidRPr="00335355">
        <w:rPr>
          <w:sz w:val="16"/>
          <w:szCs w:val="22"/>
        </w:rPr>
        <w:t xml:space="preserve"> </w:t>
      </w:r>
      <w:r w:rsidR="007F4A9A" w:rsidRPr="00335355">
        <w:rPr>
          <w:sz w:val="16"/>
          <w:szCs w:val="22"/>
        </w:rPr>
        <w:t xml:space="preserve">"Bisexuals’ Experiences of Mental Health Services: Findings from the Who I Am Study," </w:t>
      </w:r>
      <w:r w:rsidR="007F4A9A" w:rsidRPr="00335355">
        <w:rPr>
          <w:i/>
          <w:sz w:val="16"/>
          <w:szCs w:val="22"/>
        </w:rPr>
        <w:t>Sexuality Research and Social Policy</w:t>
      </w:r>
      <w:r w:rsidR="007F4A9A" w:rsidRPr="00335355">
        <w:rPr>
          <w:sz w:val="16"/>
          <w:szCs w:val="22"/>
        </w:rPr>
        <w:t xml:space="preserve"> 18, no. 1 (2021): 27-38. </w:t>
      </w:r>
    </w:p>
  </w:footnote>
  <w:footnote w:id="177">
    <w:p w14:paraId="18164114" w14:textId="3505FAC1" w:rsidR="008E013A" w:rsidRPr="00335355" w:rsidRDefault="008E013A" w:rsidP="008E013A">
      <w:pPr>
        <w:pStyle w:val="FootnoteText"/>
        <w:rPr>
          <w:sz w:val="16"/>
          <w:szCs w:val="22"/>
        </w:rPr>
      </w:pPr>
      <w:r w:rsidRPr="00335355">
        <w:rPr>
          <w:rStyle w:val="FootnoteReference"/>
          <w:sz w:val="16"/>
          <w:szCs w:val="22"/>
        </w:rPr>
        <w:footnoteRef/>
      </w:r>
      <w:r w:rsidRPr="00335355">
        <w:rPr>
          <w:sz w:val="16"/>
          <w:szCs w:val="22"/>
        </w:rPr>
        <w:t xml:space="preserve"> </w:t>
      </w:r>
      <w:r w:rsidR="00F605F2" w:rsidRPr="00335355">
        <w:rPr>
          <w:sz w:val="16"/>
          <w:szCs w:val="22"/>
        </w:rPr>
        <w:t>Francesca</w:t>
      </w:r>
      <w:r w:rsidRPr="00335355">
        <w:rPr>
          <w:sz w:val="16"/>
          <w:szCs w:val="22"/>
        </w:rPr>
        <w:t xml:space="preserve"> Mongelli, </w:t>
      </w:r>
      <w:r w:rsidR="00F605F2" w:rsidRPr="00335355">
        <w:rPr>
          <w:sz w:val="16"/>
          <w:szCs w:val="22"/>
        </w:rPr>
        <w:t>Daniela</w:t>
      </w:r>
      <w:r w:rsidRPr="00335355">
        <w:rPr>
          <w:sz w:val="16"/>
          <w:szCs w:val="22"/>
        </w:rPr>
        <w:t xml:space="preserve"> Perrone, </w:t>
      </w:r>
      <w:r w:rsidR="00F605F2" w:rsidRPr="00335355">
        <w:rPr>
          <w:sz w:val="16"/>
          <w:szCs w:val="22"/>
        </w:rPr>
        <w:t>Jessica</w:t>
      </w:r>
      <w:r w:rsidRPr="00335355">
        <w:rPr>
          <w:sz w:val="16"/>
          <w:szCs w:val="22"/>
        </w:rPr>
        <w:t xml:space="preserve"> Balducci, </w:t>
      </w:r>
      <w:r w:rsidR="00F605F2" w:rsidRPr="00335355">
        <w:rPr>
          <w:sz w:val="16"/>
          <w:szCs w:val="22"/>
        </w:rPr>
        <w:t>Andrea</w:t>
      </w:r>
      <w:r w:rsidRPr="00335355">
        <w:rPr>
          <w:sz w:val="16"/>
          <w:szCs w:val="22"/>
        </w:rPr>
        <w:t xml:space="preserve"> Sacchetti, </w:t>
      </w:r>
      <w:r w:rsidR="00F605F2" w:rsidRPr="00335355">
        <w:rPr>
          <w:sz w:val="16"/>
          <w:szCs w:val="22"/>
        </w:rPr>
        <w:t>Silvia</w:t>
      </w:r>
      <w:r w:rsidRPr="00335355">
        <w:rPr>
          <w:sz w:val="16"/>
          <w:szCs w:val="22"/>
        </w:rPr>
        <w:t xml:space="preserve"> Ferrari, </w:t>
      </w:r>
      <w:r w:rsidR="00F605F2" w:rsidRPr="00335355">
        <w:rPr>
          <w:sz w:val="16"/>
          <w:szCs w:val="22"/>
        </w:rPr>
        <w:t>Giorgio</w:t>
      </w:r>
      <w:r w:rsidRPr="00335355">
        <w:rPr>
          <w:sz w:val="16"/>
          <w:szCs w:val="22"/>
        </w:rPr>
        <w:t xml:space="preserve"> Mettai, </w:t>
      </w:r>
      <w:r w:rsidR="00F605F2" w:rsidRPr="00335355">
        <w:rPr>
          <w:sz w:val="16"/>
          <w:szCs w:val="22"/>
        </w:rPr>
        <w:t xml:space="preserve">and Gian </w:t>
      </w:r>
      <w:r w:rsidRPr="00335355">
        <w:rPr>
          <w:sz w:val="16"/>
          <w:szCs w:val="22"/>
        </w:rPr>
        <w:t xml:space="preserve">Galeazzi, </w:t>
      </w:r>
      <w:r w:rsidR="00F605F2" w:rsidRPr="00335355">
        <w:rPr>
          <w:sz w:val="16"/>
          <w:szCs w:val="22"/>
        </w:rPr>
        <w:t>"</w:t>
      </w:r>
      <w:r w:rsidRPr="00335355">
        <w:rPr>
          <w:sz w:val="16"/>
          <w:szCs w:val="22"/>
        </w:rPr>
        <w:t xml:space="preserve">Minority </w:t>
      </w:r>
      <w:r w:rsidR="00F605F2" w:rsidRPr="00335355">
        <w:rPr>
          <w:sz w:val="16"/>
          <w:szCs w:val="22"/>
        </w:rPr>
        <w:t>Stress and Mental Health Among</w:t>
      </w:r>
      <w:r w:rsidRPr="00335355">
        <w:rPr>
          <w:sz w:val="16"/>
          <w:szCs w:val="22"/>
        </w:rPr>
        <w:t xml:space="preserve"> LGBT </w:t>
      </w:r>
      <w:r w:rsidR="00F605F2" w:rsidRPr="00335355">
        <w:rPr>
          <w:sz w:val="16"/>
          <w:szCs w:val="22"/>
        </w:rPr>
        <w:t>Populations: An Update</w:t>
      </w:r>
      <w:r w:rsidRPr="00335355">
        <w:rPr>
          <w:sz w:val="16"/>
          <w:szCs w:val="22"/>
        </w:rPr>
        <w:t xml:space="preserve"> on the </w:t>
      </w:r>
      <w:r w:rsidR="00F605F2" w:rsidRPr="00335355">
        <w:rPr>
          <w:sz w:val="16"/>
          <w:szCs w:val="22"/>
        </w:rPr>
        <w:t>Evidence,"</w:t>
      </w:r>
      <w:r w:rsidRPr="00335355">
        <w:rPr>
          <w:sz w:val="16"/>
          <w:szCs w:val="22"/>
        </w:rPr>
        <w:t xml:space="preserve"> </w:t>
      </w:r>
      <w:r w:rsidRPr="00335355">
        <w:rPr>
          <w:i/>
          <w:iCs/>
          <w:sz w:val="16"/>
          <w:szCs w:val="22"/>
        </w:rPr>
        <w:t>Minerva Psichiatrica</w:t>
      </w:r>
      <w:r w:rsidRPr="00335355">
        <w:rPr>
          <w:sz w:val="16"/>
          <w:szCs w:val="22"/>
        </w:rPr>
        <w:t xml:space="preserve"> 60, no. 1 </w:t>
      </w:r>
      <w:r w:rsidR="00F605F2" w:rsidRPr="00335355">
        <w:rPr>
          <w:sz w:val="16"/>
          <w:szCs w:val="22"/>
        </w:rPr>
        <w:t>(2019):</w:t>
      </w:r>
      <w:r w:rsidRPr="00335355">
        <w:rPr>
          <w:sz w:val="16"/>
          <w:szCs w:val="22"/>
        </w:rPr>
        <w:t xml:space="preserve"> 32</w:t>
      </w:r>
      <w:r w:rsidR="00F605F2" w:rsidRPr="00335355">
        <w:rPr>
          <w:sz w:val="16"/>
          <w:szCs w:val="22"/>
        </w:rPr>
        <w:t xml:space="preserve">. </w:t>
      </w:r>
    </w:p>
  </w:footnote>
  <w:footnote w:id="178">
    <w:p w14:paraId="2C952089" w14:textId="47E3D0BB" w:rsidR="00CF3EC8" w:rsidRPr="00335355" w:rsidRDefault="00CF3EC8" w:rsidP="00CF3EC8">
      <w:pPr>
        <w:pStyle w:val="FootnoteText"/>
        <w:rPr>
          <w:sz w:val="16"/>
          <w:szCs w:val="22"/>
        </w:rPr>
      </w:pPr>
      <w:r w:rsidRPr="00335355">
        <w:rPr>
          <w:rStyle w:val="FootnoteReference"/>
          <w:sz w:val="16"/>
          <w:szCs w:val="22"/>
        </w:rPr>
        <w:footnoteRef/>
      </w:r>
      <w:r w:rsidR="005F663B" w:rsidRPr="00335355">
        <w:rPr>
          <w:sz w:val="16"/>
          <w:szCs w:val="22"/>
        </w:rPr>
        <w:t>James Morandini., Jessica Strudwick, Rachel Menzies, and Ilan Dar-Nimrod</w:t>
      </w:r>
      <w:r w:rsidR="005C25E0" w:rsidRPr="00335355">
        <w:rPr>
          <w:sz w:val="16"/>
          <w:szCs w:val="22"/>
        </w:rPr>
        <w:t>,</w:t>
      </w:r>
      <w:r w:rsidR="005F663B" w:rsidRPr="00335355">
        <w:rPr>
          <w:sz w:val="16"/>
          <w:szCs w:val="22"/>
        </w:rPr>
        <w:t xml:space="preserve"> "Differences between Australian Bisexual and Pansexual Women: An Assessment of Minority Stressors and Psychological Outcomes</w:t>
      </w:r>
      <w:r w:rsidR="005C25E0" w:rsidRPr="00335355">
        <w:rPr>
          <w:sz w:val="16"/>
          <w:szCs w:val="22"/>
        </w:rPr>
        <w:t>,</w:t>
      </w:r>
      <w:r w:rsidR="005F663B" w:rsidRPr="00335355">
        <w:rPr>
          <w:sz w:val="16"/>
          <w:szCs w:val="22"/>
        </w:rPr>
        <w:t xml:space="preserve">" </w:t>
      </w:r>
      <w:r w:rsidR="005F663B" w:rsidRPr="00335355">
        <w:rPr>
          <w:i/>
          <w:iCs/>
          <w:sz w:val="16"/>
          <w:szCs w:val="22"/>
        </w:rPr>
        <w:t>Psychology &amp; Sexuality</w:t>
      </w:r>
      <w:r w:rsidR="005F663B" w:rsidRPr="00335355">
        <w:rPr>
          <w:sz w:val="16"/>
          <w:szCs w:val="22"/>
        </w:rPr>
        <w:t xml:space="preserve"> 14, no. 1 (2023): 233.</w:t>
      </w:r>
    </w:p>
  </w:footnote>
  <w:footnote w:id="179">
    <w:p w14:paraId="006B75A4" w14:textId="6D1AB293" w:rsidR="00D5428D" w:rsidRPr="00335355" w:rsidRDefault="00D5428D">
      <w:pPr>
        <w:pStyle w:val="FootnoteText"/>
        <w:rPr>
          <w:sz w:val="16"/>
          <w:szCs w:val="22"/>
          <w:highlight w:val="magenta"/>
        </w:rPr>
      </w:pPr>
      <w:r w:rsidRPr="00335355">
        <w:rPr>
          <w:rStyle w:val="FootnoteReference"/>
          <w:sz w:val="16"/>
          <w:szCs w:val="22"/>
        </w:rPr>
        <w:footnoteRef/>
      </w:r>
      <w:r w:rsidRPr="00335355">
        <w:rPr>
          <w:sz w:val="16"/>
          <w:szCs w:val="22"/>
        </w:rPr>
        <w:t xml:space="preserve"> </w:t>
      </w:r>
      <w:r w:rsidR="00551306" w:rsidRPr="00335355">
        <w:rPr>
          <w:sz w:val="16"/>
          <w:szCs w:val="22"/>
        </w:rPr>
        <w:t xml:space="preserve">Morandini, Strudwick, Menzies, </w:t>
      </w:r>
      <w:r w:rsidR="000A7E73" w:rsidRPr="00335355">
        <w:rPr>
          <w:sz w:val="16"/>
          <w:szCs w:val="22"/>
        </w:rPr>
        <w:t>&amp;</w:t>
      </w:r>
      <w:r w:rsidR="00551306" w:rsidRPr="00335355">
        <w:rPr>
          <w:sz w:val="16"/>
          <w:szCs w:val="22"/>
        </w:rPr>
        <w:t xml:space="preserve"> Dar-Nimrod, 2023, “Differences between Australian bisexual and pansexual women</w:t>
      </w:r>
      <w:r w:rsidR="00F8025E" w:rsidRPr="00335355">
        <w:rPr>
          <w:sz w:val="16"/>
          <w:szCs w:val="22"/>
        </w:rPr>
        <w:t xml:space="preserve">,” </w:t>
      </w:r>
      <w:r w:rsidR="00CF3EC8" w:rsidRPr="00335355">
        <w:rPr>
          <w:sz w:val="16"/>
          <w:szCs w:val="22"/>
        </w:rPr>
        <w:t>p. 233.</w:t>
      </w:r>
    </w:p>
  </w:footnote>
  <w:footnote w:id="180">
    <w:p w14:paraId="1F2EF79C" w14:textId="2E8CB52C" w:rsidR="008E013A" w:rsidRPr="00335355" w:rsidRDefault="008E013A" w:rsidP="008E013A">
      <w:pPr>
        <w:pStyle w:val="FootnoteText"/>
        <w:rPr>
          <w:sz w:val="16"/>
          <w:szCs w:val="22"/>
        </w:rPr>
      </w:pPr>
      <w:r w:rsidRPr="00335355">
        <w:rPr>
          <w:rStyle w:val="FootnoteReference"/>
          <w:sz w:val="16"/>
          <w:szCs w:val="22"/>
        </w:rPr>
        <w:footnoteRef/>
      </w:r>
      <w:r w:rsidRPr="00335355">
        <w:rPr>
          <w:sz w:val="16"/>
          <w:szCs w:val="22"/>
        </w:rPr>
        <w:t xml:space="preserve"> </w:t>
      </w:r>
      <w:r w:rsidR="009E17E8" w:rsidRPr="00335355">
        <w:rPr>
          <w:sz w:val="16"/>
          <w:szCs w:val="22"/>
        </w:rPr>
        <w:t>"Aboriginal Diversity – Why One Size Does Not Fit All," Evolve Communities,</w:t>
      </w:r>
      <w:r w:rsidR="00C807D4" w:rsidRPr="00335355">
        <w:rPr>
          <w:sz w:val="16"/>
          <w:szCs w:val="22"/>
        </w:rPr>
        <w:t xml:space="preserve"> accessed 2023,</w:t>
      </w:r>
      <w:r w:rsidR="009E17E8" w:rsidRPr="00335355">
        <w:rPr>
          <w:sz w:val="16"/>
          <w:szCs w:val="22"/>
        </w:rPr>
        <w:t xml:space="preserve"> </w:t>
      </w:r>
      <w:hyperlink r:id="rId38" w:tgtFrame="_new" w:history="1">
        <w:r w:rsidR="009E17E8" w:rsidRPr="00335355">
          <w:rPr>
            <w:rStyle w:val="Hyperlink"/>
            <w:sz w:val="16"/>
            <w:szCs w:val="22"/>
          </w:rPr>
          <w:t>https://www.evolves.com.au/aboriginal-diversity/</w:t>
        </w:r>
      </w:hyperlink>
      <w:r w:rsidR="009E17E8" w:rsidRPr="00335355">
        <w:rPr>
          <w:sz w:val="16"/>
          <w:szCs w:val="22"/>
        </w:rPr>
        <w:t>.</w:t>
      </w:r>
    </w:p>
  </w:footnote>
  <w:footnote w:id="181">
    <w:p w14:paraId="12C74D08" w14:textId="75B1A83A" w:rsidR="00514186" w:rsidRPr="00335355" w:rsidRDefault="00514186" w:rsidP="00514186">
      <w:pPr>
        <w:pStyle w:val="FootnoteText"/>
        <w:rPr>
          <w:sz w:val="16"/>
          <w:szCs w:val="16"/>
          <w:lang w:val="en-US"/>
        </w:rPr>
      </w:pPr>
      <w:r w:rsidRPr="00335355">
        <w:rPr>
          <w:rStyle w:val="FootnoteReference"/>
          <w:sz w:val="16"/>
          <w:szCs w:val="16"/>
        </w:rPr>
        <w:footnoteRef/>
      </w:r>
      <w:r w:rsidRPr="00335355">
        <w:rPr>
          <w:sz w:val="16"/>
          <w:szCs w:val="16"/>
        </w:rPr>
        <w:t xml:space="preserve"> </w:t>
      </w:r>
      <w:r w:rsidR="00434909" w:rsidRPr="00335355">
        <w:rPr>
          <w:sz w:val="16"/>
          <w:szCs w:val="16"/>
        </w:rPr>
        <w:t xml:space="preserve">Pat Dudgeon, Lobna Rouhani, Leilani Darwin, and Maddie Boe, </w:t>
      </w:r>
      <w:r w:rsidR="00434909" w:rsidRPr="00335355">
        <w:rPr>
          <w:i/>
          <w:iCs/>
          <w:sz w:val="16"/>
          <w:szCs w:val="16"/>
        </w:rPr>
        <w:t>Indigenous Lived Experience of Suicide: Literature Review</w:t>
      </w:r>
      <w:r w:rsidR="00434909" w:rsidRPr="00335355">
        <w:rPr>
          <w:sz w:val="16"/>
          <w:szCs w:val="16"/>
        </w:rPr>
        <w:t xml:space="preserve"> (Western Australia: The University of Western Australia, 2018), 16. </w:t>
      </w:r>
    </w:p>
  </w:footnote>
  <w:footnote w:id="182">
    <w:p w14:paraId="0CCB3327" w14:textId="5CFB1794" w:rsidR="00021F9E" w:rsidRPr="00335355" w:rsidRDefault="00021F9E">
      <w:pPr>
        <w:pStyle w:val="FootnoteText"/>
        <w:rPr>
          <w:sz w:val="16"/>
          <w:szCs w:val="16"/>
        </w:rPr>
      </w:pPr>
      <w:r w:rsidRPr="00335355">
        <w:rPr>
          <w:rStyle w:val="FootnoteReference"/>
          <w:sz w:val="16"/>
          <w:szCs w:val="16"/>
        </w:rPr>
        <w:footnoteRef/>
      </w:r>
      <w:r w:rsidRPr="00335355">
        <w:rPr>
          <w:sz w:val="16"/>
          <w:szCs w:val="16"/>
        </w:rPr>
        <w:t xml:space="preserve"> See: Australian Institute for Health and Welfare 2022, </w:t>
      </w:r>
      <w:r w:rsidRPr="00335355">
        <w:rPr>
          <w:i/>
          <w:iCs/>
          <w:sz w:val="16"/>
          <w:szCs w:val="16"/>
        </w:rPr>
        <w:t xml:space="preserve">Protective and risk factors for suicide among Indigenous Australians, </w:t>
      </w:r>
      <w:r w:rsidRPr="00335355">
        <w:rPr>
          <w:sz w:val="16"/>
          <w:szCs w:val="16"/>
        </w:rPr>
        <w:t>Published: 25 March 2022, https://www.indigenousmhspc.gov.au/publications/protective-and-risk-factors</w:t>
      </w:r>
    </w:p>
  </w:footnote>
  <w:footnote w:id="183">
    <w:p w14:paraId="7C257DC6" w14:textId="77777777" w:rsidR="0077325C" w:rsidRPr="00335355" w:rsidRDefault="0077325C" w:rsidP="0077325C">
      <w:pPr>
        <w:pStyle w:val="FootnoteText"/>
        <w:rPr>
          <w:sz w:val="16"/>
          <w:szCs w:val="16"/>
          <w:lang w:val="en-US"/>
        </w:rPr>
      </w:pPr>
      <w:r w:rsidRPr="00335355">
        <w:rPr>
          <w:rStyle w:val="FootnoteReference"/>
          <w:sz w:val="16"/>
          <w:szCs w:val="16"/>
        </w:rPr>
        <w:footnoteRef/>
      </w:r>
      <w:r w:rsidRPr="00335355">
        <w:rPr>
          <w:sz w:val="16"/>
          <w:szCs w:val="16"/>
        </w:rPr>
        <w:t xml:space="preserve"> Oscar Monaghan, "Dual Imperatives: Decolonising the Queer and Queering the Decolonial," in </w:t>
      </w:r>
      <w:r w:rsidRPr="00335355">
        <w:rPr>
          <w:i/>
          <w:iCs/>
          <w:sz w:val="16"/>
          <w:szCs w:val="16"/>
        </w:rPr>
        <w:t>Colouring the Rainbow: Blak Queer and Trans Perspectives</w:t>
      </w:r>
      <w:r w:rsidRPr="00335355">
        <w:rPr>
          <w:sz w:val="16"/>
          <w:szCs w:val="16"/>
        </w:rPr>
        <w:t>, ed. Dino Hodge (Wakefield Press, 2015).</w:t>
      </w:r>
    </w:p>
  </w:footnote>
  <w:footnote w:id="184">
    <w:p w14:paraId="45571C40" w14:textId="77777777" w:rsidR="0077325C" w:rsidRPr="00335355" w:rsidRDefault="0077325C" w:rsidP="0077325C">
      <w:pPr>
        <w:pStyle w:val="FootnoteText"/>
        <w:rPr>
          <w:sz w:val="16"/>
          <w:szCs w:val="16"/>
          <w:lang w:val="en-US"/>
        </w:rPr>
      </w:pPr>
      <w:r w:rsidRPr="00335355">
        <w:rPr>
          <w:rStyle w:val="FootnoteReference"/>
          <w:sz w:val="16"/>
          <w:szCs w:val="16"/>
        </w:rPr>
        <w:footnoteRef/>
      </w:r>
      <w:r w:rsidRPr="00335355">
        <w:rPr>
          <w:sz w:val="16"/>
          <w:szCs w:val="16"/>
        </w:rPr>
        <w:t xml:space="preserve"> Bep Uink, Jennifer Dodd, Sian Bennett, Dameyon Bonson, Anne-Marie Eades, and Braden Hill, "Confidence, Practices, and Training Needs of People Working with Aboriginal and Torres Strait Islander LGBTIQ+ Clients," </w:t>
      </w:r>
      <w:r w:rsidRPr="00335355">
        <w:rPr>
          <w:i/>
          <w:iCs/>
          <w:sz w:val="16"/>
          <w:szCs w:val="16"/>
        </w:rPr>
        <w:t>Culture, Health &amp; Sexuality</w:t>
      </w:r>
      <w:r w:rsidRPr="00335355">
        <w:rPr>
          <w:sz w:val="16"/>
          <w:szCs w:val="16"/>
        </w:rPr>
        <w:t xml:space="preserve"> 25, no. 2 (2023): 206-222. </w:t>
      </w:r>
    </w:p>
  </w:footnote>
  <w:footnote w:id="185">
    <w:p w14:paraId="39E39EE3" w14:textId="77777777" w:rsidR="0077325C" w:rsidRPr="00335355" w:rsidRDefault="0077325C" w:rsidP="0077325C">
      <w:pPr>
        <w:pStyle w:val="FootnoteText"/>
        <w:rPr>
          <w:sz w:val="16"/>
          <w:szCs w:val="16"/>
          <w:lang w:val="en-US"/>
        </w:rPr>
      </w:pPr>
      <w:r w:rsidRPr="00335355">
        <w:rPr>
          <w:rStyle w:val="FootnoteReference"/>
          <w:sz w:val="16"/>
          <w:szCs w:val="16"/>
        </w:rPr>
        <w:footnoteRef/>
      </w:r>
      <w:r w:rsidRPr="00335355">
        <w:rPr>
          <w:sz w:val="16"/>
          <w:szCs w:val="16"/>
        </w:rPr>
        <w:t xml:space="preserve"> Troy-Anthony Baylis, “Introduction: Looking </w:t>
      </w:r>
      <w:r w:rsidRPr="00335355">
        <w:rPr>
          <w:sz w:val="16"/>
          <w:szCs w:val="16"/>
        </w:rPr>
        <w:t>Into the Mirror,”</w:t>
      </w:r>
      <w:r w:rsidRPr="00335355">
        <w:rPr>
          <w:i/>
          <w:iCs/>
          <w:sz w:val="16"/>
          <w:szCs w:val="16"/>
        </w:rPr>
        <w:t xml:space="preserve"> </w:t>
      </w:r>
      <w:r w:rsidRPr="00335355">
        <w:rPr>
          <w:sz w:val="16"/>
          <w:szCs w:val="16"/>
        </w:rPr>
        <w:t>in</w:t>
      </w:r>
      <w:r w:rsidRPr="00335355">
        <w:rPr>
          <w:i/>
          <w:iCs/>
          <w:sz w:val="16"/>
          <w:szCs w:val="16"/>
        </w:rPr>
        <w:t xml:space="preserve"> Colouring the Rainbow: Blak Queer and Trans Perspectives</w:t>
      </w:r>
      <w:r w:rsidRPr="00335355">
        <w:rPr>
          <w:sz w:val="16"/>
          <w:szCs w:val="16"/>
        </w:rPr>
        <w:t>, ed. Dino Hodge (Wakefield Press, 2015).</w:t>
      </w:r>
    </w:p>
  </w:footnote>
  <w:footnote w:id="186">
    <w:p w14:paraId="6C5349EC" w14:textId="77777777" w:rsidR="0077325C" w:rsidRPr="00335355" w:rsidRDefault="0077325C" w:rsidP="0077325C">
      <w:pPr>
        <w:pStyle w:val="FootnoteText"/>
        <w:rPr>
          <w:sz w:val="16"/>
          <w:szCs w:val="16"/>
        </w:rPr>
      </w:pPr>
      <w:r w:rsidRPr="00335355">
        <w:rPr>
          <w:rStyle w:val="FootnoteReference"/>
          <w:sz w:val="16"/>
          <w:szCs w:val="16"/>
        </w:rPr>
        <w:footnoteRef/>
      </w:r>
      <w:r w:rsidRPr="00335355">
        <w:rPr>
          <w:sz w:val="16"/>
          <w:szCs w:val="16"/>
        </w:rPr>
        <w:t xml:space="preserve"> Braden Hill, Jennifer Dodd, Bep Uink, Dameyon Bonson, Sian Bennett, and Anne-Marie Eades, "Aboriginal and Queer Identity/ies in Western Australia: When There is a Need to Know in Therapeutic Settings," </w:t>
      </w:r>
      <w:r w:rsidRPr="00335355">
        <w:rPr>
          <w:i/>
          <w:iCs/>
          <w:sz w:val="16"/>
          <w:szCs w:val="16"/>
        </w:rPr>
        <w:t>Qualitative Health Research</w:t>
      </w:r>
      <w:r w:rsidRPr="00335355">
        <w:rPr>
          <w:sz w:val="16"/>
          <w:szCs w:val="16"/>
        </w:rPr>
        <w:t xml:space="preserve"> 32, no. 5 (2022): 755-770.</w:t>
      </w:r>
    </w:p>
    <w:p w14:paraId="5247CC4F" w14:textId="768BB5C2" w:rsidR="0077325C" w:rsidRPr="00335355" w:rsidRDefault="0077325C" w:rsidP="0077325C">
      <w:pPr>
        <w:pStyle w:val="FootnoteText"/>
        <w:rPr>
          <w:sz w:val="16"/>
          <w:szCs w:val="16"/>
          <w:lang w:val="en-US"/>
        </w:rPr>
      </w:pPr>
      <w:r w:rsidRPr="00335355">
        <w:rPr>
          <w:sz w:val="16"/>
          <w:szCs w:val="16"/>
          <w:lang w:val="en-US"/>
        </w:rPr>
        <w:t xml:space="preserve">Nicole Anae, “Embracing what is rightfully ours”: representing Australian Aboriginal Brotherboy identities”, in </w:t>
      </w:r>
      <w:r w:rsidRPr="00335355">
        <w:rPr>
          <w:i/>
          <w:iCs/>
          <w:sz w:val="16"/>
          <w:szCs w:val="16"/>
          <w:lang w:val="en-US"/>
        </w:rPr>
        <w:t>European Journal of English Studies</w:t>
      </w:r>
      <w:r w:rsidRPr="00335355">
        <w:rPr>
          <w:sz w:val="16"/>
          <w:szCs w:val="16"/>
          <w:lang w:val="en-US"/>
        </w:rPr>
        <w:t>, vol. 24</w:t>
      </w:r>
      <w:r w:rsidR="006945D2">
        <w:rPr>
          <w:sz w:val="16"/>
          <w:szCs w:val="16"/>
          <w:lang w:val="en-US"/>
        </w:rPr>
        <w:t xml:space="preserve"> (2020) </w:t>
      </w:r>
      <w:r w:rsidRPr="00335355">
        <w:rPr>
          <w:sz w:val="16"/>
          <w:szCs w:val="16"/>
          <w:lang w:val="en-US"/>
        </w:rPr>
        <w:t>p. 76 – 88.</w:t>
      </w:r>
    </w:p>
  </w:footnote>
  <w:footnote w:id="187">
    <w:p w14:paraId="2775C9FE" w14:textId="29C49DAE" w:rsidR="0077325C" w:rsidRPr="00335355" w:rsidRDefault="0077325C" w:rsidP="0077325C">
      <w:pPr>
        <w:pStyle w:val="FootnoteText"/>
        <w:rPr>
          <w:sz w:val="16"/>
          <w:szCs w:val="16"/>
        </w:rPr>
      </w:pPr>
      <w:r w:rsidRPr="00335355">
        <w:rPr>
          <w:rStyle w:val="FootnoteReference"/>
          <w:sz w:val="16"/>
          <w:szCs w:val="16"/>
        </w:rPr>
        <w:footnoteRef/>
      </w:r>
      <w:r w:rsidRPr="00335355">
        <w:rPr>
          <w:sz w:val="16"/>
          <w:szCs w:val="16"/>
        </w:rPr>
        <w:t xml:space="preserve"> Shakara Liddelow-Hunt, Ashleigh Lin, James Hector, Laurent Hill, Kate Daglas, Braden Hill, Yael Perry, Mirella Wilson and Bep Uink, “Conceptualising Wellbeing for Australian Aboriginal LGBTQA+ Young People”, in </w:t>
      </w:r>
      <w:r w:rsidRPr="00335355">
        <w:rPr>
          <w:i/>
          <w:iCs/>
          <w:sz w:val="16"/>
          <w:szCs w:val="16"/>
        </w:rPr>
        <w:t xml:space="preserve">Youth 2023, </w:t>
      </w:r>
      <w:r w:rsidRPr="00335355">
        <w:rPr>
          <w:sz w:val="16"/>
          <w:szCs w:val="16"/>
        </w:rPr>
        <w:t>vol. 3</w:t>
      </w:r>
      <w:r w:rsidR="00B35ED8">
        <w:rPr>
          <w:sz w:val="16"/>
          <w:szCs w:val="16"/>
        </w:rPr>
        <w:t xml:space="preserve"> (2023)</w:t>
      </w:r>
      <w:r w:rsidRPr="00335355">
        <w:rPr>
          <w:sz w:val="16"/>
          <w:szCs w:val="16"/>
        </w:rPr>
        <w:t xml:space="preserve"> p. 83</w:t>
      </w:r>
    </w:p>
  </w:footnote>
  <w:footnote w:id="188">
    <w:p w14:paraId="366C10D1" w14:textId="0B754832" w:rsidR="00961FAA" w:rsidRPr="004B6759" w:rsidRDefault="00961FAA" w:rsidP="004B6759">
      <w:pPr>
        <w:pStyle w:val="FootnoteText"/>
      </w:pPr>
      <w:r w:rsidRPr="00335355">
        <w:rPr>
          <w:rStyle w:val="FootnoteReference"/>
          <w:sz w:val="16"/>
          <w:szCs w:val="16"/>
        </w:rPr>
        <w:footnoteRef/>
      </w:r>
      <w:r w:rsidRPr="00335355">
        <w:rPr>
          <w:sz w:val="16"/>
          <w:szCs w:val="16"/>
        </w:rPr>
        <w:t xml:space="preserve"> </w:t>
      </w:r>
      <w:r w:rsidR="0094298B" w:rsidRPr="00335355">
        <w:rPr>
          <w:sz w:val="16"/>
          <w:szCs w:val="16"/>
        </w:rPr>
        <w:t>Liddelow-Hun</w:t>
      </w:r>
      <w:r w:rsidR="0094298B">
        <w:rPr>
          <w:sz w:val="16"/>
          <w:szCs w:val="16"/>
        </w:rPr>
        <w:t>t et al.,</w:t>
      </w:r>
      <w:r w:rsidR="0094298B" w:rsidRPr="00335355">
        <w:rPr>
          <w:sz w:val="16"/>
          <w:szCs w:val="16"/>
        </w:rPr>
        <w:t xml:space="preserve"> “Conceptualising Wellbeing for Australian Aboriginal LGBTQA+ Young People”</w:t>
      </w:r>
      <w:r w:rsidR="0094298B">
        <w:rPr>
          <w:sz w:val="16"/>
          <w:szCs w:val="16"/>
        </w:rPr>
        <w:t xml:space="preserve"> </w:t>
      </w:r>
      <w:r w:rsidR="004B6759" w:rsidRPr="00335355">
        <w:rPr>
          <w:sz w:val="16"/>
          <w:szCs w:val="16"/>
        </w:rPr>
        <w:t>p. 75</w:t>
      </w:r>
    </w:p>
  </w:footnote>
  <w:footnote w:id="189">
    <w:p w14:paraId="42B27D67" w14:textId="58EB6353" w:rsidR="00AE01F9" w:rsidRPr="00335355" w:rsidRDefault="00AE01F9" w:rsidP="00AE01F9">
      <w:pPr>
        <w:pStyle w:val="FootnoteText"/>
        <w:rPr>
          <w:sz w:val="16"/>
          <w:szCs w:val="22"/>
        </w:rPr>
      </w:pPr>
      <w:r w:rsidRPr="00335355">
        <w:rPr>
          <w:rStyle w:val="FootnoteReference"/>
          <w:sz w:val="16"/>
          <w:szCs w:val="22"/>
        </w:rPr>
        <w:footnoteRef/>
      </w:r>
      <w:r w:rsidRPr="00335355">
        <w:rPr>
          <w:sz w:val="16"/>
          <w:szCs w:val="22"/>
        </w:rPr>
        <w:t xml:space="preserve"> Day, Carlson, Bonson, &amp; Farrelly, </w:t>
      </w:r>
      <w:r w:rsidRPr="00335355">
        <w:rPr>
          <w:i/>
          <w:iCs/>
          <w:sz w:val="16"/>
          <w:szCs w:val="22"/>
        </w:rPr>
        <w:t>Aboriginal and Torres Strait Islander LGBTQIASB+ People and Mental Health and Wellbeing</w:t>
      </w:r>
      <w:r w:rsidRPr="00335355">
        <w:rPr>
          <w:sz w:val="16"/>
          <w:szCs w:val="22"/>
        </w:rPr>
        <w:t>, 8.</w:t>
      </w:r>
    </w:p>
  </w:footnote>
  <w:footnote w:id="190">
    <w:p w14:paraId="1F8750D9" w14:textId="5DF662D4" w:rsidR="004B6759" w:rsidRPr="00335355" w:rsidRDefault="004B6759" w:rsidP="004B6759">
      <w:pPr>
        <w:pStyle w:val="FootnoteText"/>
        <w:rPr>
          <w:sz w:val="16"/>
          <w:szCs w:val="22"/>
        </w:rPr>
      </w:pPr>
      <w:r w:rsidRPr="00335355">
        <w:rPr>
          <w:rStyle w:val="FootnoteReference"/>
          <w:sz w:val="16"/>
          <w:szCs w:val="22"/>
        </w:rPr>
        <w:footnoteRef/>
      </w:r>
      <w:r w:rsidRPr="00335355">
        <w:rPr>
          <w:sz w:val="16"/>
          <w:szCs w:val="22"/>
        </w:rPr>
        <w:t xml:space="preserve"> </w:t>
      </w:r>
      <w:r w:rsidR="0094298B" w:rsidRPr="00335355">
        <w:rPr>
          <w:sz w:val="16"/>
          <w:szCs w:val="16"/>
        </w:rPr>
        <w:t>Liddelow-Hun</w:t>
      </w:r>
      <w:r w:rsidR="0094298B">
        <w:rPr>
          <w:sz w:val="16"/>
          <w:szCs w:val="16"/>
        </w:rPr>
        <w:t>t et al.,</w:t>
      </w:r>
      <w:r w:rsidR="0094298B" w:rsidRPr="00335355">
        <w:rPr>
          <w:sz w:val="16"/>
          <w:szCs w:val="16"/>
        </w:rPr>
        <w:t xml:space="preserve"> “Conceptualising Wellbeing for Australian Aboriginal LGBTQA+ Young People”</w:t>
      </w:r>
      <w:r w:rsidR="0094298B">
        <w:rPr>
          <w:sz w:val="16"/>
          <w:szCs w:val="16"/>
        </w:rPr>
        <w:t xml:space="preserve"> </w:t>
      </w:r>
      <w:r w:rsidRPr="00335355">
        <w:rPr>
          <w:sz w:val="16"/>
          <w:szCs w:val="22"/>
        </w:rPr>
        <w:t xml:space="preserve">p. </w:t>
      </w:r>
      <w:r w:rsidR="00267D73" w:rsidRPr="00335355">
        <w:rPr>
          <w:sz w:val="16"/>
          <w:szCs w:val="22"/>
        </w:rPr>
        <w:t>76</w:t>
      </w:r>
    </w:p>
  </w:footnote>
  <w:footnote w:id="191">
    <w:p w14:paraId="37239D51" w14:textId="3D3E22EA" w:rsidR="00A24D86" w:rsidRPr="00335355" w:rsidRDefault="00A24D86" w:rsidP="00A24D86">
      <w:pPr>
        <w:pStyle w:val="FootnoteText"/>
        <w:rPr>
          <w:sz w:val="16"/>
          <w:szCs w:val="22"/>
        </w:rPr>
      </w:pPr>
      <w:r w:rsidRPr="00335355">
        <w:rPr>
          <w:rStyle w:val="FootnoteReference"/>
          <w:sz w:val="16"/>
          <w:szCs w:val="22"/>
        </w:rPr>
        <w:footnoteRef/>
      </w:r>
      <w:r w:rsidRPr="00335355">
        <w:rPr>
          <w:sz w:val="16"/>
          <w:szCs w:val="22"/>
        </w:rPr>
        <w:t xml:space="preserve"> </w:t>
      </w:r>
      <w:r w:rsidR="0094298B" w:rsidRPr="00335355">
        <w:rPr>
          <w:sz w:val="16"/>
          <w:szCs w:val="16"/>
        </w:rPr>
        <w:t>Liddelow-Hun</w:t>
      </w:r>
      <w:r w:rsidR="0094298B">
        <w:rPr>
          <w:sz w:val="16"/>
          <w:szCs w:val="16"/>
        </w:rPr>
        <w:t>t et al.,</w:t>
      </w:r>
      <w:r w:rsidR="0094298B" w:rsidRPr="00335355">
        <w:rPr>
          <w:sz w:val="16"/>
          <w:szCs w:val="16"/>
        </w:rPr>
        <w:t xml:space="preserve"> “Conceptualising Wellbeing for Australian Aboriginal LGBTQA+ Young People”</w:t>
      </w:r>
      <w:r w:rsidR="0094298B">
        <w:rPr>
          <w:sz w:val="16"/>
          <w:szCs w:val="16"/>
        </w:rPr>
        <w:t xml:space="preserve"> </w:t>
      </w:r>
      <w:r w:rsidRPr="00335355">
        <w:rPr>
          <w:sz w:val="16"/>
          <w:szCs w:val="22"/>
        </w:rPr>
        <w:t xml:space="preserve">p. </w:t>
      </w:r>
      <w:r w:rsidR="001377ED" w:rsidRPr="00335355">
        <w:rPr>
          <w:sz w:val="16"/>
          <w:szCs w:val="22"/>
        </w:rPr>
        <w:t>80</w:t>
      </w:r>
    </w:p>
  </w:footnote>
  <w:footnote w:id="192">
    <w:p w14:paraId="0994F629" w14:textId="6C451E37" w:rsidR="006F03FF" w:rsidRPr="00335355" w:rsidRDefault="006F03FF" w:rsidP="006F03FF">
      <w:pPr>
        <w:pStyle w:val="FootnoteText"/>
        <w:rPr>
          <w:sz w:val="16"/>
          <w:szCs w:val="22"/>
        </w:rPr>
      </w:pPr>
      <w:r w:rsidRPr="00335355">
        <w:rPr>
          <w:rStyle w:val="FootnoteReference"/>
          <w:sz w:val="16"/>
          <w:szCs w:val="22"/>
        </w:rPr>
        <w:footnoteRef/>
      </w:r>
      <w:r w:rsidRPr="00335355">
        <w:rPr>
          <w:sz w:val="16"/>
          <w:szCs w:val="22"/>
        </w:rPr>
        <w:t xml:space="preserve"> </w:t>
      </w:r>
      <w:r w:rsidR="0094298B" w:rsidRPr="00335355">
        <w:rPr>
          <w:sz w:val="16"/>
          <w:szCs w:val="16"/>
        </w:rPr>
        <w:t>Liddelow-Hun</w:t>
      </w:r>
      <w:r w:rsidR="0094298B">
        <w:rPr>
          <w:sz w:val="16"/>
          <w:szCs w:val="16"/>
        </w:rPr>
        <w:t>t et al.,</w:t>
      </w:r>
      <w:r w:rsidR="0094298B" w:rsidRPr="00335355">
        <w:rPr>
          <w:sz w:val="16"/>
          <w:szCs w:val="16"/>
        </w:rPr>
        <w:t xml:space="preserve"> “Conceptualising Wellbeing for Australian Aboriginal LGBTQA+ Young People”</w:t>
      </w:r>
      <w:r w:rsidR="0094298B">
        <w:rPr>
          <w:sz w:val="16"/>
          <w:szCs w:val="16"/>
        </w:rPr>
        <w:t xml:space="preserve"> </w:t>
      </w:r>
      <w:r w:rsidRPr="00335355">
        <w:rPr>
          <w:sz w:val="16"/>
          <w:szCs w:val="22"/>
        </w:rPr>
        <w:t>p. 76</w:t>
      </w:r>
    </w:p>
  </w:footnote>
  <w:footnote w:id="193">
    <w:p w14:paraId="106FF809" w14:textId="6BF86DA5" w:rsidR="00CA4645" w:rsidRPr="00335355" w:rsidRDefault="00CA4645" w:rsidP="00CA4645">
      <w:pPr>
        <w:pStyle w:val="FootnoteText"/>
        <w:rPr>
          <w:sz w:val="16"/>
          <w:szCs w:val="22"/>
        </w:rPr>
      </w:pPr>
      <w:r w:rsidRPr="00335355">
        <w:rPr>
          <w:rStyle w:val="FootnoteReference"/>
          <w:sz w:val="16"/>
          <w:szCs w:val="22"/>
        </w:rPr>
        <w:footnoteRef/>
      </w:r>
      <w:r w:rsidRPr="00335355">
        <w:rPr>
          <w:sz w:val="16"/>
          <w:szCs w:val="22"/>
        </w:rPr>
        <w:t xml:space="preserve"> </w:t>
      </w:r>
      <w:r w:rsidR="0094298B" w:rsidRPr="00335355">
        <w:rPr>
          <w:sz w:val="16"/>
          <w:szCs w:val="16"/>
        </w:rPr>
        <w:t>Liddelow-Hun</w:t>
      </w:r>
      <w:r w:rsidR="0094298B">
        <w:rPr>
          <w:sz w:val="16"/>
          <w:szCs w:val="16"/>
        </w:rPr>
        <w:t>t et al.,</w:t>
      </w:r>
      <w:r w:rsidR="0094298B" w:rsidRPr="00335355">
        <w:rPr>
          <w:sz w:val="16"/>
          <w:szCs w:val="16"/>
        </w:rPr>
        <w:t xml:space="preserve"> “Conceptualising Wellbeing for Australian Aboriginal LGBTQA+ Young People”</w:t>
      </w:r>
      <w:r w:rsidR="0094298B">
        <w:rPr>
          <w:sz w:val="16"/>
          <w:szCs w:val="16"/>
        </w:rPr>
        <w:t xml:space="preserve"> </w:t>
      </w:r>
      <w:r w:rsidRPr="00335355">
        <w:rPr>
          <w:sz w:val="16"/>
          <w:szCs w:val="22"/>
        </w:rPr>
        <w:t>p. 80</w:t>
      </w:r>
    </w:p>
  </w:footnote>
  <w:footnote w:id="194">
    <w:p w14:paraId="05A567C4" w14:textId="133CE05E" w:rsidR="00F8428C" w:rsidRPr="00335355" w:rsidRDefault="00F8428C" w:rsidP="00F8428C">
      <w:pPr>
        <w:pStyle w:val="FootnoteText"/>
        <w:rPr>
          <w:sz w:val="16"/>
          <w:szCs w:val="22"/>
        </w:rPr>
      </w:pPr>
      <w:r w:rsidRPr="00335355">
        <w:rPr>
          <w:rStyle w:val="FootnoteReference"/>
          <w:sz w:val="16"/>
          <w:szCs w:val="22"/>
        </w:rPr>
        <w:footnoteRef/>
      </w:r>
      <w:r w:rsidRPr="00335355">
        <w:rPr>
          <w:sz w:val="16"/>
          <w:szCs w:val="22"/>
        </w:rPr>
        <w:t xml:space="preserve"> </w:t>
      </w:r>
      <w:r w:rsidR="0094298B" w:rsidRPr="00335355">
        <w:rPr>
          <w:sz w:val="16"/>
          <w:szCs w:val="16"/>
        </w:rPr>
        <w:t>Liddelow-Hun</w:t>
      </w:r>
      <w:r w:rsidR="0094298B">
        <w:rPr>
          <w:sz w:val="16"/>
          <w:szCs w:val="16"/>
        </w:rPr>
        <w:t>t et al.,</w:t>
      </w:r>
      <w:r w:rsidR="0094298B" w:rsidRPr="00335355">
        <w:rPr>
          <w:sz w:val="16"/>
          <w:szCs w:val="16"/>
        </w:rPr>
        <w:t xml:space="preserve"> “Conceptualising Wellbeing for Australian Aboriginal LGBTQA+ Young People”</w:t>
      </w:r>
      <w:r w:rsidR="0094298B">
        <w:rPr>
          <w:sz w:val="16"/>
          <w:szCs w:val="16"/>
        </w:rPr>
        <w:t xml:space="preserve"> </w:t>
      </w:r>
      <w:r w:rsidRPr="00335355">
        <w:rPr>
          <w:sz w:val="16"/>
          <w:szCs w:val="22"/>
        </w:rPr>
        <w:t>p. 76</w:t>
      </w:r>
    </w:p>
  </w:footnote>
  <w:footnote w:id="195">
    <w:p w14:paraId="4D91182C" w14:textId="77777777" w:rsidR="0012378D" w:rsidRPr="00335355" w:rsidRDefault="0012378D" w:rsidP="0012378D">
      <w:pPr>
        <w:pStyle w:val="FootnoteText"/>
        <w:rPr>
          <w:sz w:val="16"/>
          <w:szCs w:val="22"/>
        </w:rPr>
      </w:pPr>
      <w:r w:rsidRPr="00335355">
        <w:rPr>
          <w:rStyle w:val="FootnoteReference"/>
          <w:sz w:val="16"/>
          <w:szCs w:val="22"/>
        </w:rPr>
        <w:footnoteRef/>
      </w:r>
      <w:r w:rsidRPr="00335355">
        <w:rPr>
          <w:sz w:val="16"/>
          <w:szCs w:val="22"/>
        </w:rPr>
        <w:t xml:space="preserve"> Day, Carlson, Bonson, &amp; Farrelly, </w:t>
      </w:r>
      <w:r w:rsidRPr="00335355">
        <w:rPr>
          <w:i/>
          <w:iCs/>
          <w:sz w:val="16"/>
          <w:szCs w:val="22"/>
        </w:rPr>
        <w:t>Aboriginal and Torres Strait Islander LGBTQIASB+ People and Mental Health and Wellbeing</w:t>
      </w:r>
      <w:r w:rsidRPr="00335355">
        <w:rPr>
          <w:sz w:val="16"/>
          <w:szCs w:val="22"/>
        </w:rPr>
        <w:t>, 15.</w:t>
      </w:r>
    </w:p>
  </w:footnote>
  <w:footnote w:id="196">
    <w:p w14:paraId="22A4C711" w14:textId="77777777" w:rsidR="002D4287" w:rsidRPr="00335355" w:rsidRDefault="002D4287" w:rsidP="002D4287">
      <w:pPr>
        <w:pStyle w:val="FootnoteText"/>
        <w:rPr>
          <w:sz w:val="16"/>
          <w:szCs w:val="16"/>
        </w:rPr>
      </w:pPr>
      <w:r w:rsidRPr="00335355">
        <w:rPr>
          <w:rStyle w:val="FootnoteReference"/>
          <w:sz w:val="16"/>
          <w:szCs w:val="16"/>
        </w:rPr>
        <w:footnoteRef/>
      </w:r>
      <w:r w:rsidRPr="00335355">
        <w:rPr>
          <w:sz w:val="16"/>
          <w:szCs w:val="16"/>
        </w:rPr>
        <w:t xml:space="preserve"> Day, Carlson, Bonson, &amp; Farrelly, </w:t>
      </w:r>
      <w:r w:rsidRPr="00335355">
        <w:rPr>
          <w:i/>
          <w:iCs/>
          <w:sz w:val="16"/>
          <w:szCs w:val="16"/>
        </w:rPr>
        <w:t>Aboriginal and Torres Strait Islander LGBTQIASB+ People and Mental Health and Wellbeing</w:t>
      </w:r>
      <w:r w:rsidRPr="00335355">
        <w:rPr>
          <w:sz w:val="16"/>
          <w:szCs w:val="16"/>
        </w:rPr>
        <w:t>, 2.</w:t>
      </w:r>
    </w:p>
  </w:footnote>
  <w:footnote w:id="197">
    <w:p w14:paraId="52592AB9" w14:textId="77777777" w:rsidR="0012378D" w:rsidRPr="00335355" w:rsidRDefault="0012378D" w:rsidP="0012378D">
      <w:pPr>
        <w:pStyle w:val="FootnoteText"/>
        <w:rPr>
          <w:sz w:val="16"/>
          <w:szCs w:val="16"/>
        </w:rPr>
      </w:pPr>
      <w:r w:rsidRPr="00335355">
        <w:rPr>
          <w:rStyle w:val="FootnoteReference"/>
          <w:sz w:val="16"/>
          <w:szCs w:val="16"/>
        </w:rPr>
        <w:footnoteRef/>
      </w:r>
      <w:r w:rsidRPr="00335355">
        <w:rPr>
          <w:sz w:val="16"/>
          <w:szCs w:val="16"/>
        </w:rPr>
        <w:t xml:space="preserve"> Day, Carlson, Bonson, &amp; Farrelly, </w:t>
      </w:r>
      <w:r w:rsidRPr="00335355">
        <w:rPr>
          <w:i/>
          <w:iCs/>
          <w:sz w:val="16"/>
          <w:szCs w:val="16"/>
        </w:rPr>
        <w:t>Aboriginal and Torres Strait Islander LGBTQIASB+ People and Mental Health and Wellbeing</w:t>
      </w:r>
      <w:r w:rsidRPr="00335355">
        <w:rPr>
          <w:sz w:val="16"/>
          <w:szCs w:val="16"/>
        </w:rPr>
        <w:t>, 2.</w:t>
      </w:r>
    </w:p>
  </w:footnote>
  <w:footnote w:id="198">
    <w:p w14:paraId="6D594C22" w14:textId="46B8A9DE" w:rsidR="00A46925" w:rsidRPr="00335355" w:rsidRDefault="00A46925" w:rsidP="00A46925">
      <w:pPr>
        <w:pStyle w:val="FootnoteText"/>
        <w:rPr>
          <w:sz w:val="16"/>
          <w:szCs w:val="16"/>
        </w:rPr>
      </w:pPr>
      <w:r w:rsidRPr="00335355">
        <w:rPr>
          <w:rStyle w:val="FootnoteReference"/>
          <w:sz w:val="16"/>
          <w:szCs w:val="16"/>
        </w:rPr>
        <w:footnoteRef/>
      </w:r>
      <w:r w:rsidRPr="00335355">
        <w:rPr>
          <w:sz w:val="16"/>
          <w:szCs w:val="16"/>
        </w:rPr>
        <w:t xml:space="preserve"> </w:t>
      </w:r>
      <w:r w:rsidR="00B21F81" w:rsidRPr="00335355">
        <w:rPr>
          <w:sz w:val="16"/>
          <w:szCs w:val="16"/>
        </w:rPr>
        <w:t>Liddelow-Hun</w:t>
      </w:r>
      <w:r w:rsidR="00B21F81">
        <w:rPr>
          <w:sz w:val="16"/>
          <w:szCs w:val="16"/>
        </w:rPr>
        <w:t>t et al.,</w:t>
      </w:r>
      <w:r w:rsidR="00B21F81" w:rsidRPr="00335355">
        <w:rPr>
          <w:sz w:val="16"/>
          <w:szCs w:val="16"/>
        </w:rPr>
        <w:t xml:space="preserve"> “Conceptualising Wellbeing for Australian Aboriginal LGBTQA+ Young People”</w:t>
      </w:r>
      <w:r w:rsidR="00B21F81">
        <w:rPr>
          <w:sz w:val="16"/>
          <w:szCs w:val="16"/>
        </w:rPr>
        <w:t xml:space="preserve"> </w:t>
      </w:r>
      <w:r w:rsidRPr="00335355">
        <w:rPr>
          <w:sz w:val="16"/>
          <w:szCs w:val="16"/>
        </w:rPr>
        <w:t>p.90</w:t>
      </w:r>
    </w:p>
  </w:footnote>
  <w:footnote w:id="199">
    <w:p w14:paraId="04949513" w14:textId="057C10F1" w:rsidR="008E013A" w:rsidRPr="00335355" w:rsidRDefault="008E013A" w:rsidP="008E013A">
      <w:pPr>
        <w:pStyle w:val="FootnoteText"/>
        <w:rPr>
          <w:sz w:val="16"/>
          <w:szCs w:val="16"/>
          <w:lang w:val="en-US"/>
        </w:rPr>
      </w:pPr>
      <w:r w:rsidRPr="00335355">
        <w:rPr>
          <w:rStyle w:val="FootnoteReference"/>
          <w:sz w:val="16"/>
          <w:szCs w:val="16"/>
        </w:rPr>
        <w:footnoteRef/>
      </w:r>
      <w:r w:rsidRPr="00335355">
        <w:rPr>
          <w:sz w:val="16"/>
          <w:szCs w:val="16"/>
        </w:rPr>
        <w:t xml:space="preserve"> </w:t>
      </w:r>
      <w:r w:rsidR="00234311" w:rsidRPr="00335355">
        <w:rPr>
          <w:sz w:val="16"/>
          <w:szCs w:val="16"/>
        </w:rPr>
        <w:t xml:space="preserve">Matthew </w:t>
      </w:r>
      <w:r w:rsidR="00234311" w:rsidRPr="00335355">
        <w:rPr>
          <w:sz w:val="16"/>
          <w:szCs w:val="16"/>
          <w:lang w:val="en-US"/>
        </w:rPr>
        <w:t xml:space="preserve">Rivas-Koehl, Dane Rivas-Koehl, and Sharde Smith, “The temporal intersectional minority stress model: Reimagining minority stress theory,” </w:t>
      </w:r>
      <w:r w:rsidR="00234311" w:rsidRPr="00335355">
        <w:rPr>
          <w:i/>
          <w:iCs/>
          <w:sz w:val="16"/>
          <w:szCs w:val="16"/>
          <w:lang w:val="en-US"/>
        </w:rPr>
        <w:t xml:space="preserve">Journal of Family Theory &amp; Review, </w:t>
      </w:r>
      <w:r w:rsidR="00234311" w:rsidRPr="00335355">
        <w:rPr>
          <w:sz w:val="16"/>
          <w:szCs w:val="16"/>
          <w:lang w:val="en-US"/>
        </w:rPr>
        <w:t>(2023): 6.</w:t>
      </w:r>
    </w:p>
  </w:footnote>
  <w:footnote w:id="200">
    <w:p w14:paraId="5327B53F" w14:textId="7796C734" w:rsidR="008E013A" w:rsidRPr="00335355" w:rsidRDefault="008E013A" w:rsidP="008E013A">
      <w:pPr>
        <w:pStyle w:val="FootnoteText"/>
        <w:rPr>
          <w:sz w:val="16"/>
          <w:szCs w:val="16"/>
          <w:lang w:val="en-US"/>
        </w:rPr>
      </w:pPr>
      <w:r w:rsidRPr="00335355">
        <w:rPr>
          <w:rStyle w:val="FootnoteReference"/>
          <w:sz w:val="16"/>
          <w:szCs w:val="16"/>
        </w:rPr>
        <w:footnoteRef/>
      </w:r>
      <w:r w:rsidR="007E652C" w:rsidRPr="00335355">
        <w:rPr>
          <w:sz w:val="16"/>
          <w:szCs w:val="16"/>
        </w:rPr>
        <w:t xml:space="preserve"> </w:t>
      </w:r>
      <w:r w:rsidR="007E652C" w:rsidRPr="00335355">
        <w:rPr>
          <w:sz w:val="16"/>
          <w:szCs w:val="16"/>
          <w:lang w:val="en-US"/>
        </w:rPr>
        <w:t xml:space="preserve">Rivas-Koehl, Rivas-Koehl, </w:t>
      </w:r>
      <w:r w:rsidR="00E91A36" w:rsidRPr="00335355">
        <w:rPr>
          <w:sz w:val="16"/>
          <w:szCs w:val="16"/>
          <w:lang w:val="en-US"/>
        </w:rPr>
        <w:t>&amp;</w:t>
      </w:r>
      <w:r w:rsidR="007E652C" w:rsidRPr="00335355">
        <w:rPr>
          <w:sz w:val="16"/>
          <w:szCs w:val="16"/>
          <w:lang w:val="en-US"/>
        </w:rPr>
        <w:t xml:space="preserve"> Smith, “The temporal intersectional minority stress model: Reimagining minority stress theory,” 7.</w:t>
      </w:r>
    </w:p>
  </w:footnote>
  <w:footnote w:id="201">
    <w:p w14:paraId="35610655" w14:textId="06F7B5CF" w:rsidR="008E013A" w:rsidRPr="00F95CE0" w:rsidRDefault="008E013A" w:rsidP="008E013A">
      <w:pPr>
        <w:pStyle w:val="FootnoteText"/>
        <w:rPr>
          <w:lang w:val="en-US"/>
        </w:rPr>
      </w:pPr>
      <w:r w:rsidRPr="00335355">
        <w:rPr>
          <w:rStyle w:val="FootnoteReference"/>
          <w:sz w:val="16"/>
          <w:szCs w:val="16"/>
        </w:rPr>
        <w:footnoteRef/>
      </w:r>
      <w:r w:rsidRPr="00335355">
        <w:rPr>
          <w:sz w:val="16"/>
          <w:szCs w:val="16"/>
        </w:rPr>
        <w:t xml:space="preserve"> </w:t>
      </w:r>
      <w:r w:rsidR="004B1D2C" w:rsidRPr="00335355">
        <w:rPr>
          <w:sz w:val="16"/>
          <w:szCs w:val="16"/>
          <w:lang w:val="en-US"/>
        </w:rPr>
        <w:t xml:space="preserve">Rivas-Koehl, Rivas-Koehl, </w:t>
      </w:r>
      <w:r w:rsidR="00E91A36" w:rsidRPr="00335355">
        <w:rPr>
          <w:sz w:val="16"/>
          <w:szCs w:val="16"/>
          <w:lang w:val="en-US"/>
        </w:rPr>
        <w:t>&amp;</w:t>
      </w:r>
      <w:r w:rsidR="004B1D2C" w:rsidRPr="00335355">
        <w:rPr>
          <w:sz w:val="16"/>
          <w:szCs w:val="16"/>
          <w:lang w:val="en-US"/>
        </w:rPr>
        <w:t xml:space="preserve"> Smith, “The temporal intersectional minority stress model,” 7.</w:t>
      </w:r>
    </w:p>
  </w:footnote>
  <w:footnote w:id="202">
    <w:p w14:paraId="663CB98D" w14:textId="40D2562B"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F50159" w:rsidRPr="00841A4B">
        <w:rPr>
          <w:sz w:val="16"/>
          <w:szCs w:val="22"/>
        </w:rPr>
        <w:t xml:space="preserve">Anthony Lyons, Beatrice Alba, Andrea Waling, Victor Minichiello, Mark Hughes, Catherine Barrett, Karen Fredriksen-Goldsen, Teresa Savage, and Samantha Edmonds, "Assessing the Combined Effect of Ageism and Sexuality-Related Stigma on the Mental Health and Wellbeing of Older Lesbian and Gay Adults," </w:t>
      </w:r>
      <w:r w:rsidR="00F50159" w:rsidRPr="00841A4B">
        <w:rPr>
          <w:i/>
          <w:iCs/>
          <w:sz w:val="16"/>
          <w:szCs w:val="22"/>
        </w:rPr>
        <w:t>Ageing &amp; Mental Health</w:t>
      </w:r>
      <w:r w:rsidR="00F50159" w:rsidRPr="00841A4B">
        <w:rPr>
          <w:sz w:val="16"/>
          <w:szCs w:val="22"/>
        </w:rPr>
        <w:t xml:space="preserve"> 26, no. 7 (2022): 1460-1469. </w:t>
      </w:r>
    </w:p>
  </w:footnote>
  <w:footnote w:id="203">
    <w:p w14:paraId="42A74BC9" w14:textId="63109F78" w:rsidR="008E013A" w:rsidRPr="00841A4B" w:rsidRDefault="008E013A" w:rsidP="008E013A">
      <w:pPr>
        <w:pStyle w:val="FootnoteText"/>
        <w:rPr>
          <w:sz w:val="16"/>
          <w:szCs w:val="22"/>
          <w:lang w:val="en-US"/>
        </w:rPr>
      </w:pPr>
      <w:r w:rsidRPr="00841A4B">
        <w:rPr>
          <w:rStyle w:val="FootnoteReference"/>
          <w:sz w:val="16"/>
          <w:szCs w:val="22"/>
        </w:rPr>
        <w:footnoteRef/>
      </w:r>
      <w:r w:rsidRPr="00841A4B">
        <w:rPr>
          <w:sz w:val="16"/>
          <w:szCs w:val="22"/>
        </w:rPr>
        <w:t xml:space="preserve"> </w:t>
      </w:r>
      <w:r w:rsidRPr="00841A4B">
        <w:rPr>
          <w:sz w:val="16"/>
          <w:szCs w:val="22"/>
          <w:lang w:val="en-US"/>
        </w:rPr>
        <w:t>Kneale, Dylan</w:t>
      </w:r>
      <w:r w:rsidR="003F014E" w:rsidRPr="00841A4B">
        <w:rPr>
          <w:sz w:val="16"/>
          <w:szCs w:val="22"/>
          <w:lang w:val="en-US"/>
        </w:rPr>
        <w:t>.</w:t>
      </w:r>
      <w:r w:rsidRPr="00841A4B">
        <w:rPr>
          <w:sz w:val="16"/>
          <w:szCs w:val="22"/>
          <w:lang w:val="en-US"/>
        </w:rPr>
        <w:t>, Henley, Josie</w:t>
      </w:r>
      <w:r w:rsidR="003F014E" w:rsidRPr="00841A4B">
        <w:rPr>
          <w:sz w:val="16"/>
          <w:szCs w:val="22"/>
          <w:lang w:val="en-US"/>
        </w:rPr>
        <w:t>.</w:t>
      </w:r>
      <w:r w:rsidRPr="00841A4B">
        <w:rPr>
          <w:sz w:val="16"/>
          <w:szCs w:val="22"/>
          <w:lang w:val="en-US"/>
        </w:rPr>
        <w:t>, Thomas, James</w:t>
      </w:r>
      <w:r w:rsidR="003F014E" w:rsidRPr="00841A4B">
        <w:rPr>
          <w:sz w:val="16"/>
          <w:szCs w:val="22"/>
          <w:lang w:val="en-US"/>
        </w:rPr>
        <w:t>.,</w:t>
      </w:r>
      <w:r w:rsidRPr="00841A4B">
        <w:rPr>
          <w:sz w:val="16"/>
          <w:szCs w:val="22"/>
          <w:lang w:val="en-US"/>
        </w:rPr>
        <w:t xml:space="preserve"> and French, Robert</w:t>
      </w:r>
      <w:r w:rsidR="003F014E" w:rsidRPr="00841A4B">
        <w:rPr>
          <w:sz w:val="16"/>
          <w:szCs w:val="22"/>
          <w:lang w:val="en-US"/>
        </w:rPr>
        <w:t>.</w:t>
      </w:r>
      <w:r w:rsidRPr="00841A4B">
        <w:rPr>
          <w:sz w:val="16"/>
          <w:szCs w:val="22"/>
          <w:lang w:val="en-US"/>
        </w:rPr>
        <w:t xml:space="preserve"> </w:t>
      </w:r>
      <w:r w:rsidR="00F5671F" w:rsidRPr="00841A4B">
        <w:rPr>
          <w:sz w:val="16"/>
          <w:szCs w:val="22"/>
        </w:rPr>
        <w:t xml:space="preserve">"Inequalities in Older LGBT People’s Health and Care Needs in the United Kingdom: A Systematic Scoping Review." </w:t>
      </w:r>
      <w:r w:rsidR="00F5671F" w:rsidRPr="00841A4B">
        <w:rPr>
          <w:i/>
          <w:iCs/>
          <w:sz w:val="16"/>
          <w:szCs w:val="22"/>
        </w:rPr>
        <w:t>Ageing and Society</w:t>
      </w:r>
      <w:r w:rsidR="00F5671F" w:rsidRPr="00841A4B">
        <w:rPr>
          <w:sz w:val="16"/>
          <w:szCs w:val="22"/>
        </w:rPr>
        <w:t xml:space="preserve"> 41 (2021): 504.</w:t>
      </w:r>
    </w:p>
  </w:footnote>
  <w:footnote w:id="204">
    <w:p w14:paraId="271337A3" w14:textId="330C8792"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1D08BC" w:rsidRPr="00841A4B">
        <w:rPr>
          <w:sz w:val="16"/>
          <w:szCs w:val="22"/>
        </w:rPr>
        <w:t xml:space="preserve">Francesca Mongelli, Daniela Perrone, Jessica Balducci, Andrea Sacchetti, Silvia Ferrari, Giorgio Mettai, and Gian Galeazzi, "Minority Stress and Mental Health Among LGBT Populations: An Update on the Evidence," </w:t>
      </w:r>
      <w:r w:rsidR="001D08BC" w:rsidRPr="00841A4B">
        <w:rPr>
          <w:i/>
          <w:iCs/>
          <w:sz w:val="16"/>
          <w:szCs w:val="22"/>
        </w:rPr>
        <w:t>Minerva Psichiatrica</w:t>
      </w:r>
      <w:r w:rsidR="001D08BC" w:rsidRPr="00841A4B">
        <w:rPr>
          <w:sz w:val="16"/>
          <w:szCs w:val="22"/>
        </w:rPr>
        <w:t xml:space="preserve"> 60, no. 1 (2019): 3</w:t>
      </w:r>
      <w:r w:rsidR="00E24340" w:rsidRPr="00841A4B">
        <w:rPr>
          <w:sz w:val="16"/>
          <w:szCs w:val="22"/>
        </w:rPr>
        <w:t>1</w:t>
      </w:r>
      <w:r w:rsidR="001D08BC" w:rsidRPr="00841A4B">
        <w:rPr>
          <w:sz w:val="16"/>
          <w:szCs w:val="22"/>
        </w:rPr>
        <w:t>.</w:t>
      </w:r>
    </w:p>
  </w:footnote>
  <w:footnote w:id="205">
    <w:p w14:paraId="274A24FC" w14:textId="77952A81" w:rsidR="008E013A" w:rsidRPr="00D53C86" w:rsidRDefault="008E013A" w:rsidP="008E013A">
      <w:pPr>
        <w:pStyle w:val="FootnoteText"/>
        <w:rPr>
          <w:lang w:val="en-US"/>
        </w:rPr>
      </w:pPr>
      <w:r w:rsidRPr="00841A4B">
        <w:rPr>
          <w:rStyle w:val="FootnoteReference"/>
          <w:sz w:val="16"/>
          <w:szCs w:val="22"/>
        </w:rPr>
        <w:footnoteRef/>
      </w:r>
      <w:r w:rsidRPr="00841A4B">
        <w:rPr>
          <w:sz w:val="16"/>
          <w:szCs w:val="22"/>
        </w:rPr>
        <w:t xml:space="preserve"> </w:t>
      </w:r>
      <w:r w:rsidR="001A6D49" w:rsidRPr="00841A4B">
        <w:rPr>
          <w:sz w:val="16"/>
          <w:szCs w:val="22"/>
        </w:rPr>
        <w:t xml:space="preserve">Ruby Grant and Briohny Walker, "Older Lesbians' Experiences of Ageing in Place in Rural Tasmania, Australia: An Exploratory Qualitative Investigation," </w:t>
      </w:r>
      <w:r w:rsidR="001A6D49" w:rsidRPr="00841A4B">
        <w:rPr>
          <w:i/>
          <w:iCs/>
          <w:sz w:val="16"/>
          <w:szCs w:val="22"/>
        </w:rPr>
        <w:t>Health Soc Care Community</w:t>
      </w:r>
      <w:r w:rsidR="001A6D49" w:rsidRPr="00841A4B">
        <w:rPr>
          <w:sz w:val="16"/>
          <w:szCs w:val="22"/>
        </w:rPr>
        <w:t xml:space="preserve"> 28, no. 6 (2020): 2199-2207.</w:t>
      </w:r>
    </w:p>
  </w:footnote>
  <w:footnote w:id="206">
    <w:p w14:paraId="7833D9D7" w14:textId="428C2186" w:rsidR="00CF411A" w:rsidRPr="00841A4B" w:rsidRDefault="00CF411A" w:rsidP="00CF411A">
      <w:pPr>
        <w:pStyle w:val="FootnoteText"/>
        <w:rPr>
          <w:sz w:val="16"/>
          <w:szCs w:val="22"/>
        </w:rPr>
      </w:pPr>
      <w:r w:rsidRPr="00841A4B">
        <w:rPr>
          <w:rStyle w:val="FootnoteReference"/>
          <w:sz w:val="16"/>
          <w:szCs w:val="22"/>
        </w:rPr>
        <w:footnoteRef/>
      </w:r>
      <w:r w:rsidR="00870E28" w:rsidRPr="00841A4B">
        <w:rPr>
          <w:sz w:val="16"/>
          <w:szCs w:val="22"/>
        </w:rPr>
        <w:t xml:space="preserve"> </w:t>
      </w:r>
      <w:r w:rsidR="00D57805" w:rsidRPr="00841A4B">
        <w:rPr>
          <w:sz w:val="16"/>
          <w:szCs w:val="22"/>
        </w:rPr>
        <w:t xml:space="preserve">Adam Hill, Anthony Lyons, Jami Jones, Ivy McGowan, Marina Carman, Matthew Parsons, Jennifer Power, and Adam Bourne, </w:t>
      </w:r>
      <w:r w:rsidR="00D57805" w:rsidRPr="00841A4B">
        <w:rPr>
          <w:i/>
          <w:iCs/>
          <w:sz w:val="16"/>
          <w:szCs w:val="22"/>
        </w:rPr>
        <w:t>Writing Themselves in 4: The Health and Wellbeing of LGBTQA+ Young People in Australia</w:t>
      </w:r>
      <w:r w:rsidR="00D57805" w:rsidRPr="00841A4B">
        <w:rPr>
          <w:sz w:val="16"/>
          <w:szCs w:val="22"/>
        </w:rPr>
        <w:t xml:space="preserve"> (February 2021), 15.</w:t>
      </w:r>
    </w:p>
  </w:footnote>
  <w:footnote w:id="207">
    <w:p w14:paraId="44E7243C" w14:textId="2C13A10F" w:rsidR="00C1688C" w:rsidRPr="00841A4B" w:rsidRDefault="00C1688C" w:rsidP="00C1688C">
      <w:pPr>
        <w:pStyle w:val="FootnoteText"/>
        <w:rPr>
          <w:sz w:val="16"/>
          <w:szCs w:val="22"/>
        </w:rPr>
      </w:pPr>
      <w:r w:rsidRPr="00841A4B">
        <w:rPr>
          <w:rStyle w:val="FootnoteReference"/>
          <w:sz w:val="16"/>
          <w:szCs w:val="22"/>
        </w:rPr>
        <w:footnoteRef/>
      </w:r>
      <w:r w:rsidRPr="00841A4B">
        <w:rPr>
          <w:sz w:val="16"/>
          <w:szCs w:val="22"/>
        </w:rPr>
        <w:t xml:space="preserve"> </w:t>
      </w:r>
      <w:r w:rsidR="005E7807" w:rsidRPr="00841A4B">
        <w:rPr>
          <w:sz w:val="16"/>
          <w:szCs w:val="22"/>
        </w:rPr>
        <w:t xml:space="preserve">Blake </w:t>
      </w:r>
      <w:r w:rsidRPr="00841A4B">
        <w:rPr>
          <w:sz w:val="16"/>
          <w:szCs w:val="22"/>
        </w:rPr>
        <w:t xml:space="preserve">Cutler, </w:t>
      </w:r>
      <w:r w:rsidR="005E7807" w:rsidRPr="00841A4B">
        <w:rPr>
          <w:sz w:val="16"/>
          <w:szCs w:val="22"/>
        </w:rPr>
        <w:t>Beatriz</w:t>
      </w:r>
      <w:r w:rsidRPr="00841A4B">
        <w:rPr>
          <w:sz w:val="16"/>
          <w:szCs w:val="22"/>
        </w:rPr>
        <w:t xml:space="preserve"> Cordoba, </w:t>
      </w:r>
      <w:r w:rsidR="005E7807" w:rsidRPr="00841A4B">
        <w:rPr>
          <w:sz w:val="16"/>
          <w:szCs w:val="22"/>
        </w:rPr>
        <w:t>Lucas</w:t>
      </w:r>
      <w:r w:rsidRPr="00841A4B">
        <w:rPr>
          <w:sz w:val="16"/>
          <w:szCs w:val="22"/>
        </w:rPr>
        <w:t xml:space="preserve"> Walsh, </w:t>
      </w:r>
      <w:r w:rsidR="00622AA2" w:rsidRPr="00841A4B">
        <w:rPr>
          <w:sz w:val="16"/>
          <w:szCs w:val="22"/>
        </w:rPr>
        <w:t>Masha</w:t>
      </w:r>
      <w:r w:rsidRPr="00841A4B">
        <w:rPr>
          <w:sz w:val="16"/>
          <w:szCs w:val="22"/>
        </w:rPr>
        <w:t xml:space="preserve"> Mikola, and </w:t>
      </w:r>
      <w:r w:rsidR="00622AA2" w:rsidRPr="00841A4B">
        <w:rPr>
          <w:sz w:val="16"/>
          <w:szCs w:val="22"/>
        </w:rPr>
        <w:t xml:space="preserve">Catherine </w:t>
      </w:r>
      <w:r w:rsidRPr="00841A4B">
        <w:rPr>
          <w:sz w:val="16"/>
          <w:szCs w:val="22"/>
        </w:rPr>
        <w:t>Waite</w:t>
      </w:r>
      <w:r w:rsidR="006D4872" w:rsidRPr="00841A4B">
        <w:rPr>
          <w:sz w:val="16"/>
          <w:szCs w:val="22"/>
        </w:rPr>
        <w:t>,</w:t>
      </w:r>
      <w:r w:rsidRPr="00841A4B">
        <w:rPr>
          <w:sz w:val="16"/>
          <w:szCs w:val="22"/>
        </w:rPr>
        <w:t xml:space="preserve"> </w:t>
      </w:r>
      <w:r w:rsidR="000A4BD1" w:rsidRPr="00841A4B">
        <w:rPr>
          <w:i/>
          <w:iCs/>
          <w:sz w:val="16"/>
          <w:szCs w:val="22"/>
        </w:rPr>
        <w:t>Queer Young People in Australia: Insights from the 2021 Australian Youth Barometer</w:t>
      </w:r>
      <w:r w:rsidR="006D4872" w:rsidRPr="00841A4B">
        <w:rPr>
          <w:sz w:val="16"/>
          <w:szCs w:val="22"/>
        </w:rPr>
        <w:t xml:space="preserve"> (</w:t>
      </w:r>
      <w:r w:rsidR="000A4BD1" w:rsidRPr="00841A4B">
        <w:rPr>
          <w:sz w:val="16"/>
          <w:szCs w:val="22"/>
        </w:rPr>
        <w:t>May 2022</w:t>
      </w:r>
      <w:r w:rsidR="000E734D" w:rsidRPr="00841A4B">
        <w:rPr>
          <w:sz w:val="16"/>
          <w:szCs w:val="22"/>
        </w:rPr>
        <w:t>)</w:t>
      </w:r>
      <w:r w:rsidRPr="00841A4B">
        <w:rPr>
          <w:sz w:val="16"/>
          <w:szCs w:val="22"/>
        </w:rPr>
        <w:t xml:space="preserve">. </w:t>
      </w:r>
    </w:p>
  </w:footnote>
  <w:footnote w:id="208">
    <w:p w14:paraId="34511D35" w14:textId="730F8E43" w:rsidR="000C7E90" w:rsidRPr="00841A4B" w:rsidRDefault="000C7E90" w:rsidP="000C7E90">
      <w:pPr>
        <w:pStyle w:val="FootnoteText"/>
        <w:rPr>
          <w:sz w:val="16"/>
          <w:szCs w:val="22"/>
        </w:rPr>
      </w:pPr>
      <w:r w:rsidRPr="00841A4B">
        <w:rPr>
          <w:rStyle w:val="FootnoteReference"/>
          <w:sz w:val="16"/>
          <w:szCs w:val="22"/>
        </w:rPr>
        <w:footnoteRef/>
      </w:r>
      <w:r w:rsidRPr="00841A4B">
        <w:rPr>
          <w:sz w:val="16"/>
          <w:szCs w:val="22"/>
        </w:rPr>
        <w:t xml:space="preserve"> </w:t>
      </w:r>
      <w:r w:rsidR="00E4235F" w:rsidRPr="00841A4B">
        <w:rPr>
          <w:sz w:val="16"/>
          <w:szCs w:val="22"/>
        </w:rPr>
        <w:t xml:space="preserve">Cutler, Cordoba, Walsh, Mikola, and Waite, </w:t>
      </w:r>
      <w:r w:rsidR="00E4235F" w:rsidRPr="00841A4B">
        <w:rPr>
          <w:i/>
          <w:iCs/>
          <w:sz w:val="16"/>
          <w:szCs w:val="22"/>
        </w:rPr>
        <w:t>Queer Young People in Australia</w:t>
      </w:r>
      <w:r w:rsidR="00E4235F" w:rsidRPr="00841A4B">
        <w:rPr>
          <w:sz w:val="16"/>
          <w:szCs w:val="22"/>
        </w:rPr>
        <w:t>.</w:t>
      </w:r>
    </w:p>
  </w:footnote>
  <w:footnote w:id="209">
    <w:p w14:paraId="627996EF" w14:textId="77E4D5ED"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4D3766" w:rsidRPr="00841A4B">
        <w:rPr>
          <w:sz w:val="16"/>
          <w:szCs w:val="22"/>
        </w:rPr>
        <w:t xml:space="preserve">Nicole </w:t>
      </w:r>
      <w:r w:rsidRPr="00841A4B">
        <w:rPr>
          <w:sz w:val="16"/>
          <w:szCs w:val="22"/>
        </w:rPr>
        <w:t xml:space="preserve">Aqsuith, </w:t>
      </w:r>
      <w:r w:rsidR="004D3766" w:rsidRPr="00841A4B">
        <w:rPr>
          <w:sz w:val="16"/>
          <w:szCs w:val="22"/>
        </w:rPr>
        <w:t xml:space="preserve">Anneke </w:t>
      </w:r>
      <w:r w:rsidRPr="00841A4B">
        <w:rPr>
          <w:sz w:val="16"/>
          <w:szCs w:val="22"/>
        </w:rPr>
        <w:t xml:space="preserve">Collison, </w:t>
      </w:r>
      <w:r w:rsidR="004D3766" w:rsidRPr="00841A4B">
        <w:rPr>
          <w:sz w:val="16"/>
          <w:szCs w:val="22"/>
        </w:rPr>
        <w:t>Lisa</w:t>
      </w:r>
      <w:r w:rsidRPr="00841A4B">
        <w:rPr>
          <w:sz w:val="16"/>
          <w:szCs w:val="22"/>
        </w:rPr>
        <w:t xml:space="preserve"> Lewis, </w:t>
      </w:r>
      <w:r w:rsidR="004D3766" w:rsidRPr="00841A4B">
        <w:rPr>
          <w:sz w:val="16"/>
          <w:szCs w:val="22"/>
        </w:rPr>
        <w:t>Kai</w:t>
      </w:r>
      <w:r w:rsidRPr="00841A4B">
        <w:rPr>
          <w:sz w:val="16"/>
          <w:szCs w:val="22"/>
        </w:rPr>
        <w:t xml:space="preserve"> Noonan, </w:t>
      </w:r>
      <w:r w:rsidR="004D3766" w:rsidRPr="00841A4B">
        <w:rPr>
          <w:sz w:val="16"/>
          <w:szCs w:val="22"/>
        </w:rPr>
        <w:t>Eloise</w:t>
      </w:r>
      <w:r w:rsidRPr="00841A4B">
        <w:rPr>
          <w:sz w:val="16"/>
          <w:szCs w:val="22"/>
        </w:rPr>
        <w:t xml:space="preserve"> Layard, </w:t>
      </w:r>
      <w:r w:rsidR="004D3766" w:rsidRPr="00841A4B">
        <w:rPr>
          <w:sz w:val="16"/>
          <w:szCs w:val="22"/>
        </w:rPr>
        <w:t>Guneet</w:t>
      </w:r>
      <w:r w:rsidRPr="00841A4B">
        <w:rPr>
          <w:sz w:val="16"/>
          <w:szCs w:val="22"/>
        </w:rPr>
        <w:t xml:space="preserve"> Kaur, </w:t>
      </w:r>
      <w:r w:rsidR="00074931" w:rsidRPr="00841A4B">
        <w:rPr>
          <w:sz w:val="16"/>
          <w:szCs w:val="22"/>
        </w:rPr>
        <w:t>Fernanda</w:t>
      </w:r>
      <w:r w:rsidRPr="00841A4B">
        <w:rPr>
          <w:sz w:val="16"/>
          <w:szCs w:val="22"/>
        </w:rPr>
        <w:t xml:space="preserve"> Bellei, and</w:t>
      </w:r>
      <w:r w:rsidR="00FB7920" w:rsidRPr="00841A4B">
        <w:rPr>
          <w:sz w:val="16"/>
          <w:szCs w:val="22"/>
        </w:rPr>
        <w:t xml:space="preserve"> Erdem</w:t>
      </w:r>
      <w:r w:rsidRPr="00841A4B">
        <w:rPr>
          <w:sz w:val="16"/>
          <w:szCs w:val="22"/>
        </w:rPr>
        <w:t xml:space="preserve"> Yigiter</w:t>
      </w:r>
      <w:r w:rsidR="00A2469B" w:rsidRPr="00841A4B">
        <w:rPr>
          <w:sz w:val="16"/>
          <w:szCs w:val="22"/>
        </w:rPr>
        <w:t>.</w:t>
      </w:r>
      <w:r w:rsidRPr="00841A4B">
        <w:rPr>
          <w:sz w:val="16"/>
          <w:szCs w:val="22"/>
        </w:rPr>
        <w:t xml:space="preserve"> </w:t>
      </w:r>
      <w:r w:rsidR="005C3706" w:rsidRPr="00841A4B">
        <w:rPr>
          <w:sz w:val="16"/>
          <w:szCs w:val="22"/>
        </w:rPr>
        <w:t xml:space="preserve">"Home is where our story begins: CALD LGBTIQ+ people’s relationships to family." </w:t>
      </w:r>
      <w:r w:rsidR="005C3706" w:rsidRPr="00841A4B">
        <w:rPr>
          <w:i/>
          <w:iCs/>
          <w:sz w:val="16"/>
          <w:szCs w:val="22"/>
        </w:rPr>
        <w:t>Current Issues in Criminal Justice</w:t>
      </w:r>
      <w:r w:rsidR="005C3706" w:rsidRPr="00841A4B">
        <w:rPr>
          <w:sz w:val="16"/>
          <w:szCs w:val="22"/>
        </w:rPr>
        <w:t xml:space="preserve"> 31, no. 3 (2019): 312.</w:t>
      </w:r>
    </w:p>
  </w:footnote>
  <w:footnote w:id="210">
    <w:p w14:paraId="6DA04249" w14:textId="26A35241"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A2469B" w:rsidRPr="00841A4B">
        <w:rPr>
          <w:sz w:val="16"/>
          <w:szCs w:val="22"/>
        </w:rPr>
        <w:t>Aqsuith, Collison, Lewis, Noonan, Layard, Kaur, Bellei, and Yigiter. "Home is where our story begins," 315.</w:t>
      </w:r>
    </w:p>
  </w:footnote>
  <w:footnote w:id="211">
    <w:p w14:paraId="381BE733" w14:textId="6388E66A" w:rsidR="008E013A" w:rsidRDefault="008E013A" w:rsidP="008E013A">
      <w:pPr>
        <w:pStyle w:val="FootnoteText"/>
      </w:pPr>
      <w:r w:rsidRPr="00841A4B">
        <w:rPr>
          <w:rStyle w:val="FootnoteReference"/>
          <w:sz w:val="16"/>
          <w:szCs w:val="22"/>
        </w:rPr>
        <w:footnoteRef/>
      </w:r>
      <w:r w:rsidRPr="00841A4B">
        <w:rPr>
          <w:sz w:val="16"/>
          <w:szCs w:val="22"/>
        </w:rPr>
        <w:t xml:space="preserve"> </w:t>
      </w:r>
      <w:r w:rsidR="00102630" w:rsidRPr="00841A4B">
        <w:rPr>
          <w:sz w:val="16"/>
          <w:szCs w:val="22"/>
        </w:rPr>
        <w:t xml:space="preserve">Aqsuith, Collison, Lewis, Noonan, Layard, Kaur, Bellei, and Yigiter. "Home is where our story begins," </w:t>
      </w:r>
      <w:r w:rsidRPr="00841A4B">
        <w:rPr>
          <w:sz w:val="16"/>
          <w:szCs w:val="22"/>
        </w:rPr>
        <w:t xml:space="preserve">313 </w:t>
      </w:r>
    </w:p>
  </w:footnote>
  <w:footnote w:id="212">
    <w:p w14:paraId="218172F6" w14:textId="4EC72E4E"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102630" w:rsidRPr="00841A4B">
        <w:rPr>
          <w:sz w:val="16"/>
          <w:szCs w:val="22"/>
        </w:rPr>
        <w:t xml:space="preserve">Aqsuith, Collison, Lewis, Noonan, Layard, Kaur, Bellei, and Yigiter. "Home is where our story begins," </w:t>
      </w:r>
      <w:r w:rsidRPr="00841A4B">
        <w:rPr>
          <w:sz w:val="16"/>
          <w:szCs w:val="22"/>
        </w:rPr>
        <w:t xml:space="preserve">315. </w:t>
      </w:r>
    </w:p>
  </w:footnote>
  <w:footnote w:id="213">
    <w:p w14:paraId="7E23FC43" w14:textId="54174A63"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102630" w:rsidRPr="00841A4B">
        <w:rPr>
          <w:sz w:val="16"/>
          <w:szCs w:val="22"/>
        </w:rPr>
        <w:t>Aqsuith, Collison, Lewis, Noonan, Layard, Kaur, Bellei, and Yigiter. "Home is where our story begins," 315.</w:t>
      </w:r>
    </w:p>
  </w:footnote>
  <w:footnote w:id="214">
    <w:p w14:paraId="45919FAF" w14:textId="4247BA6F"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102630" w:rsidRPr="00841A4B">
        <w:rPr>
          <w:sz w:val="16"/>
          <w:szCs w:val="22"/>
        </w:rPr>
        <w:t xml:space="preserve">Aqsuith, Collison, Lewis, Noonan, Layard, Kaur, Bellei, and Yigiter. "Home is where our story begins," </w:t>
      </w:r>
      <w:r w:rsidRPr="00841A4B">
        <w:rPr>
          <w:sz w:val="16"/>
          <w:szCs w:val="22"/>
        </w:rPr>
        <w:t xml:space="preserve">317. </w:t>
      </w:r>
    </w:p>
  </w:footnote>
  <w:footnote w:id="215">
    <w:p w14:paraId="7EA7D476" w14:textId="533C6BD5"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6A12AE" w:rsidRPr="00841A4B">
        <w:rPr>
          <w:sz w:val="16"/>
          <w:szCs w:val="22"/>
        </w:rPr>
        <w:t xml:space="preserve">Aqsuith, Collison, Lewis, Noonan, Layard, Kaur, Bellei, and Yigiter. "Home is where our story begins," </w:t>
      </w:r>
      <w:r w:rsidRPr="00841A4B">
        <w:rPr>
          <w:sz w:val="16"/>
          <w:szCs w:val="22"/>
        </w:rPr>
        <w:t xml:space="preserve">312. </w:t>
      </w:r>
    </w:p>
  </w:footnote>
  <w:footnote w:id="216">
    <w:p w14:paraId="078EB58C" w14:textId="57989E4A"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6A12AE" w:rsidRPr="00841A4B">
        <w:rPr>
          <w:sz w:val="16"/>
          <w:szCs w:val="22"/>
        </w:rPr>
        <w:t xml:space="preserve">Aqsuith, Collison, Lewis, Noonan, Layard, Kaur, Bellei, and Yigiter. "Home is where our story begins," </w:t>
      </w:r>
      <w:r w:rsidRPr="00841A4B">
        <w:rPr>
          <w:sz w:val="16"/>
          <w:szCs w:val="22"/>
        </w:rPr>
        <w:t xml:space="preserve">317. </w:t>
      </w:r>
    </w:p>
  </w:footnote>
  <w:footnote w:id="217">
    <w:p w14:paraId="08D766F2" w14:textId="35D70FC1" w:rsidR="008E013A" w:rsidRPr="00841A4B" w:rsidRDefault="008E013A" w:rsidP="008E013A">
      <w:pPr>
        <w:pStyle w:val="FootnoteText"/>
        <w:rPr>
          <w:sz w:val="16"/>
          <w:szCs w:val="22"/>
        </w:rPr>
      </w:pPr>
      <w:r w:rsidRPr="00841A4B">
        <w:rPr>
          <w:rStyle w:val="FootnoteReference"/>
          <w:sz w:val="16"/>
          <w:szCs w:val="22"/>
        </w:rPr>
        <w:footnoteRef/>
      </w:r>
      <w:r w:rsidRPr="00841A4B">
        <w:rPr>
          <w:sz w:val="16"/>
          <w:szCs w:val="22"/>
        </w:rPr>
        <w:t xml:space="preserve"> </w:t>
      </w:r>
      <w:r w:rsidR="00F06BF0" w:rsidRPr="00841A4B">
        <w:rPr>
          <w:sz w:val="16"/>
          <w:szCs w:val="22"/>
        </w:rPr>
        <w:t xml:space="preserve">Aqsuith, Collison, Lewis, Noonan, Layard, Kaur, Bellei, and Yigiter. "Home is where our story begins," </w:t>
      </w:r>
      <w:r w:rsidRPr="00841A4B">
        <w:rPr>
          <w:sz w:val="16"/>
          <w:szCs w:val="22"/>
        </w:rPr>
        <w:t xml:space="preserve">312. </w:t>
      </w:r>
    </w:p>
  </w:footnote>
  <w:footnote w:id="218">
    <w:p w14:paraId="3B833B1E" w14:textId="336AFC7B" w:rsidR="00A22D99" w:rsidRPr="00841A4B" w:rsidRDefault="00A22D99" w:rsidP="00A22D99">
      <w:pPr>
        <w:pStyle w:val="FootnoteText"/>
        <w:rPr>
          <w:sz w:val="16"/>
          <w:szCs w:val="22"/>
          <w:lang w:val="en-US"/>
        </w:rPr>
      </w:pPr>
      <w:r w:rsidRPr="00841A4B">
        <w:rPr>
          <w:rStyle w:val="FootnoteReference"/>
          <w:sz w:val="16"/>
          <w:szCs w:val="22"/>
        </w:rPr>
        <w:footnoteRef/>
      </w:r>
      <w:r w:rsidRPr="00841A4B">
        <w:rPr>
          <w:sz w:val="16"/>
          <w:szCs w:val="22"/>
        </w:rPr>
        <w:t xml:space="preserve"> </w:t>
      </w:r>
      <w:r w:rsidR="00684520" w:rsidRPr="00841A4B">
        <w:rPr>
          <w:sz w:val="16"/>
          <w:szCs w:val="22"/>
        </w:rPr>
        <w:t xml:space="preserve">Genee Marks, Amie O'Shea, Keith McVilly, Patsie Frawley, and Nathan Despott. "Where’s the Human Dignity in </w:t>
      </w:r>
      <w:r w:rsidR="00684520" w:rsidRPr="00841A4B">
        <w:rPr>
          <w:sz w:val="16"/>
          <w:szCs w:val="22"/>
        </w:rPr>
        <w:t xml:space="preserve">That?: LGBTQIA+ People with Intellectual Disability Exploring Sexual Lives and Respectful Relationships." </w:t>
      </w:r>
      <w:r w:rsidR="00684520" w:rsidRPr="00841A4B">
        <w:rPr>
          <w:i/>
          <w:iCs/>
          <w:sz w:val="16"/>
          <w:szCs w:val="22"/>
        </w:rPr>
        <w:t>Journal of Gay &amp; Lesbian Social Services</w:t>
      </w:r>
      <w:r w:rsidR="00684520" w:rsidRPr="00841A4B">
        <w:rPr>
          <w:sz w:val="16"/>
          <w:szCs w:val="22"/>
        </w:rPr>
        <w:t xml:space="preserve"> 32, no. 3 (2020): 354-376.</w:t>
      </w:r>
    </w:p>
  </w:footnote>
  <w:footnote w:id="219">
    <w:p w14:paraId="57E78251" w14:textId="17DD4F86" w:rsidR="00424700" w:rsidRPr="00841A4B" w:rsidRDefault="00424700" w:rsidP="00424700">
      <w:pPr>
        <w:pStyle w:val="FootnoteText"/>
        <w:rPr>
          <w:sz w:val="16"/>
          <w:szCs w:val="22"/>
        </w:rPr>
      </w:pPr>
      <w:r w:rsidRPr="00841A4B">
        <w:rPr>
          <w:rStyle w:val="FootnoteReference"/>
          <w:sz w:val="16"/>
          <w:szCs w:val="22"/>
        </w:rPr>
        <w:footnoteRef/>
      </w:r>
      <w:r w:rsidRPr="00841A4B">
        <w:rPr>
          <w:sz w:val="16"/>
          <w:szCs w:val="22"/>
        </w:rPr>
        <w:t xml:space="preserve"> </w:t>
      </w:r>
      <w:r w:rsidR="001B30C6" w:rsidRPr="00841A4B">
        <w:rPr>
          <w:sz w:val="16"/>
          <w:szCs w:val="22"/>
        </w:rPr>
        <w:t xml:space="preserve">Adam Hill, Natalie Amos, Adam Bourne, Matthew Parsons, Christine Bigby, Marina Carman, and Anthony Lyons, </w:t>
      </w:r>
      <w:r w:rsidR="001B30C6" w:rsidRPr="00841A4B">
        <w:rPr>
          <w:i/>
          <w:iCs/>
          <w:sz w:val="16"/>
          <w:szCs w:val="22"/>
        </w:rPr>
        <w:t>Violence, Abuse, Neglect and Exploitation of LGBTQA+ People with Disability: A Secondary Analysis of Data from Two National Surveys</w:t>
      </w:r>
      <w:r w:rsidR="001B30C6" w:rsidRPr="00841A4B">
        <w:rPr>
          <w:sz w:val="16"/>
          <w:szCs w:val="22"/>
        </w:rPr>
        <w:t xml:space="preserve"> (Melbourne, Australia: Australian Research Centre in Sex, Health and Society, La Trobe University, 2022), 12.</w:t>
      </w:r>
    </w:p>
  </w:footnote>
  <w:footnote w:id="220">
    <w:p w14:paraId="7533E4AE" w14:textId="2B93E39F" w:rsidR="0094071D" w:rsidRDefault="0094071D" w:rsidP="0094071D">
      <w:pPr>
        <w:pStyle w:val="FootnoteText"/>
      </w:pPr>
      <w:r w:rsidRPr="00841A4B">
        <w:rPr>
          <w:rStyle w:val="FootnoteReference"/>
          <w:sz w:val="16"/>
          <w:szCs w:val="22"/>
        </w:rPr>
        <w:footnoteRef/>
      </w:r>
      <w:r w:rsidRPr="00841A4B">
        <w:rPr>
          <w:sz w:val="16"/>
          <w:szCs w:val="22"/>
        </w:rPr>
        <w:t xml:space="preserve"> Hill, Amos, Bourne, Parsons, Bigby, Carman, and Lyons, </w:t>
      </w:r>
      <w:r w:rsidRPr="00841A4B">
        <w:rPr>
          <w:i/>
          <w:iCs/>
          <w:sz w:val="16"/>
          <w:szCs w:val="22"/>
        </w:rPr>
        <w:t>Violence, Abuse, Neglect and Exploitation of LGBTQA+ People with Disability: A Secondary Analysis of Data from Two National Surveys</w:t>
      </w:r>
      <w:r w:rsidRPr="00841A4B">
        <w:rPr>
          <w:sz w:val="16"/>
          <w:szCs w:val="22"/>
        </w:rPr>
        <w:t xml:space="preserve"> </w:t>
      </w:r>
    </w:p>
  </w:footnote>
  <w:footnote w:id="221">
    <w:p w14:paraId="38FF05BB" w14:textId="1D44CF03" w:rsidR="00B96550" w:rsidRPr="00841A4B" w:rsidRDefault="00B96550" w:rsidP="00B96550">
      <w:pPr>
        <w:pStyle w:val="FootnoteText"/>
        <w:rPr>
          <w:sz w:val="16"/>
          <w:szCs w:val="22"/>
          <w:lang w:val="en-US"/>
        </w:rPr>
      </w:pPr>
      <w:r w:rsidRPr="00841A4B">
        <w:rPr>
          <w:rStyle w:val="FootnoteReference"/>
          <w:sz w:val="16"/>
          <w:szCs w:val="22"/>
        </w:rPr>
        <w:footnoteRef/>
      </w:r>
      <w:r w:rsidRPr="00841A4B">
        <w:rPr>
          <w:sz w:val="16"/>
          <w:szCs w:val="22"/>
        </w:rPr>
        <w:t xml:space="preserve"> </w:t>
      </w:r>
      <w:r w:rsidR="00EA15B3" w:rsidRPr="00841A4B">
        <w:rPr>
          <w:sz w:val="16"/>
          <w:szCs w:val="22"/>
        </w:rPr>
        <w:t>Royal Commission into Violence, Abuse, Neglect and Exploitation of People with Disability</w:t>
      </w:r>
      <w:r w:rsidR="00BE1223" w:rsidRPr="00841A4B">
        <w:rPr>
          <w:sz w:val="16"/>
          <w:szCs w:val="22"/>
        </w:rPr>
        <w:t>,</w:t>
      </w:r>
      <w:r w:rsidR="00EA15B3" w:rsidRPr="00841A4B">
        <w:rPr>
          <w:i/>
          <w:iCs/>
          <w:sz w:val="16"/>
          <w:szCs w:val="22"/>
        </w:rPr>
        <w:t xml:space="preserve"> Final Report. </w:t>
      </w:r>
      <w:r w:rsidR="00DC44EE" w:rsidRPr="00841A4B">
        <w:rPr>
          <w:i/>
          <w:iCs/>
          <w:sz w:val="16"/>
          <w:szCs w:val="22"/>
        </w:rPr>
        <w:t>(</w:t>
      </w:r>
      <w:r w:rsidR="00EA15B3" w:rsidRPr="00841A4B">
        <w:rPr>
          <w:i/>
          <w:iCs/>
          <w:sz w:val="16"/>
          <w:szCs w:val="22"/>
        </w:rPr>
        <w:t>2023</w:t>
      </w:r>
      <w:r w:rsidR="00DC44EE" w:rsidRPr="00841A4B">
        <w:rPr>
          <w:i/>
          <w:iCs/>
          <w:sz w:val="16"/>
          <w:szCs w:val="22"/>
        </w:rPr>
        <w:t>)</w:t>
      </w:r>
      <w:r w:rsidR="00EA15B3" w:rsidRPr="00841A4B">
        <w:rPr>
          <w:i/>
          <w:iCs/>
          <w:sz w:val="16"/>
          <w:szCs w:val="22"/>
        </w:rPr>
        <w:t>, 49.</w:t>
      </w:r>
    </w:p>
  </w:footnote>
  <w:footnote w:id="222">
    <w:p w14:paraId="2AE5D3EC" w14:textId="04E1F7C8" w:rsidR="0061514C" w:rsidRPr="00841A4B" w:rsidRDefault="0061514C" w:rsidP="0061514C">
      <w:pPr>
        <w:pStyle w:val="FootnoteText"/>
        <w:rPr>
          <w:sz w:val="16"/>
          <w:szCs w:val="22"/>
        </w:rPr>
      </w:pPr>
      <w:r w:rsidRPr="00841A4B">
        <w:rPr>
          <w:rStyle w:val="FootnoteReference"/>
          <w:sz w:val="16"/>
          <w:szCs w:val="22"/>
        </w:rPr>
        <w:footnoteRef/>
      </w:r>
      <w:r w:rsidRPr="00841A4B">
        <w:rPr>
          <w:sz w:val="16"/>
          <w:szCs w:val="22"/>
        </w:rPr>
        <w:t xml:space="preserve"> </w:t>
      </w:r>
      <w:r w:rsidR="0077703C" w:rsidRPr="00841A4B">
        <w:rPr>
          <w:sz w:val="16"/>
          <w:szCs w:val="22"/>
        </w:rPr>
        <w:t xml:space="preserve">Hill, Amos, Bourne, Parsons, Bigby, Carman, and Lyons, </w:t>
      </w:r>
      <w:r w:rsidR="0077703C" w:rsidRPr="00841A4B">
        <w:rPr>
          <w:i/>
          <w:iCs/>
          <w:sz w:val="16"/>
          <w:szCs w:val="22"/>
        </w:rPr>
        <w:t>Violence, Abuse, Neglect and Exploitation of LGBTQA+ People with Disability</w:t>
      </w:r>
      <w:r w:rsidR="0077703C" w:rsidRPr="00841A4B">
        <w:rPr>
          <w:sz w:val="16"/>
          <w:szCs w:val="22"/>
        </w:rPr>
        <w:t>, 4.</w:t>
      </w:r>
    </w:p>
  </w:footnote>
  <w:footnote w:id="223">
    <w:p w14:paraId="268F2F8B" w14:textId="490C50C7" w:rsidR="006C5FA4" w:rsidRPr="00841A4B" w:rsidRDefault="006C5FA4" w:rsidP="006C5FA4">
      <w:pPr>
        <w:pStyle w:val="FootnoteText"/>
        <w:rPr>
          <w:sz w:val="16"/>
          <w:szCs w:val="22"/>
          <w:lang w:val="en-US"/>
        </w:rPr>
      </w:pPr>
      <w:r w:rsidRPr="00841A4B">
        <w:rPr>
          <w:rStyle w:val="FootnoteReference"/>
          <w:sz w:val="16"/>
          <w:szCs w:val="22"/>
        </w:rPr>
        <w:footnoteRef/>
      </w:r>
      <w:r w:rsidRPr="00841A4B">
        <w:rPr>
          <w:sz w:val="16"/>
          <w:szCs w:val="22"/>
        </w:rPr>
        <w:t xml:space="preserve"> </w:t>
      </w:r>
      <w:r w:rsidRPr="00841A4B">
        <w:rPr>
          <w:i/>
          <w:iCs/>
          <w:sz w:val="16"/>
          <w:szCs w:val="22"/>
          <w:lang w:val="en-US"/>
        </w:rPr>
        <w:t xml:space="preserve">Royal Commission into Violence, Abuse, Neglect and Exploitation of People with Disability: Final Report </w:t>
      </w:r>
      <w:r w:rsidRPr="00841A4B">
        <w:rPr>
          <w:sz w:val="16"/>
          <w:szCs w:val="22"/>
          <w:lang w:val="en-US"/>
        </w:rPr>
        <w:t>p. 50</w:t>
      </w:r>
    </w:p>
  </w:footnote>
  <w:footnote w:id="224">
    <w:p w14:paraId="118251DA" w14:textId="08052EAA" w:rsidR="00B87539" w:rsidRPr="00841A4B" w:rsidRDefault="00B87539" w:rsidP="00B87539">
      <w:pPr>
        <w:pStyle w:val="FootnoteText"/>
        <w:rPr>
          <w:sz w:val="16"/>
          <w:szCs w:val="22"/>
          <w:lang w:val="en-US"/>
        </w:rPr>
      </w:pPr>
      <w:r w:rsidRPr="00841A4B">
        <w:rPr>
          <w:rStyle w:val="FootnoteReference"/>
          <w:sz w:val="16"/>
          <w:szCs w:val="22"/>
        </w:rPr>
        <w:footnoteRef/>
      </w:r>
      <w:r w:rsidRPr="00841A4B">
        <w:rPr>
          <w:sz w:val="16"/>
          <w:szCs w:val="22"/>
        </w:rPr>
        <w:t xml:space="preserve"> </w:t>
      </w:r>
      <w:r w:rsidR="00731591" w:rsidRPr="00841A4B">
        <w:rPr>
          <w:sz w:val="16"/>
          <w:szCs w:val="22"/>
        </w:rPr>
        <w:t xml:space="preserve">Marks, O'Shea, McVilly, Frawley, and Despott. "Where’s the Human Dignity in </w:t>
      </w:r>
      <w:r w:rsidR="00731591" w:rsidRPr="00841A4B">
        <w:rPr>
          <w:sz w:val="16"/>
          <w:szCs w:val="22"/>
        </w:rPr>
        <w:t>That?," 355.</w:t>
      </w:r>
    </w:p>
  </w:footnote>
  <w:footnote w:id="225">
    <w:p w14:paraId="3E34EE71" w14:textId="1920709C" w:rsidR="000A3013" w:rsidRPr="00841A4B" w:rsidRDefault="000A3013" w:rsidP="000A3013">
      <w:pPr>
        <w:pStyle w:val="FootnoteText"/>
        <w:rPr>
          <w:sz w:val="16"/>
          <w:szCs w:val="22"/>
        </w:rPr>
      </w:pPr>
      <w:r w:rsidRPr="00841A4B">
        <w:rPr>
          <w:rStyle w:val="FootnoteReference"/>
          <w:sz w:val="16"/>
          <w:szCs w:val="22"/>
        </w:rPr>
        <w:footnoteRef/>
      </w:r>
      <w:r w:rsidRPr="00841A4B">
        <w:rPr>
          <w:sz w:val="16"/>
          <w:szCs w:val="22"/>
        </w:rPr>
        <w:t xml:space="preserve"> </w:t>
      </w:r>
      <w:r w:rsidR="000D2099" w:rsidRPr="00841A4B">
        <w:rPr>
          <w:sz w:val="16"/>
          <w:szCs w:val="22"/>
        </w:rPr>
        <w:t xml:space="preserve">Hill, Amos, Bourne, Parsons, Bigby, Carman, and Lyons, </w:t>
      </w:r>
      <w:r w:rsidR="000D2099" w:rsidRPr="00841A4B">
        <w:rPr>
          <w:i/>
          <w:iCs/>
          <w:sz w:val="16"/>
          <w:szCs w:val="22"/>
        </w:rPr>
        <w:t>Violence, Abuse, Neglect and Exploitation of LGBTQA+ People with Disability,</w:t>
      </w:r>
      <w:r w:rsidR="0061514C" w:rsidRPr="00841A4B">
        <w:rPr>
          <w:sz w:val="16"/>
          <w:szCs w:val="22"/>
        </w:rPr>
        <w:t xml:space="preserve"> 3</w:t>
      </w:r>
      <w:r w:rsidR="000D2099" w:rsidRPr="00841A4B">
        <w:rPr>
          <w:sz w:val="16"/>
          <w:szCs w:val="22"/>
        </w:rPr>
        <w:t>.</w:t>
      </w:r>
    </w:p>
  </w:footnote>
  <w:footnote w:id="226">
    <w:p w14:paraId="097C3B5F" w14:textId="5F4530E2" w:rsidR="0088799B" w:rsidRDefault="0088799B" w:rsidP="0088799B">
      <w:pPr>
        <w:pStyle w:val="FootnoteText"/>
      </w:pPr>
      <w:r w:rsidRPr="00841A4B">
        <w:rPr>
          <w:rStyle w:val="FootnoteReference"/>
          <w:sz w:val="16"/>
          <w:szCs w:val="22"/>
        </w:rPr>
        <w:footnoteRef/>
      </w:r>
      <w:r w:rsidRPr="00841A4B">
        <w:rPr>
          <w:sz w:val="16"/>
          <w:szCs w:val="22"/>
        </w:rPr>
        <w:t xml:space="preserve"> </w:t>
      </w:r>
      <w:r w:rsidR="000D2099" w:rsidRPr="00841A4B">
        <w:rPr>
          <w:sz w:val="16"/>
          <w:szCs w:val="22"/>
        </w:rPr>
        <w:t xml:space="preserve">Hill, Amos, Bourne, Parsons, Bigby, Carman, and Lyons, </w:t>
      </w:r>
      <w:r w:rsidR="000D2099" w:rsidRPr="00841A4B">
        <w:rPr>
          <w:i/>
          <w:iCs/>
          <w:sz w:val="16"/>
          <w:szCs w:val="22"/>
        </w:rPr>
        <w:t>Violence, Abuse, Neglect and Exploitation of LGBTQA+ People with Disability</w:t>
      </w:r>
      <w:r w:rsidR="000D2099" w:rsidRPr="00841A4B">
        <w:rPr>
          <w:sz w:val="16"/>
          <w:szCs w:val="22"/>
        </w:rPr>
        <w:t>,</w:t>
      </w:r>
      <w:r w:rsidRPr="00841A4B">
        <w:rPr>
          <w:sz w:val="16"/>
          <w:szCs w:val="22"/>
        </w:rPr>
        <w:t xml:space="preserve"> 5</w:t>
      </w:r>
      <w:r w:rsidR="000D2099" w:rsidRPr="00841A4B">
        <w:rPr>
          <w:sz w:val="16"/>
          <w:szCs w:val="22"/>
        </w:rPr>
        <w:t>.</w:t>
      </w:r>
    </w:p>
  </w:footnote>
  <w:footnote w:id="227">
    <w:p w14:paraId="10919784" w14:textId="70441DE2" w:rsidR="00EB6EC3" w:rsidRPr="00841A4B" w:rsidRDefault="00EB6EC3" w:rsidP="00EB6EC3">
      <w:pPr>
        <w:pStyle w:val="FootnoteText"/>
        <w:rPr>
          <w:sz w:val="16"/>
          <w:szCs w:val="22"/>
          <w:lang w:val="en-US"/>
        </w:rPr>
      </w:pPr>
      <w:r w:rsidRPr="00841A4B">
        <w:rPr>
          <w:rStyle w:val="FootnoteReference"/>
          <w:sz w:val="16"/>
          <w:szCs w:val="22"/>
        </w:rPr>
        <w:footnoteRef/>
      </w:r>
      <w:r w:rsidRPr="00841A4B">
        <w:rPr>
          <w:sz w:val="16"/>
          <w:szCs w:val="22"/>
        </w:rPr>
        <w:t xml:space="preserve"> </w:t>
      </w:r>
      <w:r w:rsidRPr="00841A4B">
        <w:rPr>
          <w:i/>
          <w:iCs/>
          <w:sz w:val="16"/>
          <w:szCs w:val="22"/>
          <w:lang w:val="en-US"/>
        </w:rPr>
        <w:t xml:space="preserve">Royal Commission into Violence, Abuse, Neglect and Exploitation of People with Disability: Final Report </w:t>
      </w:r>
      <w:r w:rsidRPr="00841A4B">
        <w:rPr>
          <w:sz w:val="16"/>
          <w:szCs w:val="22"/>
          <w:lang w:val="en-US"/>
        </w:rPr>
        <w:t xml:space="preserve">p. 153- 154 </w:t>
      </w:r>
    </w:p>
  </w:footnote>
  <w:footnote w:id="228">
    <w:p w14:paraId="14BE3F3F" w14:textId="459C3E06" w:rsidR="007679F1" w:rsidRPr="00841A4B" w:rsidRDefault="007679F1" w:rsidP="007679F1">
      <w:pPr>
        <w:pStyle w:val="FootnoteText"/>
        <w:rPr>
          <w:sz w:val="16"/>
          <w:szCs w:val="22"/>
          <w:lang w:val="en-US"/>
        </w:rPr>
      </w:pPr>
      <w:r w:rsidRPr="00841A4B">
        <w:rPr>
          <w:rStyle w:val="FootnoteReference"/>
          <w:sz w:val="16"/>
          <w:szCs w:val="22"/>
        </w:rPr>
        <w:footnoteRef/>
      </w:r>
      <w:r w:rsidRPr="00841A4B">
        <w:rPr>
          <w:sz w:val="16"/>
          <w:szCs w:val="22"/>
        </w:rPr>
        <w:t xml:space="preserve"> </w:t>
      </w:r>
      <w:r w:rsidR="00731591" w:rsidRPr="00841A4B">
        <w:rPr>
          <w:sz w:val="16"/>
          <w:szCs w:val="22"/>
        </w:rPr>
        <w:t xml:space="preserve">Marks, O'Shea, McVilly, Frawley, and Despott. "Where’s the Human Dignity in </w:t>
      </w:r>
      <w:r w:rsidR="00731591" w:rsidRPr="00841A4B">
        <w:rPr>
          <w:sz w:val="16"/>
          <w:szCs w:val="22"/>
        </w:rPr>
        <w:t xml:space="preserve">That?," </w:t>
      </w:r>
      <w:r w:rsidRPr="00841A4B">
        <w:rPr>
          <w:sz w:val="16"/>
          <w:szCs w:val="22"/>
          <w:lang w:val="en-US"/>
        </w:rPr>
        <w:t>354 – 376.</w:t>
      </w:r>
    </w:p>
  </w:footnote>
  <w:footnote w:id="229">
    <w:p w14:paraId="23747EA1" w14:textId="71856BA9" w:rsidR="00CC206B" w:rsidRPr="00841A4B" w:rsidRDefault="00CC206B" w:rsidP="00CC206B">
      <w:pPr>
        <w:pStyle w:val="FootnoteText"/>
        <w:rPr>
          <w:sz w:val="16"/>
          <w:szCs w:val="22"/>
        </w:rPr>
      </w:pPr>
      <w:r w:rsidRPr="00841A4B">
        <w:rPr>
          <w:rStyle w:val="FootnoteReference"/>
          <w:sz w:val="16"/>
          <w:szCs w:val="22"/>
        </w:rPr>
        <w:footnoteRef/>
      </w:r>
      <w:r w:rsidRPr="00841A4B">
        <w:rPr>
          <w:sz w:val="16"/>
          <w:szCs w:val="22"/>
        </w:rPr>
        <w:t xml:space="preserve"> </w:t>
      </w:r>
      <w:r w:rsidR="000D2099" w:rsidRPr="00841A4B">
        <w:rPr>
          <w:sz w:val="16"/>
          <w:szCs w:val="22"/>
        </w:rPr>
        <w:t xml:space="preserve">Hill, Amos, Bourne, Parsons, Bigby, Carman, and Lyons, </w:t>
      </w:r>
      <w:r w:rsidR="000D2099" w:rsidRPr="00841A4B">
        <w:rPr>
          <w:i/>
          <w:iCs/>
          <w:sz w:val="16"/>
          <w:szCs w:val="22"/>
        </w:rPr>
        <w:t>Violence, Abuse, Neglect and Exploitation of LGBTQA+ People with Disability</w:t>
      </w:r>
      <w:r w:rsidR="008412A1" w:rsidRPr="00841A4B">
        <w:rPr>
          <w:sz w:val="16"/>
          <w:szCs w:val="22"/>
        </w:rPr>
        <w:t>, 133.</w:t>
      </w:r>
    </w:p>
  </w:footnote>
  <w:footnote w:id="230">
    <w:p w14:paraId="472AA1FB" w14:textId="35D30D82" w:rsidR="00CC206B" w:rsidRDefault="00CC206B" w:rsidP="00CC206B">
      <w:pPr>
        <w:pStyle w:val="FootnoteText"/>
      </w:pPr>
      <w:r w:rsidRPr="00841A4B">
        <w:rPr>
          <w:rStyle w:val="FootnoteReference"/>
          <w:sz w:val="16"/>
          <w:szCs w:val="22"/>
        </w:rPr>
        <w:footnoteRef/>
      </w:r>
      <w:r w:rsidRPr="00841A4B">
        <w:rPr>
          <w:sz w:val="16"/>
          <w:szCs w:val="22"/>
        </w:rPr>
        <w:t xml:space="preserve"> </w:t>
      </w:r>
      <w:r w:rsidR="007902E7" w:rsidRPr="00841A4B">
        <w:rPr>
          <w:sz w:val="16"/>
          <w:szCs w:val="22"/>
        </w:rPr>
        <w:t xml:space="preserve">Hill, Amos, Bourne, Parsons, Bigby, Carman, and Lyons, </w:t>
      </w:r>
      <w:r w:rsidR="007902E7" w:rsidRPr="00841A4B">
        <w:rPr>
          <w:i/>
          <w:iCs/>
          <w:sz w:val="16"/>
          <w:szCs w:val="22"/>
        </w:rPr>
        <w:t>Violence, Abuse, Neglect and Exploitation of LGBTQA+ People with Disability</w:t>
      </w:r>
      <w:r w:rsidR="0004256B" w:rsidRPr="00841A4B">
        <w:rPr>
          <w:sz w:val="16"/>
          <w:szCs w:val="22"/>
        </w:rPr>
        <w:t>, 3</w:t>
      </w:r>
    </w:p>
  </w:footnote>
  <w:footnote w:id="231">
    <w:p w14:paraId="70619E8D" w14:textId="76F94A24" w:rsidR="00C80399" w:rsidRPr="00FA4973" w:rsidRDefault="00C80399" w:rsidP="00FA4973">
      <w:pPr>
        <w:pStyle w:val="FootnoteText"/>
        <w:shd w:val="clear" w:color="auto" w:fill="FFFFFF" w:themeFill="background1"/>
        <w:rPr>
          <w:sz w:val="16"/>
          <w:szCs w:val="22"/>
          <w:lang w:val="en-US"/>
        </w:rPr>
      </w:pPr>
      <w:r w:rsidRPr="00FA4973">
        <w:rPr>
          <w:rStyle w:val="FootnoteReference"/>
          <w:sz w:val="16"/>
          <w:szCs w:val="22"/>
        </w:rPr>
        <w:footnoteRef/>
      </w:r>
      <w:r w:rsidRPr="00FA4973">
        <w:rPr>
          <w:sz w:val="16"/>
          <w:szCs w:val="22"/>
        </w:rPr>
        <w:t xml:space="preserve"> </w:t>
      </w:r>
      <w:r w:rsidR="006A7B06" w:rsidRPr="00FA4973">
        <w:rPr>
          <w:sz w:val="16"/>
          <w:szCs w:val="22"/>
        </w:rPr>
        <w:t xml:space="preserve">Australian Institute of Health and Welfare, </w:t>
      </w:r>
      <w:r w:rsidR="003F0DEC">
        <w:rPr>
          <w:sz w:val="16"/>
          <w:szCs w:val="22"/>
        </w:rPr>
        <w:t>“</w:t>
      </w:r>
      <w:hyperlink r:id="rId39" w:history="1">
        <w:r w:rsidR="006A7B06" w:rsidRPr="00BE3EB6">
          <w:rPr>
            <w:rStyle w:val="Hyperlink"/>
            <w:iCs/>
            <w:sz w:val="16"/>
            <w:szCs w:val="22"/>
          </w:rPr>
          <w:t>Social determinants of health</w:t>
        </w:r>
        <w:r w:rsidR="003F0DEC" w:rsidRPr="00BE3EB6">
          <w:rPr>
            <w:rStyle w:val="Hyperlink"/>
            <w:i/>
            <w:sz w:val="16"/>
            <w:szCs w:val="22"/>
          </w:rPr>
          <w:t>”</w:t>
        </w:r>
        <w:r w:rsidR="006A7B06" w:rsidRPr="00BE3EB6">
          <w:rPr>
            <w:rStyle w:val="Hyperlink"/>
            <w:i/>
            <w:sz w:val="16"/>
            <w:szCs w:val="22"/>
          </w:rPr>
          <w:t>,</w:t>
        </w:r>
      </w:hyperlink>
      <w:r w:rsidR="006A7B06" w:rsidRPr="00FA4973">
        <w:rPr>
          <w:i/>
          <w:sz w:val="16"/>
          <w:szCs w:val="22"/>
        </w:rPr>
        <w:t xml:space="preserve"> </w:t>
      </w:r>
      <w:r w:rsidR="003F0DEC">
        <w:rPr>
          <w:iCs/>
          <w:sz w:val="16"/>
          <w:szCs w:val="22"/>
        </w:rPr>
        <w:t xml:space="preserve">Published: </w:t>
      </w:r>
      <w:r w:rsidR="000F4C76" w:rsidRPr="00FA4973">
        <w:rPr>
          <w:sz w:val="16"/>
          <w:szCs w:val="22"/>
        </w:rPr>
        <w:t xml:space="preserve">7 July 2022 </w:t>
      </w:r>
    </w:p>
  </w:footnote>
  <w:footnote w:id="232">
    <w:p w14:paraId="0B1E39A8" w14:textId="632CF8B2" w:rsidR="007D3B65" w:rsidRPr="00FA4973" w:rsidRDefault="007D3B65" w:rsidP="00FA4973">
      <w:pPr>
        <w:pStyle w:val="FootnoteText"/>
        <w:shd w:val="clear" w:color="auto" w:fill="FFFFFF" w:themeFill="background1"/>
        <w:rPr>
          <w:sz w:val="16"/>
          <w:szCs w:val="22"/>
          <w:lang w:val="en-US"/>
        </w:rPr>
      </w:pPr>
      <w:r w:rsidRPr="00FA4973">
        <w:rPr>
          <w:rStyle w:val="FootnoteReference"/>
          <w:sz w:val="16"/>
          <w:szCs w:val="22"/>
        </w:rPr>
        <w:footnoteRef/>
      </w:r>
      <w:r w:rsidRPr="00FA4973">
        <w:rPr>
          <w:sz w:val="16"/>
          <w:szCs w:val="22"/>
        </w:rPr>
        <w:t xml:space="preserve"> </w:t>
      </w:r>
      <w:r w:rsidRPr="00FA4973">
        <w:rPr>
          <w:sz w:val="16"/>
          <w:szCs w:val="22"/>
          <w:lang w:val="en-US"/>
        </w:rPr>
        <w:t>Pride Foundation,</w:t>
      </w:r>
      <w:r w:rsidR="008D479E" w:rsidRPr="00FA4973">
        <w:rPr>
          <w:sz w:val="16"/>
          <w:szCs w:val="22"/>
          <w:lang w:val="en-US"/>
        </w:rPr>
        <w:t xml:space="preserve"> </w:t>
      </w:r>
      <w:r w:rsidR="00F401F5" w:rsidRPr="00FA4973">
        <w:rPr>
          <w:i/>
          <w:iCs/>
          <w:sz w:val="16"/>
          <w:szCs w:val="22"/>
          <w:lang w:val="en-US"/>
        </w:rPr>
        <w:t>Federal Parliamentary Inquiry into Homelessness</w:t>
      </w:r>
      <w:r w:rsidR="00F401F5" w:rsidRPr="00FA4973">
        <w:rPr>
          <w:sz w:val="16"/>
          <w:szCs w:val="22"/>
          <w:lang w:val="en-US"/>
        </w:rPr>
        <w:t xml:space="preserve">, 2020, </w:t>
      </w:r>
      <w:hyperlink r:id="rId40" w:history="1">
        <w:r w:rsidR="00397904" w:rsidRPr="00FA4973">
          <w:rPr>
            <w:rStyle w:val="Hyperlink"/>
            <w:sz w:val="16"/>
            <w:szCs w:val="22"/>
            <w:lang w:val="en-US"/>
          </w:rPr>
          <w:t>https://pridefoundation.org.au/wp-content/uploads/2020/07/Pride-Foundation-Australia-Submission-Federal-Parliamentary-Inquiry-into-Homelessness-2020-final.pdf</w:t>
        </w:r>
      </w:hyperlink>
      <w:r w:rsidR="00397904" w:rsidRPr="00FA4973">
        <w:rPr>
          <w:sz w:val="16"/>
          <w:szCs w:val="22"/>
          <w:lang w:val="en-US"/>
        </w:rPr>
        <w:t xml:space="preserve"> </w:t>
      </w:r>
    </w:p>
  </w:footnote>
  <w:footnote w:id="233">
    <w:p w14:paraId="49B70F0A" w14:textId="4A805819" w:rsidR="001F59A1" w:rsidRPr="00FA4973" w:rsidRDefault="001F59A1" w:rsidP="00FA4973">
      <w:pPr>
        <w:pStyle w:val="FootnoteText"/>
        <w:shd w:val="clear" w:color="auto" w:fill="FFFFFF" w:themeFill="background1"/>
        <w:rPr>
          <w:sz w:val="16"/>
          <w:szCs w:val="22"/>
        </w:rPr>
      </w:pPr>
      <w:r w:rsidRPr="00FA4973">
        <w:rPr>
          <w:rStyle w:val="FootnoteReference"/>
          <w:sz w:val="16"/>
          <w:szCs w:val="22"/>
        </w:rPr>
        <w:footnoteRef/>
      </w:r>
      <w:r w:rsidRPr="00FA4973">
        <w:rPr>
          <w:sz w:val="16"/>
          <w:szCs w:val="22"/>
        </w:rPr>
        <w:t xml:space="preserve"> </w:t>
      </w:r>
      <w:r w:rsidR="00A54741" w:rsidRPr="00FA4973">
        <w:rPr>
          <w:sz w:val="16"/>
          <w:szCs w:val="22"/>
        </w:rPr>
        <w:t>Ruth</w:t>
      </w:r>
      <w:r w:rsidRPr="00FA4973">
        <w:rPr>
          <w:sz w:val="16"/>
          <w:szCs w:val="22"/>
        </w:rPr>
        <w:t xml:space="preserve"> </w:t>
      </w:r>
      <w:r w:rsidR="003E66DB" w:rsidRPr="00FA4973">
        <w:rPr>
          <w:sz w:val="16"/>
          <w:szCs w:val="22"/>
        </w:rPr>
        <w:t xml:space="preserve">McNair, </w:t>
      </w:r>
      <w:r w:rsidR="00A54741" w:rsidRPr="00FA4973">
        <w:rPr>
          <w:sz w:val="16"/>
          <w:szCs w:val="22"/>
        </w:rPr>
        <w:t>Cal</w:t>
      </w:r>
      <w:r w:rsidR="003E66DB" w:rsidRPr="00FA4973">
        <w:rPr>
          <w:sz w:val="16"/>
          <w:szCs w:val="22"/>
        </w:rPr>
        <w:t xml:space="preserve"> </w:t>
      </w:r>
      <w:r w:rsidR="00824182" w:rsidRPr="00FA4973">
        <w:rPr>
          <w:sz w:val="16"/>
          <w:szCs w:val="22"/>
        </w:rPr>
        <w:t xml:space="preserve">Andrews, </w:t>
      </w:r>
      <w:r w:rsidR="00A54741" w:rsidRPr="00FA4973">
        <w:rPr>
          <w:sz w:val="16"/>
          <w:szCs w:val="22"/>
        </w:rPr>
        <w:t xml:space="preserve">Sharon </w:t>
      </w:r>
      <w:r w:rsidR="00824182" w:rsidRPr="00FA4973">
        <w:rPr>
          <w:sz w:val="16"/>
          <w:szCs w:val="22"/>
        </w:rPr>
        <w:t xml:space="preserve">Parkinson, and </w:t>
      </w:r>
      <w:r w:rsidR="00A54741" w:rsidRPr="00FA4973">
        <w:rPr>
          <w:sz w:val="16"/>
          <w:szCs w:val="22"/>
        </w:rPr>
        <w:t xml:space="preserve">Deborah </w:t>
      </w:r>
      <w:r w:rsidR="00824182" w:rsidRPr="00FA4973">
        <w:rPr>
          <w:sz w:val="16"/>
          <w:szCs w:val="22"/>
        </w:rPr>
        <w:t xml:space="preserve">Dempsey, </w:t>
      </w:r>
      <w:r w:rsidR="00824182" w:rsidRPr="00FA4973">
        <w:rPr>
          <w:i/>
          <w:sz w:val="16"/>
          <w:szCs w:val="22"/>
        </w:rPr>
        <w:t>Stage 1 Report LGBTI Homelessness: Preliminary findings on risk</w:t>
      </w:r>
      <w:r w:rsidR="009F345A" w:rsidRPr="00FA4973">
        <w:rPr>
          <w:i/>
          <w:sz w:val="16"/>
          <w:szCs w:val="22"/>
        </w:rPr>
        <w:t xml:space="preserve">s, services needs and use, </w:t>
      </w:r>
      <w:r w:rsidR="00B97A5F" w:rsidRPr="00FA4973">
        <w:rPr>
          <w:sz w:val="16"/>
          <w:szCs w:val="22"/>
        </w:rPr>
        <w:t>(</w:t>
      </w:r>
      <w:r w:rsidR="003A2067" w:rsidRPr="00FA4973">
        <w:rPr>
          <w:sz w:val="16"/>
          <w:szCs w:val="22"/>
        </w:rPr>
        <w:t>Lord Mayors Charitable Foundation, Assia Altman Fund of the Australian Communities Foundation, Launch Housing and Gay and Lesbian Foundation of Australia</w:t>
      </w:r>
      <w:r w:rsidR="00CD0797" w:rsidRPr="00FA4973">
        <w:rPr>
          <w:sz w:val="16"/>
          <w:szCs w:val="22"/>
        </w:rPr>
        <w:t>, 2017)</w:t>
      </w:r>
      <w:r w:rsidR="003A2067" w:rsidRPr="00FA4973">
        <w:rPr>
          <w:sz w:val="16"/>
          <w:szCs w:val="22"/>
        </w:rPr>
        <w:t xml:space="preserve">. </w:t>
      </w:r>
    </w:p>
  </w:footnote>
  <w:footnote w:id="234">
    <w:p w14:paraId="5477FDC0" w14:textId="77777777" w:rsidR="00703AED" w:rsidRDefault="00703AED" w:rsidP="00FA4973">
      <w:pPr>
        <w:pStyle w:val="FootnoteText"/>
        <w:shd w:val="clear" w:color="auto" w:fill="FFFFFF" w:themeFill="background1"/>
      </w:pPr>
      <w:r w:rsidRPr="00FA4973">
        <w:rPr>
          <w:rStyle w:val="FootnoteReference"/>
          <w:sz w:val="16"/>
          <w:szCs w:val="22"/>
        </w:rPr>
        <w:footnoteRef/>
      </w:r>
      <w:r w:rsidRPr="00FA4973">
        <w:rPr>
          <w:sz w:val="16"/>
          <w:szCs w:val="22"/>
        </w:rPr>
        <w:t xml:space="preserve"> US National Institute on Drug Abuse 2021, </w:t>
      </w:r>
      <w:r w:rsidRPr="00FA4973">
        <w:rPr>
          <w:i/>
          <w:iCs/>
          <w:sz w:val="16"/>
          <w:szCs w:val="22"/>
        </w:rPr>
        <w:t xml:space="preserve">Why is there comorbidity between substance use disorders and mental </w:t>
      </w:r>
      <w:r w:rsidRPr="00FA4973">
        <w:rPr>
          <w:i/>
          <w:iCs/>
          <w:sz w:val="16"/>
          <w:szCs w:val="22"/>
        </w:rPr>
        <w:t>illnesses?,</w:t>
      </w:r>
      <w:r w:rsidRPr="00FA4973">
        <w:rPr>
          <w:sz w:val="16"/>
          <w:szCs w:val="22"/>
        </w:rPr>
        <w:t xml:space="preserve"> April 13 2021https://nida.nih.gov/publications/research-reports/common-comorbidities-substance-use-disorders/why-there-comorbidity-between-substance-use-disorders-mental-illnesses</w:t>
      </w:r>
    </w:p>
  </w:footnote>
  <w:footnote w:id="235">
    <w:p w14:paraId="32AC31AD" w14:textId="28BD6972" w:rsidR="00FA40C7" w:rsidRPr="00FA4973" w:rsidRDefault="00FA40C7" w:rsidP="004B2D0C">
      <w:pPr>
        <w:pStyle w:val="FootnoteText"/>
        <w:rPr>
          <w:sz w:val="16"/>
          <w:szCs w:val="22"/>
          <w:lang w:val="en-US"/>
        </w:rPr>
      </w:pPr>
      <w:r w:rsidRPr="00FA4973">
        <w:rPr>
          <w:rStyle w:val="FootnoteReference"/>
          <w:sz w:val="16"/>
          <w:szCs w:val="22"/>
        </w:rPr>
        <w:footnoteRef/>
      </w:r>
      <w:r w:rsidRPr="00FA4973">
        <w:rPr>
          <w:sz w:val="16"/>
          <w:szCs w:val="22"/>
        </w:rPr>
        <w:t xml:space="preserve"> </w:t>
      </w:r>
      <w:r w:rsidRPr="00FA4973">
        <w:rPr>
          <w:sz w:val="16"/>
          <w:szCs w:val="22"/>
          <w:lang w:val="en-US"/>
        </w:rPr>
        <w:t>Australian Institute of Health</w:t>
      </w:r>
      <w:r w:rsidR="0051489D" w:rsidRPr="00FA4973">
        <w:rPr>
          <w:sz w:val="16"/>
          <w:szCs w:val="22"/>
          <w:lang w:val="en-US"/>
        </w:rPr>
        <w:t xml:space="preserve"> and Welfare</w:t>
      </w:r>
      <w:r w:rsidR="003605DA" w:rsidRPr="00FA4973">
        <w:rPr>
          <w:sz w:val="16"/>
          <w:szCs w:val="22"/>
          <w:lang w:val="en-US"/>
        </w:rPr>
        <w:t>,</w:t>
      </w:r>
      <w:r w:rsidR="004B2D0C" w:rsidRPr="004B2D0C">
        <w:rPr>
          <w:sz w:val="16"/>
          <w:szCs w:val="22"/>
        </w:rPr>
        <w:t xml:space="preserve"> “</w:t>
      </w:r>
      <w:hyperlink r:id="rId41" w:anchor="tobacco." w:history="1">
        <w:r w:rsidR="004B2D0C" w:rsidRPr="004B2D0C">
          <w:rPr>
            <w:rStyle w:val="Hyperlink"/>
            <w:sz w:val="16"/>
            <w:szCs w:val="22"/>
          </w:rPr>
          <w:t>Alcohol, tobacco &amp; other drugs in Australia”,</w:t>
        </w:r>
      </w:hyperlink>
      <w:r w:rsidR="003605DA" w:rsidRPr="00FA4973">
        <w:rPr>
          <w:sz w:val="16"/>
          <w:szCs w:val="22"/>
          <w:lang w:val="en-US"/>
        </w:rPr>
        <w:t xml:space="preserve"> accessed October 2023</w:t>
      </w:r>
      <w:r w:rsidR="004B2D0C">
        <w:rPr>
          <w:sz w:val="16"/>
          <w:szCs w:val="22"/>
          <w:lang w:val="en-US"/>
        </w:rPr>
        <w:t>.</w:t>
      </w:r>
    </w:p>
  </w:footnote>
  <w:footnote w:id="236">
    <w:p w14:paraId="0DCC6830" w14:textId="32C35E91" w:rsidR="00BD1F8A" w:rsidRPr="00FA4973" w:rsidRDefault="00BD1F8A" w:rsidP="006055CB">
      <w:pPr>
        <w:pStyle w:val="FootnoteText"/>
        <w:rPr>
          <w:sz w:val="16"/>
          <w:szCs w:val="22"/>
          <w:lang w:val="en-US"/>
        </w:rPr>
      </w:pPr>
      <w:r w:rsidRPr="00FA4973">
        <w:rPr>
          <w:rStyle w:val="FootnoteReference"/>
          <w:sz w:val="16"/>
          <w:szCs w:val="22"/>
        </w:rPr>
        <w:footnoteRef/>
      </w:r>
      <w:r w:rsidRPr="00FA4973">
        <w:rPr>
          <w:sz w:val="16"/>
          <w:szCs w:val="22"/>
        </w:rPr>
        <w:t xml:space="preserve"> Daniel Demant, Leanne Hides, Katherine White, and David Kavanagh, "LGBT Communities and Substance Use in Queensland, Australia: Perceptions of Young People and Community Stakeholders," </w:t>
      </w:r>
      <w:r w:rsidRPr="00FA4973">
        <w:rPr>
          <w:i/>
          <w:iCs/>
          <w:sz w:val="16"/>
          <w:szCs w:val="22"/>
        </w:rPr>
        <w:t>PLoS One</w:t>
      </w:r>
      <w:r w:rsidRPr="00FA4973">
        <w:rPr>
          <w:sz w:val="16"/>
          <w:szCs w:val="22"/>
        </w:rPr>
        <w:t xml:space="preserve"> 13, no. 9 (2018).</w:t>
      </w:r>
    </w:p>
  </w:footnote>
  <w:footnote w:id="237">
    <w:p w14:paraId="75B55A52" w14:textId="77777777" w:rsidR="00BD1F8A" w:rsidRPr="00FA4973" w:rsidRDefault="00BD1F8A" w:rsidP="00BD1F8A">
      <w:pPr>
        <w:pStyle w:val="FootnoteText"/>
        <w:rPr>
          <w:sz w:val="16"/>
          <w:szCs w:val="22"/>
          <w:lang w:val="en-US"/>
        </w:rPr>
      </w:pPr>
      <w:r w:rsidRPr="00FA4973">
        <w:rPr>
          <w:rStyle w:val="FootnoteReference"/>
          <w:sz w:val="16"/>
          <w:szCs w:val="22"/>
        </w:rPr>
        <w:footnoteRef/>
      </w:r>
      <w:r w:rsidRPr="00FA4973">
        <w:rPr>
          <w:sz w:val="16"/>
          <w:szCs w:val="22"/>
        </w:rPr>
        <w:t xml:space="preserve"> Demant, Hides, White, and Kavanagh, "LGBT Communities and Substance Use in Queensland."</w:t>
      </w:r>
    </w:p>
  </w:footnote>
  <w:footnote w:id="238">
    <w:p w14:paraId="1F4C0D0E" w14:textId="77777777" w:rsidR="006055CB" w:rsidRPr="00FA4973" w:rsidRDefault="006055CB" w:rsidP="006055CB">
      <w:pPr>
        <w:pStyle w:val="FootnoteText"/>
        <w:rPr>
          <w:sz w:val="16"/>
          <w:szCs w:val="22"/>
          <w:lang w:val="en-US"/>
        </w:rPr>
      </w:pPr>
      <w:r w:rsidRPr="00FA4973">
        <w:rPr>
          <w:rStyle w:val="FootnoteReference"/>
          <w:sz w:val="16"/>
          <w:szCs w:val="22"/>
        </w:rPr>
        <w:footnoteRef/>
      </w:r>
      <w:r w:rsidRPr="00FA4973">
        <w:rPr>
          <w:sz w:val="16"/>
          <w:szCs w:val="22"/>
        </w:rPr>
        <w:t xml:space="preserve"> Demant, Hides, White, and Kavanagh, "LGBT Communities and Substance Use in Queensland."</w:t>
      </w:r>
    </w:p>
  </w:footnote>
  <w:footnote w:id="239">
    <w:p w14:paraId="550E47C0" w14:textId="1B60B780" w:rsidR="00960B59" w:rsidRPr="00FA4973" w:rsidRDefault="00960B59">
      <w:pPr>
        <w:pStyle w:val="FootnoteText"/>
        <w:rPr>
          <w:sz w:val="16"/>
          <w:szCs w:val="22"/>
        </w:rPr>
      </w:pPr>
      <w:r w:rsidRPr="00FA4973">
        <w:rPr>
          <w:rStyle w:val="FootnoteReference"/>
          <w:sz w:val="16"/>
          <w:szCs w:val="22"/>
        </w:rPr>
        <w:footnoteRef/>
      </w:r>
      <w:r w:rsidRPr="00FA4973">
        <w:rPr>
          <w:sz w:val="16"/>
          <w:szCs w:val="22"/>
        </w:rPr>
        <w:t xml:space="preserve"> Paul Simpson, Danika Hardiman and Tony Butler</w:t>
      </w:r>
      <w:r w:rsidR="0045488B" w:rsidRPr="00FA4973">
        <w:rPr>
          <w:sz w:val="16"/>
          <w:szCs w:val="22"/>
        </w:rPr>
        <w:t xml:space="preserve">, “Understanding the over-representation of lesbian or bisexual women in the Australian prisoner population”, in </w:t>
      </w:r>
      <w:r w:rsidR="0045488B" w:rsidRPr="00FA4973">
        <w:rPr>
          <w:i/>
          <w:iCs/>
          <w:sz w:val="16"/>
          <w:szCs w:val="22"/>
        </w:rPr>
        <w:t xml:space="preserve">Current Issues in Criminal Justice, </w:t>
      </w:r>
      <w:r w:rsidR="0045488B" w:rsidRPr="00FA4973">
        <w:rPr>
          <w:sz w:val="16"/>
          <w:szCs w:val="22"/>
        </w:rPr>
        <w:t>vol. 3</w:t>
      </w:r>
      <w:r w:rsidR="00913314" w:rsidRPr="00FA4973">
        <w:rPr>
          <w:sz w:val="16"/>
          <w:szCs w:val="22"/>
        </w:rPr>
        <w:t>1, no. 3 (2019)</w:t>
      </w:r>
      <w:r w:rsidR="002B20E0" w:rsidRPr="00FA4973">
        <w:rPr>
          <w:sz w:val="16"/>
          <w:szCs w:val="22"/>
        </w:rPr>
        <w:t xml:space="preserve">; </w:t>
      </w:r>
      <w:r w:rsidR="007D7980" w:rsidRPr="00FA4973">
        <w:rPr>
          <w:sz w:val="16"/>
          <w:szCs w:val="22"/>
        </w:rPr>
        <w:t>Jane Hereth</w:t>
      </w:r>
      <w:r w:rsidR="00C75AAA" w:rsidRPr="00FA4973">
        <w:rPr>
          <w:sz w:val="16"/>
          <w:szCs w:val="22"/>
        </w:rPr>
        <w:t xml:space="preserve">, </w:t>
      </w:r>
      <w:r w:rsidR="00C75AAA" w:rsidRPr="00FA4973">
        <w:rPr>
          <w:i/>
          <w:iCs/>
          <w:sz w:val="16"/>
          <w:szCs w:val="22"/>
        </w:rPr>
        <w:t>Overrepresentation of people who identify as LGBTQ+ in the criminal legal system</w:t>
      </w:r>
      <w:r w:rsidR="00536E68" w:rsidRPr="00FA4973">
        <w:rPr>
          <w:i/>
          <w:iCs/>
          <w:sz w:val="16"/>
          <w:szCs w:val="22"/>
        </w:rPr>
        <w:t xml:space="preserve"> </w:t>
      </w:r>
      <w:r w:rsidR="00536E68" w:rsidRPr="00FA4973">
        <w:rPr>
          <w:sz w:val="16"/>
          <w:szCs w:val="22"/>
        </w:rPr>
        <w:t>(2022)</w:t>
      </w:r>
      <w:r w:rsidR="00C75AAA" w:rsidRPr="00FA4973">
        <w:rPr>
          <w:i/>
          <w:iCs/>
          <w:sz w:val="16"/>
          <w:szCs w:val="22"/>
        </w:rPr>
        <w:t xml:space="preserve">, </w:t>
      </w:r>
      <w:r w:rsidR="00C75AAA" w:rsidRPr="00FA4973">
        <w:rPr>
          <w:sz w:val="16"/>
          <w:szCs w:val="22"/>
        </w:rPr>
        <w:t xml:space="preserve">Supported by the John D. and Catherine T. MacArthur Foundation. </w:t>
      </w:r>
    </w:p>
  </w:footnote>
  <w:footnote w:id="240">
    <w:p w14:paraId="7276146A" w14:textId="13A6AF00" w:rsidR="00282D2C" w:rsidRPr="00FA4973" w:rsidRDefault="00282D2C" w:rsidP="00282D2C">
      <w:pPr>
        <w:pStyle w:val="FootnoteText"/>
        <w:rPr>
          <w:sz w:val="16"/>
          <w:szCs w:val="22"/>
          <w:lang w:val="en-US"/>
        </w:rPr>
      </w:pPr>
      <w:r w:rsidRPr="00FA4973">
        <w:rPr>
          <w:rStyle w:val="FootnoteReference"/>
          <w:sz w:val="16"/>
          <w:szCs w:val="22"/>
        </w:rPr>
        <w:footnoteRef/>
      </w:r>
      <w:r w:rsidRPr="00FA4973">
        <w:rPr>
          <w:sz w:val="16"/>
          <w:szCs w:val="22"/>
        </w:rPr>
        <w:t xml:space="preserve"> Katie Hail-Jares, Craig Cumming, Jesse Young, Rohan Borschmann, Nick Lennox, and Stuart Kinner, "Self-harm and suicide attempts among incarcerated lesbian, gay and bisexual people in Australia," </w:t>
      </w:r>
      <w:r w:rsidRPr="00FA4973">
        <w:rPr>
          <w:i/>
          <w:iCs/>
          <w:sz w:val="16"/>
          <w:szCs w:val="22"/>
        </w:rPr>
        <w:t>Australian &amp; New Zealand Journal of Psychiatry</w:t>
      </w:r>
      <w:r w:rsidRPr="00FA4973">
        <w:rPr>
          <w:sz w:val="16"/>
          <w:szCs w:val="22"/>
        </w:rPr>
        <w:t xml:space="preserve"> 57, no. 4 (2023), 567, </w:t>
      </w:r>
      <w:hyperlink r:id="rId42" w:history="1">
        <w:r w:rsidR="00B1479C" w:rsidRPr="00FA4973">
          <w:rPr>
            <w:rStyle w:val="Hyperlink"/>
            <w:sz w:val="16"/>
            <w:szCs w:val="22"/>
          </w:rPr>
          <w:t>https://doi.org/10.1177/00048674221104744</w:t>
        </w:r>
      </w:hyperlink>
      <w:r w:rsidRPr="00FA4973">
        <w:rPr>
          <w:sz w:val="16"/>
          <w:szCs w:val="22"/>
        </w:rPr>
        <w:t>.</w:t>
      </w:r>
    </w:p>
  </w:footnote>
  <w:footnote w:id="241">
    <w:p w14:paraId="2254E508" w14:textId="77777777" w:rsidR="00975AFA" w:rsidRPr="000F018E" w:rsidRDefault="00975AFA" w:rsidP="00975AFA">
      <w:pPr>
        <w:pStyle w:val="FootnoteText"/>
        <w:rPr>
          <w:lang w:val="en-US"/>
        </w:rPr>
      </w:pPr>
      <w:r w:rsidRPr="00FA4973">
        <w:rPr>
          <w:rStyle w:val="FootnoteReference"/>
          <w:sz w:val="16"/>
          <w:szCs w:val="22"/>
        </w:rPr>
        <w:footnoteRef/>
      </w:r>
      <w:r w:rsidRPr="00FA4973">
        <w:rPr>
          <w:sz w:val="16"/>
          <w:szCs w:val="22"/>
        </w:rPr>
        <w:t xml:space="preserve"> Matthew Mitchell, Adrien McCrory, Isabelle Skaburskis, and Brenda Appleton, "Criminalising Gender Diversity: Trans and Gender Diverse People’s Experiences with the Victorian Criminal Legal System," </w:t>
      </w:r>
      <w:r w:rsidRPr="00FA4973">
        <w:rPr>
          <w:i/>
          <w:iCs/>
          <w:sz w:val="16"/>
          <w:szCs w:val="22"/>
        </w:rPr>
        <w:t>International Journal for Crime, Justice and Social Democracy</w:t>
      </w:r>
      <w:r w:rsidRPr="00FA4973">
        <w:rPr>
          <w:sz w:val="16"/>
          <w:szCs w:val="22"/>
        </w:rPr>
        <w:t xml:space="preserve"> 11, no. 4 (2022), </w:t>
      </w:r>
      <w:hyperlink r:id="rId43" w:tgtFrame="_new" w:history="1">
        <w:r w:rsidRPr="00FA4973">
          <w:rPr>
            <w:rStyle w:val="Hyperlink"/>
            <w:sz w:val="16"/>
            <w:szCs w:val="22"/>
          </w:rPr>
          <w:t>https://doi.org/10.5204/ijcjsd.2225</w:t>
        </w:r>
      </w:hyperlink>
      <w:r w:rsidRPr="00FA4973">
        <w:rPr>
          <w:sz w:val="16"/>
          <w:szCs w:val="22"/>
        </w:rPr>
        <w:t xml:space="preserve">. </w:t>
      </w:r>
    </w:p>
  </w:footnote>
  <w:footnote w:id="242">
    <w:p w14:paraId="2F482986" w14:textId="53157412" w:rsidR="00102CE3" w:rsidRPr="00FA4973" w:rsidRDefault="00102CE3" w:rsidP="00102CE3">
      <w:pPr>
        <w:pStyle w:val="FootnoteText"/>
        <w:rPr>
          <w:sz w:val="16"/>
          <w:szCs w:val="22"/>
          <w:lang w:val="en-US"/>
        </w:rPr>
      </w:pPr>
      <w:r w:rsidRPr="00FA4973">
        <w:rPr>
          <w:rStyle w:val="FootnoteReference"/>
          <w:sz w:val="16"/>
          <w:szCs w:val="22"/>
        </w:rPr>
        <w:footnoteRef/>
      </w:r>
      <w:r w:rsidRPr="00FA4973">
        <w:rPr>
          <w:sz w:val="16"/>
          <w:szCs w:val="22"/>
        </w:rPr>
        <w:t xml:space="preserve"> Mitchell, McCrory, Skaburskis, and Appleton, "Criminalising Gender Diversity: Trans and Gender Diverse People’s Experiences with the Victorian Criminal Legal System</w:t>
      </w:r>
      <w:r w:rsidR="001A5F83">
        <w:rPr>
          <w:sz w:val="16"/>
          <w:szCs w:val="22"/>
        </w:rPr>
        <w:t xml:space="preserve">” </w:t>
      </w:r>
    </w:p>
  </w:footnote>
  <w:footnote w:id="243">
    <w:p w14:paraId="356C0502" w14:textId="77777777" w:rsidR="00931FBC" w:rsidRPr="00FA4973" w:rsidRDefault="00931FBC" w:rsidP="00931FBC">
      <w:pPr>
        <w:pStyle w:val="FootnoteText"/>
        <w:rPr>
          <w:sz w:val="16"/>
          <w:szCs w:val="22"/>
          <w:lang w:val="en-US"/>
        </w:rPr>
      </w:pPr>
      <w:r w:rsidRPr="00FA4973">
        <w:rPr>
          <w:rStyle w:val="FootnoteReference"/>
          <w:sz w:val="16"/>
          <w:szCs w:val="22"/>
        </w:rPr>
        <w:footnoteRef/>
      </w:r>
      <w:r w:rsidRPr="00FA4973">
        <w:rPr>
          <w:sz w:val="16"/>
          <w:szCs w:val="22"/>
        </w:rPr>
        <w:t xml:space="preserve"> Katie Hail-Jares, Craig Cumming, Jesse Young, Rohan Borschmann, Nick Lennox, and Stuart Kinner, "Self-harm and suicide attempts among incarcerated lesbian, gay and bisexual people in Australia," </w:t>
      </w:r>
      <w:r w:rsidRPr="00FA4973">
        <w:rPr>
          <w:i/>
          <w:iCs/>
          <w:sz w:val="16"/>
          <w:szCs w:val="22"/>
        </w:rPr>
        <w:t>Australian &amp; New Zealand Journal of Psychiatry</w:t>
      </w:r>
      <w:r w:rsidRPr="00FA4973">
        <w:rPr>
          <w:sz w:val="16"/>
          <w:szCs w:val="22"/>
        </w:rPr>
        <w:t xml:space="preserve"> 57, no. 4 (2023), </w:t>
      </w:r>
      <w:hyperlink r:id="rId44" w:tgtFrame="_new" w:history="1">
        <w:r w:rsidRPr="00FA4973">
          <w:rPr>
            <w:rStyle w:val="Hyperlink"/>
            <w:sz w:val="16"/>
            <w:szCs w:val="22"/>
          </w:rPr>
          <w:t>https://doi.org/10.1177/00048674221104744</w:t>
        </w:r>
      </w:hyperlink>
      <w:r w:rsidRPr="00FA4973">
        <w:rPr>
          <w:sz w:val="16"/>
          <w:szCs w:val="22"/>
        </w:rPr>
        <w:t>.</w:t>
      </w:r>
    </w:p>
  </w:footnote>
  <w:footnote w:id="244">
    <w:p w14:paraId="2CDA8D67" w14:textId="633B1AC9" w:rsidR="00C33345" w:rsidRPr="00FA4973" w:rsidRDefault="00C33345" w:rsidP="00C33345">
      <w:pPr>
        <w:pStyle w:val="FootnoteText"/>
        <w:rPr>
          <w:sz w:val="16"/>
          <w:szCs w:val="22"/>
          <w:lang w:val="en-US"/>
        </w:rPr>
      </w:pPr>
      <w:r w:rsidRPr="00FA4973">
        <w:rPr>
          <w:rStyle w:val="FootnoteReference"/>
          <w:sz w:val="16"/>
          <w:szCs w:val="22"/>
        </w:rPr>
        <w:footnoteRef/>
      </w:r>
      <w:r w:rsidRPr="00FA4973">
        <w:rPr>
          <w:sz w:val="16"/>
          <w:szCs w:val="22"/>
        </w:rPr>
        <w:t xml:space="preserve"> </w:t>
      </w:r>
      <w:r w:rsidR="009F2C93" w:rsidRPr="00FA4973">
        <w:rPr>
          <w:sz w:val="16"/>
          <w:szCs w:val="22"/>
        </w:rPr>
        <w:t>Rodrigo Gonzalez</w:t>
      </w:r>
      <w:r w:rsidRPr="00FA4973">
        <w:rPr>
          <w:sz w:val="16"/>
          <w:szCs w:val="22"/>
        </w:rPr>
        <w:t xml:space="preserve"> Alvarez, </w:t>
      </w:r>
      <w:r w:rsidR="009F2C93" w:rsidRPr="00FA4973">
        <w:rPr>
          <w:sz w:val="16"/>
          <w:szCs w:val="22"/>
        </w:rPr>
        <w:t>Luis Armando</w:t>
      </w:r>
      <w:r w:rsidRPr="00FA4973">
        <w:rPr>
          <w:sz w:val="16"/>
          <w:szCs w:val="22"/>
        </w:rPr>
        <w:t xml:space="preserve"> Parra, </w:t>
      </w:r>
      <w:r w:rsidR="009F2C93" w:rsidRPr="00FA4973">
        <w:rPr>
          <w:sz w:val="16"/>
          <w:szCs w:val="22"/>
        </w:rPr>
        <w:t>Mijntje</w:t>
      </w:r>
      <w:r w:rsidRPr="00FA4973">
        <w:rPr>
          <w:sz w:val="16"/>
          <w:szCs w:val="22"/>
        </w:rPr>
        <w:t xml:space="preserve"> ten Brummelaar, </w:t>
      </w:r>
      <w:r w:rsidR="009F2C93" w:rsidRPr="00FA4973">
        <w:rPr>
          <w:sz w:val="16"/>
          <w:szCs w:val="22"/>
        </w:rPr>
        <w:t>Lucy</w:t>
      </w:r>
      <w:r w:rsidRPr="00FA4973">
        <w:rPr>
          <w:sz w:val="16"/>
          <w:szCs w:val="22"/>
        </w:rPr>
        <w:t xml:space="preserve"> Avraamidou, and </w:t>
      </w:r>
      <w:r w:rsidR="009F2C93" w:rsidRPr="00FA4973">
        <w:rPr>
          <w:sz w:val="16"/>
          <w:szCs w:val="22"/>
        </w:rPr>
        <w:t xml:space="preserve">Monica </w:t>
      </w:r>
      <w:r w:rsidRPr="00FA4973">
        <w:rPr>
          <w:sz w:val="16"/>
          <w:szCs w:val="22"/>
        </w:rPr>
        <w:t xml:space="preserve">Lopez, </w:t>
      </w:r>
      <w:r w:rsidR="009F2C93" w:rsidRPr="00FA4973">
        <w:rPr>
          <w:sz w:val="16"/>
          <w:szCs w:val="22"/>
        </w:rPr>
        <w:t>"</w:t>
      </w:r>
      <w:r w:rsidRPr="00FA4973">
        <w:rPr>
          <w:sz w:val="16"/>
          <w:szCs w:val="22"/>
        </w:rPr>
        <w:t>Resilience among LGBTQIA+ youth in out-of-home care: A scoping review</w:t>
      </w:r>
      <w:r w:rsidR="009F2C93" w:rsidRPr="00FA4973">
        <w:rPr>
          <w:sz w:val="16"/>
          <w:szCs w:val="22"/>
        </w:rPr>
        <w:t>,"</w:t>
      </w:r>
      <w:r w:rsidRPr="00FA4973">
        <w:rPr>
          <w:sz w:val="16"/>
          <w:szCs w:val="22"/>
        </w:rPr>
        <w:t xml:space="preserve"> </w:t>
      </w:r>
      <w:r w:rsidRPr="00FA4973">
        <w:rPr>
          <w:i/>
          <w:sz w:val="16"/>
          <w:szCs w:val="22"/>
        </w:rPr>
        <w:t>Child Abuse &amp; Neglect</w:t>
      </w:r>
      <w:r w:rsidRPr="00FA4973">
        <w:rPr>
          <w:sz w:val="16"/>
          <w:szCs w:val="22"/>
        </w:rPr>
        <w:t xml:space="preserve"> 129</w:t>
      </w:r>
      <w:r w:rsidR="009F2C93" w:rsidRPr="00FA4973">
        <w:rPr>
          <w:sz w:val="16"/>
          <w:szCs w:val="22"/>
        </w:rPr>
        <w:t xml:space="preserve"> (2022),</w:t>
      </w:r>
      <w:r w:rsidRPr="00FA4973">
        <w:rPr>
          <w:sz w:val="16"/>
          <w:szCs w:val="22"/>
        </w:rPr>
        <w:t xml:space="preserve"> </w:t>
      </w:r>
      <w:hyperlink r:id="rId45" w:tgtFrame="_new" w:history="1">
        <w:r w:rsidR="009F2C93" w:rsidRPr="00FA4973">
          <w:rPr>
            <w:rStyle w:val="Hyperlink"/>
            <w:sz w:val="16"/>
            <w:szCs w:val="22"/>
          </w:rPr>
          <w:t>https://doi.org/10.1016/j.chiabu.2022.105660</w:t>
        </w:r>
      </w:hyperlink>
      <w:r w:rsidR="009F2C93" w:rsidRPr="00FA4973">
        <w:rPr>
          <w:sz w:val="16"/>
          <w:szCs w:val="22"/>
        </w:rPr>
        <w:t xml:space="preserve">. </w:t>
      </w:r>
      <w:r w:rsidRPr="00FA4973">
        <w:rPr>
          <w:sz w:val="16"/>
          <w:szCs w:val="22"/>
        </w:rPr>
        <w:t xml:space="preserve"> </w:t>
      </w:r>
    </w:p>
  </w:footnote>
  <w:footnote w:id="245">
    <w:p w14:paraId="0657378C" w14:textId="2D16154B" w:rsidR="00D5360D" w:rsidRPr="00FA4973" w:rsidRDefault="00D5360D">
      <w:pPr>
        <w:pStyle w:val="FootnoteText"/>
        <w:rPr>
          <w:sz w:val="16"/>
          <w:szCs w:val="22"/>
          <w:lang w:val="en-US"/>
        </w:rPr>
      </w:pPr>
      <w:r w:rsidRPr="00FA4973">
        <w:rPr>
          <w:rStyle w:val="FootnoteReference"/>
          <w:sz w:val="16"/>
          <w:szCs w:val="22"/>
        </w:rPr>
        <w:footnoteRef/>
      </w:r>
      <w:r w:rsidR="00082E7D" w:rsidRPr="00FA4973">
        <w:rPr>
          <w:sz w:val="16"/>
          <w:szCs w:val="22"/>
        </w:rPr>
        <w:t xml:space="preserve"> Katherine </w:t>
      </w:r>
      <w:r w:rsidR="00391F86" w:rsidRPr="00FA4973">
        <w:rPr>
          <w:sz w:val="16"/>
          <w:szCs w:val="22"/>
        </w:rPr>
        <w:t xml:space="preserve">Monson, </w:t>
      </w:r>
      <w:r w:rsidR="00082E7D" w:rsidRPr="00FA4973">
        <w:rPr>
          <w:sz w:val="16"/>
          <w:szCs w:val="22"/>
        </w:rPr>
        <w:t>Kristen</w:t>
      </w:r>
      <w:r w:rsidR="00391F86" w:rsidRPr="00FA4973">
        <w:rPr>
          <w:sz w:val="16"/>
          <w:szCs w:val="22"/>
        </w:rPr>
        <w:t xml:space="preserve"> </w:t>
      </w:r>
      <w:r w:rsidRPr="00FA4973">
        <w:rPr>
          <w:sz w:val="16"/>
          <w:szCs w:val="22"/>
        </w:rPr>
        <w:t xml:space="preserve">Moeller-Saxone, </w:t>
      </w:r>
      <w:r w:rsidR="00082E7D" w:rsidRPr="00FA4973">
        <w:rPr>
          <w:sz w:val="16"/>
          <w:szCs w:val="22"/>
        </w:rPr>
        <w:t>Cathy</w:t>
      </w:r>
      <w:r w:rsidR="00BB6943" w:rsidRPr="00FA4973">
        <w:rPr>
          <w:sz w:val="16"/>
          <w:szCs w:val="22"/>
        </w:rPr>
        <w:t xml:space="preserve"> Humphreys, </w:t>
      </w:r>
      <w:r w:rsidR="00082E7D" w:rsidRPr="00FA4973">
        <w:rPr>
          <w:sz w:val="16"/>
          <w:szCs w:val="22"/>
        </w:rPr>
        <w:t xml:space="preserve">Carol </w:t>
      </w:r>
      <w:r w:rsidR="00BB6943" w:rsidRPr="00FA4973">
        <w:rPr>
          <w:sz w:val="16"/>
          <w:szCs w:val="22"/>
        </w:rPr>
        <w:t xml:space="preserve">Harvey, and </w:t>
      </w:r>
      <w:r w:rsidR="00082E7D" w:rsidRPr="00FA4973">
        <w:rPr>
          <w:sz w:val="16"/>
          <w:szCs w:val="22"/>
        </w:rPr>
        <w:t xml:space="preserve">Helen </w:t>
      </w:r>
      <w:r w:rsidR="00BB6943" w:rsidRPr="00FA4973">
        <w:rPr>
          <w:sz w:val="16"/>
          <w:szCs w:val="22"/>
        </w:rPr>
        <w:t>Herrman</w:t>
      </w:r>
      <w:r w:rsidR="00F0750F" w:rsidRPr="00FA4973">
        <w:rPr>
          <w:sz w:val="16"/>
          <w:szCs w:val="22"/>
        </w:rPr>
        <w:t xml:space="preserve">, </w:t>
      </w:r>
      <w:r w:rsidR="00082E7D" w:rsidRPr="00FA4973">
        <w:rPr>
          <w:sz w:val="16"/>
          <w:szCs w:val="22"/>
        </w:rPr>
        <w:t>"</w:t>
      </w:r>
      <w:r w:rsidR="00477876" w:rsidRPr="00FA4973">
        <w:rPr>
          <w:sz w:val="16"/>
          <w:szCs w:val="22"/>
        </w:rPr>
        <w:t xml:space="preserve">Promoting </w:t>
      </w:r>
      <w:r w:rsidR="00082E7D" w:rsidRPr="00FA4973">
        <w:rPr>
          <w:sz w:val="16"/>
          <w:szCs w:val="22"/>
        </w:rPr>
        <w:t xml:space="preserve">Mental Health </w:t>
      </w:r>
      <w:r w:rsidR="00477876" w:rsidRPr="00FA4973">
        <w:rPr>
          <w:sz w:val="16"/>
          <w:szCs w:val="22"/>
        </w:rPr>
        <w:t xml:space="preserve">in </w:t>
      </w:r>
      <w:r w:rsidR="00082E7D" w:rsidRPr="00FA4973">
        <w:rPr>
          <w:sz w:val="16"/>
          <w:szCs w:val="22"/>
        </w:rPr>
        <w:t>Out</w:t>
      </w:r>
      <w:r w:rsidR="00477876" w:rsidRPr="00FA4973">
        <w:rPr>
          <w:sz w:val="16"/>
          <w:szCs w:val="22"/>
        </w:rPr>
        <w:t xml:space="preserve"> of </w:t>
      </w:r>
      <w:r w:rsidR="00082E7D" w:rsidRPr="00FA4973">
        <w:rPr>
          <w:sz w:val="16"/>
          <w:szCs w:val="22"/>
        </w:rPr>
        <w:t>Home Care</w:t>
      </w:r>
      <w:r w:rsidR="00477876" w:rsidRPr="00FA4973">
        <w:rPr>
          <w:sz w:val="16"/>
          <w:szCs w:val="22"/>
        </w:rPr>
        <w:t xml:space="preserve"> in Australia</w:t>
      </w:r>
      <w:r w:rsidR="007637C2" w:rsidRPr="00FA4973">
        <w:rPr>
          <w:sz w:val="16"/>
          <w:szCs w:val="22"/>
        </w:rPr>
        <w:t>,</w:t>
      </w:r>
      <w:r w:rsidR="00082E7D" w:rsidRPr="00FA4973">
        <w:rPr>
          <w:sz w:val="16"/>
          <w:szCs w:val="22"/>
        </w:rPr>
        <w:t>"</w:t>
      </w:r>
      <w:r w:rsidR="00477876" w:rsidRPr="00FA4973">
        <w:rPr>
          <w:sz w:val="16"/>
          <w:szCs w:val="22"/>
        </w:rPr>
        <w:t xml:space="preserve"> Health Promotion International</w:t>
      </w:r>
      <w:r w:rsidR="00082E7D" w:rsidRPr="00FA4973">
        <w:rPr>
          <w:sz w:val="16"/>
          <w:szCs w:val="22"/>
        </w:rPr>
        <w:t>,</w:t>
      </w:r>
      <w:r w:rsidR="00477876" w:rsidRPr="00FA4973">
        <w:rPr>
          <w:sz w:val="16"/>
          <w:szCs w:val="22"/>
        </w:rPr>
        <w:t xml:space="preserve"> </w:t>
      </w:r>
      <w:r w:rsidR="000A1F37" w:rsidRPr="00FA4973">
        <w:rPr>
          <w:sz w:val="16"/>
          <w:szCs w:val="22"/>
        </w:rPr>
        <w:t xml:space="preserve">vol. 35, </w:t>
      </w:r>
      <w:r w:rsidR="00082E7D" w:rsidRPr="00FA4973">
        <w:rPr>
          <w:sz w:val="16"/>
          <w:szCs w:val="22"/>
        </w:rPr>
        <w:t>no.</w:t>
      </w:r>
      <w:r w:rsidR="000A1F37" w:rsidRPr="00FA4973">
        <w:rPr>
          <w:sz w:val="16"/>
          <w:szCs w:val="22"/>
        </w:rPr>
        <w:t xml:space="preserve"> </w:t>
      </w:r>
      <w:r w:rsidR="00E10D86" w:rsidRPr="00FA4973">
        <w:rPr>
          <w:sz w:val="16"/>
          <w:szCs w:val="22"/>
        </w:rPr>
        <w:t xml:space="preserve">5 </w:t>
      </w:r>
      <w:r w:rsidR="00082E7D" w:rsidRPr="00FA4973">
        <w:rPr>
          <w:sz w:val="16"/>
          <w:szCs w:val="22"/>
        </w:rPr>
        <w:t>(2020):</w:t>
      </w:r>
      <w:r w:rsidR="00E10D86" w:rsidRPr="00FA4973">
        <w:rPr>
          <w:sz w:val="16"/>
          <w:szCs w:val="22"/>
        </w:rPr>
        <w:t xml:space="preserve"> 1026</w:t>
      </w:r>
      <w:r w:rsidR="00082E7D" w:rsidRPr="00FA4973">
        <w:rPr>
          <w:sz w:val="16"/>
          <w:szCs w:val="22"/>
        </w:rPr>
        <w:t>-</w:t>
      </w:r>
      <w:r w:rsidR="00E10D86" w:rsidRPr="00FA4973">
        <w:rPr>
          <w:sz w:val="16"/>
          <w:szCs w:val="22"/>
        </w:rPr>
        <w:t>1036</w:t>
      </w:r>
      <w:r w:rsidR="00082E7D" w:rsidRPr="00FA4973">
        <w:rPr>
          <w:sz w:val="16"/>
          <w:szCs w:val="22"/>
        </w:rPr>
        <w:t>.</w:t>
      </w:r>
    </w:p>
  </w:footnote>
  <w:footnote w:id="246">
    <w:p w14:paraId="034872D5" w14:textId="585DD063" w:rsidR="00E8217A" w:rsidRPr="00FA4973" w:rsidRDefault="00E8217A" w:rsidP="00E8217A">
      <w:pPr>
        <w:pStyle w:val="FootnoteText"/>
        <w:rPr>
          <w:sz w:val="16"/>
          <w:szCs w:val="22"/>
          <w:lang w:val="en-US"/>
        </w:rPr>
      </w:pPr>
      <w:r w:rsidRPr="00FA4973">
        <w:rPr>
          <w:rStyle w:val="FootnoteReference"/>
          <w:sz w:val="16"/>
          <w:szCs w:val="22"/>
        </w:rPr>
        <w:footnoteRef/>
      </w:r>
      <w:r w:rsidRPr="00FA4973">
        <w:rPr>
          <w:sz w:val="16"/>
          <w:szCs w:val="22"/>
        </w:rPr>
        <w:t xml:space="preserve"> Alvarez, Parra, ten Brummelaar, Avraamidou, and Lopez, </w:t>
      </w:r>
      <w:r w:rsidR="009F2C93" w:rsidRPr="00FA4973">
        <w:rPr>
          <w:sz w:val="16"/>
          <w:szCs w:val="22"/>
        </w:rPr>
        <w:t>"</w:t>
      </w:r>
      <w:r w:rsidRPr="00FA4973">
        <w:rPr>
          <w:sz w:val="16"/>
          <w:szCs w:val="22"/>
        </w:rPr>
        <w:t>Resilience among LGBTQIA+ youth in out-of-home care</w:t>
      </w:r>
      <w:r w:rsidR="009F2C93" w:rsidRPr="00FA4973">
        <w:rPr>
          <w:sz w:val="16"/>
          <w:szCs w:val="22"/>
        </w:rPr>
        <w:t xml:space="preserve">.” </w:t>
      </w:r>
      <w:r w:rsidRPr="00FA4973">
        <w:rPr>
          <w:sz w:val="16"/>
          <w:szCs w:val="22"/>
        </w:rPr>
        <w:t xml:space="preserve"> </w:t>
      </w:r>
    </w:p>
  </w:footnote>
  <w:footnote w:id="247">
    <w:p w14:paraId="1C07A666" w14:textId="0E386772" w:rsidR="00DE7139" w:rsidRPr="00FA4973" w:rsidRDefault="00DE7139" w:rsidP="00DE7139">
      <w:pPr>
        <w:pStyle w:val="FootnoteText"/>
        <w:rPr>
          <w:sz w:val="16"/>
          <w:szCs w:val="22"/>
          <w:lang w:val="en-US"/>
        </w:rPr>
      </w:pPr>
      <w:r w:rsidRPr="00FA4973">
        <w:rPr>
          <w:rStyle w:val="FootnoteReference"/>
          <w:sz w:val="16"/>
          <w:szCs w:val="22"/>
        </w:rPr>
        <w:footnoteRef/>
      </w:r>
      <w:r w:rsidRPr="00FA4973">
        <w:rPr>
          <w:sz w:val="16"/>
          <w:szCs w:val="22"/>
        </w:rPr>
        <w:t xml:space="preserve"> Alvarez, Parra, ten Brummelaar, Avraamidou, and Lopez, </w:t>
      </w:r>
      <w:r w:rsidR="00E00270" w:rsidRPr="00FA4973">
        <w:rPr>
          <w:sz w:val="16"/>
          <w:szCs w:val="22"/>
        </w:rPr>
        <w:t>"</w:t>
      </w:r>
      <w:r w:rsidRPr="00FA4973">
        <w:rPr>
          <w:sz w:val="16"/>
          <w:szCs w:val="22"/>
        </w:rPr>
        <w:t>Resilience among LGBTQIA+ youth in out-of-home care</w:t>
      </w:r>
      <w:r w:rsidR="00E00270" w:rsidRPr="00FA4973">
        <w:rPr>
          <w:sz w:val="16"/>
          <w:szCs w:val="22"/>
        </w:rPr>
        <w:t xml:space="preserve">.” </w:t>
      </w:r>
      <w:r w:rsidRPr="00FA4973">
        <w:rPr>
          <w:sz w:val="16"/>
          <w:szCs w:val="22"/>
        </w:rPr>
        <w:t xml:space="preserve"> </w:t>
      </w:r>
    </w:p>
  </w:footnote>
  <w:footnote w:id="248">
    <w:p w14:paraId="510DB309" w14:textId="31CE7AC4" w:rsidR="00CF673F" w:rsidRPr="00207EF1" w:rsidRDefault="00CF673F" w:rsidP="00CF673F">
      <w:pPr>
        <w:pStyle w:val="FootnoteText"/>
        <w:rPr>
          <w:sz w:val="16"/>
          <w:szCs w:val="22"/>
          <w:lang w:val="en-US"/>
        </w:rPr>
      </w:pPr>
      <w:r w:rsidRPr="00207EF1">
        <w:rPr>
          <w:rStyle w:val="FootnoteReference"/>
          <w:sz w:val="16"/>
          <w:szCs w:val="22"/>
        </w:rPr>
        <w:footnoteRef/>
      </w:r>
      <w:r w:rsidRPr="00207EF1">
        <w:rPr>
          <w:sz w:val="16"/>
          <w:szCs w:val="22"/>
        </w:rPr>
        <w:t xml:space="preserve"> Centre for Excellence in Therapeutic Care</w:t>
      </w:r>
      <w:r w:rsidR="00DE0E10" w:rsidRPr="00207EF1">
        <w:rPr>
          <w:sz w:val="16"/>
          <w:szCs w:val="22"/>
        </w:rPr>
        <w:t>,</w:t>
      </w:r>
      <w:r w:rsidR="00DA3221" w:rsidRPr="00207EF1">
        <w:rPr>
          <w:sz w:val="16"/>
          <w:szCs w:val="22"/>
        </w:rPr>
        <w:t xml:space="preserve"> </w:t>
      </w:r>
      <w:r w:rsidRPr="00207EF1">
        <w:rPr>
          <w:i/>
          <w:sz w:val="16"/>
          <w:szCs w:val="22"/>
        </w:rPr>
        <w:t xml:space="preserve">The </w:t>
      </w:r>
      <w:r w:rsidR="00DA3221" w:rsidRPr="00207EF1">
        <w:rPr>
          <w:i/>
          <w:sz w:val="16"/>
          <w:szCs w:val="22"/>
        </w:rPr>
        <w:t>Needs</w:t>
      </w:r>
      <w:r w:rsidRPr="00207EF1">
        <w:rPr>
          <w:i/>
          <w:sz w:val="16"/>
          <w:szCs w:val="22"/>
        </w:rPr>
        <w:t xml:space="preserve"> of LGBTIQ </w:t>
      </w:r>
      <w:r w:rsidR="00DA3221" w:rsidRPr="00207EF1">
        <w:rPr>
          <w:i/>
          <w:sz w:val="16"/>
          <w:szCs w:val="22"/>
        </w:rPr>
        <w:t>Young People</w:t>
      </w:r>
      <w:r w:rsidRPr="00207EF1">
        <w:rPr>
          <w:i/>
          <w:sz w:val="16"/>
          <w:szCs w:val="22"/>
        </w:rPr>
        <w:t xml:space="preserve"> in </w:t>
      </w:r>
      <w:r w:rsidR="00DA3221" w:rsidRPr="00207EF1">
        <w:rPr>
          <w:i/>
          <w:sz w:val="16"/>
          <w:szCs w:val="22"/>
        </w:rPr>
        <w:t>Out</w:t>
      </w:r>
      <w:r w:rsidRPr="00207EF1">
        <w:rPr>
          <w:i/>
          <w:sz w:val="16"/>
          <w:szCs w:val="22"/>
        </w:rPr>
        <w:t xml:space="preserve"> of </w:t>
      </w:r>
      <w:r w:rsidR="00DA3221" w:rsidRPr="00207EF1">
        <w:rPr>
          <w:i/>
          <w:sz w:val="16"/>
          <w:szCs w:val="22"/>
        </w:rPr>
        <w:t>Home Care</w:t>
      </w:r>
      <w:r w:rsidR="00DE0E10" w:rsidRPr="00207EF1">
        <w:rPr>
          <w:sz w:val="16"/>
          <w:szCs w:val="22"/>
        </w:rPr>
        <w:t>,</w:t>
      </w:r>
      <w:r w:rsidRPr="00207EF1">
        <w:rPr>
          <w:sz w:val="16"/>
          <w:szCs w:val="22"/>
        </w:rPr>
        <w:t xml:space="preserve"> Australian Childhood Foundation and Southern Cross University</w:t>
      </w:r>
      <w:r w:rsidR="00DF3B63" w:rsidRPr="00207EF1">
        <w:rPr>
          <w:sz w:val="16"/>
          <w:szCs w:val="22"/>
        </w:rPr>
        <w:t>, 2019</w:t>
      </w:r>
      <w:r w:rsidR="00DA3221" w:rsidRPr="00207EF1">
        <w:rPr>
          <w:sz w:val="16"/>
          <w:szCs w:val="22"/>
        </w:rPr>
        <w:t>.</w:t>
      </w:r>
      <w:r w:rsidRPr="00207EF1">
        <w:rPr>
          <w:sz w:val="16"/>
          <w:szCs w:val="22"/>
        </w:rPr>
        <w:t xml:space="preserve"> </w:t>
      </w:r>
      <w:hyperlink r:id="rId46" w:history="1">
        <w:r w:rsidR="00DA3221" w:rsidRPr="00207EF1">
          <w:rPr>
            <w:rStyle w:val="Hyperlink"/>
            <w:sz w:val="16"/>
            <w:szCs w:val="22"/>
          </w:rPr>
          <w:t>https://www.cetc.org.au/the-needs-of-lgbtiq-young-people-in-out-of-home-care-research-brief/</w:t>
        </w:r>
      </w:hyperlink>
      <w:r w:rsidR="00DA3221" w:rsidRPr="00207EF1">
        <w:rPr>
          <w:sz w:val="16"/>
          <w:szCs w:val="22"/>
        </w:rPr>
        <w:t xml:space="preserve">   </w:t>
      </w:r>
    </w:p>
  </w:footnote>
  <w:footnote w:id="249">
    <w:p w14:paraId="6515753C" w14:textId="4C2B349E" w:rsidR="00CC5D19" w:rsidRPr="00207EF1" w:rsidRDefault="00CC5D19" w:rsidP="00CC5D19">
      <w:pPr>
        <w:pStyle w:val="FootnoteText"/>
        <w:rPr>
          <w:sz w:val="16"/>
          <w:szCs w:val="22"/>
          <w:lang w:val="en-US"/>
        </w:rPr>
      </w:pPr>
      <w:r w:rsidRPr="00207EF1">
        <w:rPr>
          <w:rStyle w:val="FootnoteReference"/>
          <w:sz w:val="16"/>
          <w:szCs w:val="22"/>
        </w:rPr>
        <w:footnoteRef/>
      </w:r>
      <w:r w:rsidRPr="00207EF1">
        <w:rPr>
          <w:sz w:val="16"/>
          <w:szCs w:val="22"/>
        </w:rPr>
        <w:t xml:space="preserve"> Centre for Excellence in Therapeutic Care</w:t>
      </w:r>
      <w:r w:rsidR="00DE0E10" w:rsidRPr="00207EF1">
        <w:rPr>
          <w:sz w:val="16"/>
          <w:szCs w:val="22"/>
        </w:rPr>
        <w:t>,</w:t>
      </w:r>
      <w:r w:rsidR="00DA3221" w:rsidRPr="00207EF1">
        <w:rPr>
          <w:sz w:val="16"/>
          <w:szCs w:val="22"/>
        </w:rPr>
        <w:t xml:space="preserve"> </w:t>
      </w:r>
      <w:r w:rsidRPr="00207EF1">
        <w:rPr>
          <w:i/>
          <w:sz w:val="16"/>
          <w:szCs w:val="22"/>
        </w:rPr>
        <w:t xml:space="preserve">The </w:t>
      </w:r>
      <w:r w:rsidR="00DA3221" w:rsidRPr="00207EF1">
        <w:rPr>
          <w:i/>
          <w:sz w:val="16"/>
          <w:szCs w:val="22"/>
        </w:rPr>
        <w:t>Needs</w:t>
      </w:r>
      <w:r w:rsidRPr="00207EF1">
        <w:rPr>
          <w:i/>
          <w:sz w:val="16"/>
          <w:szCs w:val="22"/>
        </w:rPr>
        <w:t xml:space="preserve"> of LGBTIQ </w:t>
      </w:r>
      <w:r w:rsidR="00DA3221" w:rsidRPr="00207EF1">
        <w:rPr>
          <w:i/>
          <w:sz w:val="16"/>
          <w:szCs w:val="22"/>
        </w:rPr>
        <w:t>Young People</w:t>
      </w:r>
      <w:r w:rsidRPr="00207EF1">
        <w:rPr>
          <w:i/>
          <w:sz w:val="16"/>
          <w:szCs w:val="22"/>
        </w:rPr>
        <w:t xml:space="preserve"> in </w:t>
      </w:r>
      <w:r w:rsidR="00DA3221" w:rsidRPr="00207EF1">
        <w:rPr>
          <w:i/>
          <w:sz w:val="16"/>
          <w:szCs w:val="22"/>
        </w:rPr>
        <w:t>Out</w:t>
      </w:r>
      <w:r w:rsidRPr="00207EF1">
        <w:rPr>
          <w:i/>
          <w:sz w:val="16"/>
          <w:szCs w:val="22"/>
        </w:rPr>
        <w:t xml:space="preserve"> of </w:t>
      </w:r>
      <w:r w:rsidR="00DA3221" w:rsidRPr="00207EF1">
        <w:rPr>
          <w:i/>
          <w:sz w:val="16"/>
          <w:szCs w:val="22"/>
        </w:rPr>
        <w:t>Home Care</w:t>
      </w:r>
      <w:r w:rsidR="00DE0E10" w:rsidRPr="00207EF1">
        <w:rPr>
          <w:sz w:val="16"/>
          <w:szCs w:val="22"/>
        </w:rPr>
        <w:t>,</w:t>
      </w:r>
      <w:r w:rsidRPr="00207EF1">
        <w:rPr>
          <w:sz w:val="16"/>
          <w:szCs w:val="22"/>
        </w:rPr>
        <w:t xml:space="preserve"> Australian Childhood Foundation and Southern Cross University</w:t>
      </w:r>
      <w:r w:rsidR="00B603E9" w:rsidRPr="00207EF1">
        <w:rPr>
          <w:sz w:val="16"/>
          <w:szCs w:val="22"/>
        </w:rPr>
        <w:t>, 2019</w:t>
      </w:r>
      <w:r w:rsidR="00DA3221" w:rsidRPr="00207EF1">
        <w:rPr>
          <w:sz w:val="16"/>
          <w:szCs w:val="22"/>
        </w:rPr>
        <w:t>.</w:t>
      </w:r>
      <w:r w:rsidRPr="00207EF1">
        <w:rPr>
          <w:sz w:val="16"/>
          <w:szCs w:val="22"/>
        </w:rPr>
        <w:t xml:space="preserve"> </w:t>
      </w:r>
      <w:hyperlink r:id="rId47" w:history="1">
        <w:r w:rsidR="00DA3221" w:rsidRPr="00207EF1">
          <w:rPr>
            <w:rStyle w:val="Hyperlink"/>
            <w:sz w:val="16"/>
            <w:szCs w:val="22"/>
          </w:rPr>
          <w:t>https://www.cetc.org.au/the-needs-of-lgbtiq-young-people-in-out-of-home-care-research-brief/</w:t>
        </w:r>
      </w:hyperlink>
      <w:r w:rsidR="00DA3221" w:rsidRPr="00207EF1">
        <w:rPr>
          <w:sz w:val="16"/>
          <w:szCs w:val="22"/>
        </w:rPr>
        <w:t xml:space="preserve"> </w:t>
      </w:r>
    </w:p>
  </w:footnote>
  <w:footnote w:id="250">
    <w:p w14:paraId="5663DAA8" w14:textId="4AC8DBC2" w:rsidR="00E42815" w:rsidRPr="00207EF1" w:rsidRDefault="00E42815" w:rsidP="00E42815">
      <w:pPr>
        <w:pStyle w:val="FootnoteText"/>
        <w:rPr>
          <w:sz w:val="16"/>
          <w:szCs w:val="22"/>
          <w:lang w:val="en-US"/>
        </w:rPr>
      </w:pPr>
      <w:r w:rsidRPr="00207EF1">
        <w:rPr>
          <w:rStyle w:val="FootnoteReference"/>
          <w:sz w:val="16"/>
          <w:szCs w:val="22"/>
        </w:rPr>
        <w:footnoteRef/>
      </w:r>
      <w:r w:rsidRPr="00207EF1">
        <w:rPr>
          <w:sz w:val="16"/>
          <w:szCs w:val="22"/>
        </w:rPr>
        <w:t xml:space="preserve"> </w:t>
      </w:r>
      <w:r w:rsidR="00E00270" w:rsidRPr="00207EF1">
        <w:rPr>
          <w:sz w:val="16"/>
          <w:szCs w:val="22"/>
        </w:rPr>
        <w:t xml:space="preserve">Alvarez, Parra, ten Brummelaar, Avraamidou, and Lopez, "Resilience among LGBTQIA+ youth in out-of-home care.”  </w:t>
      </w:r>
    </w:p>
  </w:footnote>
  <w:footnote w:id="251">
    <w:p w14:paraId="0D864212" w14:textId="2C2CC2E1" w:rsidR="00496DB8" w:rsidRPr="00207EF1" w:rsidRDefault="00496DB8" w:rsidP="00043E67">
      <w:pPr>
        <w:pStyle w:val="FootnoteText"/>
        <w:spacing w:after="0"/>
        <w:rPr>
          <w:sz w:val="16"/>
          <w:szCs w:val="22"/>
          <w:lang w:val="en-US"/>
        </w:rPr>
      </w:pPr>
      <w:r w:rsidRPr="00207EF1">
        <w:rPr>
          <w:rStyle w:val="FootnoteReference"/>
          <w:sz w:val="16"/>
          <w:szCs w:val="22"/>
        </w:rPr>
        <w:footnoteRef/>
      </w:r>
      <w:r w:rsidRPr="00207EF1">
        <w:rPr>
          <w:sz w:val="16"/>
          <w:szCs w:val="22"/>
        </w:rPr>
        <w:t xml:space="preserve"> </w:t>
      </w:r>
      <w:r w:rsidR="00976C6C" w:rsidRPr="00207EF1">
        <w:rPr>
          <w:sz w:val="16"/>
          <w:szCs w:val="22"/>
        </w:rPr>
        <w:t>Alvarez, Parra, ten Brummelaar, Avraamidou, and Lopez, "Resilience among LGBTQIA+ youth in out-of-home care."</w:t>
      </w:r>
    </w:p>
  </w:footnote>
  <w:footnote w:id="252">
    <w:p w14:paraId="4A951666" w14:textId="306CA203" w:rsidR="008E013A" w:rsidRPr="00207EF1" w:rsidRDefault="008E013A" w:rsidP="00043E67">
      <w:pPr>
        <w:pStyle w:val="FootnoteText"/>
        <w:spacing w:before="0" w:after="0" w:line="240" w:lineRule="auto"/>
        <w:rPr>
          <w:sz w:val="16"/>
          <w:szCs w:val="22"/>
        </w:rPr>
      </w:pPr>
    </w:p>
  </w:footnote>
  <w:footnote w:id="253">
    <w:p w14:paraId="548921A4" w14:textId="15EC4E3B" w:rsidR="008E013A" w:rsidRPr="00207EF1" w:rsidRDefault="008E013A" w:rsidP="00043E67">
      <w:pPr>
        <w:pStyle w:val="FootnoteText"/>
        <w:spacing w:before="0" w:after="0" w:line="240" w:lineRule="auto"/>
        <w:rPr>
          <w:sz w:val="16"/>
          <w:szCs w:val="22"/>
        </w:rPr>
      </w:pPr>
    </w:p>
  </w:footnote>
  <w:footnote w:id="254">
    <w:p w14:paraId="39C2E7B6" w14:textId="10940E5C" w:rsidR="00B905A9" w:rsidRPr="00B905A9" w:rsidRDefault="00B905A9">
      <w:pPr>
        <w:pStyle w:val="FootnoteText"/>
        <w:rPr>
          <w:lang w:val="en-US"/>
        </w:rPr>
      </w:pPr>
      <w:r>
        <w:rPr>
          <w:rStyle w:val="FootnoteReference"/>
        </w:rPr>
        <w:footnoteRef/>
      </w:r>
      <w:r>
        <w:t xml:space="preserve"> National Mental Health Commission 20</w:t>
      </w:r>
      <w:r w:rsidR="00A0448B">
        <w:t xml:space="preserve">23, </w:t>
      </w:r>
      <w:r w:rsidR="00A0448B">
        <w:rPr>
          <w:i/>
          <w:iCs/>
        </w:rPr>
        <w:t xml:space="preserve">National Stigma and Discrimination Reduction Strategy, </w:t>
      </w:r>
      <w:hyperlink r:id="rId48" w:history="1">
        <w:r w:rsidR="00CE2583" w:rsidRPr="006F5223">
          <w:rPr>
            <w:rStyle w:val="Hyperlink"/>
          </w:rPr>
          <w:t>https://www.mentalhealthcommission.gov.au/Projects/stigma-and-discrimination-reduction-strategy</w:t>
        </w:r>
      </w:hyperlink>
      <w:r w:rsidR="00CE2583">
        <w:t xml:space="preserve"> </w:t>
      </w:r>
    </w:p>
  </w:footnote>
  <w:footnote w:id="255">
    <w:p w14:paraId="2BDC8192" w14:textId="7FB782E1" w:rsidR="008E013A" w:rsidRPr="00F535C3" w:rsidRDefault="008E013A" w:rsidP="008E013A">
      <w:pPr>
        <w:pStyle w:val="FootnoteText"/>
      </w:pPr>
    </w:p>
  </w:footnote>
  <w:footnote w:id="256">
    <w:p w14:paraId="3F75A065" w14:textId="00E4E058" w:rsidR="004604F9" w:rsidRPr="00624A03" w:rsidRDefault="004604F9" w:rsidP="004604F9">
      <w:pPr>
        <w:pStyle w:val="FootnoteText"/>
        <w:rPr>
          <w:szCs w:val="15"/>
        </w:rPr>
      </w:pPr>
      <w:r w:rsidRPr="006D6E17">
        <w:rPr>
          <w:rStyle w:val="FootnoteReference"/>
          <w:szCs w:val="15"/>
        </w:rPr>
        <w:footnoteRef/>
      </w:r>
      <w:r w:rsidRPr="00624A03">
        <w:rPr>
          <w:szCs w:val="15"/>
        </w:rPr>
        <w:t xml:space="preserve"> </w:t>
      </w:r>
      <w:r w:rsidR="00387F84" w:rsidRPr="00624A03">
        <w:rPr>
          <w:rFonts w:eastAsia="Times New Roman" w:cs="Arial"/>
          <w:szCs w:val="15"/>
          <w:lang w:eastAsia="en-AU"/>
        </w:rPr>
        <w:t>Julia Taylor</w:t>
      </w:r>
      <w:r w:rsidR="009D3F2F" w:rsidRPr="00624A03">
        <w:rPr>
          <w:rFonts w:eastAsia="Times New Roman" w:cs="Arial"/>
          <w:szCs w:val="15"/>
          <w:lang w:eastAsia="en-AU"/>
        </w:rPr>
        <w:t xml:space="preserve">, </w:t>
      </w:r>
      <w:r w:rsidR="00387F84" w:rsidRPr="00624A03">
        <w:rPr>
          <w:rFonts w:eastAsia="Times New Roman" w:cs="Arial"/>
          <w:szCs w:val="15"/>
          <w:lang w:eastAsia="en-AU"/>
        </w:rPr>
        <w:t xml:space="preserve">Jennifer </w:t>
      </w:r>
      <w:r w:rsidR="009D3F2F" w:rsidRPr="00624A03">
        <w:rPr>
          <w:rFonts w:eastAsia="Times New Roman" w:cs="Arial"/>
          <w:szCs w:val="15"/>
          <w:lang w:eastAsia="en-AU"/>
        </w:rPr>
        <w:t xml:space="preserve">Power, &amp; </w:t>
      </w:r>
      <w:r w:rsidR="00387F84" w:rsidRPr="00624A03">
        <w:rPr>
          <w:rFonts w:eastAsia="Times New Roman" w:cs="Arial"/>
          <w:szCs w:val="15"/>
          <w:lang w:eastAsia="en-AU"/>
        </w:rPr>
        <w:t xml:space="preserve">Elizabeth </w:t>
      </w:r>
      <w:r w:rsidR="009D3F2F" w:rsidRPr="00624A03">
        <w:rPr>
          <w:rFonts w:eastAsia="Times New Roman" w:cs="Arial"/>
          <w:szCs w:val="15"/>
          <w:lang w:eastAsia="en-AU"/>
        </w:rPr>
        <w:t>Smith</w:t>
      </w:r>
      <w:r w:rsidR="00387F84" w:rsidRPr="00624A03">
        <w:rPr>
          <w:rFonts w:eastAsia="Times New Roman" w:cs="Arial"/>
          <w:szCs w:val="15"/>
          <w:lang w:eastAsia="en-AU"/>
        </w:rPr>
        <w:t>,</w:t>
      </w:r>
      <w:r w:rsidR="009D3F2F" w:rsidRPr="00624A03">
        <w:rPr>
          <w:rFonts w:eastAsia="Times New Roman" w:cs="Arial"/>
          <w:szCs w:val="15"/>
          <w:lang w:eastAsia="en-AU"/>
        </w:rPr>
        <w:t xml:space="preserve"> </w:t>
      </w:r>
      <w:r w:rsidR="00387F84" w:rsidRPr="00624A03">
        <w:rPr>
          <w:rFonts w:eastAsia="Times New Roman" w:cs="Arial"/>
          <w:szCs w:val="15"/>
          <w:lang w:eastAsia="en-AU"/>
        </w:rPr>
        <w:t>”</w:t>
      </w:r>
      <w:r w:rsidR="009D3F2F" w:rsidRPr="00624A03">
        <w:rPr>
          <w:rFonts w:eastAsia="Times New Roman" w:cs="Arial"/>
          <w:szCs w:val="15"/>
          <w:lang w:eastAsia="en-AU"/>
        </w:rPr>
        <w:t>Bisexuals’ Experiences of Mental Health Services: Findings from the Who I Am Study</w:t>
      </w:r>
      <w:r w:rsidR="00387F84" w:rsidRPr="00624A03">
        <w:rPr>
          <w:rFonts w:eastAsia="Times New Roman" w:cs="Arial"/>
          <w:szCs w:val="15"/>
          <w:lang w:eastAsia="en-AU"/>
        </w:rPr>
        <w:t>”,</w:t>
      </w:r>
      <w:r w:rsidR="009D3F2F" w:rsidRPr="00624A03">
        <w:rPr>
          <w:rFonts w:eastAsia="Times New Roman" w:cs="Arial"/>
          <w:szCs w:val="15"/>
          <w:lang w:eastAsia="en-AU"/>
        </w:rPr>
        <w:t xml:space="preserve"> </w:t>
      </w:r>
      <w:r w:rsidR="009D3F2F" w:rsidRPr="00624A03">
        <w:rPr>
          <w:rFonts w:eastAsia="Times New Roman" w:cs="Arial"/>
          <w:i/>
          <w:iCs/>
          <w:szCs w:val="15"/>
          <w:lang w:eastAsia="en-AU"/>
        </w:rPr>
        <w:t>Sexuality Research &amp; Social Policy</w:t>
      </w:r>
      <w:r w:rsidR="009D3F2F" w:rsidRPr="00624A03">
        <w:rPr>
          <w:rFonts w:eastAsia="Times New Roman" w:cs="Arial"/>
          <w:szCs w:val="15"/>
          <w:lang w:eastAsia="en-AU"/>
        </w:rPr>
        <w:t xml:space="preserve">, </w:t>
      </w:r>
      <w:r w:rsidR="00387F84" w:rsidRPr="00624A03">
        <w:rPr>
          <w:rFonts w:eastAsia="Times New Roman" w:cs="Arial"/>
          <w:szCs w:val="15"/>
          <w:lang w:eastAsia="en-AU"/>
        </w:rPr>
        <w:t xml:space="preserve">vol. </w:t>
      </w:r>
      <w:r w:rsidR="009D3F2F" w:rsidRPr="00624A03">
        <w:rPr>
          <w:rFonts w:eastAsia="Times New Roman" w:cs="Arial"/>
          <w:szCs w:val="15"/>
          <w:lang w:eastAsia="en-AU"/>
        </w:rPr>
        <w:t>18</w:t>
      </w:r>
      <w:r w:rsidR="00387F84" w:rsidRPr="00624A03">
        <w:rPr>
          <w:rFonts w:eastAsia="Times New Roman" w:cs="Arial"/>
          <w:szCs w:val="15"/>
          <w:lang w:eastAsia="en-AU"/>
        </w:rPr>
        <w:t xml:space="preserve"> (2021) </w:t>
      </w:r>
      <w:r w:rsidR="009D3F2F" w:rsidRPr="00624A03">
        <w:rPr>
          <w:rFonts w:eastAsia="Times New Roman" w:cs="Arial"/>
          <w:szCs w:val="15"/>
          <w:lang w:eastAsia="en-AU"/>
        </w:rPr>
        <w:t>27–38.</w:t>
      </w:r>
    </w:p>
  </w:footnote>
  <w:footnote w:id="257">
    <w:p w14:paraId="1E971185" w14:textId="55D1C860" w:rsidR="004604F9" w:rsidRPr="00624A03" w:rsidRDefault="004604F9" w:rsidP="004604F9">
      <w:pPr>
        <w:pStyle w:val="FootnoteText"/>
        <w:rPr>
          <w:szCs w:val="15"/>
        </w:rPr>
      </w:pPr>
      <w:r w:rsidRPr="006D6E17">
        <w:rPr>
          <w:rStyle w:val="FootnoteReference"/>
          <w:szCs w:val="15"/>
        </w:rPr>
        <w:footnoteRef/>
      </w:r>
      <w:r w:rsidRPr="00624A03">
        <w:rPr>
          <w:szCs w:val="15"/>
        </w:rPr>
        <w:t xml:space="preserve"> </w:t>
      </w:r>
      <w:r w:rsidR="00B10D80" w:rsidRPr="00624A03">
        <w:rPr>
          <w:szCs w:val="15"/>
        </w:rPr>
        <w:t xml:space="preserve">Ruth </w:t>
      </w:r>
      <w:r w:rsidR="00DE6361" w:rsidRPr="00624A03">
        <w:rPr>
          <w:rFonts w:eastAsia="Times New Roman" w:cs="Arial"/>
          <w:szCs w:val="15"/>
          <w:lang w:eastAsia="en-AU"/>
        </w:rPr>
        <w:t xml:space="preserve">McNair &amp; </w:t>
      </w:r>
      <w:r w:rsidR="00B10D80" w:rsidRPr="00624A03">
        <w:rPr>
          <w:rFonts w:eastAsia="Times New Roman" w:cs="Arial"/>
          <w:szCs w:val="15"/>
          <w:lang w:eastAsia="en-AU"/>
        </w:rPr>
        <w:t xml:space="preserve">Rachel </w:t>
      </w:r>
      <w:r w:rsidR="00DE6361" w:rsidRPr="00624A03">
        <w:rPr>
          <w:rFonts w:eastAsia="Times New Roman" w:cs="Arial"/>
          <w:szCs w:val="15"/>
          <w:lang w:eastAsia="en-AU"/>
        </w:rPr>
        <w:t>Bush</w:t>
      </w:r>
      <w:r w:rsidR="00B10D80" w:rsidRPr="00624A03">
        <w:rPr>
          <w:rFonts w:eastAsia="Times New Roman" w:cs="Arial"/>
          <w:szCs w:val="15"/>
          <w:lang w:eastAsia="en-AU"/>
        </w:rPr>
        <w:t>,</w:t>
      </w:r>
      <w:r w:rsidR="00DE6361" w:rsidRPr="00624A03">
        <w:rPr>
          <w:rFonts w:eastAsia="Times New Roman" w:cs="Arial"/>
          <w:szCs w:val="15"/>
          <w:lang w:eastAsia="en-AU"/>
        </w:rPr>
        <w:t xml:space="preserve"> </w:t>
      </w:r>
      <w:r w:rsidR="00C12151" w:rsidRPr="00624A03">
        <w:rPr>
          <w:rFonts w:eastAsia="Times New Roman" w:cs="Arial"/>
          <w:szCs w:val="15"/>
          <w:lang w:eastAsia="en-AU"/>
        </w:rPr>
        <w:t>”</w:t>
      </w:r>
      <w:r w:rsidR="00DE6361" w:rsidRPr="00624A03">
        <w:rPr>
          <w:rFonts w:eastAsia="Times New Roman" w:cs="Arial"/>
          <w:szCs w:val="15"/>
          <w:lang w:eastAsia="en-AU"/>
        </w:rPr>
        <w:t>Mental health help seeking patterns and associations among Australian same sex attracted women, trans and gender diverse people: a survey-based stud</w:t>
      </w:r>
      <w:r w:rsidR="00C12151" w:rsidRPr="00624A03">
        <w:rPr>
          <w:rFonts w:eastAsia="Times New Roman" w:cs="Arial"/>
          <w:szCs w:val="15"/>
          <w:lang w:eastAsia="en-AU"/>
        </w:rPr>
        <w:t>y”,</w:t>
      </w:r>
      <w:r w:rsidR="00DE6361" w:rsidRPr="00624A03">
        <w:rPr>
          <w:rFonts w:eastAsia="Times New Roman" w:cs="Arial"/>
          <w:szCs w:val="15"/>
          <w:lang w:eastAsia="en-AU"/>
        </w:rPr>
        <w:t xml:space="preserve"> </w:t>
      </w:r>
      <w:r w:rsidR="00DE6361" w:rsidRPr="00624A03">
        <w:rPr>
          <w:rFonts w:eastAsia="Times New Roman" w:cs="Arial"/>
          <w:i/>
          <w:iCs/>
          <w:szCs w:val="15"/>
          <w:lang w:eastAsia="en-AU"/>
        </w:rPr>
        <w:t>BMC Psychiatry</w:t>
      </w:r>
      <w:r w:rsidR="00DE6361" w:rsidRPr="00624A03">
        <w:rPr>
          <w:rFonts w:eastAsia="Times New Roman" w:cs="Arial"/>
          <w:szCs w:val="15"/>
          <w:lang w:eastAsia="en-AU"/>
        </w:rPr>
        <w:t xml:space="preserve">, </w:t>
      </w:r>
      <w:r w:rsidR="00C12151" w:rsidRPr="00624A03">
        <w:rPr>
          <w:rFonts w:eastAsia="Times New Roman" w:cs="Arial"/>
          <w:szCs w:val="15"/>
          <w:lang w:eastAsia="en-AU"/>
        </w:rPr>
        <w:t xml:space="preserve">vol. </w:t>
      </w:r>
      <w:r w:rsidR="00DE6361" w:rsidRPr="00624A03">
        <w:rPr>
          <w:rFonts w:eastAsia="Times New Roman" w:cs="Arial"/>
          <w:szCs w:val="15"/>
          <w:lang w:eastAsia="en-AU"/>
        </w:rPr>
        <w:t>16</w:t>
      </w:r>
      <w:r w:rsidR="00C12151" w:rsidRPr="00624A03">
        <w:rPr>
          <w:rFonts w:eastAsia="Times New Roman" w:cs="Arial"/>
          <w:szCs w:val="15"/>
          <w:lang w:eastAsia="en-AU"/>
        </w:rPr>
        <w:t xml:space="preserve"> (2016)</w:t>
      </w:r>
      <w:r w:rsidR="00DE6361" w:rsidRPr="00624A03">
        <w:rPr>
          <w:rFonts w:eastAsia="Times New Roman" w:cs="Arial"/>
          <w:szCs w:val="15"/>
          <w:lang w:eastAsia="en-AU"/>
        </w:rPr>
        <w:t xml:space="preserve"> 209–209.</w:t>
      </w:r>
    </w:p>
  </w:footnote>
  <w:footnote w:id="258">
    <w:p w14:paraId="2487D217" w14:textId="0A193771" w:rsidR="004604F9" w:rsidRPr="00624A03" w:rsidRDefault="004604F9" w:rsidP="00BA4DA2">
      <w:pPr>
        <w:pStyle w:val="FootnoteText"/>
      </w:pPr>
      <w:r w:rsidRPr="006D6E17">
        <w:rPr>
          <w:rStyle w:val="FootnoteReference"/>
          <w:szCs w:val="15"/>
        </w:rPr>
        <w:footnoteRef/>
      </w:r>
      <w:r w:rsidRPr="00624A03">
        <w:rPr>
          <w:szCs w:val="15"/>
        </w:rPr>
        <w:t xml:space="preserve"> </w:t>
      </w:r>
      <w:r w:rsidRPr="00624A03">
        <w:rPr>
          <w:rFonts w:eastAsia="Times New Roman" w:cs="Arial"/>
          <w:szCs w:val="15"/>
          <w:lang w:eastAsia="en-AU"/>
        </w:rPr>
        <w:t>Hill et al., 2021</w:t>
      </w:r>
      <w:r w:rsidR="00BA4DA2" w:rsidRPr="00624A03">
        <w:rPr>
          <w:rFonts w:eastAsia="Times New Roman" w:cs="Arial"/>
          <w:szCs w:val="15"/>
          <w:lang w:eastAsia="en-AU"/>
        </w:rPr>
        <w:t xml:space="preserve">, </w:t>
      </w:r>
    </w:p>
  </w:footnote>
  <w:footnote w:id="259">
    <w:p w14:paraId="09938DBB" w14:textId="411B5F82" w:rsidR="004604F9" w:rsidRPr="00624A03" w:rsidRDefault="004604F9" w:rsidP="00D95D04">
      <w:pPr>
        <w:pStyle w:val="FootnoteText"/>
        <w:rPr>
          <w:rFonts w:cs="Arial"/>
          <w:szCs w:val="15"/>
        </w:rPr>
      </w:pPr>
      <w:r w:rsidRPr="006D6E17">
        <w:rPr>
          <w:rStyle w:val="FootnoteReference"/>
          <w:rFonts w:cs="Arial"/>
          <w:szCs w:val="15"/>
        </w:rPr>
        <w:footnoteRef/>
      </w:r>
      <w:r w:rsidRPr="00624A03">
        <w:rPr>
          <w:rFonts w:cs="Arial"/>
          <w:szCs w:val="15"/>
        </w:rPr>
        <w:t xml:space="preserve"> </w:t>
      </w:r>
      <w:r w:rsidR="00D95D04" w:rsidRPr="00D95D04">
        <w:rPr>
          <w:rFonts w:eastAsia="Times New Roman" w:cs="Arial"/>
          <w:szCs w:val="15"/>
          <w:lang w:eastAsia="en-AU"/>
        </w:rPr>
        <w:t xml:space="preserve">Collective Action (2023). The role of LGBTIQA+ peer-led services in meeting the health needs of LGBTIQA+ people in Australia. </w:t>
      </w:r>
      <w:r w:rsidR="00D95D04" w:rsidRPr="00624A03">
        <w:rPr>
          <w:rFonts w:eastAsia="Times New Roman" w:cs="Arial"/>
          <w:szCs w:val="15"/>
          <w:lang w:eastAsia="en-AU"/>
        </w:rPr>
        <w:t>Meridian</w:t>
      </w:r>
    </w:p>
  </w:footnote>
  <w:footnote w:id="260">
    <w:p w14:paraId="7CB0FC72" w14:textId="645E20B2"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137844" w:rsidRPr="00624A03">
        <w:rPr>
          <w:rFonts w:eastAsia="Times New Roman" w:cs="Arial"/>
          <w:szCs w:val="15"/>
          <w:lang w:eastAsia="en-AU"/>
        </w:rPr>
        <w:t xml:space="preserve">Hill et al., 2021, </w:t>
      </w:r>
    </w:p>
  </w:footnote>
  <w:footnote w:id="261">
    <w:p w14:paraId="2CD1A67D" w14:textId="32BD4099" w:rsidR="004604F9" w:rsidRPr="00624A03" w:rsidRDefault="004604F9" w:rsidP="00ED167C">
      <w:pPr>
        <w:pStyle w:val="FootnoteText"/>
        <w:rPr>
          <w:rFonts w:cs="Arial"/>
          <w:szCs w:val="15"/>
        </w:rPr>
      </w:pPr>
      <w:r w:rsidRPr="006D6E17">
        <w:rPr>
          <w:rStyle w:val="FootnoteReference"/>
          <w:rFonts w:cs="Arial"/>
          <w:szCs w:val="15"/>
        </w:rPr>
        <w:footnoteRef/>
      </w:r>
      <w:r w:rsidRPr="00624A03">
        <w:rPr>
          <w:rFonts w:cs="Arial"/>
          <w:szCs w:val="15"/>
        </w:rPr>
        <w:t xml:space="preserve"> </w:t>
      </w:r>
      <w:r w:rsidR="00ED167C" w:rsidRPr="00ED167C">
        <w:rPr>
          <w:rFonts w:eastAsia="Times New Roman" w:cs="Arial"/>
          <w:szCs w:val="15"/>
          <w:lang w:eastAsia="en-AU"/>
        </w:rPr>
        <w:t>Brener, L., Broady, T., Cama, E., &amp; Treloar, C</w:t>
      </w:r>
      <w:r w:rsidR="00ED167C">
        <w:rPr>
          <w:rFonts w:eastAsia="Times New Roman" w:cs="Arial"/>
          <w:szCs w:val="15"/>
          <w:lang w:eastAsia="en-AU"/>
        </w:rPr>
        <w:t>,</w:t>
      </w:r>
      <w:r w:rsidR="00ED167C" w:rsidRPr="00ED167C">
        <w:rPr>
          <w:rFonts w:eastAsia="Times New Roman" w:cs="Arial"/>
          <w:szCs w:val="15"/>
          <w:lang w:eastAsia="en-AU"/>
        </w:rPr>
        <w:t xml:space="preserve"> </w:t>
      </w:r>
      <w:r w:rsidR="00ED167C">
        <w:rPr>
          <w:rFonts w:eastAsia="Times New Roman" w:cs="Arial"/>
          <w:szCs w:val="15"/>
          <w:lang w:eastAsia="en-AU"/>
        </w:rPr>
        <w:t>“</w:t>
      </w:r>
      <w:r w:rsidR="00ED167C" w:rsidRPr="00ED167C">
        <w:rPr>
          <w:rFonts w:eastAsia="Times New Roman" w:cs="Arial"/>
          <w:szCs w:val="15"/>
          <w:lang w:eastAsia="en-AU"/>
        </w:rPr>
        <w:t>The impact of sources of stigma on health care avoidance among gay and bisexual men in Australia</w:t>
      </w:r>
      <w:r w:rsidR="00ED167C">
        <w:rPr>
          <w:rFonts w:eastAsia="Times New Roman" w:cs="Arial"/>
          <w:szCs w:val="15"/>
          <w:lang w:eastAsia="en-AU"/>
        </w:rPr>
        <w:t>”</w:t>
      </w:r>
      <w:r w:rsidR="00ED167C" w:rsidRPr="00ED167C">
        <w:rPr>
          <w:rFonts w:eastAsia="Times New Roman" w:cs="Arial"/>
          <w:szCs w:val="15"/>
          <w:lang w:eastAsia="en-AU"/>
        </w:rPr>
        <w:t xml:space="preserve">. </w:t>
      </w:r>
      <w:r w:rsidR="00ED167C" w:rsidRPr="00ED167C">
        <w:rPr>
          <w:rFonts w:eastAsia="Times New Roman" w:cs="Arial"/>
          <w:i/>
          <w:iCs/>
          <w:szCs w:val="15"/>
          <w:lang w:eastAsia="en-AU"/>
        </w:rPr>
        <w:t xml:space="preserve">AIDS Care, </w:t>
      </w:r>
      <w:r w:rsidR="00ED167C">
        <w:rPr>
          <w:rFonts w:eastAsia="Times New Roman" w:cs="Arial"/>
          <w:szCs w:val="15"/>
          <w:lang w:eastAsia="en-AU"/>
        </w:rPr>
        <w:t xml:space="preserve">vol. </w:t>
      </w:r>
      <w:r w:rsidR="00ED167C" w:rsidRPr="00ED167C">
        <w:rPr>
          <w:rFonts w:eastAsia="Times New Roman" w:cs="Arial"/>
          <w:szCs w:val="15"/>
          <w:lang w:eastAsia="en-AU"/>
        </w:rPr>
        <w:t xml:space="preserve">35 </w:t>
      </w:r>
      <w:r w:rsidR="00ED167C">
        <w:rPr>
          <w:rFonts w:eastAsia="Times New Roman" w:cs="Arial"/>
          <w:szCs w:val="15"/>
          <w:lang w:eastAsia="en-AU"/>
        </w:rPr>
        <w:t>(2023) p.</w:t>
      </w:r>
      <w:r w:rsidR="00ED167C" w:rsidRPr="00ED167C">
        <w:rPr>
          <w:rFonts w:eastAsia="Times New Roman" w:cs="Arial"/>
          <w:szCs w:val="15"/>
          <w:lang w:eastAsia="en-AU"/>
        </w:rPr>
        <w:t xml:space="preserve"> 663–671</w:t>
      </w:r>
    </w:p>
  </w:footnote>
  <w:footnote w:id="262">
    <w:p w14:paraId="01ECD3AB" w14:textId="2EC686DB" w:rsidR="004604F9" w:rsidRPr="00624A03" w:rsidRDefault="004604F9" w:rsidP="00755D0C">
      <w:pPr>
        <w:pStyle w:val="FootnoteText"/>
        <w:rPr>
          <w:rFonts w:cs="Arial"/>
          <w:szCs w:val="15"/>
        </w:rPr>
      </w:pPr>
      <w:r w:rsidRPr="006D6E17">
        <w:rPr>
          <w:rStyle w:val="FootnoteReference"/>
          <w:rFonts w:cs="Arial"/>
          <w:szCs w:val="15"/>
        </w:rPr>
        <w:footnoteRef/>
      </w:r>
      <w:r w:rsidRPr="00624A03">
        <w:rPr>
          <w:rFonts w:cs="Arial"/>
          <w:szCs w:val="15"/>
        </w:rPr>
        <w:t xml:space="preserve"> </w:t>
      </w:r>
      <w:r w:rsidR="00AE200F" w:rsidRPr="00624A03">
        <w:rPr>
          <w:rFonts w:cs="Arial"/>
          <w:szCs w:val="15"/>
        </w:rPr>
        <w:t xml:space="preserve">Jaco </w:t>
      </w:r>
      <w:r w:rsidRPr="00624A03">
        <w:rPr>
          <w:rFonts w:eastAsia="Times New Roman" w:cs="Arial"/>
          <w:szCs w:val="15"/>
          <w:lang w:eastAsia="en-AU"/>
        </w:rPr>
        <w:t>Erasmus</w:t>
      </w:r>
      <w:r w:rsidR="00AE200F" w:rsidRPr="00624A03">
        <w:rPr>
          <w:rFonts w:eastAsia="Times New Roman" w:cs="Arial"/>
          <w:szCs w:val="15"/>
          <w:lang w:eastAsia="en-AU"/>
        </w:rPr>
        <w:t>, Harjit Baggam and Fintan Harte, ”Assessing patient satisfaction with a multidisciplinary gender dysphoria clinic in Melbourne”,</w:t>
      </w:r>
      <w:r w:rsidR="00755D0C" w:rsidRPr="00755D0C">
        <w:rPr>
          <w:rFonts w:eastAsia="Times New Roman" w:cstheme="minorHAnsi"/>
          <w:i/>
          <w:iCs/>
          <w:sz w:val="22"/>
          <w:szCs w:val="22"/>
          <w:lang w:eastAsia="zh-CN"/>
        </w:rPr>
        <w:t xml:space="preserve"> </w:t>
      </w:r>
      <w:r w:rsidR="00755D0C" w:rsidRPr="00755D0C">
        <w:rPr>
          <w:rFonts w:eastAsia="Times New Roman" w:cs="Arial"/>
          <w:i/>
          <w:iCs/>
          <w:szCs w:val="15"/>
          <w:lang w:eastAsia="en-AU"/>
        </w:rPr>
        <w:t>Australasian Psychiatry : Bulletin of the Royal Australian and New Zealand College of Psychiatrists</w:t>
      </w:r>
      <w:r w:rsidR="00AE200F" w:rsidRPr="00624A03">
        <w:rPr>
          <w:rFonts w:eastAsia="Times New Roman" w:cs="Arial"/>
          <w:szCs w:val="15"/>
          <w:lang w:eastAsia="en-AU"/>
        </w:rPr>
        <w:t xml:space="preserve"> vol. 3</w:t>
      </w:r>
      <w:r w:rsidRPr="00624A03">
        <w:rPr>
          <w:rFonts w:eastAsia="Times New Roman" w:cs="Arial"/>
          <w:szCs w:val="15"/>
          <w:lang w:eastAsia="en-AU"/>
        </w:rPr>
        <w:t xml:space="preserve"> </w:t>
      </w:r>
      <w:r w:rsidR="00AE200F" w:rsidRPr="00624A03">
        <w:rPr>
          <w:rFonts w:eastAsia="Times New Roman" w:cs="Arial"/>
          <w:szCs w:val="15"/>
          <w:lang w:eastAsia="en-AU"/>
        </w:rPr>
        <w:t>(</w:t>
      </w:r>
      <w:r w:rsidRPr="00624A03">
        <w:rPr>
          <w:rFonts w:eastAsia="Times New Roman" w:cs="Arial"/>
          <w:szCs w:val="15"/>
          <w:lang w:eastAsia="en-AU"/>
        </w:rPr>
        <w:t>2015</w:t>
      </w:r>
      <w:r w:rsidR="00AE200F" w:rsidRPr="00624A03">
        <w:rPr>
          <w:rFonts w:eastAsia="Times New Roman" w:cs="Arial"/>
          <w:szCs w:val="15"/>
          <w:lang w:eastAsia="en-AU"/>
        </w:rPr>
        <w:t>)</w:t>
      </w:r>
    </w:p>
  </w:footnote>
  <w:footnote w:id="263">
    <w:p w14:paraId="7580FAD2" w14:textId="45953565" w:rsidR="004604F9" w:rsidRPr="00624A03" w:rsidRDefault="004604F9" w:rsidP="00FA2C1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324B0D" w:rsidRPr="00624A03">
        <w:rPr>
          <w:rFonts w:cs="Arial"/>
          <w:szCs w:val="15"/>
        </w:rPr>
        <w:t xml:space="preserve">Michelle A., </w:t>
      </w:r>
      <w:r w:rsidR="00FA2C19" w:rsidRPr="00FA2C19">
        <w:rPr>
          <w:rFonts w:eastAsia="Times New Roman" w:cs="Arial"/>
          <w:szCs w:val="15"/>
          <w:lang w:eastAsia="en-AU"/>
        </w:rPr>
        <w:t>Tollit</w:t>
      </w:r>
      <w:r w:rsidR="00324B0D">
        <w:rPr>
          <w:rFonts w:eastAsia="Times New Roman" w:cs="Arial"/>
          <w:szCs w:val="15"/>
          <w:lang w:eastAsia="en-AU"/>
        </w:rPr>
        <w:t xml:space="preserve">, Tamara </w:t>
      </w:r>
      <w:r w:rsidR="00FA2C19" w:rsidRPr="00FA2C19">
        <w:rPr>
          <w:rFonts w:eastAsia="Times New Roman" w:cs="Arial"/>
          <w:szCs w:val="15"/>
          <w:lang w:eastAsia="en-AU"/>
        </w:rPr>
        <w:t xml:space="preserve">May, </w:t>
      </w:r>
      <w:r w:rsidR="00625839">
        <w:rPr>
          <w:rFonts w:eastAsia="Times New Roman" w:cs="Arial"/>
          <w:szCs w:val="15"/>
          <w:lang w:eastAsia="en-AU"/>
        </w:rPr>
        <w:t>Tiba</w:t>
      </w:r>
      <w:r w:rsidR="00FA2C19" w:rsidRPr="00FA2C19">
        <w:rPr>
          <w:rFonts w:eastAsia="Times New Roman" w:cs="Arial"/>
          <w:szCs w:val="15"/>
          <w:lang w:eastAsia="en-AU"/>
        </w:rPr>
        <w:t xml:space="preserve"> Maloof,</w:t>
      </w:r>
      <w:r w:rsidR="00625839">
        <w:rPr>
          <w:rFonts w:eastAsia="Times New Roman" w:cs="Arial"/>
          <w:szCs w:val="15"/>
          <w:lang w:eastAsia="en-AU"/>
        </w:rPr>
        <w:t xml:space="preserve"> Michelle M. </w:t>
      </w:r>
      <w:r w:rsidR="00FA2C19" w:rsidRPr="00FA2C19">
        <w:rPr>
          <w:rFonts w:eastAsia="Times New Roman" w:cs="Arial"/>
          <w:szCs w:val="15"/>
          <w:lang w:eastAsia="en-AU"/>
        </w:rPr>
        <w:t>Telfer,</w:t>
      </w:r>
      <w:r w:rsidR="00625839">
        <w:rPr>
          <w:rFonts w:eastAsia="Times New Roman" w:cs="Arial"/>
          <w:szCs w:val="15"/>
          <w:lang w:eastAsia="en-AU"/>
        </w:rPr>
        <w:t xml:space="preserve"> Denise</w:t>
      </w:r>
      <w:r w:rsidR="00FA2C19" w:rsidRPr="00FA2C19">
        <w:rPr>
          <w:rFonts w:eastAsia="Times New Roman" w:cs="Arial"/>
          <w:szCs w:val="15"/>
          <w:lang w:eastAsia="en-AU"/>
        </w:rPr>
        <w:t xml:space="preserve"> Chew, </w:t>
      </w:r>
      <w:r w:rsidR="00625839">
        <w:rPr>
          <w:rFonts w:eastAsia="Times New Roman" w:cs="Arial"/>
          <w:szCs w:val="15"/>
          <w:lang w:eastAsia="en-AU"/>
        </w:rPr>
        <w:t>Melanie</w:t>
      </w:r>
      <w:r w:rsidR="00FA2C19" w:rsidRPr="00FA2C19">
        <w:rPr>
          <w:rFonts w:eastAsia="Times New Roman" w:cs="Arial"/>
          <w:szCs w:val="15"/>
          <w:lang w:eastAsia="en-AU"/>
        </w:rPr>
        <w:t xml:space="preserve"> Engel, &amp; </w:t>
      </w:r>
      <w:r w:rsidR="00625839">
        <w:rPr>
          <w:rFonts w:eastAsia="Times New Roman" w:cs="Arial"/>
          <w:szCs w:val="15"/>
          <w:lang w:eastAsia="en-AU"/>
        </w:rPr>
        <w:t xml:space="preserve">Ken </w:t>
      </w:r>
      <w:r w:rsidR="00FA2C19" w:rsidRPr="00FA2C19">
        <w:rPr>
          <w:rFonts w:eastAsia="Times New Roman" w:cs="Arial"/>
          <w:szCs w:val="15"/>
          <w:lang w:eastAsia="en-AU"/>
        </w:rPr>
        <w:t xml:space="preserve">Pang, </w:t>
      </w:r>
      <w:r w:rsidR="00625839">
        <w:rPr>
          <w:rFonts w:eastAsia="Times New Roman" w:cs="Arial"/>
          <w:szCs w:val="15"/>
          <w:lang w:eastAsia="en-AU"/>
        </w:rPr>
        <w:t>“</w:t>
      </w:r>
      <w:r w:rsidR="00FA2C19" w:rsidRPr="00FA2C19">
        <w:rPr>
          <w:rFonts w:eastAsia="Times New Roman" w:cs="Arial"/>
          <w:szCs w:val="15"/>
          <w:lang w:eastAsia="en-AU"/>
        </w:rPr>
        <w:t>The clinical profile of patients attending a large, Australian pediatric gender service: A 10-year review</w:t>
      </w:r>
      <w:r w:rsidR="00625839">
        <w:rPr>
          <w:rFonts w:eastAsia="Times New Roman" w:cs="Arial"/>
          <w:szCs w:val="15"/>
          <w:lang w:eastAsia="en-AU"/>
        </w:rPr>
        <w:t>”</w:t>
      </w:r>
      <w:r w:rsidR="003E7A86">
        <w:rPr>
          <w:rFonts w:eastAsia="Times New Roman" w:cs="Arial"/>
          <w:szCs w:val="15"/>
          <w:lang w:eastAsia="en-AU"/>
        </w:rPr>
        <w:t>,</w:t>
      </w:r>
      <w:r w:rsidR="00FA2C19" w:rsidRPr="00FA2C19">
        <w:rPr>
          <w:rFonts w:eastAsia="Times New Roman" w:cs="Arial"/>
          <w:szCs w:val="15"/>
          <w:lang w:eastAsia="en-AU"/>
        </w:rPr>
        <w:t xml:space="preserve"> </w:t>
      </w:r>
      <w:r w:rsidR="00FA2C19" w:rsidRPr="00FA2C19">
        <w:rPr>
          <w:rFonts w:eastAsia="Times New Roman" w:cs="Arial"/>
          <w:i/>
          <w:iCs/>
          <w:szCs w:val="15"/>
          <w:lang w:eastAsia="en-AU"/>
        </w:rPr>
        <w:t xml:space="preserve">International Journal of Transgender Health, </w:t>
      </w:r>
      <w:r w:rsidR="003E7A86">
        <w:rPr>
          <w:rFonts w:eastAsia="Times New Roman" w:cs="Arial"/>
          <w:szCs w:val="15"/>
          <w:lang w:eastAsia="en-AU"/>
        </w:rPr>
        <w:t>vol. 24 (2023)</w:t>
      </w:r>
    </w:p>
  </w:footnote>
  <w:footnote w:id="264">
    <w:p w14:paraId="702330DE" w14:textId="5D675386"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063725" w:rsidRPr="00624A03">
        <w:rPr>
          <w:rFonts w:eastAsia="Times New Roman" w:cs="Arial"/>
          <w:szCs w:val="15"/>
          <w:lang w:eastAsia="en-AU"/>
        </w:rPr>
        <w:t xml:space="preserve">Bep Uink, Jenny Dodd, Sian Bennett, Dameyon Bonson, Anne-Marie Eades, and Braden Hill, ”Confidence, practices and training needs of people working with Aboriginal and Torres Strait Islander LGBTIQ+ clients”, </w:t>
      </w:r>
      <w:r w:rsidR="008A7112" w:rsidRPr="00624A03">
        <w:rPr>
          <w:rFonts w:eastAsia="Times New Roman" w:cs="Arial"/>
          <w:i/>
          <w:iCs/>
          <w:szCs w:val="15"/>
          <w:lang w:eastAsia="en-AU"/>
        </w:rPr>
        <w:t xml:space="preserve">Culture, Health &amp; Sexuality, </w:t>
      </w:r>
      <w:r w:rsidR="008A7112" w:rsidRPr="00624A03">
        <w:rPr>
          <w:rFonts w:eastAsia="Times New Roman" w:cs="Arial"/>
          <w:szCs w:val="15"/>
          <w:lang w:eastAsia="en-AU"/>
        </w:rPr>
        <w:t>vol. 25 (2023)</w:t>
      </w:r>
    </w:p>
  </w:footnote>
  <w:footnote w:id="265">
    <w:p w14:paraId="111698AE" w14:textId="152383AD"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72161E" w:rsidRPr="00624A03">
        <w:rPr>
          <w:rFonts w:cs="Arial"/>
          <w:szCs w:val="15"/>
        </w:rPr>
        <w:t xml:space="preserve">Rosie Charter, Jane Ussher, Janette Perz and Kerry Robinson, ”Negotiating mental healt hamongst transgender parents in Australia”, </w:t>
      </w:r>
      <w:r w:rsidR="0072161E" w:rsidRPr="00624A03">
        <w:rPr>
          <w:rFonts w:cs="Arial"/>
          <w:i/>
          <w:iCs/>
          <w:szCs w:val="15"/>
        </w:rPr>
        <w:t xml:space="preserve">International Journal of Transgender Health, </w:t>
      </w:r>
      <w:r w:rsidR="0072161E" w:rsidRPr="00624A03">
        <w:rPr>
          <w:rFonts w:cs="Arial"/>
          <w:szCs w:val="15"/>
        </w:rPr>
        <w:t xml:space="preserve">vol. 23 (2022) </w:t>
      </w:r>
    </w:p>
  </w:footnote>
  <w:footnote w:id="266">
    <w:p w14:paraId="2AEC1192" w14:textId="77777777"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Pr="00624A03">
        <w:rPr>
          <w:rFonts w:eastAsia="Times New Roman" w:cs="Arial"/>
          <w:szCs w:val="15"/>
          <w:lang w:eastAsia="en-AU"/>
        </w:rPr>
        <w:t>Erasmus et al., 2015</w:t>
      </w:r>
    </w:p>
  </w:footnote>
  <w:footnote w:id="267">
    <w:p w14:paraId="3D6AD705" w14:textId="565F4293"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AD5FE2" w:rsidRPr="00624A03">
        <w:rPr>
          <w:rFonts w:eastAsia="Times New Roman" w:cs="Arial"/>
          <w:szCs w:val="15"/>
          <w:lang w:eastAsia="en-AU"/>
        </w:rPr>
        <w:t xml:space="preserve">Gene Lim, Andrea Waling, Anthony Lyons, Christopher pepping, Anna Brooks, and Adam Bourne, ”Trans and Gender-Diverse people’s experiences of crisis helpline services”, in </w:t>
      </w:r>
      <w:r w:rsidR="00AD5FE2" w:rsidRPr="00624A03">
        <w:rPr>
          <w:rFonts w:eastAsia="Times New Roman" w:cs="Arial"/>
          <w:i/>
          <w:iCs/>
          <w:szCs w:val="15"/>
          <w:lang w:eastAsia="en-AU"/>
        </w:rPr>
        <w:t xml:space="preserve">Health &amp; Social Care in the Community, </w:t>
      </w:r>
      <w:r w:rsidR="00AD5FE2" w:rsidRPr="00624A03">
        <w:rPr>
          <w:rFonts w:eastAsia="Times New Roman" w:cs="Arial"/>
          <w:szCs w:val="15"/>
          <w:lang w:eastAsia="en-AU"/>
        </w:rPr>
        <w:t>vol. 29 (</w:t>
      </w:r>
      <w:r w:rsidRPr="00624A03">
        <w:rPr>
          <w:rFonts w:eastAsia="Times New Roman" w:cs="Arial"/>
          <w:szCs w:val="15"/>
          <w:lang w:eastAsia="en-AU"/>
        </w:rPr>
        <w:t>2021</w:t>
      </w:r>
      <w:r w:rsidR="00AD5FE2" w:rsidRPr="00624A03">
        <w:rPr>
          <w:rFonts w:eastAsia="Times New Roman" w:cs="Arial"/>
          <w:szCs w:val="15"/>
          <w:lang w:eastAsia="en-AU"/>
        </w:rPr>
        <w:t>)</w:t>
      </w:r>
    </w:p>
  </w:footnote>
  <w:footnote w:id="268">
    <w:p w14:paraId="46C7B182" w14:textId="087FC182" w:rsidR="004604F9" w:rsidRPr="00624A03" w:rsidRDefault="004604F9" w:rsidP="004604F9">
      <w:pPr>
        <w:pStyle w:val="FootnoteText"/>
        <w:rPr>
          <w:rFonts w:cs="Arial"/>
          <w:b/>
          <w:szCs w:val="15"/>
        </w:rPr>
      </w:pPr>
      <w:r w:rsidRPr="006D6E17">
        <w:rPr>
          <w:rStyle w:val="FootnoteReference"/>
          <w:rFonts w:cs="Arial"/>
          <w:szCs w:val="15"/>
        </w:rPr>
        <w:footnoteRef/>
      </w:r>
      <w:r w:rsidRPr="00624A03">
        <w:rPr>
          <w:rFonts w:cs="Arial"/>
          <w:szCs w:val="15"/>
        </w:rPr>
        <w:t xml:space="preserve"> </w:t>
      </w:r>
      <w:r w:rsidR="00333FB8" w:rsidRPr="00624A03">
        <w:rPr>
          <w:rFonts w:eastAsia="Times New Roman" w:cs="Arial"/>
          <w:szCs w:val="15"/>
          <w:lang w:eastAsia="en-AU"/>
        </w:rPr>
        <w:t>Jennifer Martin, Meredith Butler, Anne Mudlowney and Gabriel Aleksandrs</w:t>
      </w:r>
      <w:r w:rsidR="009B110E" w:rsidRPr="00624A03">
        <w:rPr>
          <w:rFonts w:eastAsia="Times New Roman" w:cs="Arial"/>
          <w:szCs w:val="15"/>
          <w:lang w:eastAsia="en-AU"/>
        </w:rPr>
        <w:t xml:space="preserve">, ”Impacts of regulatory processes on the experiences of carers of people in LGBTQ communities living with mental illness or experiencing a mental health crisis”, </w:t>
      </w:r>
      <w:r w:rsidR="009B110E" w:rsidRPr="00624A03">
        <w:rPr>
          <w:rFonts w:eastAsia="Times New Roman" w:cs="Arial"/>
          <w:i/>
          <w:iCs/>
          <w:szCs w:val="15"/>
          <w:lang w:eastAsia="en-AU"/>
        </w:rPr>
        <w:t xml:space="preserve">Social Science &amp; Medicine, </w:t>
      </w:r>
      <w:r w:rsidR="009B110E" w:rsidRPr="00624A03">
        <w:rPr>
          <w:rFonts w:eastAsia="Times New Roman" w:cs="Arial"/>
          <w:szCs w:val="15"/>
          <w:lang w:eastAsia="en-AU"/>
        </w:rPr>
        <w:t>vol. 230 (</w:t>
      </w:r>
      <w:r w:rsidRPr="00624A03">
        <w:rPr>
          <w:rFonts w:eastAsia="Times New Roman" w:cs="Arial"/>
          <w:szCs w:val="15"/>
          <w:lang w:eastAsia="en-AU"/>
        </w:rPr>
        <w:t>2019b</w:t>
      </w:r>
      <w:r w:rsidR="00342882" w:rsidRPr="00624A03">
        <w:rPr>
          <w:rFonts w:eastAsia="Times New Roman" w:cs="Arial"/>
          <w:szCs w:val="15"/>
          <w:lang w:eastAsia="en-AU"/>
        </w:rPr>
        <w:t>)</w:t>
      </w:r>
    </w:p>
  </w:footnote>
  <w:footnote w:id="269">
    <w:p w14:paraId="75F1A822" w14:textId="1F947BFB"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DC2328" w:rsidRPr="00624A03">
        <w:rPr>
          <w:rFonts w:eastAsia="Times New Roman" w:cs="Arial"/>
          <w:szCs w:val="15"/>
          <w:lang w:eastAsia="en-AU"/>
        </w:rPr>
        <w:t>Robert Elliott, Arthur Bohart, Jeanne Watson, and David Murphy</w:t>
      </w:r>
      <w:r w:rsidRPr="00624A03">
        <w:rPr>
          <w:rFonts w:eastAsia="Times New Roman" w:cs="Arial"/>
          <w:szCs w:val="15"/>
          <w:lang w:eastAsia="en-AU"/>
        </w:rPr>
        <w:t xml:space="preserve"> 2018</w:t>
      </w:r>
      <w:r w:rsidR="00DC2328" w:rsidRPr="00624A03">
        <w:rPr>
          <w:rFonts w:eastAsia="Times New Roman" w:cs="Arial"/>
          <w:szCs w:val="15"/>
          <w:lang w:eastAsia="en-AU"/>
        </w:rPr>
        <w:t xml:space="preserve">, </w:t>
      </w:r>
      <w:r w:rsidR="005236FA" w:rsidRPr="00624A03">
        <w:rPr>
          <w:rFonts w:eastAsia="Times New Roman" w:cs="Arial"/>
          <w:szCs w:val="15"/>
          <w:lang w:eastAsia="en-AU"/>
        </w:rPr>
        <w:t>”</w:t>
      </w:r>
      <w:r w:rsidR="00DC2328" w:rsidRPr="00624A03">
        <w:rPr>
          <w:rFonts w:eastAsia="Times New Roman" w:cs="Arial"/>
          <w:szCs w:val="15"/>
          <w:lang w:eastAsia="en-AU"/>
        </w:rPr>
        <w:t xml:space="preserve">Therapist Empathy and Client Outcome: </w:t>
      </w:r>
      <w:r w:rsidR="00DC2328" w:rsidRPr="00624A03">
        <w:rPr>
          <w:rFonts w:eastAsia="Times New Roman" w:cs="Arial"/>
          <w:szCs w:val="15"/>
          <w:lang w:eastAsia="en-AU"/>
        </w:rPr>
        <w:t>an Updated Meta-analysis</w:t>
      </w:r>
      <w:r w:rsidR="005236FA" w:rsidRPr="00624A03">
        <w:rPr>
          <w:rFonts w:eastAsia="Times New Roman" w:cs="Arial"/>
          <w:i/>
          <w:iCs/>
          <w:szCs w:val="15"/>
          <w:lang w:eastAsia="en-AU"/>
        </w:rPr>
        <w:t>”</w:t>
      </w:r>
      <w:r w:rsidR="00DC2328" w:rsidRPr="00624A03">
        <w:rPr>
          <w:rFonts w:eastAsia="Times New Roman" w:cs="Arial"/>
          <w:i/>
          <w:iCs/>
          <w:szCs w:val="15"/>
          <w:lang w:eastAsia="en-AU"/>
        </w:rPr>
        <w:t xml:space="preserve">, </w:t>
      </w:r>
      <w:r w:rsidR="005236FA" w:rsidRPr="00624A03">
        <w:rPr>
          <w:rFonts w:eastAsia="Times New Roman" w:cs="Arial"/>
          <w:i/>
          <w:iCs/>
          <w:szCs w:val="15"/>
          <w:lang w:eastAsia="en-AU"/>
        </w:rPr>
        <w:t xml:space="preserve">Psychotherapy, </w:t>
      </w:r>
      <w:r w:rsidR="005236FA" w:rsidRPr="00624A03">
        <w:rPr>
          <w:rFonts w:eastAsia="Times New Roman" w:cs="Arial"/>
          <w:szCs w:val="15"/>
          <w:lang w:eastAsia="en-AU"/>
        </w:rPr>
        <w:t>vol.</w:t>
      </w:r>
      <w:r w:rsidR="005236FA" w:rsidRPr="00624A03">
        <w:rPr>
          <w:rFonts w:eastAsia="Times New Roman" w:cs="Arial"/>
          <w:i/>
          <w:iCs/>
          <w:szCs w:val="15"/>
          <w:lang w:eastAsia="en-AU"/>
        </w:rPr>
        <w:t xml:space="preserve"> 55 </w:t>
      </w:r>
      <w:r w:rsidR="005236FA" w:rsidRPr="00624A03">
        <w:rPr>
          <w:rFonts w:eastAsia="Times New Roman" w:cs="Arial"/>
          <w:szCs w:val="15"/>
          <w:lang w:eastAsia="en-AU"/>
        </w:rPr>
        <w:t>(</w:t>
      </w:r>
      <w:r w:rsidR="0045482E" w:rsidRPr="00624A03">
        <w:rPr>
          <w:rFonts w:eastAsia="Times New Roman" w:cs="Arial"/>
          <w:szCs w:val="15"/>
          <w:lang w:eastAsia="en-AU"/>
        </w:rPr>
        <w:t>2018).</w:t>
      </w:r>
    </w:p>
  </w:footnote>
  <w:footnote w:id="270">
    <w:p w14:paraId="52CC0D5F" w14:textId="0FF0F73E"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617AB3" w:rsidRPr="00624A03">
        <w:rPr>
          <w:rFonts w:cs="Arial"/>
          <w:szCs w:val="15"/>
        </w:rPr>
        <w:t>Bridget Haire, Eloise Brook, Rohanna Stoddart and Pault Simpson</w:t>
      </w:r>
      <w:r w:rsidRPr="00624A03">
        <w:rPr>
          <w:rFonts w:cs="Arial"/>
          <w:szCs w:val="15"/>
          <w:lang w:eastAsia="en-AU"/>
        </w:rPr>
        <w:t>,</w:t>
      </w:r>
      <w:r w:rsidR="00617AB3" w:rsidRPr="00624A03">
        <w:rPr>
          <w:rFonts w:cs="Arial"/>
          <w:szCs w:val="15"/>
          <w:lang w:eastAsia="en-AU"/>
        </w:rPr>
        <w:t> </w:t>
      </w:r>
      <w:r w:rsidR="007B7893" w:rsidRPr="00624A03">
        <w:rPr>
          <w:rFonts w:eastAsia="Times New Roman" w:cs="Arial"/>
          <w:szCs w:val="15"/>
          <w:lang w:eastAsia="en-AU"/>
        </w:rPr>
        <w:t xml:space="preserve">”Trans and gender diverse people’s experiences of healthcare access in Australia: a qualitative study in people with complex needs”, in </w:t>
      </w:r>
      <w:r w:rsidR="007B7893" w:rsidRPr="00624A03">
        <w:rPr>
          <w:rFonts w:eastAsia="Times New Roman" w:cs="Arial"/>
          <w:i/>
          <w:iCs/>
          <w:szCs w:val="15"/>
          <w:lang w:eastAsia="en-AU"/>
        </w:rPr>
        <w:t xml:space="preserve">PloS One, </w:t>
      </w:r>
      <w:r w:rsidR="007B7893" w:rsidRPr="00624A03">
        <w:rPr>
          <w:rFonts w:eastAsia="Times New Roman" w:cs="Arial"/>
          <w:szCs w:val="15"/>
          <w:lang w:eastAsia="en-AU"/>
        </w:rPr>
        <w:t>vol. 16</w:t>
      </w:r>
      <w:r w:rsidRPr="00624A03">
        <w:rPr>
          <w:rFonts w:cs="Arial"/>
          <w:szCs w:val="15"/>
          <w:lang w:eastAsia="en-AU"/>
        </w:rPr>
        <w:t xml:space="preserve"> </w:t>
      </w:r>
      <w:r w:rsidR="007B7893" w:rsidRPr="00624A03">
        <w:rPr>
          <w:rFonts w:cs="Arial"/>
          <w:szCs w:val="15"/>
          <w:lang w:eastAsia="en-AU"/>
        </w:rPr>
        <w:t>(</w:t>
      </w:r>
      <w:r w:rsidRPr="00624A03">
        <w:rPr>
          <w:rFonts w:cs="Arial"/>
          <w:szCs w:val="15"/>
          <w:lang w:eastAsia="en-AU"/>
        </w:rPr>
        <w:t>2021</w:t>
      </w:r>
      <w:r w:rsidR="00A75A05" w:rsidRPr="00624A03">
        <w:rPr>
          <w:rFonts w:cs="Arial"/>
          <w:szCs w:val="15"/>
          <w:lang w:eastAsia="en-AU"/>
        </w:rPr>
        <w:t>)</w:t>
      </w:r>
    </w:p>
  </w:footnote>
  <w:footnote w:id="271">
    <w:p w14:paraId="7929DA70" w14:textId="51278AE9"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D73254" w:rsidRPr="00624A03">
        <w:rPr>
          <w:rFonts w:cs="Arial"/>
          <w:szCs w:val="15"/>
        </w:rPr>
        <w:t xml:space="preserve">Annie </w:t>
      </w:r>
      <w:r w:rsidRPr="00624A03">
        <w:rPr>
          <w:rFonts w:cs="Arial"/>
          <w:szCs w:val="15"/>
          <w:lang w:eastAsia="en-AU"/>
        </w:rPr>
        <w:t xml:space="preserve">Pullen </w:t>
      </w:r>
      <w:r w:rsidRPr="00624A03">
        <w:rPr>
          <w:rFonts w:cs="Arial"/>
          <w:szCs w:val="15"/>
        </w:rPr>
        <w:t>Sansfaçon</w:t>
      </w:r>
      <w:r w:rsidR="00D73254" w:rsidRPr="00624A03">
        <w:rPr>
          <w:rFonts w:cs="Arial"/>
          <w:szCs w:val="15"/>
          <w:lang w:eastAsia="en-AU"/>
        </w:rPr>
        <w:t>, Denise Medico, Damien Riggs, Anna Carlile and Frank Suerich-Gulick</w:t>
      </w:r>
      <w:r w:rsidR="00535E70" w:rsidRPr="00624A03">
        <w:rPr>
          <w:rFonts w:cs="Arial"/>
          <w:szCs w:val="15"/>
          <w:lang w:eastAsia="en-AU"/>
        </w:rPr>
        <w:t xml:space="preserve">, </w:t>
      </w:r>
      <w:r w:rsidR="00535E70" w:rsidRPr="00624A03">
        <w:rPr>
          <w:rFonts w:eastAsia="Times New Roman" w:cs="Arial"/>
          <w:szCs w:val="15"/>
          <w:lang w:eastAsia="en-AU"/>
        </w:rPr>
        <w:t xml:space="preserve">”Growing up trans in Canada, Switzerland, England and Australia: access to and impacts of gender-affirming medical care”, in </w:t>
      </w:r>
      <w:r w:rsidR="00535E70" w:rsidRPr="00624A03">
        <w:rPr>
          <w:rFonts w:eastAsia="Times New Roman" w:cs="Arial"/>
          <w:i/>
          <w:iCs/>
          <w:szCs w:val="15"/>
          <w:lang w:eastAsia="en-AU"/>
        </w:rPr>
        <w:t xml:space="preserve">Journal of LGBT Youth, </w:t>
      </w:r>
      <w:r w:rsidR="00535E70" w:rsidRPr="00624A03">
        <w:rPr>
          <w:rFonts w:eastAsia="Times New Roman" w:cs="Arial"/>
          <w:szCs w:val="15"/>
          <w:lang w:eastAsia="en-AU"/>
        </w:rPr>
        <w:t>vol. 23</w:t>
      </w:r>
      <w:r w:rsidRPr="00624A03">
        <w:rPr>
          <w:rFonts w:cs="Arial"/>
          <w:szCs w:val="15"/>
          <w:lang w:eastAsia="en-AU"/>
        </w:rPr>
        <w:t xml:space="preserve"> </w:t>
      </w:r>
      <w:r w:rsidR="00535E70" w:rsidRPr="00624A03">
        <w:rPr>
          <w:rFonts w:cs="Arial"/>
          <w:szCs w:val="15"/>
          <w:lang w:eastAsia="en-AU"/>
        </w:rPr>
        <w:t>(</w:t>
      </w:r>
      <w:r w:rsidRPr="00624A03">
        <w:rPr>
          <w:rFonts w:cs="Arial"/>
          <w:szCs w:val="15"/>
          <w:lang w:eastAsia="en-AU"/>
        </w:rPr>
        <w:t>2023</w:t>
      </w:r>
      <w:r w:rsidR="00535E70" w:rsidRPr="00624A03">
        <w:rPr>
          <w:rFonts w:cs="Arial"/>
          <w:szCs w:val="15"/>
          <w:lang w:eastAsia="en-AU"/>
        </w:rPr>
        <w:t>).</w:t>
      </w:r>
    </w:p>
  </w:footnote>
  <w:footnote w:id="272">
    <w:p w14:paraId="55ADEE3A" w14:textId="0D0BF703" w:rsidR="004604F9" w:rsidRPr="007803B7" w:rsidRDefault="004604F9" w:rsidP="004604F9">
      <w:pPr>
        <w:pStyle w:val="FootnoteText"/>
        <w:rPr>
          <w:rFonts w:cs="Arial"/>
          <w:szCs w:val="15"/>
        </w:rPr>
      </w:pPr>
      <w:r w:rsidRPr="006D6E17">
        <w:rPr>
          <w:rStyle w:val="FootnoteReference"/>
          <w:rFonts w:cs="Arial"/>
          <w:szCs w:val="15"/>
        </w:rPr>
        <w:footnoteRef/>
      </w:r>
      <w:r w:rsidRPr="006D6E17">
        <w:rPr>
          <w:rFonts w:cs="Arial"/>
          <w:szCs w:val="15"/>
        </w:rPr>
        <w:t xml:space="preserve"> </w:t>
      </w:r>
      <w:r w:rsidR="007803B7">
        <w:rPr>
          <w:rFonts w:cs="Arial"/>
          <w:szCs w:val="15"/>
          <w:lang w:eastAsia="en-AU"/>
        </w:rPr>
        <w:t xml:space="preserve">Damien Riggs and Clare Bartholomaeus, “Australian mental health nurses and transgender clients: attitudes and knowledge”, in </w:t>
      </w:r>
      <w:r w:rsidR="007803B7">
        <w:rPr>
          <w:rFonts w:cs="Arial"/>
          <w:i/>
          <w:iCs/>
          <w:szCs w:val="15"/>
          <w:lang w:eastAsia="en-AU"/>
        </w:rPr>
        <w:t xml:space="preserve">Journal of Research in Nursing, </w:t>
      </w:r>
      <w:r w:rsidR="007803B7">
        <w:rPr>
          <w:rFonts w:cs="Arial"/>
          <w:szCs w:val="15"/>
          <w:lang w:eastAsia="en-AU"/>
        </w:rPr>
        <w:t>vol. 21 (2016b)</w:t>
      </w:r>
    </w:p>
  </w:footnote>
  <w:footnote w:id="273">
    <w:p w14:paraId="0C990482" w14:textId="5E421741" w:rsidR="004604F9" w:rsidRPr="00AD32AC" w:rsidRDefault="004604F9" w:rsidP="004604F9">
      <w:pPr>
        <w:pStyle w:val="FootnoteText"/>
      </w:pPr>
      <w:r w:rsidRPr="006D6E17">
        <w:rPr>
          <w:rStyle w:val="FootnoteReference"/>
          <w:rFonts w:cs="Arial"/>
          <w:szCs w:val="15"/>
        </w:rPr>
        <w:footnoteRef/>
      </w:r>
      <w:r w:rsidRPr="006D6E17">
        <w:rPr>
          <w:rFonts w:cs="Arial"/>
          <w:szCs w:val="15"/>
        </w:rPr>
        <w:t xml:space="preserve"> </w:t>
      </w:r>
      <w:r w:rsidR="00A403FE">
        <w:rPr>
          <w:rFonts w:cs="Arial"/>
          <w:szCs w:val="15"/>
          <w:lang w:eastAsia="en-AU"/>
        </w:rPr>
        <w:t xml:space="preserve">Damien Riggs and Clare Bartholomaeus, </w:t>
      </w:r>
      <w:r w:rsidR="00AD32AC">
        <w:rPr>
          <w:rFonts w:cs="Arial"/>
          <w:szCs w:val="15"/>
          <w:lang w:eastAsia="en-AU"/>
        </w:rPr>
        <w:t xml:space="preserve">“Australian mental health professionals’ competencies for working with trans clients: a comparative study”, </w:t>
      </w:r>
      <w:r w:rsidR="00AD32AC">
        <w:rPr>
          <w:rFonts w:cs="Arial"/>
          <w:i/>
          <w:iCs/>
          <w:szCs w:val="15"/>
          <w:lang w:eastAsia="en-AU"/>
        </w:rPr>
        <w:t xml:space="preserve">Psychology &amp; Sexuality, </w:t>
      </w:r>
      <w:r w:rsidR="00AD32AC">
        <w:rPr>
          <w:rFonts w:cs="Arial"/>
          <w:szCs w:val="15"/>
          <w:lang w:eastAsia="en-AU"/>
        </w:rPr>
        <w:t>vol. 7 (2016).</w:t>
      </w:r>
    </w:p>
  </w:footnote>
  <w:footnote w:id="274">
    <w:p w14:paraId="654EB61B" w14:textId="71EEF3A1" w:rsidR="004604F9" w:rsidRPr="006D6E17" w:rsidRDefault="004604F9" w:rsidP="004604F9">
      <w:pPr>
        <w:pStyle w:val="FootnoteText"/>
        <w:rPr>
          <w:rFonts w:cs="Arial"/>
          <w:szCs w:val="15"/>
        </w:rPr>
      </w:pPr>
      <w:r w:rsidRPr="006D6E17">
        <w:rPr>
          <w:rStyle w:val="FootnoteReference"/>
          <w:rFonts w:cs="Arial"/>
          <w:szCs w:val="15"/>
        </w:rPr>
        <w:footnoteRef/>
      </w:r>
      <w:r w:rsidRPr="006D6E17">
        <w:rPr>
          <w:rFonts w:cs="Arial"/>
          <w:szCs w:val="15"/>
        </w:rPr>
        <w:t xml:space="preserve"> </w:t>
      </w:r>
      <w:r w:rsidR="00A95ABF">
        <w:rPr>
          <w:rFonts w:cs="Arial"/>
          <w:szCs w:val="15"/>
        </w:rPr>
        <w:t>Geraldine McNamara and Charlotte Wilson, “</w:t>
      </w:r>
      <w:r w:rsidR="006F4BE3" w:rsidRPr="006F4BE3">
        <w:rPr>
          <w:rFonts w:eastAsiaTheme="minorEastAsia" w:cs="Arial"/>
          <w:szCs w:val="15"/>
        </w:rPr>
        <w:t>Lesbian, gay and bisexual individuals experience of mental health services-a systematic review</w:t>
      </w:r>
      <w:r w:rsidR="00A95ABF">
        <w:rPr>
          <w:rFonts w:eastAsiaTheme="minorEastAsia" w:cs="Arial"/>
          <w:szCs w:val="15"/>
        </w:rPr>
        <w:t>”,</w:t>
      </w:r>
      <w:r w:rsidR="006F4BE3" w:rsidRPr="006F4BE3">
        <w:rPr>
          <w:rFonts w:eastAsiaTheme="minorEastAsia" w:cs="Arial"/>
          <w:szCs w:val="15"/>
        </w:rPr>
        <w:t xml:space="preserve"> </w:t>
      </w:r>
      <w:r w:rsidR="006F4BE3" w:rsidRPr="00A95ABF">
        <w:rPr>
          <w:rFonts w:eastAsiaTheme="minorEastAsia" w:cs="Arial"/>
          <w:i/>
          <w:iCs/>
          <w:szCs w:val="15"/>
        </w:rPr>
        <w:t>The Journal of Mental Health Training, Education and Practice</w:t>
      </w:r>
      <w:r w:rsidR="006F4BE3" w:rsidRPr="006F4BE3">
        <w:rPr>
          <w:rFonts w:eastAsiaTheme="minorEastAsia" w:cs="Arial"/>
          <w:szCs w:val="15"/>
        </w:rPr>
        <w:t xml:space="preserve">, </w:t>
      </w:r>
      <w:r w:rsidR="00A95ABF">
        <w:rPr>
          <w:rFonts w:eastAsiaTheme="minorEastAsia" w:cs="Arial"/>
          <w:szCs w:val="15"/>
        </w:rPr>
        <w:t xml:space="preserve">vol. 15 (2020): 59 – 70. </w:t>
      </w:r>
    </w:p>
  </w:footnote>
  <w:footnote w:id="275">
    <w:p w14:paraId="17AD2392" w14:textId="36D7BA76" w:rsidR="004604F9" w:rsidRPr="006266EA" w:rsidRDefault="004604F9" w:rsidP="004604F9">
      <w:pPr>
        <w:pStyle w:val="FootnoteText"/>
        <w:rPr>
          <w:rFonts w:cs="Arial"/>
          <w:szCs w:val="15"/>
        </w:rPr>
      </w:pPr>
      <w:r w:rsidRPr="006D6E17">
        <w:rPr>
          <w:rStyle w:val="FootnoteReference"/>
          <w:rFonts w:cs="Arial"/>
          <w:szCs w:val="15"/>
        </w:rPr>
        <w:footnoteRef/>
      </w:r>
      <w:r w:rsidRPr="006D6E17">
        <w:rPr>
          <w:rFonts w:cs="Arial"/>
          <w:szCs w:val="15"/>
        </w:rPr>
        <w:t xml:space="preserve"> </w:t>
      </w:r>
      <w:r w:rsidR="008C62DF">
        <w:rPr>
          <w:rFonts w:cs="Arial"/>
          <w:szCs w:val="15"/>
        </w:rPr>
        <w:t xml:space="preserve">Tiffany </w:t>
      </w:r>
      <w:r w:rsidRPr="006D6E17">
        <w:rPr>
          <w:rFonts w:eastAsiaTheme="minorEastAsia" w:cs="Arial"/>
          <w:szCs w:val="15"/>
        </w:rPr>
        <w:t xml:space="preserve">O’Shaughnessy </w:t>
      </w:r>
      <w:r w:rsidR="008C62DF">
        <w:rPr>
          <w:rFonts w:eastAsiaTheme="minorEastAsia" w:cs="Arial"/>
          <w:szCs w:val="15"/>
        </w:rPr>
        <w:t>and Zachary</w:t>
      </w:r>
      <w:r w:rsidRPr="006D6E17">
        <w:rPr>
          <w:rFonts w:eastAsiaTheme="minorEastAsia" w:cs="Arial"/>
          <w:szCs w:val="15"/>
        </w:rPr>
        <w:t xml:space="preserve"> Speir, </w:t>
      </w:r>
      <w:r w:rsidR="008C62DF">
        <w:rPr>
          <w:rFonts w:eastAsiaTheme="minorEastAsia" w:cs="Arial"/>
          <w:szCs w:val="15"/>
        </w:rPr>
        <w:t>“</w:t>
      </w:r>
      <w:r w:rsidR="008C62DF" w:rsidRPr="008C62DF">
        <w:rPr>
          <w:rFonts w:eastAsiaTheme="minorEastAsia" w:cs="Arial"/>
          <w:szCs w:val="15"/>
        </w:rPr>
        <w:t>The state of LGBQ affirmative therapy clinical research: a mixed-methods systematic synthesis</w:t>
      </w:r>
      <w:r w:rsidR="006266EA">
        <w:rPr>
          <w:rFonts w:eastAsiaTheme="minorEastAsia" w:cs="Arial"/>
          <w:szCs w:val="15"/>
        </w:rPr>
        <w:t>”,</w:t>
      </w:r>
      <w:r w:rsidR="008C62DF" w:rsidRPr="008C62DF">
        <w:rPr>
          <w:rFonts w:eastAsiaTheme="minorEastAsia" w:cs="Arial"/>
          <w:szCs w:val="15"/>
        </w:rPr>
        <w:t xml:space="preserve"> </w:t>
      </w:r>
      <w:r w:rsidR="008C62DF" w:rsidRPr="006266EA">
        <w:rPr>
          <w:rFonts w:eastAsiaTheme="minorEastAsia" w:cs="Arial"/>
          <w:i/>
          <w:iCs/>
          <w:szCs w:val="15"/>
        </w:rPr>
        <w:t>Psychology of Sexual Orientation and Gender Diversity</w:t>
      </w:r>
      <w:r w:rsidR="006266EA">
        <w:rPr>
          <w:rFonts w:eastAsiaTheme="minorEastAsia" w:cs="Arial"/>
          <w:i/>
          <w:iCs/>
          <w:szCs w:val="15"/>
        </w:rPr>
        <w:t xml:space="preserve">, </w:t>
      </w:r>
      <w:r w:rsidR="006266EA">
        <w:rPr>
          <w:rFonts w:eastAsiaTheme="minorEastAsia" w:cs="Arial"/>
          <w:szCs w:val="15"/>
        </w:rPr>
        <w:t xml:space="preserve">vol. 5 (2018): 82 – 98. </w:t>
      </w:r>
    </w:p>
  </w:footnote>
  <w:footnote w:id="276">
    <w:p w14:paraId="683A51E2" w14:textId="6DBD699A" w:rsidR="004604F9" w:rsidRPr="006D6E17" w:rsidRDefault="004604F9" w:rsidP="004604F9">
      <w:pPr>
        <w:pStyle w:val="FootnoteText"/>
        <w:rPr>
          <w:rFonts w:cs="Arial"/>
          <w:szCs w:val="15"/>
        </w:rPr>
      </w:pPr>
      <w:r w:rsidRPr="006D6E17">
        <w:rPr>
          <w:rStyle w:val="FootnoteReference"/>
          <w:rFonts w:cs="Arial"/>
          <w:szCs w:val="15"/>
        </w:rPr>
        <w:footnoteRef/>
      </w:r>
      <w:r w:rsidRPr="006D6E17">
        <w:rPr>
          <w:rFonts w:cs="Arial"/>
          <w:szCs w:val="15"/>
        </w:rPr>
        <w:t xml:space="preserve"> </w:t>
      </w:r>
      <w:r w:rsidR="000430B6">
        <w:rPr>
          <w:rFonts w:eastAsiaTheme="minorEastAsia" w:cs="Arial"/>
          <w:szCs w:val="15"/>
        </w:rPr>
        <w:t>Annie Snow, Julie Cerel and Laura Frey,</w:t>
      </w:r>
      <w:r w:rsidR="000430B6" w:rsidRPr="000430B6">
        <w:rPr>
          <w:rFonts w:eastAsiaTheme="minorEastAsia" w:cs="Arial"/>
          <w:szCs w:val="15"/>
        </w:rPr>
        <w:t xml:space="preserve"> </w:t>
      </w:r>
      <w:r w:rsidR="000430B6">
        <w:rPr>
          <w:rFonts w:eastAsiaTheme="minorEastAsia" w:cs="Arial"/>
          <w:szCs w:val="15"/>
        </w:rPr>
        <w:t>“</w:t>
      </w:r>
      <w:r w:rsidR="000430B6" w:rsidRPr="000430B6">
        <w:rPr>
          <w:rFonts w:eastAsiaTheme="minorEastAsia" w:cs="Arial"/>
          <w:szCs w:val="15"/>
        </w:rPr>
        <w:t>A safe bet? Transgender and gender diverse experiences with inclusive therapists</w:t>
      </w:r>
      <w:r w:rsidR="000430B6">
        <w:rPr>
          <w:rFonts w:eastAsiaTheme="minorEastAsia" w:cs="Arial"/>
          <w:szCs w:val="15"/>
        </w:rPr>
        <w:t>”,</w:t>
      </w:r>
      <w:r w:rsidR="000430B6" w:rsidRPr="000430B6">
        <w:rPr>
          <w:rFonts w:eastAsiaTheme="minorEastAsia" w:cs="Arial"/>
          <w:szCs w:val="15"/>
        </w:rPr>
        <w:t xml:space="preserve"> </w:t>
      </w:r>
      <w:r w:rsidR="000430B6" w:rsidRPr="000430B6">
        <w:rPr>
          <w:rFonts w:eastAsiaTheme="minorEastAsia" w:cs="Arial"/>
          <w:i/>
          <w:iCs/>
          <w:szCs w:val="15"/>
        </w:rPr>
        <w:t>American Journal of Orthopsychiatry,</w:t>
      </w:r>
      <w:r w:rsidR="000430B6" w:rsidRPr="000430B6">
        <w:rPr>
          <w:rFonts w:eastAsiaTheme="minorEastAsia" w:cs="Arial"/>
          <w:szCs w:val="15"/>
        </w:rPr>
        <w:t xml:space="preserve"> </w:t>
      </w:r>
      <w:r w:rsidR="000430B6">
        <w:rPr>
          <w:rFonts w:eastAsiaTheme="minorEastAsia" w:cs="Arial"/>
          <w:szCs w:val="15"/>
        </w:rPr>
        <w:t xml:space="preserve">vol. </w:t>
      </w:r>
      <w:r w:rsidR="000430B6" w:rsidRPr="000430B6">
        <w:rPr>
          <w:rFonts w:eastAsiaTheme="minorEastAsia" w:cs="Arial"/>
          <w:szCs w:val="15"/>
        </w:rPr>
        <w:t>92</w:t>
      </w:r>
      <w:r w:rsidR="000430B6">
        <w:rPr>
          <w:rFonts w:eastAsiaTheme="minorEastAsia" w:cs="Arial"/>
          <w:szCs w:val="15"/>
        </w:rPr>
        <w:t xml:space="preserve"> (2022):</w:t>
      </w:r>
      <w:r w:rsidR="000430B6" w:rsidRPr="000430B6">
        <w:rPr>
          <w:rFonts w:eastAsiaTheme="minorEastAsia" w:cs="Arial"/>
          <w:szCs w:val="15"/>
        </w:rPr>
        <w:t xml:space="preserve"> 154.</w:t>
      </w:r>
    </w:p>
  </w:footnote>
  <w:footnote w:id="277">
    <w:p w14:paraId="20642DA2" w14:textId="77777777" w:rsidR="004604F9" w:rsidRPr="003C39FE" w:rsidRDefault="004604F9" w:rsidP="004604F9">
      <w:pPr>
        <w:pStyle w:val="FootnoteText"/>
        <w:rPr>
          <w:rFonts w:cs="Arial"/>
          <w:szCs w:val="15"/>
          <w:lang w:val="fr-FR"/>
        </w:rPr>
      </w:pPr>
      <w:r w:rsidRPr="006D6E17">
        <w:rPr>
          <w:rStyle w:val="FootnoteReference"/>
          <w:rFonts w:cs="Arial"/>
          <w:szCs w:val="15"/>
        </w:rPr>
        <w:footnoteRef/>
      </w:r>
      <w:r w:rsidRPr="003C39FE">
        <w:rPr>
          <w:rFonts w:cs="Arial"/>
          <w:szCs w:val="15"/>
          <w:lang w:val="fr-FR"/>
        </w:rPr>
        <w:t xml:space="preserve"> </w:t>
      </w:r>
      <w:r w:rsidRPr="003C39FE">
        <w:rPr>
          <w:rFonts w:cs="Arial"/>
          <w:szCs w:val="15"/>
          <w:lang w:val="fr-FR" w:eastAsia="en-AU"/>
        </w:rPr>
        <w:t>Martin et al., 2019</w:t>
      </w:r>
      <w:r w:rsidRPr="003C39FE">
        <w:rPr>
          <w:rFonts w:cs="Arial"/>
          <w:szCs w:val="15"/>
          <w:lang w:val="fr-FR" w:eastAsia="en-AU"/>
        </w:rPr>
        <w:t xml:space="preserve">a; </w:t>
      </w:r>
    </w:p>
  </w:footnote>
  <w:footnote w:id="278">
    <w:p w14:paraId="3E377439" w14:textId="77777777" w:rsidR="004604F9" w:rsidRPr="003C39FE" w:rsidRDefault="004604F9" w:rsidP="004604F9">
      <w:pPr>
        <w:pStyle w:val="FootnoteText"/>
        <w:rPr>
          <w:rFonts w:cs="Arial"/>
          <w:szCs w:val="15"/>
          <w:lang w:val="fr-FR"/>
        </w:rPr>
      </w:pPr>
      <w:r w:rsidRPr="006D6E17">
        <w:rPr>
          <w:rStyle w:val="FootnoteReference"/>
          <w:rFonts w:cs="Arial"/>
          <w:szCs w:val="15"/>
        </w:rPr>
        <w:footnoteRef/>
      </w:r>
      <w:r w:rsidRPr="003C39FE">
        <w:rPr>
          <w:rFonts w:cs="Arial"/>
          <w:szCs w:val="15"/>
          <w:lang w:val="fr-FR"/>
        </w:rPr>
        <w:t xml:space="preserve"> </w:t>
      </w:r>
      <w:r w:rsidRPr="003C39FE">
        <w:rPr>
          <w:rFonts w:cs="Arial"/>
          <w:szCs w:val="15"/>
          <w:lang w:val="fr-FR" w:eastAsia="en-AU"/>
        </w:rPr>
        <w:t>Lim et al., 2021</w:t>
      </w:r>
    </w:p>
  </w:footnote>
  <w:footnote w:id="279">
    <w:p w14:paraId="70727669" w14:textId="1E46F817"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EC3252" w:rsidRPr="00624A03">
        <w:rPr>
          <w:rFonts w:eastAsia="Arial" w:cs="Arial"/>
          <w:szCs w:val="15"/>
        </w:rPr>
        <w:t>Jennie Robertson, Helen Pote, Angela Byrne and Francisco Frasquilho,</w:t>
      </w:r>
      <w:r w:rsidR="00EC3252" w:rsidRPr="00EC3252">
        <w:t xml:space="preserve"> </w:t>
      </w:r>
      <w:r w:rsidR="00EC3252">
        <w:t>“</w:t>
      </w:r>
      <w:r w:rsidR="00EC3252" w:rsidRPr="00624A03">
        <w:rPr>
          <w:rFonts w:eastAsia="Arial" w:cs="Arial"/>
          <w:szCs w:val="15"/>
        </w:rPr>
        <w:t>The Experiences of Lesbian and Gay Adults on Acute Mental Health Wards: Intimate Relationship Needs and Recovery</w:t>
      </w:r>
      <w:r w:rsidR="00EC3252">
        <w:t>“</w:t>
      </w:r>
      <w:r w:rsidR="00EC3252" w:rsidRPr="00624A03">
        <w:rPr>
          <w:rFonts w:eastAsia="Arial" w:cs="Arial"/>
          <w:szCs w:val="15"/>
        </w:rPr>
        <w:t xml:space="preserve">, </w:t>
      </w:r>
      <w:r w:rsidR="00EC3252" w:rsidRPr="00624A03">
        <w:rPr>
          <w:rFonts w:eastAsia="Arial" w:cs="Arial"/>
          <w:i/>
          <w:iCs/>
          <w:szCs w:val="15"/>
        </w:rPr>
        <w:t>Journal of Gay &amp; Lesbian Mental Health,</w:t>
      </w:r>
      <w:r w:rsidR="00EC3252" w:rsidRPr="00624A03">
        <w:rPr>
          <w:rFonts w:eastAsia="Arial" w:cs="Arial"/>
          <w:szCs w:val="15"/>
        </w:rPr>
        <w:t xml:space="preserve"> vol. </w:t>
      </w:r>
      <w:r w:rsidR="007F22E9" w:rsidRPr="00624A03">
        <w:rPr>
          <w:rFonts w:eastAsia="Arial" w:cs="Arial"/>
          <w:szCs w:val="15"/>
        </w:rPr>
        <w:t xml:space="preserve">19 (2015) </w:t>
      </w:r>
      <w:r w:rsidR="00EC3252" w:rsidRPr="00624A03">
        <w:rPr>
          <w:rFonts w:eastAsia="Arial" w:cs="Arial"/>
          <w:szCs w:val="15"/>
        </w:rPr>
        <w:t>261–284.</w:t>
      </w:r>
    </w:p>
  </w:footnote>
  <w:footnote w:id="280">
    <w:p w14:paraId="723593D3" w14:textId="77777777" w:rsidR="004604F9" w:rsidRPr="00CE4F23" w:rsidRDefault="004604F9" w:rsidP="004604F9">
      <w:pPr>
        <w:pStyle w:val="FootnoteText"/>
        <w:rPr>
          <w:rFonts w:cs="Arial"/>
          <w:szCs w:val="15"/>
        </w:rPr>
      </w:pPr>
      <w:r w:rsidRPr="00CE4F23">
        <w:rPr>
          <w:rStyle w:val="FootnoteReference"/>
          <w:rFonts w:cs="Arial"/>
          <w:szCs w:val="15"/>
        </w:rPr>
        <w:footnoteRef/>
      </w:r>
      <w:r w:rsidRPr="00CE4F23">
        <w:rPr>
          <w:rFonts w:cs="Arial"/>
          <w:szCs w:val="15"/>
        </w:rPr>
        <w:t xml:space="preserve"> </w:t>
      </w:r>
      <w:r w:rsidRPr="00CE4F23">
        <w:rPr>
          <w:rFonts w:eastAsia="Times New Roman" w:cs="Arial"/>
          <w:color w:val="000000"/>
          <w:szCs w:val="15"/>
          <w:lang w:val="en-US" w:eastAsia="en-AU"/>
        </w:rPr>
        <w:t>‘Life-interrupting’ mental health challenges is used as an alternative to severe and persistent mental illness as it describes more severe, persistent, and enduring mental health challenges, and related life impacts, without reference to medicalising or pathologising frameworks.</w:t>
      </w:r>
    </w:p>
  </w:footnote>
  <w:footnote w:id="281">
    <w:p w14:paraId="0C750542" w14:textId="2D04E042"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016BAF" w:rsidRPr="00624A03">
        <w:rPr>
          <w:rFonts w:cs="Arial"/>
          <w:szCs w:val="15"/>
        </w:rPr>
        <w:t>Sarah Bowman, Brona Nic Giolla Easpaig and Rachael Fox,</w:t>
      </w:r>
      <w:r w:rsidR="00FA0A1C" w:rsidRPr="00FA0A1C">
        <w:t xml:space="preserve"> </w:t>
      </w:r>
      <w:r w:rsidR="00016BAF">
        <w:t>“</w:t>
      </w:r>
      <w:r w:rsidR="00FA0A1C" w:rsidRPr="00624A03">
        <w:rPr>
          <w:rFonts w:cs="Arial"/>
          <w:szCs w:val="15"/>
        </w:rPr>
        <w:t>Virtually caring: a qualitative study of internet-based mental health services for LGBT young adults in rural Australia</w:t>
      </w:r>
      <w:r w:rsidR="00016BAF" w:rsidRPr="00624A03">
        <w:rPr>
          <w:rFonts w:cs="Arial"/>
          <w:szCs w:val="15"/>
        </w:rPr>
        <w:t>”,</w:t>
      </w:r>
      <w:r w:rsidR="00FA0A1C" w:rsidRPr="00624A03">
        <w:rPr>
          <w:rFonts w:cs="Arial"/>
          <w:szCs w:val="15"/>
        </w:rPr>
        <w:t xml:space="preserve"> </w:t>
      </w:r>
      <w:r w:rsidR="00FA0A1C" w:rsidRPr="00624A03">
        <w:rPr>
          <w:rFonts w:cs="Arial"/>
          <w:i/>
          <w:iCs/>
          <w:szCs w:val="15"/>
        </w:rPr>
        <w:t>Rural and Remote Health</w:t>
      </w:r>
      <w:r w:rsidR="00FA0A1C" w:rsidRPr="00624A03">
        <w:rPr>
          <w:rFonts w:cs="Arial"/>
          <w:szCs w:val="15"/>
        </w:rPr>
        <w:t xml:space="preserve">, </w:t>
      </w:r>
      <w:r w:rsidR="00016BAF" w:rsidRPr="00624A03">
        <w:rPr>
          <w:rFonts w:cs="Arial"/>
          <w:szCs w:val="15"/>
        </w:rPr>
        <w:t xml:space="preserve">vol. </w:t>
      </w:r>
      <w:r w:rsidR="00FA0A1C" w:rsidRPr="00624A03">
        <w:rPr>
          <w:rFonts w:cs="Arial"/>
          <w:szCs w:val="15"/>
        </w:rPr>
        <w:t>20</w:t>
      </w:r>
      <w:r w:rsidR="00016BAF" w:rsidRPr="00624A03">
        <w:rPr>
          <w:rFonts w:cs="Arial"/>
          <w:szCs w:val="15"/>
        </w:rPr>
        <w:t xml:space="preserve"> (2020):</w:t>
      </w:r>
      <w:r w:rsidR="00FA0A1C" w:rsidRPr="00624A03">
        <w:rPr>
          <w:rFonts w:cs="Arial"/>
          <w:szCs w:val="15"/>
        </w:rPr>
        <w:t xml:space="preserve"> 5448–5448</w:t>
      </w:r>
    </w:p>
  </w:footnote>
  <w:footnote w:id="282">
    <w:p w14:paraId="00577558"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Lim et al., 2021</w:t>
      </w:r>
    </w:p>
  </w:footnote>
  <w:footnote w:id="283">
    <w:p w14:paraId="363D6592" w14:textId="77777777" w:rsidR="004604F9" w:rsidRPr="003C39FE" w:rsidRDefault="004604F9" w:rsidP="004604F9">
      <w:pPr>
        <w:pStyle w:val="FootnoteText"/>
        <w:rPr>
          <w:szCs w:val="15"/>
          <w:lang w:val="da-DK"/>
        </w:rPr>
      </w:pPr>
      <w:r w:rsidRPr="006D6E17">
        <w:rPr>
          <w:rStyle w:val="FootnoteReference"/>
          <w:rFonts w:cs="Arial"/>
          <w:szCs w:val="15"/>
        </w:rPr>
        <w:footnoteRef/>
      </w:r>
      <w:r w:rsidRPr="003C39FE">
        <w:rPr>
          <w:rFonts w:cs="Arial"/>
          <w:szCs w:val="15"/>
          <w:lang w:val="da-DK"/>
        </w:rPr>
        <w:t xml:space="preserve"> McNair &amp; Bush, 2016</w:t>
      </w:r>
    </w:p>
  </w:footnote>
  <w:footnote w:id="284">
    <w:p w14:paraId="6C6E5925" w14:textId="03A14312" w:rsidR="004604F9" w:rsidRPr="003C39FE" w:rsidRDefault="004604F9" w:rsidP="004604F9">
      <w:pPr>
        <w:pStyle w:val="FootnoteText"/>
        <w:rPr>
          <w:lang w:val="da-DK"/>
        </w:rPr>
      </w:pPr>
      <w:r w:rsidRPr="006D6E17">
        <w:rPr>
          <w:rStyle w:val="FootnoteReference"/>
          <w:szCs w:val="15"/>
        </w:rPr>
        <w:footnoteRef/>
      </w:r>
      <w:r w:rsidRPr="003C39FE">
        <w:rPr>
          <w:szCs w:val="15"/>
          <w:lang w:val="da-DK"/>
        </w:rPr>
        <w:t xml:space="preserve"> </w:t>
      </w:r>
      <w:r w:rsidR="002D73F2">
        <w:rPr>
          <w:rFonts w:cs="Arial"/>
          <w:szCs w:val="15"/>
          <w:lang w:val="da-DK"/>
        </w:rPr>
        <w:t>Mathijs Lucassen, Rajvinder Samra, Ionna Lacovides, Theresa Fleming, Matthew Shepherd, Karolina Stasiak and L</w:t>
      </w:r>
      <w:r w:rsidR="00113A84">
        <w:rPr>
          <w:rFonts w:cs="Arial"/>
          <w:szCs w:val="15"/>
          <w:lang w:val="da-DK"/>
        </w:rPr>
        <w:t>ouise Wallace, ”</w:t>
      </w:r>
      <w:r w:rsidR="002D73F2" w:rsidRPr="002D73F2">
        <w:rPr>
          <w:rFonts w:cs="Arial"/>
          <w:szCs w:val="22"/>
          <w:lang w:val="da-DK"/>
        </w:rPr>
        <w:t>Virtually caring: a qualitative study of internet-based mental health services for LGBT young adults in rural Australia</w:t>
      </w:r>
      <w:r w:rsidR="00113A84">
        <w:rPr>
          <w:rFonts w:cs="Arial"/>
          <w:szCs w:val="22"/>
          <w:lang w:val="da-DK"/>
        </w:rPr>
        <w:t>”,</w:t>
      </w:r>
      <w:r w:rsidR="002D73F2" w:rsidRPr="002D73F2">
        <w:rPr>
          <w:rFonts w:cs="Arial"/>
          <w:szCs w:val="22"/>
          <w:lang w:val="da-DK"/>
        </w:rPr>
        <w:t xml:space="preserve"> </w:t>
      </w:r>
      <w:r w:rsidR="002D73F2" w:rsidRPr="00113A84">
        <w:rPr>
          <w:rFonts w:cs="Arial"/>
          <w:i/>
          <w:iCs/>
          <w:szCs w:val="22"/>
          <w:lang w:val="da-DK"/>
        </w:rPr>
        <w:t>Rural and Remote Health</w:t>
      </w:r>
      <w:r w:rsidR="002D73F2" w:rsidRPr="002D73F2">
        <w:rPr>
          <w:rFonts w:cs="Arial"/>
          <w:szCs w:val="22"/>
          <w:lang w:val="da-DK"/>
        </w:rPr>
        <w:t xml:space="preserve">, </w:t>
      </w:r>
      <w:r w:rsidR="00113A84">
        <w:rPr>
          <w:rFonts w:cs="Arial"/>
          <w:szCs w:val="22"/>
          <w:lang w:val="da-DK"/>
        </w:rPr>
        <w:t xml:space="preserve">vol. </w:t>
      </w:r>
      <w:r w:rsidR="002D73F2" w:rsidRPr="002D73F2">
        <w:rPr>
          <w:rFonts w:cs="Arial"/>
          <w:szCs w:val="22"/>
          <w:lang w:val="da-DK"/>
        </w:rPr>
        <w:t>20</w:t>
      </w:r>
      <w:r w:rsidR="00113A84">
        <w:rPr>
          <w:rFonts w:cs="Arial"/>
          <w:szCs w:val="22"/>
          <w:lang w:val="da-DK"/>
        </w:rPr>
        <w:t xml:space="preserve"> (2018): </w:t>
      </w:r>
      <w:r w:rsidR="002D73F2" w:rsidRPr="002D73F2">
        <w:rPr>
          <w:rFonts w:cs="Arial"/>
          <w:szCs w:val="22"/>
          <w:lang w:val="da-DK"/>
        </w:rPr>
        <w:t>5448–5448</w:t>
      </w:r>
    </w:p>
  </w:footnote>
  <w:footnote w:id="285">
    <w:p w14:paraId="605ED720" w14:textId="5534B770"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875B78" w:rsidRPr="00624A03">
        <w:rPr>
          <w:rFonts w:cs="Arial"/>
          <w:szCs w:val="15"/>
        </w:rPr>
        <w:t>Louis Bailey, Sonja Ellis, and Jay McNeil</w:t>
      </w:r>
      <w:r w:rsidR="0067701D" w:rsidRPr="00624A03">
        <w:rPr>
          <w:rFonts w:cs="Arial"/>
          <w:szCs w:val="15"/>
        </w:rPr>
        <w:t xml:space="preserve">, ”Suicide risk in the UK trans population and the role of gender transition in decreasing suicidal ideation and suicide attempt”, </w:t>
      </w:r>
      <w:r w:rsidR="0067701D" w:rsidRPr="00624A03">
        <w:rPr>
          <w:rFonts w:cs="Arial"/>
          <w:i/>
          <w:iCs/>
          <w:szCs w:val="15"/>
        </w:rPr>
        <w:t xml:space="preserve">Mental Health Review Journal, </w:t>
      </w:r>
      <w:r w:rsidR="0067701D" w:rsidRPr="00624A03">
        <w:rPr>
          <w:rFonts w:cs="Arial"/>
          <w:szCs w:val="15"/>
        </w:rPr>
        <w:t xml:space="preserve">(2014): 1361 – 9322. </w:t>
      </w:r>
    </w:p>
  </w:footnote>
  <w:footnote w:id="286">
    <w:p w14:paraId="316FDC0A" w14:textId="2392CF54"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9D0DF9" w:rsidRPr="00624A03">
        <w:rPr>
          <w:rFonts w:cs="Arial"/>
          <w:szCs w:val="15"/>
        </w:rPr>
        <w:t xml:space="preserve">Rosie Charter, Jane Ussher, Janette Perz and Kerry Robinson, ”Negotiating mental health amongst transgender parents in Australia”, </w:t>
      </w:r>
      <w:r w:rsidR="009D0DF9" w:rsidRPr="00624A03">
        <w:rPr>
          <w:rFonts w:cs="Arial"/>
          <w:i/>
          <w:iCs/>
          <w:szCs w:val="15"/>
        </w:rPr>
        <w:t xml:space="preserve">International Journal of Transgender Health, </w:t>
      </w:r>
      <w:r w:rsidR="009D0DF9" w:rsidRPr="00624A03">
        <w:rPr>
          <w:rFonts w:cs="Arial"/>
          <w:szCs w:val="15"/>
        </w:rPr>
        <w:t xml:space="preserve">vol. 23 (2021): 308 – 320. </w:t>
      </w:r>
    </w:p>
  </w:footnote>
  <w:footnote w:id="287">
    <w:p w14:paraId="2B593750" w14:textId="4974F74D"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9D4C39" w:rsidRPr="00624A03">
        <w:rPr>
          <w:rFonts w:cs="Arial"/>
          <w:szCs w:val="15"/>
        </w:rPr>
        <w:t xml:space="preserve">Nicola Harrison, Lisa Jacobs and Adrian Parke, ”Understanding the Lived Experiences of Transitioning Adults with Gender Dysphoria in the United Kingdom: An Interpretative Phenomenological Analysis”, </w:t>
      </w:r>
      <w:r w:rsidR="009D4C39" w:rsidRPr="00624A03">
        <w:rPr>
          <w:rFonts w:cs="Arial"/>
          <w:i/>
          <w:iCs/>
          <w:szCs w:val="15"/>
        </w:rPr>
        <w:t xml:space="preserve">Journal of LGBT Issues in Counselling, </w:t>
      </w:r>
      <w:r w:rsidR="009D4C39" w:rsidRPr="00624A03">
        <w:rPr>
          <w:rFonts w:cs="Arial"/>
          <w:szCs w:val="15"/>
        </w:rPr>
        <w:t xml:space="preserve">vol. 14 (2020): 38 – 55. </w:t>
      </w:r>
    </w:p>
  </w:footnote>
  <w:footnote w:id="288">
    <w:p w14:paraId="18ABBD13" w14:textId="77777777"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Pullen Sansfaçon et al., 2023</w:t>
      </w:r>
    </w:p>
  </w:footnote>
  <w:footnote w:id="289">
    <w:p w14:paraId="0F81408C" w14:textId="69BE36F2" w:rsidR="004604F9" w:rsidRPr="00624A03" w:rsidRDefault="004604F9" w:rsidP="004604F9">
      <w:pPr>
        <w:pStyle w:val="FootnoteText"/>
        <w:rPr>
          <w:rFonts w:cs="Arial"/>
          <w:szCs w:val="15"/>
        </w:rPr>
      </w:pPr>
      <w:r w:rsidRPr="006D6E17">
        <w:rPr>
          <w:rStyle w:val="FootnoteReference"/>
          <w:rFonts w:cs="Arial"/>
          <w:szCs w:val="15"/>
        </w:rPr>
        <w:footnoteRef/>
      </w:r>
      <w:r w:rsidRPr="00624A03">
        <w:rPr>
          <w:rFonts w:cs="Arial"/>
          <w:szCs w:val="15"/>
        </w:rPr>
        <w:t xml:space="preserve"> </w:t>
      </w:r>
      <w:r w:rsidR="00257F84" w:rsidRPr="00624A03">
        <w:rPr>
          <w:rFonts w:cs="Arial"/>
          <w:szCs w:val="15"/>
        </w:rPr>
        <w:t>Diana Tordoff, Jonathon Wanta, Arin Collin, Casalie Stepney, David Inwards-Breland and Kym Ahrens,</w:t>
      </w:r>
      <w:r w:rsidR="00143195" w:rsidRPr="00143195">
        <w:t xml:space="preserve"> </w:t>
      </w:r>
      <w:r w:rsidR="00143195">
        <w:t>“</w:t>
      </w:r>
      <w:r w:rsidR="00143195" w:rsidRPr="00624A03">
        <w:rPr>
          <w:rFonts w:cs="Arial"/>
          <w:szCs w:val="15"/>
        </w:rPr>
        <w:t xml:space="preserve">Mental health outcomes in transgender and nonbinary youths receiving gender-affirming care”, </w:t>
      </w:r>
      <w:r w:rsidR="00143195" w:rsidRPr="00624A03">
        <w:rPr>
          <w:rFonts w:cs="Arial"/>
          <w:i/>
          <w:iCs/>
          <w:szCs w:val="15"/>
        </w:rPr>
        <w:t>JAMA Network Open</w:t>
      </w:r>
      <w:r w:rsidR="00143195" w:rsidRPr="00624A03">
        <w:rPr>
          <w:rFonts w:cs="Arial"/>
          <w:szCs w:val="15"/>
        </w:rPr>
        <w:t>, vol. 5 (2022) e220978-e220978.</w:t>
      </w:r>
    </w:p>
  </w:footnote>
  <w:footnote w:id="290">
    <w:p w14:paraId="6C95E8A3"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Bailey et al., 2014; 3; </w:t>
      </w:r>
    </w:p>
  </w:footnote>
  <w:footnote w:id="291">
    <w:p w14:paraId="4E0AB4BE" w14:textId="77777777" w:rsidR="004604F9" w:rsidRPr="003C39FE" w:rsidRDefault="004604F9" w:rsidP="004604F9">
      <w:pPr>
        <w:pStyle w:val="FootnoteText"/>
        <w:rPr>
          <w:rFonts w:cs="Arial"/>
          <w:szCs w:val="15"/>
          <w:vertAlign w:val="superscript"/>
          <w:lang w:val="da-DK"/>
        </w:rPr>
      </w:pPr>
      <w:r w:rsidRPr="006D6E17">
        <w:rPr>
          <w:rStyle w:val="FootnoteReference"/>
          <w:rFonts w:cs="Arial"/>
          <w:szCs w:val="15"/>
        </w:rPr>
        <w:footnoteRef/>
      </w:r>
      <w:r w:rsidRPr="003C39FE">
        <w:rPr>
          <w:rFonts w:cs="Arial"/>
          <w:szCs w:val="15"/>
          <w:lang w:val="da-DK"/>
        </w:rPr>
        <w:t xml:space="preserve"> Pullen Sansfaçon et al., 2023</w:t>
      </w:r>
    </w:p>
  </w:footnote>
  <w:footnote w:id="292">
    <w:p w14:paraId="0BC4BCDC"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Strauss et al., 2021b</w:t>
      </w:r>
    </w:p>
  </w:footnote>
  <w:footnote w:id="293">
    <w:p w14:paraId="158E039D"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w:t>
      </w:r>
      <w:r w:rsidRPr="003C39FE">
        <w:rPr>
          <w:rFonts w:cs="Arial"/>
          <w:szCs w:val="15"/>
          <w:lang w:val="da-DK" w:eastAsia="en-AU"/>
        </w:rPr>
        <w:t>McNair &amp; Bush, 2016</w:t>
      </w:r>
    </w:p>
  </w:footnote>
  <w:footnote w:id="294">
    <w:p w14:paraId="042D60A6"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w:t>
      </w:r>
      <w:r w:rsidRPr="003C39FE">
        <w:rPr>
          <w:rFonts w:cs="Arial"/>
          <w:szCs w:val="15"/>
          <w:lang w:val="da-DK" w:eastAsia="en-AU"/>
        </w:rPr>
        <w:t>Riggs et al., 2014</w:t>
      </w:r>
    </w:p>
  </w:footnote>
  <w:footnote w:id="295">
    <w:p w14:paraId="5BE18623"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w:t>
      </w:r>
      <w:r w:rsidRPr="003C39FE">
        <w:rPr>
          <w:rFonts w:cs="Arial"/>
          <w:szCs w:val="15"/>
          <w:lang w:val="da-DK" w:eastAsia="en-AU"/>
        </w:rPr>
        <w:t>Taylor et al., 2021</w:t>
      </w:r>
    </w:p>
  </w:footnote>
  <w:footnote w:id="296">
    <w:p w14:paraId="75E3D1A4" w14:textId="79266F51" w:rsidR="004604F9" w:rsidRPr="00666F20"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w:t>
      </w:r>
      <w:r w:rsidR="009B440C">
        <w:rPr>
          <w:rFonts w:cs="Arial"/>
          <w:szCs w:val="15"/>
          <w:lang w:val="da-DK" w:eastAsia="en-AU"/>
        </w:rPr>
        <w:t xml:space="preserve">Elena Dimova, Rosaleen O’Brien, Lawrie Elliott, Jamie Frankis, and Carol Emslie, ”Exploring the experiences of alcohol service use among LGBTQ+ peopel in Scotland”, </w:t>
      </w:r>
      <w:r w:rsidR="00666F20">
        <w:rPr>
          <w:rFonts w:cs="Arial"/>
          <w:i/>
          <w:iCs/>
          <w:szCs w:val="15"/>
          <w:lang w:val="da-DK" w:eastAsia="en-AU"/>
        </w:rPr>
        <w:t xml:space="preserve">International Journal of Drug Policy, </w:t>
      </w:r>
      <w:r w:rsidR="00666F20">
        <w:rPr>
          <w:rFonts w:cs="Arial"/>
          <w:szCs w:val="15"/>
          <w:lang w:val="da-DK" w:eastAsia="en-AU"/>
        </w:rPr>
        <w:t xml:space="preserve">vol. 109 (2022): 103859. </w:t>
      </w:r>
    </w:p>
  </w:footnote>
  <w:footnote w:id="297">
    <w:p w14:paraId="3FEE741E"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w:t>
      </w:r>
      <w:r w:rsidRPr="003C39FE">
        <w:rPr>
          <w:rFonts w:cs="Arial"/>
          <w:szCs w:val="15"/>
          <w:lang w:val="da-DK" w:eastAsia="en-AU"/>
        </w:rPr>
        <w:t>Uink et al 2023</w:t>
      </w:r>
    </w:p>
  </w:footnote>
  <w:footnote w:id="298">
    <w:p w14:paraId="39E98056"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w:t>
      </w:r>
      <w:r w:rsidRPr="003C39FE">
        <w:rPr>
          <w:rFonts w:cs="Arial"/>
          <w:szCs w:val="15"/>
          <w:lang w:val="da-DK" w:eastAsia="en-AU"/>
        </w:rPr>
        <w:t>Hill et al., 2022</w:t>
      </w:r>
    </w:p>
  </w:footnote>
  <w:footnote w:id="299">
    <w:p w14:paraId="4DED2A20" w14:textId="404DA636" w:rsidR="004604F9" w:rsidRPr="003C39FE" w:rsidRDefault="004604F9" w:rsidP="004604F9">
      <w:pPr>
        <w:pStyle w:val="TableNumber2"/>
        <w:numPr>
          <w:ilvl w:val="0"/>
          <w:numId w:val="0"/>
        </w:numPr>
        <w:spacing w:before="0" w:after="0"/>
        <w:rPr>
          <w:rFonts w:ascii="Arial" w:hAnsi="Arial" w:cs="Arial"/>
          <w:sz w:val="15"/>
          <w:szCs w:val="15"/>
          <w:lang w:val="da-DK"/>
        </w:rPr>
      </w:pPr>
      <w:r w:rsidRPr="006D6E17">
        <w:rPr>
          <w:rStyle w:val="FootnoteReference"/>
          <w:rFonts w:ascii="Arial" w:hAnsi="Arial" w:cs="Arial"/>
          <w:sz w:val="15"/>
          <w:szCs w:val="15"/>
        </w:rPr>
        <w:footnoteRef/>
      </w:r>
      <w:r w:rsidRPr="003C39FE">
        <w:rPr>
          <w:rFonts w:ascii="Arial" w:hAnsi="Arial" w:cs="Arial"/>
          <w:sz w:val="15"/>
          <w:szCs w:val="15"/>
          <w:lang w:val="da-DK"/>
        </w:rPr>
        <w:t xml:space="preserve"> </w:t>
      </w:r>
      <w:r w:rsidR="000572BB">
        <w:rPr>
          <w:rFonts w:ascii="Arial" w:hAnsi="Arial" w:cs="Arial"/>
          <w:sz w:val="15"/>
          <w:szCs w:val="15"/>
          <w:lang w:val="da-DK"/>
        </w:rPr>
        <w:t>Timothy Cronin, Christopher Pepping, Kim Halford and Anthony Lyons,</w:t>
      </w:r>
      <w:r w:rsidR="000572BB">
        <w:rPr>
          <w:rFonts w:ascii="Arial" w:eastAsiaTheme="minorEastAsia" w:hAnsi="Arial" w:cs="Arial"/>
          <w:sz w:val="15"/>
          <w:szCs w:val="15"/>
          <w:lang w:val="da-DK"/>
        </w:rPr>
        <w:t xml:space="preserve"> ”Me</w:t>
      </w:r>
      <w:r w:rsidR="00325383" w:rsidRPr="00325383">
        <w:rPr>
          <w:rFonts w:ascii="Arial" w:eastAsiaTheme="minorEastAsia" w:hAnsi="Arial" w:cs="Arial"/>
          <w:sz w:val="15"/>
          <w:szCs w:val="15"/>
          <w:lang w:val="da-DK"/>
        </w:rPr>
        <w:t>ntal health help-seeking and barriers to service access among lesbian, gay, and bisexual Australians</w:t>
      </w:r>
      <w:r w:rsidR="00325383">
        <w:rPr>
          <w:rFonts w:ascii="Arial" w:eastAsiaTheme="minorEastAsia" w:hAnsi="Arial" w:cs="Arial"/>
          <w:sz w:val="15"/>
          <w:szCs w:val="15"/>
          <w:lang w:val="da-DK"/>
        </w:rPr>
        <w:t xml:space="preserve">”, </w:t>
      </w:r>
      <w:r w:rsidR="00325383" w:rsidRPr="00325383">
        <w:rPr>
          <w:rFonts w:ascii="Arial" w:eastAsiaTheme="minorEastAsia" w:hAnsi="Arial" w:cs="Arial"/>
          <w:sz w:val="15"/>
          <w:szCs w:val="15"/>
          <w:lang w:val="da-DK"/>
        </w:rPr>
        <w:t xml:space="preserve"> </w:t>
      </w:r>
      <w:r w:rsidR="00325383" w:rsidRPr="00325383">
        <w:rPr>
          <w:rFonts w:ascii="Arial" w:eastAsiaTheme="minorEastAsia" w:hAnsi="Arial" w:cs="Arial"/>
          <w:i/>
          <w:iCs/>
          <w:sz w:val="15"/>
          <w:szCs w:val="15"/>
          <w:lang w:val="da-DK"/>
        </w:rPr>
        <w:t>Australian Psychologist</w:t>
      </w:r>
      <w:r w:rsidR="00325383" w:rsidRPr="00325383">
        <w:rPr>
          <w:rFonts w:ascii="Arial" w:eastAsiaTheme="minorEastAsia" w:hAnsi="Arial" w:cs="Arial"/>
          <w:sz w:val="15"/>
          <w:szCs w:val="15"/>
          <w:lang w:val="da-DK"/>
        </w:rPr>
        <w:t xml:space="preserve">, </w:t>
      </w:r>
      <w:r w:rsidR="00325383">
        <w:rPr>
          <w:rFonts w:ascii="Arial" w:eastAsiaTheme="minorEastAsia" w:hAnsi="Arial" w:cs="Arial"/>
          <w:sz w:val="15"/>
          <w:szCs w:val="15"/>
          <w:lang w:val="da-DK"/>
        </w:rPr>
        <w:t xml:space="preserve">vol. </w:t>
      </w:r>
      <w:r w:rsidR="00325383" w:rsidRPr="00325383">
        <w:rPr>
          <w:rFonts w:ascii="Arial" w:eastAsiaTheme="minorEastAsia" w:hAnsi="Arial" w:cs="Arial"/>
          <w:sz w:val="15"/>
          <w:szCs w:val="15"/>
          <w:lang w:val="da-DK"/>
        </w:rPr>
        <w:t>56</w:t>
      </w:r>
      <w:r w:rsidR="00325383">
        <w:rPr>
          <w:rFonts w:ascii="Arial" w:eastAsiaTheme="minorEastAsia" w:hAnsi="Arial" w:cs="Arial"/>
          <w:sz w:val="15"/>
          <w:szCs w:val="15"/>
          <w:lang w:val="da-DK"/>
        </w:rPr>
        <w:t xml:space="preserve"> (2021):</w:t>
      </w:r>
      <w:r w:rsidR="00325383" w:rsidRPr="00325383">
        <w:rPr>
          <w:rFonts w:ascii="Arial" w:eastAsiaTheme="minorEastAsia" w:hAnsi="Arial" w:cs="Arial"/>
          <w:sz w:val="15"/>
          <w:szCs w:val="15"/>
          <w:lang w:val="da-DK"/>
        </w:rPr>
        <w:t xml:space="preserve"> 46-60.</w:t>
      </w:r>
    </w:p>
  </w:footnote>
  <w:footnote w:id="300">
    <w:p w14:paraId="1E75E106"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Bretherton et al., 2020; </w:t>
      </w:r>
    </w:p>
  </w:footnote>
  <w:footnote w:id="301">
    <w:p w14:paraId="2B465D07" w14:textId="77777777" w:rsidR="004604F9" w:rsidRPr="003C39FE" w:rsidRDefault="004604F9" w:rsidP="004604F9">
      <w:pPr>
        <w:pStyle w:val="FootnoteText"/>
        <w:rPr>
          <w:lang w:val="da-DK"/>
        </w:rPr>
      </w:pPr>
      <w:r w:rsidRPr="006D6E17">
        <w:rPr>
          <w:rStyle w:val="FootnoteReference"/>
          <w:rFonts w:cs="Arial"/>
          <w:szCs w:val="15"/>
        </w:rPr>
        <w:footnoteRef/>
      </w:r>
      <w:r w:rsidRPr="003C39FE">
        <w:rPr>
          <w:rFonts w:cs="Arial"/>
          <w:szCs w:val="15"/>
          <w:lang w:val="da-DK"/>
        </w:rPr>
        <w:t xml:space="preserve"> Martin et al., 2019b</w:t>
      </w:r>
    </w:p>
  </w:footnote>
  <w:footnote w:id="302">
    <w:p w14:paraId="456B91B6" w14:textId="77777777" w:rsidR="004604F9" w:rsidRPr="003C39FE" w:rsidRDefault="004604F9" w:rsidP="004604F9">
      <w:pPr>
        <w:pStyle w:val="FootnoteText"/>
        <w:rPr>
          <w:rFonts w:cs="Arial"/>
          <w:szCs w:val="15"/>
          <w:lang w:val="da-DK"/>
        </w:rPr>
      </w:pPr>
      <w:r w:rsidRPr="006D6E17">
        <w:rPr>
          <w:rStyle w:val="FootnoteReference"/>
          <w:rFonts w:cs="Arial"/>
          <w:szCs w:val="15"/>
        </w:rPr>
        <w:footnoteRef/>
      </w:r>
      <w:r w:rsidRPr="003C39FE">
        <w:rPr>
          <w:rFonts w:cs="Arial"/>
          <w:szCs w:val="15"/>
          <w:lang w:val="da-DK"/>
        </w:rPr>
        <w:t xml:space="preserve"> Jones et al, 2022</w:t>
      </w:r>
    </w:p>
  </w:footnote>
  <w:footnote w:id="303">
    <w:p w14:paraId="4AC1C77C" w14:textId="77777777" w:rsidR="004604F9" w:rsidRPr="003C39FE" w:rsidRDefault="004604F9" w:rsidP="004604F9">
      <w:pPr>
        <w:pStyle w:val="FootnoteText"/>
        <w:rPr>
          <w:lang w:val="da-DK"/>
        </w:rPr>
      </w:pPr>
      <w:r w:rsidRPr="006D6E17">
        <w:rPr>
          <w:rStyle w:val="FootnoteReference"/>
          <w:rFonts w:cs="Arial"/>
          <w:szCs w:val="15"/>
        </w:rPr>
        <w:footnoteRef/>
      </w:r>
      <w:r w:rsidRPr="003C39FE">
        <w:rPr>
          <w:rFonts w:cs="Arial"/>
          <w:szCs w:val="15"/>
          <w:lang w:val="da-DK"/>
        </w:rPr>
        <w:t xml:space="preserve"> Bellingham et al., 2023</w:t>
      </w:r>
    </w:p>
  </w:footnote>
  <w:footnote w:id="304">
    <w:p w14:paraId="5AE82182" w14:textId="77777777" w:rsidR="00746AAF" w:rsidRDefault="00746AAF" w:rsidP="00746AAF">
      <w:pPr>
        <w:pStyle w:val="FootnoteText"/>
      </w:pPr>
      <w:r>
        <w:rPr>
          <w:rStyle w:val="FootnoteReference"/>
        </w:rPr>
        <w:footnoteRef/>
      </w:r>
      <w:r>
        <w:t xml:space="preserve"> For example, the ACT Government has adopted such a model for their </w:t>
      </w:r>
      <w:hyperlink r:id="rId49" w:anchor=":~:text=The%20Capital%20of%20Equality%20Strategy,and%20marginalisation%20for%20LGBTIQ%2B%20Canberrans.">
        <w:r w:rsidRPr="78DEB6AE">
          <w:rPr>
            <w:rStyle w:val="Hyperlink"/>
            <w:i/>
            <w:iCs/>
          </w:rPr>
          <w:t>Capital of Equality Strategy,</w:t>
        </w:r>
      </w:hyperlink>
      <w:r>
        <w:t xml:space="preserve"> which is underpinned by biennial Action Plans.</w:t>
      </w:r>
    </w:p>
  </w:footnote>
  <w:footnote w:id="305">
    <w:p w14:paraId="165A51B2" w14:textId="77777777" w:rsidR="00746AAF" w:rsidRDefault="00746AAF" w:rsidP="00746AAF">
      <w:pPr>
        <w:pStyle w:val="FootnoteText"/>
      </w:pPr>
      <w:r>
        <w:rPr>
          <w:rStyle w:val="FootnoteReference"/>
        </w:rPr>
        <w:footnoteRef/>
      </w:r>
      <w:r>
        <w:t xml:space="preserve"> </w:t>
      </w:r>
      <w:r w:rsidRPr="00AE5A28">
        <w:t>This is</w:t>
      </w:r>
      <w:r>
        <w:t xml:space="preserve"> consistent with the Government’s commitment to support lived experience, collaboration and leadership in mental health research under the 2022 </w:t>
      </w:r>
      <w:hyperlink r:id="rId50" w:history="1">
        <w:r w:rsidRPr="008C5FD1">
          <w:rPr>
            <w:rStyle w:val="Hyperlink"/>
          </w:rPr>
          <w:t>National Mental Health Research Strategy</w:t>
        </w:r>
      </w:hyperlink>
    </w:p>
  </w:footnote>
  <w:footnote w:id="306">
    <w:p w14:paraId="21FCC87F" w14:textId="482AF6A8" w:rsidR="00746AAF" w:rsidRPr="00624A03" w:rsidRDefault="00746AAF" w:rsidP="00746AAF">
      <w:pPr>
        <w:pStyle w:val="FootnoteText"/>
      </w:pPr>
      <w:r>
        <w:rPr>
          <w:rStyle w:val="FootnoteReference"/>
        </w:rPr>
        <w:footnoteRef/>
      </w:r>
      <w:r w:rsidRPr="00624A03">
        <w:t xml:space="preserve"> </w:t>
      </w:r>
      <w:r w:rsidR="00D00B3E" w:rsidRPr="00624A03">
        <w:t xml:space="preserve">Jo Brett, Sophie Staniszewska, Carole Mockford, Sandra Herron-Marx, John Hughes, Colin Tysall and Rashida Suleman, Mapping the impact of patient and public involvement on health and social care research: A systematic review. </w:t>
      </w:r>
      <w:r w:rsidR="00D00B3E" w:rsidRPr="00624A03">
        <w:rPr>
          <w:i/>
          <w:iCs/>
        </w:rPr>
        <w:t>Health Expectations</w:t>
      </w:r>
      <w:r w:rsidR="00D00B3E" w:rsidRPr="00624A03">
        <w:t>, vol. 17 (2012): 637–650.</w:t>
      </w:r>
    </w:p>
  </w:footnote>
  <w:footnote w:id="307">
    <w:p w14:paraId="79A477C4" w14:textId="77777777" w:rsidR="00746AAF" w:rsidRPr="00624A03" w:rsidRDefault="00746AAF" w:rsidP="00746AAF">
      <w:pPr>
        <w:pStyle w:val="FootnoteText"/>
      </w:pPr>
      <w:r>
        <w:rPr>
          <w:rStyle w:val="FootnoteReference"/>
        </w:rPr>
        <w:footnoteRef/>
      </w:r>
      <w:r w:rsidRPr="00624A03">
        <w:t xml:space="preserve"> Uink et al 2020</w:t>
      </w:r>
    </w:p>
  </w:footnote>
  <w:footnote w:id="308">
    <w:p w14:paraId="35938CEB" w14:textId="77777777" w:rsidR="00746AAF" w:rsidRPr="00956B5E" w:rsidRDefault="00746AAF" w:rsidP="00746AAF">
      <w:pPr>
        <w:pStyle w:val="FootnoteText"/>
      </w:pPr>
      <w:r w:rsidRPr="00956B5E">
        <w:rPr>
          <w:rStyle w:val="FootnoteReference"/>
        </w:rPr>
        <w:footnoteRef/>
      </w:r>
      <w:r w:rsidRPr="00956B5E">
        <w:t xml:space="preserve"> Evolve Communities, </w:t>
      </w:r>
      <w:r w:rsidRPr="00956B5E">
        <w:rPr>
          <w:i/>
          <w:iCs/>
        </w:rPr>
        <w:t xml:space="preserve">Aboriginal Diversity – Why one size does not fit all, </w:t>
      </w:r>
      <w:r w:rsidRPr="00956B5E">
        <w:t>https://www.evolves.com.au/aboriginal-diversity/</w:t>
      </w:r>
    </w:p>
  </w:footnote>
  <w:footnote w:id="309">
    <w:p w14:paraId="7891F0CE" w14:textId="77777777" w:rsidR="00746AAF" w:rsidRPr="0090014E" w:rsidRDefault="00746AAF" w:rsidP="00746AAF">
      <w:pPr>
        <w:pStyle w:val="FootnoteText"/>
        <w:rPr>
          <w:sz w:val="16"/>
          <w:szCs w:val="22"/>
          <w:lang w:val="en-US"/>
        </w:rPr>
      </w:pPr>
      <w:r w:rsidRPr="0090014E">
        <w:rPr>
          <w:rStyle w:val="FootnoteReference"/>
          <w:sz w:val="16"/>
          <w:szCs w:val="22"/>
        </w:rPr>
        <w:footnoteRef/>
      </w:r>
      <w:r w:rsidRPr="0090014E">
        <w:rPr>
          <w:sz w:val="16"/>
          <w:szCs w:val="22"/>
        </w:rPr>
        <w:t xml:space="preserve"> See for example the Australian National Mental Health Commission, </w:t>
      </w:r>
      <w:r w:rsidRPr="0090014E">
        <w:rPr>
          <w:i/>
          <w:iCs/>
          <w:sz w:val="16"/>
          <w:szCs w:val="22"/>
        </w:rPr>
        <w:t xml:space="preserve">Contributing Lives, Thriving Communities, </w:t>
      </w:r>
      <w:r w:rsidRPr="0090014E">
        <w:rPr>
          <w:sz w:val="16"/>
          <w:szCs w:val="22"/>
        </w:rPr>
        <w:t>https://www.mentalhealthcommission.gov.au/lived-experience/contributing-lives,-thriving-communities</w:t>
      </w:r>
    </w:p>
  </w:footnote>
  <w:footnote w:id="310">
    <w:p w14:paraId="7306852C" w14:textId="77777777" w:rsidR="00746AAF" w:rsidRPr="00932817" w:rsidRDefault="00746AAF" w:rsidP="00746AAF">
      <w:pPr>
        <w:pStyle w:val="FootnoteText"/>
        <w:rPr>
          <w:lang w:val="da-DK"/>
        </w:rPr>
      </w:pPr>
      <w:r w:rsidRPr="0090014E">
        <w:rPr>
          <w:rStyle w:val="FootnoteReference"/>
          <w:sz w:val="16"/>
          <w:szCs w:val="22"/>
        </w:rPr>
        <w:footnoteRef/>
      </w:r>
      <w:r w:rsidRPr="0090014E">
        <w:rPr>
          <w:sz w:val="16"/>
          <w:szCs w:val="22"/>
          <w:lang w:val="da-DK"/>
        </w:rPr>
        <w:t xml:space="preserve"> Bowman et al., 2020</w:t>
      </w:r>
    </w:p>
  </w:footnote>
  <w:footnote w:id="311">
    <w:p w14:paraId="5C2FD721" w14:textId="77777777" w:rsidR="00746AAF" w:rsidRPr="0090014E" w:rsidRDefault="00746AAF" w:rsidP="00746AAF">
      <w:pPr>
        <w:pStyle w:val="FootnoteText"/>
        <w:rPr>
          <w:sz w:val="16"/>
          <w:szCs w:val="22"/>
          <w:lang w:val="da-DK"/>
        </w:rPr>
      </w:pPr>
      <w:r w:rsidRPr="0090014E">
        <w:rPr>
          <w:rStyle w:val="FootnoteReference"/>
          <w:sz w:val="16"/>
          <w:szCs w:val="22"/>
        </w:rPr>
        <w:footnoteRef/>
      </w:r>
      <w:r w:rsidRPr="0090014E">
        <w:rPr>
          <w:sz w:val="16"/>
          <w:szCs w:val="22"/>
          <w:lang w:val="da-DK"/>
        </w:rPr>
        <w:t xml:space="preserve"> Uink et al 2022 </w:t>
      </w:r>
    </w:p>
  </w:footnote>
  <w:footnote w:id="312">
    <w:p w14:paraId="7892C8BA" w14:textId="77777777" w:rsidR="00746AAF" w:rsidRPr="00C40980" w:rsidRDefault="00746AAF" w:rsidP="00746AAF">
      <w:pPr>
        <w:pStyle w:val="FootnoteText"/>
        <w:rPr>
          <w:sz w:val="16"/>
          <w:szCs w:val="22"/>
        </w:rPr>
      </w:pPr>
      <w:r w:rsidRPr="00C40980">
        <w:rPr>
          <w:rStyle w:val="FootnoteReference"/>
          <w:sz w:val="16"/>
          <w:szCs w:val="22"/>
        </w:rPr>
        <w:footnoteRef/>
      </w:r>
      <w:r w:rsidRPr="00C40980">
        <w:rPr>
          <w:sz w:val="16"/>
          <w:szCs w:val="22"/>
        </w:rPr>
        <w:t xml:space="preserve"> Priddle, T., Crawford, T., &amp; Power, T. 2023, “The inclusion and representation of LGBTIQ+ content in undergraduate nurse education: A scoping review”, </w:t>
      </w:r>
      <w:r w:rsidRPr="00C40980">
        <w:rPr>
          <w:i/>
          <w:iCs/>
          <w:sz w:val="16"/>
          <w:szCs w:val="22"/>
        </w:rPr>
        <w:t xml:space="preserve">Nurse Education Today, </w:t>
      </w:r>
      <w:r w:rsidRPr="00C40980">
        <w:rPr>
          <w:sz w:val="16"/>
          <w:szCs w:val="22"/>
        </w:rPr>
        <w:t>vol. 124, p. 105771-105771.</w:t>
      </w:r>
    </w:p>
  </w:footnote>
  <w:footnote w:id="313">
    <w:p w14:paraId="322B6E86" w14:textId="7B349C54" w:rsidR="00746AAF" w:rsidRPr="003762F7" w:rsidRDefault="00746AAF" w:rsidP="00746AAF">
      <w:pPr>
        <w:pStyle w:val="FootnoteText"/>
        <w:rPr>
          <w:sz w:val="16"/>
          <w:szCs w:val="22"/>
          <w:lang w:val="en-US"/>
        </w:rPr>
      </w:pPr>
      <w:r w:rsidRPr="00C40980">
        <w:rPr>
          <w:rStyle w:val="FootnoteReference"/>
          <w:sz w:val="16"/>
          <w:szCs w:val="22"/>
        </w:rPr>
        <w:footnoteRef/>
      </w:r>
      <w:r w:rsidRPr="00C40980">
        <w:rPr>
          <w:sz w:val="16"/>
          <w:szCs w:val="22"/>
        </w:rPr>
        <w:t xml:space="preserve"> </w:t>
      </w:r>
      <w:r w:rsidR="003762F7">
        <w:rPr>
          <w:sz w:val="16"/>
          <w:szCs w:val="22"/>
        </w:rPr>
        <w:t xml:space="preserve">Tamara Reynish, Ha Hoang, Heather Bridgman and Brona Nic Giolla Easpaig, “Psychological Distress, Resilience and Help-Seeking Experiences of LGBTIQA+ People in Rural Australia”, in </w:t>
      </w:r>
      <w:r w:rsidR="003762F7">
        <w:rPr>
          <w:i/>
          <w:iCs/>
          <w:sz w:val="16"/>
          <w:szCs w:val="22"/>
        </w:rPr>
        <w:t xml:space="preserve">International Journal of Environmental research and Public Health, </w:t>
      </w:r>
      <w:r w:rsidR="003762F7">
        <w:rPr>
          <w:sz w:val="16"/>
          <w:szCs w:val="22"/>
        </w:rPr>
        <w:t xml:space="preserve">vol. 20 (2023): 2842. </w:t>
      </w:r>
    </w:p>
  </w:footnote>
  <w:footnote w:id="314">
    <w:p w14:paraId="473BD456" w14:textId="0D355D57" w:rsidR="00746AAF" w:rsidRPr="00C40980" w:rsidRDefault="00746AAF" w:rsidP="00746AAF">
      <w:pPr>
        <w:pStyle w:val="FootnoteText"/>
        <w:rPr>
          <w:sz w:val="16"/>
          <w:szCs w:val="22"/>
        </w:rPr>
      </w:pPr>
      <w:r w:rsidRPr="00C40980">
        <w:rPr>
          <w:rStyle w:val="FootnoteReference"/>
          <w:sz w:val="16"/>
          <w:szCs w:val="22"/>
        </w:rPr>
        <w:footnoteRef/>
      </w:r>
      <w:r w:rsidRPr="00C40980">
        <w:rPr>
          <w:sz w:val="16"/>
          <w:szCs w:val="22"/>
        </w:rPr>
        <w:t xml:space="preserve"> Damian M. Vann, Damien W. Riggs &amp; Heather J.</w:t>
      </w:r>
      <w:r w:rsidR="003762F7">
        <w:rPr>
          <w:sz w:val="16"/>
          <w:szCs w:val="22"/>
        </w:rPr>
        <w:t>, “</w:t>
      </w:r>
      <w:r w:rsidRPr="00C40980">
        <w:rPr>
          <w:sz w:val="16"/>
          <w:szCs w:val="22"/>
        </w:rPr>
        <w:t>Implementing a brief E-training opportunity for mental health practitioners working with non-binary clients</w:t>
      </w:r>
      <w:r w:rsidR="003762F7">
        <w:rPr>
          <w:sz w:val="16"/>
          <w:szCs w:val="22"/>
        </w:rPr>
        <w:t>”</w:t>
      </w:r>
      <w:r w:rsidRPr="00C40980">
        <w:rPr>
          <w:sz w:val="16"/>
          <w:szCs w:val="22"/>
        </w:rPr>
        <w:t xml:space="preserve">, </w:t>
      </w:r>
      <w:r w:rsidRPr="003762F7">
        <w:rPr>
          <w:i/>
          <w:iCs/>
          <w:sz w:val="16"/>
          <w:szCs w:val="22"/>
        </w:rPr>
        <w:t>Australian Psychologist</w:t>
      </w:r>
      <w:r w:rsidRPr="00C40980">
        <w:rPr>
          <w:sz w:val="16"/>
          <w:szCs w:val="22"/>
        </w:rPr>
        <w:t xml:space="preserve">, </w:t>
      </w:r>
      <w:r w:rsidR="003762F7">
        <w:rPr>
          <w:sz w:val="16"/>
          <w:szCs w:val="22"/>
        </w:rPr>
        <w:t xml:space="preserve">vol. </w:t>
      </w:r>
      <w:r w:rsidRPr="00C40980">
        <w:rPr>
          <w:sz w:val="16"/>
          <w:szCs w:val="22"/>
        </w:rPr>
        <w:t>56</w:t>
      </w:r>
      <w:r w:rsidR="003C4CB3">
        <w:rPr>
          <w:sz w:val="16"/>
          <w:szCs w:val="22"/>
        </w:rPr>
        <w:t xml:space="preserve"> (2021):</w:t>
      </w:r>
      <w:r w:rsidRPr="00C40980">
        <w:rPr>
          <w:sz w:val="16"/>
          <w:szCs w:val="22"/>
        </w:rPr>
        <w:t xml:space="preserve"> 299-310</w:t>
      </w:r>
      <w:r w:rsidR="003C4CB3">
        <w:rPr>
          <w:sz w:val="16"/>
          <w:szCs w:val="22"/>
        </w:rPr>
        <w:t>.</w:t>
      </w:r>
    </w:p>
  </w:footnote>
  <w:footnote w:id="315">
    <w:p w14:paraId="5D4DAFEC" w14:textId="77777777" w:rsidR="00746AAF" w:rsidRPr="00334D27" w:rsidRDefault="00746AAF" w:rsidP="00746AAF">
      <w:pPr>
        <w:pStyle w:val="FootnoteText"/>
        <w:rPr>
          <w:lang w:val="en-US"/>
        </w:rPr>
      </w:pPr>
      <w:r w:rsidRPr="00C40980">
        <w:rPr>
          <w:rStyle w:val="FootnoteReference"/>
          <w:sz w:val="16"/>
          <w:szCs w:val="22"/>
        </w:rPr>
        <w:footnoteRef/>
      </w:r>
      <w:r w:rsidRPr="00C40980">
        <w:rPr>
          <w:sz w:val="16"/>
          <w:szCs w:val="22"/>
        </w:rPr>
        <w:t xml:space="preserve"> </w:t>
      </w:r>
      <w:r w:rsidRPr="00C40980">
        <w:rPr>
          <w:sz w:val="16"/>
          <w:szCs w:val="22"/>
          <w:lang w:val="en-US"/>
        </w:rPr>
        <w:t xml:space="preserve">National Mental Health Commission, </w:t>
      </w:r>
      <w:r w:rsidRPr="00C40980">
        <w:rPr>
          <w:i/>
          <w:iCs/>
          <w:sz w:val="16"/>
          <w:szCs w:val="22"/>
          <w:lang w:val="en-US"/>
        </w:rPr>
        <w:t xml:space="preserve">Vision 2030 </w:t>
      </w:r>
      <w:r w:rsidRPr="00C40980">
        <w:rPr>
          <w:sz w:val="16"/>
          <w:szCs w:val="22"/>
          <w:lang w:val="en-US"/>
        </w:rPr>
        <w:t>p. 12</w:t>
      </w:r>
    </w:p>
  </w:footnote>
  <w:footnote w:id="316">
    <w:p w14:paraId="0862D1EC" w14:textId="77777777" w:rsidR="00746AAF" w:rsidRPr="00C40980" w:rsidRDefault="00746AAF" w:rsidP="00746AAF">
      <w:pPr>
        <w:pStyle w:val="FootnoteText"/>
        <w:rPr>
          <w:sz w:val="16"/>
          <w:szCs w:val="22"/>
          <w:lang w:val="en-US"/>
        </w:rPr>
      </w:pPr>
      <w:r w:rsidRPr="00C40980">
        <w:rPr>
          <w:rStyle w:val="FootnoteReference"/>
          <w:sz w:val="16"/>
          <w:szCs w:val="22"/>
        </w:rPr>
        <w:footnoteRef/>
      </w:r>
      <w:r w:rsidRPr="00C40980">
        <w:rPr>
          <w:sz w:val="16"/>
          <w:szCs w:val="22"/>
        </w:rPr>
        <w:t xml:space="preserve"> </w:t>
      </w:r>
      <w:r w:rsidRPr="003C4CB3">
        <w:rPr>
          <w:rFonts w:eastAsiaTheme="minorEastAsia"/>
          <w:sz w:val="16"/>
          <w:szCs w:val="22"/>
        </w:rPr>
        <w:t>Jones, 2016; Amos et al., 2023</w:t>
      </w:r>
    </w:p>
  </w:footnote>
  <w:footnote w:id="317">
    <w:p w14:paraId="521BEE66" w14:textId="77777777" w:rsidR="00746AAF" w:rsidRPr="00C40980" w:rsidRDefault="00746AAF" w:rsidP="00746AAF">
      <w:pPr>
        <w:pStyle w:val="FootnoteText"/>
        <w:rPr>
          <w:sz w:val="16"/>
          <w:szCs w:val="22"/>
        </w:rPr>
      </w:pPr>
      <w:r w:rsidRPr="00C40980">
        <w:rPr>
          <w:rStyle w:val="FootnoteReference"/>
          <w:sz w:val="16"/>
          <w:szCs w:val="22"/>
        </w:rPr>
        <w:footnoteRef/>
      </w:r>
      <w:r w:rsidRPr="00C40980">
        <w:rPr>
          <w:sz w:val="16"/>
          <w:szCs w:val="22"/>
        </w:rPr>
        <w:t xml:space="preserve"> National Mental Health Commission 2019, </w:t>
      </w:r>
      <w:r w:rsidRPr="00C40980">
        <w:rPr>
          <w:i/>
          <w:iCs/>
          <w:sz w:val="16"/>
          <w:szCs w:val="22"/>
        </w:rPr>
        <w:t xml:space="preserve">Vision 2030 </w:t>
      </w:r>
      <w:r w:rsidRPr="00C40980">
        <w:rPr>
          <w:sz w:val="16"/>
          <w:szCs w:val="22"/>
        </w:rPr>
        <w:t xml:space="preserve">p.34 </w:t>
      </w:r>
    </w:p>
  </w:footnote>
  <w:footnote w:id="318">
    <w:p w14:paraId="1495AA94" w14:textId="38D5990A" w:rsidR="00746AAF" w:rsidRPr="00C40980" w:rsidRDefault="00746AAF" w:rsidP="00746AAF">
      <w:pPr>
        <w:pStyle w:val="FootnoteText"/>
        <w:rPr>
          <w:sz w:val="16"/>
          <w:szCs w:val="22"/>
        </w:rPr>
      </w:pPr>
      <w:r w:rsidRPr="00C40980">
        <w:rPr>
          <w:rStyle w:val="FootnoteReference"/>
          <w:sz w:val="16"/>
          <w:szCs w:val="22"/>
        </w:rPr>
        <w:footnoteRef/>
      </w:r>
      <w:r w:rsidRPr="00C40980">
        <w:rPr>
          <w:sz w:val="16"/>
          <w:szCs w:val="22"/>
        </w:rPr>
        <w:t xml:space="preserve"> NSW Government Agency for Clinical Innovation</w:t>
      </w:r>
      <w:r w:rsidR="00B76030">
        <w:rPr>
          <w:sz w:val="16"/>
          <w:szCs w:val="22"/>
        </w:rPr>
        <w:t xml:space="preserve">, </w:t>
      </w:r>
      <w:r w:rsidRPr="00C40980">
        <w:rPr>
          <w:i/>
          <w:iCs/>
          <w:sz w:val="16"/>
          <w:szCs w:val="22"/>
        </w:rPr>
        <w:t>Traum-informed care and practice in mental health services</w:t>
      </w:r>
      <w:r w:rsidR="00B76030">
        <w:rPr>
          <w:i/>
          <w:iCs/>
          <w:sz w:val="16"/>
          <w:szCs w:val="22"/>
        </w:rPr>
        <w:t xml:space="preserve"> </w:t>
      </w:r>
      <w:r w:rsidR="00B76030">
        <w:rPr>
          <w:sz w:val="16"/>
          <w:szCs w:val="22"/>
        </w:rPr>
        <w:t>(2023)</w:t>
      </w:r>
      <w:r w:rsidRPr="00C40980">
        <w:rPr>
          <w:i/>
          <w:iCs/>
          <w:sz w:val="16"/>
          <w:szCs w:val="22"/>
        </w:rPr>
        <w:t xml:space="preserve"> </w:t>
      </w:r>
      <w:r w:rsidRPr="00C40980">
        <w:rPr>
          <w:sz w:val="16"/>
          <w:szCs w:val="22"/>
        </w:rPr>
        <w:t>https://aci.health.nsw.gov.au/networks/mental-health/trauma-informed-care</w:t>
      </w:r>
    </w:p>
  </w:footnote>
  <w:footnote w:id="319">
    <w:p w14:paraId="4CBDBC58" w14:textId="2E3AB624" w:rsidR="00746AAF" w:rsidRPr="009943A2" w:rsidRDefault="00746AAF" w:rsidP="00746AAF">
      <w:pPr>
        <w:pStyle w:val="FootnoteText"/>
        <w:rPr>
          <w:lang w:val="en-US"/>
        </w:rPr>
      </w:pPr>
      <w:r w:rsidRPr="00C40980">
        <w:rPr>
          <w:rStyle w:val="FootnoteReference"/>
          <w:sz w:val="16"/>
          <w:szCs w:val="22"/>
        </w:rPr>
        <w:footnoteRef/>
      </w:r>
      <w:r w:rsidRPr="00C40980">
        <w:rPr>
          <w:sz w:val="16"/>
          <w:szCs w:val="22"/>
        </w:rPr>
        <w:t xml:space="preserve"> </w:t>
      </w:r>
      <w:r w:rsidRPr="00C40980">
        <w:rPr>
          <w:sz w:val="16"/>
          <w:szCs w:val="22"/>
          <w:lang w:val="en-US"/>
        </w:rPr>
        <w:t xml:space="preserve">See: </w:t>
      </w:r>
      <w:r w:rsidR="00B76030">
        <w:rPr>
          <w:sz w:val="16"/>
          <w:szCs w:val="22"/>
          <w:lang w:val="en-US"/>
        </w:rPr>
        <w:t>Hill et al., 2022</w:t>
      </w:r>
      <w:r w:rsidRPr="00C40980">
        <w:rPr>
          <w:sz w:val="16"/>
          <w:szCs w:val="22"/>
          <w:lang w:val="en-US"/>
        </w:rPr>
        <w:t xml:space="preserve"> </w:t>
      </w:r>
    </w:p>
  </w:footnote>
  <w:footnote w:id="320">
    <w:p w14:paraId="25EF47DF" w14:textId="3DDFC6BE" w:rsidR="00746AAF" w:rsidRDefault="00746AAF" w:rsidP="00746AAF">
      <w:pPr>
        <w:pStyle w:val="FootnoteText"/>
        <w:rPr>
          <w:lang w:val="en-US"/>
        </w:rPr>
      </w:pPr>
      <w:r w:rsidRPr="00E76C3A">
        <w:rPr>
          <w:rStyle w:val="FootnoteReference"/>
          <w:sz w:val="16"/>
          <w:szCs w:val="22"/>
        </w:rPr>
        <w:footnoteRef/>
      </w:r>
      <w:r w:rsidRPr="00E76C3A">
        <w:rPr>
          <w:sz w:val="16"/>
          <w:szCs w:val="22"/>
        </w:rPr>
        <w:t xml:space="preserve"> </w:t>
      </w:r>
      <w:r w:rsidRPr="00E76C3A">
        <w:rPr>
          <w:sz w:val="16"/>
          <w:szCs w:val="22"/>
          <w:lang w:val="en-US"/>
        </w:rPr>
        <w:t>Perales</w:t>
      </w:r>
      <w:r w:rsidR="006230B4">
        <w:rPr>
          <w:sz w:val="16"/>
          <w:szCs w:val="22"/>
          <w:lang w:val="en-US"/>
        </w:rPr>
        <w:t xml:space="preserve"> &amp;</w:t>
      </w:r>
      <w:r w:rsidRPr="00E76C3A">
        <w:rPr>
          <w:sz w:val="16"/>
          <w:szCs w:val="22"/>
          <w:lang w:val="en-US"/>
        </w:rPr>
        <w:t xml:space="preserve"> Todd</w:t>
      </w:r>
      <w:r w:rsidR="006230B4">
        <w:rPr>
          <w:sz w:val="16"/>
          <w:szCs w:val="22"/>
          <w:lang w:val="en-US"/>
        </w:rPr>
        <w:t xml:space="preserve">., </w:t>
      </w:r>
      <w:r w:rsidRPr="00E76C3A">
        <w:rPr>
          <w:sz w:val="16"/>
          <w:szCs w:val="22"/>
          <w:lang w:val="en-US"/>
        </w:rPr>
        <w:t xml:space="preserve">2018 </w:t>
      </w:r>
    </w:p>
  </w:footnote>
  <w:footnote w:id="321">
    <w:p w14:paraId="67A50FEC" w14:textId="77777777" w:rsidR="00746AAF" w:rsidRPr="00E76C3A" w:rsidRDefault="00746AAF" w:rsidP="00746AAF">
      <w:pPr>
        <w:pStyle w:val="FootnoteText"/>
        <w:rPr>
          <w:sz w:val="16"/>
          <w:szCs w:val="22"/>
          <w:lang w:val="en-US"/>
        </w:rPr>
      </w:pPr>
      <w:r w:rsidRPr="00E76C3A">
        <w:rPr>
          <w:rStyle w:val="FootnoteReference"/>
          <w:sz w:val="16"/>
          <w:szCs w:val="22"/>
        </w:rPr>
        <w:footnoteRef/>
      </w:r>
      <w:r w:rsidRPr="00E76C3A">
        <w:rPr>
          <w:sz w:val="16"/>
          <w:szCs w:val="22"/>
        </w:rPr>
        <w:t xml:space="preserve"> </w:t>
      </w:r>
      <w:r w:rsidRPr="00E76C3A">
        <w:rPr>
          <w:sz w:val="16"/>
          <w:szCs w:val="22"/>
          <w:lang w:val="en-US"/>
        </w:rPr>
        <w:t xml:space="preserve">National Mental Health Commission, </w:t>
      </w:r>
      <w:r w:rsidRPr="00E76C3A">
        <w:rPr>
          <w:i/>
          <w:iCs/>
          <w:sz w:val="16"/>
          <w:szCs w:val="22"/>
          <w:lang w:val="en-US"/>
        </w:rPr>
        <w:t>National Stigma and Discrimination Reduction Strategy, https://www.mentalhealthcommission.gov.au/projects/stigma-and-discrimination-reduction-strategy.</w:t>
      </w:r>
    </w:p>
  </w:footnote>
  <w:footnote w:id="322">
    <w:p w14:paraId="4260CFBD" w14:textId="77777777" w:rsidR="00746AAF" w:rsidRPr="00A17178" w:rsidRDefault="00746AAF" w:rsidP="00746AAF">
      <w:pPr>
        <w:pStyle w:val="FootnoteText"/>
        <w:rPr>
          <w:lang w:val="en-US"/>
        </w:rPr>
      </w:pPr>
      <w:r w:rsidRPr="00E76C3A">
        <w:rPr>
          <w:rStyle w:val="FootnoteReference"/>
          <w:sz w:val="16"/>
          <w:szCs w:val="22"/>
        </w:rPr>
        <w:footnoteRef/>
      </w:r>
      <w:r w:rsidRPr="00E76C3A">
        <w:rPr>
          <w:sz w:val="16"/>
          <w:szCs w:val="22"/>
        </w:rPr>
        <w:t xml:space="preserve"> Royal Commission into Violence, Abuse, Neglect and Exploitation of People with Disability: Final Report p. 198.</w:t>
      </w:r>
    </w:p>
  </w:footnote>
  <w:footnote w:id="323">
    <w:p w14:paraId="170E5AEE" w14:textId="77777777" w:rsidR="00746AAF" w:rsidRPr="00E76C3A" w:rsidRDefault="00746AAF" w:rsidP="00746AAF">
      <w:pPr>
        <w:pStyle w:val="FootnoteText"/>
        <w:rPr>
          <w:sz w:val="16"/>
          <w:szCs w:val="22"/>
        </w:rPr>
      </w:pPr>
      <w:r w:rsidRPr="00E76C3A">
        <w:rPr>
          <w:rStyle w:val="FootnoteReference"/>
          <w:sz w:val="16"/>
          <w:szCs w:val="22"/>
        </w:rPr>
        <w:footnoteRef/>
      </w:r>
      <w:r w:rsidRPr="00E76C3A">
        <w:rPr>
          <w:sz w:val="16"/>
          <w:szCs w:val="22"/>
        </w:rPr>
        <w:t xml:space="preserve"> Bariola, Emily, Lyons, Anthony, Leonard, William, Pitts, Marian, Badcock, Paul, and Couch, Murray 2015, “Demographic and Psychosocial Factors Associated with Psychological Distress and Resilience among Transgender Individuals</w:t>
      </w:r>
      <w:r w:rsidRPr="00E76C3A">
        <w:rPr>
          <w:i/>
          <w:iCs/>
          <w:sz w:val="16"/>
          <w:szCs w:val="22"/>
        </w:rPr>
        <w:t>”, Health Discrimination and Disparities</w:t>
      </w:r>
      <w:r w:rsidRPr="00E76C3A">
        <w:rPr>
          <w:sz w:val="16"/>
          <w:szCs w:val="22"/>
        </w:rPr>
        <w:t>, vol. 105, no. 10 p. 2112.</w:t>
      </w:r>
    </w:p>
  </w:footnote>
  <w:footnote w:id="324">
    <w:p w14:paraId="1CC32B10" w14:textId="77777777" w:rsidR="00746AAF" w:rsidRPr="00810C00" w:rsidRDefault="00746AAF" w:rsidP="00746AAF">
      <w:pPr>
        <w:pStyle w:val="FootnoteText"/>
        <w:rPr>
          <w:lang w:val="en-US"/>
        </w:rPr>
      </w:pPr>
      <w:r w:rsidRPr="00E76C3A">
        <w:rPr>
          <w:rStyle w:val="FootnoteReference"/>
          <w:sz w:val="16"/>
          <w:szCs w:val="22"/>
        </w:rPr>
        <w:footnoteRef/>
      </w:r>
      <w:r w:rsidRPr="00E76C3A">
        <w:rPr>
          <w:sz w:val="16"/>
          <w:szCs w:val="22"/>
        </w:rPr>
        <w:t xml:space="preserve"> Mutsuno, E., &amp; Israel, T. (2021). The parent support program: Development and acceptability of an online intervention aimed at increasing supportive behaviours among parents of trans youth. Journal of GLBT Family Studies. Advance online publication. doi:10.1080/1550428X.2020.1868369</w:t>
      </w:r>
    </w:p>
  </w:footnote>
  <w:footnote w:id="325">
    <w:p w14:paraId="0657CD0C" w14:textId="1BCE5E46" w:rsidR="00746AAF" w:rsidRPr="00E76C3A" w:rsidRDefault="00746AAF" w:rsidP="00746AAF">
      <w:pPr>
        <w:pStyle w:val="FootnoteText"/>
        <w:rPr>
          <w:sz w:val="16"/>
          <w:szCs w:val="16"/>
        </w:rPr>
      </w:pPr>
      <w:r w:rsidRPr="00E76C3A">
        <w:rPr>
          <w:rStyle w:val="FootnoteReference"/>
          <w:sz w:val="16"/>
          <w:szCs w:val="16"/>
        </w:rPr>
        <w:footnoteRef/>
      </w:r>
      <w:r w:rsidRPr="00E76C3A">
        <w:rPr>
          <w:sz w:val="16"/>
          <w:szCs w:val="16"/>
        </w:rPr>
        <w:t xml:space="preserve"> </w:t>
      </w:r>
      <w:r w:rsidR="00147522">
        <w:rPr>
          <w:sz w:val="16"/>
          <w:szCs w:val="16"/>
        </w:rPr>
        <w:t>See SLR</w:t>
      </w:r>
    </w:p>
  </w:footnote>
  <w:footnote w:id="326">
    <w:p w14:paraId="7161FCBB" w14:textId="7B03A8A5" w:rsidR="00746AAF" w:rsidRPr="00E76C3A" w:rsidRDefault="00746AAF" w:rsidP="00746AAF">
      <w:pPr>
        <w:pStyle w:val="FootnoteText"/>
        <w:rPr>
          <w:sz w:val="16"/>
          <w:szCs w:val="16"/>
        </w:rPr>
      </w:pPr>
      <w:r w:rsidRPr="00E76C3A">
        <w:rPr>
          <w:rStyle w:val="FootnoteReference"/>
          <w:sz w:val="16"/>
          <w:szCs w:val="16"/>
        </w:rPr>
        <w:footnoteRef/>
      </w:r>
      <w:r w:rsidRPr="00E76C3A">
        <w:rPr>
          <w:sz w:val="16"/>
          <w:szCs w:val="16"/>
        </w:rPr>
        <w:t xml:space="preserve"> </w:t>
      </w:r>
      <w:r w:rsidR="00147522">
        <w:rPr>
          <w:sz w:val="16"/>
          <w:szCs w:val="16"/>
        </w:rPr>
        <w:t>See SLR</w:t>
      </w:r>
      <w:r w:rsidRPr="00E76C3A">
        <w:rPr>
          <w:sz w:val="16"/>
          <w:szCs w:val="16"/>
        </w:rPr>
        <w:t xml:space="preserve"> </w:t>
      </w:r>
    </w:p>
  </w:footnote>
  <w:footnote w:id="327">
    <w:p w14:paraId="572974B0" w14:textId="5944CD75" w:rsidR="00746AAF" w:rsidRPr="00E76C3A" w:rsidRDefault="00746AAF" w:rsidP="00746AAF">
      <w:pPr>
        <w:pStyle w:val="FootnoteText"/>
        <w:rPr>
          <w:sz w:val="16"/>
          <w:szCs w:val="16"/>
        </w:rPr>
      </w:pPr>
      <w:r w:rsidRPr="00E76C3A">
        <w:rPr>
          <w:rStyle w:val="FootnoteReference"/>
          <w:sz w:val="16"/>
          <w:szCs w:val="16"/>
        </w:rPr>
        <w:footnoteRef/>
      </w:r>
      <w:r w:rsidRPr="00E76C3A">
        <w:rPr>
          <w:sz w:val="16"/>
          <w:szCs w:val="16"/>
        </w:rPr>
        <w:t xml:space="preserve"> </w:t>
      </w:r>
      <w:r w:rsidR="00147522">
        <w:rPr>
          <w:sz w:val="16"/>
          <w:szCs w:val="16"/>
        </w:rPr>
        <w:t>See SLR</w:t>
      </w:r>
    </w:p>
  </w:footnote>
  <w:footnote w:id="328">
    <w:p w14:paraId="6C6E6D5C" w14:textId="77777777" w:rsidR="00746AAF" w:rsidRPr="00E76C3A" w:rsidRDefault="00746AAF" w:rsidP="00746AAF">
      <w:pPr>
        <w:rPr>
          <w:sz w:val="16"/>
          <w:szCs w:val="16"/>
        </w:rPr>
      </w:pPr>
      <w:r w:rsidRPr="00E76C3A">
        <w:rPr>
          <w:rStyle w:val="FootnoteReference"/>
          <w:sz w:val="16"/>
          <w:szCs w:val="16"/>
        </w:rPr>
        <w:footnoteRef/>
      </w:r>
      <w:r w:rsidRPr="00E76C3A">
        <w:rPr>
          <w:sz w:val="16"/>
          <w:szCs w:val="16"/>
        </w:rPr>
        <w:t xml:space="preserve"> While Medicare does provide rebates for some gender affirming treatment options, the UTS-led research team notes that an application has been submitted to the Department by the Australian Society of Plastic Surgeons (ASPS), in collaboration with trans organisations and other health professionals, to list specific gender-affirming procedures on Medicare. ASPS has argued that, in addition to reducing out-of-pocket costs, this inclusion could incentivise more surgeons to train in providing gender affirming procedures. (Barraclough, Ashleigh 2023, “Transgender Australians waiting years for gender affirming surgery, as Medicare bid looms”, ABC News, updated Fri 25 August 2023 at 9:10am, https://www.abc.net.au/news/2023-08-25/transgender-affirming-surgery-barriers-waiting-lists-costs/102473890.</w:t>
      </w:r>
    </w:p>
  </w:footnote>
  <w:footnote w:id="329">
    <w:p w14:paraId="63665210" w14:textId="23B0F465" w:rsidR="00746AAF" w:rsidRDefault="00746AAF" w:rsidP="00746AAF">
      <w:pPr>
        <w:pStyle w:val="FootnoteText"/>
      </w:pPr>
      <w:r w:rsidRPr="00E76C3A">
        <w:rPr>
          <w:rStyle w:val="FootnoteReference"/>
          <w:sz w:val="16"/>
          <w:szCs w:val="16"/>
        </w:rPr>
        <w:footnoteRef/>
      </w:r>
      <w:r w:rsidRPr="00E76C3A">
        <w:rPr>
          <w:sz w:val="16"/>
          <w:szCs w:val="16"/>
        </w:rPr>
        <w:t xml:space="preserve"> </w:t>
      </w:r>
      <w:r w:rsidR="00147522">
        <w:rPr>
          <w:sz w:val="16"/>
          <w:szCs w:val="16"/>
        </w:rPr>
        <w:t>See SLR</w:t>
      </w:r>
      <w:r w:rsidRPr="00E76C3A">
        <w:rPr>
          <w:sz w:val="16"/>
          <w:szCs w:val="16"/>
        </w:rPr>
        <w:t xml:space="preserve"> </w:t>
      </w:r>
    </w:p>
  </w:footnote>
  <w:footnote w:id="330">
    <w:p w14:paraId="67672287" w14:textId="091E59E1" w:rsidR="00746AAF" w:rsidRDefault="00746AAF" w:rsidP="00746AAF">
      <w:pPr>
        <w:pStyle w:val="FootnoteText"/>
      </w:pPr>
      <w:r>
        <w:rPr>
          <w:rStyle w:val="FootnoteReference"/>
        </w:rPr>
        <w:footnoteRef/>
      </w:r>
      <w:r>
        <w:t xml:space="preserve"> </w:t>
      </w:r>
      <w:r w:rsidR="00147522">
        <w:t>See SLR</w:t>
      </w:r>
      <w:r>
        <w:t xml:space="preserve"> </w:t>
      </w:r>
    </w:p>
  </w:footnote>
  <w:footnote w:id="331">
    <w:p w14:paraId="674A0CEE" w14:textId="77777777" w:rsidR="00FC28C2" w:rsidRPr="00AF7DF4" w:rsidRDefault="00FC28C2" w:rsidP="00FC28C2">
      <w:pPr>
        <w:pStyle w:val="FootnoteText"/>
        <w:rPr>
          <w:lang w:val="fr-FR"/>
        </w:rPr>
      </w:pPr>
      <w:r>
        <w:rPr>
          <w:rStyle w:val="FootnoteReference"/>
        </w:rPr>
        <w:footnoteRef/>
      </w:r>
      <w:r>
        <w:t xml:space="preserve"> </w:t>
      </w:r>
      <w:r w:rsidRPr="009A79BA">
        <w:t>Aromataris E, Munn Z (Editors). JBI Manual for Evidence Synthesis. </w:t>
      </w:r>
      <w:r w:rsidRPr="00AF7DF4">
        <w:rPr>
          <w:lang w:val="fr-FR"/>
        </w:rPr>
        <w:t>JBI, 2020. Available from </w:t>
      </w:r>
      <w:hyperlink r:id="rId51" w:tgtFrame="_blank" w:history="1">
        <w:r w:rsidRPr="00AF7DF4">
          <w:rPr>
            <w:rStyle w:val="Hyperlink"/>
            <w:lang w:val="fr-FR"/>
          </w:rPr>
          <w:t>https://synthesismanual.jbi.global</w:t>
        </w:r>
      </w:hyperlink>
      <w:r w:rsidRPr="00AF7DF4">
        <w:rPr>
          <w:lang w:val="fr-FR"/>
        </w:rPr>
        <w:t>.  </w:t>
      </w:r>
      <w:hyperlink r:id="rId52" w:tgtFrame="_blank" w:history="1">
        <w:r w:rsidRPr="00AF7DF4">
          <w:rPr>
            <w:rStyle w:val="Hyperlink"/>
            <w:lang w:val="fr-FR"/>
          </w:rPr>
          <w:t>https://doi.org/10.46658/JBIMES-20-01</w:t>
        </w:r>
      </w:hyperlink>
    </w:p>
  </w:footnote>
  <w:footnote w:id="332">
    <w:p w14:paraId="36F959C5" w14:textId="77777777" w:rsidR="007A0E78" w:rsidRDefault="007A0E78" w:rsidP="007A0E78">
      <w:pPr>
        <w:pStyle w:val="FootnoteText"/>
      </w:pPr>
      <w:r>
        <w:rPr>
          <w:rStyle w:val="FootnoteReference"/>
        </w:rPr>
        <w:footnoteRef/>
      </w:r>
      <w:r>
        <w:t xml:space="preserve"> </w:t>
      </w:r>
    </w:p>
  </w:footnote>
  <w:footnote w:id="333">
    <w:p w14:paraId="607C55A2" w14:textId="77777777" w:rsidR="000A4D8E" w:rsidRPr="00A40F23" w:rsidRDefault="000A4D8E" w:rsidP="000A4D8E">
      <w:pPr>
        <w:pStyle w:val="FootnoteText"/>
        <w:rPr>
          <w:i/>
          <w:iCs/>
        </w:rPr>
      </w:pPr>
      <w:r>
        <w:rPr>
          <w:rStyle w:val="FootnoteReference"/>
        </w:rPr>
        <w:footnoteRef/>
      </w:r>
      <w:r>
        <w:t xml:space="preserve"> </w:t>
      </w:r>
      <w:r>
        <w:rPr>
          <w:i/>
          <w:iCs/>
        </w:rPr>
        <w:t xml:space="preserve">Executive Summary, Our vision for an inclusive Australia and Recommendations p. 237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18B2" w14:textId="77777777" w:rsidR="00440E2D" w:rsidRDefault="00440E2D">
    <w:pPr>
      <w:pStyle w:val="Header"/>
    </w:pPr>
  </w:p>
  <w:p w14:paraId="2EFA221B" w14:textId="77777777" w:rsidR="00440E2D" w:rsidRDefault="00440E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51899" w14:textId="77777777" w:rsidR="00440E2D" w:rsidRPr="001D6A04" w:rsidRDefault="00440E2D" w:rsidP="005575D3">
    <w:pPr>
      <w:pBdr>
        <w:bottom w:val="single" w:sz="4" w:space="1" w:color="0F4BEB" w:themeColor="accent1"/>
      </w:pBdr>
      <w:jc w:val="right"/>
      <w:rPr>
        <w:b/>
        <w:color w:val="0F4BEB" w:themeColor="accent1"/>
        <w:sz w:val="18"/>
        <w:szCs w:val="18"/>
      </w:rPr>
    </w:pPr>
    <w:r w:rsidRPr="00AA3717">
      <w:rPr>
        <w:b/>
        <w:sz w:val="16"/>
        <w:szCs w:val="16"/>
      </w:rPr>
      <w:t xml:space="preserve">Department of Health and Aged Care | Mental Health and Suicide Prevention Services for LGBTQIA+ </w:t>
    </w:r>
    <w:r>
      <w:rPr>
        <w:b/>
        <w:sz w:val="16"/>
        <w:szCs w:val="16"/>
      </w:rPr>
      <w:t>P</w:t>
    </w:r>
    <w:r w:rsidRPr="00AA3717">
      <w:rPr>
        <w:b/>
        <w:sz w:val="16"/>
        <w:szCs w:val="16"/>
      </w:rPr>
      <w:t>eople</w:t>
    </w:r>
    <w:r w:rsidRPr="00F70ABA">
      <w:rPr>
        <w:b/>
        <w:sz w:val="18"/>
        <w:szCs w:val="18"/>
      </w:rPr>
      <w:br/>
    </w:r>
    <w:r w:rsidRPr="00AA3717">
      <w:rPr>
        <w:bCs/>
        <w:color w:val="0F4BEB" w:themeColor="accent1"/>
        <w:sz w:val="18"/>
        <w:szCs w:val="18"/>
      </w:rPr>
      <w:t xml:space="preserve">WORKING DRAFT </w:t>
    </w:r>
    <w:r>
      <w:rPr>
        <w:bCs/>
        <w:color w:val="0F4BEB" w:themeColor="accent1"/>
        <w:sz w:val="18"/>
        <w:szCs w:val="18"/>
      </w:rPr>
      <w:t>03</w:t>
    </w:r>
    <w:r w:rsidRPr="00AA3717">
      <w:rPr>
        <w:bCs/>
        <w:color w:val="0F4BEB" w:themeColor="accent1"/>
        <w:sz w:val="18"/>
        <w:szCs w:val="18"/>
      </w:rPr>
      <w:t xml:space="preserve"> </w:t>
    </w:r>
    <w:r>
      <w:rPr>
        <w:bCs/>
        <w:color w:val="0F4BEB" w:themeColor="accent1"/>
        <w:sz w:val="18"/>
        <w:szCs w:val="18"/>
      </w:rPr>
      <w:t>Octo</w:t>
    </w:r>
    <w:r w:rsidRPr="00AA3717">
      <w:rPr>
        <w:bCs/>
        <w:color w:val="0F4BEB" w:themeColor="accent1"/>
        <w:sz w:val="18"/>
        <w:szCs w:val="18"/>
      </w:rPr>
      <w:t>ber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C9AB" w14:textId="77777777" w:rsidR="00440E2D" w:rsidRDefault="00440E2D">
    <w:pPr>
      <w:pStyle w:val="Header"/>
    </w:pPr>
  </w:p>
  <w:p w14:paraId="0AEF8209" w14:textId="77777777" w:rsidR="00440E2D" w:rsidRDefault="00440E2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FFEC" w14:textId="4A719FAB" w:rsidR="00CB257C" w:rsidRDefault="00CB25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0E107" w14:textId="04073745" w:rsidR="00CB257C" w:rsidRDefault="00CB257C" w:rsidP="00C81628">
    <w:pPr>
      <w:pStyle w:val="Header"/>
      <w:tabs>
        <w:tab w:val="left" w:pos="211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CDE6E" w14:textId="7DF566B1" w:rsidR="00CB257C" w:rsidRDefault="00CB25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8F942" w14:textId="730C28BE" w:rsidR="00CB257C" w:rsidRPr="006F350B" w:rsidRDefault="00D41795" w:rsidP="006F350B">
    <w:pPr>
      <w:pBdr>
        <w:bottom w:val="single" w:sz="4" w:space="1" w:color="0F4BEB" w:themeColor="accent1"/>
      </w:pBdr>
      <w:jc w:val="right"/>
      <w:rPr>
        <w:color w:val="FF2305" w:themeColor="accent2"/>
        <w:sz w:val="18"/>
        <w:szCs w:val="18"/>
      </w:rPr>
    </w:pPr>
    <w:r>
      <w:rPr>
        <w:sz w:val="18"/>
        <w:szCs w:val="18"/>
      </w:rPr>
      <w:t xml:space="preserve">Department of Health and Aged Care- </w:t>
    </w:r>
    <w:r w:rsidR="000B2D50">
      <w:rPr>
        <w:sz w:val="18"/>
        <w:szCs w:val="18"/>
      </w:rPr>
      <w:t>LGBTQ+</w:t>
    </w:r>
    <w:r>
      <w:rPr>
        <w:sz w:val="18"/>
        <w:szCs w:val="18"/>
      </w:rPr>
      <w:t xml:space="preserve"> </w:t>
    </w:r>
    <w:r w:rsidR="005E5142">
      <w:rPr>
        <w:sz w:val="18"/>
        <w:szCs w:val="18"/>
      </w:rPr>
      <w:t xml:space="preserve">Mental Health </w:t>
    </w:r>
    <w:r>
      <w:rPr>
        <w:sz w:val="18"/>
        <w:szCs w:val="18"/>
      </w:rPr>
      <w:t>SLR</w:t>
    </w:r>
    <w:r w:rsidRPr="00E241BD">
      <w:rPr>
        <w:sz w:val="18"/>
        <w:szCs w:val="18"/>
      </w:rPr>
      <w:br/>
    </w:r>
    <w:r w:rsidRPr="003D7B40">
      <w:rPr>
        <w:color w:val="0F4BEB" w:themeColor="accent1"/>
        <w:sz w:val="18"/>
        <w:szCs w:val="18"/>
      </w:rPr>
      <w:t>Research Translation Report</w:t>
    </w:r>
    <w:r w:rsidR="00214C19">
      <w:rPr>
        <w:color w:val="FF2305" w:themeColor="accent2"/>
        <w:sz w:val="18"/>
        <w:szCs w:val="18"/>
      </w:rPr>
      <w:t xml:space="preserve"> </w:t>
    </w:r>
    <w:r w:rsidR="00214C19" w:rsidRPr="00214C19">
      <w:rPr>
        <w:color w:val="0F4BEB" w:themeColor="accent1"/>
        <w:sz w:val="18"/>
        <w:szCs w:val="18"/>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8C5"/>
    <w:multiLevelType w:val="multilevel"/>
    <w:tmpl w:val="4BE8981A"/>
    <w:styleLink w:val="ListParagraph0"/>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 w15:restartNumberingAfterBreak="0">
    <w:nsid w:val="02506BE4"/>
    <w:multiLevelType w:val="hybridMultilevel"/>
    <w:tmpl w:val="57D89282"/>
    <w:lvl w:ilvl="0" w:tplc="F1529490">
      <w:start w:val="1"/>
      <w:numFmt w:val="decimal"/>
      <w:lvlText w:val="%1."/>
      <w:lvlJc w:val="left"/>
      <w:pPr>
        <w:ind w:left="360" w:hanging="360"/>
      </w:pPr>
      <w:rPr>
        <w:color w:val="0F4BEB"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7D5B80"/>
    <w:multiLevelType w:val="hybridMultilevel"/>
    <w:tmpl w:val="AAB0D0C6"/>
    <w:lvl w:ilvl="0" w:tplc="A3F0CC76">
      <w:start w:val="1"/>
      <w:numFmt w:val="lowerLetter"/>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7284AE9"/>
    <w:multiLevelType w:val="multilevel"/>
    <w:tmpl w:val="0B96E482"/>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sz w:val="18"/>
      </w:rPr>
    </w:lvl>
    <w:lvl w:ilvl="1">
      <w:start w:val="1"/>
      <w:numFmt w:val="lowerRoman"/>
      <w:lvlText w:val="%2."/>
      <w:lvlJc w:val="left"/>
      <w:pPr>
        <w:tabs>
          <w:tab w:val="num" w:pos="850"/>
        </w:tabs>
        <w:ind w:left="850" w:hanging="425"/>
      </w:pPr>
      <w:rPr>
        <w:rFonts w:asciiTheme="minorHAnsi" w:hAnsiTheme="minorHAnsi" w:hint="default"/>
        <w:color w:val="auto"/>
        <w:sz w:val="18"/>
      </w:rPr>
    </w:lvl>
    <w:lvl w:ilvl="2">
      <w:start w:val="1"/>
      <w:numFmt w:val="decimal"/>
      <w:lvlText w:val="%3."/>
      <w:lvlJc w:val="left"/>
      <w:pPr>
        <w:tabs>
          <w:tab w:val="num" w:pos="1275"/>
        </w:tabs>
        <w:ind w:left="1275" w:hanging="425"/>
      </w:pPr>
      <w:rPr>
        <w:rFonts w:asciiTheme="minorHAnsi" w:hAnsiTheme="minorHAnsi" w:hint="default"/>
        <w:color w:val="auto"/>
        <w:sz w:val="18"/>
      </w:rPr>
    </w:lvl>
    <w:lvl w:ilvl="3">
      <w:start w:val="1"/>
      <w:numFmt w:val="upperLetter"/>
      <w:lvlText w:val="%4."/>
      <w:lvlJc w:val="left"/>
      <w:pPr>
        <w:tabs>
          <w:tab w:val="num" w:pos="1700"/>
        </w:tabs>
        <w:ind w:left="1700" w:hanging="425"/>
      </w:pPr>
      <w:rPr>
        <w:rFonts w:asciiTheme="minorHAnsi" w:hAnsiTheme="minorHAnsi" w:hint="default"/>
        <w:color w:val="auto"/>
        <w:sz w:val="18"/>
      </w:rPr>
    </w:lvl>
    <w:lvl w:ilvl="4">
      <w:start w:val="1"/>
      <w:numFmt w:val="upperRoman"/>
      <w:lvlText w:val="%5."/>
      <w:lvlJc w:val="left"/>
      <w:pPr>
        <w:tabs>
          <w:tab w:val="num" w:pos="2125"/>
        </w:tabs>
        <w:ind w:left="2125" w:hanging="425"/>
      </w:pPr>
      <w:rPr>
        <w:rFonts w:asciiTheme="minorHAnsi" w:hAnsiTheme="minorHAnsi" w:hint="default"/>
        <w:color w:val="auto"/>
        <w:sz w:val="18"/>
      </w:rPr>
    </w:lvl>
    <w:lvl w:ilvl="5">
      <w:start w:val="1"/>
      <w:numFmt w:val="decimal"/>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4" w15:restartNumberingAfterBreak="0">
    <w:nsid w:val="09B648C5"/>
    <w:multiLevelType w:val="hybridMultilevel"/>
    <w:tmpl w:val="6E74E524"/>
    <w:lvl w:ilvl="0" w:tplc="7060B432">
      <w:start w:val="1"/>
      <w:numFmt w:val="decimal"/>
      <w:lvlText w:val="%1)"/>
      <w:lvlJc w:val="left"/>
      <w:pPr>
        <w:ind w:left="454" w:hanging="45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631ABD"/>
    <w:multiLevelType w:val="hybridMultilevel"/>
    <w:tmpl w:val="512EBD50"/>
    <w:lvl w:ilvl="0" w:tplc="1754673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263A74"/>
    <w:multiLevelType w:val="hybridMultilevel"/>
    <w:tmpl w:val="D896A11C"/>
    <w:lvl w:ilvl="0" w:tplc="15EE901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972FAA"/>
    <w:multiLevelType w:val="multilevel"/>
    <w:tmpl w:val="736ECFBA"/>
    <w:numStyleLink w:val="ListTableNumber"/>
  </w:abstractNum>
  <w:abstractNum w:abstractNumId="8"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9" w15:restartNumberingAfterBreak="0">
    <w:nsid w:val="0FB97078"/>
    <w:multiLevelType w:val="multilevel"/>
    <w:tmpl w:val="8D5C9A34"/>
    <w:styleLink w:val="ListChapter"/>
    <w:lvl w:ilvl="0">
      <w:start w:val="1"/>
      <w:numFmt w:val="cardinalText"/>
      <w:suff w:val="nothing"/>
      <w:lvlText w:val="Chapter %1"/>
      <w:lvlJc w:val="left"/>
      <w:pPr>
        <w:ind w:left="0" w:firstLine="0"/>
      </w:pPr>
      <w:rPr>
        <w:rFonts w:hint="default"/>
      </w:rPr>
    </w:lvl>
    <w:lvl w:ilvl="1">
      <w:start w:val="1"/>
      <w:numFmt w:val="none"/>
      <w:suff w:val="nothing"/>
      <w:lvlText w:val=""/>
      <w:lvlJc w:val="left"/>
      <w:pPr>
        <w:ind w:left="0" w:hanging="3276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71D5B65"/>
    <w:multiLevelType w:val="hybridMultilevel"/>
    <w:tmpl w:val="C3B8135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9A0469"/>
    <w:multiLevelType w:val="hybridMultilevel"/>
    <w:tmpl w:val="AA26DD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3B7A01"/>
    <w:multiLevelType w:val="multilevel"/>
    <w:tmpl w:val="9E9895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6A1273"/>
    <w:multiLevelType w:val="hybridMultilevel"/>
    <w:tmpl w:val="0E066842"/>
    <w:lvl w:ilvl="0" w:tplc="0C090019">
      <w:start w:val="1"/>
      <w:numFmt w:val="lowerLetter"/>
      <w:lvlText w:val="%1."/>
      <w:lvlJc w:val="left"/>
      <w:pPr>
        <w:ind w:left="720" w:hanging="360"/>
      </w:pPr>
    </w:lvl>
    <w:lvl w:ilvl="1" w:tplc="3A82DDF0">
      <w:start w:val="1"/>
      <w:numFmt w:val="lowerRoman"/>
      <w:lvlText w:val="%2."/>
      <w:lvlJc w:val="right"/>
      <w:pPr>
        <w:ind w:left="1440" w:hanging="360"/>
      </w:pPr>
      <w:rPr>
        <w:color w:val="0F4BEB" w:themeColor="accent1"/>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FF69C2"/>
    <w:multiLevelType w:val="hybridMultilevel"/>
    <w:tmpl w:val="D2C45FA0"/>
    <w:lvl w:ilvl="0" w:tplc="0D9C87E4">
      <w:start w:val="1"/>
      <w:numFmt w:val="decimal"/>
      <w:lvlText w:val="%1)"/>
      <w:lvlJc w:val="left"/>
      <w:pPr>
        <w:ind w:left="748" w:hanging="360"/>
      </w:pPr>
      <w:rPr>
        <w:b w:val="0"/>
        <w:bCs w:val="0"/>
      </w:r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15" w15:restartNumberingAfterBreak="0">
    <w:nsid w:val="1F4B3EDE"/>
    <w:multiLevelType w:val="multilevel"/>
    <w:tmpl w:val="4BE8981A"/>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6" w15:restartNumberingAfterBreak="0">
    <w:nsid w:val="20BF00F7"/>
    <w:multiLevelType w:val="hybridMultilevel"/>
    <w:tmpl w:val="1C009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741D40"/>
    <w:multiLevelType w:val="multilevel"/>
    <w:tmpl w:val="BE1CBCF8"/>
    <w:styleLink w:val="ListNumber"/>
    <w:lvl w:ilvl="0">
      <w:start w:val="1"/>
      <w:numFmt w:val="decimal"/>
      <w:lvlText w:val="%1."/>
      <w:lvlJc w:val="left"/>
      <w:rPr>
        <w:rFonts w:asciiTheme="minorHAnsi" w:hAnsiTheme="minorHAnsi" w:hint="default"/>
        <w:b w:val="0"/>
        <w:i w:val="0"/>
        <w:caps w:val="0"/>
        <w:strike w:val="0"/>
        <w:dstrike w:val="0"/>
        <w:vanish w:val="0"/>
        <w:color w:val="auto"/>
        <w:sz w:val="18"/>
        <w:vertAlign w:val="baseline"/>
      </w:rPr>
    </w:lvl>
    <w:lvl w:ilvl="1">
      <w:start w:val="1"/>
      <w:numFmt w:val="lowerLetter"/>
      <w:lvlText w:val="%2."/>
      <w:lvlJc w:val="left"/>
      <w:pPr>
        <w:tabs>
          <w:tab w:val="num" w:pos="850"/>
        </w:tabs>
        <w:ind w:left="850" w:hanging="425"/>
      </w:pPr>
      <w:rPr>
        <w:rFonts w:asciiTheme="minorHAnsi" w:hAnsiTheme="minorHAnsi" w:hint="default"/>
        <w:b w:val="0"/>
        <w:i w:val="0"/>
        <w:color w:val="auto"/>
        <w:sz w:val="18"/>
      </w:rPr>
    </w:lvl>
    <w:lvl w:ilvl="2">
      <w:start w:val="1"/>
      <w:numFmt w:val="lowerRoman"/>
      <w:lvlText w:val="%3."/>
      <w:lvlJc w:val="left"/>
      <w:pPr>
        <w:tabs>
          <w:tab w:val="num" w:pos="1275"/>
        </w:tabs>
        <w:ind w:left="1275" w:hanging="425"/>
      </w:pPr>
      <w:rPr>
        <w:rFonts w:asciiTheme="minorHAnsi" w:hAnsiTheme="minorHAnsi" w:hint="default"/>
        <w:b w:val="0"/>
        <w:i w:val="0"/>
        <w:color w:val="auto"/>
        <w:sz w:val="18"/>
      </w:rPr>
    </w:lvl>
    <w:lvl w:ilvl="3">
      <w:start w:val="1"/>
      <w:numFmt w:val="upperLetter"/>
      <w:lvlText w:val="%4."/>
      <w:lvlJc w:val="left"/>
      <w:pPr>
        <w:tabs>
          <w:tab w:val="num" w:pos="1700"/>
        </w:tabs>
        <w:ind w:left="1700" w:hanging="425"/>
      </w:pPr>
      <w:rPr>
        <w:rFonts w:asciiTheme="minorHAnsi" w:hAnsiTheme="minorHAnsi" w:hint="default"/>
        <w:b w:val="0"/>
        <w:i w:val="0"/>
        <w:color w:val="auto"/>
        <w:sz w:val="18"/>
      </w:rPr>
    </w:lvl>
    <w:lvl w:ilvl="4">
      <w:start w:val="1"/>
      <w:numFmt w:val="upperRoman"/>
      <w:lvlText w:val="%5."/>
      <w:lvlJc w:val="left"/>
      <w:pPr>
        <w:tabs>
          <w:tab w:val="num" w:pos="2125"/>
        </w:tabs>
        <w:ind w:left="2125" w:hanging="425"/>
      </w:pPr>
      <w:rPr>
        <w:rFonts w:asciiTheme="minorHAnsi" w:hAnsiTheme="minorHAnsi" w:hint="default"/>
        <w:b w:val="0"/>
        <w:i w:val="0"/>
        <w:color w:val="auto"/>
        <w:sz w:val="18"/>
      </w:rPr>
    </w:lvl>
    <w:lvl w:ilvl="5">
      <w:start w:val="1"/>
      <w:numFmt w:val="decimal"/>
      <w:lvlText w:val="%6."/>
      <w:lvlJc w:val="left"/>
      <w:pPr>
        <w:tabs>
          <w:tab w:val="num" w:pos="2550"/>
        </w:tabs>
        <w:ind w:left="2550" w:hanging="425"/>
      </w:pPr>
      <w:rPr>
        <w:rFonts w:asciiTheme="minorHAnsi" w:hAnsiTheme="minorHAnsi" w:hint="default"/>
        <w:b w:val="0"/>
        <w:i w:val="0"/>
        <w:color w:val="auto"/>
        <w:sz w:val="18"/>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18" w15:restartNumberingAfterBreak="0">
    <w:nsid w:val="27C86AF5"/>
    <w:multiLevelType w:val="hybridMultilevel"/>
    <w:tmpl w:val="6B3C404C"/>
    <w:lvl w:ilvl="0" w:tplc="EF6A712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9DE58F8"/>
    <w:multiLevelType w:val="hybridMultilevel"/>
    <w:tmpl w:val="D4B60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924DBE"/>
    <w:multiLevelType w:val="hybridMultilevel"/>
    <w:tmpl w:val="B0F2C176"/>
    <w:lvl w:ilvl="0" w:tplc="2ED642C4">
      <w:start w:val="1"/>
      <w:numFmt w:val="lowerLetter"/>
      <w:lvlText w:val="%1."/>
      <w:lvlJc w:val="left"/>
      <w:pPr>
        <w:ind w:left="927"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4A2C37"/>
    <w:multiLevelType w:val="hybridMultilevel"/>
    <w:tmpl w:val="F56251C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8B3D39"/>
    <w:multiLevelType w:val="hybridMultilevel"/>
    <w:tmpl w:val="652836B2"/>
    <w:lvl w:ilvl="0" w:tplc="B3BA57A6">
      <w:start w:val="1"/>
      <w:numFmt w:val="bullet"/>
      <w:lvlText w:val=""/>
      <w:lvlJc w:val="left"/>
      <w:pPr>
        <w:tabs>
          <w:tab w:val="num" w:pos="1134"/>
        </w:tabs>
        <w:ind w:left="1134" w:hanging="567"/>
      </w:pPr>
      <w:rPr>
        <w:rFonts w:ascii="ZapfDingbats" w:hAnsi="ZapfDingbats" w:hint="default"/>
        <w:color w:val="000080"/>
        <w:sz w:val="20"/>
      </w:rPr>
    </w:lvl>
    <w:lvl w:ilvl="1" w:tplc="CFA81DD0">
      <w:start w:val="1"/>
      <w:numFmt w:val="bullet"/>
      <w:lvlText w:val="o"/>
      <w:lvlJc w:val="left"/>
      <w:pPr>
        <w:tabs>
          <w:tab w:val="num" w:pos="2574"/>
        </w:tabs>
        <w:ind w:left="2574" w:hanging="360"/>
      </w:pPr>
      <w:rPr>
        <w:rFonts w:ascii="Courier New" w:hAnsi="Courier New" w:cs="Times New Roman" w:hint="default"/>
      </w:rPr>
    </w:lvl>
    <w:lvl w:ilvl="2" w:tplc="37E6D9BA">
      <w:start w:val="1"/>
      <w:numFmt w:val="bullet"/>
      <w:lvlText w:val=""/>
      <w:lvlJc w:val="left"/>
      <w:pPr>
        <w:tabs>
          <w:tab w:val="num" w:pos="3294"/>
        </w:tabs>
        <w:ind w:left="3294" w:hanging="360"/>
      </w:pPr>
      <w:rPr>
        <w:rFonts w:ascii="Wingdings" w:hAnsi="Wingdings" w:hint="default"/>
      </w:rPr>
    </w:lvl>
    <w:lvl w:ilvl="3" w:tplc="630E83CC">
      <w:start w:val="1"/>
      <w:numFmt w:val="bullet"/>
      <w:lvlText w:val=""/>
      <w:lvlJc w:val="left"/>
      <w:pPr>
        <w:tabs>
          <w:tab w:val="num" w:pos="4014"/>
        </w:tabs>
        <w:ind w:left="4014" w:hanging="360"/>
      </w:pPr>
      <w:rPr>
        <w:rFonts w:ascii="Symbol" w:hAnsi="Symbol" w:hint="default"/>
      </w:rPr>
    </w:lvl>
    <w:lvl w:ilvl="4" w:tplc="C7F23C84">
      <w:start w:val="1"/>
      <w:numFmt w:val="bullet"/>
      <w:lvlText w:val="o"/>
      <w:lvlJc w:val="left"/>
      <w:pPr>
        <w:tabs>
          <w:tab w:val="num" w:pos="4734"/>
        </w:tabs>
        <w:ind w:left="4734" w:hanging="360"/>
      </w:pPr>
      <w:rPr>
        <w:rFonts w:ascii="Courier New" w:hAnsi="Courier New" w:cs="Times New Roman" w:hint="default"/>
      </w:rPr>
    </w:lvl>
    <w:lvl w:ilvl="5" w:tplc="E564D0A0">
      <w:start w:val="1"/>
      <w:numFmt w:val="bullet"/>
      <w:lvlText w:val=""/>
      <w:lvlJc w:val="left"/>
      <w:pPr>
        <w:tabs>
          <w:tab w:val="num" w:pos="5454"/>
        </w:tabs>
        <w:ind w:left="5454" w:hanging="360"/>
      </w:pPr>
      <w:rPr>
        <w:rFonts w:ascii="Wingdings" w:hAnsi="Wingdings" w:hint="default"/>
      </w:rPr>
    </w:lvl>
    <w:lvl w:ilvl="6" w:tplc="484E26A4">
      <w:start w:val="1"/>
      <w:numFmt w:val="bullet"/>
      <w:lvlText w:val=""/>
      <w:lvlJc w:val="left"/>
      <w:pPr>
        <w:tabs>
          <w:tab w:val="num" w:pos="6174"/>
        </w:tabs>
        <w:ind w:left="6174" w:hanging="360"/>
      </w:pPr>
      <w:rPr>
        <w:rFonts w:ascii="Symbol" w:hAnsi="Symbol" w:hint="default"/>
      </w:rPr>
    </w:lvl>
    <w:lvl w:ilvl="7" w:tplc="A5A2D0F2">
      <w:start w:val="1"/>
      <w:numFmt w:val="bullet"/>
      <w:lvlText w:val="o"/>
      <w:lvlJc w:val="left"/>
      <w:pPr>
        <w:tabs>
          <w:tab w:val="num" w:pos="6894"/>
        </w:tabs>
        <w:ind w:left="6894" w:hanging="360"/>
      </w:pPr>
      <w:rPr>
        <w:rFonts w:ascii="Courier New" w:hAnsi="Courier New" w:cs="Times New Roman" w:hint="default"/>
      </w:rPr>
    </w:lvl>
    <w:lvl w:ilvl="8" w:tplc="575E19F8">
      <w:start w:val="1"/>
      <w:numFmt w:val="bullet"/>
      <w:lvlText w:val=""/>
      <w:lvlJc w:val="left"/>
      <w:pPr>
        <w:tabs>
          <w:tab w:val="num" w:pos="7614"/>
        </w:tabs>
        <w:ind w:left="7614" w:hanging="360"/>
      </w:pPr>
      <w:rPr>
        <w:rFonts w:ascii="Wingdings" w:hAnsi="Wingdings" w:hint="default"/>
      </w:rPr>
    </w:lvl>
  </w:abstractNum>
  <w:abstractNum w:abstractNumId="23" w15:restartNumberingAfterBreak="0">
    <w:nsid w:val="353912ED"/>
    <w:multiLevelType w:val="multilevel"/>
    <w:tmpl w:val="ADF89CCA"/>
    <w:styleLink w:val="ListBullet"/>
    <w:lvl w:ilvl="0">
      <w:start w:val="1"/>
      <w:numFmt w:val="bullet"/>
      <w:lvlText w:val=""/>
      <w:lvlJc w:val="left"/>
      <w:pPr>
        <w:tabs>
          <w:tab w:val="num" w:pos="425"/>
        </w:tabs>
        <w:ind w:left="425" w:hanging="425"/>
      </w:pPr>
      <w:rPr>
        <w:rFonts w:ascii="Symbol" w:hAnsi="Symbol" w:hint="default"/>
        <w:b w:val="0"/>
        <w:i w:val="0"/>
        <w:color w:val="auto"/>
        <w:sz w:val="18"/>
        <w:szCs w:val="20"/>
      </w:rPr>
    </w:lvl>
    <w:lvl w:ilvl="1">
      <w:start w:val="1"/>
      <w:numFmt w:val="bullet"/>
      <w:lvlText w:val="–"/>
      <w:lvlJc w:val="left"/>
      <w:pPr>
        <w:tabs>
          <w:tab w:val="num" w:pos="850"/>
        </w:tabs>
        <w:ind w:left="850" w:hanging="425"/>
      </w:pPr>
      <w:rPr>
        <w:rFonts w:asciiTheme="minorHAnsi" w:hAnsiTheme="minorHAnsi" w:hint="default"/>
        <w:caps w:val="0"/>
        <w:strike w:val="0"/>
        <w:dstrike w:val="0"/>
        <w:vanish w:val="0"/>
        <w:color w:val="auto"/>
        <w:sz w:val="18"/>
        <w:u w:val="none"/>
        <w:vertAlign w:val="baseline"/>
      </w:rPr>
    </w:lvl>
    <w:lvl w:ilvl="2">
      <w:start w:val="1"/>
      <w:numFmt w:val="bullet"/>
      <w:lvlText w:val=""/>
      <w:lvlJc w:val="left"/>
      <w:pPr>
        <w:tabs>
          <w:tab w:val="num" w:pos="1275"/>
        </w:tabs>
        <w:ind w:left="1275" w:hanging="425"/>
      </w:pPr>
      <w:rPr>
        <w:rFonts w:ascii="Symbol" w:hAnsi="Symbol" w:hint="default"/>
        <w:color w:val="auto"/>
        <w:sz w:val="18"/>
      </w:rPr>
    </w:lvl>
    <w:lvl w:ilvl="3">
      <w:start w:val="1"/>
      <w:numFmt w:val="bullet"/>
      <w:lvlText w:val="–"/>
      <w:lvlJc w:val="left"/>
      <w:pPr>
        <w:tabs>
          <w:tab w:val="num" w:pos="1700"/>
        </w:tabs>
        <w:ind w:left="1700" w:hanging="425"/>
      </w:pPr>
      <w:rPr>
        <w:rFonts w:asciiTheme="minorHAnsi" w:hAnsiTheme="minorHAnsi" w:hint="default"/>
        <w:caps w:val="0"/>
        <w:strike w:val="0"/>
        <w:dstrike w:val="0"/>
        <w:vanish w:val="0"/>
        <w:color w:val="auto"/>
        <w:sz w:val="18"/>
        <w:u w:val="none"/>
        <w:vertAlign w:val="baseline"/>
      </w:rPr>
    </w:lvl>
    <w:lvl w:ilvl="4">
      <w:start w:val="1"/>
      <w:numFmt w:val="bullet"/>
      <w:lvlText w:val=""/>
      <w:lvlJc w:val="left"/>
      <w:pPr>
        <w:tabs>
          <w:tab w:val="num" w:pos="2125"/>
        </w:tabs>
        <w:ind w:left="2125" w:hanging="425"/>
      </w:pPr>
      <w:rPr>
        <w:rFonts w:ascii="Symbol" w:hAnsi="Symbol" w:hint="default"/>
        <w:color w:val="auto"/>
        <w:sz w:val="18"/>
      </w:rPr>
    </w:lvl>
    <w:lvl w:ilvl="5">
      <w:start w:val="1"/>
      <w:numFmt w:val="bullet"/>
      <w:lvlText w:val="–"/>
      <w:lvlJc w:val="left"/>
      <w:pPr>
        <w:tabs>
          <w:tab w:val="num" w:pos="2550"/>
        </w:tabs>
        <w:ind w:left="2550" w:hanging="425"/>
      </w:pPr>
      <w:rPr>
        <w:rFonts w:asciiTheme="minorHAnsi" w:hAnsiTheme="minorHAnsi" w:cs="Times New Roman" w:hint="default"/>
        <w:caps w:val="0"/>
        <w:strike w:val="0"/>
        <w:dstrike w:val="0"/>
        <w:vanish w:val="0"/>
        <w:color w:val="auto"/>
        <w:sz w:val="18"/>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24" w15:restartNumberingAfterBreak="0">
    <w:nsid w:val="3B026B64"/>
    <w:multiLevelType w:val="hybridMultilevel"/>
    <w:tmpl w:val="4DF63A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C46B47"/>
    <w:multiLevelType w:val="hybridMultilevel"/>
    <w:tmpl w:val="5BAA0872"/>
    <w:lvl w:ilvl="0" w:tplc="FBACA442">
      <w:start w:val="5"/>
      <w:numFmt w:val="decimal"/>
      <w:lvlText w:val="%1."/>
      <w:lvlJc w:val="left"/>
      <w:pPr>
        <w:ind w:left="360" w:hanging="360"/>
      </w:pPr>
      <w:rPr>
        <w:rFonts w:hint="default"/>
        <w:b/>
        <w:bCs/>
        <w:strike w:val="0"/>
        <w:color w:val="0F4BEB"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B31406"/>
    <w:multiLevelType w:val="hybridMultilevel"/>
    <w:tmpl w:val="E7008ABA"/>
    <w:lvl w:ilvl="0" w:tplc="61BA92C8">
      <w:start w:val="1"/>
      <w:numFmt w:val="decimal"/>
      <w:lvlText w:val="%1."/>
      <w:lvlJc w:val="left"/>
      <w:pPr>
        <w:ind w:left="340" w:hanging="340"/>
      </w:pPr>
      <w:rPr>
        <w:b w:val="0"/>
        <w:bCs w:val="0"/>
        <w:color w:val="auto"/>
      </w:rPr>
    </w:lvl>
    <w:lvl w:ilvl="1" w:tplc="FFFFFFFF">
      <w:start w:val="1"/>
      <w:numFmt w:val="lowerLetter"/>
      <w:lvlText w:val="%2."/>
      <w:lvlJc w:val="left"/>
      <w:pPr>
        <w:tabs>
          <w:tab w:val="num" w:pos="850"/>
        </w:tabs>
        <w:ind w:left="850" w:hanging="425"/>
      </w:pPr>
      <w:rPr>
        <w:b w:val="0"/>
        <w:i w:val="0"/>
        <w:color w:val="auto"/>
        <w:sz w:val="22"/>
      </w:rPr>
    </w:lvl>
    <w:lvl w:ilvl="2" w:tplc="FFFFFFFF">
      <w:start w:val="1"/>
      <w:numFmt w:val="lowerLetter"/>
      <w:lvlText w:val="%3)"/>
      <w:lvlJc w:val="left"/>
      <w:pPr>
        <w:ind w:left="1210" w:hanging="360"/>
      </w:pPr>
      <w:rPr>
        <w:rFonts w:hint="default"/>
      </w:rPr>
    </w:lvl>
    <w:lvl w:ilvl="3" w:tplc="FFFFFFFF">
      <w:start w:val="1"/>
      <w:numFmt w:val="upperLetter"/>
      <w:lvlText w:val="%4."/>
      <w:lvlJc w:val="left"/>
      <w:pPr>
        <w:tabs>
          <w:tab w:val="num" w:pos="1700"/>
        </w:tabs>
        <w:ind w:left="1700" w:hanging="425"/>
      </w:pPr>
      <w:rPr>
        <w:b w:val="0"/>
        <w:i w:val="0"/>
        <w:color w:val="auto"/>
        <w:sz w:val="18"/>
      </w:rPr>
    </w:lvl>
    <w:lvl w:ilvl="4" w:tplc="FFFFFFFF">
      <w:start w:val="1"/>
      <w:numFmt w:val="upperRoman"/>
      <w:lvlText w:val="%5."/>
      <w:lvlJc w:val="left"/>
      <w:pPr>
        <w:tabs>
          <w:tab w:val="num" w:pos="2125"/>
        </w:tabs>
        <w:ind w:left="2125" w:hanging="425"/>
      </w:pPr>
      <w:rPr>
        <w:b w:val="0"/>
        <w:i w:val="0"/>
        <w:color w:val="auto"/>
        <w:sz w:val="18"/>
      </w:rPr>
    </w:lvl>
    <w:lvl w:ilvl="5" w:tplc="FFFFFFFF">
      <w:start w:val="1"/>
      <w:numFmt w:val="decimal"/>
      <w:lvlText w:val="%6."/>
      <w:lvlJc w:val="left"/>
      <w:pPr>
        <w:tabs>
          <w:tab w:val="num" w:pos="2550"/>
        </w:tabs>
        <w:ind w:left="2550" w:hanging="425"/>
      </w:pPr>
      <w:rPr>
        <w:b w:val="0"/>
        <w:i w:val="0"/>
        <w:color w:val="auto"/>
        <w:sz w:val="18"/>
      </w:rPr>
    </w:lvl>
    <w:lvl w:ilvl="6" w:tplc="FFFFFFFF">
      <w:start w:val="1"/>
      <w:numFmt w:val="decimal"/>
      <w:suff w:val="nothing"/>
      <w:lvlText w:val="%7"/>
      <w:lvlJc w:val="left"/>
      <w:pPr>
        <w:ind w:left="2975" w:hanging="425"/>
      </w:pPr>
      <w:rPr>
        <w:color w:val="E1001A"/>
      </w:rPr>
    </w:lvl>
    <w:lvl w:ilvl="7" w:tplc="FFFFFFFF">
      <w:start w:val="1"/>
      <w:numFmt w:val="decimal"/>
      <w:suff w:val="nothing"/>
      <w:lvlText w:val="%8"/>
      <w:lvlJc w:val="left"/>
      <w:pPr>
        <w:ind w:left="3400" w:hanging="425"/>
      </w:pPr>
      <w:rPr>
        <w:color w:val="E1001A"/>
        <w:sz w:val="20"/>
      </w:rPr>
    </w:lvl>
    <w:lvl w:ilvl="8" w:tplc="FFFFFFFF">
      <w:start w:val="1"/>
      <w:numFmt w:val="decimal"/>
      <w:suff w:val="nothing"/>
      <w:lvlText w:val="%9"/>
      <w:lvlJc w:val="left"/>
      <w:pPr>
        <w:ind w:left="3825" w:hanging="425"/>
      </w:pPr>
      <w:rPr>
        <w:color w:val="E1001A"/>
      </w:rPr>
    </w:lvl>
  </w:abstractNum>
  <w:abstractNum w:abstractNumId="27"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0F4BEB" w:themeColor="accent1"/>
      </w:rPr>
    </w:lvl>
    <w:lvl w:ilvl="1">
      <w:start w:val="1"/>
      <w:numFmt w:val="decimal"/>
      <w:lvlText w:val="%1.%2"/>
      <w:lvlJc w:val="left"/>
      <w:pPr>
        <w:tabs>
          <w:tab w:val="num" w:pos="1134"/>
        </w:tabs>
        <w:ind w:left="1134" w:hanging="1134"/>
      </w:pPr>
      <w:rPr>
        <w:rFonts w:asciiTheme="majorHAnsi" w:hAnsiTheme="majorHAnsi" w:hint="default"/>
        <w:color w:val="0F4BEB" w:themeColor="accent1"/>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lvlText w:val="%1.%2.%3.%4"/>
      <w:lvlJc w:val="left"/>
      <w:pPr>
        <w:tabs>
          <w:tab w:val="num" w:pos="1985"/>
        </w:tabs>
        <w:ind w:left="1985"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8" w15:restartNumberingAfterBreak="0">
    <w:nsid w:val="467D6EA5"/>
    <w:multiLevelType w:val="hybridMultilevel"/>
    <w:tmpl w:val="D97E489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012AC"/>
    <w:multiLevelType w:val="hybridMultilevel"/>
    <w:tmpl w:val="340C354A"/>
    <w:lvl w:ilvl="0" w:tplc="FB8A8E44">
      <w:start w:val="1"/>
      <w:numFmt w:val="bullet"/>
      <w:pStyle w:val="ListBullet0"/>
      <w:lvlText w:val=""/>
      <w:lvlJc w:val="left"/>
      <w:pPr>
        <w:tabs>
          <w:tab w:val="num" w:pos="425"/>
        </w:tabs>
        <w:ind w:left="425" w:hanging="425"/>
      </w:pPr>
      <w:rPr>
        <w:rFonts w:ascii="Symbol" w:hAnsi="Symbol" w:hint="default"/>
        <w:b w:val="0"/>
        <w:i w:val="0"/>
        <w:color w:val="auto"/>
        <w:sz w:val="18"/>
        <w:szCs w:val="20"/>
      </w:rPr>
    </w:lvl>
    <w:lvl w:ilvl="1" w:tplc="B8E6020C">
      <w:start w:val="1"/>
      <w:numFmt w:val="bullet"/>
      <w:lvlText w:val="–"/>
      <w:lvlJc w:val="left"/>
      <w:pPr>
        <w:tabs>
          <w:tab w:val="num" w:pos="850"/>
        </w:tabs>
        <w:ind w:left="850" w:hanging="425"/>
      </w:pPr>
      <w:rPr>
        <w:rFonts w:ascii="Symbol" w:hAnsi="Symbol" w:hint="default"/>
        <w:caps w:val="0"/>
        <w:strike w:val="0"/>
        <w:dstrike w:val="0"/>
        <w:vanish w:val="0"/>
        <w:color w:val="auto"/>
        <w:sz w:val="18"/>
        <w:u w:val="none"/>
        <w:vertAlign w:val="baseline"/>
      </w:rPr>
    </w:lvl>
    <w:lvl w:ilvl="2" w:tplc="DAFECEF2">
      <w:start w:val="1"/>
      <w:numFmt w:val="bullet"/>
      <w:pStyle w:val="ListBullet3"/>
      <w:lvlText w:val=""/>
      <w:lvlJc w:val="left"/>
      <w:pPr>
        <w:tabs>
          <w:tab w:val="num" w:pos="1275"/>
        </w:tabs>
        <w:ind w:left="1275" w:hanging="425"/>
      </w:pPr>
      <w:rPr>
        <w:rFonts w:ascii="Symbol" w:hAnsi="Symbol" w:hint="default"/>
        <w:color w:val="auto"/>
        <w:sz w:val="18"/>
      </w:rPr>
    </w:lvl>
    <w:lvl w:ilvl="3" w:tplc="CACEE1B6">
      <w:start w:val="1"/>
      <w:numFmt w:val="bullet"/>
      <w:pStyle w:val="ListBullet4"/>
      <w:lvlText w:val="–"/>
      <w:lvlJc w:val="left"/>
      <w:pPr>
        <w:tabs>
          <w:tab w:val="num" w:pos="1700"/>
        </w:tabs>
        <w:ind w:left="1700" w:hanging="425"/>
      </w:pPr>
      <w:rPr>
        <w:rFonts w:hint="default"/>
        <w:caps w:val="0"/>
        <w:strike w:val="0"/>
        <w:dstrike w:val="0"/>
        <w:vanish w:val="0"/>
        <w:color w:val="auto"/>
        <w:sz w:val="18"/>
        <w:u w:val="none"/>
        <w:vertAlign w:val="baseline"/>
      </w:rPr>
    </w:lvl>
    <w:lvl w:ilvl="4" w:tplc="98883C1E">
      <w:start w:val="1"/>
      <w:numFmt w:val="bullet"/>
      <w:pStyle w:val="ListBullet5"/>
      <w:lvlText w:val=""/>
      <w:lvlJc w:val="left"/>
      <w:pPr>
        <w:tabs>
          <w:tab w:val="num" w:pos="2125"/>
        </w:tabs>
        <w:ind w:left="2125" w:hanging="425"/>
      </w:pPr>
      <w:rPr>
        <w:rFonts w:ascii="Symbol" w:hAnsi="Symbol" w:hint="default"/>
        <w:color w:val="auto"/>
        <w:sz w:val="18"/>
      </w:rPr>
    </w:lvl>
    <w:lvl w:ilvl="5" w:tplc="96409F92">
      <w:start w:val="1"/>
      <w:numFmt w:val="bullet"/>
      <w:pStyle w:val="ListBullet6"/>
      <w:lvlText w:val="–"/>
      <w:lvlJc w:val="left"/>
      <w:pPr>
        <w:tabs>
          <w:tab w:val="num" w:pos="2550"/>
        </w:tabs>
        <w:ind w:left="2550" w:hanging="425"/>
      </w:pPr>
      <w:rPr>
        <w:rFonts w:hint="default"/>
        <w:caps w:val="0"/>
        <w:strike w:val="0"/>
        <w:dstrike w:val="0"/>
        <w:vanish w:val="0"/>
        <w:color w:val="auto"/>
        <w:sz w:val="18"/>
        <w:u w:val="none"/>
        <w:vertAlign w:val="baseline"/>
      </w:rPr>
    </w:lvl>
    <w:lvl w:ilvl="6" w:tplc="44780B66">
      <w:start w:val="1"/>
      <w:numFmt w:val="decimal"/>
      <w:suff w:val="nothing"/>
      <w:lvlText w:val=""/>
      <w:lvlJc w:val="left"/>
      <w:pPr>
        <w:ind w:left="2975" w:hanging="425"/>
      </w:pPr>
      <w:rPr>
        <w:color w:val="auto"/>
        <w:sz w:val="20"/>
      </w:rPr>
    </w:lvl>
    <w:lvl w:ilvl="7" w:tplc="8552214E">
      <w:start w:val="1"/>
      <w:numFmt w:val="decimal"/>
      <w:suff w:val="nothing"/>
      <w:lvlText w:val="%8"/>
      <w:lvlJc w:val="left"/>
      <w:pPr>
        <w:ind w:left="3400" w:hanging="425"/>
      </w:pPr>
      <w:rPr>
        <w:color w:val="000000"/>
        <w:sz w:val="20"/>
      </w:rPr>
    </w:lvl>
    <w:lvl w:ilvl="8" w:tplc="2BA48122">
      <w:start w:val="1"/>
      <w:numFmt w:val="decimal"/>
      <w:suff w:val="nothing"/>
      <w:lvlText w:val=""/>
      <w:lvlJc w:val="left"/>
      <w:pPr>
        <w:ind w:left="3825" w:hanging="425"/>
      </w:pPr>
    </w:lvl>
  </w:abstractNum>
  <w:abstractNum w:abstractNumId="30" w15:restartNumberingAfterBreak="0">
    <w:nsid w:val="47F8486D"/>
    <w:multiLevelType w:val="hybridMultilevel"/>
    <w:tmpl w:val="ECAC1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3E2B4C"/>
    <w:multiLevelType w:val="multilevel"/>
    <w:tmpl w:val="F78A1DCA"/>
    <w:numStyleLink w:val="ListTableBullet"/>
  </w:abstractNum>
  <w:abstractNum w:abstractNumId="32" w15:restartNumberingAfterBreak="0">
    <w:nsid w:val="48A10D28"/>
    <w:multiLevelType w:val="hybridMultilevel"/>
    <w:tmpl w:val="B134B4A0"/>
    <w:lvl w:ilvl="0" w:tplc="DAD236A4">
      <w:start w:val="1"/>
      <w:numFmt w:val="bullet"/>
      <w:lvlText w:val="•"/>
      <w:lvlJc w:val="left"/>
      <w:pPr>
        <w:tabs>
          <w:tab w:val="num" w:pos="720"/>
        </w:tabs>
        <w:ind w:left="720" w:hanging="360"/>
      </w:pPr>
      <w:rPr>
        <w:rFonts w:ascii="Arial Narrow" w:hAnsi="Arial Narrow" w:hint="default"/>
      </w:rPr>
    </w:lvl>
    <w:lvl w:ilvl="1" w:tplc="9DAE84F2" w:tentative="1">
      <w:start w:val="1"/>
      <w:numFmt w:val="bullet"/>
      <w:lvlText w:val="•"/>
      <w:lvlJc w:val="left"/>
      <w:pPr>
        <w:tabs>
          <w:tab w:val="num" w:pos="1440"/>
        </w:tabs>
        <w:ind w:left="1440" w:hanging="360"/>
      </w:pPr>
      <w:rPr>
        <w:rFonts w:ascii="Arial Narrow" w:hAnsi="Arial Narrow" w:hint="default"/>
      </w:rPr>
    </w:lvl>
    <w:lvl w:ilvl="2" w:tplc="C5CA4CBE" w:tentative="1">
      <w:start w:val="1"/>
      <w:numFmt w:val="bullet"/>
      <w:lvlText w:val="•"/>
      <w:lvlJc w:val="left"/>
      <w:pPr>
        <w:tabs>
          <w:tab w:val="num" w:pos="2160"/>
        </w:tabs>
        <w:ind w:left="2160" w:hanging="360"/>
      </w:pPr>
      <w:rPr>
        <w:rFonts w:ascii="Arial Narrow" w:hAnsi="Arial Narrow" w:hint="default"/>
      </w:rPr>
    </w:lvl>
    <w:lvl w:ilvl="3" w:tplc="A044FAB8" w:tentative="1">
      <w:start w:val="1"/>
      <w:numFmt w:val="bullet"/>
      <w:lvlText w:val="•"/>
      <w:lvlJc w:val="left"/>
      <w:pPr>
        <w:tabs>
          <w:tab w:val="num" w:pos="2880"/>
        </w:tabs>
        <w:ind w:left="2880" w:hanging="360"/>
      </w:pPr>
      <w:rPr>
        <w:rFonts w:ascii="Arial Narrow" w:hAnsi="Arial Narrow" w:hint="default"/>
      </w:rPr>
    </w:lvl>
    <w:lvl w:ilvl="4" w:tplc="03262932" w:tentative="1">
      <w:start w:val="1"/>
      <w:numFmt w:val="bullet"/>
      <w:lvlText w:val="•"/>
      <w:lvlJc w:val="left"/>
      <w:pPr>
        <w:tabs>
          <w:tab w:val="num" w:pos="3600"/>
        </w:tabs>
        <w:ind w:left="3600" w:hanging="360"/>
      </w:pPr>
      <w:rPr>
        <w:rFonts w:ascii="Arial Narrow" w:hAnsi="Arial Narrow" w:hint="default"/>
      </w:rPr>
    </w:lvl>
    <w:lvl w:ilvl="5" w:tplc="B310DA22" w:tentative="1">
      <w:start w:val="1"/>
      <w:numFmt w:val="bullet"/>
      <w:lvlText w:val="•"/>
      <w:lvlJc w:val="left"/>
      <w:pPr>
        <w:tabs>
          <w:tab w:val="num" w:pos="4320"/>
        </w:tabs>
        <w:ind w:left="4320" w:hanging="360"/>
      </w:pPr>
      <w:rPr>
        <w:rFonts w:ascii="Arial Narrow" w:hAnsi="Arial Narrow" w:hint="default"/>
      </w:rPr>
    </w:lvl>
    <w:lvl w:ilvl="6" w:tplc="E47C1926" w:tentative="1">
      <w:start w:val="1"/>
      <w:numFmt w:val="bullet"/>
      <w:lvlText w:val="•"/>
      <w:lvlJc w:val="left"/>
      <w:pPr>
        <w:tabs>
          <w:tab w:val="num" w:pos="5040"/>
        </w:tabs>
        <w:ind w:left="5040" w:hanging="360"/>
      </w:pPr>
      <w:rPr>
        <w:rFonts w:ascii="Arial Narrow" w:hAnsi="Arial Narrow" w:hint="default"/>
      </w:rPr>
    </w:lvl>
    <w:lvl w:ilvl="7" w:tplc="2AE29E00" w:tentative="1">
      <w:start w:val="1"/>
      <w:numFmt w:val="bullet"/>
      <w:lvlText w:val="•"/>
      <w:lvlJc w:val="left"/>
      <w:pPr>
        <w:tabs>
          <w:tab w:val="num" w:pos="5760"/>
        </w:tabs>
        <w:ind w:left="5760" w:hanging="360"/>
      </w:pPr>
      <w:rPr>
        <w:rFonts w:ascii="Arial Narrow" w:hAnsi="Arial Narrow" w:hint="default"/>
      </w:rPr>
    </w:lvl>
    <w:lvl w:ilvl="8" w:tplc="10586DC2" w:tentative="1">
      <w:start w:val="1"/>
      <w:numFmt w:val="bullet"/>
      <w:lvlText w:val="•"/>
      <w:lvlJc w:val="left"/>
      <w:pPr>
        <w:tabs>
          <w:tab w:val="num" w:pos="6480"/>
        </w:tabs>
        <w:ind w:left="6480" w:hanging="360"/>
      </w:pPr>
      <w:rPr>
        <w:rFonts w:ascii="Arial Narrow" w:hAnsi="Arial Narrow" w:hint="default"/>
      </w:rPr>
    </w:lvl>
  </w:abstractNum>
  <w:abstractNum w:abstractNumId="33" w15:restartNumberingAfterBreak="0">
    <w:nsid w:val="4A8643E0"/>
    <w:multiLevelType w:val="hybridMultilevel"/>
    <w:tmpl w:val="7D1E812A"/>
    <w:lvl w:ilvl="0" w:tplc="A5D8C490">
      <w:start w:val="1"/>
      <w:numFmt w:val="lowerLetter"/>
      <w:lvlText w:val="%1."/>
      <w:lvlJc w:val="left"/>
      <w:pPr>
        <w:ind w:left="720" w:hanging="360"/>
      </w:pPr>
      <w:rPr>
        <w:b/>
        <w:color w:val="0F4BEB" w:themeColor="accen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632436"/>
    <w:multiLevelType w:val="hybridMultilevel"/>
    <w:tmpl w:val="C1BE3290"/>
    <w:lvl w:ilvl="0" w:tplc="3B14DFA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945B90"/>
    <w:multiLevelType w:val="hybridMultilevel"/>
    <w:tmpl w:val="F49CA5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D845077"/>
    <w:multiLevelType w:val="hybridMultilevel"/>
    <w:tmpl w:val="408A431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A3F0CC76">
      <w:start w:val="1"/>
      <w:numFmt w:val="lowerLetter"/>
      <w:lvlText w:val="%3."/>
      <w:lvlJc w:val="right"/>
      <w:pPr>
        <w:ind w:left="1800" w:hanging="18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26E5373"/>
    <w:multiLevelType w:val="multilevel"/>
    <w:tmpl w:val="736ECFBA"/>
    <w:styleLink w:val="ListTableNumber"/>
    <w:lvl w:ilvl="0">
      <w:start w:val="1"/>
      <w:numFmt w:val="decimal"/>
      <w:lvlText w:val="%1."/>
      <w:lvlJc w:val="left"/>
      <w:pPr>
        <w:tabs>
          <w:tab w:val="num" w:pos="397"/>
        </w:tabs>
        <w:ind w:left="397"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8" w15:restartNumberingAfterBreak="0">
    <w:nsid w:val="644F060D"/>
    <w:multiLevelType w:val="hybridMultilevel"/>
    <w:tmpl w:val="1B8AED0E"/>
    <w:lvl w:ilvl="0" w:tplc="FFFFFFFF">
      <w:start w:val="1"/>
      <w:numFmt w:val="bullet"/>
      <w:lvlText w:val=""/>
      <w:lvlJc w:val="left"/>
      <w:pPr>
        <w:tabs>
          <w:tab w:val="num" w:pos="425"/>
        </w:tabs>
        <w:ind w:left="425" w:hanging="425"/>
      </w:pPr>
      <w:rPr>
        <w:rFonts w:ascii="Symbol" w:hAnsi="Symbol" w:hint="default"/>
        <w:b w:val="0"/>
        <w:i w:val="0"/>
        <w:color w:val="auto"/>
        <w:sz w:val="18"/>
        <w:szCs w:val="20"/>
      </w:rPr>
    </w:lvl>
    <w:lvl w:ilvl="1" w:tplc="DBF28AE8">
      <w:start w:val="1"/>
      <w:numFmt w:val="bullet"/>
      <w:pStyle w:val="ListAlpha2"/>
      <w:lvlText w:val="-"/>
      <w:lvlJc w:val="left"/>
      <w:pPr>
        <w:ind w:left="785" w:hanging="360"/>
      </w:pPr>
      <w:rPr>
        <w:rFonts w:ascii="Calibri" w:hAnsi="Calibri" w:hint="default"/>
      </w:rPr>
    </w:lvl>
    <w:lvl w:ilvl="2" w:tplc="FFFFFFFF">
      <w:start w:val="1"/>
      <w:numFmt w:val="bullet"/>
      <w:pStyle w:val="ListAlpha3"/>
      <w:lvlText w:val=""/>
      <w:lvlJc w:val="left"/>
      <w:pPr>
        <w:tabs>
          <w:tab w:val="num" w:pos="1275"/>
        </w:tabs>
        <w:ind w:left="1275" w:hanging="425"/>
      </w:pPr>
      <w:rPr>
        <w:rFonts w:ascii="Symbol" w:hAnsi="Symbol" w:hint="default"/>
        <w:color w:val="auto"/>
        <w:sz w:val="18"/>
      </w:rPr>
    </w:lvl>
    <w:lvl w:ilvl="3" w:tplc="FFFFFFFF">
      <w:start w:val="1"/>
      <w:numFmt w:val="bullet"/>
      <w:pStyle w:val="ListAlpha4"/>
      <w:lvlText w:val="–"/>
      <w:lvlJc w:val="left"/>
      <w:pPr>
        <w:tabs>
          <w:tab w:val="num" w:pos="1700"/>
        </w:tabs>
        <w:ind w:left="1700" w:hanging="425"/>
      </w:pPr>
      <w:rPr>
        <w:rFonts w:hint="default"/>
        <w:caps w:val="0"/>
        <w:strike w:val="0"/>
        <w:dstrike w:val="0"/>
        <w:vanish w:val="0"/>
        <w:color w:val="auto"/>
        <w:sz w:val="18"/>
        <w:u w:val="none"/>
        <w:vertAlign w:val="baseline"/>
      </w:rPr>
    </w:lvl>
    <w:lvl w:ilvl="4" w:tplc="D7544924">
      <w:start w:val="1"/>
      <w:numFmt w:val="bullet"/>
      <w:pStyle w:val="ListAlpha5"/>
      <w:lvlText w:val=""/>
      <w:lvlJc w:val="left"/>
      <w:pPr>
        <w:tabs>
          <w:tab w:val="num" w:pos="2125"/>
        </w:tabs>
        <w:ind w:left="2125" w:hanging="425"/>
      </w:pPr>
      <w:rPr>
        <w:rFonts w:ascii="Symbol" w:hAnsi="Symbol" w:hint="default"/>
        <w:color w:val="0F4BEB" w:themeColor="accent1"/>
        <w:sz w:val="18"/>
      </w:rPr>
    </w:lvl>
    <w:lvl w:ilvl="5" w:tplc="FFFFFFFF">
      <w:start w:val="1"/>
      <w:numFmt w:val="bullet"/>
      <w:pStyle w:val="ListAlpha6"/>
      <w:lvlText w:val="–"/>
      <w:lvlJc w:val="left"/>
      <w:pPr>
        <w:tabs>
          <w:tab w:val="num" w:pos="2550"/>
        </w:tabs>
        <w:ind w:left="2550" w:hanging="425"/>
      </w:pPr>
      <w:rPr>
        <w:rFonts w:hint="default"/>
        <w:caps w:val="0"/>
        <w:strike w:val="0"/>
        <w:dstrike w:val="0"/>
        <w:vanish w:val="0"/>
        <w:color w:val="auto"/>
        <w:sz w:val="18"/>
        <w:u w:val="none"/>
        <w:vertAlign w:val="baseline"/>
      </w:rPr>
    </w:lvl>
    <w:lvl w:ilvl="6" w:tplc="FFFFFFFF">
      <w:start w:val="1"/>
      <w:numFmt w:val="decimal"/>
      <w:suff w:val="nothing"/>
      <w:lvlText w:val=""/>
      <w:lvlJc w:val="left"/>
      <w:pPr>
        <w:ind w:left="2975" w:hanging="425"/>
      </w:pPr>
      <w:rPr>
        <w:color w:val="auto"/>
        <w:sz w:val="20"/>
      </w:rPr>
    </w:lvl>
    <w:lvl w:ilvl="7" w:tplc="FFFFFFFF">
      <w:start w:val="1"/>
      <w:numFmt w:val="decimal"/>
      <w:suff w:val="nothing"/>
      <w:lvlText w:val="%8"/>
      <w:lvlJc w:val="left"/>
      <w:pPr>
        <w:ind w:left="3400" w:hanging="425"/>
      </w:pPr>
      <w:rPr>
        <w:color w:val="000000"/>
        <w:sz w:val="20"/>
      </w:rPr>
    </w:lvl>
    <w:lvl w:ilvl="8" w:tplc="FFFFFFFF">
      <w:start w:val="1"/>
      <w:numFmt w:val="decimal"/>
      <w:suff w:val="nothing"/>
      <w:lvlText w:val=""/>
      <w:lvlJc w:val="left"/>
      <w:pPr>
        <w:ind w:left="3825" w:hanging="425"/>
      </w:pPr>
    </w:lvl>
  </w:abstractNum>
  <w:abstractNum w:abstractNumId="39" w15:restartNumberingAfterBreak="0">
    <w:nsid w:val="64723DD1"/>
    <w:multiLevelType w:val="hybridMultilevel"/>
    <w:tmpl w:val="78AAA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356871"/>
    <w:multiLevelType w:val="multilevel"/>
    <w:tmpl w:val="94AAD8D4"/>
    <w:lvl w:ilvl="0">
      <w:start w:val="1"/>
      <w:numFmt w:val="decimal"/>
      <w:pStyle w:val="NbrHeading1"/>
      <w:lvlText w:val="%1"/>
      <w:lvlJc w:val="left"/>
      <w:pPr>
        <w:tabs>
          <w:tab w:val="num" w:pos="1134"/>
        </w:tabs>
        <w:ind w:left="1134" w:hanging="1134"/>
      </w:pPr>
      <w:rPr>
        <w:color w:val="0F4BEB" w:themeColor="accent1"/>
      </w:rPr>
    </w:lvl>
    <w:lvl w:ilvl="1">
      <w:start w:val="1"/>
      <w:numFmt w:val="decimal"/>
      <w:pStyle w:val="NbrHeading2"/>
      <w:lvlText w:val="%1.%2"/>
      <w:lvlJc w:val="left"/>
      <w:pPr>
        <w:tabs>
          <w:tab w:val="num" w:pos="1134"/>
        </w:tabs>
        <w:ind w:left="1134" w:hanging="1134"/>
      </w:pPr>
      <w:rPr>
        <w:color w:val="0F4BEB" w:themeColor="accent1"/>
      </w:rPr>
    </w:lvl>
    <w:lvl w:ilvl="2">
      <w:start w:val="1"/>
      <w:numFmt w:val="decimal"/>
      <w:pStyle w:val="NbrHeading3"/>
      <w:lvlText w:val="%1.%2.%3"/>
      <w:lvlJc w:val="left"/>
      <w:pPr>
        <w:tabs>
          <w:tab w:val="num" w:pos="1134"/>
        </w:tabs>
        <w:ind w:left="1134" w:hanging="1134"/>
      </w:pPr>
      <w:rPr>
        <w:color w:val="auto"/>
      </w:rPr>
    </w:lvl>
    <w:lvl w:ilvl="3">
      <w:start w:val="1"/>
      <w:numFmt w:val="decimal"/>
      <w:pStyle w:val="NbrHeading4"/>
      <w:lvlText w:val="%1.%2.%3.%4"/>
      <w:lvlJc w:val="left"/>
      <w:pPr>
        <w:tabs>
          <w:tab w:val="num" w:pos="1985"/>
        </w:tabs>
        <w:ind w:left="1134" w:hanging="1134"/>
      </w:pPr>
      <w:rPr>
        <w:color w:val="auto"/>
        <w:sz w:val="18"/>
      </w:rPr>
    </w:lvl>
    <w:lvl w:ilvl="4">
      <w:start w:val="1"/>
      <w:numFmt w:val="decimal"/>
      <w:pStyle w:val="NbrHeading5"/>
      <w:lvlText w:val="%1.%2.%3.%4.%5"/>
      <w:lvlJc w:val="left"/>
      <w:pPr>
        <w:tabs>
          <w:tab w:val="num" w:pos="1134"/>
        </w:tabs>
        <w:ind w:left="1134" w:hanging="1134"/>
      </w:pPr>
      <w:rPr>
        <w:color w:val="auto"/>
        <w:sz w:val="20"/>
      </w:rPr>
    </w:lvl>
    <w:lvl w:ilvl="5">
      <w:start w:val="1"/>
      <w:numFmt w:val="decimal"/>
      <w:lvlText w:val=""/>
      <w:lvlJc w:val="left"/>
      <w:pPr>
        <w:ind w:left="-32767" w:firstLine="0"/>
      </w:pPr>
    </w:lvl>
    <w:lvl w:ilvl="6">
      <w:start w:val="1"/>
      <w:numFmt w:val="decimal"/>
      <w:lvlRestart w:val="1"/>
      <w:suff w:val="nothing"/>
      <w:lvlText w:val=""/>
      <w:lvlJc w:val="left"/>
      <w:pPr>
        <w:ind w:left="0" w:firstLine="0"/>
      </w:pPr>
    </w:lvl>
    <w:lvl w:ilvl="7">
      <w:start w:val="1"/>
      <w:numFmt w:val="decimal"/>
      <w:suff w:val="nothing"/>
      <w:lvlText w:val=""/>
      <w:lvlJc w:val="left"/>
      <w:pPr>
        <w:ind w:left="0" w:firstLine="0"/>
      </w:pPr>
    </w:lvl>
    <w:lvl w:ilvl="8">
      <w:start w:val="1"/>
      <w:numFmt w:val="decimal"/>
      <w:suff w:val="space"/>
      <w:lvlText w:val=""/>
      <w:lvlJc w:val="left"/>
      <w:pPr>
        <w:ind w:left="0" w:firstLine="0"/>
      </w:pPr>
    </w:lvl>
  </w:abstractNum>
  <w:abstractNum w:abstractNumId="41" w15:restartNumberingAfterBreak="0">
    <w:nsid w:val="6D164020"/>
    <w:multiLevelType w:val="hybridMultilevel"/>
    <w:tmpl w:val="F432CB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0B270D"/>
    <w:multiLevelType w:val="hybridMultilevel"/>
    <w:tmpl w:val="B5B43BC8"/>
    <w:styleLink w:val="ListParagraph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0A95892"/>
    <w:multiLevelType w:val="hybridMultilevel"/>
    <w:tmpl w:val="4E128C2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0E4F4B"/>
    <w:multiLevelType w:val="hybridMultilevel"/>
    <w:tmpl w:val="7AB86C5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B94600"/>
    <w:multiLevelType w:val="multilevel"/>
    <w:tmpl w:val="0B96E482"/>
    <w:numStyleLink w:val="ListAlpha"/>
  </w:abstractNum>
  <w:abstractNum w:abstractNumId="46" w15:restartNumberingAfterBreak="0">
    <w:nsid w:val="74842C57"/>
    <w:multiLevelType w:val="hybridMultilevel"/>
    <w:tmpl w:val="74CE8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A84F7B"/>
    <w:multiLevelType w:val="hybridMultilevel"/>
    <w:tmpl w:val="459CF8BE"/>
    <w:lvl w:ilvl="0" w:tplc="51F0D068">
      <w:start w:val="1"/>
      <w:numFmt w:val="decimal"/>
      <w:lvlText w:val="%1."/>
      <w:lvlJc w:val="left"/>
      <w:pPr>
        <w:ind w:left="340" w:hanging="340"/>
      </w:pPr>
      <w:rPr>
        <w:b/>
        <w:bCs/>
        <w:color w:val="0F4BEB" w:themeColor="accent1"/>
      </w:rPr>
    </w:lvl>
    <w:lvl w:ilvl="1" w:tplc="1AA20394">
      <w:start w:val="1"/>
      <w:numFmt w:val="lowerLetter"/>
      <w:pStyle w:val="Tablelista"/>
      <w:lvlText w:val="%2."/>
      <w:lvlJc w:val="left"/>
      <w:pPr>
        <w:tabs>
          <w:tab w:val="num" w:pos="850"/>
        </w:tabs>
        <w:ind w:left="850" w:hanging="425"/>
      </w:pPr>
      <w:rPr>
        <w:b w:val="0"/>
        <w:i w:val="0"/>
        <w:color w:val="auto"/>
        <w:sz w:val="22"/>
      </w:rPr>
    </w:lvl>
    <w:lvl w:ilvl="2" w:tplc="89F4C232">
      <w:start w:val="1"/>
      <w:numFmt w:val="lowerLetter"/>
      <w:pStyle w:val="ListNumber3"/>
      <w:lvlText w:val="%3)"/>
      <w:lvlJc w:val="left"/>
      <w:pPr>
        <w:ind w:left="1210" w:hanging="360"/>
      </w:pPr>
      <w:rPr>
        <w:rFonts w:hint="default"/>
      </w:rPr>
    </w:lvl>
    <w:lvl w:ilvl="3" w:tplc="943C50C6">
      <w:start w:val="1"/>
      <w:numFmt w:val="upperLetter"/>
      <w:pStyle w:val="ListNumber4"/>
      <w:lvlText w:val="%4."/>
      <w:lvlJc w:val="left"/>
      <w:pPr>
        <w:tabs>
          <w:tab w:val="num" w:pos="1700"/>
        </w:tabs>
        <w:ind w:left="1700" w:hanging="425"/>
      </w:pPr>
      <w:rPr>
        <w:b w:val="0"/>
        <w:i w:val="0"/>
        <w:color w:val="auto"/>
        <w:sz w:val="18"/>
      </w:rPr>
    </w:lvl>
    <w:lvl w:ilvl="4" w:tplc="10BA1F2E">
      <w:start w:val="1"/>
      <w:numFmt w:val="upperRoman"/>
      <w:pStyle w:val="ListNumber5"/>
      <w:lvlText w:val="%5."/>
      <w:lvlJc w:val="left"/>
      <w:pPr>
        <w:tabs>
          <w:tab w:val="num" w:pos="2125"/>
        </w:tabs>
        <w:ind w:left="2125" w:hanging="425"/>
      </w:pPr>
      <w:rPr>
        <w:b w:val="0"/>
        <w:i w:val="0"/>
        <w:color w:val="auto"/>
        <w:sz w:val="18"/>
      </w:rPr>
    </w:lvl>
    <w:lvl w:ilvl="5" w:tplc="71A65298">
      <w:start w:val="1"/>
      <w:numFmt w:val="decimal"/>
      <w:pStyle w:val="ListNumber6"/>
      <w:lvlText w:val="%6."/>
      <w:lvlJc w:val="left"/>
      <w:pPr>
        <w:tabs>
          <w:tab w:val="num" w:pos="2550"/>
        </w:tabs>
        <w:ind w:left="2550" w:hanging="425"/>
      </w:pPr>
      <w:rPr>
        <w:b w:val="0"/>
        <w:i w:val="0"/>
        <w:color w:val="auto"/>
        <w:sz w:val="18"/>
      </w:rPr>
    </w:lvl>
    <w:lvl w:ilvl="6" w:tplc="E4064CC0">
      <w:start w:val="1"/>
      <w:numFmt w:val="decimal"/>
      <w:suff w:val="nothing"/>
      <w:lvlText w:val="%7"/>
      <w:lvlJc w:val="left"/>
      <w:pPr>
        <w:ind w:left="2975" w:hanging="425"/>
      </w:pPr>
      <w:rPr>
        <w:color w:val="E1001A"/>
      </w:rPr>
    </w:lvl>
    <w:lvl w:ilvl="7" w:tplc="EC4CE250">
      <w:start w:val="1"/>
      <w:numFmt w:val="decimal"/>
      <w:suff w:val="nothing"/>
      <w:lvlText w:val="%8"/>
      <w:lvlJc w:val="left"/>
      <w:pPr>
        <w:ind w:left="3400" w:hanging="425"/>
      </w:pPr>
      <w:rPr>
        <w:color w:val="E1001A"/>
        <w:sz w:val="20"/>
      </w:rPr>
    </w:lvl>
    <w:lvl w:ilvl="8" w:tplc="CD02521E">
      <w:start w:val="1"/>
      <w:numFmt w:val="decimal"/>
      <w:suff w:val="nothing"/>
      <w:lvlText w:val="%9"/>
      <w:lvlJc w:val="left"/>
      <w:pPr>
        <w:ind w:left="3825" w:hanging="425"/>
      </w:pPr>
      <w:rPr>
        <w:color w:val="E1001A"/>
      </w:rPr>
    </w:lvl>
  </w:abstractNum>
  <w:abstractNum w:abstractNumId="48" w15:restartNumberingAfterBreak="0">
    <w:nsid w:val="7ECE6B5D"/>
    <w:multiLevelType w:val="hybridMultilevel"/>
    <w:tmpl w:val="EF7AE53A"/>
    <w:lvl w:ilvl="0" w:tplc="7C96FFA6">
      <w:start w:val="1"/>
      <w:numFmt w:val="decimal"/>
      <w:pStyle w:val="ListNumber0"/>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num w:numId="1" w16cid:durableId="509879641">
    <w:abstractNumId w:val="3"/>
  </w:num>
  <w:num w:numId="2" w16cid:durableId="1527526362">
    <w:abstractNumId w:val="23"/>
  </w:num>
  <w:num w:numId="3" w16cid:durableId="1599098058">
    <w:abstractNumId w:val="17"/>
  </w:num>
  <w:num w:numId="4" w16cid:durableId="268895194">
    <w:abstractNumId w:val="27"/>
  </w:num>
  <w:num w:numId="5" w16cid:durableId="1336810500">
    <w:abstractNumId w:val="8"/>
  </w:num>
  <w:num w:numId="6" w16cid:durableId="603730015">
    <w:abstractNumId w:val="37"/>
  </w:num>
  <w:num w:numId="7" w16cid:durableId="1291549115">
    <w:abstractNumId w:val="45"/>
  </w:num>
  <w:num w:numId="8" w16cid:durableId="414673965">
    <w:abstractNumId w:val="29"/>
  </w:num>
  <w:num w:numId="9" w16cid:durableId="289365157">
    <w:abstractNumId w:val="47"/>
  </w:num>
  <w:num w:numId="10" w16cid:durableId="2141997011">
    <w:abstractNumId w:val="15"/>
  </w:num>
  <w:num w:numId="11" w16cid:durableId="1675690761">
    <w:abstractNumId w:val="31"/>
  </w:num>
  <w:num w:numId="12" w16cid:durableId="750002135">
    <w:abstractNumId w:val="7"/>
  </w:num>
  <w:num w:numId="13" w16cid:durableId="808330283">
    <w:abstractNumId w:val="9"/>
  </w:num>
  <w:num w:numId="14" w16cid:durableId="2043045342">
    <w:abstractNumId w:val="6"/>
  </w:num>
  <w:num w:numId="15" w16cid:durableId="2072344234">
    <w:abstractNumId w:val="0"/>
  </w:num>
  <w:num w:numId="16" w16cid:durableId="915628511">
    <w:abstractNumId w:val="12"/>
  </w:num>
  <w:num w:numId="17" w16cid:durableId="878711155">
    <w:abstractNumId w:val="22"/>
  </w:num>
  <w:num w:numId="18" w16cid:durableId="852378410">
    <w:abstractNumId w:val="43"/>
  </w:num>
  <w:num w:numId="19" w16cid:durableId="1391422039">
    <w:abstractNumId w:val="40"/>
    <w:lvlOverride w:ilvl="0">
      <w:lvl w:ilvl="0">
        <w:start w:val="1"/>
        <w:numFmt w:val="decimal"/>
        <w:pStyle w:val="NbrHeading1"/>
        <w:lvlText w:val="%1"/>
        <w:lvlJc w:val="left"/>
        <w:pPr>
          <w:tabs>
            <w:tab w:val="num" w:pos="1134"/>
          </w:tabs>
          <w:ind w:left="1134" w:hanging="1134"/>
        </w:pPr>
        <w:rPr>
          <w:rFonts w:asciiTheme="majorHAnsi" w:hAnsiTheme="majorHAnsi" w:hint="default"/>
          <w:color w:val="0F4BEB" w:themeColor="accent1"/>
        </w:rPr>
      </w:lvl>
    </w:lvlOverride>
    <w:lvlOverride w:ilvl="1">
      <w:lvl w:ilvl="1">
        <w:start w:val="1"/>
        <w:numFmt w:val="decimal"/>
        <w:pStyle w:val="NbrHeading2"/>
        <w:lvlText w:val="%1.%2"/>
        <w:lvlJc w:val="left"/>
        <w:pPr>
          <w:tabs>
            <w:tab w:val="num" w:pos="1134"/>
          </w:tabs>
          <w:ind w:left="1134" w:hanging="1134"/>
        </w:pPr>
        <w:rPr>
          <w:rFonts w:asciiTheme="majorHAnsi" w:hAnsiTheme="majorHAnsi" w:hint="default"/>
          <w:color w:val="0F4BEB" w:themeColor="accent1"/>
        </w:rPr>
      </w:lvl>
    </w:lvlOverride>
    <w:lvlOverride w:ilvl="2">
      <w:lvl w:ilvl="2">
        <w:start w:val="1"/>
        <w:numFmt w:val="decimal"/>
        <w:pStyle w:val="NbrHeading3"/>
        <w:lvlText w:val="%1.%2.%3"/>
        <w:lvlJc w:val="left"/>
        <w:pPr>
          <w:tabs>
            <w:tab w:val="num" w:pos="1134"/>
          </w:tabs>
          <w:ind w:left="1134" w:hanging="1134"/>
        </w:pPr>
        <w:rPr>
          <w:rFonts w:asciiTheme="majorHAnsi" w:hAnsiTheme="majorHAnsi" w:hint="default"/>
          <w:color w:val="auto"/>
        </w:rPr>
      </w:lvl>
    </w:lvlOverride>
    <w:lvlOverride w:ilvl="3">
      <w:lvl w:ilvl="3">
        <w:start w:val="1"/>
        <w:numFmt w:val="decimal"/>
        <w:pStyle w:val="NbrHeading4"/>
        <w:lvlText w:val="%1.%2.%3.%4"/>
        <w:lvlJc w:val="left"/>
        <w:pPr>
          <w:tabs>
            <w:tab w:val="num" w:pos="1985"/>
          </w:tabs>
          <w:ind w:left="1247" w:hanging="1247"/>
        </w:pPr>
        <w:rPr>
          <w:rFonts w:asciiTheme="majorHAnsi" w:hAnsiTheme="majorHAnsi" w:hint="default"/>
          <w:b/>
          <w:bCs/>
          <w:color w:val="auto"/>
          <w:sz w:val="18"/>
        </w:rPr>
      </w:lvl>
    </w:lvlOverride>
    <w:lvlOverride w:ilvl="4">
      <w:lvl w:ilvl="4">
        <w:start w:val="1"/>
        <w:numFmt w:val="decimal"/>
        <w:pStyle w:val="NbrHeading5"/>
        <w:lvlText w:val="%1.%2.%3.%4.%5"/>
        <w:lvlJc w:val="left"/>
        <w:pPr>
          <w:tabs>
            <w:tab w:val="num" w:pos="1134"/>
          </w:tabs>
          <w:ind w:left="1134" w:hanging="1134"/>
        </w:pPr>
        <w:rPr>
          <w:rFonts w:asciiTheme="majorHAnsi" w:hAnsiTheme="majorHAnsi" w:hint="default"/>
          <w:color w:val="auto"/>
          <w:sz w:val="20"/>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20" w16cid:durableId="19284233">
    <w:abstractNumId w:val="40"/>
    <w:lvlOverride w:ilvl="0">
      <w:lvl w:ilvl="0">
        <w:start w:val="1"/>
        <w:numFmt w:val="decimal"/>
        <w:pStyle w:val="NbrHeading1"/>
        <w:lvlText w:val="%1"/>
        <w:lvlJc w:val="left"/>
        <w:pPr>
          <w:tabs>
            <w:tab w:val="num" w:pos="1134"/>
          </w:tabs>
          <w:ind w:left="1134" w:hanging="1134"/>
        </w:pPr>
        <w:rPr>
          <w:rFonts w:asciiTheme="majorHAnsi" w:hAnsiTheme="majorHAnsi" w:hint="default"/>
          <w:color w:val="0F4BEB" w:themeColor="accent1"/>
        </w:rPr>
      </w:lvl>
    </w:lvlOverride>
    <w:lvlOverride w:ilvl="1">
      <w:lvl w:ilvl="1">
        <w:start w:val="1"/>
        <w:numFmt w:val="decimal"/>
        <w:pStyle w:val="NbrHeading2"/>
        <w:lvlText w:val="%1.%2"/>
        <w:lvlJc w:val="left"/>
        <w:pPr>
          <w:tabs>
            <w:tab w:val="num" w:pos="1134"/>
          </w:tabs>
          <w:ind w:left="1134" w:hanging="1134"/>
        </w:pPr>
        <w:rPr>
          <w:rFonts w:asciiTheme="majorHAnsi" w:hAnsiTheme="majorHAnsi" w:hint="default"/>
          <w:color w:val="0F4BEB" w:themeColor="accent1"/>
        </w:rPr>
      </w:lvl>
    </w:lvlOverride>
    <w:lvlOverride w:ilvl="2">
      <w:lvl w:ilvl="2">
        <w:start w:val="1"/>
        <w:numFmt w:val="decimal"/>
        <w:pStyle w:val="NbrHeading3"/>
        <w:lvlText w:val="%1.%2.%3"/>
        <w:lvlJc w:val="left"/>
        <w:pPr>
          <w:tabs>
            <w:tab w:val="num" w:pos="1134"/>
          </w:tabs>
          <w:ind w:left="1134" w:hanging="1134"/>
        </w:pPr>
      </w:lvl>
    </w:lvlOverride>
    <w:lvlOverride w:ilvl="3">
      <w:lvl w:ilvl="3">
        <w:start w:val="1"/>
        <w:numFmt w:val="decimal"/>
        <w:pStyle w:val="NbrHeading4"/>
        <w:lvlText w:val="%1.%2.%3.%4"/>
        <w:lvlJc w:val="left"/>
        <w:pPr>
          <w:tabs>
            <w:tab w:val="num" w:pos="1985"/>
          </w:tabs>
          <w:ind w:left="1247" w:hanging="1247"/>
        </w:pPr>
        <w:rPr>
          <w:color w:val="auto"/>
        </w:rPr>
      </w:lvl>
    </w:lvlOverride>
    <w:lvlOverride w:ilvl="4">
      <w:lvl w:ilvl="4">
        <w:start w:val="1"/>
        <w:numFmt w:val="decimal"/>
        <w:pStyle w:val="NbrHeading5"/>
        <w:lvlText w:val="%1.%2.%3.%4.%5"/>
        <w:lvlJc w:val="left"/>
        <w:pPr>
          <w:tabs>
            <w:tab w:val="num" w:pos="1134"/>
          </w:tabs>
          <w:ind w:left="1134" w:hanging="1134"/>
        </w:pPr>
        <w:rPr>
          <w:rFonts w:asciiTheme="majorHAnsi" w:hAnsiTheme="majorHAnsi" w:hint="default"/>
          <w:color w:val="auto"/>
          <w:sz w:val="20"/>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21" w16cid:durableId="1069881946">
    <w:abstractNumId w:val="40"/>
    <w:lvlOverride w:ilvl="0">
      <w:startOverride w:val="1"/>
      <w:lvl w:ilvl="0">
        <w:start w:val="1"/>
        <w:numFmt w:val="decimal"/>
        <w:pStyle w:val="NbrHeading1"/>
        <w:lvlText w:val="%1"/>
        <w:lvlJc w:val="left"/>
        <w:pPr>
          <w:tabs>
            <w:tab w:val="num" w:pos="1134"/>
          </w:tabs>
          <w:ind w:left="1134" w:hanging="1134"/>
        </w:pPr>
        <w:rPr>
          <w:rFonts w:asciiTheme="majorHAnsi" w:hAnsiTheme="majorHAnsi" w:hint="default"/>
          <w:color w:val="0F4BEB" w:themeColor="accent1"/>
        </w:rPr>
      </w:lvl>
    </w:lvlOverride>
    <w:lvlOverride w:ilvl="1">
      <w:startOverride w:val="1"/>
      <w:lvl w:ilvl="1">
        <w:start w:val="1"/>
        <w:numFmt w:val="decimal"/>
        <w:pStyle w:val="NbrHeading2"/>
        <w:lvlText w:val="%1.%2"/>
        <w:lvlJc w:val="left"/>
        <w:pPr>
          <w:tabs>
            <w:tab w:val="num" w:pos="1134"/>
          </w:tabs>
          <w:ind w:left="1134" w:hanging="1134"/>
        </w:pPr>
        <w:rPr>
          <w:rFonts w:asciiTheme="majorHAnsi" w:hAnsiTheme="majorHAnsi" w:hint="default"/>
          <w:color w:val="0F4BEB" w:themeColor="accent1"/>
        </w:rPr>
      </w:lvl>
    </w:lvlOverride>
    <w:lvlOverride w:ilvl="2">
      <w:startOverride w:val="1"/>
      <w:lvl w:ilvl="2">
        <w:start w:val="1"/>
        <w:numFmt w:val="decimal"/>
        <w:pStyle w:val="NbrHeading3"/>
        <w:lvlText w:val="%1.%2.%3"/>
        <w:lvlJc w:val="left"/>
        <w:pPr>
          <w:tabs>
            <w:tab w:val="num" w:pos="1134"/>
          </w:tabs>
          <w:ind w:left="1134" w:hanging="1134"/>
        </w:pPr>
        <w:rPr>
          <w:rFonts w:asciiTheme="majorHAnsi" w:hAnsiTheme="majorHAnsi" w:hint="default"/>
          <w:color w:val="auto"/>
        </w:rPr>
      </w:lvl>
    </w:lvlOverride>
    <w:lvlOverride w:ilvl="3">
      <w:startOverride w:val="1"/>
      <w:lvl w:ilvl="3">
        <w:start w:val="1"/>
        <w:numFmt w:val="decimal"/>
        <w:pStyle w:val="NbrHeading4"/>
        <w:lvlText w:val="%1.%2.%3.%4"/>
        <w:lvlJc w:val="left"/>
        <w:pPr>
          <w:tabs>
            <w:tab w:val="num" w:pos="1985"/>
          </w:tabs>
          <w:ind w:left="1247" w:hanging="1247"/>
        </w:pPr>
        <w:rPr>
          <w:rFonts w:asciiTheme="majorHAnsi" w:hAnsiTheme="majorHAnsi" w:hint="default"/>
          <w:b/>
          <w:bCs/>
          <w:color w:val="auto"/>
          <w:sz w:val="20"/>
          <w:szCs w:val="24"/>
        </w:rPr>
      </w:lvl>
    </w:lvlOverride>
    <w:lvlOverride w:ilvl="4">
      <w:startOverride w:val="1"/>
      <w:lvl w:ilvl="4">
        <w:start w:val="1"/>
        <w:numFmt w:val="decimal"/>
        <w:pStyle w:val="NbrHeading5"/>
        <w:lvlText w:val="%1.%2.%3.%4.%5"/>
        <w:lvlJc w:val="left"/>
        <w:pPr>
          <w:tabs>
            <w:tab w:val="num" w:pos="1134"/>
          </w:tabs>
          <w:ind w:left="1134" w:hanging="1134"/>
        </w:pPr>
        <w:rPr>
          <w:rFonts w:asciiTheme="majorHAnsi" w:hAnsiTheme="majorHAnsi" w:hint="default"/>
          <w:color w:val="auto"/>
          <w:sz w:val="20"/>
        </w:rPr>
      </w:lvl>
    </w:lvlOverride>
    <w:lvlOverride w:ilvl="5">
      <w:startOverride w:val="1"/>
      <w:lvl w:ilvl="5">
        <w:start w:val="1"/>
        <w:numFmt w:val="none"/>
        <w:lvlText w:val=""/>
        <w:lvlJc w:val="left"/>
        <w:pPr>
          <w:ind w:left="-32767" w:firstLine="0"/>
        </w:pPr>
        <w:rPr>
          <w:rFonts w:hint="default"/>
        </w:rPr>
      </w:lvl>
    </w:lvlOverride>
    <w:lvlOverride w:ilvl="6">
      <w:startOverride w:val="1"/>
      <w:lvl w:ilvl="6">
        <w:start w:val="1"/>
        <w:numFmt w:val="none"/>
        <w:lvlRestart w:val="1"/>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space"/>
        <w:lvlText w:val=""/>
        <w:lvlJc w:val="left"/>
        <w:pPr>
          <w:ind w:left="0" w:firstLine="0"/>
        </w:pPr>
        <w:rPr>
          <w:rFonts w:hint="default"/>
        </w:rPr>
      </w:lvl>
    </w:lvlOverride>
  </w:num>
  <w:num w:numId="22" w16cid:durableId="1315254922">
    <w:abstractNumId w:val="4"/>
  </w:num>
  <w:num w:numId="23" w16cid:durableId="969944134">
    <w:abstractNumId w:val="33"/>
  </w:num>
  <w:num w:numId="24" w16cid:durableId="1172795792">
    <w:abstractNumId w:val="13"/>
  </w:num>
  <w:num w:numId="25" w16cid:durableId="1899589116">
    <w:abstractNumId w:val="47"/>
    <w:lvlOverride w:ilvl="0">
      <w:startOverride w:val="1"/>
    </w:lvlOverride>
  </w:num>
  <w:num w:numId="26" w16cid:durableId="1296062978">
    <w:abstractNumId w:val="47"/>
    <w:lvlOverride w:ilvl="0">
      <w:lvl w:ilvl="0" w:tplc="51F0D068">
        <w:start w:val="1"/>
        <w:numFmt w:val="lowerLetter"/>
        <w:lvlText w:val="%1."/>
        <w:lvlJc w:val="left"/>
        <w:pPr>
          <w:ind w:left="1440" w:hanging="360"/>
        </w:pPr>
      </w:lvl>
    </w:lvlOverride>
    <w:lvlOverride w:ilvl="1">
      <w:lvl w:ilvl="1" w:tplc="1AA20394">
        <w:start w:val="1"/>
        <w:numFmt w:val="lowerLetter"/>
        <w:pStyle w:val="Tablelista"/>
        <w:lvlText w:val="%2."/>
        <w:lvlJc w:val="left"/>
        <w:pPr>
          <w:ind w:left="1953" w:hanging="360"/>
        </w:pPr>
        <w:rPr>
          <w:b w:val="0"/>
          <w:bCs w:val="0"/>
          <w:color w:val="auto"/>
        </w:rPr>
      </w:lvl>
    </w:lvlOverride>
    <w:lvlOverride w:ilvl="2">
      <w:lvl w:ilvl="2" w:tplc="89F4C232">
        <w:start w:val="1"/>
        <w:numFmt w:val="lowerRoman"/>
        <w:pStyle w:val="ListNumber3"/>
        <w:lvlText w:val="%3."/>
        <w:lvlJc w:val="right"/>
        <w:pPr>
          <w:ind w:left="2673" w:hanging="180"/>
        </w:pPr>
      </w:lvl>
    </w:lvlOverride>
    <w:lvlOverride w:ilvl="3">
      <w:lvl w:ilvl="3" w:tplc="943C50C6">
        <w:start w:val="1"/>
        <w:numFmt w:val="decimal"/>
        <w:pStyle w:val="ListNumber4"/>
        <w:lvlText w:val="%4."/>
        <w:lvlJc w:val="left"/>
        <w:pPr>
          <w:ind w:left="3393" w:hanging="360"/>
        </w:pPr>
      </w:lvl>
    </w:lvlOverride>
    <w:lvlOverride w:ilvl="4">
      <w:lvl w:ilvl="4" w:tplc="10BA1F2E">
        <w:start w:val="1"/>
        <w:numFmt w:val="lowerLetter"/>
        <w:pStyle w:val="ListNumber5"/>
        <w:lvlText w:val="%5."/>
        <w:lvlJc w:val="left"/>
        <w:pPr>
          <w:ind w:left="4113" w:hanging="360"/>
        </w:pPr>
      </w:lvl>
    </w:lvlOverride>
    <w:lvlOverride w:ilvl="5">
      <w:lvl w:ilvl="5" w:tplc="71A65298">
        <w:start w:val="1"/>
        <w:numFmt w:val="lowerRoman"/>
        <w:pStyle w:val="ListNumber6"/>
        <w:lvlText w:val="%6."/>
        <w:lvlJc w:val="right"/>
        <w:pPr>
          <w:ind w:left="4833" w:hanging="180"/>
        </w:pPr>
      </w:lvl>
    </w:lvlOverride>
    <w:lvlOverride w:ilvl="6">
      <w:lvl w:ilvl="6" w:tplc="E4064CC0" w:tentative="1">
        <w:start w:val="1"/>
        <w:numFmt w:val="decimal"/>
        <w:lvlText w:val="%7."/>
        <w:lvlJc w:val="left"/>
        <w:pPr>
          <w:ind w:left="5553" w:hanging="360"/>
        </w:pPr>
      </w:lvl>
    </w:lvlOverride>
    <w:lvlOverride w:ilvl="7">
      <w:lvl w:ilvl="7" w:tplc="EC4CE250" w:tentative="1">
        <w:start w:val="1"/>
        <w:numFmt w:val="lowerLetter"/>
        <w:lvlText w:val="%8."/>
        <w:lvlJc w:val="left"/>
        <w:pPr>
          <w:ind w:left="6273" w:hanging="360"/>
        </w:pPr>
      </w:lvl>
    </w:lvlOverride>
    <w:lvlOverride w:ilvl="8">
      <w:lvl w:ilvl="8" w:tplc="CD02521E" w:tentative="1">
        <w:start w:val="1"/>
        <w:numFmt w:val="lowerRoman"/>
        <w:lvlText w:val="%9."/>
        <w:lvlJc w:val="right"/>
        <w:pPr>
          <w:ind w:left="6993" w:hanging="180"/>
        </w:pPr>
      </w:lvl>
    </w:lvlOverride>
  </w:num>
  <w:num w:numId="27" w16cid:durableId="1325016054">
    <w:abstractNumId w:val="48"/>
  </w:num>
  <w:num w:numId="28" w16cid:durableId="1133641981">
    <w:abstractNumId w:val="48"/>
    <w:lvlOverride w:ilvl="0">
      <w:startOverride w:val="1"/>
    </w:lvlOverride>
  </w:num>
  <w:num w:numId="29" w16cid:durableId="1121806369">
    <w:abstractNumId w:val="38"/>
  </w:num>
  <w:num w:numId="30" w16cid:durableId="1831603639">
    <w:abstractNumId w:val="48"/>
    <w:lvlOverride w:ilvl="0">
      <w:startOverride w:val="1"/>
    </w:lvlOverride>
  </w:num>
  <w:num w:numId="31" w16cid:durableId="1076125957">
    <w:abstractNumId w:val="11"/>
  </w:num>
  <w:num w:numId="32" w16cid:durableId="904415076">
    <w:abstractNumId w:val="5"/>
  </w:num>
  <w:num w:numId="33" w16cid:durableId="14156289">
    <w:abstractNumId w:val="47"/>
    <w:lvlOverride w:ilvl="0">
      <w:lvl w:ilvl="0" w:tplc="51F0D068">
        <w:start w:val="1"/>
        <w:numFmt w:val="lowerLetter"/>
        <w:lvlText w:val="%1."/>
        <w:lvlJc w:val="left"/>
        <w:pPr>
          <w:ind w:left="927" w:hanging="360"/>
        </w:pPr>
      </w:lvl>
    </w:lvlOverride>
    <w:lvlOverride w:ilvl="1">
      <w:lvl w:ilvl="1" w:tplc="1AA20394">
        <w:start w:val="1"/>
        <w:numFmt w:val="lowerLetter"/>
        <w:pStyle w:val="Tablelista"/>
        <w:lvlText w:val="%2."/>
        <w:lvlJc w:val="left"/>
        <w:pPr>
          <w:ind w:left="1440" w:hanging="360"/>
        </w:pPr>
      </w:lvl>
    </w:lvlOverride>
    <w:lvlOverride w:ilvl="2">
      <w:lvl w:ilvl="2" w:tplc="89F4C232">
        <w:start w:val="1"/>
        <w:numFmt w:val="lowerRoman"/>
        <w:pStyle w:val="ListNumber3"/>
        <w:lvlText w:val="%3."/>
        <w:lvlJc w:val="right"/>
        <w:pPr>
          <w:ind w:left="2160" w:hanging="180"/>
        </w:pPr>
      </w:lvl>
    </w:lvlOverride>
    <w:lvlOverride w:ilvl="3">
      <w:lvl w:ilvl="3" w:tplc="943C50C6" w:tentative="1">
        <w:start w:val="1"/>
        <w:numFmt w:val="decimal"/>
        <w:pStyle w:val="ListNumber4"/>
        <w:lvlText w:val="%4."/>
        <w:lvlJc w:val="left"/>
        <w:pPr>
          <w:ind w:left="2880" w:hanging="360"/>
        </w:pPr>
      </w:lvl>
    </w:lvlOverride>
    <w:lvlOverride w:ilvl="4">
      <w:lvl w:ilvl="4" w:tplc="10BA1F2E" w:tentative="1">
        <w:start w:val="1"/>
        <w:numFmt w:val="lowerLetter"/>
        <w:pStyle w:val="ListNumber5"/>
        <w:lvlText w:val="%5."/>
        <w:lvlJc w:val="left"/>
        <w:pPr>
          <w:ind w:left="3600" w:hanging="360"/>
        </w:pPr>
      </w:lvl>
    </w:lvlOverride>
    <w:lvlOverride w:ilvl="5">
      <w:lvl w:ilvl="5" w:tplc="71A65298" w:tentative="1">
        <w:start w:val="1"/>
        <w:numFmt w:val="lowerRoman"/>
        <w:pStyle w:val="ListNumber6"/>
        <w:lvlText w:val="%6."/>
        <w:lvlJc w:val="right"/>
        <w:pPr>
          <w:ind w:left="4320" w:hanging="180"/>
        </w:pPr>
      </w:lvl>
    </w:lvlOverride>
    <w:lvlOverride w:ilvl="6">
      <w:lvl w:ilvl="6" w:tplc="E4064CC0" w:tentative="1">
        <w:start w:val="1"/>
        <w:numFmt w:val="decimal"/>
        <w:lvlText w:val="%7."/>
        <w:lvlJc w:val="left"/>
        <w:pPr>
          <w:ind w:left="5040" w:hanging="360"/>
        </w:pPr>
      </w:lvl>
    </w:lvlOverride>
    <w:lvlOverride w:ilvl="7">
      <w:lvl w:ilvl="7" w:tplc="EC4CE250" w:tentative="1">
        <w:start w:val="1"/>
        <w:numFmt w:val="lowerLetter"/>
        <w:lvlText w:val="%8."/>
        <w:lvlJc w:val="left"/>
        <w:pPr>
          <w:ind w:left="5760" w:hanging="360"/>
        </w:pPr>
      </w:lvl>
    </w:lvlOverride>
    <w:lvlOverride w:ilvl="8">
      <w:lvl w:ilvl="8" w:tplc="CD02521E" w:tentative="1">
        <w:start w:val="1"/>
        <w:numFmt w:val="lowerRoman"/>
        <w:lvlText w:val="%9."/>
        <w:lvlJc w:val="right"/>
        <w:pPr>
          <w:ind w:left="6480" w:hanging="180"/>
        </w:pPr>
      </w:lvl>
    </w:lvlOverride>
  </w:num>
  <w:num w:numId="34" w16cid:durableId="1396004278">
    <w:abstractNumId w:val="20"/>
  </w:num>
  <w:num w:numId="35" w16cid:durableId="689180487">
    <w:abstractNumId w:val="16"/>
  </w:num>
  <w:num w:numId="36" w16cid:durableId="1986276195">
    <w:abstractNumId w:val="30"/>
  </w:num>
  <w:num w:numId="37" w16cid:durableId="693384283">
    <w:abstractNumId w:val="24"/>
  </w:num>
  <w:num w:numId="38" w16cid:durableId="461071287">
    <w:abstractNumId w:val="14"/>
  </w:num>
  <w:num w:numId="39" w16cid:durableId="1476027214">
    <w:abstractNumId w:val="1"/>
  </w:num>
  <w:num w:numId="40" w16cid:durableId="962804942">
    <w:abstractNumId w:val="35"/>
  </w:num>
  <w:num w:numId="41" w16cid:durableId="1520973682">
    <w:abstractNumId w:val="36"/>
  </w:num>
  <w:num w:numId="42" w16cid:durableId="14617378">
    <w:abstractNumId w:val="2"/>
  </w:num>
  <w:num w:numId="43" w16cid:durableId="1350791106">
    <w:abstractNumId w:val="26"/>
  </w:num>
  <w:num w:numId="44" w16cid:durableId="1997107405">
    <w:abstractNumId w:val="19"/>
  </w:num>
  <w:num w:numId="45" w16cid:durableId="2014068775">
    <w:abstractNumId w:val="28"/>
  </w:num>
  <w:num w:numId="46" w16cid:durableId="2015495698">
    <w:abstractNumId w:val="40"/>
  </w:num>
  <w:num w:numId="47" w16cid:durableId="1295990398">
    <w:abstractNumId w:val="41"/>
  </w:num>
  <w:num w:numId="48" w16cid:durableId="362292108">
    <w:abstractNumId w:val="42"/>
  </w:num>
  <w:num w:numId="49" w16cid:durableId="1122191638">
    <w:abstractNumId w:val="34"/>
  </w:num>
  <w:num w:numId="50" w16cid:durableId="641272255">
    <w:abstractNumId w:val="46"/>
  </w:num>
  <w:num w:numId="51" w16cid:durableId="314722012">
    <w:abstractNumId w:val="10"/>
  </w:num>
  <w:num w:numId="52" w16cid:durableId="969434182">
    <w:abstractNumId w:val="44"/>
  </w:num>
  <w:num w:numId="53" w16cid:durableId="1996254154">
    <w:abstractNumId w:val="21"/>
  </w:num>
  <w:num w:numId="54" w16cid:durableId="226502419">
    <w:abstractNumId w:val="25"/>
  </w:num>
  <w:num w:numId="55" w16cid:durableId="1783842958">
    <w:abstractNumId w:val="18"/>
  </w:num>
  <w:num w:numId="56" w16cid:durableId="404954663">
    <w:abstractNumId w:val="32"/>
  </w:num>
  <w:num w:numId="57" w16cid:durableId="2051107562">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922fra6werpwe09995rzt6590f9fzd50wz&quot;&gt;LGBTIQA+ Systematic Literature Review - Consolidated EN Library&lt;record-ids&gt;&lt;item&gt;1939&lt;/item&gt;&lt;/record-ids&gt;&lt;/item&gt;&lt;/Libraries&gt;"/>
  </w:docVars>
  <w:rsids>
    <w:rsidRoot w:val="00CB70D1"/>
    <w:rsid w:val="000000B9"/>
    <w:rsid w:val="000005FE"/>
    <w:rsid w:val="000006D9"/>
    <w:rsid w:val="00000975"/>
    <w:rsid w:val="00000C7A"/>
    <w:rsid w:val="00000EA4"/>
    <w:rsid w:val="000010F7"/>
    <w:rsid w:val="000011C0"/>
    <w:rsid w:val="00001267"/>
    <w:rsid w:val="0000155E"/>
    <w:rsid w:val="000015B4"/>
    <w:rsid w:val="00001877"/>
    <w:rsid w:val="000019B5"/>
    <w:rsid w:val="00001A54"/>
    <w:rsid w:val="00001AC0"/>
    <w:rsid w:val="00001B68"/>
    <w:rsid w:val="00001D1A"/>
    <w:rsid w:val="00001E22"/>
    <w:rsid w:val="00001F25"/>
    <w:rsid w:val="00001F4A"/>
    <w:rsid w:val="00001FB7"/>
    <w:rsid w:val="00002060"/>
    <w:rsid w:val="000029EB"/>
    <w:rsid w:val="00002A44"/>
    <w:rsid w:val="00002B35"/>
    <w:rsid w:val="00002D6A"/>
    <w:rsid w:val="00002DFE"/>
    <w:rsid w:val="00002E04"/>
    <w:rsid w:val="00002E2A"/>
    <w:rsid w:val="0000323A"/>
    <w:rsid w:val="00003336"/>
    <w:rsid w:val="000035F9"/>
    <w:rsid w:val="0000360A"/>
    <w:rsid w:val="00003671"/>
    <w:rsid w:val="000039A0"/>
    <w:rsid w:val="00003BA5"/>
    <w:rsid w:val="00003F58"/>
    <w:rsid w:val="00004007"/>
    <w:rsid w:val="00004A0F"/>
    <w:rsid w:val="00004E6D"/>
    <w:rsid w:val="00004F56"/>
    <w:rsid w:val="0000550F"/>
    <w:rsid w:val="000055A8"/>
    <w:rsid w:val="00005A26"/>
    <w:rsid w:val="00005B87"/>
    <w:rsid w:val="00005C36"/>
    <w:rsid w:val="00005E6F"/>
    <w:rsid w:val="00006026"/>
    <w:rsid w:val="00006054"/>
    <w:rsid w:val="00006100"/>
    <w:rsid w:val="000061B6"/>
    <w:rsid w:val="00006352"/>
    <w:rsid w:val="0000650C"/>
    <w:rsid w:val="00006599"/>
    <w:rsid w:val="000067E2"/>
    <w:rsid w:val="00006A2A"/>
    <w:rsid w:val="00006BAA"/>
    <w:rsid w:val="00006EF4"/>
    <w:rsid w:val="00006FBA"/>
    <w:rsid w:val="0000701B"/>
    <w:rsid w:val="00007439"/>
    <w:rsid w:val="00007867"/>
    <w:rsid w:val="00007869"/>
    <w:rsid w:val="00007A9D"/>
    <w:rsid w:val="00007C08"/>
    <w:rsid w:val="00007CCE"/>
    <w:rsid w:val="00007D01"/>
    <w:rsid w:val="0000C2E7"/>
    <w:rsid w:val="000102E6"/>
    <w:rsid w:val="00010344"/>
    <w:rsid w:val="0001092E"/>
    <w:rsid w:val="00010C19"/>
    <w:rsid w:val="00010F76"/>
    <w:rsid w:val="00011078"/>
    <w:rsid w:val="000114DA"/>
    <w:rsid w:val="000115FA"/>
    <w:rsid w:val="00011712"/>
    <w:rsid w:val="00011B1F"/>
    <w:rsid w:val="00011C8B"/>
    <w:rsid w:val="00012106"/>
    <w:rsid w:val="0001218D"/>
    <w:rsid w:val="00012221"/>
    <w:rsid w:val="00012538"/>
    <w:rsid w:val="000125BE"/>
    <w:rsid w:val="00012842"/>
    <w:rsid w:val="000129F3"/>
    <w:rsid w:val="00012CDA"/>
    <w:rsid w:val="00012DE3"/>
    <w:rsid w:val="00012FD2"/>
    <w:rsid w:val="0001321D"/>
    <w:rsid w:val="0001373D"/>
    <w:rsid w:val="000137A4"/>
    <w:rsid w:val="00013D6F"/>
    <w:rsid w:val="00013E71"/>
    <w:rsid w:val="00013F01"/>
    <w:rsid w:val="0001424E"/>
    <w:rsid w:val="0001489E"/>
    <w:rsid w:val="00014AEC"/>
    <w:rsid w:val="00014C43"/>
    <w:rsid w:val="00014C71"/>
    <w:rsid w:val="00014F55"/>
    <w:rsid w:val="00015198"/>
    <w:rsid w:val="0001539B"/>
    <w:rsid w:val="000153E7"/>
    <w:rsid w:val="0001547D"/>
    <w:rsid w:val="0001549E"/>
    <w:rsid w:val="000155DD"/>
    <w:rsid w:val="00015739"/>
    <w:rsid w:val="00015FA7"/>
    <w:rsid w:val="0001601D"/>
    <w:rsid w:val="000160CB"/>
    <w:rsid w:val="00016213"/>
    <w:rsid w:val="0001621E"/>
    <w:rsid w:val="000163DA"/>
    <w:rsid w:val="0001687A"/>
    <w:rsid w:val="000168EA"/>
    <w:rsid w:val="00016913"/>
    <w:rsid w:val="000169A4"/>
    <w:rsid w:val="00016BAF"/>
    <w:rsid w:val="00016E47"/>
    <w:rsid w:val="00016F42"/>
    <w:rsid w:val="000175AD"/>
    <w:rsid w:val="00017766"/>
    <w:rsid w:val="00017958"/>
    <w:rsid w:val="000179C1"/>
    <w:rsid w:val="00017A95"/>
    <w:rsid w:val="00017AB9"/>
    <w:rsid w:val="00020131"/>
    <w:rsid w:val="000204FC"/>
    <w:rsid w:val="00020AF8"/>
    <w:rsid w:val="000212BA"/>
    <w:rsid w:val="000213B0"/>
    <w:rsid w:val="00021413"/>
    <w:rsid w:val="000215A0"/>
    <w:rsid w:val="000216CD"/>
    <w:rsid w:val="000218D0"/>
    <w:rsid w:val="00021A07"/>
    <w:rsid w:val="00021EB3"/>
    <w:rsid w:val="00021F38"/>
    <w:rsid w:val="00021F8F"/>
    <w:rsid w:val="00021F9E"/>
    <w:rsid w:val="00022591"/>
    <w:rsid w:val="0002298E"/>
    <w:rsid w:val="000231F2"/>
    <w:rsid w:val="000232DC"/>
    <w:rsid w:val="000235B0"/>
    <w:rsid w:val="0002368F"/>
    <w:rsid w:val="00023782"/>
    <w:rsid w:val="00023AB7"/>
    <w:rsid w:val="000241ED"/>
    <w:rsid w:val="00024307"/>
    <w:rsid w:val="00024548"/>
    <w:rsid w:val="0002455A"/>
    <w:rsid w:val="000245E0"/>
    <w:rsid w:val="00024684"/>
    <w:rsid w:val="0002484F"/>
    <w:rsid w:val="0002494D"/>
    <w:rsid w:val="00024CE7"/>
    <w:rsid w:val="00024D7F"/>
    <w:rsid w:val="00024FC3"/>
    <w:rsid w:val="00025763"/>
    <w:rsid w:val="0002576E"/>
    <w:rsid w:val="00025E44"/>
    <w:rsid w:val="0002608E"/>
    <w:rsid w:val="00026092"/>
    <w:rsid w:val="0002650C"/>
    <w:rsid w:val="00026590"/>
    <w:rsid w:val="0002660E"/>
    <w:rsid w:val="00026B49"/>
    <w:rsid w:val="00026BCF"/>
    <w:rsid w:val="00027078"/>
    <w:rsid w:val="0002708B"/>
    <w:rsid w:val="000271BE"/>
    <w:rsid w:val="00027239"/>
    <w:rsid w:val="00027602"/>
    <w:rsid w:val="00027758"/>
    <w:rsid w:val="00027771"/>
    <w:rsid w:val="000278EA"/>
    <w:rsid w:val="00027B5A"/>
    <w:rsid w:val="00027C2E"/>
    <w:rsid w:val="00027CE7"/>
    <w:rsid w:val="000300C4"/>
    <w:rsid w:val="000304E1"/>
    <w:rsid w:val="000304F7"/>
    <w:rsid w:val="00030999"/>
    <w:rsid w:val="000311E3"/>
    <w:rsid w:val="000311EC"/>
    <w:rsid w:val="000311FF"/>
    <w:rsid w:val="000316CF"/>
    <w:rsid w:val="0003187B"/>
    <w:rsid w:val="00031AE7"/>
    <w:rsid w:val="00031D0D"/>
    <w:rsid w:val="00031F0A"/>
    <w:rsid w:val="00032171"/>
    <w:rsid w:val="00032475"/>
    <w:rsid w:val="0003279A"/>
    <w:rsid w:val="00032867"/>
    <w:rsid w:val="00032B5C"/>
    <w:rsid w:val="00033088"/>
    <w:rsid w:val="000330F4"/>
    <w:rsid w:val="0003310F"/>
    <w:rsid w:val="0003316F"/>
    <w:rsid w:val="000332AE"/>
    <w:rsid w:val="00033312"/>
    <w:rsid w:val="000334F9"/>
    <w:rsid w:val="00033A9D"/>
    <w:rsid w:val="00033AD7"/>
    <w:rsid w:val="00033CD0"/>
    <w:rsid w:val="00033CD5"/>
    <w:rsid w:val="0003403B"/>
    <w:rsid w:val="00034043"/>
    <w:rsid w:val="000342AC"/>
    <w:rsid w:val="0003441F"/>
    <w:rsid w:val="0003549F"/>
    <w:rsid w:val="000356A8"/>
    <w:rsid w:val="000356ED"/>
    <w:rsid w:val="0003572F"/>
    <w:rsid w:val="00035DA7"/>
    <w:rsid w:val="00035E28"/>
    <w:rsid w:val="0003635F"/>
    <w:rsid w:val="000364A2"/>
    <w:rsid w:val="00036658"/>
    <w:rsid w:val="0003676C"/>
    <w:rsid w:val="000367DE"/>
    <w:rsid w:val="0003681F"/>
    <w:rsid w:val="00036936"/>
    <w:rsid w:val="00036B3C"/>
    <w:rsid w:val="00036D31"/>
    <w:rsid w:val="0003700C"/>
    <w:rsid w:val="00037280"/>
    <w:rsid w:val="000372E2"/>
    <w:rsid w:val="00037370"/>
    <w:rsid w:val="00037536"/>
    <w:rsid w:val="0003776F"/>
    <w:rsid w:val="0003793A"/>
    <w:rsid w:val="00037948"/>
    <w:rsid w:val="00037D81"/>
    <w:rsid w:val="00037E09"/>
    <w:rsid w:val="00037E15"/>
    <w:rsid w:val="00037E65"/>
    <w:rsid w:val="00037F7A"/>
    <w:rsid w:val="00040180"/>
    <w:rsid w:val="00040719"/>
    <w:rsid w:val="00040767"/>
    <w:rsid w:val="00040946"/>
    <w:rsid w:val="00040966"/>
    <w:rsid w:val="00040CC4"/>
    <w:rsid w:val="00040CE2"/>
    <w:rsid w:val="00040F4D"/>
    <w:rsid w:val="00041167"/>
    <w:rsid w:val="0004165B"/>
    <w:rsid w:val="000416E9"/>
    <w:rsid w:val="000417D0"/>
    <w:rsid w:val="000418C6"/>
    <w:rsid w:val="00041908"/>
    <w:rsid w:val="00041A4F"/>
    <w:rsid w:val="00042003"/>
    <w:rsid w:val="0004211F"/>
    <w:rsid w:val="00042257"/>
    <w:rsid w:val="00042392"/>
    <w:rsid w:val="0004256B"/>
    <w:rsid w:val="000427B8"/>
    <w:rsid w:val="00042AB1"/>
    <w:rsid w:val="00042ECC"/>
    <w:rsid w:val="000430B6"/>
    <w:rsid w:val="0004314C"/>
    <w:rsid w:val="000432DB"/>
    <w:rsid w:val="000435DB"/>
    <w:rsid w:val="000438E4"/>
    <w:rsid w:val="00043B7C"/>
    <w:rsid w:val="00043D41"/>
    <w:rsid w:val="00043E67"/>
    <w:rsid w:val="0004409F"/>
    <w:rsid w:val="00044156"/>
    <w:rsid w:val="000443F3"/>
    <w:rsid w:val="00044570"/>
    <w:rsid w:val="000447FB"/>
    <w:rsid w:val="00044A62"/>
    <w:rsid w:val="00044BFB"/>
    <w:rsid w:val="00044DF7"/>
    <w:rsid w:val="00044EC4"/>
    <w:rsid w:val="0004528B"/>
    <w:rsid w:val="000452C5"/>
    <w:rsid w:val="00045471"/>
    <w:rsid w:val="00045887"/>
    <w:rsid w:val="000458E0"/>
    <w:rsid w:val="00045BCB"/>
    <w:rsid w:val="00045D89"/>
    <w:rsid w:val="0004656E"/>
    <w:rsid w:val="000468A0"/>
    <w:rsid w:val="00046CE1"/>
    <w:rsid w:val="00046E58"/>
    <w:rsid w:val="0004736B"/>
    <w:rsid w:val="00047661"/>
    <w:rsid w:val="0004767B"/>
    <w:rsid w:val="00047837"/>
    <w:rsid w:val="00047E62"/>
    <w:rsid w:val="00047F67"/>
    <w:rsid w:val="00050173"/>
    <w:rsid w:val="0005078A"/>
    <w:rsid w:val="00050850"/>
    <w:rsid w:val="000509BF"/>
    <w:rsid w:val="00050BA6"/>
    <w:rsid w:val="00050C42"/>
    <w:rsid w:val="00050D25"/>
    <w:rsid w:val="00050DD1"/>
    <w:rsid w:val="00050E8A"/>
    <w:rsid w:val="00051101"/>
    <w:rsid w:val="00051512"/>
    <w:rsid w:val="000517CC"/>
    <w:rsid w:val="00051B54"/>
    <w:rsid w:val="00051D64"/>
    <w:rsid w:val="00051E4E"/>
    <w:rsid w:val="00051EAB"/>
    <w:rsid w:val="00052140"/>
    <w:rsid w:val="000521F5"/>
    <w:rsid w:val="000521FC"/>
    <w:rsid w:val="000522B7"/>
    <w:rsid w:val="0005230F"/>
    <w:rsid w:val="00052657"/>
    <w:rsid w:val="00052726"/>
    <w:rsid w:val="0005272F"/>
    <w:rsid w:val="000531BB"/>
    <w:rsid w:val="00053354"/>
    <w:rsid w:val="000533F4"/>
    <w:rsid w:val="0005368E"/>
    <w:rsid w:val="000538B2"/>
    <w:rsid w:val="00053929"/>
    <w:rsid w:val="00053949"/>
    <w:rsid w:val="00053FA4"/>
    <w:rsid w:val="0005448C"/>
    <w:rsid w:val="000544E8"/>
    <w:rsid w:val="0005458D"/>
    <w:rsid w:val="000547B0"/>
    <w:rsid w:val="0005493D"/>
    <w:rsid w:val="00054AD8"/>
    <w:rsid w:val="00054B39"/>
    <w:rsid w:val="00054B90"/>
    <w:rsid w:val="00054BEE"/>
    <w:rsid w:val="00054C5C"/>
    <w:rsid w:val="00054D12"/>
    <w:rsid w:val="00054F70"/>
    <w:rsid w:val="00054FD8"/>
    <w:rsid w:val="0005537F"/>
    <w:rsid w:val="000558AF"/>
    <w:rsid w:val="0005598A"/>
    <w:rsid w:val="000559E2"/>
    <w:rsid w:val="00055BD9"/>
    <w:rsid w:val="00055C2A"/>
    <w:rsid w:val="00055D51"/>
    <w:rsid w:val="00055DE8"/>
    <w:rsid w:val="00055DFD"/>
    <w:rsid w:val="0005624E"/>
    <w:rsid w:val="000563E1"/>
    <w:rsid w:val="00056980"/>
    <w:rsid w:val="00056B88"/>
    <w:rsid w:val="00056E7F"/>
    <w:rsid w:val="00056FF5"/>
    <w:rsid w:val="00057021"/>
    <w:rsid w:val="0005702C"/>
    <w:rsid w:val="000570DA"/>
    <w:rsid w:val="000572B1"/>
    <w:rsid w:val="000572BB"/>
    <w:rsid w:val="000578D3"/>
    <w:rsid w:val="00057CBF"/>
    <w:rsid w:val="00057DE7"/>
    <w:rsid w:val="00057E29"/>
    <w:rsid w:val="00057E61"/>
    <w:rsid w:val="00057FEE"/>
    <w:rsid w:val="0006021B"/>
    <w:rsid w:val="000602CE"/>
    <w:rsid w:val="000603CD"/>
    <w:rsid w:val="00060486"/>
    <w:rsid w:val="000604FF"/>
    <w:rsid w:val="00060774"/>
    <w:rsid w:val="00060DC7"/>
    <w:rsid w:val="00060E68"/>
    <w:rsid w:val="00060ED9"/>
    <w:rsid w:val="00060F14"/>
    <w:rsid w:val="00060F24"/>
    <w:rsid w:val="00061215"/>
    <w:rsid w:val="00061470"/>
    <w:rsid w:val="000617A6"/>
    <w:rsid w:val="00061970"/>
    <w:rsid w:val="00061A6F"/>
    <w:rsid w:val="00061A95"/>
    <w:rsid w:val="00061E93"/>
    <w:rsid w:val="000620D5"/>
    <w:rsid w:val="000623FE"/>
    <w:rsid w:val="00062509"/>
    <w:rsid w:val="0006259A"/>
    <w:rsid w:val="00062790"/>
    <w:rsid w:val="000627AA"/>
    <w:rsid w:val="000628C0"/>
    <w:rsid w:val="00062BDD"/>
    <w:rsid w:val="00062C61"/>
    <w:rsid w:val="00062E00"/>
    <w:rsid w:val="00063048"/>
    <w:rsid w:val="000630F7"/>
    <w:rsid w:val="00063725"/>
    <w:rsid w:val="000638D2"/>
    <w:rsid w:val="000638E4"/>
    <w:rsid w:val="000639A5"/>
    <w:rsid w:val="00064193"/>
    <w:rsid w:val="000645F2"/>
    <w:rsid w:val="000650AB"/>
    <w:rsid w:val="000650D1"/>
    <w:rsid w:val="00065245"/>
    <w:rsid w:val="0006529E"/>
    <w:rsid w:val="000656CA"/>
    <w:rsid w:val="00065721"/>
    <w:rsid w:val="00065855"/>
    <w:rsid w:val="0006593E"/>
    <w:rsid w:val="00065995"/>
    <w:rsid w:val="00065B74"/>
    <w:rsid w:val="00065C61"/>
    <w:rsid w:val="00065DEB"/>
    <w:rsid w:val="00065F21"/>
    <w:rsid w:val="00066002"/>
    <w:rsid w:val="000662EB"/>
    <w:rsid w:val="000664B9"/>
    <w:rsid w:val="00066952"/>
    <w:rsid w:val="00066A71"/>
    <w:rsid w:val="00066D73"/>
    <w:rsid w:val="00066F2C"/>
    <w:rsid w:val="0006733B"/>
    <w:rsid w:val="0006766B"/>
    <w:rsid w:val="0006774D"/>
    <w:rsid w:val="000677A6"/>
    <w:rsid w:val="000679E4"/>
    <w:rsid w:val="00067A7E"/>
    <w:rsid w:val="00067EBE"/>
    <w:rsid w:val="00070011"/>
    <w:rsid w:val="00070406"/>
    <w:rsid w:val="00070857"/>
    <w:rsid w:val="00070A06"/>
    <w:rsid w:val="00070A51"/>
    <w:rsid w:val="00070BA1"/>
    <w:rsid w:val="00070C20"/>
    <w:rsid w:val="00070DD9"/>
    <w:rsid w:val="00071063"/>
    <w:rsid w:val="00071198"/>
    <w:rsid w:val="000714DF"/>
    <w:rsid w:val="00071680"/>
    <w:rsid w:val="000716DF"/>
    <w:rsid w:val="00071853"/>
    <w:rsid w:val="000719F4"/>
    <w:rsid w:val="00071C34"/>
    <w:rsid w:val="00071C7D"/>
    <w:rsid w:val="00071D18"/>
    <w:rsid w:val="00071DA6"/>
    <w:rsid w:val="00071DEF"/>
    <w:rsid w:val="0007207E"/>
    <w:rsid w:val="0007238C"/>
    <w:rsid w:val="00072AFC"/>
    <w:rsid w:val="00072C73"/>
    <w:rsid w:val="00073185"/>
    <w:rsid w:val="000733E1"/>
    <w:rsid w:val="000737CB"/>
    <w:rsid w:val="000738BD"/>
    <w:rsid w:val="00073A03"/>
    <w:rsid w:val="00073A83"/>
    <w:rsid w:val="000742F5"/>
    <w:rsid w:val="0007431A"/>
    <w:rsid w:val="0007472E"/>
    <w:rsid w:val="00074931"/>
    <w:rsid w:val="000749EB"/>
    <w:rsid w:val="00074A6B"/>
    <w:rsid w:val="00074AFF"/>
    <w:rsid w:val="00074B85"/>
    <w:rsid w:val="00074DA5"/>
    <w:rsid w:val="00074F69"/>
    <w:rsid w:val="0007506F"/>
    <w:rsid w:val="000751D1"/>
    <w:rsid w:val="00075337"/>
    <w:rsid w:val="00075494"/>
    <w:rsid w:val="00075968"/>
    <w:rsid w:val="00075D74"/>
    <w:rsid w:val="00075FD5"/>
    <w:rsid w:val="00075FF7"/>
    <w:rsid w:val="000762FB"/>
    <w:rsid w:val="00076301"/>
    <w:rsid w:val="00076A65"/>
    <w:rsid w:val="00076B54"/>
    <w:rsid w:val="00076E1C"/>
    <w:rsid w:val="00076E2F"/>
    <w:rsid w:val="00076F97"/>
    <w:rsid w:val="000771D4"/>
    <w:rsid w:val="000775B2"/>
    <w:rsid w:val="0008017F"/>
    <w:rsid w:val="000803EF"/>
    <w:rsid w:val="0008042C"/>
    <w:rsid w:val="000804F5"/>
    <w:rsid w:val="0008056C"/>
    <w:rsid w:val="0008066C"/>
    <w:rsid w:val="000806CE"/>
    <w:rsid w:val="00080907"/>
    <w:rsid w:val="00080C4B"/>
    <w:rsid w:val="000810A4"/>
    <w:rsid w:val="000813B4"/>
    <w:rsid w:val="00081411"/>
    <w:rsid w:val="00081711"/>
    <w:rsid w:val="00081A21"/>
    <w:rsid w:val="00081C9A"/>
    <w:rsid w:val="00081D01"/>
    <w:rsid w:val="00081D9C"/>
    <w:rsid w:val="00081E5C"/>
    <w:rsid w:val="00081F4B"/>
    <w:rsid w:val="000824C7"/>
    <w:rsid w:val="00082652"/>
    <w:rsid w:val="0008276B"/>
    <w:rsid w:val="00082A66"/>
    <w:rsid w:val="00082B56"/>
    <w:rsid w:val="00082C95"/>
    <w:rsid w:val="00082E7D"/>
    <w:rsid w:val="00082F33"/>
    <w:rsid w:val="00083086"/>
    <w:rsid w:val="000830B3"/>
    <w:rsid w:val="00083415"/>
    <w:rsid w:val="00083490"/>
    <w:rsid w:val="000836A1"/>
    <w:rsid w:val="00083826"/>
    <w:rsid w:val="00083A9A"/>
    <w:rsid w:val="00083AAF"/>
    <w:rsid w:val="00083AF9"/>
    <w:rsid w:val="00083CF1"/>
    <w:rsid w:val="00083E10"/>
    <w:rsid w:val="00084297"/>
    <w:rsid w:val="00084571"/>
    <w:rsid w:val="00084675"/>
    <w:rsid w:val="0008484C"/>
    <w:rsid w:val="00084B4D"/>
    <w:rsid w:val="00084C3D"/>
    <w:rsid w:val="00084E71"/>
    <w:rsid w:val="00084ECB"/>
    <w:rsid w:val="00085318"/>
    <w:rsid w:val="000853F4"/>
    <w:rsid w:val="000854A2"/>
    <w:rsid w:val="000856F9"/>
    <w:rsid w:val="000858C2"/>
    <w:rsid w:val="000862EB"/>
    <w:rsid w:val="00086393"/>
    <w:rsid w:val="000864A3"/>
    <w:rsid w:val="0008672A"/>
    <w:rsid w:val="000868C6"/>
    <w:rsid w:val="000868F8"/>
    <w:rsid w:val="00086C52"/>
    <w:rsid w:val="00086F4D"/>
    <w:rsid w:val="000870BB"/>
    <w:rsid w:val="00087467"/>
    <w:rsid w:val="0008774D"/>
    <w:rsid w:val="00087769"/>
    <w:rsid w:val="00087787"/>
    <w:rsid w:val="00087A3B"/>
    <w:rsid w:val="00087D93"/>
    <w:rsid w:val="00087F68"/>
    <w:rsid w:val="000902DD"/>
    <w:rsid w:val="000909D4"/>
    <w:rsid w:val="00090D3A"/>
    <w:rsid w:val="00090FDD"/>
    <w:rsid w:val="00091379"/>
    <w:rsid w:val="00091488"/>
    <w:rsid w:val="0009189E"/>
    <w:rsid w:val="00091F60"/>
    <w:rsid w:val="00091FC3"/>
    <w:rsid w:val="0009213D"/>
    <w:rsid w:val="0009231D"/>
    <w:rsid w:val="00092686"/>
    <w:rsid w:val="000926D0"/>
    <w:rsid w:val="000927A9"/>
    <w:rsid w:val="00092DBA"/>
    <w:rsid w:val="00093143"/>
    <w:rsid w:val="00093179"/>
    <w:rsid w:val="000934D8"/>
    <w:rsid w:val="0009371D"/>
    <w:rsid w:val="0009389E"/>
    <w:rsid w:val="00093C3D"/>
    <w:rsid w:val="00093F90"/>
    <w:rsid w:val="000941AB"/>
    <w:rsid w:val="00094339"/>
    <w:rsid w:val="00094527"/>
    <w:rsid w:val="0009477B"/>
    <w:rsid w:val="00094781"/>
    <w:rsid w:val="0009481B"/>
    <w:rsid w:val="00094B6A"/>
    <w:rsid w:val="00094D54"/>
    <w:rsid w:val="00094DBF"/>
    <w:rsid w:val="00094FBA"/>
    <w:rsid w:val="00095079"/>
    <w:rsid w:val="000950FD"/>
    <w:rsid w:val="0009527C"/>
    <w:rsid w:val="000952C2"/>
    <w:rsid w:val="0009535A"/>
    <w:rsid w:val="00095407"/>
    <w:rsid w:val="00095466"/>
    <w:rsid w:val="000954A9"/>
    <w:rsid w:val="00095505"/>
    <w:rsid w:val="0009567D"/>
    <w:rsid w:val="00095705"/>
    <w:rsid w:val="0009587F"/>
    <w:rsid w:val="000959BA"/>
    <w:rsid w:val="00095B12"/>
    <w:rsid w:val="00095BCC"/>
    <w:rsid w:val="00095CE0"/>
    <w:rsid w:val="000963D4"/>
    <w:rsid w:val="00096B09"/>
    <w:rsid w:val="00096B4E"/>
    <w:rsid w:val="00096EF0"/>
    <w:rsid w:val="00096F0F"/>
    <w:rsid w:val="0009713E"/>
    <w:rsid w:val="00097290"/>
    <w:rsid w:val="00097350"/>
    <w:rsid w:val="0009752F"/>
    <w:rsid w:val="00097A5D"/>
    <w:rsid w:val="00097C5A"/>
    <w:rsid w:val="00097CEA"/>
    <w:rsid w:val="000A0045"/>
    <w:rsid w:val="000A0133"/>
    <w:rsid w:val="000A015F"/>
    <w:rsid w:val="000A01E2"/>
    <w:rsid w:val="000A0375"/>
    <w:rsid w:val="000A0399"/>
    <w:rsid w:val="000A05A6"/>
    <w:rsid w:val="000A05BC"/>
    <w:rsid w:val="000A0B9E"/>
    <w:rsid w:val="000A0D1E"/>
    <w:rsid w:val="000A13AB"/>
    <w:rsid w:val="000A14A0"/>
    <w:rsid w:val="000A14C2"/>
    <w:rsid w:val="000A150E"/>
    <w:rsid w:val="000A17F0"/>
    <w:rsid w:val="000A1F37"/>
    <w:rsid w:val="000A2001"/>
    <w:rsid w:val="000A251F"/>
    <w:rsid w:val="000A2568"/>
    <w:rsid w:val="000A260F"/>
    <w:rsid w:val="000A2800"/>
    <w:rsid w:val="000A28CE"/>
    <w:rsid w:val="000A2BFD"/>
    <w:rsid w:val="000A2EFC"/>
    <w:rsid w:val="000A2F78"/>
    <w:rsid w:val="000A3013"/>
    <w:rsid w:val="000A31E4"/>
    <w:rsid w:val="000A3250"/>
    <w:rsid w:val="000A33A5"/>
    <w:rsid w:val="000A36B0"/>
    <w:rsid w:val="000A3937"/>
    <w:rsid w:val="000A39FA"/>
    <w:rsid w:val="000A3AFB"/>
    <w:rsid w:val="000A3F06"/>
    <w:rsid w:val="000A446B"/>
    <w:rsid w:val="000A4BD1"/>
    <w:rsid w:val="000A4D8E"/>
    <w:rsid w:val="000A4FBB"/>
    <w:rsid w:val="000A50D8"/>
    <w:rsid w:val="000A533A"/>
    <w:rsid w:val="000A537B"/>
    <w:rsid w:val="000A5696"/>
    <w:rsid w:val="000A581B"/>
    <w:rsid w:val="000A5876"/>
    <w:rsid w:val="000A5A26"/>
    <w:rsid w:val="000A5D83"/>
    <w:rsid w:val="000A5F94"/>
    <w:rsid w:val="000A646A"/>
    <w:rsid w:val="000A6910"/>
    <w:rsid w:val="000A6CAB"/>
    <w:rsid w:val="000A6F0B"/>
    <w:rsid w:val="000A71A3"/>
    <w:rsid w:val="000A72B0"/>
    <w:rsid w:val="000A72F6"/>
    <w:rsid w:val="000A73B0"/>
    <w:rsid w:val="000A760E"/>
    <w:rsid w:val="000A7673"/>
    <w:rsid w:val="000A76B8"/>
    <w:rsid w:val="000A7749"/>
    <w:rsid w:val="000A77DD"/>
    <w:rsid w:val="000A7899"/>
    <w:rsid w:val="000A7C06"/>
    <w:rsid w:val="000A7E73"/>
    <w:rsid w:val="000B0330"/>
    <w:rsid w:val="000B03DC"/>
    <w:rsid w:val="000B063D"/>
    <w:rsid w:val="000B0A5E"/>
    <w:rsid w:val="000B0C90"/>
    <w:rsid w:val="000B0C9E"/>
    <w:rsid w:val="000B0CB4"/>
    <w:rsid w:val="000B0DE0"/>
    <w:rsid w:val="000B0F7F"/>
    <w:rsid w:val="000B0FCA"/>
    <w:rsid w:val="000B124E"/>
    <w:rsid w:val="000B134F"/>
    <w:rsid w:val="000B138F"/>
    <w:rsid w:val="000B13C5"/>
    <w:rsid w:val="000B13CC"/>
    <w:rsid w:val="000B158E"/>
    <w:rsid w:val="000B199B"/>
    <w:rsid w:val="000B19A7"/>
    <w:rsid w:val="000B1A82"/>
    <w:rsid w:val="000B1B41"/>
    <w:rsid w:val="000B1CF4"/>
    <w:rsid w:val="000B1F5F"/>
    <w:rsid w:val="000B22B2"/>
    <w:rsid w:val="000B241B"/>
    <w:rsid w:val="000B24F9"/>
    <w:rsid w:val="000B2A01"/>
    <w:rsid w:val="000B2CE2"/>
    <w:rsid w:val="000B2D24"/>
    <w:rsid w:val="000B2D50"/>
    <w:rsid w:val="000B2E0D"/>
    <w:rsid w:val="000B3200"/>
    <w:rsid w:val="000B3488"/>
    <w:rsid w:val="000B3500"/>
    <w:rsid w:val="000B3562"/>
    <w:rsid w:val="000B37A7"/>
    <w:rsid w:val="000B37F2"/>
    <w:rsid w:val="000B383D"/>
    <w:rsid w:val="000B3A10"/>
    <w:rsid w:val="000B3B21"/>
    <w:rsid w:val="000B3BBD"/>
    <w:rsid w:val="000B3C06"/>
    <w:rsid w:val="000B3D6D"/>
    <w:rsid w:val="000B3EBE"/>
    <w:rsid w:val="000B3F76"/>
    <w:rsid w:val="000B403D"/>
    <w:rsid w:val="000B427F"/>
    <w:rsid w:val="000B4320"/>
    <w:rsid w:val="000B442C"/>
    <w:rsid w:val="000B467B"/>
    <w:rsid w:val="000B47B2"/>
    <w:rsid w:val="000B4819"/>
    <w:rsid w:val="000B4920"/>
    <w:rsid w:val="000B4E4C"/>
    <w:rsid w:val="000B50C6"/>
    <w:rsid w:val="000B521D"/>
    <w:rsid w:val="000B5278"/>
    <w:rsid w:val="000B5DBE"/>
    <w:rsid w:val="000B5E33"/>
    <w:rsid w:val="000B615E"/>
    <w:rsid w:val="000B616E"/>
    <w:rsid w:val="000B61B4"/>
    <w:rsid w:val="000B622C"/>
    <w:rsid w:val="000B62BF"/>
    <w:rsid w:val="000B62F0"/>
    <w:rsid w:val="000B6579"/>
    <w:rsid w:val="000B6D24"/>
    <w:rsid w:val="000B6E6F"/>
    <w:rsid w:val="000B6FA1"/>
    <w:rsid w:val="000B73F8"/>
    <w:rsid w:val="000B7817"/>
    <w:rsid w:val="000B781E"/>
    <w:rsid w:val="000B7A6D"/>
    <w:rsid w:val="000B7A80"/>
    <w:rsid w:val="000B7B90"/>
    <w:rsid w:val="000B7C3A"/>
    <w:rsid w:val="000B7CBA"/>
    <w:rsid w:val="000B7DA9"/>
    <w:rsid w:val="000C004D"/>
    <w:rsid w:val="000C0336"/>
    <w:rsid w:val="000C03C4"/>
    <w:rsid w:val="000C03D2"/>
    <w:rsid w:val="000C0845"/>
    <w:rsid w:val="000C0C22"/>
    <w:rsid w:val="000C0DBA"/>
    <w:rsid w:val="000C103B"/>
    <w:rsid w:val="000C1721"/>
    <w:rsid w:val="000C1BAD"/>
    <w:rsid w:val="000C1D1E"/>
    <w:rsid w:val="000C1D4F"/>
    <w:rsid w:val="000C206C"/>
    <w:rsid w:val="000C23EB"/>
    <w:rsid w:val="000C25DC"/>
    <w:rsid w:val="000C2611"/>
    <w:rsid w:val="000C274F"/>
    <w:rsid w:val="000C2BB4"/>
    <w:rsid w:val="000C3186"/>
    <w:rsid w:val="000C32B4"/>
    <w:rsid w:val="000C330A"/>
    <w:rsid w:val="000C36DE"/>
    <w:rsid w:val="000C376A"/>
    <w:rsid w:val="000C3896"/>
    <w:rsid w:val="000C3A1D"/>
    <w:rsid w:val="000C3A42"/>
    <w:rsid w:val="000C3B13"/>
    <w:rsid w:val="000C3BD0"/>
    <w:rsid w:val="000C3C79"/>
    <w:rsid w:val="000C4011"/>
    <w:rsid w:val="000C4375"/>
    <w:rsid w:val="000C44F9"/>
    <w:rsid w:val="000C4631"/>
    <w:rsid w:val="000C472B"/>
    <w:rsid w:val="000C4D53"/>
    <w:rsid w:val="000C4D67"/>
    <w:rsid w:val="000C4D97"/>
    <w:rsid w:val="000C4E62"/>
    <w:rsid w:val="000C4F78"/>
    <w:rsid w:val="000C5395"/>
    <w:rsid w:val="000C54BA"/>
    <w:rsid w:val="000C57B1"/>
    <w:rsid w:val="000C61E8"/>
    <w:rsid w:val="000C6430"/>
    <w:rsid w:val="000C6801"/>
    <w:rsid w:val="000C6A1F"/>
    <w:rsid w:val="000C6AAA"/>
    <w:rsid w:val="000C6C37"/>
    <w:rsid w:val="000C6F74"/>
    <w:rsid w:val="000C72DE"/>
    <w:rsid w:val="000C736B"/>
    <w:rsid w:val="000C7379"/>
    <w:rsid w:val="000C74B9"/>
    <w:rsid w:val="000C7512"/>
    <w:rsid w:val="000C762A"/>
    <w:rsid w:val="000C76FC"/>
    <w:rsid w:val="000C7ABC"/>
    <w:rsid w:val="000C7E90"/>
    <w:rsid w:val="000D0270"/>
    <w:rsid w:val="000D0341"/>
    <w:rsid w:val="000D072D"/>
    <w:rsid w:val="000D07BE"/>
    <w:rsid w:val="000D082C"/>
    <w:rsid w:val="000D087E"/>
    <w:rsid w:val="000D0947"/>
    <w:rsid w:val="000D0CC8"/>
    <w:rsid w:val="000D0CDD"/>
    <w:rsid w:val="000D0CFE"/>
    <w:rsid w:val="000D110F"/>
    <w:rsid w:val="000D1148"/>
    <w:rsid w:val="000D11DC"/>
    <w:rsid w:val="000D135E"/>
    <w:rsid w:val="000D13A7"/>
    <w:rsid w:val="000D170B"/>
    <w:rsid w:val="000D1842"/>
    <w:rsid w:val="000D18B7"/>
    <w:rsid w:val="000D18BE"/>
    <w:rsid w:val="000D1B51"/>
    <w:rsid w:val="000D1E9D"/>
    <w:rsid w:val="000D2099"/>
    <w:rsid w:val="000D219F"/>
    <w:rsid w:val="000D22E8"/>
    <w:rsid w:val="000D230A"/>
    <w:rsid w:val="000D245F"/>
    <w:rsid w:val="000D252B"/>
    <w:rsid w:val="000D2805"/>
    <w:rsid w:val="000D2D4D"/>
    <w:rsid w:val="000D3090"/>
    <w:rsid w:val="000D33AF"/>
    <w:rsid w:val="000D3435"/>
    <w:rsid w:val="000D3539"/>
    <w:rsid w:val="000D3703"/>
    <w:rsid w:val="000D393C"/>
    <w:rsid w:val="000D3AF2"/>
    <w:rsid w:val="000D3AF5"/>
    <w:rsid w:val="000D41FE"/>
    <w:rsid w:val="000D466B"/>
    <w:rsid w:val="000D470E"/>
    <w:rsid w:val="000D4874"/>
    <w:rsid w:val="000D4A7D"/>
    <w:rsid w:val="000D4A97"/>
    <w:rsid w:val="000D5165"/>
    <w:rsid w:val="000D5242"/>
    <w:rsid w:val="000D5360"/>
    <w:rsid w:val="000D537A"/>
    <w:rsid w:val="000D54FA"/>
    <w:rsid w:val="000D5594"/>
    <w:rsid w:val="000D56B7"/>
    <w:rsid w:val="000D5CB4"/>
    <w:rsid w:val="000D5F91"/>
    <w:rsid w:val="000D6134"/>
    <w:rsid w:val="000D631B"/>
    <w:rsid w:val="000D6453"/>
    <w:rsid w:val="000D66FD"/>
    <w:rsid w:val="000D6B7E"/>
    <w:rsid w:val="000D6DBE"/>
    <w:rsid w:val="000D6EF3"/>
    <w:rsid w:val="000D7182"/>
    <w:rsid w:val="000D752A"/>
    <w:rsid w:val="000D7532"/>
    <w:rsid w:val="000D75BF"/>
    <w:rsid w:val="000D75CA"/>
    <w:rsid w:val="000D767E"/>
    <w:rsid w:val="000D7774"/>
    <w:rsid w:val="000D7970"/>
    <w:rsid w:val="000D7C2E"/>
    <w:rsid w:val="000D7DAD"/>
    <w:rsid w:val="000D7EA3"/>
    <w:rsid w:val="000D7F27"/>
    <w:rsid w:val="000D7F55"/>
    <w:rsid w:val="000E0478"/>
    <w:rsid w:val="000E0B75"/>
    <w:rsid w:val="000E0C64"/>
    <w:rsid w:val="000E0E6C"/>
    <w:rsid w:val="000E0F71"/>
    <w:rsid w:val="000E12D4"/>
    <w:rsid w:val="000E12E0"/>
    <w:rsid w:val="000E135F"/>
    <w:rsid w:val="000E13B0"/>
    <w:rsid w:val="000E14F1"/>
    <w:rsid w:val="000E1A0D"/>
    <w:rsid w:val="000E1B33"/>
    <w:rsid w:val="000E1C0A"/>
    <w:rsid w:val="000E1CAB"/>
    <w:rsid w:val="000E1CE6"/>
    <w:rsid w:val="000E20B9"/>
    <w:rsid w:val="000E20FB"/>
    <w:rsid w:val="000E2430"/>
    <w:rsid w:val="000E24DF"/>
    <w:rsid w:val="000E2659"/>
    <w:rsid w:val="000E2714"/>
    <w:rsid w:val="000E2983"/>
    <w:rsid w:val="000E2A38"/>
    <w:rsid w:val="000E2ADA"/>
    <w:rsid w:val="000E2BAE"/>
    <w:rsid w:val="000E2D2C"/>
    <w:rsid w:val="000E355D"/>
    <w:rsid w:val="000E3612"/>
    <w:rsid w:val="000E365B"/>
    <w:rsid w:val="000E37FC"/>
    <w:rsid w:val="000E3999"/>
    <w:rsid w:val="000E3A3D"/>
    <w:rsid w:val="000E3CBA"/>
    <w:rsid w:val="000E3DC8"/>
    <w:rsid w:val="000E3DD0"/>
    <w:rsid w:val="000E3F5E"/>
    <w:rsid w:val="000E3F8E"/>
    <w:rsid w:val="000E403D"/>
    <w:rsid w:val="000E40B5"/>
    <w:rsid w:val="000E43D6"/>
    <w:rsid w:val="000E4A19"/>
    <w:rsid w:val="000E4AF1"/>
    <w:rsid w:val="000E4C4A"/>
    <w:rsid w:val="000E4D88"/>
    <w:rsid w:val="000E4F27"/>
    <w:rsid w:val="000E5146"/>
    <w:rsid w:val="000E5231"/>
    <w:rsid w:val="000E52B4"/>
    <w:rsid w:val="000E53FA"/>
    <w:rsid w:val="000E5639"/>
    <w:rsid w:val="000E57E6"/>
    <w:rsid w:val="000E583A"/>
    <w:rsid w:val="000E5B32"/>
    <w:rsid w:val="000E5B9D"/>
    <w:rsid w:val="000E5F64"/>
    <w:rsid w:val="000E6199"/>
    <w:rsid w:val="000E64D4"/>
    <w:rsid w:val="000E6899"/>
    <w:rsid w:val="000E6ACA"/>
    <w:rsid w:val="000E6DE9"/>
    <w:rsid w:val="000E6DF0"/>
    <w:rsid w:val="000E734D"/>
    <w:rsid w:val="000E7354"/>
    <w:rsid w:val="000E7644"/>
    <w:rsid w:val="000E7C1C"/>
    <w:rsid w:val="000E7D5B"/>
    <w:rsid w:val="000F0061"/>
    <w:rsid w:val="000F018E"/>
    <w:rsid w:val="000F0679"/>
    <w:rsid w:val="000F096A"/>
    <w:rsid w:val="000F09E7"/>
    <w:rsid w:val="000F0A7D"/>
    <w:rsid w:val="000F0AAC"/>
    <w:rsid w:val="000F0AEB"/>
    <w:rsid w:val="000F0BB4"/>
    <w:rsid w:val="000F0C08"/>
    <w:rsid w:val="000F0CFA"/>
    <w:rsid w:val="000F0D59"/>
    <w:rsid w:val="000F0E8A"/>
    <w:rsid w:val="000F0EC3"/>
    <w:rsid w:val="000F0F6F"/>
    <w:rsid w:val="000F1126"/>
    <w:rsid w:val="000F119A"/>
    <w:rsid w:val="000F132A"/>
    <w:rsid w:val="000F13FD"/>
    <w:rsid w:val="000F15AD"/>
    <w:rsid w:val="000F1781"/>
    <w:rsid w:val="000F192E"/>
    <w:rsid w:val="000F1996"/>
    <w:rsid w:val="000F1EE1"/>
    <w:rsid w:val="000F203F"/>
    <w:rsid w:val="000F207A"/>
    <w:rsid w:val="000F2773"/>
    <w:rsid w:val="000F27C9"/>
    <w:rsid w:val="000F2884"/>
    <w:rsid w:val="000F2961"/>
    <w:rsid w:val="000F2B0B"/>
    <w:rsid w:val="000F3171"/>
    <w:rsid w:val="000F31C8"/>
    <w:rsid w:val="000F34E1"/>
    <w:rsid w:val="000F36D9"/>
    <w:rsid w:val="000F3B57"/>
    <w:rsid w:val="000F3C80"/>
    <w:rsid w:val="000F3D37"/>
    <w:rsid w:val="000F3D63"/>
    <w:rsid w:val="000F3E09"/>
    <w:rsid w:val="000F3E55"/>
    <w:rsid w:val="000F4078"/>
    <w:rsid w:val="000F40BB"/>
    <w:rsid w:val="000F411A"/>
    <w:rsid w:val="000F4170"/>
    <w:rsid w:val="000F4551"/>
    <w:rsid w:val="000F4558"/>
    <w:rsid w:val="000F464E"/>
    <w:rsid w:val="000F4889"/>
    <w:rsid w:val="000F49B7"/>
    <w:rsid w:val="000F4A35"/>
    <w:rsid w:val="000F4C76"/>
    <w:rsid w:val="000F5112"/>
    <w:rsid w:val="000F518E"/>
    <w:rsid w:val="000F5245"/>
    <w:rsid w:val="000F52FD"/>
    <w:rsid w:val="000F547C"/>
    <w:rsid w:val="000F59A3"/>
    <w:rsid w:val="000F5A9F"/>
    <w:rsid w:val="000F5D23"/>
    <w:rsid w:val="000F6708"/>
    <w:rsid w:val="000F6ACA"/>
    <w:rsid w:val="000F6EE4"/>
    <w:rsid w:val="000F6FCA"/>
    <w:rsid w:val="000F7628"/>
    <w:rsid w:val="000F78FA"/>
    <w:rsid w:val="000F7A00"/>
    <w:rsid w:val="000F7A44"/>
    <w:rsid w:val="000F7A6B"/>
    <w:rsid w:val="000F7AF1"/>
    <w:rsid w:val="000F7B50"/>
    <w:rsid w:val="000F7D2B"/>
    <w:rsid w:val="000F7E27"/>
    <w:rsid w:val="000F7ECF"/>
    <w:rsid w:val="001000A4"/>
    <w:rsid w:val="001002DA"/>
    <w:rsid w:val="001004DA"/>
    <w:rsid w:val="001006F0"/>
    <w:rsid w:val="00100D29"/>
    <w:rsid w:val="00100D67"/>
    <w:rsid w:val="00100E21"/>
    <w:rsid w:val="001011A5"/>
    <w:rsid w:val="001011D9"/>
    <w:rsid w:val="001012FD"/>
    <w:rsid w:val="00101874"/>
    <w:rsid w:val="0010198C"/>
    <w:rsid w:val="00101993"/>
    <w:rsid w:val="001019AA"/>
    <w:rsid w:val="001019F0"/>
    <w:rsid w:val="00101B24"/>
    <w:rsid w:val="00101D1F"/>
    <w:rsid w:val="00101D21"/>
    <w:rsid w:val="00101DD9"/>
    <w:rsid w:val="00102023"/>
    <w:rsid w:val="0010216C"/>
    <w:rsid w:val="00102184"/>
    <w:rsid w:val="0010218C"/>
    <w:rsid w:val="0010249B"/>
    <w:rsid w:val="00102630"/>
    <w:rsid w:val="00102681"/>
    <w:rsid w:val="0010278D"/>
    <w:rsid w:val="00102B89"/>
    <w:rsid w:val="00102CE3"/>
    <w:rsid w:val="00102D94"/>
    <w:rsid w:val="00102DF3"/>
    <w:rsid w:val="00102EB2"/>
    <w:rsid w:val="00102EF3"/>
    <w:rsid w:val="001031CB"/>
    <w:rsid w:val="0010362B"/>
    <w:rsid w:val="00103823"/>
    <w:rsid w:val="00103997"/>
    <w:rsid w:val="001039E8"/>
    <w:rsid w:val="00103B20"/>
    <w:rsid w:val="00103BD4"/>
    <w:rsid w:val="00103BE7"/>
    <w:rsid w:val="00103C03"/>
    <w:rsid w:val="00103F1C"/>
    <w:rsid w:val="0010405C"/>
    <w:rsid w:val="001041AB"/>
    <w:rsid w:val="001041C6"/>
    <w:rsid w:val="00104321"/>
    <w:rsid w:val="001043F2"/>
    <w:rsid w:val="001045A4"/>
    <w:rsid w:val="0010466C"/>
    <w:rsid w:val="0010480F"/>
    <w:rsid w:val="00104A7A"/>
    <w:rsid w:val="00104B77"/>
    <w:rsid w:val="00105099"/>
    <w:rsid w:val="0010513F"/>
    <w:rsid w:val="00105160"/>
    <w:rsid w:val="0010535D"/>
    <w:rsid w:val="00105423"/>
    <w:rsid w:val="0010543D"/>
    <w:rsid w:val="001056D5"/>
    <w:rsid w:val="0010578C"/>
    <w:rsid w:val="0010588E"/>
    <w:rsid w:val="00105C25"/>
    <w:rsid w:val="0010630E"/>
    <w:rsid w:val="001063C6"/>
    <w:rsid w:val="00106434"/>
    <w:rsid w:val="00106469"/>
    <w:rsid w:val="00106AA6"/>
    <w:rsid w:val="00106C82"/>
    <w:rsid w:val="00106D53"/>
    <w:rsid w:val="00106DF4"/>
    <w:rsid w:val="001070E2"/>
    <w:rsid w:val="0010721B"/>
    <w:rsid w:val="001072DC"/>
    <w:rsid w:val="0010780F"/>
    <w:rsid w:val="0010791D"/>
    <w:rsid w:val="00107AEF"/>
    <w:rsid w:val="00107B2D"/>
    <w:rsid w:val="00107E9E"/>
    <w:rsid w:val="00107F6F"/>
    <w:rsid w:val="00107FC3"/>
    <w:rsid w:val="001104FB"/>
    <w:rsid w:val="00110839"/>
    <w:rsid w:val="00110845"/>
    <w:rsid w:val="0011091B"/>
    <w:rsid w:val="00110940"/>
    <w:rsid w:val="001109C6"/>
    <w:rsid w:val="00110AB6"/>
    <w:rsid w:val="00110AF2"/>
    <w:rsid w:val="00110CB8"/>
    <w:rsid w:val="00110DD2"/>
    <w:rsid w:val="0011109A"/>
    <w:rsid w:val="001116D3"/>
    <w:rsid w:val="001119F0"/>
    <w:rsid w:val="00111C73"/>
    <w:rsid w:val="00111D92"/>
    <w:rsid w:val="00111ED2"/>
    <w:rsid w:val="0011226C"/>
    <w:rsid w:val="0011233C"/>
    <w:rsid w:val="00112345"/>
    <w:rsid w:val="001124F0"/>
    <w:rsid w:val="0011290B"/>
    <w:rsid w:val="00112A67"/>
    <w:rsid w:val="00112C81"/>
    <w:rsid w:val="00113160"/>
    <w:rsid w:val="00113578"/>
    <w:rsid w:val="001136D6"/>
    <w:rsid w:val="001136F9"/>
    <w:rsid w:val="0011388F"/>
    <w:rsid w:val="00113928"/>
    <w:rsid w:val="00113934"/>
    <w:rsid w:val="00113992"/>
    <w:rsid w:val="00113A84"/>
    <w:rsid w:val="00113B1D"/>
    <w:rsid w:val="00113BA9"/>
    <w:rsid w:val="00113C91"/>
    <w:rsid w:val="00114003"/>
    <w:rsid w:val="0011440A"/>
    <w:rsid w:val="001144BA"/>
    <w:rsid w:val="001149B9"/>
    <w:rsid w:val="00114BE7"/>
    <w:rsid w:val="00114C3E"/>
    <w:rsid w:val="00114CBA"/>
    <w:rsid w:val="00114D59"/>
    <w:rsid w:val="00114DBC"/>
    <w:rsid w:val="00114DDF"/>
    <w:rsid w:val="00115030"/>
    <w:rsid w:val="001152E5"/>
    <w:rsid w:val="0011545A"/>
    <w:rsid w:val="001155F1"/>
    <w:rsid w:val="001156C2"/>
    <w:rsid w:val="0011572B"/>
    <w:rsid w:val="001158C5"/>
    <w:rsid w:val="0011593D"/>
    <w:rsid w:val="00115953"/>
    <w:rsid w:val="00115C73"/>
    <w:rsid w:val="00115E9F"/>
    <w:rsid w:val="0011635F"/>
    <w:rsid w:val="00116594"/>
    <w:rsid w:val="001168B5"/>
    <w:rsid w:val="00116C89"/>
    <w:rsid w:val="00116DC6"/>
    <w:rsid w:val="00116E63"/>
    <w:rsid w:val="001172FB"/>
    <w:rsid w:val="0011752A"/>
    <w:rsid w:val="00117ACA"/>
    <w:rsid w:val="00117B6F"/>
    <w:rsid w:val="00117BB6"/>
    <w:rsid w:val="00117C29"/>
    <w:rsid w:val="00117F90"/>
    <w:rsid w:val="00120048"/>
    <w:rsid w:val="00120236"/>
    <w:rsid w:val="00120246"/>
    <w:rsid w:val="00120665"/>
    <w:rsid w:val="00120A2B"/>
    <w:rsid w:val="00120D0F"/>
    <w:rsid w:val="00120D69"/>
    <w:rsid w:val="00120EAB"/>
    <w:rsid w:val="00121379"/>
    <w:rsid w:val="00121509"/>
    <w:rsid w:val="00121556"/>
    <w:rsid w:val="00121738"/>
    <w:rsid w:val="001219E4"/>
    <w:rsid w:val="00121A94"/>
    <w:rsid w:val="00121F3C"/>
    <w:rsid w:val="0012203F"/>
    <w:rsid w:val="001221A7"/>
    <w:rsid w:val="001221C4"/>
    <w:rsid w:val="001222CD"/>
    <w:rsid w:val="00122374"/>
    <w:rsid w:val="00122879"/>
    <w:rsid w:val="001228B4"/>
    <w:rsid w:val="001230E3"/>
    <w:rsid w:val="0012313F"/>
    <w:rsid w:val="0012336E"/>
    <w:rsid w:val="0012378D"/>
    <w:rsid w:val="0012393E"/>
    <w:rsid w:val="001239B2"/>
    <w:rsid w:val="00123C1E"/>
    <w:rsid w:val="00123D27"/>
    <w:rsid w:val="0012414A"/>
    <w:rsid w:val="00124625"/>
    <w:rsid w:val="00124AC6"/>
    <w:rsid w:val="00124F29"/>
    <w:rsid w:val="00125258"/>
    <w:rsid w:val="00125327"/>
    <w:rsid w:val="001254B3"/>
    <w:rsid w:val="00125540"/>
    <w:rsid w:val="0012583C"/>
    <w:rsid w:val="00125971"/>
    <w:rsid w:val="00125D5B"/>
    <w:rsid w:val="00126271"/>
    <w:rsid w:val="00126315"/>
    <w:rsid w:val="0012657E"/>
    <w:rsid w:val="001266B0"/>
    <w:rsid w:val="00126760"/>
    <w:rsid w:val="001268A8"/>
    <w:rsid w:val="00126909"/>
    <w:rsid w:val="00126983"/>
    <w:rsid w:val="00126AD2"/>
    <w:rsid w:val="00126B7A"/>
    <w:rsid w:val="00126E82"/>
    <w:rsid w:val="00127218"/>
    <w:rsid w:val="0012726C"/>
    <w:rsid w:val="00127482"/>
    <w:rsid w:val="0012749A"/>
    <w:rsid w:val="001274CE"/>
    <w:rsid w:val="001275FA"/>
    <w:rsid w:val="00127FCB"/>
    <w:rsid w:val="001300A6"/>
    <w:rsid w:val="001303B5"/>
    <w:rsid w:val="001303EA"/>
    <w:rsid w:val="00130450"/>
    <w:rsid w:val="001306D1"/>
    <w:rsid w:val="00131371"/>
    <w:rsid w:val="0013164C"/>
    <w:rsid w:val="00131711"/>
    <w:rsid w:val="00131A11"/>
    <w:rsid w:val="00131B19"/>
    <w:rsid w:val="00131CF6"/>
    <w:rsid w:val="0013218E"/>
    <w:rsid w:val="001321DD"/>
    <w:rsid w:val="001322A6"/>
    <w:rsid w:val="001323A7"/>
    <w:rsid w:val="0013258E"/>
    <w:rsid w:val="00132751"/>
    <w:rsid w:val="0013297A"/>
    <w:rsid w:val="001329B4"/>
    <w:rsid w:val="00132C62"/>
    <w:rsid w:val="001336A4"/>
    <w:rsid w:val="0013371A"/>
    <w:rsid w:val="001338ED"/>
    <w:rsid w:val="001340F9"/>
    <w:rsid w:val="00134412"/>
    <w:rsid w:val="00134907"/>
    <w:rsid w:val="00134EB1"/>
    <w:rsid w:val="00135010"/>
    <w:rsid w:val="001351E0"/>
    <w:rsid w:val="00135309"/>
    <w:rsid w:val="001353EE"/>
    <w:rsid w:val="0013548D"/>
    <w:rsid w:val="00135774"/>
    <w:rsid w:val="0013585C"/>
    <w:rsid w:val="00135B7D"/>
    <w:rsid w:val="00135D64"/>
    <w:rsid w:val="00135E81"/>
    <w:rsid w:val="001360F8"/>
    <w:rsid w:val="001364D7"/>
    <w:rsid w:val="001365CE"/>
    <w:rsid w:val="0013665C"/>
    <w:rsid w:val="00136769"/>
    <w:rsid w:val="00136A3F"/>
    <w:rsid w:val="00136D92"/>
    <w:rsid w:val="00137052"/>
    <w:rsid w:val="0013710B"/>
    <w:rsid w:val="0013731D"/>
    <w:rsid w:val="001373E1"/>
    <w:rsid w:val="00137441"/>
    <w:rsid w:val="0013759A"/>
    <w:rsid w:val="001377ED"/>
    <w:rsid w:val="00137844"/>
    <w:rsid w:val="001378A2"/>
    <w:rsid w:val="001379F8"/>
    <w:rsid w:val="00137A17"/>
    <w:rsid w:val="00137ABD"/>
    <w:rsid w:val="00137C5C"/>
    <w:rsid w:val="00137DD1"/>
    <w:rsid w:val="0014011E"/>
    <w:rsid w:val="001401E4"/>
    <w:rsid w:val="00140328"/>
    <w:rsid w:val="00140653"/>
    <w:rsid w:val="0014071C"/>
    <w:rsid w:val="001409EC"/>
    <w:rsid w:val="00140A77"/>
    <w:rsid w:val="00140CB1"/>
    <w:rsid w:val="00140D04"/>
    <w:rsid w:val="00140EE6"/>
    <w:rsid w:val="00140EFF"/>
    <w:rsid w:val="001413AF"/>
    <w:rsid w:val="0014158E"/>
    <w:rsid w:val="001418F6"/>
    <w:rsid w:val="001418F7"/>
    <w:rsid w:val="00141CDA"/>
    <w:rsid w:val="00141D76"/>
    <w:rsid w:val="00141ED0"/>
    <w:rsid w:val="00141FDF"/>
    <w:rsid w:val="00141FE5"/>
    <w:rsid w:val="0014237A"/>
    <w:rsid w:val="001428FB"/>
    <w:rsid w:val="00142AB9"/>
    <w:rsid w:val="00142C5F"/>
    <w:rsid w:val="00143195"/>
    <w:rsid w:val="0014366A"/>
    <w:rsid w:val="00143C79"/>
    <w:rsid w:val="00144037"/>
    <w:rsid w:val="00144191"/>
    <w:rsid w:val="001443C6"/>
    <w:rsid w:val="001443F6"/>
    <w:rsid w:val="0014442D"/>
    <w:rsid w:val="001447B1"/>
    <w:rsid w:val="001451C2"/>
    <w:rsid w:val="001451FE"/>
    <w:rsid w:val="00145652"/>
    <w:rsid w:val="00145A0C"/>
    <w:rsid w:val="00145CCD"/>
    <w:rsid w:val="00145D33"/>
    <w:rsid w:val="001461BD"/>
    <w:rsid w:val="001461FB"/>
    <w:rsid w:val="00146921"/>
    <w:rsid w:val="00146AC0"/>
    <w:rsid w:val="00146B44"/>
    <w:rsid w:val="00146C09"/>
    <w:rsid w:val="00146D44"/>
    <w:rsid w:val="00146E7B"/>
    <w:rsid w:val="00147347"/>
    <w:rsid w:val="00147363"/>
    <w:rsid w:val="00147522"/>
    <w:rsid w:val="0014755D"/>
    <w:rsid w:val="001477A4"/>
    <w:rsid w:val="0014792F"/>
    <w:rsid w:val="001479B4"/>
    <w:rsid w:val="00147DA9"/>
    <w:rsid w:val="00147E50"/>
    <w:rsid w:val="00150578"/>
    <w:rsid w:val="001505D8"/>
    <w:rsid w:val="001508E6"/>
    <w:rsid w:val="00150A53"/>
    <w:rsid w:val="00150DA5"/>
    <w:rsid w:val="00151738"/>
    <w:rsid w:val="00151740"/>
    <w:rsid w:val="00151788"/>
    <w:rsid w:val="00151B5A"/>
    <w:rsid w:val="00151D28"/>
    <w:rsid w:val="001529B6"/>
    <w:rsid w:val="00152AC5"/>
    <w:rsid w:val="00152BA1"/>
    <w:rsid w:val="00152E14"/>
    <w:rsid w:val="00153110"/>
    <w:rsid w:val="00153554"/>
    <w:rsid w:val="001535D3"/>
    <w:rsid w:val="0015375E"/>
    <w:rsid w:val="001539E4"/>
    <w:rsid w:val="00153B19"/>
    <w:rsid w:val="00153B83"/>
    <w:rsid w:val="00153F48"/>
    <w:rsid w:val="0015428B"/>
    <w:rsid w:val="001542CF"/>
    <w:rsid w:val="00154650"/>
    <w:rsid w:val="00154790"/>
    <w:rsid w:val="001550D2"/>
    <w:rsid w:val="00155124"/>
    <w:rsid w:val="0015523C"/>
    <w:rsid w:val="001552EC"/>
    <w:rsid w:val="001555B9"/>
    <w:rsid w:val="00155BD5"/>
    <w:rsid w:val="00155C4D"/>
    <w:rsid w:val="00155C9F"/>
    <w:rsid w:val="00155D76"/>
    <w:rsid w:val="00155D96"/>
    <w:rsid w:val="00155DAF"/>
    <w:rsid w:val="00155DFD"/>
    <w:rsid w:val="00155F7E"/>
    <w:rsid w:val="00155FB7"/>
    <w:rsid w:val="00155FD1"/>
    <w:rsid w:val="001560B7"/>
    <w:rsid w:val="00156423"/>
    <w:rsid w:val="001566A0"/>
    <w:rsid w:val="0015691C"/>
    <w:rsid w:val="00156A8B"/>
    <w:rsid w:val="00156CD8"/>
    <w:rsid w:val="00156D09"/>
    <w:rsid w:val="00156DF2"/>
    <w:rsid w:val="00156F91"/>
    <w:rsid w:val="00157112"/>
    <w:rsid w:val="0015716B"/>
    <w:rsid w:val="001571B1"/>
    <w:rsid w:val="001571E2"/>
    <w:rsid w:val="00157231"/>
    <w:rsid w:val="0015738F"/>
    <w:rsid w:val="00157567"/>
    <w:rsid w:val="001579FD"/>
    <w:rsid w:val="00157A2E"/>
    <w:rsid w:val="00157AA4"/>
    <w:rsid w:val="00157B19"/>
    <w:rsid w:val="00157DCA"/>
    <w:rsid w:val="001600E5"/>
    <w:rsid w:val="0016045A"/>
    <w:rsid w:val="00160DE4"/>
    <w:rsid w:val="001610F8"/>
    <w:rsid w:val="001613A5"/>
    <w:rsid w:val="001616A7"/>
    <w:rsid w:val="001618FA"/>
    <w:rsid w:val="00161D88"/>
    <w:rsid w:val="00161DAC"/>
    <w:rsid w:val="00162080"/>
    <w:rsid w:val="00162128"/>
    <w:rsid w:val="0016269B"/>
    <w:rsid w:val="0016272F"/>
    <w:rsid w:val="001627E0"/>
    <w:rsid w:val="001627F8"/>
    <w:rsid w:val="00163008"/>
    <w:rsid w:val="0016304D"/>
    <w:rsid w:val="00163138"/>
    <w:rsid w:val="001632F7"/>
    <w:rsid w:val="001633E9"/>
    <w:rsid w:val="001635BE"/>
    <w:rsid w:val="001638B9"/>
    <w:rsid w:val="00163A73"/>
    <w:rsid w:val="00163C98"/>
    <w:rsid w:val="00163D02"/>
    <w:rsid w:val="00163D98"/>
    <w:rsid w:val="00163E31"/>
    <w:rsid w:val="00163F7E"/>
    <w:rsid w:val="0016449F"/>
    <w:rsid w:val="001649AD"/>
    <w:rsid w:val="00164A8D"/>
    <w:rsid w:val="00164B75"/>
    <w:rsid w:val="00164CE8"/>
    <w:rsid w:val="00164EE9"/>
    <w:rsid w:val="0016511E"/>
    <w:rsid w:val="0016539F"/>
    <w:rsid w:val="001654D1"/>
    <w:rsid w:val="001654D8"/>
    <w:rsid w:val="001656C6"/>
    <w:rsid w:val="00165CD1"/>
    <w:rsid w:val="00165D4A"/>
    <w:rsid w:val="00165E8D"/>
    <w:rsid w:val="00165FE7"/>
    <w:rsid w:val="00166549"/>
    <w:rsid w:val="0016675C"/>
    <w:rsid w:val="00166927"/>
    <w:rsid w:val="00166B99"/>
    <w:rsid w:val="00166DC6"/>
    <w:rsid w:val="00167016"/>
    <w:rsid w:val="0016701A"/>
    <w:rsid w:val="001671BD"/>
    <w:rsid w:val="0016720E"/>
    <w:rsid w:val="001673DD"/>
    <w:rsid w:val="001674F9"/>
    <w:rsid w:val="00167550"/>
    <w:rsid w:val="00167960"/>
    <w:rsid w:val="00167EF8"/>
    <w:rsid w:val="00167F28"/>
    <w:rsid w:val="00167F57"/>
    <w:rsid w:val="00170139"/>
    <w:rsid w:val="00170155"/>
    <w:rsid w:val="00170551"/>
    <w:rsid w:val="00170A81"/>
    <w:rsid w:val="00170B60"/>
    <w:rsid w:val="00170C29"/>
    <w:rsid w:val="00170CD6"/>
    <w:rsid w:val="00170D3D"/>
    <w:rsid w:val="00170D93"/>
    <w:rsid w:val="001712C9"/>
    <w:rsid w:val="00171374"/>
    <w:rsid w:val="00171429"/>
    <w:rsid w:val="00171711"/>
    <w:rsid w:val="00171810"/>
    <w:rsid w:val="0017198E"/>
    <w:rsid w:val="00171D08"/>
    <w:rsid w:val="00171D16"/>
    <w:rsid w:val="00171EB0"/>
    <w:rsid w:val="0017247D"/>
    <w:rsid w:val="001725D3"/>
    <w:rsid w:val="0017264C"/>
    <w:rsid w:val="00172739"/>
    <w:rsid w:val="0017287D"/>
    <w:rsid w:val="00172929"/>
    <w:rsid w:val="001729AB"/>
    <w:rsid w:val="00172F5B"/>
    <w:rsid w:val="00173410"/>
    <w:rsid w:val="00173848"/>
    <w:rsid w:val="00173A8E"/>
    <w:rsid w:val="00173ABF"/>
    <w:rsid w:val="00173BA4"/>
    <w:rsid w:val="00173C62"/>
    <w:rsid w:val="00173FAF"/>
    <w:rsid w:val="001740B2"/>
    <w:rsid w:val="00174155"/>
    <w:rsid w:val="0017424F"/>
    <w:rsid w:val="0017431F"/>
    <w:rsid w:val="001743B8"/>
    <w:rsid w:val="001743D5"/>
    <w:rsid w:val="001743EC"/>
    <w:rsid w:val="00174553"/>
    <w:rsid w:val="0017470B"/>
    <w:rsid w:val="00174A06"/>
    <w:rsid w:val="001752A4"/>
    <w:rsid w:val="0017552E"/>
    <w:rsid w:val="0017555B"/>
    <w:rsid w:val="00175669"/>
    <w:rsid w:val="001757CF"/>
    <w:rsid w:val="0017581C"/>
    <w:rsid w:val="00175840"/>
    <w:rsid w:val="00175BC3"/>
    <w:rsid w:val="00175EBD"/>
    <w:rsid w:val="001760FB"/>
    <w:rsid w:val="001765A1"/>
    <w:rsid w:val="001765BB"/>
    <w:rsid w:val="0017666F"/>
    <w:rsid w:val="00176B57"/>
    <w:rsid w:val="00176FEE"/>
    <w:rsid w:val="00177111"/>
    <w:rsid w:val="001773AA"/>
    <w:rsid w:val="00177909"/>
    <w:rsid w:val="0017791D"/>
    <w:rsid w:val="001779FD"/>
    <w:rsid w:val="00177C57"/>
    <w:rsid w:val="00177CC3"/>
    <w:rsid w:val="00177FA7"/>
    <w:rsid w:val="00177FFD"/>
    <w:rsid w:val="0018005C"/>
    <w:rsid w:val="001801B5"/>
    <w:rsid w:val="0018043E"/>
    <w:rsid w:val="001808CB"/>
    <w:rsid w:val="001809A5"/>
    <w:rsid w:val="001809DE"/>
    <w:rsid w:val="00180A68"/>
    <w:rsid w:val="00180B23"/>
    <w:rsid w:val="00180B66"/>
    <w:rsid w:val="00180E51"/>
    <w:rsid w:val="00181093"/>
    <w:rsid w:val="00181405"/>
    <w:rsid w:val="00181433"/>
    <w:rsid w:val="0018149E"/>
    <w:rsid w:val="001816AA"/>
    <w:rsid w:val="00181941"/>
    <w:rsid w:val="00181B39"/>
    <w:rsid w:val="00182076"/>
    <w:rsid w:val="001820A0"/>
    <w:rsid w:val="0018210B"/>
    <w:rsid w:val="001822AE"/>
    <w:rsid w:val="00182305"/>
    <w:rsid w:val="00182771"/>
    <w:rsid w:val="00182823"/>
    <w:rsid w:val="00182860"/>
    <w:rsid w:val="0018298F"/>
    <w:rsid w:val="001829A7"/>
    <w:rsid w:val="00182D05"/>
    <w:rsid w:val="00182D09"/>
    <w:rsid w:val="00182DCB"/>
    <w:rsid w:val="00182E0D"/>
    <w:rsid w:val="00182E65"/>
    <w:rsid w:val="00182EA2"/>
    <w:rsid w:val="001832CD"/>
    <w:rsid w:val="00183347"/>
    <w:rsid w:val="0018346C"/>
    <w:rsid w:val="00183697"/>
    <w:rsid w:val="00183730"/>
    <w:rsid w:val="001838EA"/>
    <w:rsid w:val="0018392E"/>
    <w:rsid w:val="00183935"/>
    <w:rsid w:val="00183BAB"/>
    <w:rsid w:val="00184135"/>
    <w:rsid w:val="00184403"/>
    <w:rsid w:val="00184A10"/>
    <w:rsid w:val="00184F87"/>
    <w:rsid w:val="00185154"/>
    <w:rsid w:val="00185264"/>
    <w:rsid w:val="001852FA"/>
    <w:rsid w:val="00185359"/>
    <w:rsid w:val="00185B47"/>
    <w:rsid w:val="00185BA4"/>
    <w:rsid w:val="001861F4"/>
    <w:rsid w:val="00186437"/>
    <w:rsid w:val="001864EF"/>
    <w:rsid w:val="00186784"/>
    <w:rsid w:val="0018680E"/>
    <w:rsid w:val="00186894"/>
    <w:rsid w:val="00186968"/>
    <w:rsid w:val="00186AEE"/>
    <w:rsid w:val="00186BB0"/>
    <w:rsid w:val="00186BD9"/>
    <w:rsid w:val="00187207"/>
    <w:rsid w:val="00187210"/>
    <w:rsid w:val="0018756B"/>
    <w:rsid w:val="00187A9B"/>
    <w:rsid w:val="00187AC2"/>
    <w:rsid w:val="00187C5C"/>
    <w:rsid w:val="00187D42"/>
    <w:rsid w:val="0019016D"/>
    <w:rsid w:val="0019065C"/>
    <w:rsid w:val="001909F5"/>
    <w:rsid w:val="0019114D"/>
    <w:rsid w:val="00191373"/>
    <w:rsid w:val="001914F3"/>
    <w:rsid w:val="00191937"/>
    <w:rsid w:val="00191A48"/>
    <w:rsid w:val="00191AF7"/>
    <w:rsid w:val="00191B94"/>
    <w:rsid w:val="0019212F"/>
    <w:rsid w:val="001922D4"/>
    <w:rsid w:val="0019270A"/>
    <w:rsid w:val="0019276D"/>
    <w:rsid w:val="00192E65"/>
    <w:rsid w:val="001930D5"/>
    <w:rsid w:val="00193369"/>
    <w:rsid w:val="00193484"/>
    <w:rsid w:val="001934CE"/>
    <w:rsid w:val="001939AA"/>
    <w:rsid w:val="00193A52"/>
    <w:rsid w:val="00193B20"/>
    <w:rsid w:val="00193B2B"/>
    <w:rsid w:val="00193DC4"/>
    <w:rsid w:val="00193E0C"/>
    <w:rsid w:val="00193EEB"/>
    <w:rsid w:val="0019428F"/>
    <w:rsid w:val="001942B0"/>
    <w:rsid w:val="001944D5"/>
    <w:rsid w:val="001944EE"/>
    <w:rsid w:val="00194742"/>
    <w:rsid w:val="001947E7"/>
    <w:rsid w:val="00194A6B"/>
    <w:rsid w:val="00194B91"/>
    <w:rsid w:val="00194DF6"/>
    <w:rsid w:val="00195511"/>
    <w:rsid w:val="00195750"/>
    <w:rsid w:val="00195795"/>
    <w:rsid w:val="00195967"/>
    <w:rsid w:val="00195F33"/>
    <w:rsid w:val="00196232"/>
    <w:rsid w:val="001962CB"/>
    <w:rsid w:val="0019639F"/>
    <w:rsid w:val="001964D9"/>
    <w:rsid w:val="0019664B"/>
    <w:rsid w:val="00196852"/>
    <w:rsid w:val="00196973"/>
    <w:rsid w:val="00196A62"/>
    <w:rsid w:val="00196B9E"/>
    <w:rsid w:val="00196BAC"/>
    <w:rsid w:val="00196C8D"/>
    <w:rsid w:val="0019733A"/>
    <w:rsid w:val="0019739B"/>
    <w:rsid w:val="001974A6"/>
    <w:rsid w:val="001975E6"/>
    <w:rsid w:val="00197877"/>
    <w:rsid w:val="0019787E"/>
    <w:rsid w:val="001978FB"/>
    <w:rsid w:val="00197CAD"/>
    <w:rsid w:val="00197CC5"/>
    <w:rsid w:val="00197F6C"/>
    <w:rsid w:val="001A0256"/>
    <w:rsid w:val="001A02D7"/>
    <w:rsid w:val="001A05B7"/>
    <w:rsid w:val="001A06B4"/>
    <w:rsid w:val="001A0FBC"/>
    <w:rsid w:val="001A12EC"/>
    <w:rsid w:val="001A12FA"/>
    <w:rsid w:val="001A14E9"/>
    <w:rsid w:val="001A1611"/>
    <w:rsid w:val="001A18CB"/>
    <w:rsid w:val="001A19CF"/>
    <w:rsid w:val="001A1D73"/>
    <w:rsid w:val="001A1EBA"/>
    <w:rsid w:val="001A203F"/>
    <w:rsid w:val="001A20C6"/>
    <w:rsid w:val="001A23EB"/>
    <w:rsid w:val="001A24C7"/>
    <w:rsid w:val="001A26EE"/>
    <w:rsid w:val="001A28F1"/>
    <w:rsid w:val="001A2A2C"/>
    <w:rsid w:val="001A2A91"/>
    <w:rsid w:val="001A2BC3"/>
    <w:rsid w:val="001A2C3B"/>
    <w:rsid w:val="001A2D4E"/>
    <w:rsid w:val="001A2E33"/>
    <w:rsid w:val="001A3202"/>
    <w:rsid w:val="001A331B"/>
    <w:rsid w:val="001A33D6"/>
    <w:rsid w:val="001A3493"/>
    <w:rsid w:val="001A34E1"/>
    <w:rsid w:val="001A3527"/>
    <w:rsid w:val="001A3540"/>
    <w:rsid w:val="001A3819"/>
    <w:rsid w:val="001A3EB1"/>
    <w:rsid w:val="001A4013"/>
    <w:rsid w:val="001A420C"/>
    <w:rsid w:val="001A4952"/>
    <w:rsid w:val="001A4B67"/>
    <w:rsid w:val="001A4C57"/>
    <w:rsid w:val="001A4EED"/>
    <w:rsid w:val="001A5295"/>
    <w:rsid w:val="001A5319"/>
    <w:rsid w:val="001A53F6"/>
    <w:rsid w:val="001A541C"/>
    <w:rsid w:val="001A558E"/>
    <w:rsid w:val="001A571F"/>
    <w:rsid w:val="001A5DFC"/>
    <w:rsid w:val="001A5E4F"/>
    <w:rsid w:val="001A5EF7"/>
    <w:rsid w:val="001A5F83"/>
    <w:rsid w:val="001A5FA6"/>
    <w:rsid w:val="001A64EB"/>
    <w:rsid w:val="001A675B"/>
    <w:rsid w:val="001A678B"/>
    <w:rsid w:val="001A6B82"/>
    <w:rsid w:val="001A6C35"/>
    <w:rsid w:val="001A6CB2"/>
    <w:rsid w:val="001A6CDC"/>
    <w:rsid w:val="001A6D49"/>
    <w:rsid w:val="001A6DB4"/>
    <w:rsid w:val="001A7041"/>
    <w:rsid w:val="001A71D2"/>
    <w:rsid w:val="001A7304"/>
    <w:rsid w:val="001A7449"/>
    <w:rsid w:val="001A75C5"/>
    <w:rsid w:val="001A75E1"/>
    <w:rsid w:val="001A7F34"/>
    <w:rsid w:val="001A7FB2"/>
    <w:rsid w:val="001B0016"/>
    <w:rsid w:val="001B00D2"/>
    <w:rsid w:val="001B0607"/>
    <w:rsid w:val="001B0EC2"/>
    <w:rsid w:val="001B1578"/>
    <w:rsid w:val="001B1650"/>
    <w:rsid w:val="001B16A7"/>
    <w:rsid w:val="001B1808"/>
    <w:rsid w:val="001B1890"/>
    <w:rsid w:val="001B1934"/>
    <w:rsid w:val="001B1BC3"/>
    <w:rsid w:val="001B1E61"/>
    <w:rsid w:val="001B216A"/>
    <w:rsid w:val="001B229E"/>
    <w:rsid w:val="001B2659"/>
    <w:rsid w:val="001B2709"/>
    <w:rsid w:val="001B2738"/>
    <w:rsid w:val="001B2A38"/>
    <w:rsid w:val="001B2B3B"/>
    <w:rsid w:val="001B2C32"/>
    <w:rsid w:val="001B30C6"/>
    <w:rsid w:val="001B4226"/>
    <w:rsid w:val="001B474D"/>
    <w:rsid w:val="001B4756"/>
    <w:rsid w:val="001B497C"/>
    <w:rsid w:val="001B497E"/>
    <w:rsid w:val="001B4993"/>
    <w:rsid w:val="001B499B"/>
    <w:rsid w:val="001B4D63"/>
    <w:rsid w:val="001B4EF1"/>
    <w:rsid w:val="001B510C"/>
    <w:rsid w:val="001B5156"/>
    <w:rsid w:val="001B51FE"/>
    <w:rsid w:val="001B53E4"/>
    <w:rsid w:val="001B5949"/>
    <w:rsid w:val="001B5ADA"/>
    <w:rsid w:val="001B5DE7"/>
    <w:rsid w:val="001B5E67"/>
    <w:rsid w:val="001B5EFB"/>
    <w:rsid w:val="001B6163"/>
    <w:rsid w:val="001B62B7"/>
    <w:rsid w:val="001B6537"/>
    <w:rsid w:val="001B6558"/>
    <w:rsid w:val="001B6660"/>
    <w:rsid w:val="001B6B47"/>
    <w:rsid w:val="001B6B55"/>
    <w:rsid w:val="001B6C17"/>
    <w:rsid w:val="001B6CB4"/>
    <w:rsid w:val="001B6E5B"/>
    <w:rsid w:val="001B7560"/>
    <w:rsid w:val="001B75BC"/>
    <w:rsid w:val="001B75EC"/>
    <w:rsid w:val="001B762F"/>
    <w:rsid w:val="001B7952"/>
    <w:rsid w:val="001B7981"/>
    <w:rsid w:val="001B7BCF"/>
    <w:rsid w:val="001B7D41"/>
    <w:rsid w:val="001C0048"/>
    <w:rsid w:val="001C0563"/>
    <w:rsid w:val="001C0E69"/>
    <w:rsid w:val="001C1431"/>
    <w:rsid w:val="001C18F3"/>
    <w:rsid w:val="001C212C"/>
    <w:rsid w:val="001C21FE"/>
    <w:rsid w:val="001C2226"/>
    <w:rsid w:val="001C243A"/>
    <w:rsid w:val="001C27EE"/>
    <w:rsid w:val="001C2D6F"/>
    <w:rsid w:val="001C3017"/>
    <w:rsid w:val="001C31A0"/>
    <w:rsid w:val="001C3265"/>
    <w:rsid w:val="001C3652"/>
    <w:rsid w:val="001C3D9E"/>
    <w:rsid w:val="001C3EB5"/>
    <w:rsid w:val="001C406D"/>
    <w:rsid w:val="001C426B"/>
    <w:rsid w:val="001C4362"/>
    <w:rsid w:val="001C47E3"/>
    <w:rsid w:val="001C4A4F"/>
    <w:rsid w:val="001C4ACD"/>
    <w:rsid w:val="001C50A7"/>
    <w:rsid w:val="001C5194"/>
    <w:rsid w:val="001C58E4"/>
    <w:rsid w:val="001C592E"/>
    <w:rsid w:val="001C5D1F"/>
    <w:rsid w:val="001C5F79"/>
    <w:rsid w:val="001C61DC"/>
    <w:rsid w:val="001C65E8"/>
    <w:rsid w:val="001C6628"/>
    <w:rsid w:val="001C6773"/>
    <w:rsid w:val="001C683A"/>
    <w:rsid w:val="001C6989"/>
    <w:rsid w:val="001C6B76"/>
    <w:rsid w:val="001C6EE4"/>
    <w:rsid w:val="001C70F6"/>
    <w:rsid w:val="001C7183"/>
    <w:rsid w:val="001C71FF"/>
    <w:rsid w:val="001C7517"/>
    <w:rsid w:val="001C7EE5"/>
    <w:rsid w:val="001C7FD1"/>
    <w:rsid w:val="001D0075"/>
    <w:rsid w:val="001D0514"/>
    <w:rsid w:val="001D08BC"/>
    <w:rsid w:val="001D0962"/>
    <w:rsid w:val="001D0ABD"/>
    <w:rsid w:val="001D0CC7"/>
    <w:rsid w:val="001D0FA1"/>
    <w:rsid w:val="001D100F"/>
    <w:rsid w:val="001D14DC"/>
    <w:rsid w:val="001D162F"/>
    <w:rsid w:val="001D17C1"/>
    <w:rsid w:val="001D185F"/>
    <w:rsid w:val="001D18D6"/>
    <w:rsid w:val="001D1937"/>
    <w:rsid w:val="001D19F2"/>
    <w:rsid w:val="001D1A1F"/>
    <w:rsid w:val="001D1E1E"/>
    <w:rsid w:val="001D24C1"/>
    <w:rsid w:val="001D2519"/>
    <w:rsid w:val="001D25B0"/>
    <w:rsid w:val="001D289E"/>
    <w:rsid w:val="001D2914"/>
    <w:rsid w:val="001D2B18"/>
    <w:rsid w:val="001D32D9"/>
    <w:rsid w:val="001D3534"/>
    <w:rsid w:val="001D37B8"/>
    <w:rsid w:val="001D3A59"/>
    <w:rsid w:val="001D3AF2"/>
    <w:rsid w:val="001D3CA1"/>
    <w:rsid w:val="001D3CBC"/>
    <w:rsid w:val="001D43A9"/>
    <w:rsid w:val="001D4C1D"/>
    <w:rsid w:val="001D4DAA"/>
    <w:rsid w:val="001D4DF1"/>
    <w:rsid w:val="001D589E"/>
    <w:rsid w:val="001D5C75"/>
    <w:rsid w:val="001D60C0"/>
    <w:rsid w:val="001D612A"/>
    <w:rsid w:val="001D6314"/>
    <w:rsid w:val="001D631B"/>
    <w:rsid w:val="001D66AC"/>
    <w:rsid w:val="001D67A2"/>
    <w:rsid w:val="001D69E4"/>
    <w:rsid w:val="001D6BFF"/>
    <w:rsid w:val="001D6F3D"/>
    <w:rsid w:val="001D6F92"/>
    <w:rsid w:val="001D7303"/>
    <w:rsid w:val="001D751C"/>
    <w:rsid w:val="001D79DB"/>
    <w:rsid w:val="001D7B37"/>
    <w:rsid w:val="001D7D05"/>
    <w:rsid w:val="001D7D79"/>
    <w:rsid w:val="001D7E11"/>
    <w:rsid w:val="001E0B53"/>
    <w:rsid w:val="001E0E09"/>
    <w:rsid w:val="001E0FCF"/>
    <w:rsid w:val="001E11B9"/>
    <w:rsid w:val="001E1209"/>
    <w:rsid w:val="001E1418"/>
    <w:rsid w:val="001E1594"/>
    <w:rsid w:val="001E1874"/>
    <w:rsid w:val="001E1BB9"/>
    <w:rsid w:val="001E1BE4"/>
    <w:rsid w:val="001E1C39"/>
    <w:rsid w:val="001E1C47"/>
    <w:rsid w:val="001E1CE6"/>
    <w:rsid w:val="001E1ED4"/>
    <w:rsid w:val="001E21E0"/>
    <w:rsid w:val="001E22D1"/>
    <w:rsid w:val="001E2897"/>
    <w:rsid w:val="001E2987"/>
    <w:rsid w:val="001E2A2C"/>
    <w:rsid w:val="001E2D9A"/>
    <w:rsid w:val="001E2FF0"/>
    <w:rsid w:val="001E34FB"/>
    <w:rsid w:val="001E35BB"/>
    <w:rsid w:val="001E366D"/>
    <w:rsid w:val="001E36FC"/>
    <w:rsid w:val="001E39AD"/>
    <w:rsid w:val="001E3B0B"/>
    <w:rsid w:val="001E3B3E"/>
    <w:rsid w:val="001E3E62"/>
    <w:rsid w:val="001E3EA3"/>
    <w:rsid w:val="001E3F2D"/>
    <w:rsid w:val="001E4007"/>
    <w:rsid w:val="001E40A7"/>
    <w:rsid w:val="001E455F"/>
    <w:rsid w:val="001E47B3"/>
    <w:rsid w:val="001E49C4"/>
    <w:rsid w:val="001E4D24"/>
    <w:rsid w:val="001E4D3F"/>
    <w:rsid w:val="001E4FFC"/>
    <w:rsid w:val="001E520A"/>
    <w:rsid w:val="001E530F"/>
    <w:rsid w:val="001E53B5"/>
    <w:rsid w:val="001E56C5"/>
    <w:rsid w:val="001E5890"/>
    <w:rsid w:val="001E5D42"/>
    <w:rsid w:val="001E5D6E"/>
    <w:rsid w:val="001E5F6C"/>
    <w:rsid w:val="001E6113"/>
    <w:rsid w:val="001E61A5"/>
    <w:rsid w:val="001E62C1"/>
    <w:rsid w:val="001E62E1"/>
    <w:rsid w:val="001E6400"/>
    <w:rsid w:val="001E6441"/>
    <w:rsid w:val="001E6656"/>
    <w:rsid w:val="001E690F"/>
    <w:rsid w:val="001E6A5A"/>
    <w:rsid w:val="001E6BE3"/>
    <w:rsid w:val="001E6E39"/>
    <w:rsid w:val="001E6F59"/>
    <w:rsid w:val="001E735B"/>
    <w:rsid w:val="001E736E"/>
    <w:rsid w:val="001E737F"/>
    <w:rsid w:val="001E738C"/>
    <w:rsid w:val="001E7CCA"/>
    <w:rsid w:val="001F021B"/>
    <w:rsid w:val="001F0347"/>
    <w:rsid w:val="001F03DA"/>
    <w:rsid w:val="001F075F"/>
    <w:rsid w:val="001F081F"/>
    <w:rsid w:val="001F0A6B"/>
    <w:rsid w:val="001F0B35"/>
    <w:rsid w:val="001F0E31"/>
    <w:rsid w:val="001F117A"/>
    <w:rsid w:val="001F122D"/>
    <w:rsid w:val="001F1437"/>
    <w:rsid w:val="001F16CA"/>
    <w:rsid w:val="001F1725"/>
    <w:rsid w:val="001F174F"/>
    <w:rsid w:val="001F176B"/>
    <w:rsid w:val="001F1789"/>
    <w:rsid w:val="001F1B10"/>
    <w:rsid w:val="001F1E26"/>
    <w:rsid w:val="001F1F56"/>
    <w:rsid w:val="001F1F8A"/>
    <w:rsid w:val="001F2145"/>
    <w:rsid w:val="001F21C1"/>
    <w:rsid w:val="001F221C"/>
    <w:rsid w:val="001F2698"/>
    <w:rsid w:val="001F2743"/>
    <w:rsid w:val="001F28DE"/>
    <w:rsid w:val="001F28E8"/>
    <w:rsid w:val="001F2AF4"/>
    <w:rsid w:val="001F2BEF"/>
    <w:rsid w:val="001F2D96"/>
    <w:rsid w:val="001F2E3E"/>
    <w:rsid w:val="001F2E97"/>
    <w:rsid w:val="001F3061"/>
    <w:rsid w:val="001F33D9"/>
    <w:rsid w:val="001F35B6"/>
    <w:rsid w:val="001F3651"/>
    <w:rsid w:val="001F37DC"/>
    <w:rsid w:val="001F3905"/>
    <w:rsid w:val="001F3A56"/>
    <w:rsid w:val="001F3B24"/>
    <w:rsid w:val="001F3BEF"/>
    <w:rsid w:val="001F4068"/>
    <w:rsid w:val="001F440A"/>
    <w:rsid w:val="001F44D7"/>
    <w:rsid w:val="001F45E9"/>
    <w:rsid w:val="001F487C"/>
    <w:rsid w:val="001F4A0C"/>
    <w:rsid w:val="001F4BB9"/>
    <w:rsid w:val="001F4C82"/>
    <w:rsid w:val="001F5058"/>
    <w:rsid w:val="001F53A2"/>
    <w:rsid w:val="001F53FB"/>
    <w:rsid w:val="001F5488"/>
    <w:rsid w:val="001F5572"/>
    <w:rsid w:val="001F5599"/>
    <w:rsid w:val="001F5649"/>
    <w:rsid w:val="001F5723"/>
    <w:rsid w:val="001F58C3"/>
    <w:rsid w:val="001F594C"/>
    <w:rsid w:val="001F59A1"/>
    <w:rsid w:val="001F59FC"/>
    <w:rsid w:val="001F5B3F"/>
    <w:rsid w:val="001F5CB5"/>
    <w:rsid w:val="001F5CC4"/>
    <w:rsid w:val="001F5E2E"/>
    <w:rsid w:val="001F5F4C"/>
    <w:rsid w:val="001F6336"/>
    <w:rsid w:val="001F64DD"/>
    <w:rsid w:val="001F658B"/>
    <w:rsid w:val="001F68BA"/>
    <w:rsid w:val="001F69DD"/>
    <w:rsid w:val="001F6CFF"/>
    <w:rsid w:val="001F6E37"/>
    <w:rsid w:val="001F6E44"/>
    <w:rsid w:val="001F6EDE"/>
    <w:rsid w:val="001F7017"/>
    <w:rsid w:val="001F7086"/>
    <w:rsid w:val="001F70C3"/>
    <w:rsid w:val="001F70D8"/>
    <w:rsid w:val="001F70FB"/>
    <w:rsid w:val="001F7249"/>
    <w:rsid w:val="001F7315"/>
    <w:rsid w:val="001F73CB"/>
    <w:rsid w:val="001F76DB"/>
    <w:rsid w:val="001F76FD"/>
    <w:rsid w:val="001F77F5"/>
    <w:rsid w:val="001F7F3A"/>
    <w:rsid w:val="0020001E"/>
    <w:rsid w:val="00200172"/>
    <w:rsid w:val="002003D9"/>
    <w:rsid w:val="00200706"/>
    <w:rsid w:val="002007FE"/>
    <w:rsid w:val="002008B4"/>
    <w:rsid w:val="002009FF"/>
    <w:rsid w:val="00200B13"/>
    <w:rsid w:val="00200B1E"/>
    <w:rsid w:val="00200E95"/>
    <w:rsid w:val="0020140B"/>
    <w:rsid w:val="0020155A"/>
    <w:rsid w:val="00201586"/>
    <w:rsid w:val="002017F8"/>
    <w:rsid w:val="0020193E"/>
    <w:rsid w:val="0020198F"/>
    <w:rsid w:val="00201A9E"/>
    <w:rsid w:val="00201C55"/>
    <w:rsid w:val="00201CA1"/>
    <w:rsid w:val="00201CFB"/>
    <w:rsid w:val="0020203D"/>
    <w:rsid w:val="0020208D"/>
    <w:rsid w:val="002026C3"/>
    <w:rsid w:val="00202AFA"/>
    <w:rsid w:val="00202B04"/>
    <w:rsid w:val="00202E5C"/>
    <w:rsid w:val="002032EA"/>
    <w:rsid w:val="002037B1"/>
    <w:rsid w:val="002038AD"/>
    <w:rsid w:val="00203A3F"/>
    <w:rsid w:val="00203B4D"/>
    <w:rsid w:val="00203CAB"/>
    <w:rsid w:val="00203D41"/>
    <w:rsid w:val="00203F69"/>
    <w:rsid w:val="00203F6C"/>
    <w:rsid w:val="002047A0"/>
    <w:rsid w:val="00204879"/>
    <w:rsid w:val="00204B07"/>
    <w:rsid w:val="00204CA7"/>
    <w:rsid w:val="00204F84"/>
    <w:rsid w:val="002052E6"/>
    <w:rsid w:val="002054EB"/>
    <w:rsid w:val="002058BB"/>
    <w:rsid w:val="00205903"/>
    <w:rsid w:val="00205E00"/>
    <w:rsid w:val="0020610E"/>
    <w:rsid w:val="002062D1"/>
    <w:rsid w:val="0020643A"/>
    <w:rsid w:val="0020688A"/>
    <w:rsid w:val="00206E08"/>
    <w:rsid w:val="00206F93"/>
    <w:rsid w:val="0020708D"/>
    <w:rsid w:val="0020716E"/>
    <w:rsid w:val="00207215"/>
    <w:rsid w:val="00207297"/>
    <w:rsid w:val="0020740F"/>
    <w:rsid w:val="002075B8"/>
    <w:rsid w:val="00207722"/>
    <w:rsid w:val="002078C1"/>
    <w:rsid w:val="0020793E"/>
    <w:rsid w:val="00207AAA"/>
    <w:rsid w:val="00207BD3"/>
    <w:rsid w:val="00207C6F"/>
    <w:rsid w:val="00207EF1"/>
    <w:rsid w:val="00207F5F"/>
    <w:rsid w:val="00207F68"/>
    <w:rsid w:val="00207FB8"/>
    <w:rsid w:val="002100C5"/>
    <w:rsid w:val="0021026A"/>
    <w:rsid w:val="002102F4"/>
    <w:rsid w:val="00210409"/>
    <w:rsid w:val="0021058C"/>
    <w:rsid w:val="002106C4"/>
    <w:rsid w:val="0021084D"/>
    <w:rsid w:val="00210B3A"/>
    <w:rsid w:val="00210B48"/>
    <w:rsid w:val="00210D3E"/>
    <w:rsid w:val="00210DEF"/>
    <w:rsid w:val="00210F5F"/>
    <w:rsid w:val="002112AE"/>
    <w:rsid w:val="0021171A"/>
    <w:rsid w:val="002117E7"/>
    <w:rsid w:val="0021182C"/>
    <w:rsid w:val="002118E4"/>
    <w:rsid w:val="00211975"/>
    <w:rsid w:val="00211DB6"/>
    <w:rsid w:val="00211F98"/>
    <w:rsid w:val="0021236A"/>
    <w:rsid w:val="002125E1"/>
    <w:rsid w:val="00212777"/>
    <w:rsid w:val="00212887"/>
    <w:rsid w:val="00212B2B"/>
    <w:rsid w:val="00212BAF"/>
    <w:rsid w:val="00212E6B"/>
    <w:rsid w:val="00213184"/>
    <w:rsid w:val="00213200"/>
    <w:rsid w:val="002134D8"/>
    <w:rsid w:val="00213616"/>
    <w:rsid w:val="0021361C"/>
    <w:rsid w:val="00213FAA"/>
    <w:rsid w:val="0021420B"/>
    <w:rsid w:val="00214387"/>
    <w:rsid w:val="00214909"/>
    <w:rsid w:val="00214918"/>
    <w:rsid w:val="00214B6C"/>
    <w:rsid w:val="00214BE5"/>
    <w:rsid w:val="00214C19"/>
    <w:rsid w:val="00214D01"/>
    <w:rsid w:val="00214D0A"/>
    <w:rsid w:val="0021515B"/>
    <w:rsid w:val="00215287"/>
    <w:rsid w:val="002152BE"/>
    <w:rsid w:val="002152C9"/>
    <w:rsid w:val="0021530D"/>
    <w:rsid w:val="002153C3"/>
    <w:rsid w:val="00215808"/>
    <w:rsid w:val="00215864"/>
    <w:rsid w:val="0021595F"/>
    <w:rsid w:val="00215971"/>
    <w:rsid w:val="00215AD6"/>
    <w:rsid w:val="00215CB4"/>
    <w:rsid w:val="00215E28"/>
    <w:rsid w:val="00216129"/>
    <w:rsid w:val="002169B9"/>
    <w:rsid w:val="002169D2"/>
    <w:rsid w:val="00216CEA"/>
    <w:rsid w:val="00216DFE"/>
    <w:rsid w:val="00216FAA"/>
    <w:rsid w:val="002170D2"/>
    <w:rsid w:val="0021740D"/>
    <w:rsid w:val="00217D2A"/>
    <w:rsid w:val="00217DEC"/>
    <w:rsid w:val="00217E5B"/>
    <w:rsid w:val="00220089"/>
    <w:rsid w:val="00220111"/>
    <w:rsid w:val="0022018C"/>
    <w:rsid w:val="00220251"/>
    <w:rsid w:val="002205F5"/>
    <w:rsid w:val="0022081B"/>
    <w:rsid w:val="00220966"/>
    <w:rsid w:val="00220987"/>
    <w:rsid w:val="00220D46"/>
    <w:rsid w:val="00221014"/>
    <w:rsid w:val="002213DB"/>
    <w:rsid w:val="00221871"/>
    <w:rsid w:val="00221DC2"/>
    <w:rsid w:val="00221DDF"/>
    <w:rsid w:val="00222215"/>
    <w:rsid w:val="00222397"/>
    <w:rsid w:val="002226EB"/>
    <w:rsid w:val="00222841"/>
    <w:rsid w:val="0022292B"/>
    <w:rsid w:val="00222BE5"/>
    <w:rsid w:val="00222C41"/>
    <w:rsid w:val="00222CD1"/>
    <w:rsid w:val="00222DAB"/>
    <w:rsid w:val="00223180"/>
    <w:rsid w:val="0022324D"/>
    <w:rsid w:val="002235A8"/>
    <w:rsid w:val="00223720"/>
    <w:rsid w:val="00223760"/>
    <w:rsid w:val="00223792"/>
    <w:rsid w:val="002238C7"/>
    <w:rsid w:val="00223C13"/>
    <w:rsid w:val="00223C3D"/>
    <w:rsid w:val="00223CE6"/>
    <w:rsid w:val="00223E12"/>
    <w:rsid w:val="00223F5E"/>
    <w:rsid w:val="0022423A"/>
    <w:rsid w:val="00224D97"/>
    <w:rsid w:val="00224DBD"/>
    <w:rsid w:val="00224E1D"/>
    <w:rsid w:val="00224EE5"/>
    <w:rsid w:val="0022552C"/>
    <w:rsid w:val="0022560C"/>
    <w:rsid w:val="0022564B"/>
    <w:rsid w:val="00225857"/>
    <w:rsid w:val="0022585E"/>
    <w:rsid w:val="0022591C"/>
    <w:rsid w:val="00225B7E"/>
    <w:rsid w:val="00225BBD"/>
    <w:rsid w:val="00225C37"/>
    <w:rsid w:val="00225D80"/>
    <w:rsid w:val="00226067"/>
    <w:rsid w:val="0022623F"/>
    <w:rsid w:val="00226556"/>
    <w:rsid w:val="00226C5C"/>
    <w:rsid w:val="00226DC1"/>
    <w:rsid w:val="00226E3A"/>
    <w:rsid w:val="00227399"/>
    <w:rsid w:val="002273A2"/>
    <w:rsid w:val="00227489"/>
    <w:rsid w:val="00227554"/>
    <w:rsid w:val="00227685"/>
    <w:rsid w:val="0022768E"/>
    <w:rsid w:val="002277C8"/>
    <w:rsid w:val="0022789C"/>
    <w:rsid w:val="00227998"/>
    <w:rsid w:val="00227B30"/>
    <w:rsid w:val="00227DDA"/>
    <w:rsid w:val="00230130"/>
    <w:rsid w:val="002305CD"/>
    <w:rsid w:val="00230786"/>
    <w:rsid w:val="00230868"/>
    <w:rsid w:val="00230919"/>
    <w:rsid w:val="00230D3D"/>
    <w:rsid w:val="00230D79"/>
    <w:rsid w:val="00230D9F"/>
    <w:rsid w:val="00230F27"/>
    <w:rsid w:val="002311D2"/>
    <w:rsid w:val="002312EE"/>
    <w:rsid w:val="0023146A"/>
    <w:rsid w:val="0023147C"/>
    <w:rsid w:val="00231745"/>
    <w:rsid w:val="00231A75"/>
    <w:rsid w:val="00231C69"/>
    <w:rsid w:val="00231CB3"/>
    <w:rsid w:val="002321E2"/>
    <w:rsid w:val="002325CC"/>
    <w:rsid w:val="0023268C"/>
    <w:rsid w:val="0023276D"/>
    <w:rsid w:val="00232824"/>
    <w:rsid w:val="00232863"/>
    <w:rsid w:val="002328EB"/>
    <w:rsid w:val="00232B29"/>
    <w:rsid w:val="00232F5F"/>
    <w:rsid w:val="00232F6E"/>
    <w:rsid w:val="002330B6"/>
    <w:rsid w:val="0023333E"/>
    <w:rsid w:val="00233447"/>
    <w:rsid w:val="002336A9"/>
    <w:rsid w:val="002338FA"/>
    <w:rsid w:val="00233A86"/>
    <w:rsid w:val="00233BC7"/>
    <w:rsid w:val="00234057"/>
    <w:rsid w:val="002342D6"/>
    <w:rsid w:val="00234311"/>
    <w:rsid w:val="0023454B"/>
    <w:rsid w:val="00234596"/>
    <w:rsid w:val="00234710"/>
    <w:rsid w:val="00234AF9"/>
    <w:rsid w:val="00234F33"/>
    <w:rsid w:val="00235066"/>
    <w:rsid w:val="002351BF"/>
    <w:rsid w:val="0023558A"/>
    <w:rsid w:val="0023564E"/>
    <w:rsid w:val="00235B77"/>
    <w:rsid w:val="00235CEE"/>
    <w:rsid w:val="00235E97"/>
    <w:rsid w:val="0023610F"/>
    <w:rsid w:val="00236122"/>
    <w:rsid w:val="002361D9"/>
    <w:rsid w:val="002363E0"/>
    <w:rsid w:val="002364E2"/>
    <w:rsid w:val="00236585"/>
    <w:rsid w:val="00236A7F"/>
    <w:rsid w:val="00236B15"/>
    <w:rsid w:val="00236B93"/>
    <w:rsid w:val="00236BCA"/>
    <w:rsid w:val="00236E51"/>
    <w:rsid w:val="00236EE9"/>
    <w:rsid w:val="002370F5"/>
    <w:rsid w:val="00237104"/>
    <w:rsid w:val="0023718B"/>
    <w:rsid w:val="002372D5"/>
    <w:rsid w:val="002377E1"/>
    <w:rsid w:val="00237ADD"/>
    <w:rsid w:val="00237CF8"/>
    <w:rsid w:val="00237D20"/>
    <w:rsid w:val="00240330"/>
    <w:rsid w:val="002408C4"/>
    <w:rsid w:val="002408E8"/>
    <w:rsid w:val="00240B6B"/>
    <w:rsid w:val="00241479"/>
    <w:rsid w:val="0024154C"/>
    <w:rsid w:val="00241565"/>
    <w:rsid w:val="00241F49"/>
    <w:rsid w:val="002421FA"/>
    <w:rsid w:val="00242503"/>
    <w:rsid w:val="00242560"/>
    <w:rsid w:val="00242928"/>
    <w:rsid w:val="00242997"/>
    <w:rsid w:val="00242D9A"/>
    <w:rsid w:val="00242DC4"/>
    <w:rsid w:val="00243077"/>
    <w:rsid w:val="0024308E"/>
    <w:rsid w:val="00243193"/>
    <w:rsid w:val="00243630"/>
    <w:rsid w:val="0024392F"/>
    <w:rsid w:val="00243DD0"/>
    <w:rsid w:val="00243F2C"/>
    <w:rsid w:val="00243F80"/>
    <w:rsid w:val="00243FA5"/>
    <w:rsid w:val="00244640"/>
    <w:rsid w:val="002446D6"/>
    <w:rsid w:val="00244739"/>
    <w:rsid w:val="00244C03"/>
    <w:rsid w:val="0024533E"/>
    <w:rsid w:val="002453C6"/>
    <w:rsid w:val="00245543"/>
    <w:rsid w:val="002455C7"/>
    <w:rsid w:val="00245AD3"/>
    <w:rsid w:val="00245B16"/>
    <w:rsid w:val="00245C8E"/>
    <w:rsid w:val="00246032"/>
    <w:rsid w:val="002460EF"/>
    <w:rsid w:val="002460F4"/>
    <w:rsid w:val="002461D5"/>
    <w:rsid w:val="00246459"/>
    <w:rsid w:val="00246635"/>
    <w:rsid w:val="00246826"/>
    <w:rsid w:val="0024691D"/>
    <w:rsid w:val="00246A42"/>
    <w:rsid w:val="00246BE0"/>
    <w:rsid w:val="00246C94"/>
    <w:rsid w:val="00246DDF"/>
    <w:rsid w:val="00246E31"/>
    <w:rsid w:val="00246E70"/>
    <w:rsid w:val="0024749A"/>
    <w:rsid w:val="00247543"/>
    <w:rsid w:val="002477C2"/>
    <w:rsid w:val="0024789E"/>
    <w:rsid w:val="00247EB9"/>
    <w:rsid w:val="00250191"/>
    <w:rsid w:val="002506F4"/>
    <w:rsid w:val="0025071E"/>
    <w:rsid w:val="002507E8"/>
    <w:rsid w:val="00250822"/>
    <w:rsid w:val="002509A8"/>
    <w:rsid w:val="002509B5"/>
    <w:rsid w:val="00250A32"/>
    <w:rsid w:val="00250A65"/>
    <w:rsid w:val="00250CD7"/>
    <w:rsid w:val="00250D05"/>
    <w:rsid w:val="00250E50"/>
    <w:rsid w:val="00250F62"/>
    <w:rsid w:val="00251197"/>
    <w:rsid w:val="0025119D"/>
    <w:rsid w:val="0025134A"/>
    <w:rsid w:val="00251383"/>
    <w:rsid w:val="00251445"/>
    <w:rsid w:val="00251AD2"/>
    <w:rsid w:val="00251D89"/>
    <w:rsid w:val="00251E45"/>
    <w:rsid w:val="00251EF0"/>
    <w:rsid w:val="002520D3"/>
    <w:rsid w:val="00252138"/>
    <w:rsid w:val="00252178"/>
    <w:rsid w:val="002521AB"/>
    <w:rsid w:val="00252201"/>
    <w:rsid w:val="00252407"/>
    <w:rsid w:val="0025245D"/>
    <w:rsid w:val="00252948"/>
    <w:rsid w:val="002529AA"/>
    <w:rsid w:val="00252A42"/>
    <w:rsid w:val="00252A73"/>
    <w:rsid w:val="00252BC9"/>
    <w:rsid w:val="00252F55"/>
    <w:rsid w:val="0025337F"/>
    <w:rsid w:val="0025354D"/>
    <w:rsid w:val="002535D8"/>
    <w:rsid w:val="002535F4"/>
    <w:rsid w:val="00253DC5"/>
    <w:rsid w:val="0025414F"/>
    <w:rsid w:val="002541FC"/>
    <w:rsid w:val="0025457C"/>
    <w:rsid w:val="002545A5"/>
    <w:rsid w:val="00254620"/>
    <w:rsid w:val="002547DA"/>
    <w:rsid w:val="0025480B"/>
    <w:rsid w:val="002548DA"/>
    <w:rsid w:val="00254AD5"/>
    <w:rsid w:val="00254DD8"/>
    <w:rsid w:val="00254EE6"/>
    <w:rsid w:val="00255063"/>
    <w:rsid w:val="00255123"/>
    <w:rsid w:val="00255323"/>
    <w:rsid w:val="0025538A"/>
    <w:rsid w:val="002555A6"/>
    <w:rsid w:val="00255600"/>
    <w:rsid w:val="0025563D"/>
    <w:rsid w:val="0025579C"/>
    <w:rsid w:val="00255809"/>
    <w:rsid w:val="00255A93"/>
    <w:rsid w:val="00255DAB"/>
    <w:rsid w:val="002561A2"/>
    <w:rsid w:val="0025636B"/>
    <w:rsid w:val="00256660"/>
    <w:rsid w:val="002568A7"/>
    <w:rsid w:val="00256AE9"/>
    <w:rsid w:val="00256B23"/>
    <w:rsid w:val="002570E8"/>
    <w:rsid w:val="00257159"/>
    <w:rsid w:val="00257309"/>
    <w:rsid w:val="00257620"/>
    <w:rsid w:val="0025788C"/>
    <w:rsid w:val="002578B3"/>
    <w:rsid w:val="002578EA"/>
    <w:rsid w:val="00257A71"/>
    <w:rsid w:val="00257F84"/>
    <w:rsid w:val="002609F0"/>
    <w:rsid w:val="00260AC8"/>
    <w:rsid w:val="00260B2E"/>
    <w:rsid w:val="00260CE4"/>
    <w:rsid w:val="00260D07"/>
    <w:rsid w:val="0026105B"/>
    <w:rsid w:val="00261523"/>
    <w:rsid w:val="0026159F"/>
    <w:rsid w:val="00261971"/>
    <w:rsid w:val="00261FF6"/>
    <w:rsid w:val="002621A4"/>
    <w:rsid w:val="002624B0"/>
    <w:rsid w:val="00262C1E"/>
    <w:rsid w:val="00262D26"/>
    <w:rsid w:val="00262F49"/>
    <w:rsid w:val="0026326B"/>
    <w:rsid w:val="00263378"/>
    <w:rsid w:val="00263423"/>
    <w:rsid w:val="0026369A"/>
    <w:rsid w:val="0026376D"/>
    <w:rsid w:val="00263ABF"/>
    <w:rsid w:val="00263CEF"/>
    <w:rsid w:val="00263F35"/>
    <w:rsid w:val="0026407B"/>
    <w:rsid w:val="002640AD"/>
    <w:rsid w:val="00264459"/>
    <w:rsid w:val="002645D9"/>
    <w:rsid w:val="00264670"/>
    <w:rsid w:val="00264A6D"/>
    <w:rsid w:val="00264C31"/>
    <w:rsid w:val="00265237"/>
    <w:rsid w:val="00265437"/>
    <w:rsid w:val="00265978"/>
    <w:rsid w:val="00265F28"/>
    <w:rsid w:val="00266410"/>
    <w:rsid w:val="00266CB5"/>
    <w:rsid w:val="00266D9E"/>
    <w:rsid w:val="00266DB1"/>
    <w:rsid w:val="00267140"/>
    <w:rsid w:val="002672D0"/>
    <w:rsid w:val="00267365"/>
    <w:rsid w:val="00267B4B"/>
    <w:rsid w:val="00267C02"/>
    <w:rsid w:val="00267D73"/>
    <w:rsid w:val="00267E83"/>
    <w:rsid w:val="002701FA"/>
    <w:rsid w:val="0027026A"/>
    <w:rsid w:val="0027034B"/>
    <w:rsid w:val="002704B4"/>
    <w:rsid w:val="0027072E"/>
    <w:rsid w:val="00270916"/>
    <w:rsid w:val="0027105B"/>
    <w:rsid w:val="002712E5"/>
    <w:rsid w:val="00271CC1"/>
    <w:rsid w:val="00272182"/>
    <w:rsid w:val="0027222B"/>
    <w:rsid w:val="00272569"/>
    <w:rsid w:val="00272660"/>
    <w:rsid w:val="002726C9"/>
    <w:rsid w:val="00272717"/>
    <w:rsid w:val="002727F1"/>
    <w:rsid w:val="00272CBA"/>
    <w:rsid w:val="00272D92"/>
    <w:rsid w:val="002730E4"/>
    <w:rsid w:val="002732FB"/>
    <w:rsid w:val="002735B5"/>
    <w:rsid w:val="0027368E"/>
    <w:rsid w:val="002736BD"/>
    <w:rsid w:val="002737AB"/>
    <w:rsid w:val="0027394D"/>
    <w:rsid w:val="00273BFB"/>
    <w:rsid w:val="00273C08"/>
    <w:rsid w:val="00273D0A"/>
    <w:rsid w:val="00273E57"/>
    <w:rsid w:val="00273FED"/>
    <w:rsid w:val="00274043"/>
    <w:rsid w:val="0027408B"/>
    <w:rsid w:val="0027427B"/>
    <w:rsid w:val="002749C2"/>
    <w:rsid w:val="00274A07"/>
    <w:rsid w:val="00274FE1"/>
    <w:rsid w:val="0027504C"/>
    <w:rsid w:val="002751D0"/>
    <w:rsid w:val="00275211"/>
    <w:rsid w:val="0027547C"/>
    <w:rsid w:val="0027548A"/>
    <w:rsid w:val="00275520"/>
    <w:rsid w:val="00275577"/>
    <w:rsid w:val="00275674"/>
    <w:rsid w:val="0027570E"/>
    <w:rsid w:val="00275849"/>
    <w:rsid w:val="00275891"/>
    <w:rsid w:val="00275904"/>
    <w:rsid w:val="00275A88"/>
    <w:rsid w:val="00275C47"/>
    <w:rsid w:val="00275D1D"/>
    <w:rsid w:val="00275F79"/>
    <w:rsid w:val="0027616F"/>
    <w:rsid w:val="00276C9A"/>
    <w:rsid w:val="00276E3C"/>
    <w:rsid w:val="00277271"/>
    <w:rsid w:val="00277352"/>
    <w:rsid w:val="002777C0"/>
    <w:rsid w:val="00277DFF"/>
    <w:rsid w:val="00277EAB"/>
    <w:rsid w:val="00277EAC"/>
    <w:rsid w:val="0028009F"/>
    <w:rsid w:val="002800F4"/>
    <w:rsid w:val="00280415"/>
    <w:rsid w:val="00280601"/>
    <w:rsid w:val="00280605"/>
    <w:rsid w:val="00281213"/>
    <w:rsid w:val="00281239"/>
    <w:rsid w:val="00281533"/>
    <w:rsid w:val="002816E3"/>
    <w:rsid w:val="00281BA5"/>
    <w:rsid w:val="00281EB4"/>
    <w:rsid w:val="00281EFE"/>
    <w:rsid w:val="00282061"/>
    <w:rsid w:val="002821DA"/>
    <w:rsid w:val="00282643"/>
    <w:rsid w:val="0028282D"/>
    <w:rsid w:val="00282D2C"/>
    <w:rsid w:val="00282E6E"/>
    <w:rsid w:val="00283007"/>
    <w:rsid w:val="00283074"/>
    <w:rsid w:val="0028320A"/>
    <w:rsid w:val="00283532"/>
    <w:rsid w:val="00283776"/>
    <w:rsid w:val="002838E2"/>
    <w:rsid w:val="00283958"/>
    <w:rsid w:val="00283AEA"/>
    <w:rsid w:val="00283BD4"/>
    <w:rsid w:val="00283DDE"/>
    <w:rsid w:val="00283FC3"/>
    <w:rsid w:val="002842E8"/>
    <w:rsid w:val="002844BB"/>
    <w:rsid w:val="0028465F"/>
    <w:rsid w:val="002846A7"/>
    <w:rsid w:val="00284823"/>
    <w:rsid w:val="00284849"/>
    <w:rsid w:val="00284A40"/>
    <w:rsid w:val="00284B32"/>
    <w:rsid w:val="00284BE0"/>
    <w:rsid w:val="002853E8"/>
    <w:rsid w:val="0028548A"/>
    <w:rsid w:val="00285549"/>
    <w:rsid w:val="0028580F"/>
    <w:rsid w:val="00285902"/>
    <w:rsid w:val="00285935"/>
    <w:rsid w:val="002859EF"/>
    <w:rsid w:val="00285A31"/>
    <w:rsid w:val="00285C76"/>
    <w:rsid w:val="00285D62"/>
    <w:rsid w:val="00285D91"/>
    <w:rsid w:val="00285E74"/>
    <w:rsid w:val="002861AA"/>
    <w:rsid w:val="002861B1"/>
    <w:rsid w:val="002861C2"/>
    <w:rsid w:val="002861FC"/>
    <w:rsid w:val="00286296"/>
    <w:rsid w:val="00286AAB"/>
    <w:rsid w:val="00286B6B"/>
    <w:rsid w:val="00286E1B"/>
    <w:rsid w:val="0028712D"/>
    <w:rsid w:val="00287576"/>
    <w:rsid w:val="0028780E"/>
    <w:rsid w:val="002878BB"/>
    <w:rsid w:val="00287C7B"/>
    <w:rsid w:val="00287CF9"/>
    <w:rsid w:val="00287E81"/>
    <w:rsid w:val="00287F5C"/>
    <w:rsid w:val="00287F77"/>
    <w:rsid w:val="00290166"/>
    <w:rsid w:val="0029017F"/>
    <w:rsid w:val="002901EF"/>
    <w:rsid w:val="0029037B"/>
    <w:rsid w:val="0029038F"/>
    <w:rsid w:val="002903BF"/>
    <w:rsid w:val="002907AD"/>
    <w:rsid w:val="002908B5"/>
    <w:rsid w:val="002908C7"/>
    <w:rsid w:val="00290919"/>
    <w:rsid w:val="00290933"/>
    <w:rsid w:val="00290A6E"/>
    <w:rsid w:val="00290CFF"/>
    <w:rsid w:val="00290F4A"/>
    <w:rsid w:val="00291D70"/>
    <w:rsid w:val="00291F67"/>
    <w:rsid w:val="0029201A"/>
    <w:rsid w:val="00292089"/>
    <w:rsid w:val="0029215F"/>
    <w:rsid w:val="0029218B"/>
    <w:rsid w:val="002924E8"/>
    <w:rsid w:val="002924F2"/>
    <w:rsid w:val="002926BE"/>
    <w:rsid w:val="00292787"/>
    <w:rsid w:val="00292925"/>
    <w:rsid w:val="00292ACD"/>
    <w:rsid w:val="00292BC5"/>
    <w:rsid w:val="00292BCC"/>
    <w:rsid w:val="00292C48"/>
    <w:rsid w:val="00292DAE"/>
    <w:rsid w:val="00292DD9"/>
    <w:rsid w:val="00292E14"/>
    <w:rsid w:val="00293780"/>
    <w:rsid w:val="00293807"/>
    <w:rsid w:val="002939A3"/>
    <w:rsid w:val="00294458"/>
    <w:rsid w:val="002944CF"/>
    <w:rsid w:val="002947F3"/>
    <w:rsid w:val="00294A3B"/>
    <w:rsid w:val="00294D38"/>
    <w:rsid w:val="00294F02"/>
    <w:rsid w:val="0029524A"/>
    <w:rsid w:val="00295412"/>
    <w:rsid w:val="00295631"/>
    <w:rsid w:val="00295666"/>
    <w:rsid w:val="002957A6"/>
    <w:rsid w:val="002958AA"/>
    <w:rsid w:val="00295A51"/>
    <w:rsid w:val="00295D1A"/>
    <w:rsid w:val="00295D45"/>
    <w:rsid w:val="00295DDB"/>
    <w:rsid w:val="00295DF3"/>
    <w:rsid w:val="002963A8"/>
    <w:rsid w:val="00296560"/>
    <w:rsid w:val="002967BF"/>
    <w:rsid w:val="00296A4B"/>
    <w:rsid w:val="00296C57"/>
    <w:rsid w:val="00296C8C"/>
    <w:rsid w:val="00296D16"/>
    <w:rsid w:val="002970B3"/>
    <w:rsid w:val="00297448"/>
    <w:rsid w:val="00297523"/>
    <w:rsid w:val="002975F3"/>
    <w:rsid w:val="0029764D"/>
    <w:rsid w:val="00297957"/>
    <w:rsid w:val="00297ADE"/>
    <w:rsid w:val="002A0074"/>
    <w:rsid w:val="002A00C7"/>
    <w:rsid w:val="002A0151"/>
    <w:rsid w:val="002A01AC"/>
    <w:rsid w:val="002A0317"/>
    <w:rsid w:val="002A0337"/>
    <w:rsid w:val="002A03DF"/>
    <w:rsid w:val="002A0BDA"/>
    <w:rsid w:val="002A0C5F"/>
    <w:rsid w:val="002A0F3A"/>
    <w:rsid w:val="002A0F7A"/>
    <w:rsid w:val="002A12CB"/>
    <w:rsid w:val="002A1364"/>
    <w:rsid w:val="002A1641"/>
    <w:rsid w:val="002A1902"/>
    <w:rsid w:val="002A1B3E"/>
    <w:rsid w:val="002A1B72"/>
    <w:rsid w:val="002A1C2F"/>
    <w:rsid w:val="002A1CE9"/>
    <w:rsid w:val="002A202E"/>
    <w:rsid w:val="002A2109"/>
    <w:rsid w:val="002A21B1"/>
    <w:rsid w:val="002A2322"/>
    <w:rsid w:val="002A26D5"/>
    <w:rsid w:val="002A28D3"/>
    <w:rsid w:val="002A2921"/>
    <w:rsid w:val="002A2B15"/>
    <w:rsid w:val="002A2B2E"/>
    <w:rsid w:val="002A312A"/>
    <w:rsid w:val="002A33C8"/>
    <w:rsid w:val="002A376A"/>
    <w:rsid w:val="002A3979"/>
    <w:rsid w:val="002A3BC8"/>
    <w:rsid w:val="002A3C9F"/>
    <w:rsid w:val="002A3CCB"/>
    <w:rsid w:val="002A3D22"/>
    <w:rsid w:val="002A3D29"/>
    <w:rsid w:val="002A4007"/>
    <w:rsid w:val="002A4362"/>
    <w:rsid w:val="002A438C"/>
    <w:rsid w:val="002A441C"/>
    <w:rsid w:val="002A45B9"/>
    <w:rsid w:val="002A4662"/>
    <w:rsid w:val="002A4669"/>
    <w:rsid w:val="002A4F23"/>
    <w:rsid w:val="002A4FD9"/>
    <w:rsid w:val="002A50DF"/>
    <w:rsid w:val="002A5204"/>
    <w:rsid w:val="002A5560"/>
    <w:rsid w:val="002A55B8"/>
    <w:rsid w:val="002A57BA"/>
    <w:rsid w:val="002A5851"/>
    <w:rsid w:val="002A5A82"/>
    <w:rsid w:val="002A5B4D"/>
    <w:rsid w:val="002A5D2F"/>
    <w:rsid w:val="002A5F62"/>
    <w:rsid w:val="002A60D8"/>
    <w:rsid w:val="002A6140"/>
    <w:rsid w:val="002A6756"/>
    <w:rsid w:val="002A698E"/>
    <w:rsid w:val="002A6FCD"/>
    <w:rsid w:val="002A71A1"/>
    <w:rsid w:val="002A741D"/>
    <w:rsid w:val="002A7620"/>
    <w:rsid w:val="002A783D"/>
    <w:rsid w:val="002A794A"/>
    <w:rsid w:val="002A7B58"/>
    <w:rsid w:val="002A7D1D"/>
    <w:rsid w:val="002A7E4B"/>
    <w:rsid w:val="002A7F85"/>
    <w:rsid w:val="002B00DB"/>
    <w:rsid w:val="002B0458"/>
    <w:rsid w:val="002B04E7"/>
    <w:rsid w:val="002B0AD1"/>
    <w:rsid w:val="002B0D6F"/>
    <w:rsid w:val="002B0E4D"/>
    <w:rsid w:val="002B0E51"/>
    <w:rsid w:val="002B127C"/>
    <w:rsid w:val="002B158D"/>
    <w:rsid w:val="002B1619"/>
    <w:rsid w:val="002B1708"/>
    <w:rsid w:val="002B19FF"/>
    <w:rsid w:val="002B1CAE"/>
    <w:rsid w:val="002B1E9E"/>
    <w:rsid w:val="002B1FDC"/>
    <w:rsid w:val="002B20E0"/>
    <w:rsid w:val="002B2173"/>
    <w:rsid w:val="002B25CD"/>
    <w:rsid w:val="002B26C8"/>
    <w:rsid w:val="002B2AF9"/>
    <w:rsid w:val="002B2B84"/>
    <w:rsid w:val="002B2D34"/>
    <w:rsid w:val="002B2F06"/>
    <w:rsid w:val="002B314A"/>
    <w:rsid w:val="002B31A4"/>
    <w:rsid w:val="002B32F9"/>
    <w:rsid w:val="002B33BB"/>
    <w:rsid w:val="002B34F3"/>
    <w:rsid w:val="002B370C"/>
    <w:rsid w:val="002B396B"/>
    <w:rsid w:val="002B399E"/>
    <w:rsid w:val="002B3A06"/>
    <w:rsid w:val="002B3A83"/>
    <w:rsid w:val="002B3A99"/>
    <w:rsid w:val="002B3B5D"/>
    <w:rsid w:val="002B3B79"/>
    <w:rsid w:val="002B3C35"/>
    <w:rsid w:val="002B4003"/>
    <w:rsid w:val="002B4028"/>
    <w:rsid w:val="002B4108"/>
    <w:rsid w:val="002B4751"/>
    <w:rsid w:val="002B4B0E"/>
    <w:rsid w:val="002B4BB1"/>
    <w:rsid w:val="002B4C2E"/>
    <w:rsid w:val="002B4C7A"/>
    <w:rsid w:val="002B4C9B"/>
    <w:rsid w:val="002B4E65"/>
    <w:rsid w:val="002B5936"/>
    <w:rsid w:val="002B6168"/>
    <w:rsid w:val="002B61AD"/>
    <w:rsid w:val="002B6404"/>
    <w:rsid w:val="002B6598"/>
    <w:rsid w:val="002B67EF"/>
    <w:rsid w:val="002B688E"/>
    <w:rsid w:val="002B6920"/>
    <w:rsid w:val="002B6D8C"/>
    <w:rsid w:val="002B6DBB"/>
    <w:rsid w:val="002B6FE0"/>
    <w:rsid w:val="002B72C8"/>
    <w:rsid w:val="002B741B"/>
    <w:rsid w:val="002B760D"/>
    <w:rsid w:val="002B7923"/>
    <w:rsid w:val="002B79F5"/>
    <w:rsid w:val="002B7B20"/>
    <w:rsid w:val="002B7B4C"/>
    <w:rsid w:val="002B7C27"/>
    <w:rsid w:val="002B7C3A"/>
    <w:rsid w:val="002B7F10"/>
    <w:rsid w:val="002C006E"/>
    <w:rsid w:val="002C0256"/>
    <w:rsid w:val="002C026C"/>
    <w:rsid w:val="002C06CA"/>
    <w:rsid w:val="002C0840"/>
    <w:rsid w:val="002C085F"/>
    <w:rsid w:val="002C0A32"/>
    <w:rsid w:val="002C0A7B"/>
    <w:rsid w:val="002C0C44"/>
    <w:rsid w:val="002C0D35"/>
    <w:rsid w:val="002C0DD2"/>
    <w:rsid w:val="002C139F"/>
    <w:rsid w:val="002C140F"/>
    <w:rsid w:val="002C1665"/>
    <w:rsid w:val="002C17CD"/>
    <w:rsid w:val="002C1910"/>
    <w:rsid w:val="002C1933"/>
    <w:rsid w:val="002C1D1F"/>
    <w:rsid w:val="002C1D9A"/>
    <w:rsid w:val="002C1E1D"/>
    <w:rsid w:val="002C1E30"/>
    <w:rsid w:val="002C1FFE"/>
    <w:rsid w:val="002C216E"/>
    <w:rsid w:val="002C2242"/>
    <w:rsid w:val="002C23C1"/>
    <w:rsid w:val="002C23D8"/>
    <w:rsid w:val="002C26C3"/>
    <w:rsid w:val="002C280D"/>
    <w:rsid w:val="002C294D"/>
    <w:rsid w:val="002C2B75"/>
    <w:rsid w:val="002C2BAC"/>
    <w:rsid w:val="002C2C99"/>
    <w:rsid w:val="002C2CEC"/>
    <w:rsid w:val="002C2E36"/>
    <w:rsid w:val="002C30CF"/>
    <w:rsid w:val="002C37DC"/>
    <w:rsid w:val="002C393C"/>
    <w:rsid w:val="002C3D35"/>
    <w:rsid w:val="002C3DBC"/>
    <w:rsid w:val="002C4445"/>
    <w:rsid w:val="002C4456"/>
    <w:rsid w:val="002C453D"/>
    <w:rsid w:val="002C4720"/>
    <w:rsid w:val="002C4811"/>
    <w:rsid w:val="002C4A0A"/>
    <w:rsid w:val="002C4E70"/>
    <w:rsid w:val="002C5B1C"/>
    <w:rsid w:val="002C5B41"/>
    <w:rsid w:val="002C5BBB"/>
    <w:rsid w:val="002C60A2"/>
    <w:rsid w:val="002C69C5"/>
    <w:rsid w:val="002C69E5"/>
    <w:rsid w:val="002C6A21"/>
    <w:rsid w:val="002C6C21"/>
    <w:rsid w:val="002C6C2A"/>
    <w:rsid w:val="002C6D77"/>
    <w:rsid w:val="002C6DC1"/>
    <w:rsid w:val="002C7282"/>
    <w:rsid w:val="002C74DB"/>
    <w:rsid w:val="002C75BE"/>
    <w:rsid w:val="002C7674"/>
    <w:rsid w:val="002C77AB"/>
    <w:rsid w:val="002C7A9C"/>
    <w:rsid w:val="002C7B75"/>
    <w:rsid w:val="002C7DBE"/>
    <w:rsid w:val="002C7DC4"/>
    <w:rsid w:val="002D00C4"/>
    <w:rsid w:val="002D01EB"/>
    <w:rsid w:val="002D02DB"/>
    <w:rsid w:val="002D061A"/>
    <w:rsid w:val="002D072A"/>
    <w:rsid w:val="002D083B"/>
    <w:rsid w:val="002D12C6"/>
    <w:rsid w:val="002D14AC"/>
    <w:rsid w:val="002D158A"/>
    <w:rsid w:val="002D15EF"/>
    <w:rsid w:val="002D184C"/>
    <w:rsid w:val="002D19A9"/>
    <w:rsid w:val="002D1B2F"/>
    <w:rsid w:val="002D1B3C"/>
    <w:rsid w:val="002D2206"/>
    <w:rsid w:val="002D246D"/>
    <w:rsid w:val="002D2A60"/>
    <w:rsid w:val="002D2AD1"/>
    <w:rsid w:val="002D2B75"/>
    <w:rsid w:val="002D2CFE"/>
    <w:rsid w:val="002D30D2"/>
    <w:rsid w:val="002D3298"/>
    <w:rsid w:val="002D335E"/>
    <w:rsid w:val="002D33C8"/>
    <w:rsid w:val="002D355A"/>
    <w:rsid w:val="002D36FA"/>
    <w:rsid w:val="002D3797"/>
    <w:rsid w:val="002D389C"/>
    <w:rsid w:val="002D3AAD"/>
    <w:rsid w:val="002D3B3B"/>
    <w:rsid w:val="002D3CA7"/>
    <w:rsid w:val="002D3DEB"/>
    <w:rsid w:val="002D3ECC"/>
    <w:rsid w:val="002D3F6B"/>
    <w:rsid w:val="002D4254"/>
    <w:rsid w:val="002D4269"/>
    <w:rsid w:val="002D4287"/>
    <w:rsid w:val="002D440A"/>
    <w:rsid w:val="002D460B"/>
    <w:rsid w:val="002D4652"/>
    <w:rsid w:val="002D4B0D"/>
    <w:rsid w:val="002D4C12"/>
    <w:rsid w:val="002D4C73"/>
    <w:rsid w:val="002D4E6E"/>
    <w:rsid w:val="002D50B5"/>
    <w:rsid w:val="002D53C1"/>
    <w:rsid w:val="002D57D4"/>
    <w:rsid w:val="002D58A4"/>
    <w:rsid w:val="002D5945"/>
    <w:rsid w:val="002D5AD1"/>
    <w:rsid w:val="002D5B4C"/>
    <w:rsid w:val="002D5C1C"/>
    <w:rsid w:val="002D5F27"/>
    <w:rsid w:val="002D60AB"/>
    <w:rsid w:val="002D60F9"/>
    <w:rsid w:val="002D62F0"/>
    <w:rsid w:val="002D62FA"/>
    <w:rsid w:val="002D670E"/>
    <w:rsid w:val="002D6AC2"/>
    <w:rsid w:val="002D6E69"/>
    <w:rsid w:val="002D6EF8"/>
    <w:rsid w:val="002D7199"/>
    <w:rsid w:val="002D7248"/>
    <w:rsid w:val="002D73F2"/>
    <w:rsid w:val="002D75DC"/>
    <w:rsid w:val="002D76BD"/>
    <w:rsid w:val="002D781B"/>
    <w:rsid w:val="002D7832"/>
    <w:rsid w:val="002D7DCB"/>
    <w:rsid w:val="002E00CB"/>
    <w:rsid w:val="002E011F"/>
    <w:rsid w:val="002E067F"/>
    <w:rsid w:val="002E0865"/>
    <w:rsid w:val="002E0925"/>
    <w:rsid w:val="002E0A90"/>
    <w:rsid w:val="002E0ACA"/>
    <w:rsid w:val="002E0BE4"/>
    <w:rsid w:val="002E0CD9"/>
    <w:rsid w:val="002E0DAF"/>
    <w:rsid w:val="002E0F5A"/>
    <w:rsid w:val="002E0FFE"/>
    <w:rsid w:val="002E1150"/>
    <w:rsid w:val="002E1731"/>
    <w:rsid w:val="002E196E"/>
    <w:rsid w:val="002E1BBA"/>
    <w:rsid w:val="002E1C92"/>
    <w:rsid w:val="002E1DE2"/>
    <w:rsid w:val="002E206D"/>
    <w:rsid w:val="002E21B9"/>
    <w:rsid w:val="002E2378"/>
    <w:rsid w:val="002E241D"/>
    <w:rsid w:val="002E293D"/>
    <w:rsid w:val="002E2A8A"/>
    <w:rsid w:val="002E2BDF"/>
    <w:rsid w:val="002E2C6A"/>
    <w:rsid w:val="002E3068"/>
    <w:rsid w:val="002E3346"/>
    <w:rsid w:val="002E36F3"/>
    <w:rsid w:val="002E38B5"/>
    <w:rsid w:val="002E3B4B"/>
    <w:rsid w:val="002E3BA2"/>
    <w:rsid w:val="002E3EF3"/>
    <w:rsid w:val="002E4058"/>
    <w:rsid w:val="002E41B4"/>
    <w:rsid w:val="002E428F"/>
    <w:rsid w:val="002E435E"/>
    <w:rsid w:val="002E46A2"/>
    <w:rsid w:val="002E48C4"/>
    <w:rsid w:val="002E4AE2"/>
    <w:rsid w:val="002E4BA9"/>
    <w:rsid w:val="002E4E0A"/>
    <w:rsid w:val="002E5016"/>
    <w:rsid w:val="002E55AE"/>
    <w:rsid w:val="002E55FE"/>
    <w:rsid w:val="002E5D06"/>
    <w:rsid w:val="002E5E87"/>
    <w:rsid w:val="002E61D8"/>
    <w:rsid w:val="002E6258"/>
    <w:rsid w:val="002E66CC"/>
    <w:rsid w:val="002E68C5"/>
    <w:rsid w:val="002E6938"/>
    <w:rsid w:val="002E6BD1"/>
    <w:rsid w:val="002E6DFA"/>
    <w:rsid w:val="002E6E92"/>
    <w:rsid w:val="002E6FC3"/>
    <w:rsid w:val="002E6FD8"/>
    <w:rsid w:val="002E72F4"/>
    <w:rsid w:val="002E7616"/>
    <w:rsid w:val="002E7675"/>
    <w:rsid w:val="002E77CB"/>
    <w:rsid w:val="002E7D08"/>
    <w:rsid w:val="002E7DAE"/>
    <w:rsid w:val="002E7E7C"/>
    <w:rsid w:val="002E7F97"/>
    <w:rsid w:val="002F0082"/>
    <w:rsid w:val="002F0223"/>
    <w:rsid w:val="002F02AE"/>
    <w:rsid w:val="002F039F"/>
    <w:rsid w:val="002F079E"/>
    <w:rsid w:val="002F0C9C"/>
    <w:rsid w:val="002F111B"/>
    <w:rsid w:val="002F127E"/>
    <w:rsid w:val="002F13FF"/>
    <w:rsid w:val="002F14C6"/>
    <w:rsid w:val="002F151F"/>
    <w:rsid w:val="002F1ACD"/>
    <w:rsid w:val="002F1FB9"/>
    <w:rsid w:val="002F20F2"/>
    <w:rsid w:val="002F278A"/>
    <w:rsid w:val="002F2795"/>
    <w:rsid w:val="002F2C3C"/>
    <w:rsid w:val="002F2DA1"/>
    <w:rsid w:val="002F2EBD"/>
    <w:rsid w:val="002F2F78"/>
    <w:rsid w:val="002F3320"/>
    <w:rsid w:val="002F363B"/>
    <w:rsid w:val="002F36FD"/>
    <w:rsid w:val="002F3D74"/>
    <w:rsid w:val="002F3F1C"/>
    <w:rsid w:val="002F3F9B"/>
    <w:rsid w:val="002F41FA"/>
    <w:rsid w:val="002F4376"/>
    <w:rsid w:val="002F4558"/>
    <w:rsid w:val="002F45C4"/>
    <w:rsid w:val="002F4681"/>
    <w:rsid w:val="002F4B25"/>
    <w:rsid w:val="002F52C1"/>
    <w:rsid w:val="002F5376"/>
    <w:rsid w:val="002F543A"/>
    <w:rsid w:val="002F5469"/>
    <w:rsid w:val="002F578F"/>
    <w:rsid w:val="002F5A0C"/>
    <w:rsid w:val="002F5AC8"/>
    <w:rsid w:val="002F5CA6"/>
    <w:rsid w:val="002F5FB6"/>
    <w:rsid w:val="002F6048"/>
    <w:rsid w:val="002F6073"/>
    <w:rsid w:val="002F60C8"/>
    <w:rsid w:val="002F629C"/>
    <w:rsid w:val="002F634F"/>
    <w:rsid w:val="002F65B9"/>
    <w:rsid w:val="002F6BA8"/>
    <w:rsid w:val="002F6C5E"/>
    <w:rsid w:val="002F6E45"/>
    <w:rsid w:val="002F6F49"/>
    <w:rsid w:val="002F6F89"/>
    <w:rsid w:val="002F6FA1"/>
    <w:rsid w:val="002F76F4"/>
    <w:rsid w:val="002F7960"/>
    <w:rsid w:val="003002C6"/>
    <w:rsid w:val="003004CD"/>
    <w:rsid w:val="003006CB"/>
    <w:rsid w:val="003008CF"/>
    <w:rsid w:val="00300EF3"/>
    <w:rsid w:val="00300F57"/>
    <w:rsid w:val="00300F93"/>
    <w:rsid w:val="00301244"/>
    <w:rsid w:val="003013B2"/>
    <w:rsid w:val="00301893"/>
    <w:rsid w:val="003019B0"/>
    <w:rsid w:val="00301A9E"/>
    <w:rsid w:val="00301AE4"/>
    <w:rsid w:val="00301E18"/>
    <w:rsid w:val="00301E98"/>
    <w:rsid w:val="00301F98"/>
    <w:rsid w:val="0030206E"/>
    <w:rsid w:val="00302322"/>
    <w:rsid w:val="00302439"/>
    <w:rsid w:val="00302454"/>
    <w:rsid w:val="003024C2"/>
    <w:rsid w:val="0030293E"/>
    <w:rsid w:val="00302B0D"/>
    <w:rsid w:val="00302B3E"/>
    <w:rsid w:val="00302B8D"/>
    <w:rsid w:val="00302DCA"/>
    <w:rsid w:val="003033B4"/>
    <w:rsid w:val="00303872"/>
    <w:rsid w:val="0030405C"/>
    <w:rsid w:val="00304060"/>
    <w:rsid w:val="003042CF"/>
    <w:rsid w:val="0030452E"/>
    <w:rsid w:val="00304AD6"/>
    <w:rsid w:val="00304F3D"/>
    <w:rsid w:val="0030504F"/>
    <w:rsid w:val="00305104"/>
    <w:rsid w:val="0030551E"/>
    <w:rsid w:val="00305670"/>
    <w:rsid w:val="00305B9E"/>
    <w:rsid w:val="00305DEF"/>
    <w:rsid w:val="00305E7B"/>
    <w:rsid w:val="003060AE"/>
    <w:rsid w:val="00306193"/>
    <w:rsid w:val="00306225"/>
    <w:rsid w:val="0030666B"/>
    <w:rsid w:val="00306895"/>
    <w:rsid w:val="003068E7"/>
    <w:rsid w:val="0030693A"/>
    <w:rsid w:val="00306B33"/>
    <w:rsid w:val="00306CAC"/>
    <w:rsid w:val="00306F70"/>
    <w:rsid w:val="00306F8F"/>
    <w:rsid w:val="003074FD"/>
    <w:rsid w:val="00307640"/>
    <w:rsid w:val="00307A89"/>
    <w:rsid w:val="00307B3A"/>
    <w:rsid w:val="00307EEC"/>
    <w:rsid w:val="00310963"/>
    <w:rsid w:val="00310A77"/>
    <w:rsid w:val="00310B9F"/>
    <w:rsid w:val="00310E6F"/>
    <w:rsid w:val="00310EA1"/>
    <w:rsid w:val="0031111A"/>
    <w:rsid w:val="0031117E"/>
    <w:rsid w:val="0031172F"/>
    <w:rsid w:val="00311843"/>
    <w:rsid w:val="00311891"/>
    <w:rsid w:val="00311DCD"/>
    <w:rsid w:val="00311E91"/>
    <w:rsid w:val="00311EE3"/>
    <w:rsid w:val="00311FDC"/>
    <w:rsid w:val="00312365"/>
    <w:rsid w:val="00312596"/>
    <w:rsid w:val="00312625"/>
    <w:rsid w:val="0031266D"/>
    <w:rsid w:val="00312791"/>
    <w:rsid w:val="00312BB6"/>
    <w:rsid w:val="00312E3A"/>
    <w:rsid w:val="00313289"/>
    <w:rsid w:val="0031353B"/>
    <w:rsid w:val="003139E8"/>
    <w:rsid w:val="0031422E"/>
    <w:rsid w:val="0031424A"/>
    <w:rsid w:val="00314286"/>
    <w:rsid w:val="003147A1"/>
    <w:rsid w:val="00314921"/>
    <w:rsid w:val="0031492F"/>
    <w:rsid w:val="00314BA4"/>
    <w:rsid w:val="00314E9F"/>
    <w:rsid w:val="0031513D"/>
    <w:rsid w:val="0031549E"/>
    <w:rsid w:val="0031551F"/>
    <w:rsid w:val="003161F5"/>
    <w:rsid w:val="00316527"/>
    <w:rsid w:val="0031657B"/>
    <w:rsid w:val="00316BFA"/>
    <w:rsid w:val="003171E7"/>
    <w:rsid w:val="003171FB"/>
    <w:rsid w:val="0031729C"/>
    <w:rsid w:val="0031742F"/>
    <w:rsid w:val="00317549"/>
    <w:rsid w:val="0031773E"/>
    <w:rsid w:val="00317938"/>
    <w:rsid w:val="00317B46"/>
    <w:rsid w:val="00317BEA"/>
    <w:rsid w:val="00317F6F"/>
    <w:rsid w:val="00317F86"/>
    <w:rsid w:val="00320025"/>
    <w:rsid w:val="00320389"/>
    <w:rsid w:val="003205A6"/>
    <w:rsid w:val="003205C9"/>
    <w:rsid w:val="0032070F"/>
    <w:rsid w:val="0032072D"/>
    <w:rsid w:val="0032094B"/>
    <w:rsid w:val="00320BB0"/>
    <w:rsid w:val="00320C08"/>
    <w:rsid w:val="00320C1F"/>
    <w:rsid w:val="00320C2C"/>
    <w:rsid w:val="003211CD"/>
    <w:rsid w:val="00321461"/>
    <w:rsid w:val="003214E0"/>
    <w:rsid w:val="00321557"/>
    <w:rsid w:val="00321628"/>
    <w:rsid w:val="00321D24"/>
    <w:rsid w:val="00322137"/>
    <w:rsid w:val="0032239B"/>
    <w:rsid w:val="0032261D"/>
    <w:rsid w:val="003227CB"/>
    <w:rsid w:val="0032280D"/>
    <w:rsid w:val="00322ADC"/>
    <w:rsid w:val="00322B30"/>
    <w:rsid w:val="00322B66"/>
    <w:rsid w:val="00322D3E"/>
    <w:rsid w:val="00322D7E"/>
    <w:rsid w:val="00322EDB"/>
    <w:rsid w:val="00323028"/>
    <w:rsid w:val="00323370"/>
    <w:rsid w:val="003233D0"/>
    <w:rsid w:val="003234C5"/>
    <w:rsid w:val="003235C7"/>
    <w:rsid w:val="0032380E"/>
    <w:rsid w:val="00323BCB"/>
    <w:rsid w:val="00323C51"/>
    <w:rsid w:val="00323C68"/>
    <w:rsid w:val="003242E4"/>
    <w:rsid w:val="00324634"/>
    <w:rsid w:val="00324635"/>
    <w:rsid w:val="0032469C"/>
    <w:rsid w:val="00324710"/>
    <w:rsid w:val="0032496F"/>
    <w:rsid w:val="00324B0D"/>
    <w:rsid w:val="00324B33"/>
    <w:rsid w:val="00324C52"/>
    <w:rsid w:val="00324CC9"/>
    <w:rsid w:val="00324D38"/>
    <w:rsid w:val="00324F39"/>
    <w:rsid w:val="003251AC"/>
    <w:rsid w:val="003251FB"/>
    <w:rsid w:val="00325383"/>
    <w:rsid w:val="003253EE"/>
    <w:rsid w:val="00325569"/>
    <w:rsid w:val="00325686"/>
    <w:rsid w:val="0032677F"/>
    <w:rsid w:val="00326B73"/>
    <w:rsid w:val="00326CFE"/>
    <w:rsid w:val="00326EAB"/>
    <w:rsid w:val="0032703C"/>
    <w:rsid w:val="003271ED"/>
    <w:rsid w:val="0032742C"/>
    <w:rsid w:val="003274F1"/>
    <w:rsid w:val="003275A8"/>
    <w:rsid w:val="00327B4E"/>
    <w:rsid w:val="00327B8F"/>
    <w:rsid w:val="00327C15"/>
    <w:rsid w:val="00327D71"/>
    <w:rsid w:val="0033007D"/>
    <w:rsid w:val="00330088"/>
    <w:rsid w:val="0033009B"/>
    <w:rsid w:val="0033010A"/>
    <w:rsid w:val="0033080C"/>
    <w:rsid w:val="00330A30"/>
    <w:rsid w:val="00330AC6"/>
    <w:rsid w:val="00330B79"/>
    <w:rsid w:val="00330C75"/>
    <w:rsid w:val="00330CA0"/>
    <w:rsid w:val="00330E35"/>
    <w:rsid w:val="0033105C"/>
    <w:rsid w:val="003313EF"/>
    <w:rsid w:val="003317F0"/>
    <w:rsid w:val="0033197B"/>
    <w:rsid w:val="00331A7B"/>
    <w:rsid w:val="00331CC9"/>
    <w:rsid w:val="003320A0"/>
    <w:rsid w:val="003323C4"/>
    <w:rsid w:val="00332709"/>
    <w:rsid w:val="003327DD"/>
    <w:rsid w:val="00332891"/>
    <w:rsid w:val="00332B0E"/>
    <w:rsid w:val="00332CA1"/>
    <w:rsid w:val="00332D69"/>
    <w:rsid w:val="00332E9E"/>
    <w:rsid w:val="003330F0"/>
    <w:rsid w:val="003331CF"/>
    <w:rsid w:val="0033326E"/>
    <w:rsid w:val="003333DC"/>
    <w:rsid w:val="003336B7"/>
    <w:rsid w:val="003338DF"/>
    <w:rsid w:val="00333FB8"/>
    <w:rsid w:val="00333FF1"/>
    <w:rsid w:val="00334129"/>
    <w:rsid w:val="00334149"/>
    <w:rsid w:val="003341F8"/>
    <w:rsid w:val="003342BE"/>
    <w:rsid w:val="00334307"/>
    <w:rsid w:val="00334499"/>
    <w:rsid w:val="00334534"/>
    <w:rsid w:val="003346C9"/>
    <w:rsid w:val="00334A72"/>
    <w:rsid w:val="00334BC5"/>
    <w:rsid w:val="00334BC8"/>
    <w:rsid w:val="00334BE3"/>
    <w:rsid w:val="00334DCA"/>
    <w:rsid w:val="00334F2B"/>
    <w:rsid w:val="0033512F"/>
    <w:rsid w:val="0033519B"/>
    <w:rsid w:val="0033521E"/>
    <w:rsid w:val="003352EE"/>
    <w:rsid w:val="00335355"/>
    <w:rsid w:val="0033539A"/>
    <w:rsid w:val="00335512"/>
    <w:rsid w:val="00335A73"/>
    <w:rsid w:val="00335B3B"/>
    <w:rsid w:val="00335BFD"/>
    <w:rsid w:val="00335DE4"/>
    <w:rsid w:val="00335DEB"/>
    <w:rsid w:val="00335E7A"/>
    <w:rsid w:val="00335F13"/>
    <w:rsid w:val="00336101"/>
    <w:rsid w:val="00336342"/>
    <w:rsid w:val="00336403"/>
    <w:rsid w:val="0033649D"/>
    <w:rsid w:val="00336587"/>
    <w:rsid w:val="003366A1"/>
    <w:rsid w:val="003369B9"/>
    <w:rsid w:val="00336A8D"/>
    <w:rsid w:val="00336B56"/>
    <w:rsid w:val="00336B84"/>
    <w:rsid w:val="00336CB2"/>
    <w:rsid w:val="00336D7F"/>
    <w:rsid w:val="00336EA6"/>
    <w:rsid w:val="00336FEA"/>
    <w:rsid w:val="003372E7"/>
    <w:rsid w:val="00337408"/>
    <w:rsid w:val="00337692"/>
    <w:rsid w:val="003378E0"/>
    <w:rsid w:val="00337F5C"/>
    <w:rsid w:val="003400B9"/>
    <w:rsid w:val="0034010A"/>
    <w:rsid w:val="00340120"/>
    <w:rsid w:val="003405E8"/>
    <w:rsid w:val="003405FA"/>
    <w:rsid w:val="0034068B"/>
    <w:rsid w:val="00340715"/>
    <w:rsid w:val="0034086D"/>
    <w:rsid w:val="00340995"/>
    <w:rsid w:val="00340B26"/>
    <w:rsid w:val="00340D1F"/>
    <w:rsid w:val="00340D8A"/>
    <w:rsid w:val="00340F1F"/>
    <w:rsid w:val="00340FAF"/>
    <w:rsid w:val="0034103A"/>
    <w:rsid w:val="003411DD"/>
    <w:rsid w:val="00341C2C"/>
    <w:rsid w:val="00341D46"/>
    <w:rsid w:val="0034270C"/>
    <w:rsid w:val="00342760"/>
    <w:rsid w:val="00342882"/>
    <w:rsid w:val="00342906"/>
    <w:rsid w:val="00342F36"/>
    <w:rsid w:val="00342FD7"/>
    <w:rsid w:val="0034306E"/>
    <w:rsid w:val="0034360B"/>
    <w:rsid w:val="00343765"/>
    <w:rsid w:val="00343B41"/>
    <w:rsid w:val="0034420B"/>
    <w:rsid w:val="0034422C"/>
    <w:rsid w:val="00344266"/>
    <w:rsid w:val="003442EF"/>
    <w:rsid w:val="00344304"/>
    <w:rsid w:val="003443DF"/>
    <w:rsid w:val="003447DD"/>
    <w:rsid w:val="003449E8"/>
    <w:rsid w:val="00344FEC"/>
    <w:rsid w:val="0034504A"/>
    <w:rsid w:val="0034521E"/>
    <w:rsid w:val="0034555A"/>
    <w:rsid w:val="0034560C"/>
    <w:rsid w:val="00345625"/>
    <w:rsid w:val="00345662"/>
    <w:rsid w:val="0034578D"/>
    <w:rsid w:val="00345802"/>
    <w:rsid w:val="00345A8C"/>
    <w:rsid w:val="00345BCE"/>
    <w:rsid w:val="00345C57"/>
    <w:rsid w:val="00345C6F"/>
    <w:rsid w:val="0034617D"/>
    <w:rsid w:val="0034672F"/>
    <w:rsid w:val="0034683C"/>
    <w:rsid w:val="00346FBC"/>
    <w:rsid w:val="00347222"/>
    <w:rsid w:val="003474B3"/>
    <w:rsid w:val="003476CD"/>
    <w:rsid w:val="003478E2"/>
    <w:rsid w:val="00347921"/>
    <w:rsid w:val="00347985"/>
    <w:rsid w:val="00347F4D"/>
    <w:rsid w:val="00347FB5"/>
    <w:rsid w:val="00350138"/>
    <w:rsid w:val="003501FA"/>
    <w:rsid w:val="003503E2"/>
    <w:rsid w:val="00350856"/>
    <w:rsid w:val="00350D2A"/>
    <w:rsid w:val="00350DAC"/>
    <w:rsid w:val="00351026"/>
    <w:rsid w:val="00351A6F"/>
    <w:rsid w:val="00351B77"/>
    <w:rsid w:val="00351C13"/>
    <w:rsid w:val="00351D63"/>
    <w:rsid w:val="00351DD0"/>
    <w:rsid w:val="00351E42"/>
    <w:rsid w:val="00351EF5"/>
    <w:rsid w:val="00352037"/>
    <w:rsid w:val="0035264D"/>
    <w:rsid w:val="00352966"/>
    <w:rsid w:val="0035299B"/>
    <w:rsid w:val="00352BAE"/>
    <w:rsid w:val="00352CC3"/>
    <w:rsid w:val="00352D8B"/>
    <w:rsid w:val="00352DAE"/>
    <w:rsid w:val="00352E3E"/>
    <w:rsid w:val="00352F07"/>
    <w:rsid w:val="003535B5"/>
    <w:rsid w:val="003535EC"/>
    <w:rsid w:val="003535F9"/>
    <w:rsid w:val="003536EC"/>
    <w:rsid w:val="0035395A"/>
    <w:rsid w:val="003539EB"/>
    <w:rsid w:val="00353A94"/>
    <w:rsid w:val="00353BAF"/>
    <w:rsid w:val="003540C5"/>
    <w:rsid w:val="003546BA"/>
    <w:rsid w:val="003548E1"/>
    <w:rsid w:val="00354A8C"/>
    <w:rsid w:val="00354C30"/>
    <w:rsid w:val="00354C8E"/>
    <w:rsid w:val="00354F30"/>
    <w:rsid w:val="00354FC5"/>
    <w:rsid w:val="003559A7"/>
    <w:rsid w:val="00355CED"/>
    <w:rsid w:val="00355EAD"/>
    <w:rsid w:val="0035604F"/>
    <w:rsid w:val="00356118"/>
    <w:rsid w:val="00356139"/>
    <w:rsid w:val="0035615A"/>
    <w:rsid w:val="003561F7"/>
    <w:rsid w:val="003563A8"/>
    <w:rsid w:val="0035661E"/>
    <w:rsid w:val="00356C6A"/>
    <w:rsid w:val="00356D6A"/>
    <w:rsid w:val="00356DB5"/>
    <w:rsid w:val="00356E3F"/>
    <w:rsid w:val="00356EE9"/>
    <w:rsid w:val="00357162"/>
    <w:rsid w:val="00357442"/>
    <w:rsid w:val="00357457"/>
    <w:rsid w:val="0035748F"/>
    <w:rsid w:val="0035760C"/>
    <w:rsid w:val="003577A4"/>
    <w:rsid w:val="003577CC"/>
    <w:rsid w:val="00357933"/>
    <w:rsid w:val="00357A1D"/>
    <w:rsid w:val="00357C5F"/>
    <w:rsid w:val="00357EF8"/>
    <w:rsid w:val="00360044"/>
    <w:rsid w:val="0036009A"/>
    <w:rsid w:val="00360294"/>
    <w:rsid w:val="00360420"/>
    <w:rsid w:val="0036047A"/>
    <w:rsid w:val="0036051C"/>
    <w:rsid w:val="003605C3"/>
    <w:rsid w:val="003605DA"/>
    <w:rsid w:val="00360923"/>
    <w:rsid w:val="00360B18"/>
    <w:rsid w:val="00360E47"/>
    <w:rsid w:val="00360E63"/>
    <w:rsid w:val="0036102C"/>
    <w:rsid w:val="0036121D"/>
    <w:rsid w:val="0036191C"/>
    <w:rsid w:val="0036193A"/>
    <w:rsid w:val="003619CB"/>
    <w:rsid w:val="00361D5E"/>
    <w:rsid w:val="00361E50"/>
    <w:rsid w:val="00362065"/>
    <w:rsid w:val="00362078"/>
    <w:rsid w:val="0036257C"/>
    <w:rsid w:val="0036276E"/>
    <w:rsid w:val="00362921"/>
    <w:rsid w:val="003629D9"/>
    <w:rsid w:val="00362CE9"/>
    <w:rsid w:val="00362E3C"/>
    <w:rsid w:val="00362F01"/>
    <w:rsid w:val="003631CF"/>
    <w:rsid w:val="0036350F"/>
    <w:rsid w:val="00363741"/>
    <w:rsid w:val="00363A4C"/>
    <w:rsid w:val="00363ADC"/>
    <w:rsid w:val="00363C01"/>
    <w:rsid w:val="00363D5F"/>
    <w:rsid w:val="003640B2"/>
    <w:rsid w:val="00364259"/>
    <w:rsid w:val="00364443"/>
    <w:rsid w:val="00364AF5"/>
    <w:rsid w:val="00364CF2"/>
    <w:rsid w:val="00364E74"/>
    <w:rsid w:val="00365277"/>
    <w:rsid w:val="0036530A"/>
    <w:rsid w:val="00365533"/>
    <w:rsid w:val="003655E0"/>
    <w:rsid w:val="0036597A"/>
    <w:rsid w:val="00365BC8"/>
    <w:rsid w:val="00365CF2"/>
    <w:rsid w:val="00366240"/>
    <w:rsid w:val="003662E9"/>
    <w:rsid w:val="0036647D"/>
    <w:rsid w:val="003665A0"/>
    <w:rsid w:val="0036675D"/>
    <w:rsid w:val="00366DF4"/>
    <w:rsid w:val="003672CA"/>
    <w:rsid w:val="003673AC"/>
    <w:rsid w:val="003674DF"/>
    <w:rsid w:val="003676E5"/>
    <w:rsid w:val="00367BD4"/>
    <w:rsid w:val="00367CDD"/>
    <w:rsid w:val="00367D34"/>
    <w:rsid w:val="00367ED4"/>
    <w:rsid w:val="00367F75"/>
    <w:rsid w:val="00367FF1"/>
    <w:rsid w:val="00370202"/>
    <w:rsid w:val="00370315"/>
    <w:rsid w:val="00370615"/>
    <w:rsid w:val="0037069A"/>
    <w:rsid w:val="003706AA"/>
    <w:rsid w:val="00370751"/>
    <w:rsid w:val="00370826"/>
    <w:rsid w:val="00370AA8"/>
    <w:rsid w:val="00370E1B"/>
    <w:rsid w:val="00370EC7"/>
    <w:rsid w:val="00370F37"/>
    <w:rsid w:val="003711BF"/>
    <w:rsid w:val="00371215"/>
    <w:rsid w:val="003715B2"/>
    <w:rsid w:val="003715EE"/>
    <w:rsid w:val="00371D65"/>
    <w:rsid w:val="00371D9C"/>
    <w:rsid w:val="00371EB1"/>
    <w:rsid w:val="00372240"/>
    <w:rsid w:val="00372692"/>
    <w:rsid w:val="003727CC"/>
    <w:rsid w:val="003729A6"/>
    <w:rsid w:val="003729C6"/>
    <w:rsid w:val="00372EF1"/>
    <w:rsid w:val="00372FF6"/>
    <w:rsid w:val="003731E3"/>
    <w:rsid w:val="0037336D"/>
    <w:rsid w:val="0037367E"/>
    <w:rsid w:val="00373893"/>
    <w:rsid w:val="0037398C"/>
    <w:rsid w:val="00373B88"/>
    <w:rsid w:val="00373D7E"/>
    <w:rsid w:val="00373DA2"/>
    <w:rsid w:val="00373E1A"/>
    <w:rsid w:val="00373F3F"/>
    <w:rsid w:val="003742F8"/>
    <w:rsid w:val="003744C8"/>
    <w:rsid w:val="003744DD"/>
    <w:rsid w:val="0037473F"/>
    <w:rsid w:val="003747F3"/>
    <w:rsid w:val="00374900"/>
    <w:rsid w:val="0037494E"/>
    <w:rsid w:val="00374AFC"/>
    <w:rsid w:val="00374D79"/>
    <w:rsid w:val="00374E1D"/>
    <w:rsid w:val="00375148"/>
    <w:rsid w:val="00375495"/>
    <w:rsid w:val="0037594A"/>
    <w:rsid w:val="003759E2"/>
    <w:rsid w:val="00375BD4"/>
    <w:rsid w:val="00375CFF"/>
    <w:rsid w:val="00375DD3"/>
    <w:rsid w:val="00375DE8"/>
    <w:rsid w:val="00375F0C"/>
    <w:rsid w:val="0037618F"/>
    <w:rsid w:val="003762F7"/>
    <w:rsid w:val="0037636E"/>
    <w:rsid w:val="003765CB"/>
    <w:rsid w:val="0037693D"/>
    <w:rsid w:val="00376B82"/>
    <w:rsid w:val="003770E5"/>
    <w:rsid w:val="0037727B"/>
    <w:rsid w:val="00377373"/>
    <w:rsid w:val="003774EA"/>
    <w:rsid w:val="003777F4"/>
    <w:rsid w:val="00377D76"/>
    <w:rsid w:val="00377ECD"/>
    <w:rsid w:val="00380408"/>
    <w:rsid w:val="00380494"/>
    <w:rsid w:val="00380570"/>
    <w:rsid w:val="00380607"/>
    <w:rsid w:val="00380A53"/>
    <w:rsid w:val="00380BDB"/>
    <w:rsid w:val="00380E8B"/>
    <w:rsid w:val="00380FE9"/>
    <w:rsid w:val="0038105A"/>
    <w:rsid w:val="0038123C"/>
    <w:rsid w:val="0038130C"/>
    <w:rsid w:val="00381506"/>
    <w:rsid w:val="0038188B"/>
    <w:rsid w:val="003819E5"/>
    <w:rsid w:val="00381E4F"/>
    <w:rsid w:val="00381F22"/>
    <w:rsid w:val="00381FE2"/>
    <w:rsid w:val="00382204"/>
    <w:rsid w:val="003824D0"/>
    <w:rsid w:val="003825F7"/>
    <w:rsid w:val="003825FF"/>
    <w:rsid w:val="0038291E"/>
    <w:rsid w:val="00382BD5"/>
    <w:rsid w:val="00382D5D"/>
    <w:rsid w:val="00382F1A"/>
    <w:rsid w:val="0038357D"/>
    <w:rsid w:val="0038366F"/>
    <w:rsid w:val="00383835"/>
    <w:rsid w:val="00383A0D"/>
    <w:rsid w:val="00383AE3"/>
    <w:rsid w:val="00383DFF"/>
    <w:rsid w:val="00383F4D"/>
    <w:rsid w:val="003840AE"/>
    <w:rsid w:val="00384189"/>
    <w:rsid w:val="003842DA"/>
    <w:rsid w:val="0038439A"/>
    <w:rsid w:val="00384659"/>
    <w:rsid w:val="00384BF6"/>
    <w:rsid w:val="00384E71"/>
    <w:rsid w:val="00384F92"/>
    <w:rsid w:val="00384FDF"/>
    <w:rsid w:val="0038531E"/>
    <w:rsid w:val="003853C1"/>
    <w:rsid w:val="00385673"/>
    <w:rsid w:val="00385A6D"/>
    <w:rsid w:val="00385B03"/>
    <w:rsid w:val="00385B45"/>
    <w:rsid w:val="003863D0"/>
    <w:rsid w:val="0038656F"/>
    <w:rsid w:val="00386712"/>
    <w:rsid w:val="0038689E"/>
    <w:rsid w:val="00386A46"/>
    <w:rsid w:val="00386D1E"/>
    <w:rsid w:val="00386E7F"/>
    <w:rsid w:val="00386FEA"/>
    <w:rsid w:val="00387124"/>
    <w:rsid w:val="00387220"/>
    <w:rsid w:val="00387452"/>
    <w:rsid w:val="0038749C"/>
    <w:rsid w:val="00387AE8"/>
    <w:rsid w:val="00387C8F"/>
    <w:rsid w:val="00387CC8"/>
    <w:rsid w:val="00387DA6"/>
    <w:rsid w:val="00387F5D"/>
    <w:rsid w:val="00387F84"/>
    <w:rsid w:val="003902BC"/>
    <w:rsid w:val="00390945"/>
    <w:rsid w:val="00390BD6"/>
    <w:rsid w:val="00390C4C"/>
    <w:rsid w:val="00390CBE"/>
    <w:rsid w:val="00390ECA"/>
    <w:rsid w:val="00390FB2"/>
    <w:rsid w:val="00391001"/>
    <w:rsid w:val="0039101F"/>
    <w:rsid w:val="00391211"/>
    <w:rsid w:val="0039133A"/>
    <w:rsid w:val="00391780"/>
    <w:rsid w:val="003919A0"/>
    <w:rsid w:val="00391B20"/>
    <w:rsid w:val="00391BE2"/>
    <w:rsid w:val="00391C70"/>
    <w:rsid w:val="00391CF0"/>
    <w:rsid w:val="00391DAE"/>
    <w:rsid w:val="00391DB3"/>
    <w:rsid w:val="00391E3E"/>
    <w:rsid w:val="00391E8D"/>
    <w:rsid w:val="00391F86"/>
    <w:rsid w:val="00392142"/>
    <w:rsid w:val="0039226B"/>
    <w:rsid w:val="0039229C"/>
    <w:rsid w:val="0039261F"/>
    <w:rsid w:val="003926C9"/>
    <w:rsid w:val="0039273C"/>
    <w:rsid w:val="00392A86"/>
    <w:rsid w:val="00392B18"/>
    <w:rsid w:val="00392DE8"/>
    <w:rsid w:val="00392E68"/>
    <w:rsid w:val="00392F68"/>
    <w:rsid w:val="00393027"/>
    <w:rsid w:val="0039364E"/>
    <w:rsid w:val="00393706"/>
    <w:rsid w:val="00393837"/>
    <w:rsid w:val="00393C8D"/>
    <w:rsid w:val="00393E87"/>
    <w:rsid w:val="003946C5"/>
    <w:rsid w:val="00394CA3"/>
    <w:rsid w:val="00394DC8"/>
    <w:rsid w:val="00394DD6"/>
    <w:rsid w:val="003953E2"/>
    <w:rsid w:val="00395482"/>
    <w:rsid w:val="003954E7"/>
    <w:rsid w:val="0039560F"/>
    <w:rsid w:val="00395655"/>
    <w:rsid w:val="00395780"/>
    <w:rsid w:val="003957E7"/>
    <w:rsid w:val="00395B6E"/>
    <w:rsid w:val="00395D7A"/>
    <w:rsid w:val="00395EA6"/>
    <w:rsid w:val="00395F59"/>
    <w:rsid w:val="0039627A"/>
    <w:rsid w:val="003962ED"/>
    <w:rsid w:val="003964F2"/>
    <w:rsid w:val="00396520"/>
    <w:rsid w:val="00396A5E"/>
    <w:rsid w:val="00396AC5"/>
    <w:rsid w:val="00396BAA"/>
    <w:rsid w:val="00396D10"/>
    <w:rsid w:val="00396D54"/>
    <w:rsid w:val="00396EC4"/>
    <w:rsid w:val="00396F63"/>
    <w:rsid w:val="0039722C"/>
    <w:rsid w:val="00397367"/>
    <w:rsid w:val="00397483"/>
    <w:rsid w:val="0039753F"/>
    <w:rsid w:val="003978D0"/>
    <w:rsid w:val="00397904"/>
    <w:rsid w:val="00397D2F"/>
    <w:rsid w:val="003A0242"/>
    <w:rsid w:val="003A04C1"/>
    <w:rsid w:val="003A08A5"/>
    <w:rsid w:val="003A08F5"/>
    <w:rsid w:val="003A0CF9"/>
    <w:rsid w:val="003A0E10"/>
    <w:rsid w:val="003A0F10"/>
    <w:rsid w:val="003A0FEC"/>
    <w:rsid w:val="003A14A0"/>
    <w:rsid w:val="003A15E6"/>
    <w:rsid w:val="003A1666"/>
    <w:rsid w:val="003A1C15"/>
    <w:rsid w:val="003A2067"/>
    <w:rsid w:val="003A21A7"/>
    <w:rsid w:val="003A22B6"/>
    <w:rsid w:val="003A24BA"/>
    <w:rsid w:val="003A26AD"/>
    <w:rsid w:val="003A2A8E"/>
    <w:rsid w:val="003A2ADE"/>
    <w:rsid w:val="003A2D51"/>
    <w:rsid w:val="003A31F9"/>
    <w:rsid w:val="003A3382"/>
    <w:rsid w:val="003A3636"/>
    <w:rsid w:val="003A367A"/>
    <w:rsid w:val="003A381E"/>
    <w:rsid w:val="003A385A"/>
    <w:rsid w:val="003A38C2"/>
    <w:rsid w:val="003A38D1"/>
    <w:rsid w:val="003A3C01"/>
    <w:rsid w:val="003A3D05"/>
    <w:rsid w:val="003A3E71"/>
    <w:rsid w:val="003A42D4"/>
    <w:rsid w:val="003A42E4"/>
    <w:rsid w:val="003A4E19"/>
    <w:rsid w:val="003A5077"/>
    <w:rsid w:val="003A5A13"/>
    <w:rsid w:val="003A5D23"/>
    <w:rsid w:val="003A6071"/>
    <w:rsid w:val="003A63FF"/>
    <w:rsid w:val="003A67A0"/>
    <w:rsid w:val="003A693D"/>
    <w:rsid w:val="003A6BAE"/>
    <w:rsid w:val="003A6DDE"/>
    <w:rsid w:val="003A7210"/>
    <w:rsid w:val="003A732B"/>
    <w:rsid w:val="003A7801"/>
    <w:rsid w:val="003A788C"/>
    <w:rsid w:val="003A7B21"/>
    <w:rsid w:val="003A7C6A"/>
    <w:rsid w:val="003A7DF2"/>
    <w:rsid w:val="003A7E16"/>
    <w:rsid w:val="003A7F38"/>
    <w:rsid w:val="003B02A4"/>
    <w:rsid w:val="003B0303"/>
    <w:rsid w:val="003B0516"/>
    <w:rsid w:val="003B06AE"/>
    <w:rsid w:val="003B06EE"/>
    <w:rsid w:val="003B0761"/>
    <w:rsid w:val="003B07ED"/>
    <w:rsid w:val="003B0945"/>
    <w:rsid w:val="003B097F"/>
    <w:rsid w:val="003B0AE1"/>
    <w:rsid w:val="003B10DD"/>
    <w:rsid w:val="003B128D"/>
    <w:rsid w:val="003B135B"/>
    <w:rsid w:val="003B14DB"/>
    <w:rsid w:val="003B1773"/>
    <w:rsid w:val="003B1D7D"/>
    <w:rsid w:val="003B1FC0"/>
    <w:rsid w:val="003B22F4"/>
    <w:rsid w:val="003B23BB"/>
    <w:rsid w:val="003B25A2"/>
    <w:rsid w:val="003B268C"/>
    <w:rsid w:val="003B2793"/>
    <w:rsid w:val="003B28DF"/>
    <w:rsid w:val="003B2938"/>
    <w:rsid w:val="003B2D1A"/>
    <w:rsid w:val="003B2FC2"/>
    <w:rsid w:val="003B35BF"/>
    <w:rsid w:val="003B378F"/>
    <w:rsid w:val="003B39DE"/>
    <w:rsid w:val="003B3C10"/>
    <w:rsid w:val="003B3D3D"/>
    <w:rsid w:val="003B3E9C"/>
    <w:rsid w:val="003B3F68"/>
    <w:rsid w:val="003B4090"/>
    <w:rsid w:val="003B45DB"/>
    <w:rsid w:val="003B45DF"/>
    <w:rsid w:val="003B4D03"/>
    <w:rsid w:val="003B4D62"/>
    <w:rsid w:val="003B4D8D"/>
    <w:rsid w:val="003B4DCF"/>
    <w:rsid w:val="003B57FF"/>
    <w:rsid w:val="003B5AC6"/>
    <w:rsid w:val="003B5E22"/>
    <w:rsid w:val="003B6091"/>
    <w:rsid w:val="003B61AC"/>
    <w:rsid w:val="003B68AF"/>
    <w:rsid w:val="003B68B4"/>
    <w:rsid w:val="003B6AE1"/>
    <w:rsid w:val="003B6B6D"/>
    <w:rsid w:val="003B6D91"/>
    <w:rsid w:val="003B71C1"/>
    <w:rsid w:val="003B75DE"/>
    <w:rsid w:val="003B7678"/>
    <w:rsid w:val="003B775B"/>
    <w:rsid w:val="003B79ED"/>
    <w:rsid w:val="003B7F19"/>
    <w:rsid w:val="003B7F68"/>
    <w:rsid w:val="003C00D4"/>
    <w:rsid w:val="003C0189"/>
    <w:rsid w:val="003C0316"/>
    <w:rsid w:val="003C035B"/>
    <w:rsid w:val="003C03C7"/>
    <w:rsid w:val="003C04B9"/>
    <w:rsid w:val="003C04F3"/>
    <w:rsid w:val="003C0593"/>
    <w:rsid w:val="003C092C"/>
    <w:rsid w:val="003C0C86"/>
    <w:rsid w:val="003C139F"/>
    <w:rsid w:val="003C13A6"/>
    <w:rsid w:val="003C146F"/>
    <w:rsid w:val="003C19D9"/>
    <w:rsid w:val="003C1B6D"/>
    <w:rsid w:val="003C1FB2"/>
    <w:rsid w:val="003C2575"/>
    <w:rsid w:val="003C2825"/>
    <w:rsid w:val="003C2AE3"/>
    <w:rsid w:val="003C2EA3"/>
    <w:rsid w:val="003C3194"/>
    <w:rsid w:val="003C333E"/>
    <w:rsid w:val="003C35D1"/>
    <w:rsid w:val="003C367B"/>
    <w:rsid w:val="003C3987"/>
    <w:rsid w:val="003C39FE"/>
    <w:rsid w:val="003C3B25"/>
    <w:rsid w:val="003C3CB5"/>
    <w:rsid w:val="003C3FA5"/>
    <w:rsid w:val="003C42AE"/>
    <w:rsid w:val="003C43C2"/>
    <w:rsid w:val="003C4467"/>
    <w:rsid w:val="003C4541"/>
    <w:rsid w:val="003C45B8"/>
    <w:rsid w:val="003C46F0"/>
    <w:rsid w:val="003C47B3"/>
    <w:rsid w:val="003C48E0"/>
    <w:rsid w:val="003C4A18"/>
    <w:rsid w:val="003C4A99"/>
    <w:rsid w:val="003C4CB3"/>
    <w:rsid w:val="003C4F79"/>
    <w:rsid w:val="003C50FE"/>
    <w:rsid w:val="003C57F4"/>
    <w:rsid w:val="003C594D"/>
    <w:rsid w:val="003C5B07"/>
    <w:rsid w:val="003C5C8D"/>
    <w:rsid w:val="003C5D78"/>
    <w:rsid w:val="003C5EDA"/>
    <w:rsid w:val="003C6181"/>
    <w:rsid w:val="003C62C8"/>
    <w:rsid w:val="003C63EB"/>
    <w:rsid w:val="003C6476"/>
    <w:rsid w:val="003C6504"/>
    <w:rsid w:val="003C6669"/>
    <w:rsid w:val="003C6906"/>
    <w:rsid w:val="003C6B12"/>
    <w:rsid w:val="003C6BDF"/>
    <w:rsid w:val="003C6BE1"/>
    <w:rsid w:val="003C6E8D"/>
    <w:rsid w:val="003C6F3C"/>
    <w:rsid w:val="003C7228"/>
    <w:rsid w:val="003C738D"/>
    <w:rsid w:val="003C750F"/>
    <w:rsid w:val="003C7629"/>
    <w:rsid w:val="003C76FD"/>
    <w:rsid w:val="003C7715"/>
    <w:rsid w:val="003C781B"/>
    <w:rsid w:val="003C7E54"/>
    <w:rsid w:val="003D00A7"/>
    <w:rsid w:val="003D0362"/>
    <w:rsid w:val="003D04EA"/>
    <w:rsid w:val="003D0870"/>
    <w:rsid w:val="003D08DE"/>
    <w:rsid w:val="003D0B02"/>
    <w:rsid w:val="003D0C4E"/>
    <w:rsid w:val="003D0CA6"/>
    <w:rsid w:val="003D0CBB"/>
    <w:rsid w:val="003D0E20"/>
    <w:rsid w:val="003D12FE"/>
    <w:rsid w:val="003D1482"/>
    <w:rsid w:val="003D1547"/>
    <w:rsid w:val="003D191F"/>
    <w:rsid w:val="003D1AA5"/>
    <w:rsid w:val="003D1AD4"/>
    <w:rsid w:val="003D1CAA"/>
    <w:rsid w:val="003D1F57"/>
    <w:rsid w:val="003D1FE5"/>
    <w:rsid w:val="003D21A9"/>
    <w:rsid w:val="003D2C01"/>
    <w:rsid w:val="003D2E7A"/>
    <w:rsid w:val="003D32C8"/>
    <w:rsid w:val="003D3631"/>
    <w:rsid w:val="003D3667"/>
    <w:rsid w:val="003D36F8"/>
    <w:rsid w:val="003D39EA"/>
    <w:rsid w:val="003D3A7E"/>
    <w:rsid w:val="003D3B71"/>
    <w:rsid w:val="003D3F17"/>
    <w:rsid w:val="003D3F27"/>
    <w:rsid w:val="003D4037"/>
    <w:rsid w:val="003D435C"/>
    <w:rsid w:val="003D44F2"/>
    <w:rsid w:val="003D486B"/>
    <w:rsid w:val="003D49D4"/>
    <w:rsid w:val="003D4BCE"/>
    <w:rsid w:val="003D4C75"/>
    <w:rsid w:val="003D5205"/>
    <w:rsid w:val="003D52AF"/>
    <w:rsid w:val="003D54DC"/>
    <w:rsid w:val="003D55C1"/>
    <w:rsid w:val="003D56AF"/>
    <w:rsid w:val="003D5A36"/>
    <w:rsid w:val="003D6031"/>
    <w:rsid w:val="003D6256"/>
    <w:rsid w:val="003D62E5"/>
    <w:rsid w:val="003D6456"/>
    <w:rsid w:val="003D64D2"/>
    <w:rsid w:val="003D665E"/>
    <w:rsid w:val="003D68F2"/>
    <w:rsid w:val="003D6998"/>
    <w:rsid w:val="003D6A27"/>
    <w:rsid w:val="003D6B0D"/>
    <w:rsid w:val="003D6E00"/>
    <w:rsid w:val="003D6F90"/>
    <w:rsid w:val="003D7233"/>
    <w:rsid w:val="003D739A"/>
    <w:rsid w:val="003D7436"/>
    <w:rsid w:val="003D7674"/>
    <w:rsid w:val="003D7895"/>
    <w:rsid w:val="003D78DD"/>
    <w:rsid w:val="003D79DF"/>
    <w:rsid w:val="003D7B40"/>
    <w:rsid w:val="003D7C37"/>
    <w:rsid w:val="003D7CE8"/>
    <w:rsid w:val="003D7D91"/>
    <w:rsid w:val="003E01CE"/>
    <w:rsid w:val="003E03E3"/>
    <w:rsid w:val="003E049C"/>
    <w:rsid w:val="003E078C"/>
    <w:rsid w:val="003E0840"/>
    <w:rsid w:val="003E090A"/>
    <w:rsid w:val="003E09A2"/>
    <w:rsid w:val="003E0CC9"/>
    <w:rsid w:val="003E10D9"/>
    <w:rsid w:val="003E1186"/>
    <w:rsid w:val="003E1191"/>
    <w:rsid w:val="003E11F5"/>
    <w:rsid w:val="003E1450"/>
    <w:rsid w:val="003E1599"/>
    <w:rsid w:val="003E15EA"/>
    <w:rsid w:val="003E16F6"/>
    <w:rsid w:val="003E184F"/>
    <w:rsid w:val="003E1915"/>
    <w:rsid w:val="003E1963"/>
    <w:rsid w:val="003E1B45"/>
    <w:rsid w:val="003E1EF3"/>
    <w:rsid w:val="003E2042"/>
    <w:rsid w:val="003E2200"/>
    <w:rsid w:val="003E2390"/>
    <w:rsid w:val="003E24F5"/>
    <w:rsid w:val="003E264E"/>
    <w:rsid w:val="003E296B"/>
    <w:rsid w:val="003E2AB0"/>
    <w:rsid w:val="003E2B92"/>
    <w:rsid w:val="003E2BBC"/>
    <w:rsid w:val="003E2BDD"/>
    <w:rsid w:val="003E2C39"/>
    <w:rsid w:val="003E2EE2"/>
    <w:rsid w:val="003E2FBD"/>
    <w:rsid w:val="003E3091"/>
    <w:rsid w:val="003E3207"/>
    <w:rsid w:val="003E3411"/>
    <w:rsid w:val="003E3420"/>
    <w:rsid w:val="003E34B8"/>
    <w:rsid w:val="003E361B"/>
    <w:rsid w:val="003E38B3"/>
    <w:rsid w:val="003E39AF"/>
    <w:rsid w:val="003E3B0D"/>
    <w:rsid w:val="003E3CE1"/>
    <w:rsid w:val="003E3FB8"/>
    <w:rsid w:val="003E42DA"/>
    <w:rsid w:val="003E451A"/>
    <w:rsid w:val="003E4738"/>
    <w:rsid w:val="003E47BE"/>
    <w:rsid w:val="003E49E1"/>
    <w:rsid w:val="003E4B44"/>
    <w:rsid w:val="003E4C12"/>
    <w:rsid w:val="003E4C1E"/>
    <w:rsid w:val="003E4F31"/>
    <w:rsid w:val="003E5066"/>
    <w:rsid w:val="003E50AB"/>
    <w:rsid w:val="003E5319"/>
    <w:rsid w:val="003E59AC"/>
    <w:rsid w:val="003E5B71"/>
    <w:rsid w:val="003E5DDE"/>
    <w:rsid w:val="003E5F1A"/>
    <w:rsid w:val="003E5FB7"/>
    <w:rsid w:val="003E63DD"/>
    <w:rsid w:val="003E6590"/>
    <w:rsid w:val="003E65F3"/>
    <w:rsid w:val="003E66DB"/>
    <w:rsid w:val="003E6730"/>
    <w:rsid w:val="003E678B"/>
    <w:rsid w:val="003E68A5"/>
    <w:rsid w:val="003E6AF6"/>
    <w:rsid w:val="003E7325"/>
    <w:rsid w:val="003E73FD"/>
    <w:rsid w:val="003E75A3"/>
    <w:rsid w:val="003E77E5"/>
    <w:rsid w:val="003E7935"/>
    <w:rsid w:val="003E7A86"/>
    <w:rsid w:val="003E7BCD"/>
    <w:rsid w:val="003E7CBF"/>
    <w:rsid w:val="003E7F82"/>
    <w:rsid w:val="003F014E"/>
    <w:rsid w:val="003F02CE"/>
    <w:rsid w:val="003F04D5"/>
    <w:rsid w:val="003F05B8"/>
    <w:rsid w:val="003F0621"/>
    <w:rsid w:val="003F07B8"/>
    <w:rsid w:val="003F0A7F"/>
    <w:rsid w:val="003F0CDF"/>
    <w:rsid w:val="003F0DC7"/>
    <w:rsid w:val="003F0DEC"/>
    <w:rsid w:val="003F0EA6"/>
    <w:rsid w:val="003F147C"/>
    <w:rsid w:val="003F1587"/>
    <w:rsid w:val="003F15B2"/>
    <w:rsid w:val="003F1622"/>
    <w:rsid w:val="003F1777"/>
    <w:rsid w:val="003F1A12"/>
    <w:rsid w:val="003F1C54"/>
    <w:rsid w:val="003F1D0D"/>
    <w:rsid w:val="003F21B3"/>
    <w:rsid w:val="003F2206"/>
    <w:rsid w:val="003F2217"/>
    <w:rsid w:val="003F223F"/>
    <w:rsid w:val="003F2288"/>
    <w:rsid w:val="003F22CC"/>
    <w:rsid w:val="003F236F"/>
    <w:rsid w:val="003F2416"/>
    <w:rsid w:val="003F2543"/>
    <w:rsid w:val="003F274A"/>
    <w:rsid w:val="003F31FD"/>
    <w:rsid w:val="003F35AC"/>
    <w:rsid w:val="003F362F"/>
    <w:rsid w:val="003F393A"/>
    <w:rsid w:val="003F3A79"/>
    <w:rsid w:val="003F3AF4"/>
    <w:rsid w:val="003F3C7D"/>
    <w:rsid w:val="003F3DA4"/>
    <w:rsid w:val="003F3E87"/>
    <w:rsid w:val="003F420F"/>
    <w:rsid w:val="003F45D9"/>
    <w:rsid w:val="003F4731"/>
    <w:rsid w:val="003F4AA1"/>
    <w:rsid w:val="003F4B10"/>
    <w:rsid w:val="003F4C59"/>
    <w:rsid w:val="003F505E"/>
    <w:rsid w:val="003F52A8"/>
    <w:rsid w:val="003F52AD"/>
    <w:rsid w:val="003F5750"/>
    <w:rsid w:val="003F5998"/>
    <w:rsid w:val="003F5F5F"/>
    <w:rsid w:val="003F6187"/>
    <w:rsid w:val="003F6228"/>
    <w:rsid w:val="003F6541"/>
    <w:rsid w:val="003F6687"/>
    <w:rsid w:val="003F6CDF"/>
    <w:rsid w:val="003F6E5F"/>
    <w:rsid w:val="003F718F"/>
    <w:rsid w:val="003F72F3"/>
    <w:rsid w:val="003F7474"/>
    <w:rsid w:val="003F74BE"/>
    <w:rsid w:val="003F7D2C"/>
    <w:rsid w:val="00400039"/>
    <w:rsid w:val="00400168"/>
    <w:rsid w:val="00400224"/>
    <w:rsid w:val="004003B2"/>
    <w:rsid w:val="00400661"/>
    <w:rsid w:val="004006C0"/>
    <w:rsid w:val="004009CC"/>
    <w:rsid w:val="00400AB6"/>
    <w:rsid w:val="00401151"/>
    <w:rsid w:val="00401271"/>
    <w:rsid w:val="004012F5"/>
    <w:rsid w:val="00401350"/>
    <w:rsid w:val="00401677"/>
    <w:rsid w:val="00401818"/>
    <w:rsid w:val="00401D3E"/>
    <w:rsid w:val="00401ED8"/>
    <w:rsid w:val="00401F3A"/>
    <w:rsid w:val="004023FF"/>
    <w:rsid w:val="00402716"/>
    <w:rsid w:val="004027F2"/>
    <w:rsid w:val="00402968"/>
    <w:rsid w:val="004029CC"/>
    <w:rsid w:val="00402CA5"/>
    <w:rsid w:val="00403083"/>
    <w:rsid w:val="004030C9"/>
    <w:rsid w:val="0040336C"/>
    <w:rsid w:val="00403416"/>
    <w:rsid w:val="00403AC4"/>
    <w:rsid w:val="004042BC"/>
    <w:rsid w:val="00404615"/>
    <w:rsid w:val="00404B11"/>
    <w:rsid w:val="00404C21"/>
    <w:rsid w:val="00404C46"/>
    <w:rsid w:val="00404E15"/>
    <w:rsid w:val="00404FF2"/>
    <w:rsid w:val="004050CC"/>
    <w:rsid w:val="00405232"/>
    <w:rsid w:val="004056B2"/>
    <w:rsid w:val="00405B75"/>
    <w:rsid w:val="00405D71"/>
    <w:rsid w:val="00405DD3"/>
    <w:rsid w:val="00406151"/>
    <w:rsid w:val="004063C1"/>
    <w:rsid w:val="004064AC"/>
    <w:rsid w:val="004066EE"/>
    <w:rsid w:val="00406717"/>
    <w:rsid w:val="00406B08"/>
    <w:rsid w:val="00406B19"/>
    <w:rsid w:val="00406B38"/>
    <w:rsid w:val="00406EE0"/>
    <w:rsid w:val="004073E3"/>
    <w:rsid w:val="004076CD"/>
    <w:rsid w:val="00407776"/>
    <w:rsid w:val="004078D1"/>
    <w:rsid w:val="00407AF0"/>
    <w:rsid w:val="00407B69"/>
    <w:rsid w:val="00407E50"/>
    <w:rsid w:val="00407F59"/>
    <w:rsid w:val="0041001A"/>
    <w:rsid w:val="00410033"/>
    <w:rsid w:val="004103A7"/>
    <w:rsid w:val="00410545"/>
    <w:rsid w:val="0041059B"/>
    <w:rsid w:val="004105EE"/>
    <w:rsid w:val="00410AEA"/>
    <w:rsid w:val="00410C40"/>
    <w:rsid w:val="00410E18"/>
    <w:rsid w:val="00410F72"/>
    <w:rsid w:val="00411185"/>
    <w:rsid w:val="0041124D"/>
    <w:rsid w:val="00411335"/>
    <w:rsid w:val="00411AD0"/>
    <w:rsid w:val="00411DB3"/>
    <w:rsid w:val="00411E0D"/>
    <w:rsid w:val="004122E9"/>
    <w:rsid w:val="00412629"/>
    <w:rsid w:val="00412686"/>
    <w:rsid w:val="00412D53"/>
    <w:rsid w:val="00412EA0"/>
    <w:rsid w:val="004131F4"/>
    <w:rsid w:val="00413371"/>
    <w:rsid w:val="00413401"/>
    <w:rsid w:val="00413556"/>
    <w:rsid w:val="0041384A"/>
    <w:rsid w:val="00413BF2"/>
    <w:rsid w:val="00413C97"/>
    <w:rsid w:val="004141C0"/>
    <w:rsid w:val="0041430F"/>
    <w:rsid w:val="00414523"/>
    <w:rsid w:val="00414662"/>
    <w:rsid w:val="00414B75"/>
    <w:rsid w:val="00414D05"/>
    <w:rsid w:val="00414D11"/>
    <w:rsid w:val="00414D74"/>
    <w:rsid w:val="00414E42"/>
    <w:rsid w:val="0041511C"/>
    <w:rsid w:val="00415231"/>
    <w:rsid w:val="0041545F"/>
    <w:rsid w:val="004154B4"/>
    <w:rsid w:val="004154C2"/>
    <w:rsid w:val="004155E1"/>
    <w:rsid w:val="004155E3"/>
    <w:rsid w:val="004157D2"/>
    <w:rsid w:val="00415B2B"/>
    <w:rsid w:val="00415C22"/>
    <w:rsid w:val="00415CD7"/>
    <w:rsid w:val="00415D49"/>
    <w:rsid w:val="00415F24"/>
    <w:rsid w:val="00415F3F"/>
    <w:rsid w:val="00416149"/>
    <w:rsid w:val="004161D4"/>
    <w:rsid w:val="00416398"/>
    <w:rsid w:val="0041639A"/>
    <w:rsid w:val="004167AB"/>
    <w:rsid w:val="0041693C"/>
    <w:rsid w:val="00416956"/>
    <w:rsid w:val="004169C0"/>
    <w:rsid w:val="004169F6"/>
    <w:rsid w:val="00416B92"/>
    <w:rsid w:val="00416BE0"/>
    <w:rsid w:val="00416CC9"/>
    <w:rsid w:val="00416FCA"/>
    <w:rsid w:val="00416FDD"/>
    <w:rsid w:val="0041727D"/>
    <w:rsid w:val="00417486"/>
    <w:rsid w:val="00417898"/>
    <w:rsid w:val="00417B27"/>
    <w:rsid w:val="00417D6F"/>
    <w:rsid w:val="00417DBB"/>
    <w:rsid w:val="0042042D"/>
    <w:rsid w:val="00420504"/>
    <w:rsid w:val="0042074C"/>
    <w:rsid w:val="00420776"/>
    <w:rsid w:val="004208FF"/>
    <w:rsid w:val="00420A58"/>
    <w:rsid w:val="00420AEC"/>
    <w:rsid w:val="00420D34"/>
    <w:rsid w:val="00421048"/>
    <w:rsid w:val="004211A6"/>
    <w:rsid w:val="004218B7"/>
    <w:rsid w:val="00421BE0"/>
    <w:rsid w:val="00421C07"/>
    <w:rsid w:val="00421E64"/>
    <w:rsid w:val="0042218F"/>
    <w:rsid w:val="00422407"/>
    <w:rsid w:val="00422501"/>
    <w:rsid w:val="004225C0"/>
    <w:rsid w:val="00422CED"/>
    <w:rsid w:val="00422E07"/>
    <w:rsid w:val="00422EED"/>
    <w:rsid w:val="00422F80"/>
    <w:rsid w:val="00423100"/>
    <w:rsid w:val="00423573"/>
    <w:rsid w:val="0042367F"/>
    <w:rsid w:val="004236B7"/>
    <w:rsid w:val="00423DDC"/>
    <w:rsid w:val="004240D0"/>
    <w:rsid w:val="00424458"/>
    <w:rsid w:val="00424693"/>
    <w:rsid w:val="004246B0"/>
    <w:rsid w:val="00424700"/>
    <w:rsid w:val="0042488B"/>
    <w:rsid w:val="00424B98"/>
    <w:rsid w:val="004250DF"/>
    <w:rsid w:val="004252B6"/>
    <w:rsid w:val="004252C2"/>
    <w:rsid w:val="0042563B"/>
    <w:rsid w:val="00425862"/>
    <w:rsid w:val="00425959"/>
    <w:rsid w:val="00425996"/>
    <w:rsid w:val="00425C89"/>
    <w:rsid w:val="00425D2A"/>
    <w:rsid w:val="00425D76"/>
    <w:rsid w:val="00425F9D"/>
    <w:rsid w:val="00426006"/>
    <w:rsid w:val="00426730"/>
    <w:rsid w:val="004267A2"/>
    <w:rsid w:val="004269AE"/>
    <w:rsid w:val="00426CE0"/>
    <w:rsid w:val="00426E18"/>
    <w:rsid w:val="00427256"/>
    <w:rsid w:val="0042727F"/>
    <w:rsid w:val="00427353"/>
    <w:rsid w:val="004273A2"/>
    <w:rsid w:val="0042743B"/>
    <w:rsid w:val="00427608"/>
    <w:rsid w:val="004276D0"/>
    <w:rsid w:val="004277D3"/>
    <w:rsid w:val="00427957"/>
    <w:rsid w:val="00427CAB"/>
    <w:rsid w:val="00427E5F"/>
    <w:rsid w:val="004301AA"/>
    <w:rsid w:val="004307AD"/>
    <w:rsid w:val="00430AE5"/>
    <w:rsid w:val="00430B4B"/>
    <w:rsid w:val="00431189"/>
    <w:rsid w:val="00431259"/>
    <w:rsid w:val="00431304"/>
    <w:rsid w:val="0043130B"/>
    <w:rsid w:val="0043155E"/>
    <w:rsid w:val="004315BE"/>
    <w:rsid w:val="00431701"/>
    <w:rsid w:val="004317B0"/>
    <w:rsid w:val="0043195A"/>
    <w:rsid w:val="00431DCF"/>
    <w:rsid w:val="004321DF"/>
    <w:rsid w:val="004322F0"/>
    <w:rsid w:val="00432520"/>
    <w:rsid w:val="00432725"/>
    <w:rsid w:val="004327CB"/>
    <w:rsid w:val="004329AD"/>
    <w:rsid w:val="00432D24"/>
    <w:rsid w:val="00432D4D"/>
    <w:rsid w:val="0043318B"/>
    <w:rsid w:val="004332FC"/>
    <w:rsid w:val="00433497"/>
    <w:rsid w:val="004336DF"/>
    <w:rsid w:val="0043382F"/>
    <w:rsid w:val="00433840"/>
    <w:rsid w:val="00433A0D"/>
    <w:rsid w:val="00433AEE"/>
    <w:rsid w:val="00433B3C"/>
    <w:rsid w:val="0043463B"/>
    <w:rsid w:val="00434682"/>
    <w:rsid w:val="004346E2"/>
    <w:rsid w:val="00434909"/>
    <w:rsid w:val="004350FC"/>
    <w:rsid w:val="0043564D"/>
    <w:rsid w:val="004358BB"/>
    <w:rsid w:val="00435CE0"/>
    <w:rsid w:val="00435F90"/>
    <w:rsid w:val="0043628A"/>
    <w:rsid w:val="004363CF"/>
    <w:rsid w:val="004365C0"/>
    <w:rsid w:val="0043661E"/>
    <w:rsid w:val="00436879"/>
    <w:rsid w:val="00436930"/>
    <w:rsid w:val="00436942"/>
    <w:rsid w:val="00436B4D"/>
    <w:rsid w:val="00436C86"/>
    <w:rsid w:val="00436DB0"/>
    <w:rsid w:val="00437048"/>
    <w:rsid w:val="004374AD"/>
    <w:rsid w:val="00437594"/>
    <w:rsid w:val="00437622"/>
    <w:rsid w:val="00440044"/>
    <w:rsid w:val="004400AF"/>
    <w:rsid w:val="00440518"/>
    <w:rsid w:val="00440C1F"/>
    <w:rsid w:val="00440E2D"/>
    <w:rsid w:val="00440E78"/>
    <w:rsid w:val="00440EC3"/>
    <w:rsid w:val="00440F1E"/>
    <w:rsid w:val="0044106A"/>
    <w:rsid w:val="00441415"/>
    <w:rsid w:val="00441427"/>
    <w:rsid w:val="0044153E"/>
    <w:rsid w:val="00441595"/>
    <w:rsid w:val="004416DB"/>
    <w:rsid w:val="004417B3"/>
    <w:rsid w:val="0044190C"/>
    <w:rsid w:val="0044198D"/>
    <w:rsid w:val="00441EE2"/>
    <w:rsid w:val="00442135"/>
    <w:rsid w:val="00442513"/>
    <w:rsid w:val="00442612"/>
    <w:rsid w:val="00442847"/>
    <w:rsid w:val="00442875"/>
    <w:rsid w:val="00442C72"/>
    <w:rsid w:val="00442CD6"/>
    <w:rsid w:val="00442E8F"/>
    <w:rsid w:val="00442EBB"/>
    <w:rsid w:val="00442EE2"/>
    <w:rsid w:val="0044305F"/>
    <w:rsid w:val="0044345B"/>
    <w:rsid w:val="004434C1"/>
    <w:rsid w:val="0044397F"/>
    <w:rsid w:val="00443A40"/>
    <w:rsid w:val="00443D71"/>
    <w:rsid w:val="00443D76"/>
    <w:rsid w:val="00444119"/>
    <w:rsid w:val="00444479"/>
    <w:rsid w:val="00444625"/>
    <w:rsid w:val="004446AA"/>
    <w:rsid w:val="004447E5"/>
    <w:rsid w:val="00444AE6"/>
    <w:rsid w:val="00444D4A"/>
    <w:rsid w:val="00444EA9"/>
    <w:rsid w:val="00444FEF"/>
    <w:rsid w:val="00445069"/>
    <w:rsid w:val="00445324"/>
    <w:rsid w:val="004453CC"/>
    <w:rsid w:val="00445631"/>
    <w:rsid w:val="0044569F"/>
    <w:rsid w:val="004457BC"/>
    <w:rsid w:val="004459B2"/>
    <w:rsid w:val="00445D4E"/>
    <w:rsid w:val="004465E3"/>
    <w:rsid w:val="00446649"/>
    <w:rsid w:val="004467BA"/>
    <w:rsid w:val="004467EA"/>
    <w:rsid w:val="00446A0B"/>
    <w:rsid w:val="00446CEE"/>
    <w:rsid w:val="00446E0A"/>
    <w:rsid w:val="00446E48"/>
    <w:rsid w:val="00446FE8"/>
    <w:rsid w:val="00447125"/>
    <w:rsid w:val="004471BB"/>
    <w:rsid w:val="00447341"/>
    <w:rsid w:val="00447527"/>
    <w:rsid w:val="004476C3"/>
    <w:rsid w:val="004478FD"/>
    <w:rsid w:val="004479AF"/>
    <w:rsid w:val="00447A06"/>
    <w:rsid w:val="00447A60"/>
    <w:rsid w:val="00447CE7"/>
    <w:rsid w:val="00450144"/>
    <w:rsid w:val="004505B7"/>
    <w:rsid w:val="0045067E"/>
    <w:rsid w:val="004508D1"/>
    <w:rsid w:val="004508F6"/>
    <w:rsid w:val="004511D4"/>
    <w:rsid w:val="0045135C"/>
    <w:rsid w:val="004515DA"/>
    <w:rsid w:val="00451A05"/>
    <w:rsid w:val="00452026"/>
    <w:rsid w:val="004520FE"/>
    <w:rsid w:val="004521D1"/>
    <w:rsid w:val="0045237C"/>
    <w:rsid w:val="004523D9"/>
    <w:rsid w:val="00452823"/>
    <w:rsid w:val="00452962"/>
    <w:rsid w:val="0045297A"/>
    <w:rsid w:val="00452A4B"/>
    <w:rsid w:val="00452A74"/>
    <w:rsid w:val="00452D89"/>
    <w:rsid w:val="00452EDC"/>
    <w:rsid w:val="00452EE4"/>
    <w:rsid w:val="00452F74"/>
    <w:rsid w:val="00453081"/>
    <w:rsid w:val="004530EC"/>
    <w:rsid w:val="004531AF"/>
    <w:rsid w:val="00453352"/>
    <w:rsid w:val="00453539"/>
    <w:rsid w:val="0045355B"/>
    <w:rsid w:val="0045360E"/>
    <w:rsid w:val="00453A9F"/>
    <w:rsid w:val="00453BF3"/>
    <w:rsid w:val="0045412D"/>
    <w:rsid w:val="0045419B"/>
    <w:rsid w:val="00454202"/>
    <w:rsid w:val="00454350"/>
    <w:rsid w:val="0045442D"/>
    <w:rsid w:val="004544B4"/>
    <w:rsid w:val="00454564"/>
    <w:rsid w:val="00454616"/>
    <w:rsid w:val="00454776"/>
    <w:rsid w:val="0045482E"/>
    <w:rsid w:val="0045488B"/>
    <w:rsid w:val="004548D6"/>
    <w:rsid w:val="00454BFF"/>
    <w:rsid w:val="004551A5"/>
    <w:rsid w:val="004554E7"/>
    <w:rsid w:val="00455645"/>
    <w:rsid w:val="00455704"/>
    <w:rsid w:val="00455716"/>
    <w:rsid w:val="00455FC3"/>
    <w:rsid w:val="004563CF"/>
    <w:rsid w:val="00456A23"/>
    <w:rsid w:val="00456A7A"/>
    <w:rsid w:val="00456ADB"/>
    <w:rsid w:val="00456AF5"/>
    <w:rsid w:val="00456B63"/>
    <w:rsid w:val="00456B80"/>
    <w:rsid w:val="0045700E"/>
    <w:rsid w:val="004571FA"/>
    <w:rsid w:val="00457289"/>
    <w:rsid w:val="004576FA"/>
    <w:rsid w:val="004579EC"/>
    <w:rsid w:val="00457A11"/>
    <w:rsid w:val="00457C5D"/>
    <w:rsid w:val="00457E33"/>
    <w:rsid w:val="004604F9"/>
    <w:rsid w:val="0046056C"/>
    <w:rsid w:val="00460650"/>
    <w:rsid w:val="00460726"/>
    <w:rsid w:val="004607DC"/>
    <w:rsid w:val="004608D2"/>
    <w:rsid w:val="00460D46"/>
    <w:rsid w:val="00460DC6"/>
    <w:rsid w:val="00460E0B"/>
    <w:rsid w:val="00460E8B"/>
    <w:rsid w:val="00460F06"/>
    <w:rsid w:val="00460FF4"/>
    <w:rsid w:val="004612B7"/>
    <w:rsid w:val="004612E3"/>
    <w:rsid w:val="00461572"/>
    <w:rsid w:val="00461691"/>
    <w:rsid w:val="00461904"/>
    <w:rsid w:val="004619E8"/>
    <w:rsid w:val="00461B52"/>
    <w:rsid w:val="00461B93"/>
    <w:rsid w:val="00461BC4"/>
    <w:rsid w:val="004622AA"/>
    <w:rsid w:val="00462309"/>
    <w:rsid w:val="004625F3"/>
    <w:rsid w:val="00462909"/>
    <w:rsid w:val="004629E2"/>
    <w:rsid w:val="00462CF8"/>
    <w:rsid w:val="00462D22"/>
    <w:rsid w:val="00462D52"/>
    <w:rsid w:val="00462D71"/>
    <w:rsid w:val="00462E36"/>
    <w:rsid w:val="00463052"/>
    <w:rsid w:val="004631F9"/>
    <w:rsid w:val="0046324B"/>
    <w:rsid w:val="00463512"/>
    <w:rsid w:val="0046374C"/>
    <w:rsid w:val="0046398C"/>
    <w:rsid w:val="004640B7"/>
    <w:rsid w:val="004640C5"/>
    <w:rsid w:val="004641D3"/>
    <w:rsid w:val="004642C4"/>
    <w:rsid w:val="004648F5"/>
    <w:rsid w:val="00464910"/>
    <w:rsid w:val="0046499B"/>
    <w:rsid w:val="00464B3C"/>
    <w:rsid w:val="00464CB0"/>
    <w:rsid w:val="00465165"/>
    <w:rsid w:val="00465330"/>
    <w:rsid w:val="0046557A"/>
    <w:rsid w:val="00465657"/>
    <w:rsid w:val="00465BE4"/>
    <w:rsid w:val="00465CD6"/>
    <w:rsid w:val="00465DC2"/>
    <w:rsid w:val="00465E48"/>
    <w:rsid w:val="00466007"/>
    <w:rsid w:val="00466376"/>
    <w:rsid w:val="00466392"/>
    <w:rsid w:val="00466570"/>
    <w:rsid w:val="004665D1"/>
    <w:rsid w:val="00466863"/>
    <w:rsid w:val="00466E82"/>
    <w:rsid w:val="00466F7B"/>
    <w:rsid w:val="00466FBB"/>
    <w:rsid w:val="0046711B"/>
    <w:rsid w:val="004673AE"/>
    <w:rsid w:val="004673D6"/>
    <w:rsid w:val="0046773D"/>
    <w:rsid w:val="00467913"/>
    <w:rsid w:val="004679FD"/>
    <w:rsid w:val="00467A9A"/>
    <w:rsid w:val="00467EE0"/>
    <w:rsid w:val="00467F3F"/>
    <w:rsid w:val="00467F84"/>
    <w:rsid w:val="00470076"/>
    <w:rsid w:val="004700B3"/>
    <w:rsid w:val="004703D5"/>
    <w:rsid w:val="004709D5"/>
    <w:rsid w:val="00471513"/>
    <w:rsid w:val="0047155F"/>
    <w:rsid w:val="004719E1"/>
    <w:rsid w:val="00471A9F"/>
    <w:rsid w:val="00471BE1"/>
    <w:rsid w:val="00471CD0"/>
    <w:rsid w:val="00471D84"/>
    <w:rsid w:val="00471ECB"/>
    <w:rsid w:val="00471EDF"/>
    <w:rsid w:val="00472013"/>
    <w:rsid w:val="004723CD"/>
    <w:rsid w:val="0047250F"/>
    <w:rsid w:val="00472B02"/>
    <w:rsid w:val="00472CD6"/>
    <w:rsid w:val="00472DD4"/>
    <w:rsid w:val="00472F91"/>
    <w:rsid w:val="004732FA"/>
    <w:rsid w:val="00473494"/>
    <w:rsid w:val="00473CE7"/>
    <w:rsid w:val="00473EA1"/>
    <w:rsid w:val="00474143"/>
    <w:rsid w:val="004741B6"/>
    <w:rsid w:val="00474446"/>
    <w:rsid w:val="00474851"/>
    <w:rsid w:val="00474A9F"/>
    <w:rsid w:val="00474BCE"/>
    <w:rsid w:val="00474F63"/>
    <w:rsid w:val="004753B1"/>
    <w:rsid w:val="00475509"/>
    <w:rsid w:val="00475571"/>
    <w:rsid w:val="004755D2"/>
    <w:rsid w:val="004756D6"/>
    <w:rsid w:val="0047577A"/>
    <w:rsid w:val="0047595A"/>
    <w:rsid w:val="00475A1B"/>
    <w:rsid w:val="00475D9A"/>
    <w:rsid w:val="00475E5A"/>
    <w:rsid w:val="00475F77"/>
    <w:rsid w:val="00476281"/>
    <w:rsid w:val="004763B8"/>
    <w:rsid w:val="00476A73"/>
    <w:rsid w:val="00476AE2"/>
    <w:rsid w:val="00476C87"/>
    <w:rsid w:val="00477282"/>
    <w:rsid w:val="00477876"/>
    <w:rsid w:val="004779B0"/>
    <w:rsid w:val="00477AD4"/>
    <w:rsid w:val="00477B0D"/>
    <w:rsid w:val="00477C17"/>
    <w:rsid w:val="004800E7"/>
    <w:rsid w:val="00480328"/>
    <w:rsid w:val="0048054A"/>
    <w:rsid w:val="00480804"/>
    <w:rsid w:val="00480A0D"/>
    <w:rsid w:val="00480F00"/>
    <w:rsid w:val="00480F75"/>
    <w:rsid w:val="00480FC8"/>
    <w:rsid w:val="0048158E"/>
    <w:rsid w:val="004815B3"/>
    <w:rsid w:val="004817C0"/>
    <w:rsid w:val="004819C2"/>
    <w:rsid w:val="00481D33"/>
    <w:rsid w:val="00481E08"/>
    <w:rsid w:val="00482219"/>
    <w:rsid w:val="00482A75"/>
    <w:rsid w:val="00482AEC"/>
    <w:rsid w:val="00482C9F"/>
    <w:rsid w:val="00482DB9"/>
    <w:rsid w:val="00482E57"/>
    <w:rsid w:val="00482EFB"/>
    <w:rsid w:val="0048306B"/>
    <w:rsid w:val="00483355"/>
    <w:rsid w:val="004833E5"/>
    <w:rsid w:val="0048344F"/>
    <w:rsid w:val="004836A5"/>
    <w:rsid w:val="00483AD7"/>
    <w:rsid w:val="00483AE1"/>
    <w:rsid w:val="00483B3B"/>
    <w:rsid w:val="00484454"/>
    <w:rsid w:val="00484568"/>
    <w:rsid w:val="0048481C"/>
    <w:rsid w:val="004849BC"/>
    <w:rsid w:val="00484B88"/>
    <w:rsid w:val="00484C96"/>
    <w:rsid w:val="00484EC6"/>
    <w:rsid w:val="004852D6"/>
    <w:rsid w:val="0048563F"/>
    <w:rsid w:val="00485FB0"/>
    <w:rsid w:val="0048602B"/>
    <w:rsid w:val="004861BB"/>
    <w:rsid w:val="0048623E"/>
    <w:rsid w:val="00486DFD"/>
    <w:rsid w:val="00487016"/>
    <w:rsid w:val="004871AB"/>
    <w:rsid w:val="0048757C"/>
    <w:rsid w:val="004875F8"/>
    <w:rsid w:val="004877E0"/>
    <w:rsid w:val="00487940"/>
    <w:rsid w:val="00487CC4"/>
    <w:rsid w:val="00487D6D"/>
    <w:rsid w:val="00487E25"/>
    <w:rsid w:val="00487FE6"/>
    <w:rsid w:val="00490269"/>
    <w:rsid w:val="004902F5"/>
    <w:rsid w:val="0049031C"/>
    <w:rsid w:val="004907E1"/>
    <w:rsid w:val="0049084F"/>
    <w:rsid w:val="004909BB"/>
    <w:rsid w:val="00490AC4"/>
    <w:rsid w:val="00490ADE"/>
    <w:rsid w:val="00490AFB"/>
    <w:rsid w:val="00490D21"/>
    <w:rsid w:val="00490D60"/>
    <w:rsid w:val="00490EC4"/>
    <w:rsid w:val="00490FBC"/>
    <w:rsid w:val="00490FE5"/>
    <w:rsid w:val="0049106A"/>
    <w:rsid w:val="0049107C"/>
    <w:rsid w:val="00491333"/>
    <w:rsid w:val="0049159E"/>
    <w:rsid w:val="00491722"/>
    <w:rsid w:val="00491802"/>
    <w:rsid w:val="004919B3"/>
    <w:rsid w:val="00491C52"/>
    <w:rsid w:val="00491C59"/>
    <w:rsid w:val="00491EEE"/>
    <w:rsid w:val="00491F21"/>
    <w:rsid w:val="00491F49"/>
    <w:rsid w:val="00491FCC"/>
    <w:rsid w:val="004920DC"/>
    <w:rsid w:val="0049210F"/>
    <w:rsid w:val="004923CB"/>
    <w:rsid w:val="004924DF"/>
    <w:rsid w:val="00492530"/>
    <w:rsid w:val="0049295B"/>
    <w:rsid w:val="004929EB"/>
    <w:rsid w:val="00492A75"/>
    <w:rsid w:val="00492B2D"/>
    <w:rsid w:val="00492C33"/>
    <w:rsid w:val="00492E2C"/>
    <w:rsid w:val="00492F81"/>
    <w:rsid w:val="00493156"/>
    <w:rsid w:val="00493381"/>
    <w:rsid w:val="00493505"/>
    <w:rsid w:val="004938A1"/>
    <w:rsid w:val="00493AA0"/>
    <w:rsid w:val="00493ABC"/>
    <w:rsid w:val="00493C88"/>
    <w:rsid w:val="00493CC0"/>
    <w:rsid w:val="00493FEF"/>
    <w:rsid w:val="00494068"/>
    <w:rsid w:val="00494434"/>
    <w:rsid w:val="00494764"/>
    <w:rsid w:val="00494871"/>
    <w:rsid w:val="004948E9"/>
    <w:rsid w:val="0049493A"/>
    <w:rsid w:val="00494DDD"/>
    <w:rsid w:val="00495203"/>
    <w:rsid w:val="00495395"/>
    <w:rsid w:val="004956F6"/>
    <w:rsid w:val="004958E2"/>
    <w:rsid w:val="00495998"/>
    <w:rsid w:val="0049599C"/>
    <w:rsid w:val="00496001"/>
    <w:rsid w:val="00496040"/>
    <w:rsid w:val="004962E8"/>
    <w:rsid w:val="00496469"/>
    <w:rsid w:val="00496584"/>
    <w:rsid w:val="004965F4"/>
    <w:rsid w:val="0049693F"/>
    <w:rsid w:val="00496DB8"/>
    <w:rsid w:val="00496EAC"/>
    <w:rsid w:val="0049715C"/>
    <w:rsid w:val="004972F4"/>
    <w:rsid w:val="004977E3"/>
    <w:rsid w:val="00497AC5"/>
    <w:rsid w:val="00497D7F"/>
    <w:rsid w:val="00497EC7"/>
    <w:rsid w:val="00497F5F"/>
    <w:rsid w:val="004A02BC"/>
    <w:rsid w:val="004A04DE"/>
    <w:rsid w:val="004A06F0"/>
    <w:rsid w:val="004A0809"/>
    <w:rsid w:val="004A1035"/>
    <w:rsid w:val="004A107E"/>
    <w:rsid w:val="004A1648"/>
    <w:rsid w:val="004A1D3C"/>
    <w:rsid w:val="004A1D69"/>
    <w:rsid w:val="004A1E22"/>
    <w:rsid w:val="004A20CD"/>
    <w:rsid w:val="004A215D"/>
    <w:rsid w:val="004A21C4"/>
    <w:rsid w:val="004A2356"/>
    <w:rsid w:val="004A2371"/>
    <w:rsid w:val="004A2479"/>
    <w:rsid w:val="004A24F1"/>
    <w:rsid w:val="004A2617"/>
    <w:rsid w:val="004A2C27"/>
    <w:rsid w:val="004A308A"/>
    <w:rsid w:val="004A313C"/>
    <w:rsid w:val="004A3181"/>
    <w:rsid w:val="004A334B"/>
    <w:rsid w:val="004A33B7"/>
    <w:rsid w:val="004A388B"/>
    <w:rsid w:val="004A39B1"/>
    <w:rsid w:val="004A3C70"/>
    <w:rsid w:val="004A3D43"/>
    <w:rsid w:val="004A407B"/>
    <w:rsid w:val="004A4884"/>
    <w:rsid w:val="004A4895"/>
    <w:rsid w:val="004A4A45"/>
    <w:rsid w:val="004A4A80"/>
    <w:rsid w:val="004A4B6E"/>
    <w:rsid w:val="004A4BED"/>
    <w:rsid w:val="004A4D3F"/>
    <w:rsid w:val="004A5218"/>
    <w:rsid w:val="004A52A5"/>
    <w:rsid w:val="004A536D"/>
    <w:rsid w:val="004A54AA"/>
    <w:rsid w:val="004A5571"/>
    <w:rsid w:val="004A5A74"/>
    <w:rsid w:val="004A5D26"/>
    <w:rsid w:val="004A5DCF"/>
    <w:rsid w:val="004A5E8C"/>
    <w:rsid w:val="004A632D"/>
    <w:rsid w:val="004A6597"/>
    <w:rsid w:val="004A6680"/>
    <w:rsid w:val="004A694F"/>
    <w:rsid w:val="004A6ABD"/>
    <w:rsid w:val="004A6B4B"/>
    <w:rsid w:val="004A7458"/>
    <w:rsid w:val="004A7BD3"/>
    <w:rsid w:val="004A7E47"/>
    <w:rsid w:val="004A7F14"/>
    <w:rsid w:val="004B0309"/>
    <w:rsid w:val="004B0585"/>
    <w:rsid w:val="004B06E2"/>
    <w:rsid w:val="004B09C0"/>
    <w:rsid w:val="004B0DB8"/>
    <w:rsid w:val="004B0FC9"/>
    <w:rsid w:val="004B1354"/>
    <w:rsid w:val="004B1533"/>
    <w:rsid w:val="004B166B"/>
    <w:rsid w:val="004B186D"/>
    <w:rsid w:val="004B1A61"/>
    <w:rsid w:val="004B1A9B"/>
    <w:rsid w:val="004B1B8B"/>
    <w:rsid w:val="004B1D2C"/>
    <w:rsid w:val="004B2232"/>
    <w:rsid w:val="004B2339"/>
    <w:rsid w:val="004B2537"/>
    <w:rsid w:val="004B29F1"/>
    <w:rsid w:val="004B2AA3"/>
    <w:rsid w:val="004B2B0D"/>
    <w:rsid w:val="004B2D0C"/>
    <w:rsid w:val="004B2D50"/>
    <w:rsid w:val="004B2F1A"/>
    <w:rsid w:val="004B2FAC"/>
    <w:rsid w:val="004B34F8"/>
    <w:rsid w:val="004B37F6"/>
    <w:rsid w:val="004B3C39"/>
    <w:rsid w:val="004B3C61"/>
    <w:rsid w:val="004B3FAE"/>
    <w:rsid w:val="004B4683"/>
    <w:rsid w:val="004B477D"/>
    <w:rsid w:val="004B4B1B"/>
    <w:rsid w:val="004B4BE3"/>
    <w:rsid w:val="004B4C4C"/>
    <w:rsid w:val="004B4C8F"/>
    <w:rsid w:val="004B4D17"/>
    <w:rsid w:val="004B4DE8"/>
    <w:rsid w:val="004B4E9A"/>
    <w:rsid w:val="004B5156"/>
    <w:rsid w:val="004B5369"/>
    <w:rsid w:val="004B5674"/>
    <w:rsid w:val="004B578D"/>
    <w:rsid w:val="004B586D"/>
    <w:rsid w:val="004B58C2"/>
    <w:rsid w:val="004B5A4E"/>
    <w:rsid w:val="004B5B10"/>
    <w:rsid w:val="004B5E2E"/>
    <w:rsid w:val="004B5E8D"/>
    <w:rsid w:val="004B60FA"/>
    <w:rsid w:val="004B6744"/>
    <w:rsid w:val="004B6759"/>
    <w:rsid w:val="004B68AF"/>
    <w:rsid w:val="004B6918"/>
    <w:rsid w:val="004B69AF"/>
    <w:rsid w:val="004B6FF0"/>
    <w:rsid w:val="004B7473"/>
    <w:rsid w:val="004B74F4"/>
    <w:rsid w:val="004B74FE"/>
    <w:rsid w:val="004B7752"/>
    <w:rsid w:val="004B7B45"/>
    <w:rsid w:val="004B7B8B"/>
    <w:rsid w:val="004B7C73"/>
    <w:rsid w:val="004B7DAE"/>
    <w:rsid w:val="004C01E7"/>
    <w:rsid w:val="004C0474"/>
    <w:rsid w:val="004C0535"/>
    <w:rsid w:val="004C0795"/>
    <w:rsid w:val="004C07D2"/>
    <w:rsid w:val="004C07EE"/>
    <w:rsid w:val="004C0AB3"/>
    <w:rsid w:val="004C0C22"/>
    <w:rsid w:val="004C0CE0"/>
    <w:rsid w:val="004C1073"/>
    <w:rsid w:val="004C123E"/>
    <w:rsid w:val="004C1259"/>
    <w:rsid w:val="004C134B"/>
    <w:rsid w:val="004C1364"/>
    <w:rsid w:val="004C17D1"/>
    <w:rsid w:val="004C1820"/>
    <w:rsid w:val="004C1A71"/>
    <w:rsid w:val="004C1A92"/>
    <w:rsid w:val="004C1B89"/>
    <w:rsid w:val="004C1DE8"/>
    <w:rsid w:val="004C1FAF"/>
    <w:rsid w:val="004C2362"/>
    <w:rsid w:val="004C24A0"/>
    <w:rsid w:val="004C24AC"/>
    <w:rsid w:val="004C28F0"/>
    <w:rsid w:val="004C2E74"/>
    <w:rsid w:val="004C322D"/>
    <w:rsid w:val="004C3742"/>
    <w:rsid w:val="004C37C2"/>
    <w:rsid w:val="004C3938"/>
    <w:rsid w:val="004C3CDB"/>
    <w:rsid w:val="004C4015"/>
    <w:rsid w:val="004C43E3"/>
    <w:rsid w:val="004C45AC"/>
    <w:rsid w:val="004C4696"/>
    <w:rsid w:val="004C47BF"/>
    <w:rsid w:val="004C48B2"/>
    <w:rsid w:val="004C4DAF"/>
    <w:rsid w:val="004C5A56"/>
    <w:rsid w:val="004C5AA7"/>
    <w:rsid w:val="004C5CF1"/>
    <w:rsid w:val="004C5D8E"/>
    <w:rsid w:val="004C5D94"/>
    <w:rsid w:val="004C5DC7"/>
    <w:rsid w:val="004C5DE7"/>
    <w:rsid w:val="004C5F14"/>
    <w:rsid w:val="004C5F2F"/>
    <w:rsid w:val="004C60B2"/>
    <w:rsid w:val="004C6322"/>
    <w:rsid w:val="004C6641"/>
    <w:rsid w:val="004C6939"/>
    <w:rsid w:val="004C69BA"/>
    <w:rsid w:val="004C69E8"/>
    <w:rsid w:val="004C6A6E"/>
    <w:rsid w:val="004C6C16"/>
    <w:rsid w:val="004C6CD8"/>
    <w:rsid w:val="004C6F34"/>
    <w:rsid w:val="004C72C6"/>
    <w:rsid w:val="004C74FC"/>
    <w:rsid w:val="004C774C"/>
    <w:rsid w:val="004C7864"/>
    <w:rsid w:val="004C7915"/>
    <w:rsid w:val="004C79C4"/>
    <w:rsid w:val="004C7A0E"/>
    <w:rsid w:val="004C7DD5"/>
    <w:rsid w:val="004C7EE8"/>
    <w:rsid w:val="004D0072"/>
    <w:rsid w:val="004D015E"/>
    <w:rsid w:val="004D0284"/>
    <w:rsid w:val="004D03DF"/>
    <w:rsid w:val="004D0489"/>
    <w:rsid w:val="004D04E1"/>
    <w:rsid w:val="004D04FF"/>
    <w:rsid w:val="004D063E"/>
    <w:rsid w:val="004D06BB"/>
    <w:rsid w:val="004D09EC"/>
    <w:rsid w:val="004D0BFA"/>
    <w:rsid w:val="004D0C98"/>
    <w:rsid w:val="004D0E29"/>
    <w:rsid w:val="004D11C1"/>
    <w:rsid w:val="004D1595"/>
    <w:rsid w:val="004D15E0"/>
    <w:rsid w:val="004D1848"/>
    <w:rsid w:val="004D188E"/>
    <w:rsid w:val="004D1C4C"/>
    <w:rsid w:val="004D1EF9"/>
    <w:rsid w:val="004D242A"/>
    <w:rsid w:val="004D26DD"/>
    <w:rsid w:val="004D2AC5"/>
    <w:rsid w:val="004D2F65"/>
    <w:rsid w:val="004D2F89"/>
    <w:rsid w:val="004D363C"/>
    <w:rsid w:val="004D3766"/>
    <w:rsid w:val="004D3866"/>
    <w:rsid w:val="004D3B76"/>
    <w:rsid w:val="004D4031"/>
    <w:rsid w:val="004D409B"/>
    <w:rsid w:val="004D42F0"/>
    <w:rsid w:val="004D434F"/>
    <w:rsid w:val="004D4406"/>
    <w:rsid w:val="004D440D"/>
    <w:rsid w:val="004D49C0"/>
    <w:rsid w:val="004D4B1E"/>
    <w:rsid w:val="004D4C76"/>
    <w:rsid w:val="004D50BB"/>
    <w:rsid w:val="004D54D9"/>
    <w:rsid w:val="004D56C4"/>
    <w:rsid w:val="004D5916"/>
    <w:rsid w:val="004D592A"/>
    <w:rsid w:val="004D5B94"/>
    <w:rsid w:val="004D5B9E"/>
    <w:rsid w:val="004D61AB"/>
    <w:rsid w:val="004D6260"/>
    <w:rsid w:val="004D6272"/>
    <w:rsid w:val="004D643E"/>
    <w:rsid w:val="004D653B"/>
    <w:rsid w:val="004D6743"/>
    <w:rsid w:val="004D69B7"/>
    <w:rsid w:val="004D6BF3"/>
    <w:rsid w:val="004D6CA8"/>
    <w:rsid w:val="004D6E5C"/>
    <w:rsid w:val="004D71EF"/>
    <w:rsid w:val="004D771C"/>
    <w:rsid w:val="004D78EE"/>
    <w:rsid w:val="004D7D79"/>
    <w:rsid w:val="004D7D99"/>
    <w:rsid w:val="004D7E1F"/>
    <w:rsid w:val="004E033D"/>
    <w:rsid w:val="004E0933"/>
    <w:rsid w:val="004E0A0E"/>
    <w:rsid w:val="004E0B49"/>
    <w:rsid w:val="004E0C10"/>
    <w:rsid w:val="004E0DC8"/>
    <w:rsid w:val="004E0F70"/>
    <w:rsid w:val="004E103B"/>
    <w:rsid w:val="004E1636"/>
    <w:rsid w:val="004E17BB"/>
    <w:rsid w:val="004E1954"/>
    <w:rsid w:val="004E1BA5"/>
    <w:rsid w:val="004E1CCC"/>
    <w:rsid w:val="004E20AA"/>
    <w:rsid w:val="004E20AB"/>
    <w:rsid w:val="004E22F9"/>
    <w:rsid w:val="004E23D9"/>
    <w:rsid w:val="004E2608"/>
    <w:rsid w:val="004E2673"/>
    <w:rsid w:val="004E2813"/>
    <w:rsid w:val="004E28BD"/>
    <w:rsid w:val="004E2D30"/>
    <w:rsid w:val="004E343C"/>
    <w:rsid w:val="004E367F"/>
    <w:rsid w:val="004E36F5"/>
    <w:rsid w:val="004E37FC"/>
    <w:rsid w:val="004E382B"/>
    <w:rsid w:val="004E386F"/>
    <w:rsid w:val="004E3CA0"/>
    <w:rsid w:val="004E3D98"/>
    <w:rsid w:val="004E3F68"/>
    <w:rsid w:val="004E4181"/>
    <w:rsid w:val="004E43DA"/>
    <w:rsid w:val="004E4466"/>
    <w:rsid w:val="004E47FA"/>
    <w:rsid w:val="004E4A4A"/>
    <w:rsid w:val="004E4B08"/>
    <w:rsid w:val="004E4E79"/>
    <w:rsid w:val="004E4ED2"/>
    <w:rsid w:val="004E5516"/>
    <w:rsid w:val="004E5606"/>
    <w:rsid w:val="004E575A"/>
    <w:rsid w:val="004E59A3"/>
    <w:rsid w:val="004E5D09"/>
    <w:rsid w:val="004E5E0F"/>
    <w:rsid w:val="004E5E8B"/>
    <w:rsid w:val="004E5ECE"/>
    <w:rsid w:val="004E5F3C"/>
    <w:rsid w:val="004E5F90"/>
    <w:rsid w:val="004E6073"/>
    <w:rsid w:val="004E625B"/>
    <w:rsid w:val="004E6501"/>
    <w:rsid w:val="004E6633"/>
    <w:rsid w:val="004E6776"/>
    <w:rsid w:val="004E6787"/>
    <w:rsid w:val="004E6788"/>
    <w:rsid w:val="004E6A1A"/>
    <w:rsid w:val="004E6A40"/>
    <w:rsid w:val="004E6DDC"/>
    <w:rsid w:val="004E6EE2"/>
    <w:rsid w:val="004E6EF3"/>
    <w:rsid w:val="004E6F7E"/>
    <w:rsid w:val="004E75F7"/>
    <w:rsid w:val="004E7627"/>
    <w:rsid w:val="004E773D"/>
    <w:rsid w:val="004E7888"/>
    <w:rsid w:val="004E7975"/>
    <w:rsid w:val="004E79A4"/>
    <w:rsid w:val="004E7EF0"/>
    <w:rsid w:val="004F01ED"/>
    <w:rsid w:val="004F022D"/>
    <w:rsid w:val="004F0283"/>
    <w:rsid w:val="004F06C9"/>
    <w:rsid w:val="004F07AF"/>
    <w:rsid w:val="004F0987"/>
    <w:rsid w:val="004F0A1B"/>
    <w:rsid w:val="004F0D08"/>
    <w:rsid w:val="004F13B0"/>
    <w:rsid w:val="004F14EF"/>
    <w:rsid w:val="004F16AB"/>
    <w:rsid w:val="004F178D"/>
    <w:rsid w:val="004F186F"/>
    <w:rsid w:val="004F1AB9"/>
    <w:rsid w:val="004F1C89"/>
    <w:rsid w:val="004F1CCC"/>
    <w:rsid w:val="004F1EC6"/>
    <w:rsid w:val="004F21AB"/>
    <w:rsid w:val="004F2448"/>
    <w:rsid w:val="004F259B"/>
    <w:rsid w:val="004F259D"/>
    <w:rsid w:val="004F2A3C"/>
    <w:rsid w:val="004F2B34"/>
    <w:rsid w:val="004F319A"/>
    <w:rsid w:val="004F31C0"/>
    <w:rsid w:val="004F32CC"/>
    <w:rsid w:val="004F3337"/>
    <w:rsid w:val="004F361C"/>
    <w:rsid w:val="004F3D6F"/>
    <w:rsid w:val="004F3ED6"/>
    <w:rsid w:val="004F412D"/>
    <w:rsid w:val="004F4470"/>
    <w:rsid w:val="004F4561"/>
    <w:rsid w:val="004F47A5"/>
    <w:rsid w:val="004F48B3"/>
    <w:rsid w:val="004F4969"/>
    <w:rsid w:val="004F4A05"/>
    <w:rsid w:val="004F4A46"/>
    <w:rsid w:val="004F4B2C"/>
    <w:rsid w:val="004F4B83"/>
    <w:rsid w:val="004F4F66"/>
    <w:rsid w:val="004F513C"/>
    <w:rsid w:val="004F528A"/>
    <w:rsid w:val="004F5610"/>
    <w:rsid w:val="004F5A98"/>
    <w:rsid w:val="004F5B12"/>
    <w:rsid w:val="004F5CA5"/>
    <w:rsid w:val="004F5E45"/>
    <w:rsid w:val="004F6150"/>
    <w:rsid w:val="004F66B7"/>
    <w:rsid w:val="004F67CE"/>
    <w:rsid w:val="004F682A"/>
    <w:rsid w:val="004F6D44"/>
    <w:rsid w:val="004F6E18"/>
    <w:rsid w:val="004F7007"/>
    <w:rsid w:val="004F700F"/>
    <w:rsid w:val="004F742B"/>
    <w:rsid w:val="004F7670"/>
    <w:rsid w:val="004F769C"/>
    <w:rsid w:val="004F777D"/>
    <w:rsid w:val="004F77E6"/>
    <w:rsid w:val="004F7AE6"/>
    <w:rsid w:val="004F7E33"/>
    <w:rsid w:val="004F7E67"/>
    <w:rsid w:val="004F7E8B"/>
    <w:rsid w:val="004F7F12"/>
    <w:rsid w:val="004F7F62"/>
    <w:rsid w:val="00500340"/>
    <w:rsid w:val="005004F4"/>
    <w:rsid w:val="0050079E"/>
    <w:rsid w:val="005007B2"/>
    <w:rsid w:val="005008DF"/>
    <w:rsid w:val="00500A15"/>
    <w:rsid w:val="00500B87"/>
    <w:rsid w:val="005011A6"/>
    <w:rsid w:val="0050140B"/>
    <w:rsid w:val="00501740"/>
    <w:rsid w:val="00501835"/>
    <w:rsid w:val="00501AA0"/>
    <w:rsid w:val="00501D51"/>
    <w:rsid w:val="00501E0C"/>
    <w:rsid w:val="00502227"/>
    <w:rsid w:val="0050260E"/>
    <w:rsid w:val="005027A5"/>
    <w:rsid w:val="00502A3C"/>
    <w:rsid w:val="00502C4F"/>
    <w:rsid w:val="00502D76"/>
    <w:rsid w:val="00502F37"/>
    <w:rsid w:val="00502F8C"/>
    <w:rsid w:val="00503178"/>
    <w:rsid w:val="0050322B"/>
    <w:rsid w:val="005032BF"/>
    <w:rsid w:val="0050355B"/>
    <w:rsid w:val="005036E8"/>
    <w:rsid w:val="00503835"/>
    <w:rsid w:val="0050384E"/>
    <w:rsid w:val="00503AFB"/>
    <w:rsid w:val="00503B98"/>
    <w:rsid w:val="00503C46"/>
    <w:rsid w:val="00504395"/>
    <w:rsid w:val="005044CE"/>
    <w:rsid w:val="005045C2"/>
    <w:rsid w:val="0050461B"/>
    <w:rsid w:val="0050477C"/>
    <w:rsid w:val="0050479C"/>
    <w:rsid w:val="005048A9"/>
    <w:rsid w:val="00504AC1"/>
    <w:rsid w:val="00504CAA"/>
    <w:rsid w:val="00504CEB"/>
    <w:rsid w:val="00504D34"/>
    <w:rsid w:val="00504E84"/>
    <w:rsid w:val="0050509B"/>
    <w:rsid w:val="005051CA"/>
    <w:rsid w:val="0050533B"/>
    <w:rsid w:val="005053A1"/>
    <w:rsid w:val="005055DB"/>
    <w:rsid w:val="00505770"/>
    <w:rsid w:val="00505885"/>
    <w:rsid w:val="005059AE"/>
    <w:rsid w:val="00505E05"/>
    <w:rsid w:val="00505FCB"/>
    <w:rsid w:val="00505FFB"/>
    <w:rsid w:val="0050643C"/>
    <w:rsid w:val="005066DE"/>
    <w:rsid w:val="005066F3"/>
    <w:rsid w:val="005069B2"/>
    <w:rsid w:val="00506D54"/>
    <w:rsid w:val="0050701A"/>
    <w:rsid w:val="0050721C"/>
    <w:rsid w:val="005073CC"/>
    <w:rsid w:val="00507A10"/>
    <w:rsid w:val="00507C12"/>
    <w:rsid w:val="005100C9"/>
    <w:rsid w:val="00510222"/>
    <w:rsid w:val="0051047D"/>
    <w:rsid w:val="0051056D"/>
    <w:rsid w:val="00510695"/>
    <w:rsid w:val="00510E25"/>
    <w:rsid w:val="00510F0F"/>
    <w:rsid w:val="00510FBF"/>
    <w:rsid w:val="0051102A"/>
    <w:rsid w:val="005111A4"/>
    <w:rsid w:val="0051129B"/>
    <w:rsid w:val="005112A2"/>
    <w:rsid w:val="005115B7"/>
    <w:rsid w:val="0051189F"/>
    <w:rsid w:val="005118A7"/>
    <w:rsid w:val="005118E3"/>
    <w:rsid w:val="00511E67"/>
    <w:rsid w:val="0051206C"/>
    <w:rsid w:val="0051232D"/>
    <w:rsid w:val="005126FD"/>
    <w:rsid w:val="00512D02"/>
    <w:rsid w:val="00512D8B"/>
    <w:rsid w:val="00512E8A"/>
    <w:rsid w:val="00512EB3"/>
    <w:rsid w:val="005133C8"/>
    <w:rsid w:val="005133F8"/>
    <w:rsid w:val="00513843"/>
    <w:rsid w:val="00513847"/>
    <w:rsid w:val="005138D9"/>
    <w:rsid w:val="00513A61"/>
    <w:rsid w:val="00513AC6"/>
    <w:rsid w:val="00513D89"/>
    <w:rsid w:val="00514186"/>
    <w:rsid w:val="00514517"/>
    <w:rsid w:val="0051489D"/>
    <w:rsid w:val="00514A18"/>
    <w:rsid w:val="00514A5C"/>
    <w:rsid w:val="00514D91"/>
    <w:rsid w:val="00514EC0"/>
    <w:rsid w:val="00514F71"/>
    <w:rsid w:val="00515199"/>
    <w:rsid w:val="005153C5"/>
    <w:rsid w:val="00515523"/>
    <w:rsid w:val="0051557E"/>
    <w:rsid w:val="00515964"/>
    <w:rsid w:val="00515ADE"/>
    <w:rsid w:val="00515E42"/>
    <w:rsid w:val="00516042"/>
    <w:rsid w:val="00516111"/>
    <w:rsid w:val="005162F0"/>
    <w:rsid w:val="0051632B"/>
    <w:rsid w:val="005163DD"/>
    <w:rsid w:val="005166ED"/>
    <w:rsid w:val="00516A05"/>
    <w:rsid w:val="00516B70"/>
    <w:rsid w:val="00516D3D"/>
    <w:rsid w:val="00517258"/>
    <w:rsid w:val="005173AC"/>
    <w:rsid w:val="00517449"/>
    <w:rsid w:val="00517620"/>
    <w:rsid w:val="00517855"/>
    <w:rsid w:val="00517932"/>
    <w:rsid w:val="00517B4B"/>
    <w:rsid w:val="00517CF2"/>
    <w:rsid w:val="00517E59"/>
    <w:rsid w:val="00517FDC"/>
    <w:rsid w:val="00517FF4"/>
    <w:rsid w:val="00520042"/>
    <w:rsid w:val="005206CD"/>
    <w:rsid w:val="00520AB4"/>
    <w:rsid w:val="00520DD4"/>
    <w:rsid w:val="00520EF9"/>
    <w:rsid w:val="00521177"/>
    <w:rsid w:val="00521698"/>
    <w:rsid w:val="005216CE"/>
    <w:rsid w:val="005218B0"/>
    <w:rsid w:val="00521C03"/>
    <w:rsid w:val="00521E16"/>
    <w:rsid w:val="00521F0C"/>
    <w:rsid w:val="005220F3"/>
    <w:rsid w:val="005222E2"/>
    <w:rsid w:val="005224B9"/>
    <w:rsid w:val="0052265B"/>
    <w:rsid w:val="00522670"/>
    <w:rsid w:val="005228B1"/>
    <w:rsid w:val="005229EB"/>
    <w:rsid w:val="00522B22"/>
    <w:rsid w:val="00522CE0"/>
    <w:rsid w:val="00522D44"/>
    <w:rsid w:val="00522E07"/>
    <w:rsid w:val="005232FD"/>
    <w:rsid w:val="005236D5"/>
    <w:rsid w:val="005236E6"/>
    <w:rsid w:val="005236FA"/>
    <w:rsid w:val="0052390F"/>
    <w:rsid w:val="00523923"/>
    <w:rsid w:val="0052401B"/>
    <w:rsid w:val="0052430B"/>
    <w:rsid w:val="0052456E"/>
    <w:rsid w:val="00524729"/>
    <w:rsid w:val="005249CB"/>
    <w:rsid w:val="00524A7E"/>
    <w:rsid w:val="00524AAB"/>
    <w:rsid w:val="00524BE1"/>
    <w:rsid w:val="00524CC4"/>
    <w:rsid w:val="0052506B"/>
    <w:rsid w:val="0052512D"/>
    <w:rsid w:val="005254EC"/>
    <w:rsid w:val="0052573E"/>
    <w:rsid w:val="00526066"/>
    <w:rsid w:val="00526381"/>
    <w:rsid w:val="0052646E"/>
    <w:rsid w:val="005267C3"/>
    <w:rsid w:val="0052693B"/>
    <w:rsid w:val="00526A86"/>
    <w:rsid w:val="00526DC4"/>
    <w:rsid w:val="00527033"/>
    <w:rsid w:val="00527067"/>
    <w:rsid w:val="005275ED"/>
    <w:rsid w:val="005279E2"/>
    <w:rsid w:val="00527AEA"/>
    <w:rsid w:val="00527BB9"/>
    <w:rsid w:val="00527CAE"/>
    <w:rsid w:val="005300EC"/>
    <w:rsid w:val="00530110"/>
    <w:rsid w:val="005302DC"/>
    <w:rsid w:val="005302EE"/>
    <w:rsid w:val="00530A0D"/>
    <w:rsid w:val="00530BBC"/>
    <w:rsid w:val="005310D0"/>
    <w:rsid w:val="0053162B"/>
    <w:rsid w:val="005316F2"/>
    <w:rsid w:val="00531785"/>
    <w:rsid w:val="005319CA"/>
    <w:rsid w:val="00531A4F"/>
    <w:rsid w:val="00531D30"/>
    <w:rsid w:val="00531E1D"/>
    <w:rsid w:val="00531F1E"/>
    <w:rsid w:val="00532124"/>
    <w:rsid w:val="005322D3"/>
    <w:rsid w:val="00532318"/>
    <w:rsid w:val="005327C5"/>
    <w:rsid w:val="00532897"/>
    <w:rsid w:val="00532949"/>
    <w:rsid w:val="00532A50"/>
    <w:rsid w:val="00532CB0"/>
    <w:rsid w:val="00532F8D"/>
    <w:rsid w:val="0053316C"/>
    <w:rsid w:val="005331C9"/>
    <w:rsid w:val="005331F1"/>
    <w:rsid w:val="00533202"/>
    <w:rsid w:val="005333CF"/>
    <w:rsid w:val="005334CF"/>
    <w:rsid w:val="00533697"/>
    <w:rsid w:val="0053370C"/>
    <w:rsid w:val="00533DBA"/>
    <w:rsid w:val="0053410F"/>
    <w:rsid w:val="0053412E"/>
    <w:rsid w:val="00534196"/>
    <w:rsid w:val="00534312"/>
    <w:rsid w:val="005346DE"/>
    <w:rsid w:val="005347CF"/>
    <w:rsid w:val="0053490D"/>
    <w:rsid w:val="00534A43"/>
    <w:rsid w:val="00534D8C"/>
    <w:rsid w:val="00534E58"/>
    <w:rsid w:val="00534EF1"/>
    <w:rsid w:val="0053523A"/>
    <w:rsid w:val="00535644"/>
    <w:rsid w:val="00535663"/>
    <w:rsid w:val="005359D1"/>
    <w:rsid w:val="00535C9B"/>
    <w:rsid w:val="00535E70"/>
    <w:rsid w:val="0053602F"/>
    <w:rsid w:val="005360BA"/>
    <w:rsid w:val="005360F1"/>
    <w:rsid w:val="005363AB"/>
    <w:rsid w:val="0053663D"/>
    <w:rsid w:val="005366B7"/>
    <w:rsid w:val="00536E68"/>
    <w:rsid w:val="00536EF9"/>
    <w:rsid w:val="0053740E"/>
    <w:rsid w:val="005374C3"/>
    <w:rsid w:val="005374E6"/>
    <w:rsid w:val="005376C5"/>
    <w:rsid w:val="005376F0"/>
    <w:rsid w:val="00537725"/>
    <w:rsid w:val="0053788A"/>
    <w:rsid w:val="005379B8"/>
    <w:rsid w:val="00537CFD"/>
    <w:rsid w:val="00540388"/>
    <w:rsid w:val="0054076F"/>
    <w:rsid w:val="0054077B"/>
    <w:rsid w:val="005407B4"/>
    <w:rsid w:val="005407D8"/>
    <w:rsid w:val="00540970"/>
    <w:rsid w:val="00540980"/>
    <w:rsid w:val="00541059"/>
    <w:rsid w:val="0054123E"/>
    <w:rsid w:val="005412E1"/>
    <w:rsid w:val="005412EB"/>
    <w:rsid w:val="00541639"/>
    <w:rsid w:val="00541698"/>
    <w:rsid w:val="00541C56"/>
    <w:rsid w:val="00541CD9"/>
    <w:rsid w:val="00541D15"/>
    <w:rsid w:val="00541F88"/>
    <w:rsid w:val="00542168"/>
    <w:rsid w:val="005421A0"/>
    <w:rsid w:val="00542475"/>
    <w:rsid w:val="00542728"/>
    <w:rsid w:val="00542966"/>
    <w:rsid w:val="005429B7"/>
    <w:rsid w:val="00542D17"/>
    <w:rsid w:val="00542E5E"/>
    <w:rsid w:val="00543159"/>
    <w:rsid w:val="005431C1"/>
    <w:rsid w:val="00543900"/>
    <w:rsid w:val="005439C8"/>
    <w:rsid w:val="005439CB"/>
    <w:rsid w:val="00543C47"/>
    <w:rsid w:val="00543F83"/>
    <w:rsid w:val="00543FEA"/>
    <w:rsid w:val="0054421E"/>
    <w:rsid w:val="005442A7"/>
    <w:rsid w:val="0054442E"/>
    <w:rsid w:val="00544432"/>
    <w:rsid w:val="0054458D"/>
    <w:rsid w:val="005449AE"/>
    <w:rsid w:val="00544B3B"/>
    <w:rsid w:val="00544B9D"/>
    <w:rsid w:val="00544C51"/>
    <w:rsid w:val="00544D6F"/>
    <w:rsid w:val="00544FA8"/>
    <w:rsid w:val="00545111"/>
    <w:rsid w:val="00545505"/>
    <w:rsid w:val="005455BE"/>
    <w:rsid w:val="0054570D"/>
    <w:rsid w:val="00545D44"/>
    <w:rsid w:val="00545E3D"/>
    <w:rsid w:val="00545EF4"/>
    <w:rsid w:val="00546419"/>
    <w:rsid w:val="005466F5"/>
    <w:rsid w:val="005467F7"/>
    <w:rsid w:val="0054683D"/>
    <w:rsid w:val="00546CFB"/>
    <w:rsid w:val="00547057"/>
    <w:rsid w:val="005472A9"/>
    <w:rsid w:val="005473CD"/>
    <w:rsid w:val="00547656"/>
    <w:rsid w:val="00547678"/>
    <w:rsid w:val="005476CA"/>
    <w:rsid w:val="00547AA9"/>
    <w:rsid w:val="00547BFB"/>
    <w:rsid w:val="00547EF5"/>
    <w:rsid w:val="005504A1"/>
    <w:rsid w:val="005506A3"/>
    <w:rsid w:val="005507C0"/>
    <w:rsid w:val="00550997"/>
    <w:rsid w:val="00550C60"/>
    <w:rsid w:val="00550CB4"/>
    <w:rsid w:val="00550EAE"/>
    <w:rsid w:val="00550EDD"/>
    <w:rsid w:val="00550F13"/>
    <w:rsid w:val="005511E5"/>
    <w:rsid w:val="00551306"/>
    <w:rsid w:val="0055157B"/>
    <w:rsid w:val="005516AC"/>
    <w:rsid w:val="0055182A"/>
    <w:rsid w:val="00551877"/>
    <w:rsid w:val="00551CB4"/>
    <w:rsid w:val="00551E85"/>
    <w:rsid w:val="00551EA4"/>
    <w:rsid w:val="0055219D"/>
    <w:rsid w:val="00552264"/>
    <w:rsid w:val="00552465"/>
    <w:rsid w:val="00552EAC"/>
    <w:rsid w:val="00552FE8"/>
    <w:rsid w:val="00553367"/>
    <w:rsid w:val="0055353F"/>
    <w:rsid w:val="005535FD"/>
    <w:rsid w:val="00553666"/>
    <w:rsid w:val="0055377C"/>
    <w:rsid w:val="00553A12"/>
    <w:rsid w:val="00553CC9"/>
    <w:rsid w:val="00553F8E"/>
    <w:rsid w:val="0055405C"/>
    <w:rsid w:val="005550AE"/>
    <w:rsid w:val="0055533B"/>
    <w:rsid w:val="00555517"/>
    <w:rsid w:val="00555900"/>
    <w:rsid w:val="00555A47"/>
    <w:rsid w:val="00555CC2"/>
    <w:rsid w:val="00555DE5"/>
    <w:rsid w:val="00556222"/>
    <w:rsid w:val="005562EC"/>
    <w:rsid w:val="00556656"/>
    <w:rsid w:val="00556983"/>
    <w:rsid w:val="005569A2"/>
    <w:rsid w:val="00556A2D"/>
    <w:rsid w:val="00556ACD"/>
    <w:rsid w:val="00556B1A"/>
    <w:rsid w:val="00556B20"/>
    <w:rsid w:val="00556E62"/>
    <w:rsid w:val="00556FA3"/>
    <w:rsid w:val="00556FAF"/>
    <w:rsid w:val="005573AF"/>
    <w:rsid w:val="005575D3"/>
    <w:rsid w:val="0055786B"/>
    <w:rsid w:val="00557BB8"/>
    <w:rsid w:val="005600C5"/>
    <w:rsid w:val="00560378"/>
    <w:rsid w:val="005603D8"/>
    <w:rsid w:val="00560402"/>
    <w:rsid w:val="00560658"/>
    <w:rsid w:val="00560AE5"/>
    <w:rsid w:val="00560BE4"/>
    <w:rsid w:val="00561042"/>
    <w:rsid w:val="0056127B"/>
    <w:rsid w:val="005612FB"/>
    <w:rsid w:val="00561521"/>
    <w:rsid w:val="005616E2"/>
    <w:rsid w:val="005618EF"/>
    <w:rsid w:val="00561980"/>
    <w:rsid w:val="00561C87"/>
    <w:rsid w:val="00561CDC"/>
    <w:rsid w:val="00562037"/>
    <w:rsid w:val="00562433"/>
    <w:rsid w:val="005628FC"/>
    <w:rsid w:val="00562C8E"/>
    <w:rsid w:val="00562CD9"/>
    <w:rsid w:val="005631F0"/>
    <w:rsid w:val="00563243"/>
    <w:rsid w:val="005632C8"/>
    <w:rsid w:val="00563325"/>
    <w:rsid w:val="0056348E"/>
    <w:rsid w:val="0056402E"/>
    <w:rsid w:val="005640FF"/>
    <w:rsid w:val="005641AB"/>
    <w:rsid w:val="0056457B"/>
    <w:rsid w:val="0056484D"/>
    <w:rsid w:val="005648BF"/>
    <w:rsid w:val="00564A11"/>
    <w:rsid w:val="00564B1D"/>
    <w:rsid w:val="005655C3"/>
    <w:rsid w:val="00565739"/>
    <w:rsid w:val="0056579A"/>
    <w:rsid w:val="005659E9"/>
    <w:rsid w:val="00565A9E"/>
    <w:rsid w:val="00565E6F"/>
    <w:rsid w:val="00566108"/>
    <w:rsid w:val="00566114"/>
    <w:rsid w:val="005661CC"/>
    <w:rsid w:val="00566202"/>
    <w:rsid w:val="005662A9"/>
    <w:rsid w:val="0056630A"/>
    <w:rsid w:val="0056633F"/>
    <w:rsid w:val="005663FB"/>
    <w:rsid w:val="005664C5"/>
    <w:rsid w:val="00566501"/>
    <w:rsid w:val="0056655F"/>
    <w:rsid w:val="00566877"/>
    <w:rsid w:val="00566C89"/>
    <w:rsid w:val="00566F77"/>
    <w:rsid w:val="0056758F"/>
    <w:rsid w:val="005679BF"/>
    <w:rsid w:val="00567C3F"/>
    <w:rsid w:val="00567E15"/>
    <w:rsid w:val="00567F25"/>
    <w:rsid w:val="00570361"/>
    <w:rsid w:val="005703E7"/>
    <w:rsid w:val="00570418"/>
    <w:rsid w:val="00570592"/>
    <w:rsid w:val="005706FB"/>
    <w:rsid w:val="005709B0"/>
    <w:rsid w:val="005709B3"/>
    <w:rsid w:val="00570B5D"/>
    <w:rsid w:val="00570C89"/>
    <w:rsid w:val="00570E49"/>
    <w:rsid w:val="00571074"/>
    <w:rsid w:val="005710E6"/>
    <w:rsid w:val="005713E5"/>
    <w:rsid w:val="00571406"/>
    <w:rsid w:val="00571480"/>
    <w:rsid w:val="00571639"/>
    <w:rsid w:val="005719C5"/>
    <w:rsid w:val="00571A40"/>
    <w:rsid w:val="00571D97"/>
    <w:rsid w:val="00571E79"/>
    <w:rsid w:val="00572113"/>
    <w:rsid w:val="005722EA"/>
    <w:rsid w:val="005729CD"/>
    <w:rsid w:val="005729CF"/>
    <w:rsid w:val="005729D1"/>
    <w:rsid w:val="00572A06"/>
    <w:rsid w:val="00572A77"/>
    <w:rsid w:val="00572C25"/>
    <w:rsid w:val="005731A1"/>
    <w:rsid w:val="00573276"/>
    <w:rsid w:val="0057337E"/>
    <w:rsid w:val="005733E2"/>
    <w:rsid w:val="005737C5"/>
    <w:rsid w:val="00573C8C"/>
    <w:rsid w:val="005741F4"/>
    <w:rsid w:val="005743CC"/>
    <w:rsid w:val="005744B9"/>
    <w:rsid w:val="0057454C"/>
    <w:rsid w:val="005745FD"/>
    <w:rsid w:val="005748AF"/>
    <w:rsid w:val="00574A55"/>
    <w:rsid w:val="00574BE8"/>
    <w:rsid w:val="00574E8E"/>
    <w:rsid w:val="00574EA7"/>
    <w:rsid w:val="00574F99"/>
    <w:rsid w:val="0057541D"/>
    <w:rsid w:val="0057585F"/>
    <w:rsid w:val="00575B4A"/>
    <w:rsid w:val="00575BAA"/>
    <w:rsid w:val="00575CD1"/>
    <w:rsid w:val="00575DD5"/>
    <w:rsid w:val="00575E67"/>
    <w:rsid w:val="005763EA"/>
    <w:rsid w:val="005768E2"/>
    <w:rsid w:val="00576A06"/>
    <w:rsid w:val="00576C3B"/>
    <w:rsid w:val="00576CF3"/>
    <w:rsid w:val="00576E9A"/>
    <w:rsid w:val="00577105"/>
    <w:rsid w:val="00577153"/>
    <w:rsid w:val="005777D6"/>
    <w:rsid w:val="0057787A"/>
    <w:rsid w:val="005778DF"/>
    <w:rsid w:val="00577E36"/>
    <w:rsid w:val="00577FCB"/>
    <w:rsid w:val="00580392"/>
    <w:rsid w:val="005803EE"/>
    <w:rsid w:val="00580520"/>
    <w:rsid w:val="005805A5"/>
    <w:rsid w:val="005806D7"/>
    <w:rsid w:val="00580E38"/>
    <w:rsid w:val="005810C8"/>
    <w:rsid w:val="00581259"/>
    <w:rsid w:val="005817DA"/>
    <w:rsid w:val="00581819"/>
    <w:rsid w:val="00581A6A"/>
    <w:rsid w:val="00581ABB"/>
    <w:rsid w:val="00581AC2"/>
    <w:rsid w:val="00581DCF"/>
    <w:rsid w:val="0058203F"/>
    <w:rsid w:val="00582223"/>
    <w:rsid w:val="005822BB"/>
    <w:rsid w:val="00582670"/>
    <w:rsid w:val="00582846"/>
    <w:rsid w:val="0058293C"/>
    <w:rsid w:val="00582CB6"/>
    <w:rsid w:val="00582D3C"/>
    <w:rsid w:val="00582D9A"/>
    <w:rsid w:val="0058310B"/>
    <w:rsid w:val="00583139"/>
    <w:rsid w:val="005831D6"/>
    <w:rsid w:val="005832D6"/>
    <w:rsid w:val="005832E8"/>
    <w:rsid w:val="0058340A"/>
    <w:rsid w:val="005834AB"/>
    <w:rsid w:val="005835F4"/>
    <w:rsid w:val="0058377D"/>
    <w:rsid w:val="005837EC"/>
    <w:rsid w:val="005839EB"/>
    <w:rsid w:val="00583AF7"/>
    <w:rsid w:val="00583C3E"/>
    <w:rsid w:val="00583D9D"/>
    <w:rsid w:val="00583EC7"/>
    <w:rsid w:val="00583F60"/>
    <w:rsid w:val="00584569"/>
    <w:rsid w:val="00584828"/>
    <w:rsid w:val="00584A80"/>
    <w:rsid w:val="00584C53"/>
    <w:rsid w:val="00584D4C"/>
    <w:rsid w:val="00584E0D"/>
    <w:rsid w:val="00584E33"/>
    <w:rsid w:val="00584FC8"/>
    <w:rsid w:val="00584FE4"/>
    <w:rsid w:val="0058501C"/>
    <w:rsid w:val="0058506B"/>
    <w:rsid w:val="00585195"/>
    <w:rsid w:val="005855CC"/>
    <w:rsid w:val="00585610"/>
    <w:rsid w:val="00585881"/>
    <w:rsid w:val="00586154"/>
    <w:rsid w:val="00586254"/>
    <w:rsid w:val="005863E1"/>
    <w:rsid w:val="005864CD"/>
    <w:rsid w:val="0058651E"/>
    <w:rsid w:val="005865F6"/>
    <w:rsid w:val="00586674"/>
    <w:rsid w:val="00586717"/>
    <w:rsid w:val="0058672F"/>
    <w:rsid w:val="0058684E"/>
    <w:rsid w:val="0058697B"/>
    <w:rsid w:val="005869AE"/>
    <w:rsid w:val="00586AE0"/>
    <w:rsid w:val="00586BC5"/>
    <w:rsid w:val="00586C56"/>
    <w:rsid w:val="00586DD0"/>
    <w:rsid w:val="00586DD9"/>
    <w:rsid w:val="00586E2C"/>
    <w:rsid w:val="00587040"/>
    <w:rsid w:val="0058705D"/>
    <w:rsid w:val="0058709A"/>
    <w:rsid w:val="005871DF"/>
    <w:rsid w:val="005873C4"/>
    <w:rsid w:val="0058777B"/>
    <w:rsid w:val="00587869"/>
    <w:rsid w:val="00587C3F"/>
    <w:rsid w:val="00587D77"/>
    <w:rsid w:val="00587FE8"/>
    <w:rsid w:val="00590347"/>
    <w:rsid w:val="005909C9"/>
    <w:rsid w:val="00590A5B"/>
    <w:rsid w:val="00590C86"/>
    <w:rsid w:val="00590E7D"/>
    <w:rsid w:val="00590ECA"/>
    <w:rsid w:val="00590F26"/>
    <w:rsid w:val="005914C8"/>
    <w:rsid w:val="0059167F"/>
    <w:rsid w:val="005917FB"/>
    <w:rsid w:val="0059197B"/>
    <w:rsid w:val="00591A67"/>
    <w:rsid w:val="00591AB3"/>
    <w:rsid w:val="00591BAB"/>
    <w:rsid w:val="00591D2B"/>
    <w:rsid w:val="00591F40"/>
    <w:rsid w:val="005921C3"/>
    <w:rsid w:val="00592793"/>
    <w:rsid w:val="00592BCD"/>
    <w:rsid w:val="00592CF3"/>
    <w:rsid w:val="00592F8D"/>
    <w:rsid w:val="00592F94"/>
    <w:rsid w:val="00592FC5"/>
    <w:rsid w:val="0059308E"/>
    <w:rsid w:val="00593453"/>
    <w:rsid w:val="00593637"/>
    <w:rsid w:val="00593AE2"/>
    <w:rsid w:val="00593B0F"/>
    <w:rsid w:val="005943EB"/>
    <w:rsid w:val="005946D2"/>
    <w:rsid w:val="00594805"/>
    <w:rsid w:val="00594934"/>
    <w:rsid w:val="005949C9"/>
    <w:rsid w:val="00594B37"/>
    <w:rsid w:val="00594C0C"/>
    <w:rsid w:val="00594C12"/>
    <w:rsid w:val="00594FB5"/>
    <w:rsid w:val="00594FDB"/>
    <w:rsid w:val="00595023"/>
    <w:rsid w:val="00595116"/>
    <w:rsid w:val="00595206"/>
    <w:rsid w:val="005955C0"/>
    <w:rsid w:val="005956B4"/>
    <w:rsid w:val="00595A14"/>
    <w:rsid w:val="00595B42"/>
    <w:rsid w:val="00595CC5"/>
    <w:rsid w:val="00595DAF"/>
    <w:rsid w:val="00595E32"/>
    <w:rsid w:val="00596293"/>
    <w:rsid w:val="005964A7"/>
    <w:rsid w:val="00596667"/>
    <w:rsid w:val="0059670C"/>
    <w:rsid w:val="00596791"/>
    <w:rsid w:val="00596C56"/>
    <w:rsid w:val="00596CDB"/>
    <w:rsid w:val="00596E09"/>
    <w:rsid w:val="0059713D"/>
    <w:rsid w:val="005971AD"/>
    <w:rsid w:val="00597269"/>
    <w:rsid w:val="00597281"/>
    <w:rsid w:val="00597334"/>
    <w:rsid w:val="00597698"/>
    <w:rsid w:val="005978B9"/>
    <w:rsid w:val="005978EF"/>
    <w:rsid w:val="005979EE"/>
    <w:rsid w:val="00597A13"/>
    <w:rsid w:val="00597B77"/>
    <w:rsid w:val="00597D0F"/>
    <w:rsid w:val="005A0042"/>
    <w:rsid w:val="005A022A"/>
    <w:rsid w:val="005A029C"/>
    <w:rsid w:val="005A035B"/>
    <w:rsid w:val="005A0362"/>
    <w:rsid w:val="005A05CD"/>
    <w:rsid w:val="005A0665"/>
    <w:rsid w:val="005A0B1E"/>
    <w:rsid w:val="005A0D4E"/>
    <w:rsid w:val="005A0EA1"/>
    <w:rsid w:val="005A0F2B"/>
    <w:rsid w:val="005A10EF"/>
    <w:rsid w:val="005A12A1"/>
    <w:rsid w:val="005A1452"/>
    <w:rsid w:val="005A16A8"/>
    <w:rsid w:val="005A1B4B"/>
    <w:rsid w:val="005A1D6A"/>
    <w:rsid w:val="005A201A"/>
    <w:rsid w:val="005A2C1C"/>
    <w:rsid w:val="005A2DAE"/>
    <w:rsid w:val="005A2EE5"/>
    <w:rsid w:val="005A2FAE"/>
    <w:rsid w:val="005A310D"/>
    <w:rsid w:val="005A32A2"/>
    <w:rsid w:val="005A33D2"/>
    <w:rsid w:val="005A38FE"/>
    <w:rsid w:val="005A39D4"/>
    <w:rsid w:val="005A39E5"/>
    <w:rsid w:val="005A3B73"/>
    <w:rsid w:val="005A3C85"/>
    <w:rsid w:val="005A3D7D"/>
    <w:rsid w:val="005A3FF4"/>
    <w:rsid w:val="005A4200"/>
    <w:rsid w:val="005A4352"/>
    <w:rsid w:val="005A435A"/>
    <w:rsid w:val="005A459C"/>
    <w:rsid w:val="005A46C1"/>
    <w:rsid w:val="005A47A6"/>
    <w:rsid w:val="005A47F1"/>
    <w:rsid w:val="005A4B6F"/>
    <w:rsid w:val="005A4C04"/>
    <w:rsid w:val="005A4C20"/>
    <w:rsid w:val="005A4C8C"/>
    <w:rsid w:val="005A4CD5"/>
    <w:rsid w:val="005A4D5C"/>
    <w:rsid w:val="005A4DE7"/>
    <w:rsid w:val="005A52AE"/>
    <w:rsid w:val="005A539E"/>
    <w:rsid w:val="005A54DA"/>
    <w:rsid w:val="005A577C"/>
    <w:rsid w:val="005A5816"/>
    <w:rsid w:val="005A5F68"/>
    <w:rsid w:val="005A6491"/>
    <w:rsid w:val="005A6547"/>
    <w:rsid w:val="005A6783"/>
    <w:rsid w:val="005A6E3A"/>
    <w:rsid w:val="005A6EA7"/>
    <w:rsid w:val="005A7028"/>
    <w:rsid w:val="005A7099"/>
    <w:rsid w:val="005A735D"/>
    <w:rsid w:val="005A740A"/>
    <w:rsid w:val="005A7457"/>
    <w:rsid w:val="005A7705"/>
    <w:rsid w:val="005A783F"/>
    <w:rsid w:val="005A78D2"/>
    <w:rsid w:val="005A7E28"/>
    <w:rsid w:val="005A7F3B"/>
    <w:rsid w:val="005B028C"/>
    <w:rsid w:val="005B05A9"/>
    <w:rsid w:val="005B0BE6"/>
    <w:rsid w:val="005B0C40"/>
    <w:rsid w:val="005B0E7D"/>
    <w:rsid w:val="005B1093"/>
    <w:rsid w:val="005B12FE"/>
    <w:rsid w:val="005B1842"/>
    <w:rsid w:val="005B18B6"/>
    <w:rsid w:val="005B1B56"/>
    <w:rsid w:val="005B1B78"/>
    <w:rsid w:val="005B2365"/>
    <w:rsid w:val="005B2394"/>
    <w:rsid w:val="005B24FA"/>
    <w:rsid w:val="005B25DD"/>
    <w:rsid w:val="005B28CD"/>
    <w:rsid w:val="005B2A0A"/>
    <w:rsid w:val="005B2AF5"/>
    <w:rsid w:val="005B2F51"/>
    <w:rsid w:val="005B3297"/>
    <w:rsid w:val="005B32BC"/>
    <w:rsid w:val="005B33DB"/>
    <w:rsid w:val="005B34BA"/>
    <w:rsid w:val="005B3645"/>
    <w:rsid w:val="005B3670"/>
    <w:rsid w:val="005B38F3"/>
    <w:rsid w:val="005B3CE8"/>
    <w:rsid w:val="005B40CD"/>
    <w:rsid w:val="005B4924"/>
    <w:rsid w:val="005B4B68"/>
    <w:rsid w:val="005B4B75"/>
    <w:rsid w:val="005B4D19"/>
    <w:rsid w:val="005B5372"/>
    <w:rsid w:val="005B548B"/>
    <w:rsid w:val="005B5552"/>
    <w:rsid w:val="005B55B0"/>
    <w:rsid w:val="005B584F"/>
    <w:rsid w:val="005B5E54"/>
    <w:rsid w:val="005B62A1"/>
    <w:rsid w:val="005B658D"/>
    <w:rsid w:val="005B685C"/>
    <w:rsid w:val="005B7008"/>
    <w:rsid w:val="005B724F"/>
    <w:rsid w:val="005B7291"/>
    <w:rsid w:val="005B7534"/>
    <w:rsid w:val="005B79C8"/>
    <w:rsid w:val="005B7B73"/>
    <w:rsid w:val="005C0212"/>
    <w:rsid w:val="005C06CE"/>
    <w:rsid w:val="005C0CFB"/>
    <w:rsid w:val="005C161F"/>
    <w:rsid w:val="005C1826"/>
    <w:rsid w:val="005C1A38"/>
    <w:rsid w:val="005C1AE7"/>
    <w:rsid w:val="005C1DE5"/>
    <w:rsid w:val="005C1E8D"/>
    <w:rsid w:val="005C20E9"/>
    <w:rsid w:val="005C23E9"/>
    <w:rsid w:val="005C25E0"/>
    <w:rsid w:val="005C26EF"/>
    <w:rsid w:val="005C285E"/>
    <w:rsid w:val="005C2997"/>
    <w:rsid w:val="005C29BA"/>
    <w:rsid w:val="005C2AA0"/>
    <w:rsid w:val="005C2B6D"/>
    <w:rsid w:val="005C2C6A"/>
    <w:rsid w:val="005C2D2B"/>
    <w:rsid w:val="005C2D3B"/>
    <w:rsid w:val="005C3132"/>
    <w:rsid w:val="005C33FB"/>
    <w:rsid w:val="005C348F"/>
    <w:rsid w:val="005C3706"/>
    <w:rsid w:val="005C37FA"/>
    <w:rsid w:val="005C38B7"/>
    <w:rsid w:val="005C38CD"/>
    <w:rsid w:val="005C3CB4"/>
    <w:rsid w:val="005C4144"/>
    <w:rsid w:val="005C48D0"/>
    <w:rsid w:val="005C4A3F"/>
    <w:rsid w:val="005C4B96"/>
    <w:rsid w:val="005C4C55"/>
    <w:rsid w:val="005C4D3D"/>
    <w:rsid w:val="005C4DD3"/>
    <w:rsid w:val="005C5367"/>
    <w:rsid w:val="005C54F2"/>
    <w:rsid w:val="005C5655"/>
    <w:rsid w:val="005C5BEB"/>
    <w:rsid w:val="005C624D"/>
    <w:rsid w:val="005C6291"/>
    <w:rsid w:val="005C6659"/>
    <w:rsid w:val="005C673D"/>
    <w:rsid w:val="005C6AA2"/>
    <w:rsid w:val="005C6B23"/>
    <w:rsid w:val="005C6C70"/>
    <w:rsid w:val="005C77D3"/>
    <w:rsid w:val="005C7850"/>
    <w:rsid w:val="005C7CE2"/>
    <w:rsid w:val="005C7EB2"/>
    <w:rsid w:val="005C7F49"/>
    <w:rsid w:val="005D009B"/>
    <w:rsid w:val="005D0452"/>
    <w:rsid w:val="005D06BB"/>
    <w:rsid w:val="005D097D"/>
    <w:rsid w:val="005D0E1F"/>
    <w:rsid w:val="005D0FA5"/>
    <w:rsid w:val="005D1316"/>
    <w:rsid w:val="005D13BA"/>
    <w:rsid w:val="005D1707"/>
    <w:rsid w:val="005D1877"/>
    <w:rsid w:val="005D1E4B"/>
    <w:rsid w:val="005D2428"/>
    <w:rsid w:val="005D28F3"/>
    <w:rsid w:val="005D2C5E"/>
    <w:rsid w:val="005D2C8F"/>
    <w:rsid w:val="005D2DA1"/>
    <w:rsid w:val="005D3143"/>
    <w:rsid w:val="005D32A1"/>
    <w:rsid w:val="005D350E"/>
    <w:rsid w:val="005D35FB"/>
    <w:rsid w:val="005D3647"/>
    <w:rsid w:val="005D3CE6"/>
    <w:rsid w:val="005D3D0A"/>
    <w:rsid w:val="005D3FFB"/>
    <w:rsid w:val="005D402F"/>
    <w:rsid w:val="005D4233"/>
    <w:rsid w:val="005D4765"/>
    <w:rsid w:val="005D4EBB"/>
    <w:rsid w:val="005D53B9"/>
    <w:rsid w:val="005D5832"/>
    <w:rsid w:val="005D5986"/>
    <w:rsid w:val="005D5B83"/>
    <w:rsid w:val="005D620B"/>
    <w:rsid w:val="005D64DF"/>
    <w:rsid w:val="005D65EF"/>
    <w:rsid w:val="005D667F"/>
    <w:rsid w:val="005D6BBC"/>
    <w:rsid w:val="005D6D65"/>
    <w:rsid w:val="005D6F35"/>
    <w:rsid w:val="005D7003"/>
    <w:rsid w:val="005D70BE"/>
    <w:rsid w:val="005D7284"/>
    <w:rsid w:val="005D7372"/>
    <w:rsid w:val="005D73AA"/>
    <w:rsid w:val="005D74F6"/>
    <w:rsid w:val="005D76A1"/>
    <w:rsid w:val="005D77B7"/>
    <w:rsid w:val="005D7A8A"/>
    <w:rsid w:val="005D7B4F"/>
    <w:rsid w:val="005D7C18"/>
    <w:rsid w:val="005E074E"/>
    <w:rsid w:val="005E0866"/>
    <w:rsid w:val="005E099E"/>
    <w:rsid w:val="005E0C3C"/>
    <w:rsid w:val="005E0C55"/>
    <w:rsid w:val="005E0C86"/>
    <w:rsid w:val="005E130F"/>
    <w:rsid w:val="005E161E"/>
    <w:rsid w:val="005E1A05"/>
    <w:rsid w:val="005E1B78"/>
    <w:rsid w:val="005E1CAB"/>
    <w:rsid w:val="005E20D3"/>
    <w:rsid w:val="005E259B"/>
    <w:rsid w:val="005E25B0"/>
    <w:rsid w:val="005E2CE3"/>
    <w:rsid w:val="005E2E5A"/>
    <w:rsid w:val="005E306F"/>
    <w:rsid w:val="005E34D8"/>
    <w:rsid w:val="005E3547"/>
    <w:rsid w:val="005E3624"/>
    <w:rsid w:val="005E364A"/>
    <w:rsid w:val="005E37B9"/>
    <w:rsid w:val="005E37C2"/>
    <w:rsid w:val="005E38EA"/>
    <w:rsid w:val="005E3B40"/>
    <w:rsid w:val="005E4107"/>
    <w:rsid w:val="005E47F1"/>
    <w:rsid w:val="005E4E4F"/>
    <w:rsid w:val="005E5142"/>
    <w:rsid w:val="005E525D"/>
    <w:rsid w:val="005E581E"/>
    <w:rsid w:val="005E595F"/>
    <w:rsid w:val="005E5A7E"/>
    <w:rsid w:val="005E5AEB"/>
    <w:rsid w:val="005E5CF1"/>
    <w:rsid w:val="005E5DB0"/>
    <w:rsid w:val="005E6152"/>
    <w:rsid w:val="005E6830"/>
    <w:rsid w:val="005E688F"/>
    <w:rsid w:val="005E68D3"/>
    <w:rsid w:val="005E6A1B"/>
    <w:rsid w:val="005E6BF7"/>
    <w:rsid w:val="005E6DB4"/>
    <w:rsid w:val="005E6F28"/>
    <w:rsid w:val="005E7807"/>
    <w:rsid w:val="005E791D"/>
    <w:rsid w:val="005E7D1D"/>
    <w:rsid w:val="005E7D30"/>
    <w:rsid w:val="005F001D"/>
    <w:rsid w:val="005F03CC"/>
    <w:rsid w:val="005F055E"/>
    <w:rsid w:val="005F0BA5"/>
    <w:rsid w:val="005F0CB7"/>
    <w:rsid w:val="005F0ED3"/>
    <w:rsid w:val="005F130B"/>
    <w:rsid w:val="005F15AD"/>
    <w:rsid w:val="005F168A"/>
    <w:rsid w:val="005F1A39"/>
    <w:rsid w:val="005F1A6C"/>
    <w:rsid w:val="005F1C7C"/>
    <w:rsid w:val="005F1D8E"/>
    <w:rsid w:val="005F1DA6"/>
    <w:rsid w:val="005F1E84"/>
    <w:rsid w:val="005F21E2"/>
    <w:rsid w:val="005F23D6"/>
    <w:rsid w:val="005F26C2"/>
    <w:rsid w:val="005F272F"/>
    <w:rsid w:val="005F273D"/>
    <w:rsid w:val="005F2784"/>
    <w:rsid w:val="005F2B57"/>
    <w:rsid w:val="005F30FB"/>
    <w:rsid w:val="005F31B9"/>
    <w:rsid w:val="005F355F"/>
    <w:rsid w:val="005F358B"/>
    <w:rsid w:val="005F35D2"/>
    <w:rsid w:val="005F3693"/>
    <w:rsid w:val="005F380A"/>
    <w:rsid w:val="005F3BAB"/>
    <w:rsid w:val="005F3C60"/>
    <w:rsid w:val="005F40D5"/>
    <w:rsid w:val="005F41D0"/>
    <w:rsid w:val="005F421C"/>
    <w:rsid w:val="005F42A9"/>
    <w:rsid w:val="005F439D"/>
    <w:rsid w:val="005F442F"/>
    <w:rsid w:val="005F458A"/>
    <w:rsid w:val="005F45D7"/>
    <w:rsid w:val="005F4789"/>
    <w:rsid w:val="005F4B16"/>
    <w:rsid w:val="005F4CEE"/>
    <w:rsid w:val="005F4DEC"/>
    <w:rsid w:val="005F4EEA"/>
    <w:rsid w:val="005F507B"/>
    <w:rsid w:val="005F53B2"/>
    <w:rsid w:val="005F565E"/>
    <w:rsid w:val="005F58D6"/>
    <w:rsid w:val="005F5BDD"/>
    <w:rsid w:val="005F5D44"/>
    <w:rsid w:val="005F5ECD"/>
    <w:rsid w:val="005F622F"/>
    <w:rsid w:val="005F653E"/>
    <w:rsid w:val="005F663B"/>
    <w:rsid w:val="005F66BC"/>
    <w:rsid w:val="005F6BA8"/>
    <w:rsid w:val="005F6C03"/>
    <w:rsid w:val="005F6CD6"/>
    <w:rsid w:val="005F6E9B"/>
    <w:rsid w:val="005F6F37"/>
    <w:rsid w:val="005F6FE8"/>
    <w:rsid w:val="005F7050"/>
    <w:rsid w:val="005F70A5"/>
    <w:rsid w:val="005F71DD"/>
    <w:rsid w:val="005F729F"/>
    <w:rsid w:val="005F7748"/>
    <w:rsid w:val="005F7979"/>
    <w:rsid w:val="005F799F"/>
    <w:rsid w:val="005F7BD1"/>
    <w:rsid w:val="005F7EE1"/>
    <w:rsid w:val="005F7F1F"/>
    <w:rsid w:val="005F7F99"/>
    <w:rsid w:val="005F7FCA"/>
    <w:rsid w:val="006000D1"/>
    <w:rsid w:val="00600551"/>
    <w:rsid w:val="00600935"/>
    <w:rsid w:val="00600AF5"/>
    <w:rsid w:val="00600BE5"/>
    <w:rsid w:val="00600DD2"/>
    <w:rsid w:val="00601122"/>
    <w:rsid w:val="006011FD"/>
    <w:rsid w:val="00601299"/>
    <w:rsid w:val="006015EC"/>
    <w:rsid w:val="00601800"/>
    <w:rsid w:val="00601AE4"/>
    <w:rsid w:val="00601BC3"/>
    <w:rsid w:val="00601D2F"/>
    <w:rsid w:val="00601FF7"/>
    <w:rsid w:val="006024D3"/>
    <w:rsid w:val="0060255B"/>
    <w:rsid w:val="0060259C"/>
    <w:rsid w:val="006025ED"/>
    <w:rsid w:val="00602608"/>
    <w:rsid w:val="006026E0"/>
    <w:rsid w:val="006028A6"/>
    <w:rsid w:val="006030EA"/>
    <w:rsid w:val="00603156"/>
    <w:rsid w:val="00603247"/>
    <w:rsid w:val="006032EE"/>
    <w:rsid w:val="006033DD"/>
    <w:rsid w:val="006033EB"/>
    <w:rsid w:val="00603614"/>
    <w:rsid w:val="00603C63"/>
    <w:rsid w:val="00603C9C"/>
    <w:rsid w:val="00604030"/>
    <w:rsid w:val="006041A1"/>
    <w:rsid w:val="006042EF"/>
    <w:rsid w:val="00604302"/>
    <w:rsid w:val="0060442B"/>
    <w:rsid w:val="00604608"/>
    <w:rsid w:val="00604962"/>
    <w:rsid w:val="006049D5"/>
    <w:rsid w:val="00604A30"/>
    <w:rsid w:val="00604DBD"/>
    <w:rsid w:val="00604FF7"/>
    <w:rsid w:val="006052F1"/>
    <w:rsid w:val="00605333"/>
    <w:rsid w:val="006055CB"/>
    <w:rsid w:val="00605ECD"/>
    <w:rsid w:val="0060623D"/>
    <w:rsid w:val="006066DD"/>
    <w:rsid w:val="006067AA"/>
    <w:rsid w:val="00606A80"/>
    <w:rsid w:val="00606B79"/>
    <w:rsid w:val="00606D21"/>
    <w:rsid w:val="00606DD2"/>
    <w:rsid w:val="00606E35"/>
    <w:rsid w:val="00606FD7"/>
    <w:rsid w:val="0060713E"/>
    <w:rsid w:val="0060717C"/>
    <w:rsid w:val="006074FC"/>
    <w:rsid w:val="00607766"/>
    <w:rsid w:val="006077AD"/>
    <w:rsid w:val="00607C14"/>
    <w:rsid w:val="006101D7"/>
    <w:rsid w:val="0061089F"/>
    <w:rsid w:val="00610E63"/>
    <w:rsid w:val="00610EA9"/>
    <w:rsid w:val="00610EC0"/>
    <w:rsid w:val="00610F28"/>
    <w:rsid w:val="00611A9C"/>
    <w:rsid w:val="00611B89"/>
    <w:rsid w:val="00611CAA"/>
    <w:rsid w:val="00611E04"/>
    <w:rsid w:val="006121E5"/>
    <w:rsid w:val="0061258C"/>
    <w:rsid w:val="006126B8"/>
    <w:rsid w:val="00612A16"/>
    <w:rsid w:val="00612BCA"/>
    <w:rsid w:val="00613477"/>
    <w:rsid w:val="00613602"/>
    <w:rsid w:val="006136BE"/>
    <w:rsid w:val="00613D48"/>
    <w:rsid w:val="0061404E"/>
    <w:rsid w:val="00614077"/>
    <w:rsid w:val="00614200"/>
    <w:rsid w:val="0061437A"/>
    <w:rsid w:val="0061481C"/>
    <w:rsid w:val="00614906"/>
    <w:rsid w:val="00614961"/>
    <w:rsid w:val="00614DCA"/>
    <w:rsid w:val="00614EA1"/>
    <w:rsid w:val="0061514C"/>
    <w:rsid w:val="0061537C"/>
    <w:rsid w:val="006153B3"/>
    <w:rsid w:val="00615801"/>
    <w:rsid w:val="00615928"/>
    <w:rsid w:val="00615BB0"/>
    <w:rsid w:val="00615C31"/>
    <w:rsid w:val="00615DC1"/>
    <w:rsid w:val="00615E8C"/>
    <w:rsid w:val="00615E8E"/>
    <w:rsid w:val="0061609C"/>
    <w:rsid w:val="006167E9"/>
    <w:rsid w:val="00616980"/>
    <w:rsid w:val="00616B07"/>
    <w:rsid w:val="00616F53"/>
    <w:rsid w:val="00616FAD"/>
    <w:rsid w:val="006173E1"/>
    <w:rsid w:val="0061748B"/>
    <w:rsid w:val="00617584"/>
    <w:rsid w:val="006175C9"/>
    <w:rsid w:val="00617773"/>
    <w:rsid w:val="0061785D"/>
    <w:rsid w:val="00617AB3"/>
    <w:rsid w:val="00617AD0"/>
    <w:rsid w:val="00617E93"/>
    <w:rsid w:val="00617F09"/>
    <w:rsid w:val="00617FAC"/>
    <w:rsid w:val="006200DF"/>
    <w:rsid w:val="006200F4"/>
    <w:rsid w:val="00620431"/>
    <w:rsid w:val="00620546"/>
    <w:rsid w:val="006205B8"/>
    <w:rsid w:val="006205ED"/>
    <w:rsid w:val="00620684"/>
    <w:rsid w:val="00620763"/>
    <w:rsid w:val="0062087F"/>
    <w:rsid w:val="006208DE"/>
    <w:rsid w:val="00620C2A"/>
    <w:rsid w:val="00620D33"/>
    <w:rsid w:val="00621098"/>
    <w:rsid w:val="006213BE"/>
    <w:rsid w:val="00621645"/>
    <w:rsid w:val="00621823"/>
    <w:rsid w:val="00621876"/>
    <w:rsid w:val="00621BF5"/>
    <w:rsid w:val="00622023"/>
    <w:rsid w:val="006227E2"/>
    <w:rsid w:val="00622AA2"/>
    <w:rsid w:val="00622D23"/>
    <w:rsid w:val="00622DC1"/>
    <w:rsid w:val="00622DDE"/>
    <w:rsid w:val="00622F7B"/>
    <w:rsid w:val="00622FB9"/>
    <w:rsid w:val="0062309B"/>
    <w:rsid w:val="006230B4"/>
    <w:rsid w:val="006232EB"/>
    <w:rsid w:val="0062347F"/>
    <w:rsid w:val="00623A1D"/>
    <w:rsid w:val="00623A5F"/>
    <w:rsid w:val="00623A70"/>
    <w:rsid w:val="00623D03"/>
    <w:rsid w:val="0062417F"/>
    <w:rsid w:val="006241C8"/>
    <w:rsid w:val="006242F3"/>
    <w:rsid w:val="00624407"/>
    <w:rsid w:val="0062448A"/>
    <w:rsid w:val="006245FF"/>
    <w:rsid w:val="00624800"/>
    <w:rsid w:val="006248FD"/>
    <w:rsid w:val="00624902"/>
    <w:rsid w:val="006249F1"/>
    <w:rsid w:val="00624A03"/>
    <w:rsid w:val="00624A71"/>
    <w:rsid w:val="0062515B"/>
    <w:rsid w:val="0062516B"/>
    <w:rsid w:val="006253FC"/>
    <w:rsid w:val="00625599"/>
    <w:rsid w:val="00625839"/>
    <w:rsid w:val="00625AEE"/>
    <w:rsid w:val="00625AF4"/>
    <w:rsid w:val="00625B55"/>
    <w:rsid w:val="00626187"/>
    <w:rsid w:val="006262B0"/>
    <w:rsid w:val="0062635C"/>
    <w:rsid w:val="006266EA"/>
    <w:rsid w:val="00626777"/>
    <w:rsid w:val="00626992"/>
    <w:rsid w:val="00626AAA"/>
    <w:rsid w:val="00626C2E"/>
    <w:rsid w:val="00626EFD"/>
    <w:rsid w:val="006271FF"/>
    <w:rsid w:val="006272BE"/>
    <w:rsid w:val="00627552"/>
    <w:rsid w:val="00627980"/>
    <w:rsid w:val="00627B72"/>
    <w:rsid w:val="00627C27"/>
    <w:rsid w:val="00630433"/>
    <w:rsid w:val="0063049D"/>
    <w:rsid w:val="006304F1"/>
    <w:rsid w:val="006304FE"/>
    <w:rsid w:val="006305AB"/>
    <w:rsid w:val="00630679"/>
    <w:rsid w:val="0063076E"/>
    <w:rsid w:val="00630C29"/>
    <w:rsid w:val="00631381"/>
    <w:rsid w:val="00631425"/>
    <w:rsid w:val="00631715"/>
    <w:rsid w:val="00631788"/>
    <w:rsid w:val="006317F9"/>
    <w:rsid w:val="00631803"/>
    <w:rsid w:val="0063187C"/>
    <w:rsid w:val="00631B7F"/>
    <w:rsid w:val="00632272"/>
    <w:rsid w:val="006323FE"/>
    <w:rsid w:val="00632419"/>
    <w:rsid w:val="00632A89"/>
    <w:rsid w:val="00632B75"/>
    <w:rsid w:val="00632B80"/>
    <w:rsid w:val="00632BA0"/>
    <w:rsid w:val="00632F02"/>
    <w:rsid w:val="00633235"/>
    <w:rsid w:val="006332F1"/>
    <w:rsid w:val="00633363"/>
    <w:rsid w:val="006339DA"/>
    <w:rsid w:val="00633A3D"/>
    <w:rsid w:val="00633B8C"/>
    <w:rsid w:val="00633D51"/>
    <w:rsid w:val="00633DAB"/>
    <w:rsid w:val="00633EAA"/>
    <w:rsid w:val="00633F5B"/>
    <w:rsid w:val="00633FF9"/>
    <w:rsid w:val="00634315"/>
    <w:rsid w:val="0063444D"/>
    <w:rsid w:val="006345C7"/>
    <w:rsid w:val="0063475A"/>
    <w:rsid w:val="00634920"/>
    <w:rsid w:val="00634AEA"/>
    <w:rsid w:val="00634E07"/>
    <w:rsid w:val="00634F83"/>
    <w:rsid w:val="00634FD9"/>
    <w:rsid w:val="0063508A"/>
    <w:rsid w:val="006354E9"/>
    <w:rsid w:val="0063575E"/>
    <w:rsid w:val="00635AB2"/>
    <w:rsid w:val="00635B78"/>
    <w:rsid w:val="00635E48"/>
    <w:rsid w:val="00635EB3"/>
    <w:rsid w:val="00636112"/>
    <w:rsid w:val="006362B4"/>
    <w:rsid w:val="00636309"/>
    <w:rsid w:val="00636375"/>
    <w:rsid w:val="00636585"/>
    <w:rsid w:val="006365A1"/>
    <w:rsid w:val="006366C1"/>
    <w:rsid w:val="00636820"/>
    <w:rsid w:val="00636882"/>
    <w:rsid w:val="0063688E"/>
    <w:rsid w:val="0063690B"/>
    <w:rsid w:val="00636B2F"/>
    <w:rsid w:val="00636D94"/>
    <w:rsid w:val="00636EFF"/>
    <w:rsid w:val="00637053"/>
    <w:rsid w:val="0063705B"/>
    <w:rsid w:val="006371C4"/>
    <w:rsid w:val="0063739F"/>
    <w:rsid w:val="0063741C"/>
    <w:rsid w:val="006374D7"/>
    <w:rsid w:val="0063767F"/>
    <w:rsid w:val="00637716"/>
    <w:rsid w:val="00637866"/>
    <w:rsid w:val="006378E0"/>
    <w:rsid w:val="006379F0"/>
    <w:rsid w:val="00640302"/>
    <w:rsid w:val="0064047C"/>
    <w:rsid w:val="0064061D"/>
    <w:rsid w:val="0064076B"/>
    <w:rsid w:val="00640780"/>
    <w:rsid w:val="00640BB8"/>
    <w:rsid w:val="00640C60"/>
    <w:rsid w:val="00640D4B"/>
    <w:rsid w:val="00640D92"/>
    <w:rsid w:val="00640EE3"/>
    <w:rsid w:val="00640EEE"/>
    <w:rsid w:val="00640F7B"/>
    <w:rsid w:val="006416C0"/>
    <w:rsid w:val="006417A3"/>
    <w:rsid w:val="006418B6"/>
    <w:rsid w:val="006418EA"/>
    <w:rsid w:val="00641A60"/>
    <w:rsid w:val="00641A61"/>
    <w:rsid w:val="00641BB8"/>
    <w:rsid w:val="00641C33"/>
    <w:rsid w:val="00641C7F"/>
    <w:rsid w:val="00641DE4"/>
    <w:rsid w:val="0064200A"/>
    <w:rsid w:val="00642293"/>
    <w:rsid w:val="00642374"/>
    <w:rsid w:val="006423AE"/>
    <w:rsid w:val="006427CB"/>
    <w:rsid w:val="0064284C"/>
    <w:rsid w:val="00642D0F"/>
    <w:rsid w:val="006431EE"/>
    <w:rsid w:val="00643280"/>
    <w:rsid w:val="00643305"/>
    <w:rsid w:val="00643371"/>
    <w:rsid w:val="0064387F"/>
    <w:rsid w:val="00643C4E"/>
    <w:rsid w:val="00643DE7"/>
    <w:rsid w:val="00644051"/>
    <w:rsid w:val="006440BC"/>
    <w:rsid w:val="00644197"/>
    <w:rsid w:val="0064441E"/>
    <w:rsid w:val="00644480"/>
    <w:rsid w:val="00644B61"/>
    <w:rsid w:val="00644B63"/>
    <w:rsid w:val="00644E0A"/>
    <w:rsid w:val="00644E89"/>
    <w:rsid w:val="00644F2A"/>
    <w:rsid w:val="00644F44"/>
    <w:rsid w:val="006454B3"/>
    <w:rsid w:val="006454EA"/>
    <w:rsid w:val="006457BE"/>
    <w:rsid w:val="00645A9B"/>
    <w:rsid w:val="00645BBB"/>
    <w:rsid w:val="00645D73"/>
    <w:rsid w:val="00645D98"/>
    <w:rsid w:val="00645F95"/>
    <w:rsid w:val="00646071"/>
    <w:rsid w:val="00646852"/>
    <w:rsid w:val="00646B70"/>
    <w:rsid w:val="00646B7D"/>
    <w:rsid w:val="00646C7F"/>
    <w:rsid w:val="00646E3A"/>
    <w:rsid w:val="00646E8B"/>
    <w:rsid w:val="00646F39"/>
    <w:rsid w:val="00647490"/>
    <w:rsid w:val="00647530"/>
    <w:rsid w:val="00647626"/>
    <w:rsid w:val="0064784E"/>
    <w:rsid w:val="00647976"/>
    <w:rsid w:val="00647E07"/>
    <w:rsid w:val="00647FEB"/>
    <w:rsid w:val="006501C0"/>
    <w:rsid w:val="0065023B"/>
    <w:rsid w:val="00650323"/>
    <w:rsid w:val="00650471"/>
    <w:rsid w:val="00650528"/>
    <w:rsid w:val="006507D5"/>
    <w:rsid w:val="00650902"/>
    <w:rsid w:val="00650CE4"/>
    <w:rsid w:val="006514AE"/>
    <w:rsid w:val="0065151A"/>
    <w:rsid w:val="00651591"/>
    <w:rsid w:val="00651899"/>
    <w:rsid w:val="00651A1C"/>
    <w:rsid w:val="00651AFC"/>
    <w:rsid w:val="00651B04"/>
    <w:rsid w:val="00651F86"/>
    <w:rsid w:val="006520B7"/>
    <w:rsid w:val="00652249"/>
    <w:rsid w:val="00652394"/>
    <w:rsid w:val="006523F9"/>
    <w:rsid w:val="006525A2"/>
    <w:rsid w:val="00652710"/>
    <w:rsid w:val="0065282C"/>
    <w:rsid w:val="00652EC4"/>
    <w:rsid w:val="0065325A"/>
    <w:rsid w:val="0065349E"/>
    <w:rsid w:val="0065378D"/>
    <w:rsid w:val="006537D5"/>
    <w:rsid w:val="006537FD"/>
    <w:rsid w:val="006538DD"/>
    <w:rsid w:val="00653BC5"/>
    <w:rsid w:val="00653E48"/>
    <w:rsid w:val="0065431D"/>
    <w:rsid w:val="006547DD"/>
    <w:rsid w:val="006547FE"/>
    <w:rsid w:val="00654983"/>
    <w:rsid w:val="00654990"/>
    <w:rsid w:val="00654A4E"/>
    <w:rsid w:val="00654A85"/>
    <w:rsid w:val="00654F9C"/>
    <w:rsid w:val="00655119"/>
    <w:rsid w:val="0065528E"/>
    <w:rsid w:val="0065537D"/>
    <w:rsid w:val="006556E8"/>
    <w:rsid w:val="0065578D"/>
    <w:rsid w:val="00655956"/>
    <w:rsid w:val="006559C1"/>
    <w:rsid w:val="00655D88"/>
    <w:rsid w:val="00655E5C"/>
    <w:rsid w:val="00656404"/>
    <w:rsid w:val="0065641A"/>
    <w:rsid w:val="00656458"/>
    <w:rsid w:val="00656AE1"/>
    <w:rsid w:val="00656B25"/>
    <w:rsid w:val="00656B41"/>
    <w:rsid w:val="00656F6A"/>
    <w:rsid w:val="0065708B"/>
    <w:rsid w:val="00657114"/>
    <w:rsid w:val="0065727D"/>
    <w:rsid w:val="0065736E"/>
    <w:rsid w:val="006573BB"/>
    <w:rsid w:val="0065749B"/>
    <w:rsid w:val="006574D4"/>
    <w:rsid w:val="006574E0"/>
    <w:rsid w:val="006579BF"/>
    <w:rsid w:val="00660110"/>
    <w:rsid w:val="0066059B"/>
    <w:rsid w:val="00660606"/>
    <w:rsid w:val="006606B2"/>
    <w:rsid w:val="00660935"/>
    <w:rsid w:val="00660D80"/>
    <w:rsid w:val="00661078"/>
    <w:rsid w:val="00661C43"/>
    <w:rsid w:val="00661C5B"/>
    <w:rsid w:val="00662124"/>
    <w:rsid w:val="00662169"/>
    <w:rsid w:val="0066233C"/>
    <w:rsid w:val="00662686"/>
    <w:rsid w:val="006630EC"/>
    <w:rsid w:val="0066335B"/>
    <w:rsid w:val="006637E6"/>
    <w:rsid w:val="00663EA0"/>
    <w:rsid w:val="00663F16"/>
    <w:rsid w:val="006641AE"/>
    <w:rsid w:val="00664225"/>
    <w:rsid w:val="0066445D"/>
    <w:rsid w:val="00664530"/>
    <w:rsid w:val="006645B8"/>
    <w:rsid w:val="0066462D"/>
    <w:rsid w:val="0066483C"/>
    <w:rsid w:val="00664B08"/>
    <w:rsid w:val="00664B19"/>
    <w:rsid w:val="00664B8B"/>
    <w:rsid w:val="00664FCB"/>
    <w:rsid w:val="006650BD"/>
    <w:rsid w:val="00665119"/>
    <w:rsid w:val="00665130"/>
    <w:rsid w:val="006651D7"/>
    <w:rsid w:val="0066539E"/>
    <w:rsid w:val="00665803"/>
    <w:rsid w:val="00665835"/>
    <w:rsid w:val="00665839"/>
    <w:rsid w:val="00665849"/>
    <w:rsid w:val="006658CF"/>
    <w:rsid w:val="00665928"/>
    <w:rsid w:val="00665A13"/>
    <w:rsid w:val="00665E57"/>
    <w:rsid w:val="00666532"/>
    <w:rsid w:val="00666571"/>
    <w:rsid w:val="0066683E"/>
    <w:rsid w:val="00666866"/>
    <w:rsid w:val="00666F09"/>
    <w:rsid w:val="00666F20"/>
    <w:rsid w:val="006670C2"/>
    <w:rsid w:val="0066723F"/>
    <w:rsid w:val="006673F4"/>
    <w:rsid w:val="00667723"/>
    <w:rsid w:val="006678D2"/>
    <w:rsid w:val="00667906"/>
    <w:rsid w:val="00667958"/>
    <w:rsid w:val="00667B2F"/>
    <w:rsid w:val="00670038"/>
    <w:rsid w:val="00670294"/>
    <w:rsid w:val="00670802"/>
    <w:rsid w:val="00670A92"/>
    <w:rsid w:val="00670DC8"/>
    <w:rsid w:val="00670F30"/>
    <w:rsid w:val="00670FF6"/>
    <w:rsid w:val="0067101D"/>
    <w:rsid w:val="0067107A"/>
    <w:rsid w:val="006714DE"/>
    <w:rsid w:val="00671578"/>
    <w:rsid w:val="00671609"/>
    <w:rsid w:val="00671BF8"/>
    <w:rsid w:val="00671D95"/>
    <w:rsid w:val="00671FA5"/>
    <w:rsid w:val="00672042"/>
    <w:rsid w:val="0067216B"/>
    <w:rsid w:val="006721F3"/>
    <w:rsid w:val="00672253"/>
    <w:rsid w:val="006722B3"/>
    <w:rsid w:val="006725A3"/>
    <w:rsid w:val="006726EE"/>
    <w:rsid w:val="006728E0"/>
    <w:rsid w:val="00672A71"/>
    <w:rsid w:val="00672B2F"/>
    <w:rsid w:val="00672D8D"/>
    <w:rsid w:val="00673047"/>
    <w:rsid w:val="00673307"/>
    <w:rsid w:val="00673374"/>
    <w:rsid w:val="0067380D"/>
    <w:rsid w:val="006738FC"/>
    <w:rsid w:val="00673A14"/>
    <w:rsid w:val="00673A6E"/>
    <w:rsid w:val="00673A89"/>
    <w:rsid w:val="00673AB1"/>
    <w:rsid w:val="00673D34"/>
    <w:rsid w:val="00673F01"/>
    <w:rsid w:val="00674084"/>
    <w:rsid w:val="006740DA"/>
    <w:rsid w:val="006741EC"/>
    <w:rsid w:val="006742CA"/>
    <w:rsid w:val="00674316"/>
    <w:rsid w:val="00674384"/>
    <w:rsid w:val="006743EE"/>
    <w:rsid w:val="0067449C"/>
    <w:rsid w:val="006747B4"/>
    <w:rsid w:val="00674940"/>
    <w:rsid w:val="00674987"/>
    <w:rsid w:val="00674EF7"/>
    <w:rsid w:val="0067510C"/>
    <w:rsid w:val="00675373"/>
    <w:rsid w:val="00675696"/>
    <w:rsid w:val="006758C7"/>
    <w:rsid w:val="00675A40"/>
    <w:rsid w:val="00675A89"/>
    <w:rsid w:val="00675BE8"/>
    <w:rsid w:val="00675D4E"/>
    <w:rsid w:val="00675EC6"/>
    <w:rsid w:val="00675F0B"/>
    <w:rsid w:val="00676428"/>
    <w:rsid w:val="0067664A"/>
    <w:rsid w:val="00676A3E"/>
    <w:rsid w:val="00676B6A"/>
    <w:rsid w:val="00676EAA"/>
    <w:rsid w:val="00676F7A"/>
    <w:rsid w:val="00676FE4"/>
    <w:rsid w:val="0067701D"/>
    <w:rsid w:val="0067708D"/>
    <w:rsid w:val="00677494"/>
    <w:rsid w:val="00677520"/>
    <w:rsid w:val="0067773D"/>
    <w:rsid w:val="00677A42"/>
    <w:rsid w:val="00677A5F"/>
    <w:rsid w:val="00677B17"/>
    <w:rsid w:val="00677CDD"/>
    <w:rsid w:val="00677CEC"/>
    <w:rsid w:val="00680155"/>
    <w:rsid w:val="006803BD"/>
    <w:rsid w:val="006803F4"/>
    <w:rsid w:val="00680C3E"/>
    <w:rsid w:val="00680C91"/>
    <w:rsid w:val="00680ED3"/>
    <w:rsid w:val="00680EEB"/>
    <w:rsid w:val="00680FD7"/>
    <w:rsid w:val="00681079"/>
    <w:rsid w:val="00681104"/>
    <w:rsid w:val="00681763"/>
    <w:rsid w:val="00681BA0"/>
    <w:rsid w:val="00681CDE"/>
    <w:rsid w:val="00681F61"/>
    <w:rsid w:val="0068214D"/>
    <w:rsid w:val="00682370"/>
    <w:rsid w:val="0068282D"/>
    <w:rsid w:val="00682B6D"/>
    <w:rsid w:val="00682C04"/>
    <w:rsid w:val="00682CAF"/>
    <w:rsid w:val="00682CC8"/>
    <w:rsid w:val="00682E20"/>
    <w:rsid w:val="00682E82"/>
    <w:rsid w:val="00682F7B"/>
    <w:rsid w:val="00683173"/>
    <w:rsid w:val="006836D1"/>
    <w:rsid w:val="00683BC1"/>
    <w:rsid w:val="00683DEC"/>
    <w:rsid w:val="00684067"/>
    <w:rsid w:val="006842B9"/>
    <w:rsid w:val="00684520"/>
    <w:rsid w:val="0068480C"/>
    <w:rsid w:val="006849A6"/>
    <w:rsid w:val="006849F2"/>
    <w:rsid w:val="00684BB8"/>
    <w:rsid w:val="00684E74"/>
    <w:rsid w:val="00684E8B"/>
    <w:rsid w:val="0068517A"/>
    <w:rsid w:val="006852D5"/>
    <w:rsid w:val="00685372"/>
    <w:rsid w:val="00685679"/>
    <w:rsid w:val="00685C75"/>
    <w:rsid w:val="00685CCF"/>
    <w:rsid w:val="00685D8E"/>
    <w:rsid w:val="00685E35"/>
    <w:rsid w:val="0068680F"/>
    <w:rsid w:val="00686932"/>
    <w:rsid w:val="006869D9"/>
    <w:rsid w:val="00686B40"/>
    <w:rsid w:val="00687234"/>
    <w:rsid w:val="00687537"/>
    <w:rsid w:val="006878EA"/>
    <w:rsid w:val="0068794C"/>
    <w:rsid w:val="006902B8"/>
    <w:rsid w:val="00690880"/>
    <w:rsid w:val="00690C72"/>
    <w:rsid w:val="006910B1"/>
    <w:rsid w:val="00691211"/>
    <w:rsid w:val="0069132F"/>
    <w:rsid w:val="006914AE"/>
    <w:rsid w:val="006914BE"/>
    <w:rsid w:val="00691536"/>
    <w:rsid w:val="00691657"/>
    <w:rsid w:val="00691712"/>
    <w:rsid w:val="00691723"/>
    <w:rsid w:val="00691999"/>
    <w:rsid w:val="00691A6E"/>
    <w:rsid w:val="00691DE2"/>
    <w:rsid w:val="00691F73"/>
    <w:rsid w:val="00692172"/>
    <w:rsid w:val="0069236E"/>
    <w:rsid w:val="0069271D"/>
    <w:rsid w:val="00692841"/>
    <w:rsid w:val="006928F3"/>
    <w:rsid w:val="00692AA1"/>
    <w:rsid w:val="00692B4C"/>
    <w:rsid w:val="0069334D"/>
    <w:rsid w:val="006935EA"/>
    <w:rsid w:val="006937E0"/>
    <w:rsid w:val="00693C0A"/>
    <w:rsid w:val="00693E08"/>
    <w:rsid w:val="00693EFE"/>
    <w:rsid w:val="00693FDB"/>
    <w:rsid w:val="0069449C"/>
    <w:rsid w:val="00694513"/>
    <w:rsid w:val="006945D2"/>
    <w:rsid w:val="0069479A"/>
    <w:rsid w:val="00694923"/>
    <w:rsid w:val="00694CBD"/>
    <w:rsid w:val="0069514A"/>
    <w:rsid w:val="0069553B"/>
    <w:rsid w:val="00695A02"/>
    <w:rsid w:val="00695AD5"/>
    <w:rsid w:val="00695ADE"/>
    <w:rsid w:val="00695D83"/>
    <w:rsid w:val="00695E48"/>
    <w:rsid w:val="00695E57"/>
    <w:rsid w:val="00695F1C"/>
    <w:rsid w:val="00695FAE"/>
    <w:rsid w:val="00696008"/>
    <w:rsid w:val="0069618E"/>
    <w:rsid w:val="006962E9"/>
    <w:rsid w:val="00696433"/>
    <w:rsid w:val="0069648B"/>
    <w:rsid w:val="00696557"/>
    <w:rsid w:val="006967B3"/>
    <w:rsid w:val="006968B8"/>
    <w:rsid w:val="0069698E"/>
    <w:rsid w:val="00696D8B"/>
    <w:rsid w:val="006974FB"/>
    <w:rsid w:val="006976A5"/>
    <w:rsid w:val="00697811"/>
    <w:rsid w:val="006979E5"/>
    <w:rsid w:val="00697C65"/>
    <w:rsid w:val="00697EAE"/>
    <w:rsid w:val="00697EC4"/>
    <w:rsid w:val="00697F66"/>
    <w:rsid w:val="006A0067"/>
    <w:rsid w:val="006A0156"/>
    <w:rsid w:val="006A0585"/>
    <w:rsid w:val="006A05EE"/>
    <w:rsid w:val="006A074C"/>
    <w:rsid w:val="006A07A6"/>
    <w:rsid w:val="006A09DE"/>
    <w:rsid w:val="006A0D75"/>
    <w:rsid w:val="006A0E05"/>
    <w:rsid w:val="006A0FD8"/>
    <w:rsid w:val="006A10BC"/>
    <w:rsid w:val="006A12AE"/>
    <w:rsid w:val="006A14EE"/>
    <w:rsid w:val="006A14FA"/>
    <w:rsid w:val="006A1626"/>
    <w:rsid w:val="006A1801"/>
    <w:rsid w:val="006A1A85"/>
    <w:rsid w:val="006A1AEC"/>
    <w:rsid w:val="006A1F68"/>
    <w:rsid w:val="006A1FC5"/>
    <w:rsid w:val="006A244B"/>
    <w:rsid w:val="006A249D"/>
    <w:rsid w:val="006A25DE"/>
    <w:rsid w:val="006A2BB6"/>
    <w:rsid w:val="006A2ED4"/>
    <w:rsid w:val="006A3266"/>
    <w:rsid w:val="006A34D8"/>
    <w:rsid w:val="006A3975"/>
    <w:rsid w:val="006A3B56"/>
    <w:rsid w:val="006A3BA4"/>
    <w:rsid w:val="006A3CE0"/>
    <w:rsid w:val="006A3DB9"/>
    <w:rsid w:val="006A3FF3"/>
    <w:rsid w:val="006A41A3"/>
    <w:rsid w:val="006A428A"/>
    <w:rsid w:val="006A4643"/>
    <w:rsid w:val="006A46BD"/>
    <w:rsid w:val="006A46D6"/>
    <w:rsid w:val="006A480D"/>
    <w:rsid w:val="006A4843"/>
    <w:rsid w:val="006A487E"/>
    <w:rsid w:val="006A4929"/>
    <w:rsid w:val="006A4C68"/>
    <w:rsid w:val="006A4E37"/>
    <w:rsid w:val="006A4E66"/>
    <w:rsid w:val="006A4F1F"/>
    <w:rsid w:val="006A54C9"/>
    <w:rsid w:val="006A55D6"/>
    <w:rsid w:val="006A564E"/>
    <w:rsid w:val="006A5664"/>
    <w:rsid w:val="006A5A06"/>
    <w:rsid w:val="006A5BB1"/>
    <w:rsid w:val="006A5BE6"/>
    <w:rsid w:val="006A5E71"/>
    <w:rsid w:val="006A5EDD"/>
    <w:rsid w:val="006A5F0C"/>
    <w:rsid w:val="006A613D"/>
    <w:rsid w:val="006A61EA"/>
    <w:rsid w:val="006A61F1"/>
    <w:rsid w:val="006A6644"/>
    <w:rsid w:val="006A6844"/>
    <w:rsid w:val="006A6D83"/>
    <w:rsid w:val="006A6EB0"/>
    <w:rsid w:val="006A7031"/>
    <w:rsid w:val="006A71BF"/>
    <w:rsid w:val="006A7260"/>
    <w:rsid w:val="006A7AA8"/>
    <w:rsid w:val="006A7B06"/>
    <w:rsid w:val="006A7D56"/>
    <w:rsid w:val="006A7DB2"/>
    <w:rsid w:val="006B05CE"/>
    <w:rsid w:val="006B0D15"/>
    <w:rsid w:val="006B0E50"/>
    <w:rsid w:val="006B10DF"/>
    <w:rsid w:val="006B1100"/>
    <w:rsid w:val="006B1115"/>
    <w:rsid w:val="006B1198"/>
    <w:rsid w:val="006B12DD"/>
    <w:rsid w:val="006B13EE"/>
    <w:rsid w:val="006B1703"/>
    <w:rsid w:val="006B1A29"/>
    <w:rsid w:val="006B1CC7"/>
    <w:rsid w:val="006B1E35"/>
    <w:rsid w:val="006B2436"/>
    <w:rsid w:val="006B25AA"/>
    <w:rsid w:val="006B2907"/>
    <w:rsid w:val="006B33E9"/>
    <w:rsid w:val="006B3509"/>
    <w:rsid w:val="006B35B4"/>
    <w:rsid w:val="006B3617"/>
    <w:rsid w:val="006B36EC"/>
    <w:rsid w:val="006B3974"/>
    <w:rsid w:val="006B3C4A"/>
    <w:rsid w:val="006B3F03"/>
    <w:rsid w:val="006B41D4"/>
    <w:rsid w:val="006B4730"/>
    <w:rsid w:val="006B47E8"/>
    <w:rsid w:val="006B48E1"/>
    <w:rsid w:val="006B48EA"/>
    <w:rsid w:val="006B4C62"/>
    <w:rsid w:val="006B508A"/>
    <w:rsid w:val="006B53D8"/>
    <w:rsid w:val="006B55D7"/>
    <w:rsid w:val="006B58C3"/>
    <w:rsid w:val="006B607B"/>
    <w:rsid w:val="006B6119"/>
    <w:rsid w:val="006B631C"/>
    <w:rsid w:val="006B66FC"/>
    <w:rsid w:val="006B676B"/>
    <w:rsid w:val="006B6814"/>
    <w:rsid w:val="006B6E24"/>
    <w:rsid w:val="006B71F5"/>
    <w:rsid w:val="006B75B9"/>
    <w:rsid w:val="006B7758"/>
    <w:rsid w:val="006B77CE"/>
    <w:rsid w:val="006B789A"/>
    <w:rsid w:val="006B7CC4"/>
    <w:rsid w:val="006B7E15"/>
    <w:rsid w:val="006C00E0"/>
    <w:rsid w:val="006C0184"/>
    <w:rsid w:val="006C0DEA"/>
    <w:rsid w:val="006C0F59"/>
    <w:rsid w:val="006C1050"/>
    <w:rsid w:val="006C10BA"/>
    <w:rsid w:val="006C11C5"/>
    <w:rsid w:val="006C141C"/>
    <w:rsid w:val="006C15F1"/>
    <w:rsid w:val="006C18DD"/>
    <w:rsid w:val="006C195F"/>
    <w:rsid w:val="006C19E7"/>
    <w:rsid w:val="006C1A46"/>
    <w:rsid w:val="006C1A9C"/>
    <w:rsid w:val="006C1B4F"/>
    <w:rsid w:val="006C1C3C"/>
    <w:rsid w:val="006C1D21"/>
    <w:rsid w:val="006C1D86"/>
    <w:rsid w:val="006C1E41"/>
    <w:rsid w:val="006C1F2B"/>
    <w:rsid w:val="006C20FF"/>
    <w:rsid w:val="006C2362"/>
    <w:rsid w:val="006C23B0"/>
    <w:rsid w:val="006C241A"/>
    <w:rsid w:val="006C25CC"/>
    <w:rsid w:val="006C296C"/>
    <w:rsid w:val="006C2B0E"/>
    <w:rsid w:val="006C2B59"/>
    <w:rsid w:val="006C2E86"/>
    <w:rsid w:val="006C2EEA"/>
    <w:rsid w:val="006C2EFF"/>
    <w:rsid w:val="006C2F2A"/>
    <w:rsid w:val="006C2FA9"/>
    <w:rsid w:val="006C3127"/>
    <w:rsid w:val="006C320D"/>
    <w:rsid w:val="006C3389"/>
    <w:rsid w:val="006C3FB3"/>
    <w:rsid w:val="006C42F4"/>
    <w:rsid w:val="006C43AF"/>
    <w:rsid w:val="006C442E"/>
    <w:rsid w:val="006C4733"/>
    <w:rsid w:val="006C4B6E"/>
    <w:rsid w:val="006C4BF6"/>
    <w:rsid w:val="006C4C6B"/>
    <w:rsid w:val="006C4C76"/>
    <w:rsid w:val="006C4DB0"/>
    <w:rsid w:val="006C4FDF"/>
    <w:rsid w:val="006C5035"/>
    <w:rsid w:val="006C5156"/>
    <w:rsid w:val="006C5532"/>
    <w:rsid w:val="006C5538"/>
    <w:rsid w:val="006C5AFE"/>
    <w:rsid w:val="006C5B06"/>
    <w:rsid w:val="006C5E73"/>
    <w:rsid w:val="006C5FA4"/>
    <w:rsid w:val="006C6137"/>
    <w:rsid w:val="006C6206"/>
    <w:rsid w:val="006C6279"/>
    <w:rsid w:val="006C62E4"/>
    <w:rsid w:val="006C63D3"/>
    <w:rsid w:val="006C6627"/>
    <w:rsid w:val="006C6679"/>
    <w:rsid w:val="006C67E9"/>
    <w:rsid w:val="006C6A28"/>
    <w:rsid w:val="006C6B97"/>
    <w:rsid w:val="006C7046"/>
    <w:rsid w:val="006C708A"/>
    <w:rsid w:val="006C70C4"/>
    <w:rsid w:val="006C740D"/>
    <w:rsid w:val="006C7625"/>
    <w:rsid w:val="006C777E"/>
    <w:rsid w:val="006C7799"/>
    <w:rsid w:val="006C7843"/>
    <w:rsid w:val="006C796D"/>
    <w:rsid w:val="006C79D5"/>
    <w:rsid w:val="006C7B5A"/>
    <w:rsid w:val="006C7CF3"/>
    <w:rsid w:val="006C7D83"/>
    <w:rsid w:val="006C7DAA"/>
    <w:rsid w:val="006C7FA8"/>
    <w:rsid w:val="006D01D9"/>
    <w:rsid w:val="006D0294"/>
    <w:rsid w:val="006D0396"/>
    <w:rsid w:val="006D07AE"/>
    <w:rsid w:val="006D0977"/>
    <w:rsid w:val="006D0E28"/>
    <w:rsid w:val="006D12A3"/>
    <w:rsid w:val="006D130D"/>
    <w:rsid w:val="006D1581"/>
    <w:rsid w:val="006D1997"/>
    <w:rsid w:val="006D1AE0"/>
    <w:rsid w:val="006D1AE3"/>
    <w:rsid w:val="006D1B72"/>
    <w:rsid w:val="006D1C2D"/>
    <w:rsid w:val="006D1CD1"/>
    <w:rsid w:val="006D1FDD"/>
    <w:rsid w:val="006D22C5"/>
    <w:rsid w:val="006D2608"/>
    <w:rsid w:val="006D2A9A"/>
    <w:rsid w:val="006D2AD1"/>
    <w:rsid w:val="006D2B1B"/>
    <w:rsid w:val="006D2DA0"/>
    <w:rsid w:val="006D2E06"/>
    <w:rsid w:val="006D2E30"/>
    <w:rsid w:val="006D3589"/>
    <w:rsid w:val="006D3698"/>
    <w:rsid w:val="006D378F"/>
    <w:rsid w:val="006D37B0"/>
    <w:rsid w:val="006D3A00"/>
    <w:rsid w:val="006D3AD5"/>
    <w:rsid w:val="006D3B08"/>
    <w:rsid w:val="006D3B21"/>
    <w:rsid w:val="006D3C02"/>
    <w:rsid w:val="006D3EFB"/>
    <w:rsid w:val="006D4073"/>
    <w:rsid w:val="006D4872"/>
    <w:rsid w:val="006D54BB"/>
    <w:rsid w:val="006D5778"/>
    <w:rsid w:val="006D5824"/>
    <w:rsid w:val="006D5F6F"/>
    <w:rsid w:val="006D5F84"/>
    <w:rsid w:val="006D5FAC"/>
    <w:rsid w:val="006D63DF"/>
    <w:rsid w:val="006D65D4"/>
    <w:rsid w:val="006D670A"/>
    <w:rsid w:val="006D6AE3"/>
    <w:rsid w:val="006D6C52"/>
    <w:rsid w:val="006D70EE"/>
    <w:rsid w:val="006D7105"/>
    <w:rsid w:val="006D71B2"/>
    <w:rsid w:val="006D771F"/>
    <w:rsid w:val="006D77DC"/>
    <w:rsid w:val="006D7A3E"/>
    <w:rsid w:val="006D7B03"/>
    <w:rsid w:val="006D7D28"/>
    <w:rsid w:val="006D7E76"/>
    <w:rsid w:val="006D7F44"/>
    <w:rsid w:val="006E023D"/>
    <w:rsid w:val="006E02C7"/>
    <w:rsid w:val="006E040B"/>
    <w:rsid w:val="006E044B"/>
    <w:rsid w:val="006E0585"/>
    <w:rsid w:val="006E05C4"/>
    <w:rsid w:val="006E0CBC"/>
    <w:rsid w:val="006E0E4D"/>
    <w:rsid w:val="006E10FD"/>
    <w:rsid w:val="006E14A5"/>
    <w:rsid w:val="006E1C89"/>
    <w:rsid w:val="006E1DD3"/>
    <w:rsid w:val="006E1FAF"/>
    <w:rsid w:val="006E2169"/>
    <w:rsid w:val="006E24C0"/>
    <w:rsid w:val="006E24EB"/>
    <w:rsid w:val="006E2677"/>
    <w:rsid w:val="006E27A4"/>
    <w:rsid w:val="006E2917"/>
    <w:rsid w:val="006E2AAE"/>
    <w:rsid w:val="006E2AC9"/>
    <w:rsid w:val="006E2AFF"/>
    <w:rsid w:val="006E2EAF"/>
    <w:rsid w:val="006E328F"/>
    <w:rsid w:val="006E3379"/>
    <w:rsid w:val="006E35D2"/>
    <w:rsid w:val="006E4407"/>
    <w:rsid w:val="006E45DA"/>
    <w:rsid w:val="006E4686"/>
    <w:rsid w:val="006E48C2"/>
    <w:rsid w:val="006E48DD"/>
    <w:rsid w:val="006E4AAF"/>
    <w:rsid w:val="006E4EB6"/>
    <w:rsid w:val="006E505C"/>
    <w:rsid w:val="006E5119"/>
    <w:rsid w:val="006E5128"/>
    <w:rsid w:val="006E5504"/>
    <w:rsid w:val="006E5642"/>
    <w:rsid w:val="006E57EF"/>
    <w:rsid w:val="006E590A"/>
    <w:rsid w:val="006E5A57"/>
    <w:rsid w:val="006E5ACF"/>
    <w:rsid w:val="006E5D29"/>
    <w:rsid w:val="006E5DCC"/>
    <w:rsid w:val="006E60A4"/>
    <w:rsid w:val="006E619A"/>
    <w:rsid w:val="006E6202"/>
    <w:rsid w:val="006E6270"/>
    <w:rsid w:val="006E62BB"/>
    <w:rsid w:val="006E6429"/>
    <w:rsid w:val="006E643D"/>
    <w:rsid w:val="006E656D"/>
    <w:rsid w:val="006E6A9E"/>
    <w:rsid w:val="006E6BE2"/>
    <w:rsid w:val="006E6BF5"/>
    <w:rsid w:val="006E6FF2"/>
    <w:rsid w:val="006E7109"/>
    <w:rsid w:val="006E71CB"/>
    <w:rsid w:val="006E73E4"/>
    <w:rsid w:val="006E746F"/>
    <w:rsid w:val="006E7810"/>
    <w:rsid w:val="006E789F"/>
    <w:rsid w:val="006E79D4"/>
    <w:rsid w:val="006E7A2B"/>
    <w:rsid w:val="006E7AF0"/>
    <w:rsid w:val="006E7BCF"/>
    <w:rsid w:val="006E7C1F"/>
    <w:rsid w:val="006E7C42"/>
    <w:rsid w:val="006E7D80"/>
    <w:rsid w:val="006F0082"/>
    <w:rsid w:val="006F01CB"/>
    <w:rsid w:val="006F03FF"/>
    <w:rsid w:val="006F05B1"/>
    <w:rsid w:val="006F06E4"/>
    <w:rsid w:val="006F0767"/>
    <w:rsid w:val="006F08EB"/>
    <w:rsid w:val="006F0990"/>
    <w:rsid w:val="006F0E79"/>
    <w:rsid w:val="006F0F5D"/>
    <w:rsid w:val="006F1112"/>
    <w:rsid w:val="006F11FD"/>
    <w:rsid w:val="006F15E5"/>
    <w:rsid w:val="006F17C1"/>
    <w:rsid w:val="006F180E"/>
    <w:rsid w:val="006F194C"/>
    <w:rsid w:val="006F1C0C"/>
    <w:rsid w:val="006F1C52"/>
    <w:rsid w:val="006F1C87"/>
    <w:rsid w:val="006F2220"/>
    <w:rsid w:val="006F2793"/>
    <w:rsid w:val="006F2AE2"/>
    <w:rsid w:val="006F2B95"/>
    <w:rsid w:val="006F2D0D"/>
    <w:rsid w:val="006F32EC"/>
    <w:rsid w:val="006F350B"/>
    <w:rsid w:val="006F353F"/>
    <w:rsid w:val="006F367F"/>
    <w:rsid w:val="006F368D"/>
    <w:rsid w:val="006F393F"/>
    <w:rsid w:val="006F3BE2"/>
    <w:rsid w:val="006F3D51"/>
    <w:rsid w:val="006F42CF"/>
    <w:rsid w:val="006F42E3"/>
    <w:rsid w:val="006F4313"/>
    <w:rsid w:val="006F4645"/>
    <w:rsid w:val="006F46FA"/>
    <w:rsid w:val="006F482C"/>
    <w:rsid w:val="006F4926"/>
    <w:rsid w:val="006F49A3"/>
    <w:rsid w:val="006F4A50"/>
    <w:rsid w:val="006F4BE3"/>
    <w:rsid w:val="006F51C2"/>
    <w:rsid w:val="006F534C"/>
    <w:rsid w:val="006F53DE"/>
    <w:rsid w:val="006F5469"/>
    <w:rsid w:val="006F54AC"/>
    <w:rsid w:val="006F5886"/>
    <w:rsid w:val="006F5B84"/>
    <w:rsid w:val="006F5D1E"/>
    <w:rsid w:val="006F5F4F"/>
    <w:rsid w:val="006F60D8"/>
    <w:rsid w:val="006F698C"/>
    <w:rsid w:val="006F6E1A"/>
    <w:rsid w:val="006F756B"/>
    <w:rsid w:val="006F768D"/>
    <w:rsid w:val="006F77BD"/>
    <w:rsid w:val="006F79A8"/>
    <w:rsid w:val="006F7D23"/>
    <w:rsid w:val="006F7D2B"/>
    <w:rsid w:val="007000A9"/>
    <w:rsid w:val="00700211"/>
    <w:rsid w:val="007002D1"/>
    <w:rsid w:val="00700530"/>
    <w:rsid w:val="0070055A"/>
    <w:rsid w:val="007005B1"/>
    <w:rsid w:val="00700877"/>
    <w:rsid w:val="00700903"/>
    <w:rsid w:val="00700AD3"/>
    <w:rsid w:val="00700C96"/>
    <w:rsid w:val="007010B3"/>
    <w:rsid w:val="0070118A"/>
    <w:rsid w:val="00701347"/>
    <w:rsid w:val="0070151F"/>
    <w:rsid w:val="00701682"/>
    <w:rsid w:val="00701823"/>
    <w:rsid w:val="00701898"/>
    <w:rsid w:val="00701929"/>
    <w:rsid w:val="00701938"/>
    <w:rsid w:val="00701AAB"/>
    <w:rsid w:val="00701DDA"/>
    <w:rsid w:val="00702038"/>
    <w:rsid w:val="00702065"/>
    <w:rsid w:val="007020F8"/>
    <w:rsid w:val="007021A7"/>
    <w:rsid w:val="0070251F"/>
    <w:rsid w:val="007026F2"/>
    <w:rsid w:val="0070299C"/>
    <w:rsid w:val="00702BAD"/>
    <w:rsid w:val="00702EE3"/>
    <w:rsid w:val="00703442"/>
    <w:rsid w:val="00703572"/>
    <w:rsid w:val="007037E3"/>
    <w:rsid w:val="0070386D"/>
    <w:rsid w:val="007038A9"/>
    <w:rsid w:val="00703A25"/>
    <w:rsid w:val="00703A76"/>
    <w:rsid w:val="00703AED"/>
    <w:rsid w:val="00703DBB"/>
    <w:rsid w:val="00703E1A"/>
    <w:rsid w:val="00703E71"/>
    <w:rsid w:val="00703FC5"/>
    <w:rsid w:val="0070414F"/>
    <w:rsid w:val="00704705"/>
    <w:rsid w:val="00704912"/>
    <w:rsid w:val="00704B2E"/>
    <w:rsid w:val="00705169"/>
    <w:rsid w:val="00705254"/>
    <w:rsid w:val="0070549D"/>
    <w:rsid w:val="007057B7"/>
    <w:rsid w:val="00705896"/>
    <w:rsid w:val="007058B1"/>
    <w:rsid w:val="00705DF8"/>
    <w:rsid w:val="00705F49"/>
    <w:rsid w:val="00706115"/>
    <w:rsid w:val="007061D5"/>
    <w:rsid w:val="00706254"/>
    <w:rsid w:val="00706581"/>
    <w:rsid w:val="00706736"/>
    <w:rsid w:val="007067DD"/>
    <w:rsid w:val="00706A10"/>
    <w:rsid w:val="00706C32"/>
    <w:rsid w:val="00706DCF"/>
    <w:rsid w:val="00706FDB"/>
    <w:rsid w:val="00707209"/>
    <w:rsid w:val="00707251"/>
    <w:rsid w:val="0070731B"/>
    <w:rsid w:val="00707702"/>
    <w:rsid w:val="00707767"/>
    <w:rsid w:val="00707879"/>
    <w:rsid w:val="007078E8"/>
    <w:rsid w:val="00707A30"/>
    <w:rsid w:val="00707A99"/>
    <w:rsid w:val="00707B29"/>
    <w:rsid w:val="00707BC4"/>
    <w:rsid w:val="00707C66"/>
    <w:rsid w:val="00710142"/>
    <w:rsid w:val="0071018B"/>
    <w:rsid w:val="00710353"/>
    <w:rsid w:val="00710357"/>
    <w:rsid w:val="00710497"/>
    <w:rsid w:val="00710856"/>
    <w:rsid w:val="007109CC"/>
    <w:rsid w:val="00710A83"/>
    <w:rsid w:val="00710C88"/>
    <w:rsid w:val="00710D90"/>
    <w:rsid w:val="00710DAF"/>
    <w:rsid w:val="007112AB"/>
    <w:rsid w:val="00711327"/>
    <w:rsid w:val="00711403"/>
    <w:rsid w:val="0071183A"/>
    <w:rsid w:val="00711D40"/>
    <w:rsid w:val="00711F34"/>
    <w:rsid w:val="00711FAA"/>
    <w:rsid w:val="007120AC"/>
    <w:rsid w:val="007121DB"/>
    <w:rsid w:val="00712287"/>
    <w:rsid w:val="007127F7"/>
    <w:rsid w:val="00712A1D"/>
    <w:rsid w:val="00712B94"/>
    <w:rsid w:val="0071318C"/>
    <w:rsid w:val="00713559"/>
    <w:rsid w:val="007135E4"/>
    <w:rsid w:val="007138A6"/>
    <w:rsid w:val="00713912"/>
    <w:rsid w:val="007139B4"/>
    <w:rsid w:val="00713A51"/>
    <w:rsid w:val="00713B42"/>
    <w:rsid w:val="00713B57"/>
    <w:rsid w:val="00713D95"/>
    <w:rsid w:val="00713F48"/>
    <w:rsid w:val="007140F9"/>
    <w:rsid w:val="0071425F"/>
    <w:rsid w:val="00714875"/>
    <w:rsid w:val="00714AA7"/>
    <w:rsid w:val="00714ABA"/>
    <w:rsid w:val="00714D76"/>
    <w:rsid w:val="00714FB3"/>
    <w:rsid w:val="00715363"/>
    <w:rsid w:val="00715895"/>
    <w:rsid w:val="007158A8"/>
    <w:rsid w:val="00715F12"/>
    <w:rsid w:val="00716131"/>
    <w:rsid w:val="0071622A"/>
    <w:rsid w:val="00716346"/>
    <w:rsid w:val="0071637C"/>
    <w:rsid w:val="007163FF"/>
    <w:rsid w:val="00716462"/>
    <w:rsid w:val="0071651E"/>
    <w:rsid w:val="007167A5"/>
    <w:rsid w:val="007168BB"/>
    <w:rsid w:val="00716A1D"/>
    <w:rsid w:val="00716B6A"/>
    <w:rsid w:val="00716C17"/>
    <w:rsid w:val="00716CD4"/>
    <w:rsid w:val="00716DEB"/>
    <w:rsid w:val="00716DFF"/>
    <w:rsid w:val="00717033"/>
    <w:rsid w:val="00717611"/>
    <w:rsid w:val="00717884"/>
    <w:rsid w:val="00717938"/>
    <w:rsid w:val="00717A0F"/>
    <w:rsid w:val="00717B78"/>
    <w:rsid w:val="00717C54"/>
    <w:rsid w:val="00720022"/>
    <w:rsid w:val="007201FE"/>
    <w:rsid w:val="00720238"/>
    <w:rsid w:val="00720499"/>
    <w:rsid w:val="00720812"/>
    <w:rsid w:val="00720920"/>
    <w:rsid w:val="007209D5"/>
    <w:rsid w:val="00720A35"/>
    <w:rsid w:val="00720BFA"/>
    <w:rsid w:val="00720C4F"/>
    <w:rsid w:val="00720CC2"/>
    <w:rsid w:val="00720D11"/>
    <w:rsid w:val="00720DA3"/>
    <w:rsid w:val="00720E9E"/>
    <w:rsid w:val="00720FCA"/>
    <w:rsid w:val="007213FF"/>
    <w:rsid w:val="0072161E"/>
    <w:rsid w:val="00721CCC"/>
    <w:rsid w:val="007221EC"/>
    <w:rsid w:val="00722294"/>
    <w:rsid w:val="007226A7"/>
    <w:rsid w:val="007226F5"/>
    <w:rsid w:val="0072285E"/>
    <w:rsid w:val="00722A16"/>
    <w:rsid w:val="00722C4E"/>
    <w:rsid w:val="0072327B"/>
    <w:rsid w:val="00723345"/>
    <w:rsid w:val="00723360"/>
    <w:rsid w:val="0072343D"/>
    <w:rsid w:val="007234DD"/>
    <w:rsid w:val="0072351C"/>
    <w:rsid w:val="00723642"/>
    <w:rsid w:val="007236EA"/>
    <w:rsid w:val="00723766"/>
    <w:rsid w:val="00723823"/>
    <w:rsid w:val="00723864"/>
    <w:rsid w:val="00723950"/>
    <w:rsid w:val="00723A6D"/>
    <w:rsid w:val="00723CB5"/>
    <w:rsid w:val="00723FED"/>
    <w:rsid w:val="00724063"/>
    <w:rsid w:val="007240D9"/>
    <w:rsid w:val="0072421E"/>
    <w:rsid w:val="007247A2"/>
    <w:rsid w:val="00724994"/>
    <w:rsid w:val="00724995"/>
    <w:rsid w:val="00724ABB"/>
    <w:rsid w:val="00724D49"/>
    <w:rsid w:val="00724F00"/>
    <w:rsid w:val="0072500A"/>
    <w:rsid w:val="00725029"/>
    <w:rsid w:val="00725283"/>
    <w:rsid w:val="0072574D"/>
    <w:rsid w:val="00725806"/>
    <w:rsid w:val="00725849"/>
    <w:rsid w:val="00725B86"/>
    <w:rsid w:val="00725C19"/>
    <w:rsid w:val="00725C9E"/>
    <w:rsid w:val="00725DDD"/>
    <w:rsid w:val="00725EE3"/>
    <w:rsid w:val="00725FEE"/>
    <w:rsid w:val="007263CD"/>
    <w:rsid w:val="00726426"/>
    <w:rsid w:val="007265F5"/>
    <w:rsid w:val="00726853"/>
    <w:rsid w:val="00726BB3"/>
    <w:rsid w:val="00726C5C"/>
    <w:rsid w:val="007271DF"/>
    <w:rsid w:val="0072720C"/>
    <w:rsid w:val="0072755C"/>
    <w:rsid w:val="00727561"/>
    <w:rsid w:val="00727811"/>
    <w:rsid w:val="00727849"/>
    <w:rsid w:val="00727AF8"/>
    <w:rsid w:val="00727B56"/>
    <w:rsid w:val="00727C40"/>
    <w:rsid w:val="00727F63"/>
    <w:rsid w:val="00730001"/>
    <w:rsid w:val="0073021D"/>
    <w:rsid w:val="0073064B"/>
    <w:rsid w:val="00730772"/>
    <w:rsid w:val="00730797"/>
    <w:rsid w:val="007308AB"/>
    <w:rsid w:val="00730DA9"/>
    <w:rsid w:val="00730DF6"/>
    <w:rsid w:val="00730E14"/>
    <w:rsid w:val="0073106C"/>
    <w:rsid w:val="00731155"/>
    <w:rsid w:val="0073122A"/>
    <w:rsid w:val="007313B1"/>
    <w:rsid w:val="007313EB"/>
    <w:rsid w:val="0073152E"/>
    <w:rsid w:val="00731591"/>
    <w:rsid w:val="0073160B"/>
    <w:rsid w:val="007317F8"/>
    <w:rsid w:val="00731931"/>
    <w:rsid w:val="00731F7E"/>
    <w:rsid w:val="00732123"/>
    <w:rsid w:val="007322E5"/>
    <w:rsid w:val="00732578"/>
    <w:rsid w:val="00732633"/>
    <w:rsid w:val="00732640"/>
    <w:rsid w:val="00732939"/>
    <w:rsid w:val="00732A17"/>
    <w:rsid w:val="00732B89"/>
    <w:rsid w:val="00732C29"/>
    <w:rsid w:val="00732C4B"/>
    <w:rsid w:val="00732FBB"/>
    <w:rsid w:val="00732FD5"/>
    <w:rsid w:val="00733109"/>
    <w:rsid w:val="00733169"/>
    <w:rsid w:val="0073336F"/>
    <w:rsid w:val="00733494"/>
    <w:rsid w:val="0073356A"/>
    <w:rsid w:val="00733945"/>
    <w:rsid w:val="00733C23"/>
    <w:rsid w:val="00733DCA"/>
    <w:rsid w:val="00733DE0"/>
    <w:rsid w:val="00733FA9"/>
    <w:rsid w:val="007345E5"/>
    <w:rsid w:val="00734925"/>
    <w:rsid w:val="0073493F"/>
    <w:rsid w:val="007349EF"/>
    <w:rsid w:val="00734A6C"/>
    <w:rsid w:val="00734B95"/>
    <w:rsid w:val="00734D75"/>
    <w:rsid w:val="0073509A"/>
    <w:rsid w:val="00735215"/>
    <w:rsid w:val="00735625"/>
    <w:rsid w:val="007358B3"/>
    <w:rsid w:val="0073598B"/>
    <w:rsid w:val="00735C0B"/>
    <w:rsid w:val="0073631B"/>
    <w:rsid w:val="007365FE"/>
    <w:rsid w:val="00736681"/>
    <w:rsid w:val="00736702"/>
    <w:rsid w:val="00736704"/>
    <w:rsid w:val="00736981"/>
    <w:rsid w:val="00736AB6"/>
    <w:rsid w:val="00736B88"/>
    <w:rsid w:val="00736DCF"/>
    <w:rsid w:val="00736FF0"/>
    <w:rsid w:val="00737916"/>
    <w:rsid w:val="00737D37"/>
    <w:rsid w:val="007402D2"/>
    <w:rsid w:val="007406F3"/>
    <w:rsid w:val="00740BB3"/>
    <w:rsid w:val="00740F3E"/>
    <w:rsid w:val="0074104B"/>
    <w:rsid w:val="007411BC"/>
    <w:rsid w:val="007412FB"/>
    <w:rsid w:val="0074132D"/>
    <w:rsid w:val="0074140C"/>
    <w:rsid w:val="00741524"/>
    <w:rsid w:val="0074192B"/>
    <w:rsid w:val="00741B55"/>
    <w:rsid w:val="00741BEE"/>
    <w:rsid w:val="00741E0F"/>
    <w:rsid w:val="0074222F"/>
    <w:rsid w:val="007422A8"/>
    <w:rsid w:val="007428DC"/>
    <w:rsid w:val="007429B2"/>
    <w:rsid w:val="007429CF"/>
    <w:rsid w:val="00742A09"/>
    <w:rsid w:val="00742E38"/>
    <w:rsid w:val="0074338F"/>
    <w:rsid w:val="0074346A"/>
    <w:rsid w:val="00743558"/>
    <w:rsid w:val="00743E27"/>
    <w:rsid w:val="0074436D"/>
    <w:rsid w:val="007448DA"/>
    <w:rsid w:val="007448E8"/>
    <w:rsid w:val="00744C59"/>
    <w:rsid w:val="00744D07"/>
    <w:rsid w:val="00744E1F"/>
    <w:rsid w:val="00744E70"/>
    <w:rsid w:val="00744FA1"/>
    <w:rsid w:val="0074575E"/>
    <w:rsid w:val="007457A8"/>
    <w:rsid w:val="00745A88"/>
    <w:rsid w:val="00745B37"/>
    <w:rsid w:val="00745D22"/>
    <w:rsid w:val="00745D8B"/>
    <w:rsid w:val="00745E1A"/>
    <w:rsid w:val="007460BB"/>
    <w:rsid w:val="00746183"/>
    <w:rsid w:val="007462F0"/>
    <w:rsid w:val="00746492"/>
    <w:rsid w:val="007465E6"/>
    <w:rsid w:val="0074663A"/>
    <w:rsid w:val="007467BE"/>
    <w:rsid w:val="00746AAF"/>
    <w:rsid w:val="00746E3B"/>
    <w:rsid w:val="00746F44"/>
    <w:rsid w:val="00746F96"/>
    <w:rsid w:val="00747554"/>
    <w:rsid w:val="007477D5"/>
    <w:rsid w:val="00747B49"/>
    <w:rsid w:val="00747B85"/>
    <w:rsid w:val="00750179"/>
    <w:rsid w:val="00750266"/>
    <w:rsid w:val="007505D5"/>
    <w:rsid w:val="007506E7"/>
    <w:rsid w:val="00750865"/>
    <w:rsid w:val="00750D4B"/>
    <w:rsid w:val="00750D8B"/>
    <w:rsid w:val="00751163"/>
    <w:rsid w:val="0075138C"/>
    <w:rsid w:val="007513C8"/>
    <w:rsid w:val="0075180E"/>
    <w:rsid w:val="0075199E"/>
    <w:rsid w:val="007519F2"/>
    <w:rsid w:val="00751A17"/>
    <w:rsid w:val="00751B02"/>
    <w:rsid w:val="007520A7"/>
    <w:rsid w:val="0075241C"/>
    <w:rsid w:val="007525B2"/>
    <w:rsid w:val="00752747"/>
    <w:rsid w:val="00752DF1"/>
    <w:rsid w:val="00753126"/>
    <w:rsid w:val="007531D1"/>
    <w:rsid w:val="007533EB"/>
    <w:rsid w:val="00753471"/>
    <w:rsid w:val="007534E9"/>
    <w:rsid w:val="00753AD5"/>
    <w:rsid w:val="00753C93"/>
    <w:rsid w:val="00753E57"/>
    <w:rsid w:val="00753F11"/>
    <w:rsid w:val="007541FC"/>
    <w:rsid w:val="007544A9"/>
    <w:rsid w:val="007545EA"/>
    <w:rsid w:val="007549C4"/>
    <w:rsid w:val="00754A0D"/>
    <w:rsid w:val="00754A83"/>
    <w:rsid w:val="00754B79"/>
    <w:rsid w:val="00754BB4"/>
    <w:rsid w:val="00754BBA"/>
    <w:rsid w:val="0075575B"/>
    <w:rsid w:val="007558E7"/>
    <w:rsid w:val="00755B6D"/>
    <w:rsid w:val="00755C26"/>
    <w:rsid w:val="00755CD4"/>
    <w:rsid w:val="00755D0C"/>
    <w:rsid w:val="00755DD4"/>
    <w:rsid w:val="00755EEE"/>
    <w:rsid w:val="00755F92"/>
    <w:rsid w:val="0075607B"/>
    <w:rsid w:val="00756574"/>
    <w:rsid w:val="00756AED"/>
    <w:rsid w:val="00756BD4"/>
    <w:rsid w:val="00756D8D"/>
    <w:rsid w:val="00756F3C"/>
    <w:rsid w:val="0075748B"/>
    <w:rsid w:val="00757523"/>
    <w:rsid w:val="00757674"/>
    <w:rsid w:val="007576ED"/>
    <w:rsid w:val="00757829"/>
    <w:rsid w:val="00757A0A"/>
    <w:rsid w:val="00757A89"/>
    <w:rsid w:val="00757ACB"/>
    <w:rsid w:val="00757B85"/>
    <w:rsid w:val="00757D4F"/>
    <w:rsid w:val="00757E2D"/>
    <w:rsid w:val="00757EB1"/>
    <w:rsid w:val="00757F08"/>
    <w:rsid w:val="007600D9"/>
    <w:rsid w:val="007602CF"/>
    <w:rsid w:val="0076093E"/>
    <w:rsid w:val="00761030"/>
    <w:rsid w:val="007611A9"/>
    <w:rsid w:val="0076140E"/>
    <w:rsid w:val="0076144F"/>
    <w:rsid w:val="007614AB"/>
    <w:rsid w:val="007615E2"/>
    <w:rsid w:val="007617AA"/>
    <w:rsid w:val="0076191D"/>
    <w:rsid w:val="00761C01"/>
    <w:rsid w:val="00761EFC"/>
    <w:rsid w:val="00761F9E"/>
    <w:rsid w:val="0076206D"/>
    <w:rsid w:val="00762614"/>
    <w:rsid w:val="007626AB"/>
    <w:rsid w:val="007626DE"/>
    <w:rsid w:val="00762798"/>
    <w:rsid w:val="00762A71"/>
    <w:rsid w:val="00762B33"/>
    <w:rsid w:val="00762D53"/>
    <w:rsid w:val="00763354"/>
    <w:rsid w:val="007633AF"/>
    <w:rsid w:val="007637C2"/>
    <w:rsid w:val="007639E9"/>
    <w:rsid w:val="007639FA"/>
    <w:rsid w:val="00763D55"/>
    <w:rsid w:val="00763FE8"/>
    <w:rsid w:val="007642F2"/>
    <w:rsid w:val="00764426"/>
    <w:rsid w:val="00764489"/>
    <w:rsid w:val="00764623"/>
    <w:rsid w:val="00764638"/>
    <w:rsid w:val="007648EB"/>
    <w:rsid w:val="007649EE"/>
    <w:rsid w:val="00764C86"/>
    <w:rsid w:val="00764DA3"/>
    <w:rsid w:val="00765691"/>
    <w:rsid w:val="00765CF2"/>
    <w:rsid w:val="007664E6"/>
    <w:rsid w:val="007668DD"/>
    <w:rsid w:val="00766A84"/>
    <w:rsid w:val="00766ACA"/>
    <w:rsid w:val="00766C2A"/>
    <w:rsid w:val="007670A1"/>
    <w:rsid w:val="007672D3"/>
    <w:rsid w:val="007674C5"/>
    <w:rsid w:val="007677A4"/>
    <w:rsid w:val="007679F1"/>
    <w:rsid w:val="00767C4A"/>
    <w:rsid w:val="00767E1D"/>
    <w:rsid w:val="00767EE8"/>
    <w:rsid w:val="007702C2"/>
    <w:rsid w:val="007702C8"/>
    <w:rsid w:val="007703AF"/>
    <w:rsid w:val="0077087D"/>
    <w:rsid w:val="00770BC9"/>
    <w:rsid w:val="00770BF1"/>
    <w:rsid w:val="00770C27"/>
    <w:rsid w:val="00771053"/>
    <w:rsid w:val="007710B0"/>
    <w:rsid w:val="00771373"/>
    <w:rsid w:val="00771533"/>
    <w:rsid w:val="00771561"/>
    <w:rsid w:val="007715AB"/>
    <w:rsid w:val="00771A26"/>
    <w:rsid w:val="00771B81"/>
    <w:rsid w:val="00771C10"/>
    <w:rsid w:val="00771C1C"/>
    <w:rsid w:val="00772087"/>
    <w:rsid w:val="007721C7"/>
    <w:rsid w:val="00772233"/>
    <w:rsid w:val="007723DF"/>
    <w:rsid w:val="00772894"/>
    <w:rsid w:val="007728F3"/>
    <w:rsid w:val="00772910"/>
    <w:rsid w:val="00772A0C"/>
    <w:rsid w:val="00772A82"/>
    <w:rsid w:val="00772CB3"/>
    <w:rsid w:val="00772EF3"/>
    <w:rsid w:val="00773179"/>
    <w:rsid w:val="0077325C"/>
    <w:rsid w:val="00773402"/>
    <w:rsid w:val="007736D8"/>
    <w:rsid w:val="00773F36"/>
    <w:rsid w:val="0077406E"/>
    <w:rsid w:val="00774137"/>
    <w:rsid w:val="0077413A"/>
    <w:rsid w:val="007744D2"/>
    <w:rsid w:val="007744FB"/>
    <w:rsid w:val="00774A0F"/>
    <w:rsid w:val="00774B64"/>
    <w:rsid w:val="00774BBA"/>
    <w:rsid w:val="00774BC2"/>
    <w:rsid w:val="00774E81"/>
    <w:rsid w:val="00775096"/>
    <w:rsid w:val="0077516B"/>
    <w:rsid w:val="00775603"/>
    <w:rsid w:val="007758F8"/>
    <w:rsid w:val="007759D7"/>
    <w:rsid w:val="007759E2"/>
    <w:rsid w:val="00775AAE"/>
    <w:rsid w:val="00775B8D"/>
    <w:rsid w:val="00775CA2"/>
    <w:rsid w:val="00775CD7"/>
    <w:rsid w:val="00775D32"/>
    <w:rsid w:val="00775D48"/>
    <w:rsid w:val="00775ED4"/>
    <w:rsid w:val="00775FBA"/>
    <w:rsid w:val="00776138"/>
    <w:rsid w:val="0077626C"/>
    <w:rsid w:val="007764B8"/>
    <w:rsid w:val="007765A2"/>
    <w:rsid w:val="007767E0"/>
    <w:rsid w:val="00776821"/>
    <w:rsid w:val="00776874"/>
    <w:rsid w:val="00776BED"/>
    <w:rsid w:val="00776D61"/>
    <w:rsid w:val="0077703C"/>
    <w:rsid w:val="00777091"/>
    <w:rsid w:val="00777494"/>
    <w:rsid w:val="00777770"/>
    <w:rsid w:val="00777914"/>
    <w:rsid w:val="00777920"/>
    <w:rsid w:val="007779EC"/>
    <w:rsid w:val="00777B3A"/>
    <w:rsid w:val="00777C19"/>
    <w:rsid w:val="00777E66"/>
    <w:rsid w:val="0078001C"/>
    <w:rsid w:val="007800D7"/>
    <w:rsid w:val="007803B7"/>
    <w:rsid w:val="00780652"/>
    <w:rsid w:val="00780764"/>
    <w:rsid w:val="0078081C"/>
    <w:rsid w:val="007808EE"/>
    <w:rsid w:val="00780B90"/>
    <w:rsid w:val="00780E8C"/>
    <w:rsid w:val="00781019"/>
    <w:rsid w:val="00781339"/>
    <w:rsid w:val="00781371"/>
    <w:rsid w:val="00781468"/>
    <w:rsid w:val="0078151C"/>
    <w:rsid w:val="007816C7"/>
    <w:rsid w:val="007816CB"/>
    <w:rsid w:val="007817EB"/>
    <w:rsid w:val="007818CC"/>
    <w:rsid w:val="007819F0"/>
    <w:rsid w:val="00781BCD"/>
    <w:rsid w:val="00781E33"/>
    <w:rsid w:val="007821EF"/>
    <w:rsid w:val="00782684"/>
    <w:rsid w:val="00782851"/>
    <w:rsid w:val="0078286E"/>
    <w:rsid w:val="00782DCE"/>
    <w:rsid w:val="00782FD7"/>
    <w:rsid w:val="00782FE5"/>
    <w:rsid w:val="007831D6"/>
    <w:rsid w:val="0078382D"/>
    <w:rsid w:val="007838C7"/>
    <w:rsid w:val="00783A5B"/>
    <w:rsid w:val="00783EFC"/>
    <w:rsid w:val="00783FCD"/>
    <w:rsid w:val="00783FE5"/>
    <w:rsid w:val="00784014"/>
    <w:rsid w:val="007841D0"/>
    <w:rsid w:val="007842B9"/>
    <w:rsid w:val="007844AA"/>
    <w:rsid w:val="00784741"/>
    <w:rsid w:val="00784743"/>
    <w:rsid w:val="00784992"/>
    <w:rsid w:val="007849A8"/>
    <w:rsid w:val="00784B15"/>
    <w:rsid w:val="00784B55"/>
    <w:rsid w:val="00784D2F"/>
    <w:rsid w:val="00785248"/>
    <w:rsid w:val="007853D9"/>
    <w:rsid w:val="00785735"/>
    <w:rsid w:val="007858A3"/>
    <w:rsid w:val="0078596D"/>
    <w:rsid w:val="007859DE"/>
    <w:rsid w:val="00785BAF"/>
    <w:rsid w:val="00785E21"/>
    <w:rsid w:val="00785FF5"/>
    <w:rsid w:val="00786090"/>
    <w:rsid w:val="0078627A"/>
    <w:rsid w:val="00786A93"/>
    <w:rsid w:val="00786F48"/>
    <w:rsid w:val="007871DC"/>
    <w:rsid w:val="007872E8"/>
    <w:rsid w:val="0078755E"/>
    <w:rsid w:val="007876A1"/>
    <w:rsid w:val="0078779F"/>
    <w:rsid w:val="00787AA5"/>
    <w:rsid w:val="00787B68"/>
    <w:rsid w:val="00787BAC"/>
    <w:rsid w:val="00787CA1"/>
    <w:rsid w:val="00787DE3"/>
    <w:rsid w:val="00787EA6"/>
    <w:rsid w:val="007902E7"/>
    <w:rsid w:val="0079067D"/>
    <w:rsid w:val="00790787"/>
    <w:rsid w:val="00790806"/>
    <w:rsid w:val="007909ED"/>
    <w:rsid w:val="00790E72"/>
    <w:rsid w:val="00791161"/>
    <w:rsid w:val="007913F9"/>
    <w:rsid w:val="007914C7"/>
    <w:rsid w:val="007915B6"/>
    <w:rsid w:val="007917D9"/>
    <w:rsid w:val="0079199D"/>
    <w:rsid w:val="00791D13"/>
    <w:rsid w:val="00792011"/>
    <w:rsid w:val="00792742"/>
    <w:rsid w:val="0079281D"/>
    <w:rsid w:val="00792961"/>
    <w:rsid w:val="00792D9D"/>
    <w:rsid w:val="0079304C"/>
    <w:rsid w:val="007931F6"/>
    <w:rsid w:val="00793360"/>
    <w:rsid w:val="0079344F"/>
    <w:rsid w:val="00793553"/>
    <w:rsid w:val="007935C5"/>
    <w:rsid w:val="00793625"/>
    <w:rsid w:val="0079369B"/>
    <w:rsid w:val="0079399B"/>
    <w:rsid w:val="0079406A"/>
    <w:rsid w:val="00794088"/>
    <w:rsid w:val="007941BB"/>
    <w:rsid w:val="007943A9"/>
    <w:rsid w:val="007944E2"/>
    <w:rsid w:val="007944FC"/>
    <w:rsid w:val="007948F3"/>
    <w:rsid w:val="00794F3B"/>
    <w:rsid w:val="00794FA0"/>
    <w:rsid w:val="0079502D"/>
    <w:rsid w:val="0079509F"/>
    <w:rsid w:val="00795375"/>
    <w:rsid w:val="007954EA"/>
    <w:rsid w:val="00795543"/>
    <w:rsid w:val="007956BE"/>
    <w:rsid w:val="007957DF"/>
    <w:rsid w:val="0079581F"/>
    <w:rsid w:val="0079582D"/>
    <w:rsid w:val="007958CF"/>
    <w:rsid w:val="00795A6B"/>
    <w:rsid w:val="00795BF4"/>
    <w:rsid w:val="00795D6B"/>
    <w:rsid w:val="00795F5D"/>
    <w:rsid w:val="00795FD5"/>
    <w:rsid w:val="00796307"/>
    <w:rsid w:val="00796366"/>
    <w:rsid w:val="0079638C"/>
    <w:rsid w:val="00796630"/>
    <w:rsid w:val="00796D00"/>
    <w:rsid w:val="00796FE1"/>
    <w:rsid w:val="00797024"/>
    <w:rsid w:val="00797313"/>
    <w:rsid w:val="0079797F"/>
    <w:rsid w:val="00797A0C"/>
    <w:rsid w:val="00797BCF"/>
    <w:rsid w:val="00797D63"/>
    <w:rsid w:val="00797D6E"/>
    <w:rsid w:val="00797E29"/>
    <w:rsid w:val="007A0077"/>
    <w:rsid w:val="007A0160"/>
    <w:rsid w:val="007A037D"/>
    <w:rsid w:val="007A0443"/>
    <w:rsid w:val="007A04BD"/>
    <w:rsid w:val="007A051D"/>
    <w:rsid w:val="007A09EE"/>
    <w:rsid w:val="007A0D10"/>
    <w:rsid w:val="007A0E78"/>
    <w:rsid w:val="007A1409"/>
    <w:rsid w:val="007A16AA"/>
    <w:rsid w:val="007A16AE"/>
    <w:rsid w:val="007A1B62"/>
    <w:rsid w:val="007A1BC5"/>
    <w:rsid w:val="007A1D1B"/>
    <w:rsid w:val="007A206B"/>
    <w:rsid w:val="007A23B6"/>
    <w:rsid w:val="007A23FA"/>
    <w:rsid w:val="007A2772"/>
    <w:rsid w:val="007A3317"/>
    <w:rsid w:val="007A349D"/>
    <w:rsid w:val="007A34D2"/>
    <w:rsid w:val="007A3789"/>
    <w:rsid w:val="007A38B3"/>
    <w:rsid w:val="007A3A66"/>
    <w:rsid w:val="007A3CAE"/>
    <w:rsid w:val="007A3D06"/>
    <w:rsid w:val="007A3DF0"/>
    <w:rsid w:val="007A3F28"/>
    <w:rsid w:val="007A41B5"/>
    <w:rsid w:val="007A46F6"/>
    <w:rsid w:val="007A47C8"/>
    <w:rsid w:val="007A4A1B"/>
    <w:rsid w:val="007A4DC3"/>
    <w:rsid w:val="007A51FA"/>
    <w:rsid w:val="007A521D"/>
    <w:rsid w:val="007A5327"/>
    <w:rsid w:val="007A5346"/>
    <w:rsid w:val="007A565E"/>
    <w:rsid w:val="007A56F5"/>
    <w:rsid w:val="007A5AD4"/>
    <w:rsid w:val="007A5CE9"/>
    <w:rsid w:val="007A5CF0"/>
    <w:rsid w:val="007A5D3A"/>
    <w:rsid w:val="007A5E24"/>
    <w:rsid w:val="007A602D"/>
    <w:rsid w:val="007A610F"/>
    <w:rsid w:val="007A67B5"/>
    <w:rsid w:val="007A699C"/>
    <w:rsid w:val="007A6B5F"/>
    <w:rsid w:val="007A6C8F"/>
    <w:rsid w:val="007A6CE6"/>
    <w:rsid w:val="007A7299"/>
    <w:rsid w:val="007A72B2"/>
    <w:rsid w:val="007A73FD"/>
    <w:rsid w:val="007A7410"/>
    <w:rsid w:val="007A76A2"/>
    <w:rsid w:val="007A7D70"/>
    <w:rsid w:val="007A7EA5"/>
    <w:rsid w:val="007B0139"/>
    <w:rsid w:val="007B017E"/>
    <w:rsid w:val="007B05CC"/>
    <w:rsid w:val="007B06AF"/>
    <w:rsid w:val="007B0759"/>
    <w:rsid w:val="007B099C"/>
    <w:rsid w:val="007B0A92"/>
    <w:rsid w:val="007B0AB0"/>
    <w:rsid w:val="007B0C4C"/>
    <w:rsid w:val="007B0F82"/>
    <w:rsid w:val="007B1575"/>
    <w:rsid w:val="007B15E1"/>
    <w:rsid w:val="007B170D"/>
    <w:rsid w:val="007B18EF"/>
    <w:rsid w:val="007B1959"/>
    <w:rsid w:val="007B197D"/>
    <w:rsid w:val="007B1B91"/>
    <w:rsid w:val="007B1BDA"/>
    <w:rsid w:val="007B1C16"/>
    <w:rsid w:val="007B1C67"/>
    <w:rsid w:val="007B1CE6"/>
    <w:rsid w:val="007B1F10"/>
    <w:rsid w:val="007B2101"/>
    <w:rsid w:val="007B222D"/>
    <w:rsid w:val="007B2559"/>
    <w:rsid w:val="007B2567"/>
    <w:rsid w:val="007B259D"/>
    <w:rsid w:val="007B2786"/>
    <w:rsid w:val="007B28F4"/>
    <w:rsid w:val="007B2973"/>
    <w:rsid w:val="007B2A85"/>
    <w:rsid w:val="007B2D00"/>
    <w:rsid w:val="007B2FE3"/>
    <w:rsid w:val="007B304D"/>
    <w:rsid w:val="007B31E9"/>
    <w:rsid w:val="007B3296"/>
    <w:rsid w:val="007B36D1"/>
    <w:rsid w:val="007B387C"/>
    <w:rsid w:val="007B3F71"/>
    <w:rsid w:val="007B400B"/>
    <w:rsid w:val="007B4046"/>
    <w:rsid w:val="007B4074"/>
    <w:rsid w:val="007B40E1"/>
    <w:rsid w:val="007B42BD"/>
    <w:rsid w:val="007B459D"/>
    <w:rsid w:val="007B4672"/>
    <w:rsid w:val="007B49DB"/>
    <w:rsid w:val="007B4A07"/>
    <w:rsid w:val="007B4B15"/>
    <w:rsid w:val="007B4C1E"/>
    <w:rsid w:val="007B4D89"/>
    <w:rsid w:val="007B4EC4"/>
    <w:rsid w:val="007B4EF9"/>
    <w:rsid w:val="007B503F"/>
    <w:rsid w:val="007B506E"/>
    <w:rsid w:val="007B509E"/>
    <w:rsid w:val="007B5226"/>
    <w:rsid w:val="007B5561"/>
    <w:rsid w:val="007B55FC"/>
    <w:rsid w:val="007B5715"/>
    <w:rsid w:val="007B59A6"/>
    <w:rsid w:val="007B5A7A"/>
    <w:rsid w:val="007B5A88"/>
    <w:rsid w:val="007B5AE6"/>
    <w:rsid w:val="007B5B09"/>
    <w:rsid w:val="007B5D8C"/>
    <w:rsid w:val="007B6150"/>
    <w:rsid w:val="007B6585"/>
    <w:rsid w:val="007B69CD"/>
    <w:rsid w:val="007B6A49"/>
    <w:rsid w:val="007B6A90"/>
    <w:rsid w:val="007B6C24"/>
    <w:rsid w:val="007B6CCF"/>
    <w:rsid w:val="007B7493"/>
    <w:rsid w:val="007B7548"/>
    <w:rsid w:val="007B766A"/>
    <w:rsid w:val="007B767B"/>
    <w:rsid w:val="007B7893"/>
    <w:rsid w:val="007B79B9"/>
    <w:rsid w:val="007B7A80"/>
    <w:rsid w:val="007B7E01"/>
    <w:rsid w:val="007C02A3"/>
    <w:rsid w:val="007C039E"/>
    <w:rsid w:val="007C06F4"/>
    <w:rsid w:val="007C0856"/>
    <w:rsid w:val="007C088B"/>
    <w:rsid w:val="007C08B1"/>
    <w:rsid w:val="007C0A7D"/>
    <w:rsid w:val="007C0EBB"/>
    <w:rsid w:val="007C103D"/>
    <w:rsid w:val="007C1436"/>
    <w:rsid w:val="007C1775"/>
    <w:rsid w:val="007C1926"/>
    <w:rsid w:val="007C1CE5"/>
    <w:rsid w:val="007C1F3F"/>
    <w:rsid w:val="007C27C1"/>
    <w:rsid w:val="007C29CA"/>
    <w:rsid w:val="007C2A44"/>
    <w:rsid w:val="007C2A99"/>
    <w:rsid w:val="007C2B54"/>
    <w:rsid w:val="007C2C6A"/>
    <w:rsid w:val="007C2D07"/>
    <w:rsid w:val="007C2D16"/>
    <w:rsid w:val="007C3039"/>
    <w:rsid w:val="007C314C"/>
    <w:rsid w:val="007C3209"/>
    <w:rsid w:val="007C341F"/>
    <w:rsid w:val="007C35D8"/>
    <w:rsid w:val="007C3611"/>
    <w:rsid w:val="007C3771"/>
    <w:rsid w:val="007C3801"/>
    <w:rsid w:val="007C3AD0"/>
    <w:rsid w:val="007C3B00"/>
    <w:rsid w:val="007C3B8A"/>
    <w:rsid w:val="007C4155"/>
    <w:rsid w:val="007C4190"/>
    <w:rsid w:val="007C4387"/>
    <w:rsid w:val="007C49A7"/>
    <w:rsid w:val="007C49E5"/>
    <w:rsid w:val="007C49FC"/>
    <w:rsid w:val="007C4A35"/>
    <w:rsid w:val="007C4A8B"/>
    <w:rsid w:val="007C4B5A"/>
    <w:rsid w:val="007C4CB9"/>
    <w:rsid w:val="007C4DC8"/>
    <w:rsid w:val="007C4EF1"/>
    <w:rsid w:val="007C4F5D"/>
    <w:rsid w:val="007C5010"/>
    <w:rsid w:val="007C52A0"/>
    <w:rsid w:val="007C5362"/>
    <w:rsid w:val="007C5424"/>
    <w:rsid w:val="007C5425"/>
    <w:rsid w:val="007C562E"/>
    <w:rsid w:val="007C590E"/>
    <w:rsid w:val="007C5995"/>
    <w:rsid w:val="007C59CF"/>
    <w:rsid w:val="007C5A44"/>
    <w:rsid w:val="007C5C02"/>
    <w:rsid w:val="007C5C29"/>
    <w:rsid w:val="007C5E6C"/>
    <w:rsid w:val="007C60A5"/>
    <w:rsid w:val="007C6262"/>
    <w:rsid w:val="007C62A7"/>
    <w:rsid w:val="007C64E5"/>
    <w:rsid w:val="007C66BC"/>
    <w:rsid w:val="007C6BC7"/>
    <w:rsid w:val="007C6D94"/>
    <w:rsid w:val="007C6F88"/>
    <w:rsid w:val="007C71FB"/>
    <w:rsid w:val="007C729E"/>
    <w:rsid w:val="007C75DF"/>
    <w:rsid w:val="007C7841"/>
    <w:rsid w:val="007C79FC"/>
    <w:rsid w:val="007C7ABE"/>
    <w:rsid w:val="007D015E"/>
    <w:rsid w:val="007D0256"/>
    <w:rsid w:val="007D0299"/>
    <w:rsid w:val="007D0587"/>
    <w:rsid w:val="007D06D1"/>
    <w:rsid w:val="007D07DA"/>
    <w:rsid w:val="007D0866"/>
    <w:rsid w:val="007D0B2A"/>
    <w:rsid w:val="007D0BB1"/>
    <w:rsid w:val="007D0CA2"/>
    <w:rsid w:val="007D0CC7"/>
    <w:rsid w:val="007D0D90"/>
    <w:rsid w:val="007D0E52"/>
    <w:rsid w:val="007D0EAB"/>
    <w:rsid w:val="007D1028"/>
    <w:rsid w:val="007D148E"/>
    <w:rsid w:val="007D1535"/>
    <w:rsid w:val="007D15DA"/>
    <w:rsid w:val="007D1B09"/>
    <w:rsid w:val="007D1EB2"/>
    <w:rsid w:val="007D1F91"/>
    <w:rsid w:val="007D1FC3"/>
    <w:rsid w:val="007D220D"/>
    <w:rsid w:val="007D22E3"/>
    <w:rsid w:val="007D23A7"/>
    <w:rsid w:val="007D2474"/>
    <w:rsid w:val="007D289C"/>
    <w:rsid w:val="007D29F0"/>
    <w:rsid w:val="007D2B36"/>
    <w:rsid w:val="007D2C37"/>
    <w:rsid w:val="007D2D2C"/>
    <w:rsid w:val="007D2E57"/>
    <w:rsid w:val="007D30F5"/>
    <w:rsid w:val="007D3197"/>
    <w:rsid w:val="007D31CA"/>
    <w:rsid w:val="007D3810"/>
    <w:rsid w:val="007D3A14"/>
    <w:rsid w:val="007D3B65"/>
    <w:rsid w:val="007D402F"/>
    <w:rsid w:val="007D415B"/>
    <w:rsid w:val="007D437E"/>
    <w:rsid w:val="007D44E1"/>
    <w:rsid w:val="007D44F2"/>
    <w:rsid w:val="007D4654"/>
    <w:rsid w:val="007D49DB"/>
    <w:rsid w:val="007D4B34"/>
    <w:rsid w:val="007D4CEB"/>
    <w:rsid w:val="007D4EFD"/>
    <w:rsid w:val="007D4F00"/>
    <w:rsid w:val="007D536A"/>
    <w:rsid w:val="007D565C"/>
    <w:rsid w:val="007D5780"/>
    <w:rsid w:val="007D5859"/>
    <w:rsid w:val="007D593F"/>
    <w:rsid w:val="007D5A84"/>
    <w:rsid w:val="007D5E48"/>
    <w:rsid w:val="007D5F3B"/>
    <w:rsid w:val="007D606A"/>
    <w:rsid w:val="007D6120"/>
    <w:rsid w:val="007D61D4"/>
    <w:rsid w:val="007D6268"/>
    <w:rsid w:val="007D6290"/>
    <w:rsid w:val="007D62C2"/>
    <w:rsid w:val="007D655D"/>
    <w:rsid w:val="007D6708"/>
    <w:rsid w:val="007D68C6"/>
    <w:rsid w:val="007D6AF8"/>
    <w:rsid w:val="007D7146"/>
    <w:rsid w:val="007D71CB"/>
    <w:rsid w:val="007D7321"/>
    <w:rsid w:val="007D743F"/>
    <w:rsid w:val="007D75A8"/>
    <w:rsid w:val="007D7980"/>
    <w:rsid w:val="007D7D17"/>
    <w:rsid w:val="007E05BF"/>
    <w:rsid w:val="007E05CC"/>
    <w:rsid w:val="007E06DF"/>
    <w:rsid w:val="007E0DA4"/>
    <w:rsid w:val="007E105E"/>
    <w:rsid w:val="007E107A"/>
    <w:rsid w:val="007E10BA"/>
    <w:rsid w:val="007E125B"/>
    <w:rsid w:val="007E13B9"/>
    <w:rsid w:val="007E13FB"/>
    <w:rsid w:val="007E148E"/>
    <w:rsid w:val="007E18D2"/>
    <w:rsid w:val="007E1BA8"/>
    <w:rsid w:val="007E1C3E"/>
    <w:rsid w:val="007E1D42"/>
    <w:rsid w:val="007E1E79"/>
    <w:rsid w:val="007E214F"/>
    <w:rsid w:val="007E2315"/>
    <w:rsid w:val="007E23E2"/>
    <w:rsid w:val="007E2ACE"/>
    <w:rsid w:val="007E306D"/>
    <w:rsid w:val="007E3143"/>
    <w:rsid w:val="007E31C2"/>
    <w:rsid w:val="007E3312"/>
    <w:rsid w:val="007E3710"/>
    <w:rsid w:val="007E39D6"/>
    <w:rsid w:val="007E3ADF"/>
    <w:rsid w:val="007E3C48"/>
    <w:rsid w:val="007E3CBD"/>
    <w:rsid w:val="007E3DBE"/>
    <w:rsid w:val="007E40C2"/>
    <w:rsid w:val="007E41BE"/>
    <w:rsid w:val="007E47E1"/>
    <w:rsid w:val="007E480C"/>
    <w:rsid w:val="007E48A6"/>
    <w:rsid w:val="007E4943"/>
    <w:rsid w:val="007E4D0D"/>
    <w:rsid w:val="007E5004"/>
    <w:rsid w:val="007E500B"/>
    <w:rsid w:val="007E5093"/>
    <w:rsid w:val="007E54EF"/>
    <w:rsid w:val="007E5E54"/>
    <w:rsid w:val="007E601A"/>
    <w:rsid w:val="007E612C"/>
    <w:rsid w:val="007E618E"/>
    <w:rsid w:val="007E62EB"/>
    <w:rsid w:val="007E6342"/>
    <w:rsid w:val="007E644F"/>
    <w:rsid w:val="007E6498"/>
    <w:rsid w:val="007E652C"/>
    <w:rsid w:val="007E6865"/>
    <w:rsid w:val="007E6C6C"/>
    <w:rsid w:val="007E6CED"/>
    <w:rsid w:val="007E6E14"/>
    <w:rsid w:val="007E6F3B"/>
    <w:rsid w:val="007E757C"/>
    <w:rsid w:val="007E794C"/>
    <w:rsid w:val="007E7B5E"/>
    <w:rsid w:val="007E7DB1"/>
    <w:rsid w:val="007F05A0"/>
    <w:rsid w:val="007F0969"/>
    <w:rsid w:val="007F0E4D"/>
    <w:rsid w:val="007F0EAC"/>
    <w:rsid w:val="007F10FD"/>
    <w:rsid w:val="007F12E7"/>
    <w:rsid w:val="007F1A98"/>
    <w:rsid w:val="007F1B74"/>
    <w:rsid w:val="007F1E34"/>
    <w:rsid w:val="007F1E3E"/>
    <w:rsid w:val="007F1E7B"/>
    <w:rsid w:val="007F2092"/>
    <w:rsid w:val="007F22E9"/>
    <w:rsid w:val="007F261D"/>
    <w:rsid w:val="007F275F"/>
    <w:rsid w:val="007F2E0D"/>
    <w:rsid w:val="007F2ECD"/>
    <w:rsid w:val="007F2F0D"/>
    <w:rsid w:val="007F2F63"/>
    <w:rsid w:val="007F2F77"/>
    <w:rsid w:val="007F2F7D"/>
    <w:rsid w:val="007F3178"/>
    <w:rsid w:val="007F31EF"/>
    <w:rsid w:val="007F345F"/>
    <w:rsid w:val="007F3471"/>
    <w:rsid w:val="007F36F5"/>
    <w:rsid w:val="007F38A8"/>
    <w:rsid w:val="007F3B43"/>
    <w:rsid w:val="007F3C24"/>
    <w:rsid w:val="007F3C36"/>
    <w:rsid w:val="007F3E2D"/>
    <w:rsid w:val="007F3EE5"/>
    <w:rsid w:val="007F40BD"/>
    <w:rsid w:val="007F41B6"/>
    <w:rsid w:val="007F445D"/>
    <w:rsid w:val="007F46DD"/>
    <w:rsid w:val="007F490C"/>
    <w:rsid w:val="007F4A9A"/>
    <w:rsid w:val="007F5155"/>
    <w:rsid w:val="007F5268"/>
    <w:rsid w:val="007F52A5"/>
    <w:rsid w:val="007F52C7"/>
    <w:rsid w:val="007F5303"/>
    <w:rsid w:val="007F530E"/>
    <w:rsid w:val="007F559C"/>
    <w:rsid w:val="007F5741"/>
    <w:rsid w:val="007F5810"/>
    <w:rsid w:val="007F5A67"/>
    <w:rsid w:val="007F5B59"/>
    <w:rsid w:val="007F5BAB"/>
    <w:rsid w:val="007F5EF9"/>
    <w:rsid w:val="007F65FC"/>
    <w:rsid w:val="007F66B4"/>
    <w:rsid w:val="007F687B"/>
    <w:rsid w:val="007F6A59"/>
    <w:rsid w:val="007F6DD8"/>
    <w:rsid w:val="007F6EBF"/>
    <w:rsid w:val="007F6EC2"/>
    <w:rsid w:val="007F6EDA"/>
    <w:rsid w:val="007F718B"/>
    <w:rsid w:val="007F73C6"/>
    <w:rsid w:val="007F73EE"/>
    <w:rsid w:val="007F763A"/>
    <w:rsid w:val="007F76A2"/>
    <w:rsid w:val="007F7750"/>
    <w:rsid w:val="007F789A"/>
    <w:rsid w:val="007F78E6"/>
    <w:rsid w:val="008000AA"/>
    <w:rsid w:val="00800703"/>
    <w:rsid w:val="00800827"/>
    <w:rsid w:val="008009DA"/>
    <w:rsid w:val="00800A18"/>
    <w:rsid w:val="00800C0C"/>
    <w:rsid w:val="00800C4C"/>
    <w:rsid w:val="00800DFF"/>
    <w:rsid w:val="00801258"/>
    <w:rsid w:val="00801526"/>
    <w:rsid w:val="00801CC6"/>
    <w:rsid w:val="0080200D"/>
    <w:rsid w:val="008020F1"/>
    <w:rsid w:val="008021BE"/>
    <w:rsid w:val="008024F7"/>
    <w:rsid w:val="0080273A"/>
    <w:rsid w:val="008027E2"/>
    <w:rsid w:val="00802963"/>
    <w:rsid w:val="00802AD0"/>
    <w:rsid w:val="00802BB8"/>
    <w:rsid w:val="008030CC"/>
    <w:rsid w:val="0080315F"/>
    <w:rsid w:val="00803235"/>
    <w:rsid w:val="0080348C"/>
    <w:rsid w:val="0080351C"/>
    <w:rsid w:val="00803522"/>
    <w:rsid w:val="008037BB"/>
    <w:rsid w:val="00803EA2"/>
    <w:rsid w:val="00803ED9"/>
    <w:rsid w:val="0080416A"/>
    <w:rsid w:val="008045B3"/>
    <w:rsid w:val="00804677"/>
    <w:rsid w:val="00804A66"/>
    <w:rsid w:val="00804B11"/>
    <w:rsid w:val="00804C34"/>
    <w:rsid w:val="00804C91"/>
    <w:rsid w:val="00804DC2"/>
    <w:rsid w:val="00804E63"/>
    <w:rsid w:val="008050CB"/>
    <w:rsid w:val="00805171"/>
    <w:rsid w:val="00805406"/>
    <w:rsid w:val="008055D0"/>
    <w:rsid w:val="00805929"/>
    <w:rsid w:val="008059BF"/>
    <w:rsid w:val="00805A7E"/>
    <w:rsid w:val="00805A8D"/>
    <w:rsid w:val="00805CEC"/>
    <w:rsid w:val="00805F11"/>
    <w:rsid w:val="008061F0"/>
    <w:rsid w:val="00806369"/>
    <w:rsid w:val="008064FC"/>
    <w:rsid w:val="00806554"/>
    <w:rsid w:val="008068DF"/>
    <w:rsid w:val="00806B21"/>
    <w:rsid w:val="00806DC2"/>
    <w:rsid w:val="0080766C"/>
    <w:rsid w:val="00807909"/>
    <w:rsid w:val="00807994"/>
    <w:rsid w:val="00807BDB"/>
    <w:rsid w:val="00807E20"/>
    <w:rsid w:val="00807FDC"/>
    <w:rsid w:val="008100C7"/>
    <w:rsid w:val="0081064E"/>
    <w:rsid w:val="00810825"/>
    <w:rsid w:val="00810954"/>
    <w:rsid w:val="00810B2D"/>
    <w:rsid w:val="008114EE"/>
    <w:rsid w:val="008117C0"/>
    <w:rsid w:val="00811BF7"/>
    <w:rsid w:val="00811C0C"/>
    <w:rsid w:val="00811C7A"/>
    <w:rsid w:val="00811E1E"/>
    <w:rsid w:val="00812007"/>
    <w:rsid w:val="00812087"/>
    <w:rsid w:val="0081231A"/>
    <w:rsid w:val="00812483"/>
    <w:rsid w:val="0081273D"/>
    <w:rsid w:val="00812981"/>
    <w:rsid w:val="00812DF4"/>
    <w:rsid w:val="00812FBD"/>
    <w:rsid w:val="00813257"/>
    <w:rsid w:val="00813266"/>
    <w:rsid w:val="0081338D"/>
    <w:rsid w:val="0081340C"/>
    <w:rsid w:val="00813465"/>
    <w:rsid w:val="008135B5"/>
    <w:rsid w:val="008135F7"/>
    <w:rsid w:val="00813753"/>
    <w:rsid w:val="00813879"/>
    <w:rsid w:val="00813A93"/>
    <w:rsid w:val="00813B79"/>
    <w:rsid w:val="00813E75"/>
    <w:rsid w:val="00814093"/>
    <w:rsid w:val="00814373"/>
    <w:rsid w:val="008144C8"/>
    <w:rsid w:val="0081480C"/>
    <w:rsid w:val="00814B3C"/>
    <w:rsid w:val="00814D78"/>
    <w:rsid w:val="00814DA8"/>
    <w:rsid w:val="00814E86"/>
    <w:rsid w:val="00814F3D"/>
    <w:rsid w:val="00814FC2"/>
    <w:rsid w:val="008150AB"/>
    <w:rsid w:val="00815778"/>
    <w:rsid w:val="00815F45"/>
    <w:rsid w:val="0081612E"/>
    <w:rsid w:val="0081616A"/>
    <w:rsid w:val="0081633A"/>
    <w:rsid w:val="0081635C"/>
    <w:rsid w:val="008164C8"/>
    <w:rsid w:val="008167AD"/>
    <w:rsid w:val="0081680E"/>
    <w:rsid w:val="00816B03"/>
    <w:rsid w:val="00816B8C"/>
    <w:rsid w:val="00816BC2"/>
    <w:rsid w:val="00816C99"/>
    <w:rsid w:val="00816D91"/>
    <w:rsid w:val="00816E08"/>
    <w:rsid w:val="00816E41"/>
    <w:rsid w:val="00816F71"/>
    <w:rsid w:val="008170D6"/>
    <w:rsid w:val="00817118"/>
    <w:rsid w:val="00817242"/>
    <w:rsid w:val="00817297"/>
    <w:rsid w:val="0081747B"/>
    <w:rsid w:val="008177FB"/>
    <w:rsid w:val="00817916"/>
    <w:rsid w:val="00817A20"/>
    <w:rsid w:val="00817EA7"/>
    <w:rsid w:val="008200E0"/>
    <w:rsid w:val="008201D3"/>
    <w:rsid w:val="00820221"/>
    <w:rsid w:val="00820AF9"/>
    <w:rsid w:val="00820BE5"/>
    <w:rsid w:val="00820FA2"/>
    <w:rsid w:val="008210F0"/>
    <w:rsid w:val="008217A2"/>
    <w:rsid w:val="008218EB"/>
    <w:rsid w:val="00821ADC"/>
    <w:rsid w:val="00821D06"/>
    <w:rsid w:val="00821D2C"/>
    <w:rsid w:val="00821DBA"/>
    <w:rsid w:val="00821E4B"/>
    <w:rsid w:val="00821F66"/>
    <w:rsid w:val="008221B2"/>
    <w:rsid w:val="00822419"/>
    <w:rsid w:val="00822476"/>
    <w:rsid w:val="00822503"/>
    <w:rsid w:val="00822725"/>
    <w:rsid w:val="008227F5"/>
    <w:rsid w:val="00822A5B"/>
    <w:rsid w:val="00822C35"/>
    <w:rsid w:val="00822F36"/>
    <w:rsid w:val="00822F3D"/>
    <w:rsid w:val="00822F43"/>
    <w:rsid w:val="00822F4C"/>
    <w:rsid w:val="00823118"/>
    <w:rsid w:val="00823342"/>
    <w:rsid w:val="008237C8"/>
    <w:rsid w:val="0082401D"/>
    <w:rsid w:val="00824182"/>
    <w:rsid w:val="00824191"/>
    <w:rsid w:val="00824492"/>
    <w:rsid w:val="0082475F"/>
    <w:rsid w:val="00825508"/>
    <w:rsid w:val="008256C0"/>
    <w:rsid w:val="00825892"/>
    <w:rsid w:val="00825F9C"/>
    <w:rsid w:val="008260FB"/>
    <w:rsid w:val="00826195"/>
    <w:rsid w:val="008261B5"/>
    <w:rsid w:val="00826683"/>
    <w:rsid w:val="00826D77"/>
    <w:rsid w:val="008270A8"/>
    <w:rsid w:val="0082727C"/>
    <w:rsid w:val="008274D4"/>
    <w:rsid w:val="0082768E"/>
    <w:rsid w:val="00827C16"/>
    <w:rsid w:val="00827C7F"/>
    <w:rsid w:val="00827DAF"/>
    <w:rsid w:val="0083021E"/>
    <w:rsid w:val="00830371"/>
    <w:rsid w:val="008304C4"/>
    <w:rsid w:val="0083063F"/>
    <w:rsid w:val="00830A51"/>
    <w:rsid w:val="00830B85"/>
    <w:rsid w:val="00830B9E"/>
    <w:rsid w:val="00830CD8"/>
    <w:rsid w:val="008311D7"/>
    <w:rsid w:val="008312F4"/>
    <w:rsid w:val="00831338"/>
    <w:rsid w:val="00831510"/>
    <w:rsid w:val="008316D7"/>
    <w:rsid w:val="00831944"/>
    <w:rsid w:val="00831A2C"/>
    <w:rsid w:val="00831E82"/>
    <w:rsid w:val="00831F89"/>
    <w:rsid w:val="008324F9"/>
    <w:rsid w:val="0083256E"/>
    <w:rsid w:val="0083286E"/>
    <w:rsid w:val="00832C28"/>
    <w:rsid w:val="00832EB3"/>
    <w:rsid w:val="0083313F"/>
    <w:rsid w:val="008333E6"/>
    <w:rsid w:val="008335F7"/>
    <w:rsid w:val="00833D2D"/>
    <w:rsid w:val="00833D55"/>
    <w:rsid w:val="00834326"/>
    <w:rsid w:val="0083439B"/>
    <w:rsid w:val="008349C9"/>
    <w:rsid w:val="00834A8C"/>
    <w:rsid w:val="00834FB4"/>
    <w:rsid w:val="00835330"/>
    <w:rsid w:val="00835525"/>
    <w:rsid w:val="008358BE"/>
    <w:rsid w:val="00835905"/>
    <w:rsid w:val="00835AB7"/>
    <w:rsid w:val="00835F4A"/>
    <w:rsid w:val="00836001"/>
    <w:rsid w:val="0083611E"/>
    <w:rsid w:val="008361DA"/>
    <w:rsid w:val="0083626D"/>
    <w:rsid w:val="008362BD"/>
    <w:rsid w:val="008363C7"/>
    <w:rsid w:val="008364DD"/>
    <w:rsid w:val="0083671F"/>
    <w:rsid w:val="00836B92"/>
    <w:rsid w:val="00836D1D"/>
    <w:rsid w:val="00836D2E"/>
    <w:rsid w:val="00837135"/>
    <w:rsid w:val="00837147"/>
    <w:rsid w:val="00837400"/>
    <w:rsid w:val="008375DA"/>
    <w:rsid w:val="00837683"/>
    <w:rsid w:val="0083779D"/>
    <w:rsid w:val="00837968"/>
    <w:rsid w:val="008379DE"/>
    <w:rsid w:val="00837CFD"/>
    <w:rsid w:val="00837DF5"/>
    <w:rsid w:val="00837EA1"/>
    <w:rsid w:val="00837EBA"/>
    <w:rsid w:val="008400CD"/>
    <w:rsid w:val="00840252"/>
    <w:rsid w:val="00840DE6"/>
    <w:rsid w:val="00841054"/>
    <w:rsid w:val="008412A1"/>
    <w:rsid w:val="00841432"/>
    <w:rsid w:val="008417CD"/>
    <w:rsid w:val="00841841"/>
    <w:rsid w:val="00841A4B"/>
    <w:rsid w:val="00841C6F"/>
    <w:rsid w:val="00841CD6"/>
    <w:rsid w:val="00841D48"/>
    <w:rsid w:val="00841EE1"/>
    <w:rsid w:val="0084200F"/>
    <w:rsid w:val="00842019"/>
    <w:rsid w:val="00842152"/>
    <w:rsid w:val="008423C5"/>
    <w:rsid w:val="008423CC"/>
    <w:rsid w:val="008423ED"/>
    <w:rsid w:val="00842433"/>
    <w:rsid w:val="008424A7"/>
    <w:rsid w:val="008424DF"/>
    <w:rsid w:val="00842863"/>
    <w:rsid w:val="00842A37"/>
    <w:rsid w:val="00842A9F"/>
    <w:rsid w:val="00842ADE"/>
    <w:rsid w:val="00842E8B"/>
    <w:rsid w:val="00842F83"/>
    <w:rsid w:val="008431C2"/>
    <w:rsid w:val="00843203"/>
    <w:rsid w:val="00843243"/>
    <w:rsid w:val="0084328C"/>
    <w:rsid w:val="0084336B"/>
    <w:rsid w:val="008433F8"/>
    <w:rsid w:val="0084352C"/>
    <w:rsid w:val="008437BD"/>
    <w:rsid w:val="00843FAB"/>
    <w:rsid w:val="008442EB"/>
    <w:rsid w:val="008445CD"/>
    <w:rsid w:val="008449FF"/>
    <w:rsid w:val="00844BBE"/>
    <w:rsid w:val="00844C94"/>
    <w:rsid w:val="00844DE7"/>
    <w:rsid w:val="00844F65"/>
    <w:rsid w:val="008456D1"/>
    <w:rsid w:val="00845732"/>
    <w:rsid w:val="00845891"/>
    <w:rsid w:val="00845C7D"/>
    <w:rsid w:val="008463BF"/>
    <w:rsid w:val="0084641C"/>
    <w:rsid w:val="0084647A"/>
    <w:rsid w:val="008464B5"/>
    <w:rsid w:val="00846643"/>
    <w:rsid w:val="00846647"/>
    <w:rsid w:val="00846899"/>
    <w:rsid w:val="00846A37"/>
    <w:rsid w:val="00846B6B"/>
    <w:rsid w:val="00846D53"/>
    <w:rsid w:val="008473CF"/>
    <w:rsid w:val="008476F2"/>
    <w:rsid w:val="00847BE3"/>
    <w:rsid w:val="00847F98"/>
    <w:rsid w:val="00850361"/>
    <w:rsid w:val="0085038A"/>
    <w:rsid w:val="00850A81"/>
    <w:rsid w:val="00850CB9"/>
    <w:rsid w:val="00850D1D"/>
    <w:rsid w:val="00850E01"/>
    <w:rsid w:val="008512A8"/>
    <w:rsid w:val="0085142D"/>
    <w:rsid w:val="008515A3"/>
    <w:rsid w:val="00851A11"/>
    <w:rsid w:val="00851A8E"/>
    <w:rsid w:val="00851D4D"/>
    <w:rsid w:val="00851EFD"/>
    <w:rsid w:val="00851FA7"/>
    <w:rsid w:val="0085203C"/>
    <w:rsid w:val="0085205D"/>
    <w:rsid w:val="00852371"/>
    <w:rsid w:val="00852440"/>
    <w:rsid w:val="00852692"/>
    <w:rsid w:val="008526D2"/>
    <w:rsid w:val="008528ED"/>
    <w:rsid w:val="00852922"/>
    <w:rsid w:val="00852973"/>
    <w:rsid w:val="00852B0D"/>
    <w:rsid w:val="00852B4C"/>
    <w:rsid w:val="00852C12"/>
    <w:rsid w:val="008530E8"/>
    <w:rsid w:val="0085317B"/>
    <w:rsid w:val="008532A3"/>
    <w:rsid w:val="008537E9"/>
    <w:rsid w:val="00853A5B"/>
    <w:rsid w:val="00853AC5"/>
    <w:rsid w:val="00853E41"/>
    <w:rsid w:val="00853E89"/>
    <w:rsid w:val="00854161"/>
    <w:rsid w:val="00854811"/>
    <w:rsid w:val="00854842"/>
    <w:rsid w:val="008548CA"/>
    <w:rsid w:val="00854A54"/>
    <w:rsid w:val="00854D37"/>
    <w:rsid w:val="00854D9E"/>
    <w:rsid w:val="00855104"/>
    <w:rsid w:val="00855128"/>
    <w:rsid w:val="00855279"/>
    <w:rsid w:val="008555FD"/>
    <w:rsid w:val="008558FA"/>
    <w:rsid w:val="0085592E"/>
    <w:rsid w:val="00855C25"/>
    <w:rsid w:val="00855C5C"/>
    <w:rsid w:val="00855E98"/>
    <w:rsid w:val="00855F38"/>
    <w:rsid w:val="00856064"/>
    <w:rsid w:val="008562C1"/>
    <w:rsid w:val="0085648F"/>
    <w:rsid w:val="008564F6"/>
    <w:rsid w:val="0085652D"/>
    <w:rsid w:val="008565C8"/>
    <w:rsid w:val="008568A2"/>
    <w:rsid w:val="0085690F"/>
    <w:rsid w:val="00856954"/>
    <w:rsid w:val="0085697A"/>
    <w:rsid w:val="00856AE3"/>
    <w:rsid w:val="00856B1E"/>
    <w:rsid w:val="00856BEA"/>
    <w:rsid w:val="008572D9"/>
    <w:rsid w:val="008574A2"/>
    <w:rsid w:val="00857B5C"/>
    <w:rsid w:val="00857F08"/>
    <w:rsid w:val="00860045"/>
    <w:rsid w:val="0086053A"/>
    <w:rsid w:val="008605FD"/>
    <w:rsid w:val="0086077F"/>
    <w:rsid w:val="00860A10"/>
    <w:rsid w:val="00860A97"/>
    <w:rsid w:val="00860AAE"/>
    <w:rsid w:val="00860ACE"/>
    <w:rsid w:val="00860B4B"/>
    <w:rsid w:val="00860BF7"/>
    <w:rsid w:val="00860DEC"/>
    <w:rsid w:val="00860FA6"/>
    <w:rsid w:val="00861149"/>
    <w:rsid w:val="0086115B"/>
    <w:rsid w:val="0086157B"/>
    <w:rsid w:val="008618B9"/>
    <w:rsid w:val="008618E7"/>
    <w:rsid w:val="00861B6A"/>
    <w:rsid w:val="00861DC7"/>
    <w:rsid w:val="00861E13"/>
    <w:rsid w:val="008621EB"/>
    <w:rsid w:val="008625B5"/>
    <w:rsid w:val="0086267D"/>
    <w:rsid w:val="00862799"/>
    <w:rsid w:val="00862CCF"/>
    <w:rsid w:val="00863060"/>
    <w:rsid w:val="0086343B"/>
    <w:rsid w:val="008634DA"/>
    <w:rsid w:val="008635D1"/>
    <w:rsid w:val="00863732"/>
    <w:rsid w:val="008637D5"/>
    <w:rsid w:val="00864174"/>
    <w:rsid w:val="00864270"/>
    <w:rsid w:val="008643CF"/>
    <w:rsid w:val="00864433"/>
    <w:rsid w:val="008644C4"/>
    <w:rsid w:val="0086499C"/>
    <w:rsid w:val="00864AAD"/>
    <w:rsid w:val="00864E44"/>
    <w:rsid w:val="00865058"/>
    <w:rsid w:val="008652E3"/>
    <w:rsid w:val="00865E6A"/>
    <w:rsid w:val="00865F07"/>
    <w:rsid w:val="00866246"/>
    <w:rsid w:val="0086639C"/>
    <w:rsid w:val="0086647C"/>
    <w:rsid w:val="00866620"/>
    <w:rsid w:val="00866746"/>
    <w:rsid w:val="008667C8"/>
    <w:rsid w:val="0086686B"/>
    <w:rsid w:val="00866C96"/>
    <w:rsid w:val="00867154"/>
    <w:rsid w:val="0086721F"/>
    <w:rsid w:val="008677D9"/>
    <w:rsid w:val="00867865"/>
    <w:rsid w:val="008679AF"/>
    <w:rsid w:val="00867CEE"/>
    <w:rsid w:val="00867E7F"/>
    <w:rsid w:val="00867F79"/>
    <w:rsid w:val="008700B6"/>
    <w:rsid w:val="00870187"/>
    <w:rsid w:val="008702E9"/>
    <w:rsid w:val="008705E3"/>
    <w:rsid w:val="0087068E"/>
    <w:rsid w:val="00870A23"/>
    <w:rsid w:val="00870ADA"/>
    <w:rsid w:val="00870E28"/>
    <w:rsid w:val="00870F06"/>
    <w:rsid w:val="008711FC"/>
    <w:rsid w:val="0087129E"/>
    <w:rsid w:val="00871407"/>
    <w:rsid w:val="0087173F"/>
    <w:rsid w:val="0087188F"/>
    <w:rsid w:val="00871A3F"/>
    <w:rsid w:val="00871A74"/>
    <w:rsid w:val="00872178"/>
    <w:rsid w:val="00872375"/>
    <w:rsid w:val="008723B6"/>
    <w:rsid w:val="008726E7"/>
    <w:rsid w:val="00872BC0"/>
    <w:rsid w:val="00872BFC"/>
    <w:rsid w:val="00872C69"/>
    <w:rsid w:val="00873080"/>
    <w:rsid w:val="0087308A"/>
    <w:rsid w:val="00873BF0"/>
    <w:rsid w:val="008740D9"/>
    <w:rsid w:val="0087414F"/>
    <w:rsid w:val="00874181"/>
    <w:rsid w:val="008744B5"/>
    <w:rsid w:val="00874BC7"/>
    <w:rsid w:val="00874D42"/>
    <w:rsid w:val="00874F91"/>
    <w:rsid w:val="00875398"/>
    <w:rsid w:val="008756D6"/>
    <w:rsid w:val="008756E9"/>
    <w:rsid w:val="00875B78"/>
    <w:rsid w:val="008766D6"/>
    <w:rsid w:val="008768C6"/>
    <w:rsid w:val="00876AF9"/>
    <w:rsid w:val="00876BDC"/>
    <w:rsid w:val="00876EFA"/>
    <w:rsid w:val="00877007"/>
    <w:rsid w:val="00877181"/>
    <w:rsid w:val="00877399"/>
    <w:rsid w:val="00877403"/>
    <w:rsid w:val="00877414"/>
    <w:rsid w:val="00877428"/>
    <w:rsid w:val="0087782C"/>
    <w:rsid w:val="0087798C"/>
    <w:rsid w:val="00877A81"/>
    <w:rsid w:val="00877B2F"/>
    <w:rsid w:val="00877F2A"/>
    <w:rsid w:val="00880103"/>
    <w:rsid w:val="008803B9"/>
    <w:rsid w:val="0088040E"/>
    <w:rsid w:val="008805EC"/>
    <w:rsid w:val="00880BBD"/>
    <w:rsid w:val="00880D7D"/>
    <w:rsid w:val="008815ED"/>
    <w:rsid w:val="008819B1"/>
    <w:rsid w:val="00881A1D"/>
    <w:rsid w:val="00882120"/>
    <w:rsid w:val="008821F1"/>
    <w:rsid w:val="008822F3"/>
    <w:rsid w:val="0088236B"/>
    <w:rsid w:val="00882F10"/>
    <w:rsid w:val="00883371"/>
    <w:rsid w:val="00883A68"/>
    <w:rsid w:val="00883BBE"/>
    <w:rsid w:val="00883E05"/>
    <w:rsid w:val="00883F56"/>
    <w:rsid w:val="0088410D"/>
    <w:rsid w:val="00884396"/>
    <w:rsid w:val="008843A4"/>
    <w:rsid w:val="0088441E"/>
    <w:rsid w:val="0088462A"/>
    <w:rsid w:val="00884662"/>
    <w:rsid w:val="008847DE"/>
    <w:rsid w:val="00884AF4"/>
    <w:rsid w:val="00884D10"/>
    <w:rsid w:val="00884D9D"/>
    <w:rsid w:val="00884DB0"/>
    <w:rsid w:val="00884E68"/>
    <w:rsid w:val="008851A0"/>
    <w:rsid w:val="008859A0"/>
    <w:rsid w:val="00886137"/>
    <w:rsid w:val="0088620F"/>
    <w:rsid w:val="0088632F"/>
    <w:rsid w:val="008864C6"/>
    <w:rsid w:val="008864E7"/>
    <w:rsid w:val="0088679B"/>
    <w:rsid w:val="00886B9E"/>
    <w:rsid w:val="00886E60"/>
    <w:rsid w:val="008872E5"/>
    <w:rsid w:val="0088732D"/>
    <w:rsid w:val="0088742C"/>
    <w:rsid w:val="008874C1"/>
    <w:rsid w:val="0088767E"/>
    <w:rsid w:val="00887698"/>
    <w:rsid w:val="0088799B"/>
    <w:rsid w:val="008879C7"/>
    <w:rsid w:val="00887EFF"/>
    <w:rsid w:val="0089037D"/>
    <w:rsid w:val="00890577"/>
    <w:rsid w:val="008908F8"/>
    <w:rsid w:val="008909EA"/>
    <w:rsid w:val="00890AA0"/>
    <w:rsid w:val="008915A5"/>
    <w:rsid w:val="0089176B"/>
    <w:rsid w:val="00891827"/>
    <w:rsid w:val="008919E9"/>
    <w:rsid w:val="00891C6C"/>
    <w:rsid w:val="00891D20"/>
    <w:rsid w:val="00892200"/>
    <w:rsid w:val="0089221B"/>
    <w:rsid w:val="00892496"/>
    <w:rsid w:val="0089276B"/>
    <w:rsid w:val="00892AD0"/>
    <w:rsid w:val="00892C56"/>
    <w:rsid w:val="00892CF0"/>
    <w:rsid w:val="00892E39"/>
    <w:rsid w:val="00893101"/>
    <w:rsid w:val="00893298"/>
    <w:rsid w:val="0089329E"/>
    <w:rsid w:val="008932AB"/>
    <w:rsid w:val="00893465"/>
    <w:rsid w:val="0089355E"/>
    <w:rsid w:val="00893B7B"/>
    <w:rsid w:val="00893DEA"/>
    <w:rsid w:val="00893F50"/>
    <w:rsid w:val="00893FF6"/>
    <w:rsid w:val="00894315"/>
    <w:rsid w:val="0089462C"/>
    <w:rsid w:val="00894646"/>
    <w:rsid w:val="00894702"/>
    <w:rsid w:val="008947F8"/>
    <w:rsid w:val="00894E03"/>
    <w:rsid w:val="0089536B"/>
    <w:rsid w:val="008954A0"/>
    <w:rsid w:val="00896095"/>
    <w:rsid w:val="008962C8"/>
    <w:rsid w:val="008966B3"/>
    <w:rsid w:val="008966BA"/>
    <w:rsid w:val="00896A54"/>
    <w:rsid w:val="00896E2E"/>
    <w:rsid w:val="00896F3A"/>
    <w:rsid w:val="00896FDE"/>
    <w:rsid w:val="00896FEE"/>
    <w:rsid w:val="00897230"/>
    <w:rsid w:val="0089729A"/>
    <w:rsid w:val="00897A0D"/>
    <w:rsid w:val="00897A7E"/>
    <w:rsid w:val="00897ED2"/>
    <w:rsid w:val="008A02CB"/>
    <w:rsid w:val="008A07AC"/>
    <w:rsid w:val="008A0BF2"/>
    <w:rsid w:val="008A0DC6"/>
    <w:rsid w:val="008A1338"/>
    <w:rsid w:val="008A14E1"/>
    <w:rsid w:val="008A181E"/>
    <w:rsid w:val="008A18B3"/>
    <w:rsid w:val="008A1979"/>
    <w:rsid w:val="008A1A70"/>
    <w:rsid w:val="008A2027"/>
    <w:rsid w:val="008A215D"/>
    <w:rsid w:val="008A22D5"/>
    <w:rsid w:val="008A23AD"/>
    <w:rsid w:val="008A23D2"/>
    <w:rsid w:val="008A23F9"/>
    <w:rsid w:val="008A27CA"/>
    <w:rsid w:val="008A2BA2"/>
    <w:rsid w:val="008A2D5D"/>
    <w:rsid w:val="008A2E7D"/>
    <w:rsid w:val="008A2F68"/>
    <w:rsid w:val="008A2FF7"/>
    <w:rsid w:val="008A301A"/>
    <w:rsid w:val="008A32E2"/>
    <w:rsid w:val="008A3392"/>
    <w:rsid w:val="008A380D"/>
    <w:rsid w:val="008A3C08"/>
    <w:rsid w:val="008A3DD7"/>
    <w:rsid w:val="008A3EC0"/>
    <w:rsid w:val="008A417F"/>
    <w:rsid w:val="008A424F"/>
    <w:rsid w:val="008A4443"/>
    <w:rsid w:val="008A458E"/>
    <w:rsid w:val="008A4622"/>
    <w:rsid w:val="008A47A8"/>
    <w:rsid w:val="008A47B1"/>
    <w:rsid w:val="008A4835"/>
    <w:rsid w:val="008A4E5A"/>
    <w:rsid w:val="008A5013"/>
    <w:rsid w:val="008A59B1"/>
    <w:rsid w:val="008A5AF3"/>
    <w:rsid w:val="008A5E4C"/>
    <w:rsid w:val="008A618A"/>
    <w:rsid w:val="008A621B"/>
    <w:rsid w:val="008A624F"/>
    <w:rsid w:val="008A664B"/>
    <w:rsid w:val="008A6DA6"/>
    <w:rsid w:val="008A6F22"/>
    <w:rsid w:val="008A7112"/>
    <w:rsid w:val="008A711D"/>
    <w:rsid w:val="008A75AD"/>
    <w:rsid w:val="008A7830"/>
    <w:rsid w:val="008A790A"/>
    <w:rsid w:val="008A7A6B"/>
    <w:rsid w:val="008A7AAA"/>
    <w:rsid w:val="008A7C5B"/>
    <w:rsid w:val="008A7E0E"/>
    <w:rsid w:val="008A7FAF"/>
    <w:rsid w:val="008B0251"/>
    <w:rsid w:val="008B035B"/>
    <w:rsid w:val="008B04E0"/>
    <w:rsid w:val="008B084A"/>
    <w:rsid w:val="008B12F1"/>
    <w:rsid w:val="008B1A05"/>
    <w:rsid w:val="008B1CD8"/>
    <w:rsid w:val="008B1D44"/>
    <w:rsid w:val="008B1D4B"/>
    <w:rsid w:val="008B1D82"/>
    <w:rsid w:val="008B1E2A"/>
    <w:rsid w:val="008B1E80"/>
    <w:rsid w:val="008B1FF1"/>
    <w:rsid w:val="008B21CA"/>
    <w:rsid w:val="008B21EE"/>
    <w:rsid w:val="008B2445"/>
    <w:rsid w:val="008B276E"/>
    <w:rsid w:val="008B2835"/>
    <w:rsid w:val="008B2850"/>
    <w:rsid w:val="008B29DE"/>
    <w:rsid w:val="008B2C9B"/>
    <w:rsid w:val="008B2D34"/>
    <w:rsid w:val="008B2DE1"/>
    <w:rsid w:val="008B307E"/>
    <w:rsid w:val="008B33F2"/>
    <w:rsid w:val="008B35A1"/>
    <w:rsid w:val="008B365A"/>
    <w:rsid w:val="008B36CD"/>
    <w:rsid w:val="008B3828"/>
    <w:rsid w:val="008B3A31"/>
    <w:rsid w:val="008B3C00"/>
    <w:rsid w:val="008B412D"/>
    <w:rsid w:val="008B435A"/>
    <w:rsid w:val="008B4384"/>
    <w:rsid w:val="008B4D5E"/>
    <w:rsid w:val="008B4FB2"/>
    <w:rsid w:val="008B555A"/>
    <w:rsid w:val="008B55C3"/>
    <w:rsid w:val="008B5A0C"/>
    <w:rsid w:val="008B5B07"/>
    <w:rsid w:val="008B5BFC"/>
    <w:rsid w:val="008B5D8F"/>
    <w:rsid w:val="008B61E4"/>
    <w:rsid w:val="008B62C1"/>
    <w:rsid w:val="008B65AF"/>
    <w:rsid w:val="008B667A"/>
    <w:rsid w:val="008B6D8F"/>
    <w:rsid w:val="008B6FF5"/>
    <w:rsid w:val="008B72A2"/>
    <w:rsid w:val="008B76B3"/>
    <w:rsid w:val="008B7E68"/>
    <w:rsid w:val="008B7ED5"/>
    <w:rsid w:val="008C02FD"/>
    <w:rsid w:val="008C04EC"/>
    <w:rsid w:val="008C0C81"/>
    <w:rsid w:val="008C0E50"/>
    <w:rsid w:val="008C0E71"/>
    <w:rsid w:val="008C1203"/>
    <w:rsid w:val="008C18D3"/>
    <w:rsid w:val="008C1AC9"/>
    <w:rsid w:val="008C1DBE"/>
    <w:rsid w:val="008C1FD2"/>
    <w:rsid w:val="008C232D"/>
    <w:rsid w:val="008C2337"/>
    <w:rsid w:val="008C2340"/>
    <w:rsid w:val="008C2471"/>
    <w:rsid w:val="008C2512"/>
    <w:rsid w:val="008C296F"/>
    <w:rsid w:val="008C2ACD"/>
    <w:rsid w:val="008C2C91"/>
    <w:rsid w:val="008C2CFD"/>
    <w:rsid w:val="008C2DB5"/>
    <w:rsid w:val="008C3501"/>
    <w:rsid w:val="008C362A"/>
    <w:rsid w:val="008C3672"/>
    <w:rsid w:val="008C36CF"/>
    <w:rsid w:val="008C3743"/>
    <w:rsid w:val="008C3BD6"/>
    <w:rsid w:val="008C3C7F"/>
    <w:rsid w:val="008C3CD2"/>
    <w:rsid w:val="008C3EC4"/>
    <w:rsid w:val="008C4BF4"/>
    <w:rsid w:val="008C50BB"/>
    <w:rsid w:val="008C52BF"/>
    <w:rsid w:val="008C581A"/>
    <w:rsid w:val="008C5895"/>
    <w:rsid w:val="008C5D6D"/>
    <w:rsid w:val="008C5DD5"/>
    <w:rsid w:val="008C5F16"/>
    <w:rsid w:val="008C62DF"/>
    <w:rsid w:val="008C6BA5"/>
    <w:rsid w:val="008C6D9D"/>
    <w:rsid w:val="008C70BC"/>
    <w:rsid w:val="008C70DF"/>
    <w:rsid w:val="008C7133"/>
    <w:rsid w:val="008C734A"/>
    <w:rsid w:val="008C74B4"/>
    <w:rsid w:val="008C7596"/>
    <w:rsid w:val="008C7D57"/>
    <w:rsid w:val="008D0152"/>
    <w:rsid w:val="008D01B2"/>
    <w:rsid w:val="008D0218"/>
    <w:rsid w:val="008D041D"/>
    <w:rsid w:val="008D05DB"/>
    <w:rsid w:val="008D05FF"/>
    <w:rsid w:val="008D0804"/>
    <w:rsid w:val="008D091E"/>
    <w:rsid w:val="008D0BF5"/>
    <w:rsid w:val="008D0D11"/>
    <w:rsid w:val="008D106A"/>
    <w:rsid w:val="008D107A"/>
    <w:rsid w:val="008D1237"/>
    <w:rsid w:val="008D1282"/>
    <w:rsid w:val="008D168D"/>
    <w:rsid w:val="008D16D7"/>
    <w:rsid w:val="008D18E9"/>
    <w:rsid w:val="008D1A68"/>
    <w:rsid w:val="008D1A94"/>
    <w:rsid w:val="008D1CF7"/>
    <w:rsid w:val="008D1DAF"/>
    <w:rsid w:val="008D1E26"/>
    <w:rsid w:val="008D21D5"/>
    <w:rsid w:val="008D2280"/>
    <w:rsid w:val="008D24F1"/>
    <w:rsid w:val="008D24FE"/>
    <w:rsid w:val="008D2998"/>
    <w:rsid w:val="008D2A72"/>
    <w:rsid w:val="008D2F5A"/>
    <w:rsid w:val="008D3327"/>
    <w:rsid w:val="008D370E"/>
    <w:rsid w:val="008D39E1"/>
    <w:rsid w:val="008D3BBA"/>
    <w:rsid w:val="008D3FAA"/>
    <w:rsid w:val="008D43D7"/>
    <w:rsid w:val="008D479E"/>
    <w:rsid w:val="008D47C0"/>
    <w:rsid w:val="008D481C"/>
    <w:rsid w:val="008D48EE"/>
    <w:rsid w:val="008D4B42"/>
    <w:rsid w:val="008D4C74"/>
    <w:rsid w:val="008D4FC6"/>
    <w:rsid w:val="008D5086"/>
    <w:rsid w:val="008D561C"/>
    <w:rsid w:val="008D5620"/>
    <w:rsid w:val="008D56F9"/>
    <w:rsid w:val="008D5ADC"/>
    <w:rsid w:val="008D5AEF"/>
    <w:rsid w:val="008D5F08"/>
    <w:rsid w:val="008D5FDB"/>
    <w:rsid w:val="008D6482"/>
    <w:rsid w:val="008D65D4"/>
    <w:rsid w:val="008D66B6"/>
    <w:rsid w:val="008D6A29"/>
    <w:rsid w:val="008D6A6E"/>
    <w:rsid w:val="008D6B9D"/>
    <w:rsid w:val="008D6F3B"/>
    <w:rsid w:val="008D701D"/>
    <w:rsid w:val="008D708C"/>
    <w:rsid w:val="008D71E0"/>
    <w:rsid w:val="008D73EB"/>
    <w:rsid w:val="008D7452"/>
    <w:rsid w:val="008D7624"/>
    <w:rsid w:val="008D7BFB"/>
    <w:rsid w:val="008D7DFC"/>
    <w:rsid w:val="008D7E1E"/>
    <w:rsid w:val="008E013A"/>
    <w:rsid w:val="008E0580"/>
    <w:rsid w:val="008E05D6"/>
    <w:rsid w:val="008E097A"/>
    <w:rsid w:val="008E0AB6"/>
    <w:rsid w:val="008E0C87"/>
    <w:rsid w:val="008E0E97"/>
    <w:rsid w:val="008E0FA3"/>
    <w:rsid w:val="008E114F"/>
    <w:rsid w:val="008E12C8"/>
    <w:rsid w:val="008E12CA"/>
    <w:rsid w:val="008E1420"/>
    <w:rsid w:val="008E14DC"/>
    <w:rsid w:val="008E15C5"/>
    <w:rsid w:val="008E190E"/>
    <w:rsid w:val="008E1A1A"/>
    <w:rsid w:val="008E1CAA"/>
    <w:rsid w:val="008E1F3B"/>
    <w:rsid w:val="008E22EA"/>
    <w:rsid w:val="008E2320"/>
    <w:rsid w:val="008E2366"/>
    <w:rsid w:val="008E2570"/>
    <w:rsid w:val="008E262D"/>
    <w:rsid w:val="008E27C5"/>
    <w:rsid w:val="008E2C1F"/>
    <w:rsid w:val="008E30DC"/>
    <w:rsid w:val="008E354B"/>
    <w:rsid w:val="008E38B4"/>
    <w:rsid w:val="008E38E4"/>
    <w:rsid w:val="008E38ED"/>
    <w:rsid w:val="008E3C66"/>
    <w:rsid w:val="008E3CA0"/>
    <w:rsid w:val="008E40E2"/>
    <w:rsid w:val="008E42B0"/>
    <w:rsid w:val="008E42E0"/>
    <w:rsid w:val="008E45A1"/>
    <w:rsid w:val="008E470B"/>
    <w:rsid w:val="008E488F"/>
    <w:rsid w:val="008E4910"/>
    <w:rsid w:val="008E4AD3"/>
    <w:rsid w:val="008E4AF7"/>
    <w:rsid w:val="008E5009"/>
    <w:rsid w:val="008E53F7"/>
    <w:rsid w:val="008E5612"/>
    <w:rsid w:val="008E56C3"/>
    <w:rsid w:val="008E5F8B"/>
    <w:rsid w:val="008E6250"/>
    <w:rsid w:val="008E6330"/>
    <w:rsid w:val="008E6339"/>
    <w:rsid w:val="008E639A"/>
    <w:rsid w:val="008E6442"/>
    <w:rsid w:val="008E647E"/>
    <w:rsid w:val="008E68F8"/>
    <w:rsid w:val="008E6AB5"/>
    <w:rsid w:val="008E6E52"/>
    <w:rsid w:val="008E70B3"/>
    <w:rsid w:val="008E71C3"/>
    <w:rsid w:val="008E7434"/>
    <w:rsid w:val="008E74CF"/>
    <w:rsid w:val="008E75BB"/>
    <w:rsid w:val="008E76B8"/>
    <w:rsid w:val="008E7A86"/>
    <w:rsid w:val="008E7C1C"/>
    <w:rsid w:val="008E7D0B"/>
    <w:rsid w:val="008F00F6"/>
    <w:rsid w:val="008F0416"/>
    <w:rsid w:val="008F0521"/>
    <w:rsid w:val="008F0554"/>
    <w:rsid w:val="008F084F"/>
    <w:rsid w:val="008F0BCB"/>
    <w:rsid w:val="008F0C45"/>
    <w:rsid w:val="008F0CBB"/>
    <w:rsid w:val="008F0F39"/>
    <w:rsid w:val="008F10E0"/>
    <w:rsid w:val="008F1255"/>
    <w:rsid w:val="008F1317"/>
    <w:rsid w:val="008F184B"/>
    <w:rsid w:val="008F1961"/>
    <w:rsid w:val="008F1B2E"/>
    <w:rsid w:val="008F1EAF"/>
    <w:rsid w:val="008F2191"/>
    <w:rsid w:val="008F2334"/>
    <w:rsid w:val="008F23C1"/>
    <w:rsid w:val="008F2839"/>
    <w:rsid w:val="008F2CD5"/>
    <w:rsid w:val="008F2EFE"/>
    <w:rsid w:val="008F3103"/>
    <w:rsid w:val="008F33DA"/>
    <w:rsid w:val="008F342B"/>
    <w:rsid w:val="008F3588"/>
    <w:rsid w:val="008F3749"/>
    <w:rsid w:val="008F3942"/>
    <w:rsid w:val="008F3C01"/>
    <w:rsid w:val="008F3E9D"/>
    <w:rsid w:val="008F3ED3"/>
    <w:rsid w:val="008F3FA5"/>
    <w:rsid w:val="008F407A"/>
    <w:rsid w:val="008F40D6"/>
    <w:rsid w:val="008F45C9"/>
    <w:rsid w:val="008F45E5"/>
    <w:rsid w:val="008F4800"/>
    <w:rsid w:val="008F481B"/>
    <w:rsid w:val="008F4838"/>
    <w:rsid w:val="008F4876"/>
    <w:rsid w:val="008F4C97"/>
    <w:rsid w:val="008F4E0B"/>
    <w:rsid w:val="008F4ED7"/>
    <w:rsid w:val="008F53E4"/>
    <w:rsid w:val="008F58DF"/>
    <w:rsid w:val="008F5D0E"/>
    <w:rsid w:val="008F5D6E"/>
    <w:rsid w:val="008F5DD6"/>
    <w:rsid w:val="008F5F09"/>
    <w:rsid w:val="008F612F"/>
    <w:rsid w:val="008F62D8"/>
    <w:rsid w:val="008F6522"/>
    <w:rsid w:val="008F69F1"/>
    <w:rsid w:val="008F6A1B"/>
    <w:rsid w:val="008F6D0A"/>
    <w:rsid w:val="008F6D90"/>
    <w:rsid w:val="008F6E16"/>
    <w:rsid w:val="008F6E56"/>
    <w:rsid w:val="008F6EBB"/>
    <w:rsid w:val="008F6F13"/>
    <w:rsid w:val="008F6F1D"/>
    <w:rsid w:val="008F702A"/>
    <w:rsid w:val="008F7103"/>
    <w:rsid w:val="008F750C"/>
    <w:rsid w:val="008F7516"/>
    <w:rsid w:val="008F75AA"/>
    <w:rsid w:val="008F79FC"/>
    <w:rsid w:val="008F7D88"/>
    <w:rsid w:val="008F7DB4"/>
    <w:rsid w:val="008F7E49"/>
    <w:rsid w:val="0090014E"/>
    <w:rsid w:val="0090039F"/>
    <w:rsid w:val="00900709"/>
    <w:rsid w:val="00900832"/>
    <w:rsid w:val="00900AD8"/>
    <w:rsid w:val="00900BA9"/>
    <w:rsid w:val="00900C25"/>
    <w:rsid w:val="00900CE1"/>
    <w:rsid w:val="00901078"/>
    <w:rsid w:val="009010A7"/>
    <w:rsid w:val="009010B7"/>
    <w:rsid w:val="0090125A"/>
    <w:rsid w:val="00901A97"/>
    <w:rsid w:val="00901ABB"/>
    <w:rsid w:val="00901AC8"/>
    <w:rsid w:val="00901AD4"/>
    <w:rsid w:val="00901EC1"/>
    <w:rsid w:val="00901F99"/>
    <w:rsid w:val="00902301"/>
    <w:rsid w:val="00902603"/>
    <w:rsid w:val="00902806"/>
    <w:rsid w:val="00902811"/>
    <w:rsid w:val="00902AD4"/>
    <w:rsid w:val="00902B4F"/>
    <w:rsid w:val="00902B9E"/>
    <w:rsid w:val="00902F29"/>
    <w:rsid w:val="00903367"/>
    <w:rsid w:val="00903453"/>
    <w:rsid w:val="009035C5"/>
    <w:rsid w:val="00903722"/>
    <w:rsid w:val="00903A1E"/>
    <w:rsid w:val="00903A8C"/>
    <w:rsid w:val="00903E57"/>
    <w:rsid w:val="00904005"/>
    <w:rsid w:val="009042BF"/>
    <w:rsid w:val="009042EB"/>
    <w:rsid w:val="00904601"/>
    <w:rsid w:val="0090478E"/>
    <w:rsid w:val="00904AF9"/>
    <w:rsid w:val="00904CFB"/>
    <w:rsid w:val="00904F9D"/>
    <w:rsid w:val="009051D6"/>
    <w:rsid w:val="00905215"/>
    <w:rsid w:val="009056FD"/>
    <w:rsid w:val="009059B0"/>
    <w:rsid w:val="00905D56"/>
    <w:rsid w:val="00906069"/>
    <w:rsid w:val="009061BA"/>
    <w:rsid w:val="00906545"/>
    <w:rsid w:val="00906669"/>
    <w:rsid w:val="009066C6"/>
    <w:rsid w:val="00906C0E"/>
    <w:rsid w:val="00906CEB"/>
    <w:rsid w:val="00906FB6"/>
    <w:rsid w:val="00907288"/>
    <w:rsid w:val="00907395"/>
    <w:rsid w:val="0090753F"/>
    <w:rsid w:val="009075C6"/>
    <w:rsid w:val="00907648"/>
    <w:rsid w:val="009077F9"/>
    <w:rsid w:val="00907A34"/>
    <w:rsid w:val="00907A91"/>
    <w:rsid w:val="00910230"/>
    <w:rsid w:val="009103EF"/>
    <w:rsid w:val="0091055A"/>
    <w:rsid w:val="00910636"/>
    <w:rsid w:val="00910817"/>
    <w:rsid w:val="00910916"/>
    <w:rsid w:val="00910A60"/>
    <w:rsid w:val="00910A73"/>
    <w:rsid w:val="00910B51"/>
    <w:rsid w:val="00910DC1"/>
    <w:rsid w:val="0091102C"/>
    <w:rsid w:val="009113F4"/>
    <w:rsid w:val="0091153B"/>
    <w:rsid w:val="00911563"/>
    <w:rsid w:val="00911C29"/>
    <w:rsid w:val="00911EAA"/>
    <w:rsid w:val="0091238C"/>
    <w:rsid w:val="009124C0"/>
    <w:rsid w:val="00912533"/>
    <w:rsid w:val="0091269B"/>
    <w:rsid w:val="009126CE"/>
    <w:rsid w:val="009127B4"/>
    <w:rsid w:val="00912CC6"/>
    <w:rsid w:val="00912DAF"/>
    <w:rsid w:val="00912E20"/>
    <w:rsid w:val="00912E97"/>
    <w:rsid w:val="00913194"/>
    <w:rsid w:val="00913314"/>
    <w:rsid w:val="0091337E"/>
    <w:rsid w:val="009135BA"/>
    <w:rsid w:val="0091366D"/>
    <w:rsid w:val="009136D0"/>
    <w:rsid w:val="00913B7D"/>
    <w:rsid w:val="009144F1"/>
    <w:rsid w:val="00914567"/>
    <w:rsid w:val="00914725"/>
    <w:rsid w:val="0091490F"/>
    <w:rsid w:val="00914AC4"/>
    <w:rsid w:val="00914ACA"/>
    <w:rsid w:val="00914B71"/>
    <w:rsid w:val="00914EDF"/>
    <w:rsid w:val="00914F6C"/>
    <w:rsid w:val="00915046"/>
    <w:rsid w:val="009151C4"/>
    <w:rsid w:val="009152C9"/>
    <w:rsid w:val="00915666"/>
    <w:rsid w:val="009156AD"/>
    <w:rsid w:val="00915815"/>
    <w:rsid w:val="0091583B"/>
    <w:rsid w:val="00915B0F"/>
    <w:rsid w:val="00915BC1"/>
    <w:rsid w:val="00915F0E"/>
    <w:rsid w:val="00916194"/>
    <w:rsid w:val="0091651F"/>
    <w:rsid w:val="0091653F"/>
    <w:rsid w:val="009169E6"/>
    <w:rsid w:val="00916CFA"/>
    <w:rsid w:val="00916FD0"/>
    <w:rsid w:val="00917244"/>
    <w:rsid w:val="00917249"/>
    <w:rsid w:val="0091729B"/>
    <w:rsid w:val="009172BD"/>
    <w:rsid w:val="00917398"/>
    <w:rsid w:val="009174DC"/>
    <w:rsid w:val="009176F8"/>
    <w:rsid w:val="00917A0E"/>
    <w:rsid w:val="00917C4B"/>
    <w:rsid w:val="00917E4F"/>
    <w:rsid w:val="009200D3"/>
    <w:rsid w:val="0092020E"/>
    <w:rsid w:val="00920316"/>
    <w:rsid w:val="009204B8"/>
    <w:rsid w:val="00920BB1"/>
    <w:rsid w:val="00920C75"/>
    <w:rsid w:val="00920EAC"/>
    <w:rsid w:val="009211A4"/>
    <w:rsid w:val="009211EF"/>
    <w:rsid w:val="009212D5"/>
    <w:rsid w:val="00921373"/>
    <w:rsid w:val="00921487"/>
    <w:rsid w:val="009216CD"/>
    <w:rsid w:val="009217D6"/>
    <w:rsid w:val="00921C19"/>
    <w:rsid w:val="00921D99"/>
    <w:rsid w:val="00922074"/>
    <w:rsid w:val="0092207F"/>
    <w:rsid w:val="009220AC"/>
    <w:rsid w:val="00922144"/>
    <w:rsid w:val="00922164"/>
    <w:rsid w:val="009223B7"/>
    <w:rsid w:val="009227F5"/>
    <w:rsid w:val="00922817"/>
    <w:rsid w:val="00922843"/>
    <w:rsid w:val="0092289E"/>
    <w:rsid w:val="00922949"/>
    <w:rsid w:val="00922B4B"/>
    <w:rsid w:val="00922E05"/>
    <w:rsid w:val="00922E8A"/>
    <w:rsid w:val="00922F66"/>
    <w:rsid w:val="00923140"/>
    <w:rsid w:val="00923244"/>
    <w:rsid w:val="0092331F"/>
    <w:rsid w:val="009233CA"/>
    <w:rsid w:val="009235E3"/>
    <w:rsid w:val="0092377F"/>
    <w:rsid w:val="009239FA"/>
    <w:rsid w:val="00923A00"/>
    <w:rsid w:val="00923AF0"/>
    <w:rsid w:val="00923B51"/>
    <w:rsid w:val="00924041"/>
    <w:rsid w:val="00924121"/>
    <w:rsid w:val="00924310"/>
    <w:rsid w:val="0092443A"/>
    <w:rsid w:val="0092472B"/>
    <w:rsid w:val="00924774"/>
    <w:rsid w:val="00924B3A"/>
    <w:rsid w:val="00924FEA"/>
    <w:rsid w:val="009253A2"/>
    <w:rsid w:val="00925420"/>
    <w:rsid w:val="00925840"/>
    <w:rsid w:val="009258CE"/>
    <w:rsid w:val="00925ECC"/>
    <w:rsid w:val="00925F29"/>
    <w:rsid w:val="00926642"/>
    <w:rsid w:val="009269AD"/>
    <w:rsid w:val="00926A37"/>
    <w:rsid w:val="00926D80"/>
    <w:rsid w:val="00926F13"/>
    <w:rsid w:val="00927077"/>
    <w:rsid w:val="009271F6"/>
    <w:rsid w:val="00927423"/>
    <w:rsid w:val="00927781"/>
    <w:rsid w:val="00927A0F"/>
    <w:rsid w:val="00927E4A"/>
    <w:rsid w:val="00927EF7"/>
    <w:rsid w:val="009300CD"/>
    <w:rsid w:val="00930262"/>
    <w:rsid w:val="00930939"/>
    <w:rsid w:val="00930E50"/>
    <w:rsid w:val="00930EE7"/>
    <w:rsid w:val="00930F17"/>
    <w:rsid w:val="00931075"/>
    <w:rsid w:val="00931079"/>
    <w:rsid w:val="009312FF"/>
    <w:rsid w:val="00931437"/>
    <w:rsid w:val="00931845"/>
    <w:rsid w:val="00931850"/>
    <w:rsid w:val="00931EAF"/>
    <w:rsid w:val="00931FBC"/>
    <w:rsid w:val="0093222D"/>
    <w:rsid w:val="009323C3"/>
    <w:rsid w:val="0093272C"/>
    <w:rsid w:val="0093290A"/>
    <w:rsid w:val="00932CA9"/>
    <w:rsid w:val="00932D69"/>
    <w:rsid w:val="00932E5D"/>
    <w:rsid w:val="00932EEB"/>
    <w:rsid w:val="009330AB"/>
    <w:rsid w:val="00933366"/>
    <w:rsid w:val="009334F4"/>
    <w:rsid w:val="0093353C"/>
    <w:rsid w:val="009339D3"/>
    <w:rsid w:val="00933B93"/>
    <w:rsid w:val="00934123"/>
    <w:rsid w:val="009342C0"/>
    <w:rsid w:val="00934300"/>
    <w:rsid w:val="009344D8"/>
    <w:rsid w:val="00934626"/>
    <w:rsid w:val="009346A0"/>
    <w:rsid w:val="009346D6"/>
    <w:rsid w:val="009346ED"/>
    <w:rsid w:val="00934803"/>
    <w:rsid w:val="00934873"/>
    <w:rsid w:val="00934EAD"/>
    <w:rsid w:val="00934FB5"/>
    <w:rsid w:val="00935138"/>
    <w:rsid w:val="0093531C"/>
    <w:rsid w:val="00935322"/>
    <w:rsid w:val="0093558D"/>
    <w:rsid w:val="009356E1"/>
    <w:rsid w:val="00935940"/>
    <w:rsid w:val="00935C20"/>
    <w:rsid w:val="00935E7A"/>
    <w:rsid w:val="00935E84"/>
    <w:rsid w:val="00936282"/>
    <w:rsid w:val="00936D2A"/>
    <w:rsid w:val="009371C8"/>
    <w:rsid w:val="0093721B"/>
    <w:rsid w:val="00937340"/>
    <w:rsid w:val="009373AA"/>
    <w:rsid w:val="00937753"/>
    <w:rsid w:val="00937793"/>
    <w:rsid w:val="00937A89"/>
    <w:rsid w:val="00937D33"/>
    <w:rsid w:val="00937DB7"/>
    <w:rsid w:val="00937E57"/>
    <w:rsid w:val="00937ED0"/>
    <w:rsid w:val="00940026"/>
    <w:rsid w:val="00940232"/>
    <w:rsid w:val="009404D4"/>
    <w:rsid w:val="009405BF"/>
    <w:rsid w:val="0094071D"/>
    <w:rsid w:val="0094082E"/>
    <w:rsid w:val="00940B1A"/>
    <w:rsid w:val="00940C19"/>
    <w:rsid w:val="00940ECA"/>
    <w:rsid w:val="00941123"/>
    <w:rsid w:val="00941590"/>
    <w:rsid w:val="009415A5"/>
    <w:rsid w:val="00941612"/>
    <w:rsid w:val="009416A0"/>
    <w:rsid w:val="0094195C"/>
    <w:rsid w:val="00941AF4"/>
    <w:rsid w:val="00941DF1"/>
    <w:rsid w:val="00941EF3"/>
    <w:rsid w:val="00941F2A"/>
    <w:rsid w:val="0094234C"/>
    <w:rsid w:val="0094263B"/>
    <w:rsid w:val="00942769"/>
    <w:rsid w:val="0094298B"/>
    <w:rsid w:val="009429E5"/>
    <w:rsid w:val="00942B69"/>
    <w:rsid w:val="009434D4"/>
    <w:rsid w:val="00943B6F"/>
    <w:rsid w:val="00943D60"/>
    <w:rsid w:val="00943EC1"/>
    <w:rsid w:val="00943F93"/>
    <w:rsid w:val="009442A7"/>
    <w:rsid w:val="00944548"/>
    <w:rsid w:val="009445AF"/>
    <w:rsid w:val="00944918"/>
    <w:rsid w:val="00944BE1"/>
    <w:rsid w:val="00944E3B"/>
    <w:rsid w:val="00944F5F"/>
    <w:rsid w:val="009452E2"/>
    <w:rsid w:val="009453E1"/>
    <w:rsid w:val="00945467"/>
    <w:rsid w:val="00945498"/>
    <w:rsid w:val="00945661"/>
    <w:rsid w:val="0094576E"/>
    <w:rsid w:val="0094577A"/>
    <w:rsid w:val="009458D3"/>
    <w:rsid w:val="009458E6"/>
    <w:rsid w:val="00945A28"/>
    <w:rsid w:val="00945F70"/>
    <w:rsid w:val="00946123"/>
    <w:rsid w:val="0094639A"/>
    <w:rsid w:val="00946572"/>
    <w:rsid w:val="00946643"/>
    <w:rsid w:val="009469CB"/>
    <w:rsid w:val="00946A75"/>
    <w:rsid w:val="00946B08"/>
    <w:rsid w:val="00946C41"/>
    <w:rsid w:val="00946C71"/>
    <w:rsid w:val="00946D44"/>
    <w:rsid w:val="00946DB3"/>
    <w:rsid w:val="00946F23"/>
    <w:rsid w:val="00947060"/>
    <w:rsid w:val="009470E2"/>
    <w:rsid w:val="00947237"/>
    <w:rsid w:val="0094731F"/>
    <w:rsid w:val="00947572"/>
    <w:rsid w:val="009478E3"/>
    <w:rsid w:val="00947A57"/>
    <w:rsid w:val="00947AD2"/>
    <w:rsid w:val="00947BF4"/>
    <w:rsid w:val="00950B06"/>
    <w:rsid w:val="00950D3E"/>
    <w:rsid w:val="00950D59"/>
    <w:rsid w:val="00950F84"/>
    <w:rsid w:val="009513A5"/>
    <w:rsid w:val="00951668"/>
    <w:rsid w:val="009518A7"/>
    <w:rsid w:val="009518C3"/>
    <w:rsid w:val="0095199D"/>
    <w:rsid w:val="009519F9"/>
    <w:rsid w:val="00951B6B"/>
    <w:rsid w:val="00951B85"/>
    <w:rsid w:val="00951D20"/>
    <w:rsid w:val="00951D32"/>
    <w:rsid w:val="00951E9F"/>
    <w:rsid w:val="0095229D"/>
    <w:rsid w:val="009528AC"/>
    <w:rsid w:val="00952ADF"/>
    <w:rsid w:val="00952BA1"/>
    <w:rsid w:val="00952BC5"/>
    <w:rsid w:val="00952BE2"/>
    <w:rsid w:val="009531EF"/>
    <w:rsid w:val="0095321D"/>
    <w:rsid w:val="0095336B"/>
    <w:rsid w:val="009533B7"/>
    <w:rsid w:val="00953A8F"/>
    <w:rsid w:val="00953C9A"/>
    <w:rsid w:val="00953D72"/>
    <w:rsid w:val="009541C7"/>
    <w:rsid w:val="009546DF"/>
    <w:rsid w:val="00954831"/>
    <w:rsid w:val="00954B7B"/>
    <w:rsid w:val="00954BC3"/>
    <w:rsid w:val="00954C13"/>
    <w:rsid w:val="00954C59"/>
    <w:rsid w:val="00954C68"/>
    <w:rsid w:val="00954DB9"/>
    <w:rsid w:val="00954ED2"/>
    <w:rsid w:val="00955002"/>
    <w:rsid w:val="009551A9"/>
    <w:rsid w:val="0095576F"/>
    <w:rsid w:val="00955D14"/>
    <w:rsid w:val="00955DA1"/>
    <w:rsid w:val="00955DD5"/>
    <w:rsid w:val="00955F82"/>
    <w:rsid w:val="00956485"/>
    <w:rsid w:val="009566D7"/>
    <w:rsid w:val="00956705"/>
    <w:rsid w:val="009567C8"/>
    <w:rsid w:val="00956867"/>
    <w:rsid w:val="0095697F"/>
    <w:rsid w:val="00956B5E"/>
    <w:rsid w:val="00956BD0"/>
    <w:rsid w:val="00956E7A"/>
    <w:rsid w:val="009571D7"/>
    <w:rsid w:val="009572D8"/>
    <w:rsid w:val="0095740C"/>
    <w:rsid w:val="0095755D"/>
    <w:rsid w:val="00957AB5"/>
    <w:rsid w:val="00957AD7"/>
    <w:rsid w:val="00957B71"/>
    <w:rsid w:val="00957B88"/>
    <w:rsid w:val="00957CEC"/>
    <w:rsid w:val="00957FB6"/>
    <w:rsid w:val="00960009"/>
    <w:rsid w:val="00960020"/>
    <w:rsid w:val="009605B0"/>
    <w:rsid w:val="009605F5"/>
    <w:rsid w:val="00960A46"/>
    <w:rsid w:val="00960AF2"/>
    <w:rsid w:val="00960B59"/>
    <w:rsid w:val="00960EAF"/>
    <w:rsid w:val="00960F20"/>
    <w:rsid w:val="0096106A"/>
    <w:rsid w:val="00961329"/>
    <w:rsid w:val="0096150A"/>
    <w:rsid w:val="0096159B"/>
    <w:rsid w:val="00961633"/>
    <w:rsid w:val="009619A3"/>
    <w:rsid w:val="00961A05"/>
    <w:rsid w:val="00961FAA"/>
    <w:rsid w:val="0096210C"/>
    <w:rsid w:val="00962249"/>
    <w:rsid w:val="009622D8"/>
    <w:rsid w:val="00962417"/>
    <w:rsid w:val="0096243F"/>
    <w:rsid w:val="00962454"/>
    <w:rsid w:val="0096267D"/>
    <w:rsid w:val="009626AF"/>
    <w:rsid w:val="0096281E"/>
    <w:rsid w:val="00962837"/>
    <w:rsid w:val="009629A7"/>
    <w:rsid w:val="00962D7D"/>
    <w:rsid w:val="00963443"/>
    <w:rsid w:val="0096349C"/>
    <w:rsid w:val="009634BB"/>
    <w:rsid w:val="009635A5"/>
    <w:rsid w:val="009638CB"/>
    <w:rsid w:val="00963CE2"/>
    <w:rsid w:val="00963E79"/>
    <w:rsid w:val="00963ECC"/>
    <w:rsid w:val="00963ED0"/>
    <w:rsid w:val="009641D5"/>
    <w:rsid w:val="00964306"/>
    <w:rsid w:val="00964775"/>
    <w:rsid w:val="00964BA5"/>
    <w:rsid w:val="00964EB2"/>
    <w:rsid w:val="00964FE6"/>
    <w:rsid w:val="00965546"/>
    <w:rsid w:val="00965757"/>
    <w:rsid w:val="009658E4"/>
    <w:rsid w:val="00965BC0"/>
    <w:rsid w:val="00965C0D"/>
    <w:rsid w:val="00965D53"/>
    <w:rsid w:val="00965ED0"/>
    <w:rsid w:val="00965EEB"/>
    <w:rsid w:val="00966048"/>
    <w:rsid w:val="00966264"/>
    <w:rsid w:val="00966551"/>
    <w:rsid w:val="00966712"/>
    <w:rsid w:val="00966886"/>
    <w:rsid w:val="009668C1"/>
    <w:rsid w:val="009668F6"/>
    <w:rsid w:val="00966AB2"/>
    <w:rsid w:val="00966BCE"/>
    <w:rsid w:val="00966C21"/>
    <w:rsid w:val="00966C5B"/>
    <w:rsid w:val="00966D47"/>
    <w:rsid w:val="00967241"/>
    <w:rsid w:val="0096736C"/>
    <w:rsid w:val="0096746F"/>
    <w:rsid w:val="00967964"/>
    <w:rsid w:val="00967EE4"/>
    <w:rsid w:val="00967F33"/>
    <w:rsid w:val="00967F38"/>
    <w:rsid w:val="009703AB"/>
    <w:rsid w:val="0097049F"/>
    <w:rsid w:val="00970528"/>
    <w:rsid w:val="00970575"/>
    <w:rsid w:val="0097075C"/>
    <w:rsid w:val="0097076D"/>
    <w:rsid w:val="00970C21"/>
    <w:rsid w:val="00970D58"/>
    <w:rsid w:val="00970FD3"/>
    <w:rsid w:val="0097123C"/>
    <w:rsid w:val="009712CB"/>
    <w:rsid w:val="009715D9"/>
    <w:rsid w:val="0097195C"/>
    <w:rsid w:val="00971CC0"/>
    <w:rsid w:val="00971FBE"/>
    <w:rsid w:val="00972293"/>
    <w:rsid w:val="0097245E"/>
    <w:rsid w:val="0097253E"/>
    <w:rsid w:val="00972799"/>
    <w:rsid w:val="009727C5"/>
    <w:rsid w:val="00972812"/>
    <w:rsid w:val="00972C97"/>
    <w:rsid w:val="00972C98"/>
    <w:rsid w:val="00972F48"/>
    <w:rsid w:val="0097324E"/>
    <w:rsid w:val="00973263"/>
    <w:rsid w:val="00973697"/>
    <w:rsid w:val="00973BAF"/>
    <w:rsid w:val="00973E63"/>
    <w:rsid w:val="00973F27"/>
    <w:rsid w:val="009742F4"/>
    <w:rsid w:val="0097453F"/>
    <w:rsid w:val="00974577"/>
    <w:rsid w:val="009745AA"/>
    <w:rsid w:val="009747DE"/>
    <w:rsid w:val="009748F4"/>
    <w:rsid w:val="00975233"/>
    <w:rsid w:val="00975267"/>
    <w:rsid w:val="00975299"/>
    <w:rsid w:val="009752EE"/>
    <w:rsid w:val="0097533F"/>
    <w:rsid w:val="00975643"/>
    <w:rsid w:val="009757CB"/>
    <w:rsid w:val="00975973"/>
    <w:rsid w:val="00975A58"/>
    <w:rsid w:val="00975A94"/>
    <w:rsid w:val="00975AFA"/>
    <w:rsid w:val="00975E22"/>
    <w:rsid w:val="00975F77"/>
    <w:rsid w:val="0097606F"/>
    <w:rsid w:val="00976207"/>
    <w:rsid w:val="009763CB"/>
    <w:rsid w:val="009765F8"/>
    <w:rsid w:val="00976854"/>
    <w:rsid w:val="009768BF"/>
    <w:rsid w:val="00976BA3"/>
    <w:rsid w:val="00976C6C"/>
    <w:rsid w:val="00976D09"/>
    <w:rsid w:val="009772B7"/>
    <w:rsid w:val="00977386"/>
    <w:rsid w:val="009773F2"/>
    <w:rsid w:val="0097746E"/>
    <w:rsid w:val="0097790D"/>
    <w:rsid w:val="00977C3A"/>
    <w:rsid w:val="0098021D"/>
    <w:rsid w:val="00980661"/>
    <w:rsid w:val="0098072F"/>
    <w:rsid w:val="0098082A"/>
    <w:rsid w:val="00980910"/>
    <w:rsid w:val="009809F4"/>
    <w:rsid w:val="00980D3D"/>
    <w:rsid w:val="00981636"/>
    <w:rsid w:val="009816B6"/>
    <w:rsid w:val="0098194B"/>
    <w:rsid w:val="009819F2"/>
    <w:rsid w:val="00981B9D"/>
    <w:rsid w:val="00981C75"/>
    <w:rsid w:val="00981D67"/>
    <w:rsid w:val="00982017"/>
    <w:rsid w:val="009820F8"/>
    <w:rsid w:val="0098215E"/>
    <w:rsid w:val="009825B5"/>
    <w:rsid w:val="009825DE"/>
    <w:rsid w:val="00982B27"/>
    <w:rsid w:val="00982B9A"/>
    <w:rsid w:val="00982DFD"/>
    <w:rsid w:val="00982FA6"/>
    <w:rsid w:val="00983002"/>
    <w:rsid w:val="0098301B"/>
    <w:rsid w:val="00983240"/>
    <w:rsid w:val="0098329A"/>
    <w:rsid w:val="0098353A"/>
    <w:rsid w:val="00983562"/>
    <w:rsid w:val="0098383D"/>
    <w:rsid w:val="00983873"/>
    <w:rsid w:val="009839CD"/>
    <w:rsid w:val="00983B39"/>
    <w:rsid w:val="00983E68"/>
    <w:rsid w:val="00983F8B"/>
    <w:rsid w:val="00984122"/>
    <w:rsid w:val="009841B7"/>
    <w:rsid w:val="00984328"/>
    <w:rsid w:val="0098432C"/>
    <w:rsid w:val="00984A8B"/>
    <w:rsid w:val="00984AD0"/>
    <w:rsid w:val="00984B1A"/>
    <w:rsid w:val="00984B52"/>
    <w:rsid w:val="00984B91"/>
    <w:rsid w:val="00984D5E"/>
    <w:rsid w:val="00984FB2"/>
    <w:rsid w:val="009850F5"/>
    <w:rsid w:val="0098532F"/>
    <w:rsid w:val="00985454"/>
    <w:rsid w:val="009857B1"/>
    <w:rsid w:val="00985B55"/>
    <w:rsid w:val="00985D27"/>
    <w:rsid w:val="0098605E"/>
    <w:rsid w:val="00986453"/>
    <w:rsid w:val="00986BA2"/>
    <w:rsid w:val="00986C08"/>
    <w:rsid w:val="00986EBF"/>
    <w:rsid w:val="009870BE"/>
    <w:rsid w:val="00987656"/>
    <w:rsid w:val="00987AC8"/>
    <w:rsid w:val="00987B25"/>
    <w:rsid w:val="0099025A"/>
    <w:rsid w:val="009905A6"/>
    <w:rsid w:val="00990649"/>
    <w:rsid w:val="0099079C"/>
    <w:rsid w:val="009907FF"/>
    <w:rsid w:val="009908D1"/>
    <w:rsid w:val="0099097B"/>
    <w:rsid w:val="00990E37"/>
    <w:rsid w:val="00990F93"/>
    <w:rsid w:val="009912B2"/>
    <w:rsid w:val="009917BB"/>
    <w:rsid w:val="00991B74"/>
    <w:rsid w:val="00991DDA"/>
    <w:rsid w:val="00991E6B"/>
    <w:rsid w:val="00991F78"/>
    <w:rsid w:val="00991F86"/>
    <w:rsid w:val="009921CF"/>
    <w:rsid w:val="009921E5"/>
    <w:rsid w:val="00992550"/>
    <w:rsid w:val="0099273F"/>
    <w:rsid w:val="00992BD9"/>
    <w:rsid w:val="00992C8A"/>
    <w:rsid w:val="0099376F"/>
    <w:rsid w:val="00993C12"/>
    <w:rsid w:val="00993CA1"/>
    <w:rsid w:val="00993FCC"/>
    <w:rsid w:val="009945D5"/>
    <w:rsid w:val="009947D0"/>
    <w:rsid w:val="009948A3"/>
    <w:rsid w:val="0099491A"/>
    <w:rsid w:val="00994BA9"/>
    <w:rsid w:val="00994BD6"/>
    <w:rsid w:val="00994CB2"/>
    <w:rsid w:val="00994DEE"/>
    <w:rsid w:val="00994E36"/>
    <w:rsid w:val="00994FBE"/>
    <w:rsid w:val="00995144"/>
    <w:rsid w:val="009953A1"/>
    <w:rsid w:val="009953D6"/>
    <w:rsid w:val="0099571A"/>
    <w:rsid w:val="0099595A"/>
    <w:rsid w:val="0099596B"/>
    <w:rsid w:val="00995B1F"/>
    <w:rsid w:val="00995BC1"/>
    <w:rsid w:val="00995EA8"/>
    <w:rsid w:val="00996260"/>
    <w:rsid w:val="00996336"/>
    <w:rsid w:val="009965DE"/>
    <w:rsid w:val="00996741"/>
    <w:rsid w:val="00997124"/>
    <w:rsid w:val="00997229"/>
    <w:rsid w:val="0099746E"/>
    <w:rsid w:val="009974AF"/>
    <w:rsid w:val="009974D8"/>
    <w:rsid w:val="00997C87"/>
    <w:rsid w:val="00997CCC"/>
    <w:rsid w:val="00997E23"/>
    <w:rsid w:val="009A0213"/>
    <w:rsid w:val="009A05F8"/>
    <w:rsid w:val="009A0863"/>
    <w:rsid w:val="009A09CC"/>
    <w:rsid w:val="009A0B25"/>
    <w:rsid w:val="009A0C5D"/>
    <w:rsid w:val="009A0F05"/>
    <w:rsid w:val="009A1059"/>
    <w:rsid w:val="009A1201"/>
    <w:rsid w:val="009A1409"/>
    <w:rsid w:val="009A1439"/>
    <w:rsid w:val="009A155B"/>
    <w:rsid w:val="009A16A6"/>
    <w:rsid w:val="009A178B"/>
    <w:rsid w:val="009A199C"/>
    <w:rsid w:val="009A1EA2"/>
    <w:rsid w:val="009A2113"/>
    <w:rsid w:val="009A2300"/>
    <w:rsid w:val="009A24C8"/>
    <w:rsid w:val="009A2A8E"/>
    <w:rsid w:val="009A321E"/>
    <w:rsid w:val="009A33A8"/>
    <w:rsid w:val="009A3614"/>
    <w:rsid w:val="009A36A8"/>
    <w:rsid w:val="009A370F"/>
    <w:rsid w:val="009A3790"/>
    <w:rsid w:val="009A3D73"/>
    <w:rsid w:val="009A3E57"/>
    <w:rsid w:val="009A3E58"/>
    <w:rsid w:val="009A3EEB"/>
    <w:rsid w:val="009A4194"/>
    <w:rsid w:val="009A451B"/>
    <w:rsid w:val="009A467B"/>
    <w:rsid w:val="009A486C"/>
    <w:rsid w:val="009A4F77"/>
    <w:rsid w:val="009A5175"/>
    <w:rsid w:val="009A519F"/>
    <w:rsid w:val="009A5272"/>
    <w:rsid w:val="009A53D6"/>
    <w:rsid w:val="009A5453"/>
    <w:rsid w:val="009A591B"/>
    <w:rsid w:val="009A5BD4"/>
    <w:rsid w:val="009A5F2B"/>
    <w:rsid w:val="009A5FEA"/>
    <w:rsid w:val="009A60B7"/>
    <w:rsid w:val="009A61E3"/>
    <w:rsid w:val="009A6285"/>
    <w:rsid w:val="009A628F"/>
    <w:rsid w:val="009A63DE"/>
    <w:rsid w:val="009A6ABC"/>
    <w:rsid w:val="009A6CB2"/>
    <w:rsid w:val="009A712B"/>
    <w:rsid w:val="009A71D0"/>
    <w:rsid w:val="009A7445"/>
    <w:rsid w:val="009A77DA"/>
    <w:rsid w:val="009A79BA"/>
    <w:rsid w:val="009A7B28"/>
    <w:rsid w:val="009B0051"/>
    <w:rsid w:val="009B02E2"/>
    <w:rsid w:val="009B04DA"/>
    <w:rsid w:val="009B0648"/>
    <w:rsid w:val="009B0973"/>
    <w:rsid w:val="009B09F1"/>
    <w:rsid w:val="009B0D2D"/>
    <w:rsid w:val="009B0D32"/>
    <w:rsid w:val="009B0D46"/>
    <w:rsid w:val="009B0E52"/>
    <w:rsid w:val="009B0F10"/>
    <w:rsid w:val="009B110E"/>
    <w:rsid w:val="009B149A"/>
    <w:rsid w:val="009B173A"/>
    <w:rsid w:val="009B1B27"/>
    <w:rsid w:val="009B22A9"/>
    <w:rsid w:val="009B236B"/>
    <w:rsid w:val="009B239D"/>
    <w:rsid w:val="009B23FB"/>
    <w:rsid w:val="009B2485"/>
    <w:rsid w:val="009B2691"/>
    <w:rsid w:val="009B2B65"/>
    <w:rsid w:val="009B2C32"/>
    <w:rsid w:val="009B30D8"/>
    <w:rsid w:val="009B31D1"/>
    <w:rsid w:val="009B33C4"/>
    <w:rsid w:val="009B33E0"/>
    <w:rsid w:val="009B3567"/>
    <w:rsid w:val="009B373E"/>
    <w:rsid w:val="009B3988"/>
    <w:rsid w:val="009B3BC9"/>
    <w:rsid w:val="009B406F"/>
    <w:rsid w:val="009B4145"/>
    <w:rsid w:val="009B428D"/>
    <w:rsid w:val="009B440C"/>
    <w:rsid w:val="009B448E"/>
    <w:rsid w:val="009B44C8"/>
    <w:rsid w:val="009B46B1"/>
    <w:rsid w:val="009B4760"/>
    <w:rsid w:val="009B47F3"/>
    <w:rsid w:val="009B4A00"/>
    <w:rsid w:val="009B4BE9"/>
    <w:rsid w:val="009B4D01"/>
    <w:rsid w:val="009B5032"/>
    <w:rsid w:val="009B50D1"/>
    <w:rsid w:val="009B54DD"/>
    <w:rsid w:val="009B5518"/>
    <w:rsid w:val="009B5536"/>
    <w:rsid w:val="009B5971"/>
    <w:rsid w:val="009B5E74"/>
    <w:rsid w:val="009B5FBB"/>
    <w:rsid w:val="009B6127"/>
    <w:rsid w:val="009B6142"/>
    <w:rsid w:val="009B6147"/>
    <w:rsid w:val="009B63BF"/>
    <w:rsid w:val="009B6453"/>
    <w:rsid w:val="009B64B3"/>
    <w:rsid w:val="009B6579"/>
    <w:rsid w:val="009B6887"/>
    <w:rsid w:val="009B7145"/>
    <w:rsid w:val="009B7150"/>
    <w:rsid w:val="009B7181"/>
    <w:rsid w:val="009B768F"/>
    <w:rsid w:val="009B778F"/>
    <w:rsid w:val="009B7929"/>
    <w:rsid w:val="009B7936"/>
    <w:rsid w:val="009B7951"/>
    <w:rsid w:val="009B7C02"/>
    <w:rsid w:val="009B7DED"/>
    <w:rsid w:val="009C00B9"/>
    <w:rsid w:val="009C0165"/>
    <w:rsid w:val="009C01CB"/>
    <w:rsid w:val="009C0387"/>
    <w:rsid w:val="009C040F"/>
    <w:rsid w:val="009C065E"/>
    <w:rsid w:val="009C0B67"/>
    <w:rsid w:val="009C0E30"/>
    <w:rsid w:val="009C0F55"/>
    <w:rsid w:val="009C11CE"/>
    <w:rsid w:val="009C15C6"/>
    <w:rsid w:val="009C1993"/>
    <w:rsid w:val="009C19E7"/>
    <w:rsid w:val="009C1BDA"/>
    <w:rsid w:val="009C2021"/>
    <w:rsid w:val="009C2577"/>
    <w:rsid w:val="009C2654"/>
    <w:rsid w:val="009C29C9"/>
    <w:rsid w:val="009C2E39"/>
    <w:rsid w:val="009C2FE8"/>
    <w:rsid w:val="009C31C2"/>
    <w:rsid w:val="009C344C"/>
    <w:rsid w:val="009C35C1"/>
    <w:rsid w:val="009C3969"/>
    <w:rsid w:val="009C39EF"/>
    <w:rsid w:val="009C3BDF"/>
    <w:rsid w:val="009C3F1C"/>
    <w:rsid w:val="009C43EF"/>
    <w:rsid w:val="009C4420"/>
    <w:rsid w:val="009C473E"/>
    <w:rsid w:val="009C4A23"/>
    <w:rsid w:val="009C4C3E"/>
    <w:rsid w:val="009C516C"/>
    <w:rsid w:val="009C525A"/>
    <w:rsid w:val="009C53CC"/>
    <w:rsid w:val="009C54F8"/>
    <w:rsid w:val="009C570B"/>
    <w:rsid w:val="009C5980"/>
    <w:rsid w:val="009C5A4C"/>
    <w:rsid w:val="009C5EBF"/>
    <w:rsid w:val="009C5ECB"/>
    <w:rsid w:val="009C631A"/>
    <w:rsid w:val="009C6537"/>
    <w:rsid w:val="009C6616"/>
    <w:rsid w:val="009C6636"/>
    <w:rsid w:val="009C6E56"/>
    <w:rsid w:val="009C6F44"/>
    <w:rsid w:val="009C71B1"/>
    <w:rsid w:val="009C7216"/>
    <w:rsid w:val="009C74AB"/>
    <w:rsid w:val="009C75D8"/>
    <w:rsid w:val="009C7621"/>
    <w:rsid w:val="009C78A0"/>
    <w:rsid w:val="009C7A48"/>
    <w:rsid w:val="009C7B65"/>
    <w:rsid w:val="009C7DBF"/>
    <w:rsid w:val="009D0111"/>
    <w:rsid w:val="009D01A4"/>
    <w:rsid w:val="009D01AF"/>
    <w:rsid w:val="009D03AC"/>
    <w:rsid w:val="009D04B8"/>
    <w:rsid w:val="009D04F9"/>
    <w:rsid w:val="009D07AF"/>
    <w:rsid w:val="009D0965"/>
    <w:rsid w:val="009D0999"/>
    <w:rsid w:val="009D0AF5"/>
    <w:rsid w:val="009D0DF9"/>
    <w:rsid w:val="009D13C7"/>
    <w:rsid w:val="009D1790"/>
    <w:rsid w:val="009D1939"/>
    <w:rsid w:val="009D19FF"/>
    <w:rsid w:val="009D1B85"/>
    <w:rsid w:val="009D1D82"/>
    <w:rsid w:val="009D1DB2"/>
    <w:rsid w:val="009D1E67"/>
    <w:rsid w:val="009D201C"/>
    <w:rsid w:val="009D203F"/>
    <w:rsid w:val="009D219C"/>
    <w:rsid w:val="009D2300"/>
    <w:rsid w:val="009D2436"/>
    <w:rsid w:val="009D28AF"/>
    <w:rsid w:val="009D293D"/>
    <w:rsid w:val="009D2B71"/>
    <w:rsid w:val="009D2C4A"/>
    <w:rsid w:val="009D2F21"/>
    <w:rsid w:val="009D3359"/>
    <w:rsid w:val="009D3367"/>
    <w:rsid w:val="009D361D"/>
    <w:rsid w:val="009D3671"/>
    <w:rsid w:val="009D3A6D"/>
    <w:rsid w:val="009D3B4B"/>
    <w:rsid w:val="009D3C38"/>
    <w:rsid w:val="009D3D2B"/>
    <w:rsid w:val="009D3F2F"/>
    <w:rsid w:val="009D3F5E"/>
    <w:rsid w:val="009D41A6"/>
    <w:rsid w:val="009D42C0"/>
    <w:rsid w:val="009D4498"/>
    <w:rsid w:val="009D48AD"/>
    <w:rsid w:val="009D4A97"/>
    <w:rsid w:val="009D4C39"/>
    <w:rsid w:val="009D4D06"/>
    <w:rsid w:val="009D4ED0"/>
    <w:rsid w:val="009D5590"/>
    <w:rsid w:val="009D5798"/>
    <w:rsid w:val="009D58DF"/>
    <w:rsid w:val="009D5915"/>
    <w:rsid w:val="009D5964"/>
    <w:rsid w:val="009D5A11"/>
    <w:rsid w:val="009D5EFB"/>
    <w:rsid w:val="009D5F54"/>
    <w:rsid w:val="009D5FA7"/>
    <w:rsid w:val="009D617B"/>
    <w:rsid w:val="009D62D4"/>
    <w:rsid w:val="009D63C8"/>
    <w:rsid w:val="009D643D"/>
    <w:rsid w:val="009D682F"/>
    <w:rsid w:val="009D688F"/>
    <w:rsid w:val="009D6E1D"/>
    <w:rsid w:val="009D7091"/>
    <w:rsid w:val="009D7372"/>
    <w:rsid w:val="009D7500"/>
    <w:rsid w:val="009D77EF"/>
    <w:rsid w:val="009D78CB"/>
    <w:rsid w:val="009D7F12"/>
    <w:rsid w:val="009D7FE5"/>
    <w:rsid w:val="009E03C0"/>
    <w:rsid w:val="009E043D"/>
    <w:rsid w:val="009E09E1"/>
    <w:rsid w:val="009E0B69"/>
    <w:rsid w:val="009E0C4D"/>
    <w:rsid w:val="009E0F44"/>
    <w:rsid w:val="009E1099"/>
    <w:rsid w:val="009E1289"/>
    <w:rsid w:val="009E12F6"/>
    <w:rsid w:val="009E1439"/>
    <w:rsid w:val="009E154F"/>
    <w:rsid w:val="009E1559"/>
    <w:rsid w:val="009E15EC"/>
    <w:rsid w:val="009E16B5"/>
    <w:rsid w:val="009E17E8"/>
    <w:rsid w:val="009E1989"/>
    <w:rsid w:val="009E1ADE"/>
    <w:rsid w:val="009E1B6F"/>
    <w:rsid w:val="009E1BBA"/>
    <w:rsid w:val="009E1D72"/>
    <w:rsid w:val="009E22E0"/>
    <w:rsid w:val="009E235D"/>
    <w:rsid w:val="009E265C"/>
    <w:rsid w:val="009E26DF"/>
    <w:rsid w:val="009E274A"/>
    <w:rsid w:val="009E27DA"/>
    <w:rsid w:val="009E2C56"/>
    <w:rsid w:val="009E30AA"/>
    <w:rsid w:val="009E30DA"/>
    <w:rsid w:val="009E36D7"/>
    <w:rsid w:val="009E3753"/>
    <w:rsid w:val="009E3938"/>
    <w:rsid w:val="009E3C06"/>
    <w:rsid w:val="009E3CC6"/>
    <w:rsid w:val="009E3F13"/>
    <w:rsid w:val="009E4448"/>
    <w:rsid w:val="009E4AC8"/>
    <w:rsid w:val="009E4BCF"/>
    <w:rsid w:val="009E4CBF"/>
    <w:rsid w:val="009E4CEF"/>
    <w:rsid w:val="009E4DB0"/>
    <w:rsid w:val="009E4DDB"/>
    <w:rsid w:val="009E4DF4"/>
    <w:rsid w:val="009E4FFB"/>
    <w:rsid w:val="009E5096"/>
    <w:rsid w:val="009E563C"/>
    <w:rsid w:val="009E58AD"/>
    <w:rsid w:val="009E5CEF"/>
    <w:rsid w:val="009E5D03"/>
    <w:rsid w:val="009E67A2"/>
    <w:rsid w:val="009E67EE"/>
    <w:rsid w:val="009E68A5"/>
    <w:rsid w:val="009E68E8"/>
    <w:rsid w:val="009E6B72"/>
    <w:rsid w:val="009E6DD7"/>
    <w:rsid w:val="009E7259"/>
    <w:rsid w:val="009E751A"/>
    <w:rsid w:val="009E7863"/>
    <w:rsid w:val="009E78FC"/>
    <w:rsid w:val="009E7A79"/>
    <w:rsid w:val="009F0190"/>
    <w:rsid w:val="009F08AB"/>
    <w:rsid w:val="009F09E1"/>
    <w:rsid w:val="009F0A07"/>
    <w:rsid w:val="009F0AC9"/>
    <w:rsid w:val="009F0F19"/>
    <w:rsid w:val="009F0FF6"/>
    <w:rsid w:val="009F101F"/>
    <w:rsid w:val="009F1629"/>
    <w:rsid w:val="009F1880"/>
    <w:rsid w:val="009F18C2"/>
    <w:rsid w:val="009F197D"/>
    <w:rsid w:val="009F1C30"/>
    <w:rsid w:val="009F1C3A"/>
    <w:rsid w:val="009F1EE7"/>
    <w:rsid w:val="009F212D"/>
    <w:rsid w:val="009F2149"/>
    <w:rsid w:val="009F2199"/>
    <w:rsid w:val="009F22FB"/>
    <w:rsid w:val="009F23DF"/>
    <w:rsid w:val="009F23E1"/>
    <w:rsid w:val="009F2456"/>
    <w:rsid w:val="009F248E"/>
    <w:rsid w:val="009F256E"/>
    <w:rsid w:val="009F2683"/>
    <w:rsid w:val="009F28D0"/>
    <w:rsid w:val="009F29C1"/>
    <w:rsid w:val="009F2C93"/>
    <w:rsid w:val="009F2DAB"/>
    <w:rsid w:val="009F2EE9"/>
    <w:rsid w:val="009F2F12"/>
    <w:rsid w:val="009F2F3D"/>
    <w:rsid w:val="009F33A1"/>
    <w:rsid w:val="009F345A"/>
    <w:rsid w:val="009F355E"/>
    <w:rsid w:val="009F35E6"/>
    <w:rsid w:val="009F37DC"/>
    <w:rsid w:val="009F395F"/>
    <w:rsid w:val="009F39C3"/>
    <w:rsid w:val="009F3A32"/>
    <w:rsid w:val="009F3A68"/>
    <w:rsid w:val="009F3A9C"/>
    <w:rsid w:val="009F3AAE"/>
    <w:rsid w:val="009F3BAC"/>
    <w:rsid w:val="009F442F"/>
    <w:rsid w:val="009F46F4"/>
    <w:rsid w:val="009F47F0"/>
    <w:rsid w:val="009F48BE"/>
    <w:rsid w:val="009F4AA3"/>
    <w:rsid w:val="009F4C47"/>
    <w:rsid w:val="009F4C4E"/>
    <w:rsid w:val="009F5084"/>
    <w:rsid w:val="009F50DC"/>
    <w:rsid w:val="009F5162"/>
    <w:rsid w:val="009F517D"/>
    <w:rsid w:val="009F5528"/>
    <w:rsid w:val="009F56EB"/>
    <w:rsid w:val="009F576C"/>
    <w:rsid w:val="009F58FE"/>
    <w:rsid w:val="009F59AA"/>
    <w:rsid w:val="009F59D7"/>
    <w:rsid w:val="009F5A87"/>
    <w:rsid w:val="009F5B6A"/>
    <w:rsid w:val="009F5BC1"/>
    <w:rsid w:val="009F5D1E"/>
    <w:rsid w:val="009F5D8F"/>
    <w:rsid w:val="009F5E9F"/>
    <w:rsid w:val="009F5EE2"/>
    <w:rsid w:val="009F60C0"/>
    <w:rsid w:val="009F613F"/>
    <w:rsid w:val="009F6334"/>
    <w:rsid w:val="009F64A1"/>
    <w:rsid w:val="009F6703"/>
    <w:rsid w:val="009F6CE7"/>
    <w:rsid w:val="009F6F29"/>
    <w:rsid w:val="009F7303"/>
    <w:rsid w:val="009F7511"/>
    <w:rsid w:val="009F7577"/>
    <w:rsid w:val="009F7677"/>
    <w:rsid w:val="009F7998"/>
    <w:rsid w:val="00A00099"/>
    <w:rsid w:val="00A000B8"/>
    <w:rsid w:val="00A002D0"/>
    <w:rsid w:val="00A00560"/>
    <w:rsid w:val="00A0079D"/>
    <w:rsid w:val="00A007B8"/>
    <w:rsid w:val="00A0081F"/>
    <w:rsid w:val="00A0093B"/>
    <w:rsid w:val="00A00ABD"/>
    <w:rsid w:val="00A00C95"/>
    <w:rsid w:val="00A00CE0"/>
    <w:rsid w:val="00A00DC2"/>
    <w:rsid w:val="00A00EBA"/>
    <w:rsid w:val="00A012C3"/>
    <w:rsid w:val="00A0136F"/>
    <w:rsid w:val="00A01512"/>
    <w:rsid w:val="00A016C2"/>
    <w:rsid w:val="00A019CB"/>
    <w:rsid w:val="00A01B0E"/>
    <w:rsid w:val="00A01B90"/>
    <w:rsid w:val="00A01F0E"/>
    <w:rsid w:val="00A01F6F"/>
    <w:rsid w:val="00A020EE"/>
    <w:rsid w:val="00A02149"/>
    <w:rsid w:val="00A023D8"/>
    <w:rsid w:val="00A023DF"/>
    <w:rsid w:val="00A023E4"/>
    <w:rsid w:val="00A0279B"/>
    <w:rsid w:val="00A0288F"/>
    <w:rsid w:val="00A029FE"/>
    <w:rsid w:val="00A02B6A"/>
    <w:rsid w:val="00A02BF9"/>
    <w:rsid w:val="00A02F94"/>
    <w:rsid w:val="00A031DB"/>
    <w:rsid w:val="00A03543"/>
    <w:rsid w:val="00A036C1"/>
    <w:rsid w:val="00A03847"/>
    <w:rsid w:val="00A039CC"/>
    <w:rsid w:val="00A03A4F"/>
    <w:rsid w:val="00A03A9D"/>
    <w:rsid w:val="00A03F75"/>
    <w:rsid w:val="00A0405C"/>
    <w:rsid w:val="00A0448B"/>
    <w:rsid w:val="00A044CD"/>
    <w:rsid w:val="00A0475A"/>
    <w:rsid w:val="00A05116"/>
    <w:rsid w:val="00A0535B"/>
    <w:rsid w:val="00A0549C"/>
    <w:rsid w:val="00A055D2"/>
    <w:rsid w:val="00A0576C"/>
    <w:rsid w:val="00A05841"/>
    <w:rsid w:val="00A05B04"/>
    <w:rsid w:val="00A05B60"/>
    <w:rsid w:val="00A05CE8"/>
    <w:rsid w:val="00A05E92"/>
    <w:rsid w:val="00A06171"/>
    <w:rsid w:val="00A06327"/>
    <w:rsid w:val="00A06476"/>
    <w:rsid w:val="00A06545"/>
    <w:rsid w:val="00A067B7"/>
    <w:rsid w:val="00A0697D"/>
    <w:rsid w:val="00A069D5"/>
    <w:rsid w:val="00A06BE4"/>
    <w:rsid w:val="00A06C08"/>
    <w:rsid w:val="00A06C72"/>
    <w:rsid w:val="00A07293"/>
    <w:rsid w:val="00A07960"/>
    <w:rsid w:val="00A07D21"/>
    <w:rsid w:val="00A07E02"/>
    <w:rsid w:val="00A07FD6"/>
    <w:rsid w:val="00A10290"/>
    <w:rsid w:val="00A1037B"/>
    <w:rsid w:val="00A104B3"/>
    <w:rsid w:val="00A10605"/>
    <w:rsid w:val="00A10704"/>
    <w:rsid w:val="00A107DE"/>
    <w:rsid w:val="00A108BC"/>
    <w:rsid w:val="00A10AE3"/>
    <w:rsid w:val="00A10E82"/>
    <w:rsid w:val="00A10F40"/>
    <w:rsid w:val="00A1133B"/>
    <w:rsid w:val="00A11535"/>
    <w:rsid w:val="00A11623"/>
    <w:rsid w:val="00A11672"/>
    <w:rsid w:val="00A11969"/>
    <w:rsid w:val="00A11A8F"/>
    <w:rsid w:val="00A11B07"/>
    <w:rsid w:val="00A120DC"/>
    <w:rsid w:val="00A12101"/>
    <w:rsid w:val="00A12116"/>
    <w:rsid w:val="00A12AD6"/>
    <w:rsid w:val="00A12B86"/>
    <w:rsid w:val="00A12BEC"/>
    <w:rsid w:val="00A12C9C"/>
    <w:rsid w:val="00A12EB6"/>
    <w:rsid w:val="00A1311C"/>
    <w:rsid w:val="00A132E4"/>
    <w:rsid w:val="00A1342A"/>
    <w:rsid w:val="00A13496"/>
    <w:rsid w:val="00A1382C"/>
    <w:rsid w:val="00A13B67"/>
    <w:rsid w:val="00A143C3"/>
    <w:rsid w:val="00A143CA"/>
    <w:rsid w:val="00A1458E"/>
    <w:rsid w:val="00A145FB"/>
    <w:rsid w:val="00A146A9"/>
    <w:rsid w:val="00A1497A"/>
    <w:rsid w:val="00A149FC"/>
    <w:rsid w:val="00A14F8A"/>
    <w:rsid w:val="00A14FAC"/>
    <w:rsid w:val="00A15137"/>
    <w:rsid w:val="00A15297"/>
    <w:rsid w:val="00A1530C"/>
    <w:rsid w:val="00A15563"/>
    <w:rsid w:val="00A15623"/>
    <w:rsid w:val="00A156A9"/>
    <w:rsid w:val="00A156E2"/>
    <w:rsid w:val="00A159ED"/>
    <w:rsid w:val="00A15A75"/>
    <w:rsid w:val="00A15DBC"/>
    <w:rsid w:val="00A15E9C"/>
    <w:rsid w:val="00A15EF4"/>
    <w:rsid w:val="00A15FE4"/>
    <w:rsid w:val="00A16019"/>
    <w:rsid w:val="00A1621E"/>
    <w:rsid w:val="00A164EC"/>
    <w:rsid w:val="00A1680C"/>
    <w:rsid w:val="00A1684B"/>
    <w:rsid w:val="00A16A13"/>
    <w:rsid w:val="00A16BB6"/>
    <w:rsid w:val="00A16D9A"/>
    <w:rsid w:val="00A16DE8"/>
    <w:rsid w:val="00A16F8E"/>
    <w:rsid w:val="00A17059"/>
    <w:rsid w:val="00A17088"/>
    <w:rsid w:val="00A1717A"/>
    <w:rsid w:val="00A17617"/>
    <w:rsid w:val="00A1782C"/>
    <w:rsid w:val="00A17852"/>
    <w:rsid w:val="00A178AE"/>
    <w:rsid w:val="00A178D5"/>
    <w:rsid w:val="00A178EE"/>
    <w:rsid w:val="00A179FE"/>
    <w:rsid w:val="00A17A4C"/>
    <w:rsid w:val="00A17D24"/>
    <w:rsid w:val="00A17D8A"/>
    <w:rsid w:val="00A17DC5"/>
    <w:rsid w:val="00A202F4"/>
    <w:rsid w:val="00A204EA"/>
    <w:rsid w:val="00A20519"/>
    <w:rsid w:val="00A20600"/>
    <w:rsid w:val="00A2081D"/>
    <w:rsid w:val="00A20A68"/>
    <w:rsid w:val="00A20BC8"/>
    <w:rsid w:val="00A20CEE"/>
    <w:rsid w:val="00A20D3C"/>
    <w:rsid w:val="00A20FDF"/>
    <w:rsid w:val="00A21024"/>
    <w:rsid w:val="00A21292"/>
    <w:rsid w:val="00A21407"/>
    <w:rsid w:val="00A219CC"/>
    <w:rsid w:val="00A21A24"/>
    <w:rsid w:val="00A21A3E"/>
    <w:rsid w:val="00A21B94"/>
    <w:rsid w:val="00A21C02"/>
    <w:rsid w:val="00A222D0"/>
    <w:rsid w:val="00A22457"/>
    <w:rsid w:val="00A225A9"/>
    <w:rsid w:val="00A22C7B"/>
    <w:rsid w:val="00A22D99"/>
    <w:rsid w:val="00A22E23"/>
    <w:rsid w:val="00A22E3A"/>
    <w:rsid w:val="00A23199"/>
    <w:rsid w:val="00A23538"/>
    <w:rsid w:val="00A23879"/>
    <w:rsid w:val="00A239BA"/>
    <w:rsid w:val="00A23F9B"/>
    <w:rsid w:val="00A23FFC"/>
    <w:rsid w:val="00A24150"/>
    <w:rsid w:val="00A244E0"/>
    <w:rsid w:val="00A2469B"/>
    <w:rsid w:val="00A24701"/>
    <w:rsid w:val="00A2494D"/>
    <w:rsid w:val="00A24969"/>
    <w:rsid w:val="00A24CB3"/>
    <w:rsid w:val="00A24D86"/>
    <w:rsid w:val="00A24F24"/>
    <w:rsid w:val="00A2531F"/>
    <w:rsid w:val="00A254E7"/>
    <w:rsid w:val="00A254EF"/>
    <w:rsid w:val="00A2555E"/>
    <w:rsid w:val="00A256B5"/>
    <w:rsid w:val="00A256FF"/>
    <w:rsid w:val="00A25867"/>
    <w:rsid w:val="00A25921"/>
    <w:rsid w:val="00A25A9E"/>
    <w:rsid w:val="00A25BE3"/>
    <w:rsid w:val="00A25E71"/>
    <w:rsid w:val="00A25F07"/>
    <w:rsid w:val="00A26244"/>
    <w:rsid w:val="00A26309"/>
    <w:rsid w:val="00A2641F"/>
    <w:rsid w:val="00A264FD"/>
    <w:rsid w:val="00A266AC"/>
    <w:rsid w:val="00A2679A"/>
    <w:rsid w:val="00A267F9"/>
    <w:rsid w:val="00A26CA4"/>
    <w:rsid w:val="00A26CE7"/>
    <w:rsid w:val="00A27041"/>
    <w:rsid w:val="00A271B4"/>
    <w:rsid w:val="00A2738D"/>
    <w:rsid w:val="00A273EF"/>
    <w:rsid w:val="00A275DF"/>
    <w:rsid w:val="00A276AE"/>
    <w:rsid w:val="00A277C4"/>
    <w:rsid w:val="00A2795F"/>
    <w:rsid w:val="00A27DC5"/>
    <w:rsid w:val="00A301DE"/>
    <w:rsid w:val="00A303E7"/>
    <w:rsid w:val="00A30561"/>
    <w:rsid w:val="00A3068B"/>
    <w:rsid w:val="00A306C5"/>
    <w:rsid w:val="00A30724"/>
    <w:rsid w:val="00A30C47"/>
    <w:rsid w:val="00A30D39"/>
    <w:rsid w:val="00A30D9F"/>
    <w:rsid w:val="00A31012"/>
    <w:rsid w:val="00A311CD"/>
    <w:rsid w:val="00A31215"/>
    <w:rsid w:val="00A314CA"/>
    <w:rsid w:val="00A318FD"/>
    <w:rsid w:val="00A31BB6"/>
    <w:rsid w:val="00A31FAD"/>
    <w:rsid w:val="00A3205F"/>
    <w:rsid w:val="00A320AB"/>
    <w:rsid w:val="00A323D3"/>
    <w:rsid w:val="00A325B3"/>
    <w:rsid w:val="00A325D1"/>
    <w:rsid w:val="00A32A05"/>
    <w:rsid w:val="00A32C52"/>
    <w:rsid w:val="00A32EDF"/>
    <w:rsid w:val="00A32EFA"/>
    <w:rsid w:val="00A32F47"/>
    <w:rsid w:val="00A33859"/>
    <w:rsid w:val="00A33907"/>
    <w:rsid w:val="00A3390D"/>
    <w:rsid w:val="00A33920"/>
    <w:rsid w:val="00A33E0F"/>
    <w:rsid w:val="00A33FCB"/>
    <w:rsid w:val="00A34038"/>
    <w:rsid w:val="00A3405D"/>
    <w:rsid w:val="00A342F6"/>
    <w:rsid w:val="00A34804"/>
    <w:rsid w:val="00A34C9A"/>
    <w:rsid w:val="00A35005"/>
    <w:rsid w:val="00A3505F"/>
    <w:rsid w:val="00A353AD"/>
    <w:rsid w:val="00A354F5"/>
    <w:rsid w:val="00A357A7"/>
    <w:rsid w:val="00A35CEE"/>
    <w:rsid w:val="00A35D28"/>
    <w:rsid w:val="00A36366"/>
    <w:rsid w:val="00A364EF"/>
    <w:rsid w:val="00A3657C"/>
    <w:rsid w:val="00A36846"/>
    <w:rsid w:val="00A36897"/>
    <w:rsid w:val="00A36A99"/>
    <w:rsid w:val="00A36D09"/>
    <w:rsid w:val="00A36D2E"/>
    <w:rsid w:val="00A370A5"/>
    <w:rsid w:val="00A372EB"/>
    <w:rsid w:val="00A37351"/>
    <w:rsid w:val="00A37566"/>
    <w:rsid w:val="00A37823"/>
    <w:rsid w:val="00A37831"/>
    <w:rsid w:val="00A379A7"/>
    <w:rsid w:val="00A37AFB"/>
    <w:rsid w:val="00A403FE"/>
    <w:rsid w:val="00A404EA"/>
    <w:rsid w:val="00A4055A"/>
    <w:rsid w:val="00A40712"/>
    <w:rsid w:val="00A4073B"/>
    <w:rsid w:val="00A408E4"/>
    <w:rsid w:val="00A4096B"/>
    <w:rsid w:val="00A40A3D"/>
    <w:rsid w:val="00A40AB8"/>
    <w:rsid w:val="00A40DDF"/>
    <w:rsid w:val="00A40E62"/>
    <w:rsid w:val="00A41250"/>
    <w:rsid w:val="00A41284"/>
    <w:rsid w:val="00A415CA"/>
    <w:rsid w:val="00A41D4E"/>
    <w:rsid w:val="00A41EEA"/>
    <w:rsid w:val="00A41F8C"/>
    <w:rsid w:val="00A41F91"/>
    <w:rsid w:val="00A42297"/>
    <w:rsid w:val="00A42B3B"/>
    <w:rsid w:val="00A42C2C"/>
    <w:rsid w:val="00A42DD8"/>
    <w:rsid w:val="00A43350"/>
    <w:rsid w:val="00A4345E"/>
    <w:rsid w:val="00A43AB8"/>
    <w:rsid w:val="00A43E63"/>
    <w:rsid w:val="00A43FA2"/>
    <w:rsid w:val="00A43FE7"/>
    <w:rsid w:val="00A442AC"/>
    <w:rsid w:val="00A443CD"/>
    <w:rsid w:val="00A44765"/>
    <w:rsid w:val="00A447CD"/>
    <w:rsid w:val="00A449B5"/>
    <w:rsid w:val="00A44AEC"/>
    <w:rsid w:val="00A44C00"/>
    <w:rsid w:val="00A44E18"/>
    <w:rsid w:val="00A44EBC"/>
    <w:rsid w:val="00A450E5"/>
    <w:rsid w:val="00A45286"/>
    <w:rsid w:val="00A4540A"/>
    <w:rsid w:val="00A45586"/>
    <w:rsid w:val="00A4558B"/>
    <w:rsid w:val="00A45597"/>
    <w:rsid w:val="00A45743"/>
    <w:rsid w:val="00A45892"/>
    <w:rsid w:val="00A45A04"/>
    <w:rsid w:val="00A45A68"/>
    <w:rsid w:val="00A45BB6"/>
    <w:rsid w:val="00A46193"/>
    <w:rsid w:val="00A4632A"/>
    <w:rsid w:val="00A4652B"/>
    <w:rsid w:val="00A4655D"/>
    <w:rsid w:val="00A465B6"/>
    <w:rsid w:val="00A466E9"/>
    <w:rsid w:val="00A46925"/>
    <w:rsid w:val="00A4726A"/>
    <w:rsid w:val="00A476A6"/>
    <w:rsid w:val="00A479AC"/>
    <w:rsid w:val="00A47BCD"/>
    <w:rsid w:val="00A47EEF"/>
    <w:rsid w:val="00A47F28"/>
    <w:rsid w:val="00A47F4F"/>
    <w:rsid w:val="00A500E4"/>
    <w:rsid w:val="00A5029B"/>
    <w:rsid w:val="00A50469"/>
    <w:rsid w:val="00A504DE"/>
    <w:rsid w:val="00A5052A"/>
    <w:rsid w:val="00A5058B"/>
    <w:rsid w:val="00A5083E"/>
    <w:rsid w:val="00A508AF"/>
    <w:rsid w:val="00A50915"/>
    <w:rsid w:val="00A509ED"/>
    <w:rsid w:val="00A50D21"/>
    <w:rsid w:val="00A511AF"/>
    <w:rsid w:val="00A512DA"/>
    <w:rsid w:val="00A5141C"/>
    <w:rsid w:val="00A516F2"/>
    <w:rsid w:val="00A51760"/>
    <w:rsid w:val="00A51F25"/>
    <w:rsid w:val="00A51F41"/>
    <w:rsid w:val="00A51FCE"/>
    <w:rsid w:val="00A51FF8"/>
    <w:rsid w:val="00A522D3"/>
    <w:rsid w:val="00A5237C"/>
    <w:rsid w:val="00A52768"/>
    <w:rsid w:val="00A52970"/>
    <w:rsid w:val="00A52A8F"/>
    <w:rsid w:val="00A52C21"/>
    <w:rsid w:val="00A5305D"/>
    <w:rsid w:val="00A532D2"/>
    <w:rsid w:val="00A53409"/>
    <w:rsid w:val="00A537B4"/>
    <w:rsid w:val="00A5385B"/>
    <w:rsid w:val="00A539AD"/>
    <w:rsid w:val="00A53CF2"/>
    <w:rsid w:val="00A53CFA"/>
    <w:rsid w:val="00A53ED1"/>
    <w:rsid w:val="00A540A4"/>
    <w:rsid w:val="00A541E2"/>
    <w:rsid w:val="00A544B1"/>
    <w:rsid w:val="00A54573"/>
    <w:rsid w:val="00A54652"/>
    <w:rsid w:val="00A546DB"/>
    <w:rsid w:val="00A546FC"/>
    <w:rsid w:val="00A54741"/>
    <w:rsid w:val="00A547F6"/>
    <w:rsid w:val="00A54AC7"/>
    <w:rsid w:val="00A54D47"/>
    <w:rsid w:val="00A54EC6"/>
    <w:rsid w:val="00A54F0B"/>
    <w:rsid w:val="00A54F51"/>
    <w:rsid w:val="00A55025"/>
    <w:rsid w:val="00A55059"/>
    <w:rsid w:val="00A551C3"/>
    <w:rsid w:val="00A5531F"/>
    <w:rsid w:val="00A554CC"/>
    <w:rsid w:val="00A55842"/>
    <w:rsid w:val="00A5595C"/>
    <w:rsid w:val="00A55966"/>
    <w:rsid w:val="00A55C06"/>
    <w:rsid w:val="00A55C36"/>
    <w:rsid w:val="00A55C38"/>
    <w:rsid w:val="00A560F9"/>
    <w:rsid w:val="00A560FE"/>
    <w:rsid w:val="00A56577"/>
    <w:rsid w:val="00A565DF"/>
    <w:rsid w:val="00A5667C"/>
    <w:rsid w:val="00A567F1"/>
    <w:rsid w:val="00A5682A"/>
    <w:rsid w:val="00A56D29"/>
    <w:rsid w:val="00A57453"/>
    <w:rsid w:val="00A577FA"/>
    <w:rsid w:val="00A57A8B"/>
    <w:rsid w:val="00A57AFA"/>
    <w:rsid w:val="00A57BD1"/>
    <w:rsid w:val="00A57E09"/>
    <w:rsid w:val="00A60094"/>
    <w:rsid w:val="00A600BB"/>
    <w:rsid w:val="00A600ED"/>
    <w:rsid w:val="00A60222"/>
    <w:rsid w:val="00A603A3"/>
    <w:rsid w:val="00A603FD"/>
    <w:rsid w:val="00A607EE"/>
    <w:rsid w:val="00A60D06"/>
    <w:rsid w:val="00A60D6E"/>
    <w:rsid w:val="00A60EBB"/>
    <w:rsid w:val="00A61042"/>
    <w:rsid w:val="00A611FD"/>
    <w:rsid w:val="00A613EE"/>
    <w:rsid w:val="00A6160F"/>
    <w:rsid w:val="00A61633"/>
    <w:rsid w:val="00A616F5"/>
    <w:rsid w:val="00A617C5"/>
    <w:rsid w:val="00A6183D"/>
    <w:rsid w:val="00A619F1"/>
    <w:rsid w:val="00A61DF7"/>
    <w:rsid w:val="00A620FB"/>
    <w:rsid w:val="00A62331"/>
    <w:rsid w:val="00A62B9F"/>
    <w:rsid w:val="00A63242"/>
    <w:rsid w:val="00A6326A"/>
    <w:rsid w:val="00A6347D"/>
    <w:rsid w:val="00A6351D"/>
    <w:rsid w:val="00A636C8"/>
    <w:rsid w:val="00A637BE"/>
    <w:rsid w:val="00A6391F"/>
    <w:rsid w:val="00A63B91"/>
    <w:rsid w:val="00A63E01"/>
    <w:rsid w:val="00A640F0"/>
    <w:rsid w:val="00A640FF"/>
    <w:rsid w:val="00A64116"/>
    <w:rsid w:val="00A64159"/>
    <w:rsid w:val="00A642A7"/>
    <w:rsid w:val="00A64332"/>
    <w:rsid w:val="00A6494E"/>
    <w:rsid w:val="00A64AE9"/>
    <w:rsid w:val="00A64DBB"/>
    <w:rsid w:val="00A64FCE"/>
    <w:rsid w:val="00A651DA"/>
    <w:rsid w:val="00A651E4"/>
    <w:rsid w:val="00A65340"/>
    <w:rsid w:val="00A65422"/>
    <w:rsid w:val="00A659A6"/>
    <w:rsid w:val="00A65A28"/>
    <w:rsid w:val="00A65A2B"/>
    <w:rsid w:val="00A65A92"/>
    <w:rsid w:val="00A65BD2"/>
    <w:rsid w:val="00A65CDE"/>
    <w:rsid w:val="00A65DAA"/>
    <w:rsid w:val="00A6610A"/>
    <w:rsid w:val="00A6613E"/>
    <w:rsid w:val="00A6671E"/>
    <w:rsid w:val="00A66819"/>
    <w:rsid w:val="00A669D8"/>
    <w:rsid w:val="00A66CE2"/>
    <w:rsid w:val="00A6708B"/>
    <w:rsid w:val="00A670AE"/>
    <w:rsid w:val="00A671E9"/>
    <w:rsid w:val="00A67480"/>
    <w:rsid w:val="00A674A9"/>
    <w:rsid w:val="00A67F96"/>
    <w:rsid w:val="00A70044"/>
    <w:rsid w:val="00A7008C"/>
    <w:rsid w:val="00A7028B"/>
    <w:rsid w:val="00A7034C"/>
    <w:rsid w:val="00A705B6"/>
    <w:rsid w:val="00A705DB"/>
    <w:rsid w:val="00A70765"/>
    <w:rsid w:val="00A7084C"/>
    <w:rsid w:val="00A70879"/>
    <w:rsid w:val="00A70911"/>
    <w:rsid w:val="00A70AE5"/>
    <w:rsid w:val="00A71226"/>
    <w:rsid w:val="00A71353"/>
    <w:rsid w:val="00A7138D"/>
    <w:rsid w:val="00A713D5"/>
    <w:rsid w:val="00A71454"/>
    <w:rsid w:val="00A7161B"/>
    <w:rsid w:val="00A71AB7"/>
    <w:rsid w:val="00A71B29"/>
    <w:rsid w:val="00A71B61"/>
    <w:rsid w:val="00A71F06"/>
    <w:rsid w:val="00A72342"/>
    <w:rsid w:val="00A72345"/>
    <w:rsid w:val="00A72484"/>
    <w:rsid w:val="00A72536"/>
    <w:rsid w:val="00A72924"/>
    <w:rsid w:val="00A72BA5"/>
    <w:rsid w:val="00A72E50"/>
    <w:rsid w:val="00A73205"/>
    <w:rsid w:val="00A73301"/>
    <w:rsid w:val="00A733F6"/>
    <w:rsid w:val="00A7372D"/>
    <w:rsid w:val="00A73BFA"/>
    <w:rsid w:val="00A73C63"/>
    <w:rsid w:val="00A73E74"/>
    <w:rsid w:val="00A74059"/>
    <w:rsid w:val="00A7408A"/>
    <w:rsid w:val="00A7415E"/>
    <w:rsid w:val="00A7416B"/>
    <w:rsid w:val="00A74270"/>
    <w:rsid w:val="00A743C8"/>
    <w:rsid w:val="00A747B3"/>
    <w:rsid w:val="00A74858"/>
    <w:rsid w:val="00A7488C"/>
    <w:rsid w:val="00A748CA"/>
    <w:rsid w:val="00A74B83"/>
    <w:rsid w:val="00A74C02"/>
    <w:rsid w:val="00A74E8D"/>
    <w:rsid w:val="00A7523D"/>
    <w:rsid w:val="00A75529"/>
    <w:rsid w:val="00A755F9"/>
    <w:rsid w:val="00A75A05"/>
    <w:rsid w:val="00A75F5A"/>
    <w:rsid w:val="00A76016"/>
    <w:rsid w:val="00A76121"/>
    <w:rsid w:val="00A767F9"/>
    <w:rsid w:val="00A76E41"/>
    <w:rsid w:val="00A76ED8"/>
    <w:rsid w:val="00A76F09"/>
    <w:rsid w:val="00A76F27"/>
    <w:rsid w:val="00A77035"/>
    <w:rsid w:val="00A771DA"/>
    <w:rsid w:val="00A77316"/>
    <w:rsid w:val="00A779A9"/>
    <w:rsid w:val="00A77A74"/>
    <w:rsid w:val="00A77E81"/>
    <w:rsid w:val="00A80233"/>
    <w:rsid w:val="00A80306"/>
    <w:rsid w:val="00A807B8"/>
    <w:rsid w:val="00A807C2"/>
    <w:rsid w:val="00A809F4"/>
    <w:rsid w:val="00A809FF"/>
    <w:rsid w:val="00A819F0"/>
    <w:rsid w:val="00A81B30"/>
    <w:rsid w:val="00A81D31"/>
    <w:rsid w:val="00A81D9B"/>
    <w:rsid w:val="00A81E93"/>
    <w:rsid w:val="00A81FA8"/>
    <w:rsid w:val="00A8224C"/>
    <w:rsid w:val="00A822AE"/>
    <w:rsid w:val="00A8262F"/>
    <w:rsid w:val="00A82862"/>
    <w:rsid w:val="00A828A5"/>
    <w:rsid w:val="00A82E9D"/>
    <w:rsid w:val="00A82ED8"/>
    <w:rsid w:val="00A8304A"/>
    <w:rsid w:val="00A834EB"/>
    <w:rsid w:val="00A836E7"/>
    <w:rsid w:val="00A8383A"/>
    <w:rsid w:val="00A839EA"/>
    <w:rsid w:val="00A83B0E"/>
    <w:rsid w:val="00A83B38"/>
    <w:rsid w:val="00A83B55"/>
    <w:rsid w:val="00A83C19"/>
    <w:rsid w:val="00A83CAC"/>
    <w:rsid w:val="00A83CFD"/>
    <w:rsid w:val="00A83DC0"/>
    <w:rsid w:val="00A83E23"/>
    <w:rsid w:val="00A83ECB"/>
    <w:rsid w:val="00A83F78"/>
    <w:rsid w:val="00A83FAB"/>
    <w:rsid w:val="00A8423F"/>
    <w:rsid w:val="00A844E7"/>
    <w:rsid w:val="00A84822"/>
    <w:rsid w:val="00A8496A"/>
    <w:rsid w:val="00A84CFB"/>
    <w:rsid w:val="00A84EC6"/>
    <w:rsid w:val="00A85018"/>
    <w:rsid w:val="00A85171"/>
    <w:rsid w:val="00A852AA"/>
    <w:rsid w:val="00A85613"/>
    <w:rsid w:val="00A858BC"/>
    <w:rsid w:val="00A85D7B"/>
    <w:rsid w:val="00A86081"/>
    <w:rsid w:val="00A86311"/>
    <w:rsid w:val="00A86613"/>
    <w:rsid w:val="00A86732"/>
    <w:rsid w:val="00A86743"/>
    <w:rsid w:val="00A86E7D"/>
    <w:rsid w:val="00A86FAF"/>
    <w:rsid w:val="00A86FE6"/>
    <w:rsid w:val="00A878A0"/>
    <w:rsid w:val="00A87988"/>
    <w:rsid w:val="00A87BCA"/>
    <w:rsid w:val="00A87D78"/>
    <w:rsid w:val="00A87FAE"/>
    <w:rsid w:val="00A90085"/>
    <w:rsid w:val="00A9018F"/>
    <w:rsid w:val="00A901C7"/>
    <w:rsid w:val="00A90483"/>
    <w:rsid w:val="00A9051F"/>
    <w:rsid w:val="00A908EB"/>
    <w:rsid w:val="00A90A0A"/>
    <w:rsid w:val="00A90D5D"/>
    <w:rsid w:val="00A90E44"/>
    <w:rsid w:val="00A910FF"/>
    <w:rsid w:val="00A9111D"/>
    <w:rsid w:val="00A9122A"/>
    <w:rsid w:val="00A915E0"/>
    <w:rsid w:val="00A916A7"/>
    <w:rsid w:val="00A91844"/>
    <w:rsid w:val="00A91C76"/>
    <w:rsid w:val="00A91F6C"/>
    <w:rsid w:val="00A91FAA"/>
    <w:rsid w:val="00A921A8"/>
    <w:rsid w:val="00A923DC"/>
    <w:rsid w:val="00A9256F"/>
    <w:rsid w:val="00A9258D"/>
    <w:rsid w:val="00A92715"/>
    <w:rsid w:val="00A92873"/>
    <w:rsid w:val="00A92A64"/>
    <w:rsid w:val="00A92BA2"/>
    <w:rsid w:val="00A92C51"/>
    <w:rsid w:val="00A92D99"/>
    <w:rsid w:val="00A92EAB"/>
    <w:rsid w:val="00A93353"/>
    <w:rsid w:val="00A9344F"/>
    <w:rsid w:val="00A9363B"/>
    <w:rsid w:val="00A937ED"/>
    <w:rsid w:val="00A93EAD"/>
    <w:rsid w:val="00A940C5"/>
    <w:rsid w:val="00A94DBB"/>
    <w:rsid w:val="00A94EC4"/>
    <w:rsid w:val="00A95397"/>
    <w:rsid w:val="00A957B0"/>
    <w:rsid w:val="00A958D3"/>
    <w:rsid w:val="00A95ABF"/>
    <w:rsid w:val="00A95F10"/>
    <w:rsid w:val="00A95F64"/>
    <w:rsid w:val="00A9613F"/>
    <w:rsid w:val="00A962AF"/>
    <w:rsid w:val="00A962FA"/>
    <w:rsid w:val="00A9659D"/>
    <w:rsid w:val="00A96612"/>
    <w:rsid w:val="00A966AA"/>
    <w:rsid w:val="00A969D2"/>
    <w:rsid w:val="00A96CA4"/>
    <w:rsid w:val="00A96CDD"/>
    <w:rsid w:val="00A96EF9"/>
    <w:rsid w:val="00A97077"/>
    <w:rsid w:val="00A971BF"/>
    <w:rsid w:val="00A9735D"/>
    <w:rsid w:val="00A97565"/>
    <w:rsid w:val="00A976EE"/>
    <w:rsid w:val="00A97CC7"/>
    <w:rsid w:val="00A97F4E"/>
    <w:rsid w:val="00A97FC4"/>
    <w:rsid w:val="00AA00EC"/>
    <w:rsid w:val="00AA050E"/>
    <w:rsid w:val="00AA0849"/>
    <w:rsid w:val="00AA0A35"/>
    <w:rsid w:val="00AA0B99"/>
    <w:rsid w:val="00AA0C63"/>
    <w:rsid w:val="00AA0D6E"/>
    <w:rsid w:val="00AA0E6D"/>
    <w:rsid w:val="00AA0EA2"/>
    <w:rsid w:val="00AA10AA"/>
    <w:rsid w:val="00AA1135"/>
    <w:rsid w:val="00AA16AB"/>
    <w:rsid w:val="00AA16B8"/>
    <w:rsid w:val="00AA16D1"/>
    <w:rsid w:val="00AA1AAC"/>
    <w:rsid w:val="00AA1AD3"/>
    <w:rsid w:val="00AA1DE6"/>
    <w:rsid w:val="00AA1EED"/>
    <w:rsid w:val="00AA20AB"/>
    <w:rsid w:val="00AA21E7"/>
    <w:rsid w:val="00AA22BA"/>
    <w:rsid w:val="00AA237B"/>
    <w:rsid w:val="00AA24FD"/>
    <w:rsid w:val="00AA29C1"/>
    <w:rsid w:val="00AA306B"/>
    <w:rsid w:val="00AA30DA"/>
    <w:rsid w:val="00AA31B9"/>
    <w:rsid w:val="00AA33E7"/>
    <w:rsid w:val="00AA3555"/>
    <w:rsid w:val="00AA3A46"/>
    <w:rsid w:val="00AA3BC9"/>
    <w:rsid w:val="00AA3EA2"/>
    <w:rsid w:val="00AA4183"/>
    <w:rsid w:val="00AA4289"/>
    <w:rsid w:val="00AA44DB"/>
    <w:rsid w:val="00AA459D"/>
    <w:rsid w:val="00AA4959"/>
    <w:rsid w:val="00AA4BFE"/>
    <w:rsid w:val="00AA4FCC"/>
    <w:rsid w:val="00AA5194"/>
    <w:rsid w:val="00AA51F6"/>
    <w:rsid w:val="00AA56B9"/>
    <w:rsid w:val="00AA5796"/>
    <w:rsid w:val="00AA5A3E"/>
    <w:rsid w:val="00AA5ADC"/>
    <w:rsid w:val="00AA5C0A"/>
    <w:rsid w:val="00AA5CD2"/>
    <w:rsid w:val="00AA6010"/>
    <w:rsid w:val="00AA6502"/>
    <w:rsid w:val="00AA6544"/>
    <w:rsid w:val="00AA683A"/>
    <w:rsid w:val="00AA6AAF"/>
    <w:rsid w:val="00AA6CE3"/>
    <w:rsid w:val="00AA70E8"/>
    <w:rsid w:val="00AA7302"/>
    <w:rsid w:val="00AA7CD7"/>
    <w:rsid w:val="00AB036A"/>
    <w:rsid w:val="00AB03D9"/>
    <w:rsid w:val="00AB0484"/>
    <w:rsid w:val="00AB058A"/>
    <w:rsid w:val="00AB067B"/>
    <w:rsid w:val="00AB0BD2"/>
    <w:rsid w:val="00AB0C3C"/>
    <w:rsid w:val="00AB105F"/>
    <w:rsid w:val="00AB12CE"/>
    <w:rsid w:val="00AB1556"/>
    <w:rsid w:val="00AB1594"/>
    <w:rsid w:val="00AB16D5"/>
    <w:rsid w:val="00AB1A4B"/>
    <w:rsid w:val="00AB1CD0"/>
    <w:rsid w:val="00AB1F4C"/>
    <w:rsid w:val="00AB204D"/>
    <w:rsid w:val="00AB209B"/>
    <w:rsid w:val="00AB2166"/>
    <w:rsid w:val="00AB23F2"/>
    <w:rsid w:val="00AB27C0"/>
    <w:rsid w:val="00AB2E6B"/>
    <w:rsid w:val="00AB331B"/>
    <w:rsid w:val="00AB367E"/>
    <w:rsid w:val="00AB36A5"/>
    <w:rsid w:val="00AB36E8"/>
    <w:rsid w:val="00AB37A7"/>
    <w:rsid w:val="00AB3967"/>
    <w:rsid w:val="00AB3A22"/>
    <w:rsid w:val="00AB3CE2"/>
    <w:rsid w:val="00AB3D1B"/>
    <w:rsid w:val="00AB3D73"/>
    <w:rsid w:val="00AB3FF0"/>
    <w:rsid w:val="00AB439A"/>
    <w:rsid w:val="00AB439D"/>
    <w:rsid w:val="00AB45BB"/>
    <w:rsid w:val="00AB45D8"/>
    <w:rsid w:val="00AB4659"/>
    <w:rsid w:val="00AB4AE4"/>
    <w:rsid w:val="00AB4C4B"/>
    <w:rsid w:val="00AB4CF6"/>
    <w:rsid w:val="00AB4CFD"/>
    <w:rsid w:val="00AB4E29"/>
    <w:rsid w:val="00AB5141"/>
    <w:rsid w:val="00AB537F"/>
    <w:rsid w:val="00AB55C4"/>
    <w:rsid w:val="00AB5656"/>
    <w:rsid w:val="00AB59F2"/>
    <w:rsid w:val="00AB5DCC"/>
    <w:rsid w:val="00AB5E60"/>
    <w:rsid w:val="00AB5F2C"/>
    <w:rsid w:val="00AB6120"/>
    <w:rsid w:val="00AB636F"/>
    <w:rsid w:val="00AB64CE"/>
    <w:rsid w:val="00AB6768"/>
    <w:rsid w:val="00AB6A36"/>
    <w:rsid w:val="00AB6D57"/>
    <w:rsid w:val="00AB6D80"/>
    <w:rsid w:val="00AB6DAA"/>
    <w:rsid w:val="00AB719D"/>
    <w:rsid w:val="00AB71D8"/>
    <w:rsid w:val="00AB72AA"/>
    <w:rsid w:val="00AB759F"/>
    <w:rsid w:val="00AB7EAC"/>
    <w:rsid w:val="00AC0088"/>
    <w:rsid w:val="00AC00C8"/>
    <w:rsid w:val="00AC0219"/>
    <w:rsid w:val="00AC03BA"/>
    <w:rsid w:val="00AC04C7"/>
    <w:rsid w:val="00AC0569"/>
    <w:rsid w:val="00AC0D31"/>
    <w:rsid w:val="00AC0D46"/>
    <w:rsid w:val="00AC0F3A"/>
    <w:rsid w:val="00AC0FD3"/>
    <w:rsid w:val="00AC1084"/>
    <w:rsid w:val="00AC1169"/>
    <w:rsid w:val="00AC13AB"/>
    <w:rsid w:val="00AC18D3"/>
    <w:rsid w:val="00AC190F"/>
    <w:rsid w:val="00AC1930"/>
    <w:rsid w:val="00AC1FCC"/>
    <w:rsid w:val="00AC26BB"/>
    <w:rsid w:val="00AC2A88"/>
    <w:rsid w:val="00AC2D3D"/>
    <w:rsid w:val="00AC2E6D"/>
    <w:rsid w:val="00AC2ECE"/>
    <w:rsid w:val="00AC2F67"/>
    <w:rsid w:val="00AC30EA"/>
    <w:rsid w:val="00AC318B"/>
    <w:rsid w:val="00AC354C"/>
    <w:rsid w:val="00AC35F1"/>
    <w:rsid w:val="00AC371B"/>
    <w:rsid w:val="00AC38DC"/>
    <w:rsid w:val="00AC3BA4"/>
    <w:rsid w:val="00AC42B4"/>
    <w:rsid w:val="00AC44B9"/>
    <w:rsid w:val="00AC4779"/>
    <w:rsid w:val="00AC49FB"/>
    <w:rsid w:val="00AC4AB5"/>
    <w:rsid w:val="00AC4B75"/>
    <w:rsid w:val="00AC4C7A"/>
    <w:rsid w:val="00AC4D8E"/>
    <w:rsid w:val="00AC4EC5"/>
    <w:rsid w:val="00AC5362"/>
    <w:rsid w:val="00AC54E6"/>
    <w:rsid w:val="00AC5561"/>
    <w:rsid w:val="00AC5761"/>
    <w:rsid w:val="00AC5915"/>
    <w:rsid w:val="00AC59EF"/>
    <w:rsid w:val="00AC5AD8"/>
    <w:rsid w:val="00AC5B63"/>
    <w:rsid w:val="00AC5BD3"/>
    <w:rsid w:val="00AC5E2E"/>
    <w:rsid w:val="00AC5E41"/>
    <w:rsid w:val="00AC609F"/>
    <w:rsid w:val="00AC61D2"/>
    <w:rsid w:val="00AC67CC"/>
    <w:rsid w:val="00AC6826"/>
    <w:rsid w:val="00AC683D"/>
    <w:rsid w:val="00AC6CC8"/>
    <w:rsid w:val="00AC6D70"/>
    <w:rsid w:val="00AC6D89"/>
    <w:rsid w:val="00AC700E"/>
    <w:rsid w:val="00AC77A9"/>
    <w:rsid w:val="00AC79E6"/>
    <w:rsid w:val="00AC7A12"/>
    <w:rsid w:val="00AC7B21"/>
    <w:rsid w:val="00AC7CAA"/>
    <w:rsid w:val="00AD0190"/>
    <w:rsid w:val="00AD02C1"/>
    <w:rsid w:val="00AD0312"/>
    <w:rsid w:val="00AD0366"/>
    <w:rsid w:val="00AD0396"/>
    <w:rsid w:val="00AD0716"/>
    <w:rsid w:val="00AD0921"/>
    <w:rsid w:val="00AD0A23"/>
    <w:rsid w:val="00AD0C3F"/>
    <w:rsid w:val="00AD0FA0"/>
    <w:rsid w:val="00AD1019"/>
    <w:rsid w:val="00AD10BE"/>
    <w:rsid w:val="00AD11E7"/>
    <w:rsid w:val="00AD1491"/>
    <w:rsid w:val="00AD1500"/>
    <w:rsid w:val="00AD1622"/>
    <w:rsid w:val="00AD1D46"/>
    <w:rsid w:val="00AD1E00"/>
    <w:rsid w:val="00AD1FF1"/>
    <w:rsid w:val="00AD24F7"/>
    <w:rsid w:val="00AD2C0B"/>
    <w:rsid w:val="00AD2D3D"/>
    <w:rsid w:val="00AD2E97"/>
    <w:rsid w:val="00AD31EA"/>
    <w:rsid w:val="00AD32AC"/>
    <w:rsid w:val="00AD33D8"/>
    <w:rsid w:val="00AD36A8"/>
    <w:rsid w:val="00AD3F58"/>
    <w:rsid w:val="00AD4099"/>
    <w:rsid w:val="00AD4180"/>
    <w:rsid w:val="00AD419C"/>
    <w:rsid w:val="00AD44C7"/>
    <w:rsid w:val="00AD4842"/>
    <w:rsid w:val="00AD4870"/>
    <w:rsid w:val="00AD49C5"/>
    <w:rsid w:val="00AD4C20"/>
    <w:rsid w:val="00AD5592"/>
    <w:rsid w:val="00AD5642"/>
    <w:rsid w:val="00AD57DA"/>
    <w:rsid w:val="00AD5962"/>
    <w:rsid w:val="00AD5AF0"/>
    <w:rsid w:val="00AD5B88"/>
    <w:rsid w:val="00AD5DCF"/>
    <w:rsid w:val="00AD5FE2"/>
    <w:rsid w:val="00AD6144"/>
    <w:rsid w:val="00AD616F"/>
    <w:rsid w:val="00AD62C4"/>
    <w:rsid w:val="00AD63F1"/>
    <w:rsid w:val="00AD65B3"/>
    <w:rsid w:val="00AD6847"/>
    <w:rsid w:val="00AD685F"/>
    <w:rsid w:val="00AD6BB8"/>
    <w:rsid w:val="00AD6BBF"/>
    <w:rsid w:val="00AD6C26"/>
    <w:rsid w:val="00AD6E41"/>
    <w:rsid w:val="00AD6E72"/>
    <w:rsid w:val="00AD6EC2"/>
    <w:rsid w:val="00AD7357"/>
    <w:rsid w:val="00AD73B4"/>
    <w:rsid w:val="00AD7539"/>
    <w:rsid w:val="00AD76A6"/>
    <w:rsid w:val="00AD77DE"/>
    <w:rsid w:val="00AD78E2"/>
    <w:rsid w:val="00AD7B27"/>
    <w:rsid w:val="00AD7BE9"/>
    <w:rsid w:val="00AD7BED"/>
    <w:rsid w:val="00AE01F9"/>
    <w:rsid w:val="00AE01FC"/>
    <w:rsid w:val="00AE02AB"/>
    <w:rsid w:val="00AE02BA"/>
    <w:rsid w:val="00AE036F"/>
    <w:rsid w:val="00AE0639"/>
    <w:rsid w:val="00AE0667"/>
    <w:rsid w:val="00AE07B5"/>
    <w:rsid w:val="00AE089C"/>
    <w:rsid w:val="00AE0A81"/>
    <w:rsid w:val="00AE0BFC"/>
    <w:rsid w:val="00AE1288"/>
    <w:rsid w:val="00AE14E6"/>
    <w:rsid w:val="00AE1A8F"/>
    <w:rsid w:val="00AE1CBC"/>
    <w:rsid w:val="00AE200F"/>
    <w:rsid w:val="00AE208D"/>
    <w:rsid w:val="00AE2235"/>
    <w:rsid w:val="00AE229B"/>
    <w:rsid w:val="00AE230D"/>
    <w:rsid w:val="00AE240D"/>
    <w:rsid w:val="00AE2551"/>
    <w:rsid w:val="00AE2760"/>
    <w:rsid w:val="00AE2909"/>
    <w:rsid w:val="00AE290C"/>
    <w:rsid w:val="00AE2CAA"/>
    <w:rsid w:val="00AE2DB3"/>
    <w:rsid w:val="00AE2FEE"/>
    <w:rsid w:val="00AE30B2"/>
    <w:rsid w:val="00AE3262"/>
    <w:rsid w:val="00AE337A"/>
    <w:rsid w:val="00AE37C9"/>
    <w:rsid w:val="00AE3889"/>
    <w:rsid w:val="00AE3D6E"/>
    <w:rsid w:val="00AE3D89"/>
    <w:rsid w:val="00AE3FA1"/>
    <w:rsid w:val="00AE4027"/>
    <w:rsid w:val="00AE427D"/>
    <w:rsid w:val="00AE4807"/>
    <w:rsid w:val="00AE49CE"/>
    <w:rsid w:val="00AE4C26"/>
    <w:rsid w:val="00AE4C5C"/>
    <w:rsid w:val="00AE4E4A"/>
    <w:rsid w:val="00AE5115"/>
    <w:rsid w:val="00AE549A"/>
    <w:rsid w:val="00AE57EE"/>
    <w:rsid w:val="00AE58E3"/>
    <w:rsid w:val="00AE595D"/>
    <w:rsid w:val="00AE5B66"/>
    <w:rsid w:val="00AE5B8D"/>
    <w:rsid w:val="00AE5C68"/>
    <w:rsid w:val="00AE5C9B"/>
    <w:rsid w:val="00AE642E"/>
    <w:rsid w:val="00AE6B3A"/>
    <w:rsid w:val="00AE6DC5"/>
    <w:rsid w:val="00AE6EAF"/>
    <w:rsid w:val="00AE6EED"/>
    <w:rsid w:val="00AE70F5"/>
    <w:rsid w:val="00AE715C"/>
    <w:rsid w:val="00AE72FC"/>
    <w:rsid w:val="00AE7570"/>
    <w:rsid w:val="00AE757B"/>
    <w:rsid w:val="00AE75D9"/>
    <w:rsid w:val="00AE75E7"/>
    <w:rsid w:val="00AE7909"/>
    <w:rsid w:val="00AF017A"/>
    <w:rsid w:val="00AF01A8"/>
    <w:rsid w:val="00AF022F"/>
    <w:rsid w:val="00AF035F"/>
    <w:rsid w:val="00AF048F"/>
    <w:rsid w:val="00AF052B"/>
    <w:rsid w:val="00AF0A30"/>
    <w:rsid w:val="00AF0B49"/>
    <w:rsid w:val="00AF0B7E"/>
    <w:rsid w:val="00AF0CBA"/>
    <w:rsid w:val="00AF1196"/>
    <w:rsid w:val="00AF125C"/>
    <w:rsid w:val="00AF1672"/>
    <w:rsid w:val="00AF17AE"/>
    <w:rsid w:val="00AF1A4D"/>
    <w:rsid w:val="00AF1AF6"/>
    <w:rsid w:val="00AF1D86"/>
    <w:rsid w:val="00AF1D8A"/>
    <w:rsid w:val="00AF1E8C"/>
    <w:rsid w:val="00AF203B"/>
    <w:rsid w:val="00AF2076"/>
    <w:rsid w:val="00AF2204"/>
    <w:rsid w:val="00AF28C2"/>
    <w:rsid w:val="00AF2BAD"/>
    <w:rsid w:val="00AF2EB1"/>
    <w:rsid w:val="00AF31F8"/>
    <w:rsid w:val="00AF32D9"/>
    <w:rsid w:val="00AF3397"/>
    <w:rsid w:val="00AF3410"/>
    <w:rsid w:val="00AF34D1"/>
    <w:rsid w:val="00AF369E"/>
    <w:rsid w:val="00AF3AD1"/>
    <w:rsid w:val="00AF3ADC"/>
    <w:rsid w:val="00AF3B41"/>
    <w:rsid w:val="00AF3F89"/>
    <w:rsid w:val="00AF40C8"/>
    <w:rsid w:val="00AF4233"/>
    <w:rsid w:val="00AF44D1"/>
    <w:rsid w:val="00AF47E2"/>
    <w:rsid w:val="00AF4958"/>
    <w:rsid w:val="00AF4998"/>
    <w:rsid w:val="00AF4BA5"/>
    <w:rsid w:val="00AF4C96"/>
    <w:rsid w:val="00AF4E36"/>
    <w:rsid w:val="00AF5110"/>
    <w:rsid w:val="00AF515E"/>
    <w:rsid w:val="00AF5623"/>
    <w:rsid w:val="00AF5787"/>
    <w:rsid w:val="00AF5A5A"/>
    <w:rsid w:val="00AF616C"/>
    <w:rsid w:val="00AF6395"/>
    <w:rsid w:val="00AF6471"/>
    <w:rsid w:val="00AF6486"/>
    <w:rsid w:val="00AF64C5"/>
    <w:rsid w:val="00AF6552"/>
    <w:rsid w:val="00AF6606"/>
    <w:rsid w:val="00AF69A7"/>
    <w:rsid w:val="00AF6C62"/>
    <w:rsid w:val="00AF6CEA"/>
    <w:rsid w:val="00AF6DA5"/>
    <w:rsid w:val="00AF709A"/>
    <w:rsid w:val="00AF70EC"/>
    <w:rsid w:val="00AF71F4"/>
    <w:rsid w:val="00AF7296"/>
    <w:rsid w:val="00AF74F9"/>
    <w:rsid w:val="00AF754C"/>
    <w:rsid w:val="00AF7557"/>
    <w:rsid w:val="00AF75B7"/>
    <w:rsid w:val="00AF7602"/>
    <w:rsid w:val="00AF76B2"/>
    <w:rsid w:val="00AF77F5"/>
    <w:rsid w:val="00AF7DF4"/>
    <w:rsid w:val="00B0014E"/>
    <w:rsid w:val="00B003C8"/>
    <w:rsid w:val="00B008EA"/>
    <w:rsid w:val="00B00954"/>
    <w:rsid w:val="00B00988"/>
    <w:rsid w:val="00B009B7"/>
    <w:rsid w:val="00B00A30"/>
    <w:rsid w:val="00B00C47"/>
    <w:rsid w:val="00B00CDD"/>
    <w:rsid w:val="00B00DB2"/>
    <w:rsid w:val="00B01052"/>
    <w:rsid w:val="00B01164"/>
    <w:rsid w:val="00B012F3"/>
    <w:rsid w:val="00B013DC"/>
    <w:rsid w:val="00B013F9"/>
    <w:rsid w:val="00B0155B"/>
    <w:rsid w:val="00B01AAA"/>
    <w:rsid w:val="00B01B9F"/>
    <w:rsid w:val="00B01BD6"/>
    <w:rsid w:val="00B01C20"/>
    <w:rsid w:val="00B01C26"/>
    <w:rsid w:val="00B01CFB"/>
    <w:rsid w:val="00B01D61"/>
    <w:rsid w:val="00B01E4A"/>
    <w:rsid w:val="00B01EAD"/>
    <w:rsid w:val="00B02102"/>
    <w:rsid w:val="00B02149"/>
    <w:rsid w:val="00B022E4"/>
    <w:rsid w:val="00B026F5"/>
    <w:rsid w:val="00B02AE0"/>
    <w:rsid w:val="00B02E1C"/>
    <w:rsid w:val="00B03034"/>
    <w:rsid w:val="00B03080"/>
    <w:rsid w:val="00B03259"/>
    <w:rsid w:val="00B033EE"/>
    <w:rsid w:val="00B03715"/>
    <w:rsid w:val="00B037C2"/>
    <w:rsid w:val="00B03800"/>
    <w:rsid w:val="00B03D27"/>
    <w:rsid w:val="00B03F09"/>
    <w:rsid w:val="00B040C3"/>
    <w:rsid w:val="00B04141"/>
    <w:rsid w:val="00B0414D"/>
    <w:rsid w:val="00B04276"/>
    <w:rsid w:val="00B04426"/>
    <w:rsid w:val="00B04816"/>
    <w:rsid w:val="00B04CAC"/>
    <w:rsid w:val="00B04EE2"/>
    <w:rsid w:val="00B04F16"/>
    <w:rsid w:val="00B04FFE"/>
    <w:rsid w:val="00B054D7"/>
    <w:rsid w:val="00B05DA2"/>
    <w:rsid w:val="00B06044"/>
    <w:rsid w:val="00B06265"/>
    <w:rsid w:val="00B06353"/>
    <w:rsid w:val="00B063BB"/>
    <w:rsid w:val="00B06429"/>
    <w:rsid w:val="00B065B4"/>
    <w:rsid w:val="00B065BB"/>
    <w:rsid w:val="00B065F1"/>
    <w:rsid w:val="00B069AF"/>
    <w:rsid w:val="00B06BDC"/>
    <w:rsid w:val="00B06DED"/>
    <w:rsid w:val="00B06DFC"/>
    <w:rsid w:val="00B06E60"/>
    <w:rsid w:val="00B072E3"/>
    <w:rsid w:val="00B07403"/>
    <w:rsid w:val="00B07427"/>
    <w:rsid w:val="00B07435"/>
    <w:rsid w:val="00B074FF"/>
    <w:rsid w:val="00B0758E"/>
    <w:rsid w:val="00B078EB"/>
    <w:rsid w:val="00B1000A"/>
    <w:rsid w:val="00B10069"/>
    <w:rsid w:val="00B10278"/>
    <w:rsid w:val="00B102A3"/>
    <w:rsid w:val="00B10423"/>
    <w:rsid w:val="00B10AD2"/>
    <w:rsid w:val="00B10B3A"/>
    <w:rsid w:val="00B10CD0"/>
    <w:rsid w:val="00B10D80"/>
    <w:rsid w:val="00B11092"/>
    <w:rsid w:val="00B11291"/>
    <w:rsid w:val="00B11680"/>
    <w:rsid w:val="00B11E0B"/>
    <w:rsid w:val="00B11E92"/>
    <w:rsid w:val="00B12524"/>
    <w:rsid w:val="00B12544"/>
    <w:rsid w:val="00B12617"/>
    <w:rsid w:val="00B1264E"/>
    <w:rsid w:val="00B12697"/>
    <w:rsid w:val="00B1273F"/>
    <w:rsid w:val="00B12853"/>
    <w:rsid w:val="00B129D0"/>
    <w:rsid w:val="00B12BFF"/>
    <w:rsid w:val="00B12DBA"/>
    <w:rsid w:val="00B12E28"/>
    <w:rsid w:val="00B12E32"/>
    <w:rsid w:val="00B12F24"/>
    <w:rsid w:val="00B13389"/>
    <w:rsid w:val="00B134C6"/>
    <w:rsid w:val="00B13551"/>
    <w:rsid w:val="00B139CC"/>
    <w:rsid w:val="00B139D5"/>
    <w:rsid w:val="00B13BA5"/>
    <w:rsid w:val="00B13C34"/>
    <w:rsid w:val="00B13F63"/>
    <w:rsid w:val="00B13FDA"/>
    <w:rsid w:val="00B141C7"/>
    <w:rsid w:val="00B14245"/>
    <w:rsid w:val="00B14778"/>
    <w:rsid w:val="00B1479C"/>
    <w:rsid w:val="00B14915"/>
    <w:rsid w:val="00B1495A"/>
    <w:rsid w:val="00B14964"/>
    <w:rsid w:val="00B14DE1"/>
    <w:rsid w:val="00B14E3B"/>
    <w:rsid w:val="00B14F7B"/>
    <w:rsid w:val="00B1501E"/>
    <w:rsid w:val="00B150AE"/>
    <w:rsid w:val="00B15AE6"/>
    <w:rsid w:val="00B15CD6"/>
    <w:rsid w:val="00B15DA4"/>
    <w:rsid w:val="00B1609C"/>
    <w:rsid w:val="00B166D0"/>
    <w:rsid w:val="00B16981"/>
    <w:rsid w:val="00B16CD5"/>
    <w:rsid w:val="00B16D4F"/>
    <w:rsid w:val="00B16F2C"/>
    <w:rsid w:val="00B170B7"/>
    <w:rsid w:val="00B17277"/>
    <w:rsid w:val="00B17803"/>
    <w:rsid w:val="00B17872"/>
    <w:rsid w:val="00B179E0"/>
    <w:rsid w:val="00B179FC"/>
    <w:rsid w:val="00B17A01"/>
    <w:rsid w:val="00B17A82"/>
    <w:rsid w:val="00B17C75"/>
    <w:rsid w:val="00B17E06"/>
    <w:rsid w:val="00B20003"/>
    <w:rsid w:val="00B20058"/>
    <w:rsid w:val="00B20AE4"/>
    <w:rsid w:val="00B20AFB"/>
    <w:rsid w:val="00B20D37"/>
    <w:rsid w:val="00B20D6B"/>
    <w:rsid w:val="00B20F1E"/>
    <w:rsid w:val="00B20F4D"/>
    <w:rsid w:val="00B20F92"/>
    <w:rsid w:val="00B2115D"/>
    <w:rsid w:val="00B21249"/>
    <w:rsid w:val="00B212D6"/>
    <w:rsid w:val="00B215B6"/>
    <w:rsid w:val="00B2163E"/>
    <w:rsid w:val="00B2185E"/>
    <w:rsid w:val="00B21894"/>
    <w:rsid w:val="00B21D84"/>
    <w:rsid w:val="00B21DE1"/>
    <w:rsid w:val="00B21F72"/>
    <w:rsid w:val="00B21F81"/>
    <w:rsid w:val="00B21F99"/>
    <w:rsid w:val="00B2254D"/>
    <w:rsid w:val="00B2267E"/>
    <w:rsid w:val="00B227F6"/>
    <w:rsid w:val="00B22887"/>
    <w:rsid w:val="00B229B4"/>
    <w:rsid w:val="00B22AA5"/>
    <w:rsid w:val="00B22C9C"/>
    <w:rsid w:val="00B22CAA"/>
    <w:rsid w:val="00B22CF8"/>
    <w:rsid w:val="00B22D08"/>
    <w:rsid w:val="00B22EEF"/>
    <w:rsid w:val="00B22F1E"/>
    <w:rsid w:val="00B2395D"/>
    <w:rsid w:val="00B239B4"/>
    <w:rsid w:val="00B23A51"/>
    <w:rsid w:val="00B23D10"/>
    <w:rsid w:val="00B23DB7"/>
    <w:rsid w:val="00B24044"/>
    <w:rsid w:val="00B240CC"/>
    <w:rsid w:val="00B24227"/>
    <w:rsid w:val="00B24431"/>
    <w:rsid w:val="00B2448A"/>
    <w:rsid w:val="00B2453C"/>
    <w:rsid w:val="00B2455F"/>
    <w:rsid w:val="00B24610"/>
    <w:rsid w:val="00B24ADC"/>
    <w:rsid w:val="00B24D17"/>
    <w:rsid w:val="00B24D4C"/>
    <w:rsid w:val="00B24F5D"/>
    <w:rsid w:val="00B251B3"/>
    <w:rsid w:val="00B252B5"/>
    <w:rsid w:val="00B255F6"/>
    <w:rsid w:val="00B2587A"/>
    <w:rsid w:val="00B258DF"/>
    <w:rsid w:val="00B259EB"/>
    <w:rsid w:val="00B25A41"/>
    <w:rsid w:val="00B25AC7"/>
    <w:rsid w:val="00B25B4C"/>
    <w:rsid w:val="00B25F45"/>
    <w:rsid w:val="00B2608A"/>
    <w:rsid w:val="00B265F6"/>
    <w:rsid w:val="00B2692F"/>
    <w:rsid w:val="00B2697A"/>
    <w:rsid w:val="00B26B17"/>
    <w:rsid w:val="00B26E77"/>
    <w:rsid w:val="00B26F69"/>
    <w:rsid w:val="00B26F73"/>
    <w:rsid w:val="00B270E8"/>
    <w:rsid w:val="00B27516"/>
    <w:rsid w:val="00B275D0"/>
    <w:rsid w:val="00B2761E"/>
    <w:rsid w:val="00B27974"/>
    <w:rsid w:val="00B27D32"/>
    <w:rsid w:val="00B27F25"/>
    <w:rsid w:val="00B27F4C"/>
    <w:rsid w:val="00B27FE8"/>
    <w:rsid w:val="00B301E9"/>
    <w:rsid w:val="00B304C6"/>
    <w:rsid w:val="00B30987"/>
    <w:rsid w:val="00B30FAF"/>
    <w:rsid w:val="00B312A9"/>
    <w:rsid w:val="00B31387"/>
    <w:rsid w:val="00B313C0"/>
    <w:rsid w:val="00B3156A"/>
    <w:rsid w:val="00B31949"/>
    <w:rsid w:val="00B319C3"/>
    <w:rsid w:val="00B31A10"/>
    <w:rsid w:val="00B31B2A"/>
    <w:rsid w:val="00B3228D"/>
    <w:rsid w:val="00B324A9"/>
    <w:rsid w:val="00B32582"/>
    <w:rsid w:val="00B329CE"/>
    <w:rsid w:val="00B32CBC"/>
    <w:rsid w:val="00B32E3D"/>
    <w:rsid w:val="00B32EA0"/>
    <w:rsid w:val="00B32FCC"/>
    <w:rsid w:val="00B33210"/>
    <w:rsid w:val="00B336C0"/>
    <w:rsid w:val="00B33DCC"/>
    <w:rsid w:val="00B340DD"/>
    <w:rsid w:val="00B344B8"/>
    <w:rsid w:val="00B34538"/>
    <w:rsid w:val="00B346F5"/>
    <w:rsid w:val="00B347A1"/>
    <w:rsid w:val="00B34868"/>
    <w:rsid w:val="00B3498F"/>
    <w:rsid w:val="00B34AA2"/>
    <w:rsid w:val="00B34B69"/>
    <w:rsid w:val="00B34DD8"/>
    <w:rsid w:val="00B34F52"/>
    <w:rsid w:val="00B3509B"/>
    <w:rsid w:val="00B35112"/>
    <w:rsid w:val="00B353BF"/>
    <w:rsid w:val="00B35532"/>
    <w:rsid w:val="00B35631"/>
    <w:rsid w:val="00B3563B"/>
    <w:rsid w:val="00B356B1"/>
    <w:rsid w:val="00B358BA"/>
    <w:rsid w:val="00B359AC"/>
    <w:rsid w:val="00B35D8A"/>
    <w:rsid w:val="00B35E32"/>
    <w:rsid w:val="00B35ED8"/>
    <w:rsid w:val="00B36255"/>
    <w:rsid w:val="00B364F5"/>
    <w:rsid w:val="00B366C8"/>
    <w:rsid w:val="00B368FF"/>
    <w:rsid w:val="00B36BF1"/>
    <w:rsid w:val="00B36BFA"/>
    <w:rsid w:val="00B36EC2"/>
    <w:rsid w:val="00B36FE0"/>
    <w:rsid w:val="00B37122"/>
    <w:rsid w:val="00B3721C"/>
    <w:rsid w:val="00B374CF"/>
    <w:rsid w:val="00B377A5"/>
    <w:rsid w:val="00B37ADB"/>
    <w:rsid w:val="00B37B60"/>
    <w:rsid w:val="00B37C4D"/>
    <w:rsid w:val="00B37D93"/>
    <w:rsid w:val="00B37E3A"/>
    <w:rsid w:val="00B3CDE3"/>
    <w:rsid w:val="00B4042A"/>
    <w:rsid w:val="00B40529"/>
    <w:rsid w:val="00B40584"/>
    <w:rsid w:val="00B40A1A"/>
    <w:rsid w:val="00B40BBA"/>
    <w:rsid w:val="00B40D28"/>
    <w:rsid w:val="00B40D54"/>
    <w:rsid w:val="00B40E1B"/>
    <w:rsid w:val="00B410B6"/>
    <w:rsid w:val="00B411CE"/>
    <w:rsid w:val="00B414D6"/>
    <w:rsid w:val="00B41795"/>
    <w:rsid w:val="00B41BC1"/>
    <w:rsid w:val="00B4206C"/>
    <w:rsid w:val="00B42434"/>
    <w:rsid w:val="00B4262B"/>
    <w:rsid w:val="00B42755"/>
    <w:rsid w:val="00B4276E"/>
    <w:rsid w:val="00B42FF1"/>
    <w:rsid w:val="00B431A6"/>
    <w:rsid w:val="00B43363"/>
    <w:rsid w:val="00B43470"/>
    <w:rsid w:val="00B43798"/>
    <w:rsid w:val="00B4380F"/>
    <w:rsid w:val="00B43810"/>
    <w:rsid w:val="00B4405F"/>
    <w:rsid w:val="00B440A2"/>
    <w:rsid w:val="00B442DF"/>
    <w:rsid w:val="00B44315"/>
    <w:rsid w:val="00B4445E"/>
    <w:rsid w:val="00B4462E"/>
    <w:rsid w:val="00B44630"/>
    <w:rsid w:val="00B44676"/>
    <w:rsid w:val="00B44750"/>
    <w:rsid w:val="00B449EB"/>
    <w:rsid w:val="00B44C75"/>
    <w:rsid w:val="00B44CD3"/>
    <w:rsid w:val="00B44CD8"/>
    <w:rsid w:val="00B44D8B"/>
    <w:rsid w:val="00B4517A"/>
    <w:rsid w:val="00B45194"/>
    <w:rsid w:val="00B452FA"/>
    <w:rsid w:val="00B45315"/>
    <w:rsid w:val="00B456EB"/>
    <w:rsid w:val="00B4574D"/>
    <w:rsid w:val="00B45800"/>
    <w:rsid w:val="00B45C31"/>
    <w:rsid w:val="00B45DB3"/>
    <w:rsid w:val="00B461A3"/>
    <w:rsid w:val="00B4623E"/>
    <w:rsid w:val="00B4626F"/>
    <w:rsid w:val="00B4647E"/>
    <w:rsid w:val="00B464FD"/>
    <w:rsid w:val="00B46A63"/>
    <w:rsid w:val="00B46B61"/>
    <w:rsid w:val="00B46C57"/>
    <w:rsid w:val="00B46D83"/>
    <w:rsid w:val="00B46E96"/>
    <w:rsid w:val="00B47031"/>
    <w:rsid w:val="00B4778F"/>
    <w:rsid w:val="00B478F7"/>
    <w:rsid w:val="00B47C03"/>
    <w:rsid w:val="00B47CA0"/>
    <w:rsid w:val="00B47CA5"/>
    <w:rsid w:val="00B47D40"/>
    <w:rsid w:val="00B47E02"/>
    <w:rsid w:val="00B502A2"/>
    <w:rsid w:val="00B5077C"/>
    <w:rsid w:val="00B507D4"/>
    <w:rsid w:val="00B50A2F"/>
    <w:rsid w:val="00B50D55"/>
    <w:rsid w:val="00B50D62"/>
    <w:rsid w:val="00B50D6B"/>
    <w:rsid w:val="00B50D7A"/>
    <w:rsid w:val="00B50EDA"/>
    <w:rsid w:val="00B511A3"/>
    <w:rsid w:val="00B51343"/>
    <w:rsid w:val="00B514B9"/>
    <w:rsid w:val="00B51516"/>
    <w:rsid w:val="00B51713"/>
    <w:rsid w:val="00B518B7"/>
    <w:rsid w:val="00B51A68"/>
    <w:rsid w:val="00B51BCC"/>
    <w:rsid w:val="00B51FA9"/>
    <w:rsid w:val="00B520A8"/>
    <w:rsid w:val="00B52522"/>
    <w:rsid w:val="00B52A83"/>
    <w:rsid w:val="00B53169"/>
    <w:rsid w:val="00B531B6"/>
    <w:rsid w:val="00B53493"/>
    <w:rsid w:val="00B534DD"/>
    <w:rsid w:val="00B5356E"/>
    <w:rsid w:val="00B53665"/>
    <w:rsid w:val="00B536B8"/>
    <w:rsid w:val="00B53A3B"/>
    <w:rsid w:val="00B53ABC"/>
    <w:rsid w:val="00B53AF1"/>
    <w:rsid w:val="00B53BFC"/>
    <w:rsid w:val="00B53C68"/>
    <w:rsid w:val="00B53E82"/>
    <w:rsid w:val="00B53ED6"/>
    <w:rsid w:val="00B54573"/>
    <w:rsid w:val="00B54C21"/>
    <w:rsid w:val="00B54F01"/>
    <w:rsid w:val="00B54F1F"/>
    <w:rsid w:val="00B55008"/>
    <w:rsid w:val="00B5501D"/>
    <w:rsid w:val="00B55367"/>
    <w:rsid w:val="00B554C0"/>
    <w:rsid w:val="00B55610"/>
    <w:rsid w:val="00B5582D"/>
    <w:rsid w:val="00B55831"/>
    <w:rsid w:val="00B55D18"/>
    <w:rsid w:val="00B55F05"/>
    <w:rsid w:val="00B5641C"/>
    <w:rsid w:val="00B564E4"/>
    <w:rsid w:val="00B566B2"/>
    <w:rsid w:val="00B5674C"/>
    <w:rsid w:val="00B5681E"/>
    <w:rsid w:val="00B569A8"/>
    <w:rsid w:val="00B56ADB"/>
    <w:rsid w:val="00B56CC8"/>
    <w:rsid w:val="00B56F1E"/>
    <w:rsid w:val="00B5726F"/>
    <w:rsid w:val="00B572A5"/>
    <w:rsid w:val="00B576F1"/>
    <w:rsid w:val="00B57D67"/>
    <w:rsid w:val="00B603E9"/>
    <w:rsid w:val="00B6040A"/>
    <w:rsid w:val="00B605E2"/>
    <w:rsid w:val="00B60A2E"/>
    <w:rsid w:val="00B60EBC"/>
    <w:rsid w:val="00B60F64"/>
    <w:rsid w:val="00B61015"/>
    <w:rsid w:val="00B61179"/>
    <w:rsid w:val="00B6126F"/>
    <w:rsid w:val="00B614CC"/>
    <w:rsid w:val="00B6160B"/>
    <w:rsid w:val="00B6179B"/>
    <w:rsid w:val="00B619B5"/>
    <w:rsid w:val="00B61A7A"/>
    <w:rsid w:val="00B61CBE"/>
    <w:rsid w:val="00B62005"/>
    <w:rsid w:val="00B623E4"/>
    <w:rsid w:val="00B628E7"/>
    <w:rsid w:val="00B62A89"/>
    <w:rsid w:val="00B62F3B"/>
    <w:rsid w:val="00B63261"/>
    <w:rsid w:val="00B6345F"/>
    <w:rsid w:val="00B63600"/>
    <w:rsid w:val="00B63763"/>
    <w:rsid w:val="00B63AD7"/>
    <w:rsid w:val="00B63CE9"/>
    <w:rsid w:val="00B63E70"/>
    <w:rsid w:val="00B63F4E"/>
    <w:rsid w:val="00B64143"/>
    <w:rsid w:val="00B6417C"/>
    <w:rsid w:val="00B64277"/>
    <w:rsid w:val="00B64360"/>
    <w:rsid w:val="00B645AE"/>
    <w:rsid w:val="00B64627"/>
    <w:rsid w:val="00B647E8"/>
    <w:rsid w:val="00B649AC"/>
    <w:rsid w:val="00B64C83"/>
    <w:rsid w:val="00B64FF3"/>
    <w:rsid w:val="00B65281"/>
    <w:rsid w:val="00B652A6"/>
    <w:rsid w:val="00B656D5"/>
    <w:rsid w:val="00B6598C"/>
    <w:rsid w:val="00B659D5"/>
    <w:rsid w:val="00B65AF7"/>
    <w:rsid w:val="00B65C1D"/>
    <w:rsid w:val="00B65F49"/>
    <w:rsid w:val="00B66031"/>
    <w:rsid w:val="00B6613E"/>
    <w:rsid w:val="00B6621B"/>
    <w:rsid w:val="00B66240"/>
    <w:rsid w:val="00B664E0"/>
    <w:rsid w:val="00B66515"/>
    <w:rsid w:val="00B667C5"/>
    <w:rsid w:val="00B668FB"/>
    <w:rsid w:val="00B66C0B"/>
    <w:rsid w:val="00B66F04"/>
    <w:rsid w:val="00B67428"/>
    <w:rsid w:val="00B67533"/>
    <w:rsid w:val="00B6782C"/>
    <w:rsid w:val="00B678C4"/>
    <w:rsid w:val="00B678E7"/>
    <w:rsid w:val="00B67906"/>
    <w:rsid w:val="00B67C06"/>
    <w:rsid w:val="00B7007A"/>
    <w:rsid w:val="00B7063B"/>
    <w:rsid w:val="00B70785"/>
    <w:rsid w:val="00B70853"/>
    <w:rsid w:val="00B70A8F"/>
    <w:rsid w:val="00B70B6F"/>
    <w:rsid w:val="00B70BBD"/>
    <w:rsid w:val="00B70CF6"/>
    <w:rsid w:val="00B70E65"/>
    <w:rsid w:val="00B70FD3"/>
    <w:rsid w:val="00B71773"/>
    <w:rsid w:val="00B717AD"/>
    <w:rsid w:val="00B71B48"/>
    <w:rsid w:val="00B71D8B"/>
    <w:rsid w:val="00B71F51"/>
    <w:rsid w:val="00B71FF9"/>
    <w:rsid w:val="00B72094"/>
    <w:rsid w:val="00B720D4"/>
    <w:rsid w:val="00B7218D"/>
    <w:rsid w:val="00B723E9"/>
    <w:rsid w:val="00B72487"/>
    <w:rsid w:val="00B725D8"/>
    <w:rsid w:val="00B725E5"/>
    <w:rsid w:val="00B72857"/>
    <w:rsid w:val="00B72A03"/>
    <w:rsid w:val="00B72A59"/>
    <w:rsid w:val="00B73051"/>
    <w:rsid w:val="00B7306B"/>
    <w:rsid w:val="00B73200"/>
    <w:rsid w:val="00B7341F"/>
    <w:rsid w:val="00B735FA"/>
    <w:rsid w:val="00B738B6"/>
    <w:rsid w:val="00B73A53"/>
    <w:rsid w:val="00B73A5E"/>
    <w:rsid w:val="00B73DEC"/>
    <w:rsid w:val="00B73F23"/>
    <w:rsid w:val="00B74045"/>
    <w:rsid w:val="00B74148"/>
    <w:rsid w:val="00B7487B"/>
    <w:rsid w:val="00B74951"/>
    <w:rsid w:val="00B74B9B"/>
    <w:rsid w:val="00B74D1A"/>
    <w:rsid w:val="00B750EF"/>
    <w:rsid w:val="00B75329"/>
    <w:rsid w:val="00B7532A"/>
    <w:rsid w:val="00B7545E"/>
    <w:rsid w:val="00B75568"/>
    <w:rsid w:val="00B755BA"/>
    <w:rsid w:val="00B75883"/>
    <w:rsid w:val="00B75B2A"/>
    <w:rsid w:val="00B75F56"/>
    <w:rsid w:val="00B76030"/>
    <w:rsid w:val="00B765DB"/>
    <w:rsid w:val="00B76649"/>
    <w:rsid w:val="00B767B6"/>
    <w:rsid w:val="00B76B8E"/>
    <w:rsid w:val="00B77AA6"/>
    <w:rsid w:val="00B77B10"/>
    <w:rsid w:val="00B77C38"/>
    <w:rsid w:val="00B77F53"/>
    <w:rsid w:val="00B77FDC"/>
    <w:rsid w:val="00B8000A"/>
    <w:rsid w:val="00B8047C"/>
    <w:rsid w:val="00B80807"/>
    <w:rsid w:val="00B808E9"/>
    <w:rsid w:val="00B80C34"/>
    <w:rsid w:val="00B80C68"/>
    <w:rsid w:val="00B80E74"/>
    <w:rsid w:val="00B810D7"/>
    <w:rsid w:val="00B814BD"/>
    <w:rsid w:val="00B81504"/>
    <w:rsid w:val="00B81744"/>
    <w:rsid w:val="00B81870"/>
    <w:rsid w:val="00B81B2E"/>
    <w:rsid w:val="00B81E5A"/>
    <w:rsid w:val="00B82387"/>
    <w:rsid w:val="00B82732"/>
    <w:rsid w:val="00B82794"/>
    <w:rsid w:val="00B8291C"/>
    <w:rsid w:val="00B82AD9"/>
    <w:rsid w:val="00B82AEF"/>
    <w:rsid w:val="00B82F2D"/>
    <w:rsid w:val="00B83116"/>
    <w:rsid w:val="00B83236"/>
    <w:rsid w:val="00B8343A"/>
    <w:rsid w:val="00B83507"/>
    <w:rsid w:val="00B837D6"/>
    <w:rsid w:val="00B838D1"/>
    <w:rsid w:val="00B83AA7"/>
    <w:rsid w:val="00B83DC3"/>
    <w:rsid w:val="00B83E7D"/>
    <w:rsid w:val="00B83EF2"/>
    <w:rsid w:val="00B8407E"/>
    <w:rsid w:val="00B840AA"/>
    <w:rsid w:val="00B8449A"/>
    <w:rsid w:val="00B845E8"/>
    <w:rsid w:val="00B84C9B"/>
    <w:rsid w:val="00B84D55"/>
    <w:rsid w:val="00B84E53"/>
    <w:rsid w:val="00B85365"/>
    <w:rsid w:val="00B85719"/>
    <w:rsid w:val="00B857ED"/>
    <w:rsid w:val="00B858DC"/>
    <w:rsid w:val="00B85CD2"/>
    <w:rsid w:val="00B85E1C"/>
    <w:rsid w:val="00B865CF"/>
    <w:rsid w:val="00B8669F"/>
    <w:rsid w:val="00B866EF"/>
    <w:rsid w:val="00B86712"/>
    <w:rsid w:val="00B8685D"/>
    <w:rsid w:val="00B868C6"/>
    <w:rsid w:val="00B86E2F"/>
    <w:rsid w:val="00B87114"/>
    <w:rsid w:val="00B873C1"/>
    <w:rsid w:val="00B87539"/>
    <w:rsid w:val="00B8760F"/>
    <w:rsid w:val="00B8776C"/>
    <w:rsid w:val="00B8780F"/>
    <w:rsid w:val="00B900C5"/>
    <w:rsid w:val="00B900F4"/>
    <w:rsid w:val="00B90271"/>
    <w:rsid w:val="00B90316"/>
    <w:rsid w:val="00B9056A"/>
    <w:rsid w:val="00B9057F"/>
    <w:rsid w:val="00B90580"/>
    <w:rsid w:val="00B905A9"/>
    <w:rsid w:val="00B90A10"/>
    <w:rsid w:val="00B90AD1"/>
    <w:rsid w:val="00B90BA9"/>
    <w:rsid w:val="00B90E5A"/>
    <w:rsid w:val="00B90E6D"/>
    <w:rsid w:val="00B9134D"/>
    <w:rsid w:val="00B9153C"/>
    <w:rsid w:val="00B9164B"/>
    <w:rsid w:val="00B9173F"/>
    <w:rsid w:val="00B9192C"/>
    <w:rsid w:val="00B91970"/>
    <w:rsid w:val="00B91A89"/>
    <w:rsid w:val="00B91FD1"/>
    <w:rsid w:val="00B924C1"/>
    <w:rsid w:val="00B92AE4"/>
    <w:rsid w:val="00B9315C"/>
    <w:rsid w:val="00B932F7"/>
    <w:rsid w:val="00B93469"/>
    <w:rsid w:val="00B934CE"/>
    <w:rsid w:val="00B934D6"/>
    <w:rsid w:val="00B93C1F"/>
    <w:rsid w:val="00B93CA2"/>
    <w:rsid w:val="00B93E22"/>
    <w:rsid w:val="00B93E7C"/>
    <w:rsid w:val="00B93EF1"/>
    <w:rsid w:val="00B94396"/>
    <w:rsid w:val="00B94F2A"/>
    <w:rsid w:val="00B95079"/>
    <w:rsid w:val="00B95271"/>
    <w:rsid w:val="00B952BA"/>
    <w:rsid w:val="00B95319"/>
    <w:rsid w:val="00B95844"/>
    <w:rsid w:val="00B95A47"/>
    <w:rsid w:val="00B9607E"/>
    <w:rsid w:val="00B960A0"/>
    <w:rsid w:val="00B963C8"/>
    <w:rsid w:val="00B964DA"/>
    <w:rsid w:val="00B96545"/>
    <w:rsid w:val="00B96550"/>
    <w:rsid w:val="00B96815"/>
    <w:rsid w:val="00B96850"/>
    <w:rsid w:val="00B96CD0"/>
    <w:rsid w:val="00B975B8"/>
    <w:rsid w:val="00B9782D"/>
    <w:rsid w:val="00B978AE"/>
    <w:rsid w:val="00B97A5F"/>
    <w:rsid w:val="00B97B43"/>
    <w:rsid w:val="00B97C09"/>
    <w:rsid w:val="00B97CB6"/>
    <w:rsid w:val="00BA03E2"/>
    <w:rsid w:val="00BA03ED"/>
    <w:rsid w:val="00BA0648"/>
    <w:rsid w:val="00BA06D8"/>
    <w:rsid w:val="00BA06EE"/>
    <w:rsid w:val="00BA074D"/>
    <w:rsid w:val="00BA0988"/>
    <w:rsid w:val="00BA0DCF"/>
    <w:rsid w:val="00BA100C"/>
    <w:rsid w:val="00BA1234"/>
    <w:rsid w:val="00BA13D7"/>
    <w:rsid w:val="00BA153B"/>
    <w:rsid w:val="00BA168C"/>
    <w:rsid w:val="00BA174A"/>
    <w:rsid w:val="00BA1892"/>
    <w:rsid w:val="00BA1945"/>
    <w:rsid w:val="00BA1A31"/>
    <w:rsid w:val="00BA1AB1"/>
    <w:rsid w:val="00BA1B2F"/>
    <w:rsid w:val="00BA1C2A"/>
    <w:rsid w:val="00BA1FFF"/>
    <w:rsid w:val="00BA210D"/>
    <w:rsid w:val="00BA2244"/>
    <w:rsid w:val="00BA23FD"/>
    <w:rsid w:val="00BA245B"/>
    <w:rsid w:val="00BA2B1C"/>
    <w:rsid w:val="00BA2D15"/>
    <w:rsid w:val="00BA2E8E"/>
    <w:rsid w:val="00BA3211"/>
    <w:rsid w:val="00BA3238"/>
    <w:rsid w:val="00BA3248"/>
    <w:rsid w:val="00BA32F3"/>
    <w:rsid w:val="00BA333A"/>
    <w:rsid w:val="00BA3479"/>
    <w:rsid w:val="00BA3741"/>
    <w:rsid w:val="00BA37C8"/>
    <w:rsid w:val="00BA3AA0"/>
    <w:rsid w:val="00BA3CC8"/>
    <w:rsid w:val="00BA3ECB"/>
    <w:rsid w:val="00BA40B4"/>
    <w:rsid w:val="00BA43F6"/>
    <w:rsid w:val="00BA45AE"/>
    <w:rsid w:val="00BA48D9"/>
    <w:rsid w:val="00BA4BDD"/>
    <w:rsid w:val="00BA4DA2"/>
    <w:rsid w:val="00BA4F4A"/>
    <w:rsid w:val="00BA562B"/>
    <w:rsid w:val="00BA5635"/>
    <w:rsid w:val="00BA5960"/>
    <w:rsid w:val="00BA5AEE"/>
    <w:rsid w:val="00BA5D29"/>
    <w:rsid w:val="00BA615F"/>
    <w:rsid w:val="00BA61E4"/>
    <w:rsid w:val="00BA61FF"/>
    <w:rsid w:val="00BA659C"/>
    <w:rsid w:val="00BA661D"/>
    <w:rsid w:val="00BA66AD"/>
    <w:rsid w:val="00BA6B25"/>
    <w:rsid w:val="00BA6ED6"/>
    <w:rsid w:val="00BA72F8"/>
    <w:rsid w:val="00BA73D4"/>
    <w:rsid w:val="00BA75E9"/>
    <w:rsid w:val="00BA762E"/>
    <w:rsid w:val="00BA7760"/>
    <w:rsid w:val="00BA795B"/>
    <w:rsid w:val="00BA7CBC"/>
    <w:rsid w:val="00BA7D69"/>
    <w:rsid w:val="00BA7FB3"/>
    <w:rsid w:val="00BB0101"/>
    <w:rsid w:val="00BB014A"/>
    <w:rsid w:val="00BB0801"/>
    <w:rsid w:val="00BB081A"/>
    <w:rsid w:val="00BB092A"/>
    <w:rsid w:val="00BB095A"/>
    <w:rsid w:val="00BB0B8F"/>
    <w:rsid w:val="00BB0C95"/>
    <w:rsid w:val="00BB0E66"/>
    <w:rsid w:val="00BB0E97"/>
    <w:rsid w:val="00BB10DC"/>
    <w:rsid w:val="00BB1362"/>
    <w:rsid w:val="00BB1468"/>
    <w:rsid w:val="00BB14A5"/>
    <w:rsid w:val="00BB14A6"/>
    <w:rsid w:val="00BB14D0"/>
    <w:rsid w:val="00BB14D6"/>
    <w:rsid w:val="00BB1656"/>
    <w:rsid w:val="00BB18DA"/>
    <w:rsid w:val="00BB1949"/>
    <w:rsid w:val="00BB196C"/>
    <w:rsid w:val="00BB1F6C"/>
    <w:rsid w:val="00BB2367"/>
    <w:rsid w:val="00BB2377"/>
    <w:rsid w:val="00BB2670"/>
    <w:rsid w:val="00BB2774"/>
    <w:rsid w:val="00BB294B"/>
    <w:rsid w:val="00BB2C90"/>
    <w:rsid w:val="00BB2CBD"/>
    <w:rsid w:val="00BB31A8"/>
    <w:rsid w:val="00BB341B"/>
    <w:rsid w:val="00BB34C3"/>
    <w:rsid w:val="00BB3691"/>
    <w:rsid w:val="00BB385D"/>
    <w:rsid w:val="00BB3D6E"/>
    <w:rsid w:val="00BB413F"/>
    <w:rsid w:val="00BB4148"/>
    <w:rsid w:val="00BB43F0"/>
    <w:rsid w:val="00BB4668"/>
    <w:rsid w:val="00BB469C"/>
    <w:rsid w:val="00BB46F7"/>
    <w:rsid w:val="00BB487C"/>
    <w:rsid w:val="00BB493F"/>
    <w:rsid w:val="00BB4CF1"/>
    <w:rsid w:val="00BB4E56"/>
    <w:rsid w:val="00BB4EF7"/>
    <w:rsid w:val="00BB5026"/>
    <w:rsid w:val="00BB5229"/>
    <w:rsid w:val="00BB5271"/>
    <w:rsid w:val="00BB53FE"/>
    <w:rsid w:val="00BB54C2"/>
    <w:rsid w:val="00BB55AD"/>
    <w:rsid w:val="00BB55F6"/>
    <w:rsid w:val="00BB56A7"/>
    <w:rsid w:val="00BB58E0"/>
    <w:rsid w:val="00BB58EA"/>
    <w:rsid w:val="00BB5A0B"/>
    <w:rsid w:val="00BB63A6"/>
    <w:rsid w:val="00BB64BC"/>
    <w:rsid w:val="00BB652E"/>
    <w:rsid w:val="00BB653D"/>
    <w:rsid w:val="00BB6805"/>
    <w:rsid w:val="00BB6943"/>
    <w:rsid w:val="00BB69EF"/>
    <w:rsid w:val="00BB6AEB"/>
    <w:rsid w:val="00BB6D7E"/>
    <w:rsid w:val="00BB6E56"/>
    <w:rsid w:val="00BB6EC1"/>
    <w:rsid w:val="00BB72A6"/>
    <w:rsid w:val="00BB7645"/>
    <w:rsid w:val="00BB77B8"/>
    <w:rsid w:val="00BB7929"/>
    <w:rsid w:val="00BB7BC8"/>
    <w:rsid w:val="00BB7CA4"/>
    <w:rsid w:val="00BC0135"/>
    <w:rsid w:val="00BC03E6"/>
    <w:rsid w:val="00BC0400"/>
    <w:rsid w:val="00BC057B"/>
    <w:rsid w:val="00BC06F1"/>
    <w:rsid w:val="00BC0787"/>
    <w:rsid w:val="00BC0F38"/>
    <w:rsid w:val="00BC0F74"/>
    <w:rsid w:val="00BC11DE"/>
    <w:rsid w:val="00BC1402"/>
    <w:rsid w:val="00BC1A06"/>
    <w:rsid w:val="00BC1A67"/>
    <w:rsid w:val="00BC1B09"/>
    <w:rsid w:val="00BC2099"/>
    <w:rsid w:val="00BC2624"/>
    <w:rsid w:val="00BC26DD"/>
    <w:rsid w:val="00BC28F2"/>
    <w:rsid w:val="00BC2952"/>
    <w:rsid w:val="00BC29BB"/>
    <w:rsid w:val="00BC29C6"/>
    <w:rsid w:val="00BC2B34"/>
    <w:rsid w:val="00BC2B48"/>
    <w:rsid w:val="00BC2D99"/>
    <w:rsid w:val="00BC2DD3"/>
    <w:rsid w:val="00BC3794"/>
    <w:rsid w:val="00BC3A83"/>
    <w:rsid w:val="00BC3A9E"/>
    <w:rsid w:val="00BC3ABE"/>
    <w:rsid w:val="00BC3B68"/>
    <w:rsid w:val="00BC4041"/>
    <w:rsid w:val="00BC4303"/>
    <w:rsid w:val="00BC438F"/>
    <w:rsid w:val="00BC46EC"/>
    <w:rsid w:val="00BC4862"/>
    <w:rsid w:val="00BC48A0"/>
    <w:rsid w:val="00BC4D15"/>
    <w:rsid w:val="00BC5006"/>
    <w:rsid w:val="00BC519D"/>
    <w:rsid w:val="00BC5428"/>
    <w:rsid w:val="00BC55C4"/>
    <w:rsid w:val="00BC5910"/>
    <w:rsid w:val="00BC5ACB"/>
    <w:rsid w:val="00BC5ADA"/>
    <w:rsid w:val="00BC5BF6"/>
    <w:rsid w:val="00BC5C86"/>
    <w:rsid w:val="00BC5C93"/>
    <w:rsid w:val="00BC5F0B"/>
    <w:rsid w:val="00BC5FD1"/>
    <w:rsid w:val="00BC622B"/>
    <w:rsid w:val="00BC64EA"/>
    <w:rsid w:val="00BC67B1"/>
    <w:rsid w:val="00BC67EC"/>
    <w:rsid w:val="00BC6A77"/>
    <w:rsid w:val="00BC6F1B"/>
    <w:rsid w:val="00BC70D2"/>
    <w:rsid w:val="00BC70DB"/>
    <w:rsid w:val="00BC76E2"/>
    <w:rsid w:val="00BC79EC"/>
    <w:rsid w:val="00BC7E3C"/>
    <w:rsid w:val="00BC7E90"/>
    <w:rsid w:val="00BC7F57"/>
    <w:rsid w:val="00BD027E"/>
    <w:rsid w:val="00BD0793"/>
    <w:rsid w:val="00BD145E"/>
    <w:rsid w:val="00BD1771"/>
    <w:rsid w:val="00BD198E"/>
    <w:rsid w:val="00BD1A27"/>
    <w:rsid w:val="00BD1B0A"/>
    <w:rsid w:val="00BD1D2F"/>
    <w:rsid w:val="00BD1D6B"/>
    <w:rsid w:val="00BD1D9F"/>
    <w:rsid w:val="00BD1F8A"/>
    <w:rsid w:val="00BD1F8F"/>
    <w:rsid w:val="00BD20DC"/>
    <w:rsid w:val="00BD22A7"/>
    <w:rsid w:val="00BD2495"/>
    <w:rsid w:val="00BD24F8"/>
    <w:rsid w:val="00BD2633"/>
    <w:rsid w:val="00BD26D9"/>
    <w:rsid w:val="00BD27BC"/>
    <w:rsid w:val="00BD2852"/>
    <w:rsid w:val="00BD2BA8"/>
    <w:rsid w:val="00BD2CFB"/>
    <w:rsid w:val="00BD2D80"/>
    <w:rsid w:val="00BD2EE3"/>
    <w:rsid w:val="00BD3188"/>
    <w:rsid w:val="00BD33A1"/>
    <w:rsid w:val="00BD3766"/>
    <w:rsid w:val="00BD3969"/>
    <w:rsid w:val="00BD3FB8"/>
    <w:rsid w:val="00BD42FF"/>
    <w:rsid w:val="00BD4389"/>
    <w:rsid w:val="00BD445E"/>
    <w:rsid w:val="00BD45D6"/>
    <w:rsid w:val="00BD49C0"/>
    <w:rsid w:val="00BD4B13"/>
    <w:rsid w:val="00BD4C0D"/>
    <w:rsid w:val="00BD4D06"/>
    <w:rsid w:val="00BD4E73"/>
    <w:rsid w:val="00BD4FA4"/>
    <w:rsid w:val="00BD5231"/>
    <w:rsid w:val="00BD539E"/>
    <w:rsid w:val="00BD5434"/>
    <w:rsid w:val="00BD54CB"/>
    <w:rsid w:val="00BD5625"/>
    <w:rsid w:val="00BD596C"/>
    <w:rsid w:val="00BD5D68"/>
    <w:rsid w:val="00BD5E90"/>
    <w:rsid w:val="00BD6086"/>
    <w:rsid w:val="00BD6795"/>
    <w:rsid w:val="00BD6868"/>
    <w:rsid w:val="00BD6A5A"/>
    <w:rsid w:val="00BD6D05"/>
    <w:rsid w:val="00BD6DB0"/>
    <w:rsid w:val="00BD7106"/>
    <w:rsid w:val="00BD71FC"/>
    <w:rsid w:val="00BD7264"/>
    <w:rsid w:val="00BD7C8C"/>
    <w:rsid w:val="00BD7CAA"/>
    <w:rsid w:val="00BE0165"/>
    <w:rsid w:val="00BE028E"/>
    <w:rsid w:val="00BE074C"/>
    <w:rsid w:val="00BE0840"/>
    <w:rsid w:val="00BE0A65"/>
    <w:rsid w:val="00BE0C70"/>
    <w:rsid w:val="00BE0E31"/>
    <w:rsid w:val="00BE1223"/>
    <w:rsid w:val="00BE12C1"/>
    <w:rsid w:val="00BE13A9"/>
    <w:rsid w:val="00BE14F2"/>
    <w:rsid w:val="00BE1A25"/>
    <w:rsid w:val="00BE1DF2"/>
    <w:rsid w:val="00BE1FB2"/>
    <w:rsid w:val="00BE202E"/>
    <w:rsid w:val="00BE21BA"/>
    <w:rsid w:val="00BE260C"/>
    <w:rsid w:val="00BE294A"/>
    <w:rsid w:val="00BE2A28"/>
    <w:rsid w:val="00BE2BCA"/>
    <w:rsid w:val="00BE2D37"/>
    <w:rsid w:val="00BE2DC0"/>
    <w:rsid w:val="00BE303C"/>
    <w:rsid w:val="00BE3138"/>
    <w:rsid w:val="00BE3292"/>
    <w:rsid w:val="00BE34B7"/>
    <w:rsid w:val="00BE34F9"/>
    <w:rsid w:val="00BE3998"/>
    <w:rsid w:val="00BE3A07"/>
    <w:rsid w:val="00BE3B90"/>
    <w:rsid w:val="00BE3BA8"/>
    <w:rsid w:val="00BE3EB6"/>
    <w:rsid w:val="00BE4151"/>
    <w:rsid w:val="00BE4328"/>
    <w:rsid w:val="00BE44E8"/>
    <w:rsid w:val="00BE4746"/>
    <w:rsid w:val="00BE485E"/>
    <w:rsid w:val="00BE496A"/>
    <w:rsid w:val="00BE4C66"/>
    <w:rsid w:val="00BE4F4A"/>
    <w:rsid w:val="00BE50F4"/>
    <w:rsid w:val="00BE5150"/>
    <w:rsid w:val="00BE522D"/>
    <w:rsid w:val="00BE532D"/>
    <w:rsid w:val="00BE55B2"/>
    <w:rsid w:val="00BE56EF"/>
    <w:rsid w:val="00BE577D"/>
    <w:rsid w:val="00BE5A43"/>
    <w:rsid w:val="00BE5C60"/>
    <w:rsid w:val="00BE5D3B"/>
    <w:rsid w:val="00BE60C9"/>
    <w:rsid w:val="00BE60F8"/>
    <w:rsid w:val="00BE6125"/>
    <w:rsid w:val="00BE63D0"/>
    <w:rsid w:val="00BE63FA"/>
    <w:rsid w:val="00BE673F"/>
    <w:rsid w:val="00BE6755"/>
    <w:rsid w:val="00BE68BE"/>
    <w:rsid w:val="00BE69FC"/>
    <w:rsid w:val="00BE6C6B"/>
    <w:rsid w:val="00BE6F3B"/>
    <w:rsid w:val="00BE7018"/>
    <w:rsid w:val="00BE70C1"/>
    <w:rsid w:val="00BE750D"/>
    <w:rsid w:val="00BE77EA"/>
    <w:rsid w:val="00BE7978"/>
    <w:rsid w:val="00BE79D6"/>
    <w:rsid w:val="00BE7ADB"/>
    <w:rsid w:val="00BE7C1D"/>
    <w:rsid w:val="00BE7C42"/>
    <w:rsid w:val="00BE7D45"/>
    <w:rsid w:val="00BE7DE2"/>
    <w:rsid w:val="00BE7EE1"/>
    <w:rsid w:val="00BE7F26"/>
    <w:rsid w:val="00BF0162"/>
    <w:rsid w:val="00BF01F5"/>
    <w:rsid w:val="00BF0480"/>
    <w:rsid w:val="00BF0536"/>
    <w:rsid w:val="00BF05C4"/>
    <w:rsid w:val="00BF085F"/>
    <w:rsid w:val="00BF0B9F"/>
    <w:rsid w:val="00BF0D45"/>
    <w:rsid w:val="00BF0EE7"/>
    <w:rsid w:val="00BF0F8F"/>
    <w:rsid w:val="00BF0F94"/>
    <w:rsid w:val="00BF16CB"/>
    <w:rsid w:val="00BF1D9A"/>
    <w:rsid w:val="00BF1DE3"/>
    <w:rsid w:val="00BF1F87"/>
    <w:rsid w:val="00BF20EB"/>
    <w:rsid w:val="00BF21E2"/>
    <w:rsid w:val="00BF23EF"/>
    <w:rsid w:val="00BF26D6"/>
    <w:rsid w:val="00BF28E0"/>
    <w:rsid w:val="00BF2A69"/>
    <w:rsid w:val="00BF2A6B"/>
    <w:rsid w:val="00BF2BCF"/>
    <w:rsid w:val="00BF2C53"/>
    <w:rsid w:val="00BF2DD7"/>
    <w:rsid w:val="00BF2E89"/>
    <w:rsid w:val="00BF334A"/>
    <w:rsid w:val="00BF384F"/>
    <w:rsid w:val="00BF3A0A"/>
    <w:rsid w:val="00BF3ACB"/>
    <w:rsid w:val="00BF3B52"/>
    <w:rsid w:val="00BF3CA8"/>
    <w:rsid w:val="00BF3CB3"/>
    <w:rsid w:val="00BF3FBD"/>
    <w:rsid w:val="00BF4711"/>
    <w:rsid w:val="00BF4A34"/>
    <w:rsid w:val="00BF4ABB"/>
    <w:rsid w:val="00BF4D9E"/>
    <w:rsid w:val="00BF5097"/>
    <w:rsid w:val="00BF515B"/>
    <w:rsid w:val="00BF567B"/>
    <w:rsid w:val="00BF57DD"/>
    <w:rsid w:val="00BF5B78"/>
    <w:rsid w:val="00BF5D92"/>
    <w:rsid w:val="00BF5DBE"/>
    <w:rsid w:val="00BF5DD5"/>
    <w:rsid w:val="00BF5F88"/>
    <w:rsid w:val="00BF6489"/>
    <w:rsid w:val="00BF691D"/>
    <w:rsid w:val="00BF6950"/>
    <w:rsid w:val="00BF6A5B"/>
    <w:rsid w:val="00BF6AD5"/>
    <w:rsid w:val="00BF6B11"/>
    <w:rsid w:val="00BF6C5E"/>
    <w:rsid w:val="00BF6FE2"/>
    <w:rsid w:val="00BF7388"/>
    <w:rsid w:val="00BF73AA"/>
    <w:rsid w:val="00BF7404"/>
    <w:rsid w:val="00BF7433"/>
    <w:rsid w:val="00BF7580"/>
    <w:rsid w:val="00BF784F"/>
    <w:rsid w:val="00BF7A18"/>
    <w:rsid w:val="00BF7C1F"/>
    <w:rsid w:val="00C000C3"/>
    <w:rsid w:val="00C001BE"/>
    <w:rsid w:val="00C00348"/>
    <w:rsid w:val="00C00696"/>
    <w:rsid w:val="00C006A4"/>
    <w:rsid w:val="00C0084E"/>
    <w:rsid w:val="00C009E4"/>
    <w:rsid w:val="00C00B79"/>
    <w:rsid w:val="00C00C2D"/>
    <w:rsid w:val="00C00F3D"/>
    <w:rsid w:val="00C00F58"/>
    <w:rsid w:val="00C0119D"/>
    <w:rsid w:val="00C0149B"/>
    <w:rsid w:val="00C016C7"/>
    <w:rsid w:val="00C01A33"/>
    <w:rsid w:val="00C01AB2"/>
    <w:rsid w:val="00C01C6F"/>
    <w:rsid w:val="00C01E14"/>
    <w:rsid w:val="00C0220A"/>
    <w:rsid w:val="00C02488"/>
    <w:rsid w:val="00C026D8"/>
    <w:rsid w:val="00C02B9C"/>
    <w:rsid w:val="00C02E60"/>
    <w:rsid w:val="00C03ACF"/>
    <w:rsid w:val="00C03B30"/>
    <w:rsid w:val="00C03E03"/>
    <w:rsid w:val="00C03FA1"/>
    <w:rsid w:val="00C040C8"/>
    <w:rsid w:val="00C041CA"/>
    <w:rsid w:val="00C043A8"/>
    <w:rsid w:val="00C046F9"/>
    <w:rsid w:val="00C04AB7"/>
    <w:rsid w:val="00C04BC4"/>
    <w:rsid w:val="00C04C85"/>
    <w:rsid w:val="00C04D1D"/>
    <w:rsid w:val="00C04D28"/>
    <w:rsid w:val="00C04D7E"/>
    <w:rsid w:val="00C04F4E"/>
    <w:rsid w:val="00C0520D"/>
    <w:rsid w:val="00C05456"/>
    <w:rsid w:val="00C05577"/>
    <w:rsid w:val="00C0570E"/>
    <w:rsid w:val="00C0582B"/>
    <w:rsid w:val="00C058A9"/>
    <w:rsid w:val="00C05CB0"/>
    <w:rsid w:val="00C05FA0"/>
    <w:rsid w:val="00C0616B"/>
    <w:rsid w:val="00C061E3"/>
    <w:rsid w:val="00C06304"/>
    <w:rsid w:val="00C06381"/>
    <w:rsid w:val="00C064C4"/>
    <w:rsid w:val="00C065F8"/>
    <w:rsid w:val="00C06727"/>
    <w:rsid w:val="00C06935"/>
    <w:rsid w:val="00C06B39"/>
    <w:rsid w:val="00C06C7D"/>
    <w:rsid w:val="00C06D0B"/>
    <w:rsid w:val="00C06E9F"/>
    <w:rsid w:val="00C06FB7"/>
    <w:rsid w:val="00C070E5"/>
    <w:rsid w:val="00C07142"/>
    <w:rsid w:val="00C07152"/>
    <w:rsid w:val="00C0739A"/>
    <w:rsid w:val="00C076F9"/>
    <w:rsid w:val="00C077FF"/>
    <w:rsid w:val="00C07926"/>
    <w:rsid w:val="00C07A9D"/>
    <w:rsid w:val="00C07B17"/>
    <w:rsid w:val="00C07B2B"/>
    <w:rsid w:val="00C07C44"/>
    <w:rsid w:val="00C07CA0"/>
    <w:rsid w:val="00C07F34"/>
    <w:rsid w:val="00C07F4C"/>
    <w:rsid w:val="00C1015F"/>
    <w:rsid w:val="00C10202"/>
    <w:rsid w:val="00C1053A"/>
    <w:rsid w:val="00C106A9"/>
    <w:rsid w:val="00C10D3A"/>
    <w:rsid w:val="00C10E38"/>
    <w:rsid w:val="00C10E92"/>
    <w:rsid w:val="00C1125A"/>
    <w:rsid w:val="00C113CD"/>
    <w:rsid w:val="00C1164B"/>
    <w:rsid w:val="00C1165A"/>
    <w:rsid w:val="00C1170D"/>
    <w:rsid w:val="00C1183F"/>
    <w:rsid w:val="00C11904"/>
    <w:rsid w:val="00C119FD"/>
    <w:rsid w:val="00C11A44"/>
    <w:rsid w:val="00C11AA7"/>
    <w:rsid w:val="00C11FA8"/>
    <w:rsid w:val="00C12003"/>
    <w:rsid w:val="00C12151"/>
    <w:rsid w:val="00C12193"/>
    <w:rsid w:val="00C124E6"/>
    <w:rsid w:val="00C1269B"/>
    <w:rsid w:val="00C129AB"/>
    <w:rsid w:val="00C13336"/>
    <w:rsid w:val="00C1356F"/>
    <w:rsid w:val="00C13670"/>
    <w:rsid w:val="00C13D6B"/>
    <w:rsid w:val="00C13E0D"/>
    <w:rsid w:val="00C1422F"/>
    <w:rsid w:val="00C14258"/>
    <w:rsid w:val="00C145E8"/>
    <w:rsid w:val="00C14675"/>
    <w:rsid w:val="00C14B6E"/>
    <w:rsid w:val="00C14EC4"/>
    <w:rsid w:val="00C14F40"/>
    <w:rsid w:val="00C151ED"/>
    <w:rsid w:val="00C152E0"/>
    <w:rsid w:val="00C154A6"/>
    <w:rsid w:val="00C157EB"/>
    <w:rsid w:val="00C15D99"/>
    <w:rsid w:val="00C15EAD"/>
    <w:rsid w:val="00C15EC6"/>
    <w:rsid w:val="00C16293"/>
    <w:rsid w:val="00C1635E"/>
    <w:rsid w:val="00C165F5"/>
    <w:rsid w:val="00C16849"/>
    <w:rsid w:val="00C1688C"/>
    <w:rsid w:val="00C1695D"/>
    <w:rsid w:val="00C16971"/>
    <w:rsid w:val="00C16A17"/>
    <w:rsid w:val="00C16AE6"/>
    <w:rsid w:val="00C16B1B"/>
    <w:rsid w:val="00C16C5D"/>
    <w:rsid w:val="00C171DF"/>
    <w:rsid w:val="00C17599"/>
    <w:rsid w:val="00C175CB"/>
    <w:rsid w:val="00C176BE"/>
    <w:rsid w:val="00C17BCF"/>
    <w:rsid w:val="00C17E5B"/>
    <w:rsid w:val="00C17FFB"/>
    <w:rsid w:val="00C200CA"/>
    <w:rsid w:val="00C200DD"/>
    <w:rsid w:val="00C20159"/>
    <w:rsid w:val="00C2067B"/>
    <w:rsid w:val="00C206C3"/>
    <w:rsid w:val="00C20A54"/>
    <w:rsid w:val="00C20A86"/>
    <w:rsid w:val="00C20B22"/>
    <w:rsid w:val="00C20B55"/>
    <w:rsid w:val="00C20E5B"/>
    <w:rsid w:val="00C21070"/>
    <w:rsid w:val="00C218FE"/>
    <w:rsid w:val="00C221E4"/>
    <w:rsid w:val="00C226A9"/>
    <w:rsid w:val="00C2278C"/>
    <w:rsid w:val="00C229E7"/>
    <w:rsid w:val="00C22B92"/>
    <w:rsid w:val="00C22C0A"/>
    <w:rsid w:val="00C22E6F"/>
    <w:rsid w:val="00C22FD3"/>
    <w:rsid w:val="00C23015"/>
    <w:rsid w:val="00C231DA"/>
    <w:rsid w:val="00C23401"/>
    <w:rsid w:val="00C2346C"/>
    <w:rsid w:val="00C234E3"/>
    <w:rsid w:val="00C2369A"/>
    <w:rsid w:val="00C2399D"/>
    <w:rsid w:val="00C23C3C"/>
    <w:rsid w:val="00C240FD"/>
    <w:rsid w:val="00C242ED"/>
    <w:rsid w:val="00C24312"/>
    <w:rsid w:val="00C24374"/>
    <w:rsid w:val="00C24490"/>
    <w:rsid w:val="00C24530"/>
    <w:rsid w:val="00C2454C"/>
    <w:rsid w:val="00C246B8"/>
    <w:rsid w:val="00C24A25"/>
    <w:rsid w:val="00C24A76"/>
    <w:rsid w:val="00C24B7A"/>
    <w:rsid w:val="00C24B7E"/>
    <w:rsid w:val="00C24F24"/>
    <w:rsid w:val="00C25508"/>
    <w:rsid w:val="00C258C9"/>
    <w:rsid w:val="00C2596F"/>
    <w:rsid w:val="00C25A17"/>
    <w:rsid w:val="00C260E5"/>
    <w:rsid w:val="00C26308"/>
    <w:rsid w:val="00C263D4"/>
    <w:rsid w:val="00C264DD"/>
    <w:rsid w:val="00C2657F"/>
    <w:rsid w:val="00C265B9"/>
    <w:rsid w:val="00C267F1"/>
    <w:rsid w:val="00C26904"/>
    <w:rsid w:val="00C26AED"/>
    <w:rsid w:val="00C26DEF"/>
    <w:rsid w:val="00C26FB0"/>
    <w:rsid w:val="00C27763"/>
    <w:rsid w:val="00C27BB8"/>
    <w:rsid w:val="00C27E8A"/>
    <w:rsid w:val="00C302EF"/>
    <w:rsid w:val="00C3034A"/>
    <w:rsid w:val="00C3036E"/>
    <w:rsid w:val="00C3045E"/>
    <w:rsid w:val="00C30922"/>
    <w:rsid w:val="00C30C10"/>
    <w:rsid w:val="00C31088"/>
    <w:rsid w:val="00C31229"/>
    <w:rsid w:val="00C3135C"/>
    <w:rsid w:val="00C31507"/>
    <w:rsid w:val="00C31518"/>
    <w:rsid w:val="00C315A8"/>
    <w:rsid w:val="00C3160F"/>
    <w:rsid w:val="00C317F3"/>
    <w:rsid w:val="00C31A4B"/>
    <w:rsid w:val="00C31D85"/>
    <w:rsid w:val="00C322B3"/>
    <w:rsid w:val="00C322BB"/>
    <w:rsid w:val="00C325EC"/>
    <w:rsid w:val="00C3280C"/>
    <w:rsid w:val="00C32BAD"/>
    <w:rsid w:val="00C32BDE"/>
    <w:rsid w:val="00C33015"/>
    <w:rsid w:val="00C332D3"/>
    <w:rsid w:val="00C33345"/>
    <w:rsid w:val="00C3387F"/>
    <w:rsid w:val="00C3396F"/>
    <w:rsid w:val="00C33DF7"/>
    <w:rsid w:val="00C33F50"/>
    <w:rsid w:val="00C34174"/>
    <w:rsid w:val="00C3423E"/>
    <w:rsid w:val="00C34725"/>
    <w:rsid w:val="00C34CB1"/>
    <w:rsid w:val="00C34D20"/>
    <w:rsid w:val="00C3532A"/>
    <w:rsid w:val="00C35447"/>
    <w:rsid w:val="00C3553C"/>
    <w:rsid w:val="00C35543"/>
    <w:rsid w:val="00C3568B"/>
    <w:rsid w:val="00C357B4"/>
    <w:rsid w:val="00C35BFF"/>
    <w:rsid w:val="00C35C4D"/>
    <w:rsid w:val="00C35EB6"/>
    <w:rsid w:val="00C35FBC"/>
    <w:rsid w:val="00C36182"/>
    <w:rsid w:val="00C361AD"/>
    <w:rsid w:val="00C361B6"/>
    <w:rsid w:val="00C36363"/>
    <w:rsid w:val="00C36390"/>
    <w:rsid w:val="00C36620"/>
    <w:rsid w:val="00C36692"/>
    <w:rsid w:val="00C368B8"/>
    <w:rsid w:val="00C36972"/>
    <w:rsid w:val="00C3710F"/>
    <w:rsid w:val="00C37360"/>
    <w:rsid w:val="00C37523"/>
    <w:rsid w:val="00C37562"/>
    <w:rsid w:val="00C3774A"/>
    <w:rsid w:val="00C378E6"/>
    <w:rsid w:val="00C379CB"/>
    <w:rsid w:val="00C4006D"/>
    <w:rsid w:val="00C40589"/>
    <w:rsid w:val="00C40980"/>
    <w:rsid w:val="00C40B60"/>
    <w:rsid w:val="00C40D93"/>
    <w:rsid w:val="00C40E0B"/>
    <w:rsid w:val="00C40F1A"/>
    <w:rsid w:val="00C41392"/>
    <w:rsid w:val="00C414DC"/>
    <w:rsid w:val="00C4189A"/>
    <w:rsid w:val="00C41962"/>
    <w:rsid w:val="00C4196A"/>
    <w:rsid w:val="00C41AB5"/>
    <w:rsid w:val="00C41B0A"/>
    <w:rsid w:val="00C42069"/>
    <w:rsid w:val="00C4225E"/>
    <w:rsid w:val="00C4248C"/>
    <w:rsid w:val="00C42565"/>
    <w:rsid w:val="00C42581"/>
    <w:rsid w:val="00C425AE"/>
    <w:rsid w:val="00C425CC"/>
    <w:rsid w:val="00C4275E"/>
    <w:rsid w:val="00C4290E"/>
    <w:rsid w:val="00C42F4E"/>
    <w:rsid w:val="00C42FB1"/>
    <w:rsid w:val="00C43098"/>
    <w:rsid w:val="00C43285"/>
    <w:rsid w:val="00C43352"/>
    <w:rsid w:val="00C4340E"/>
    <w:rsid w:val="00C4349E"/>
    <w:rsid w:val="00C43EFD"/>
    <w:rsid w:val="00C43FFC"/>
    <w:rsid w:val="00C44086"/>
    <w:rsid w:val="00C44457"/>
    <w:rsid w:val="00C445B8"/>
    <w:rsid w:val="00C449A5"/>
    <w:rsid w:val="00C44B97"/>
    <w:rsid w:val="00C44C43"/>
    <w:rsid w:val="00C44C51"/>
    <w:rsid w:val="00C44D46"/>
    <w:rsid w:val="00C44F22"/>
    <w:rsid w:val="00C451ED"/>
    <w:rsid w:val="00C454DF"/>
    <w:rsid w:val="00C45623"/>
    <w:rsid w:val="00C459E2"/>
    <w:rsid w:val="00C45E20"/>
    <w:rsid w:val="00C460CF"/>
    <w:rsid w:val="00C464FC"/>
    <w:rsid w:val="00C46A7B"/>
    <w:rsid w:val="00C46ABE"/>
    <w:rsid w:val="00C46D74"/>
    <w:rsid w:val="00C46DD1"/>
    <w:rsid w:val="00C46F20"/>
    <w:rsid w:val="00C46F31"/>
    <w:rsid w:val="00C46FFD"/>
    <w:rsid w:val="00C47947"/>
    <w:rsid w:val="00C4794C"/>
    <w:rsid w:val="00C47E33"/>
    <w:rsid w:val="00C50401"/>
    <w:rsid w:val="00C5048F"/>
    <w:rsid w:val="00C505BE"/>
    <w:rsid w:val="00C50696"/>
    <w:rsid w:val="00C5078A"/>
    <w:rsid w:val="00C50A6D"/>
    <w:rsid w:val="00C50CD0"/>
    <w:rsid w:val="00C510AF"/>
    <w:rsid w:val="00C511F2"/>
    <w:rsid w:val="00C51238"/>
    <w:rsid w:val="00C512B7"/>
    <w:rsid w:val="00C51317"/>
    <w:rsid w:val="00C5198F"/>
    <w:rsid w:val="00C51A9A"/>
    <w:rsid w:val="00C51E19"/>
    <w:rsid w:val="00C521EE"/>
    <w:rsid w:val="00C52220"/>
    <w:rsid w:val="00C52305"/>
    <w:rsid w:val="00C523B3"/>
    <w:rsid w:val="00C524B3"/>
    <w:rsid w:val="00C5284F"/>
    <w:rsid w:val="00C52934"/>
    <w:rsid w:val="00C52A67"/>
    <w:rsid w:val="00C52E68"/>
    <w:rsid w:val="00C53383"/>
    <w:rsid w:val="00C533E3"/>
    <w:rsid w:val="00C53608"/>
    <w:rsid w:val="00C538EC"/>
    <w:rsid w:val="00C53943"/>
    <w:rsid w:val="00C539F3"/>
    <w:rsid w:val="00C53EAF"/>
    <w:rsid w:val="00C5418E"/>
    <w:rsid w:val="00C5434E"/>
    <w:rsid w:val="00C544DC"/>
    <w:rsid w:val="00C54579"/>
    <w:rsid w:val="00C54659"/>
    <w:rsid w:val="00C54AA8"/>
    <w:rsid w:val="00C54B3F"/>
    <w:rsid w:val="00C55230"/>
    <w:rsid w:val="00C55329"/>
    <w:rsid w:val="00C55770"/>
    <w:rsid w:val="00C557A6"/>
    <w:rsid w:val="00C557F6"/>
    <w:rsid w:val="00C55A11"/>
    <w:rsid w:val="00C55A21"/>
    <w:rsid w:val="00C55BB1"/>
    <w:rsid w:val="00C55D46"/>
    <w:rsid w:val="00C55E01"/>
    <w:rsid w:val="00C55E48"/>
    <w:rsid w:val="00C55F3F"/>
    <w:rsid w:val="00C55F51"/>
    <w:rsid w:val="00C5607A"/>
    <w:rsid w:val="00C5633F"/>
    <w:rsid w:val="00C563BE"/>
    <w:rsid w:val="00C564C6"/>
    <w:rsid w:val="00C56686"/>
    <w:rsid w:val="00C56EEC"/>
    <w:rsid w:val="00C57200"/>
    <w:rsid w:val="00C572C5"/>
    <w:rsid w:val="00C5733A"/>
    <w:rsid w:val="00C5746D"/>
    <w:rsid w:val="00C57611"/>
    <w:rsid w:val="00C57949"/>
    <w:rsid w:val="00C57CCF"/>
    <w:rsid w:val="00C600C9"/>
    <w:rsid w:val="00C6016A"/>
    <w:rsid w:val="00C60359"/>
    <w:rsid w:val="00C60388"/>
    <w:rsid w:val="00C60B00"/>
    <w:rsid w:val="00C60B8F"/>
    <w:rsid w:val="00C60BC6"/>
    <w:rsid w:val="00C61256"/>
    <w:rsid w:val="00C6175C"/>
    <w:rsid w:val="00C618B3"/>
    <w:rsid w:val="00C61901"/>
    <w:rsid w:val="00C61AAD"/>
    <w:rsid w:val="00C61CF3"/>
    <w:rsid w:val="00C62299"/>
    <w:rsid w:val="00C6230A"/>
    <w:rsid w:val="00C625B5"/>
    <w:rsid w:val="00C62724"/>
    <w:rsid w:val="00C627BB"/>
    <w:rsid w:val="00C62999"/>
    <w:rsid w:val="00C62CFF"/>
    <w:rsid w:val="00C6313E"/>
    <w:rsid w:val="00C63494"/>
    <w:rsid w:val="00C63511"/>
    <w:rsid w:val="00C6351E"/>
    <w:rsid w:val="00C63667"/>
    <w:rsid w:val="00C637DC"/>
    <w:rsid w:val="00C63A5C"/>
    <w:rsid w:val="00C63DB0"/>
    <w:rsid w:val="00C63EC7"/>
    <w:rsid w:val="00C64404"/>
    <w:rsid w:val="00C64610"/>
    <w:rsid w:val="00C64731"/>
    <w:rsid w:val="00C64A08"/>
    <w:rsid w:val="00C64A43"/>
    <w:rsid w:val="00C64BA1"/>
    <w:rsid w:val="00C65219"/>
    <w:rsid w:val="00C6528A"/>
    <w:rsid w:val="00C652D9"/>
    <w:rsid w:val="00C65428"/>
    <w:rsid w:val="00C65521"/>
    <w:rsid w:val="00C65559"/>
    <w:rsid w:val="00C65640"/>
    <w:rsid w:val="00C65693"/>
    <w:rsid w:val="00C65790"/>
    <w:rsid w:val="00C657A9"/>
    <w:rsid w:val="00C65B2F"/>
    <w:rsid w:val="00C65C61"/>
    <w:rsid w:val="00C65F1D"/>
    <w:rsid w:val="00C66155"/>
    <w:rsid w:val="00C6617F"/>
    <w:rsid w:val="00C66528"/>
    <w:rsid w:val="00C66926"/>
    <w:rsid w:val="00C6692D"/>
    <w:rsid w:val="00C66935"/>
    <w:rsid w:val="00C66D9B"/>
    <w:rsid w:val="00C67080"/>
    <w:rsid w:val="00C671A7"/>
    <w:rsid w:val="00C67546"/>
    <w:rsid w:val="00C677C2"/>
    <w:rsid w:val="00C6787A"/>
    <w:rsid w:val="00C679AC"/>
    <w:rsid w:val="00C67A0B"/>
    <w:rsid w:val="00C67B15"/>
    <w:rsid w:val="00C67B45"/>
    <w:rsid w:val="00C70410"/>
    <w:rsid w:val="00C704E1"/>
    <w:rsid w:val="00C70639"/>
    <w:rsid w:val="00C7070D"/>
    <w:rsid w:val="00C70AFC"/>
    <w:rsid w:val="00C70DA9"/>
    <w:rsid w:val="00C70F54"/>
    <w:rsid w:val="00C712EA"/>
    <w:rsid w:val="00C71321"/>
    <w:rsid w:val="00C714E6"/>
    <w:rsid w:val="00C716AA"/>
    <w:rsid w:val="00C7175E"/>
    <w:rsid w:val="00C7184B"/>
    <w:rsid w:val="00C71A6A"/>
    <w:rsid w:val="00C71C19"/>
    <w:rsid w:val="00C72544"/>
    <w:rsid w:val="00C727D0"/>
    <w:rsid w:val="00C728BC"/>
    <w:rsid w:val="00C72D71"/>
    <w:rsid w:val="00C736C4"/>
    <w:rsid w:val="00C737D1"/>
    <w:rsid w:val="00C73A80"/>
    <w:rsid w:val="00C73CA1"/>
    <w:rsid w:val="00C73EEA"/>
    <w:rsid w:val="00C73F80"/>
    <w:rsid w:val="00C73F9F"/>
    <w:rsid w:val="00C7404C"/>
    <w:rsid w:val="00C74188"/>
    <w:rsid w:val="00C74216"/>
    <w:rsid w:val="00C74633"/>
    <w:rsid w:val="00C74A21"/>
    <w:rsid w:val="00C74A4E"/>
    <w:rsid w:val="00C74C53"/>
    <w:rsid w:val="00C750B9"/>
    <w:rsid w:val="00C7520D"/>
    <w:rsid w:val="00C7558E"/>
    <w:rsid w:val="00C7559F"/>
    <w:rsid w:val="00C75714"/>
    <w:rsid w:val="00C758F9"/>
    <w:rsid w:val="00C759E2"/>
    <w:rsid w:val="00C75A29"/>
    <w:rsid w:val="00C75AAA"/>
    <w:rsid w:val="00C75F01"/>
    <w:rsid w:val="00C7661B"/>
    <w:rsid w:val="00C7678E"/>
    <w:rsid w:val="00C7693B"/>
    <w:rsid w:val="00C76A70"/>
    <w:rsid w:val="00C76B91"/>
    <w:rsid w:val="00C76D48"/>
    <w:rsid w:val="00C77235"/>
    <w:rsid w:val="00C77A32"/>
    <w:rsid w:val="00C77B6F"/>
    <w:rsid w:val="00C77CCC"/>
    <w:rsid w:val="00C77E27"/>
    <w:rsid w:val="00C77F97"/>
    <w:rsid w:val="00C77FA5"/>
    <w:rsid w:val="00C77FBD"/>
    <w:rsid w:val="00C80010"/>
    <w:rsid w:val="00C80399"/>
    <w:rsid w:val="00C804A0"/>
    <w:rsid w:val="00C804D2"/>
    <w:rsid w:val="00C8068B"/>
    <w:rsid w:val="00C80729"/>
    <w:rsid w:val="00C80786"/>
    <w:rsid w:val="00C807D4"/>
    <w:rsid w:val="00C80A07"/>
    <w:rsid w:val="00C80E1D"/>
    <w:rsid w:val="00C811F5"/>
    <w:rsid w:val="00C812BF"/>
    <w:rsid w:val="00C8137D"/>
    <w:rsid w:val="00C8139E"/>
    <w:rsid w:val="00C81628"/>
    <w:rsid w:val="00C8164F"/>
    <w:rsid w:val="00C8178E"/>
    <w:rsid w:val="00C81C7E"/>
    <w:rsid w:val="00C81D8D"/>
    <w:rsid w:val="00C81ECA"/>
    <w:rsid w:val="00C820F0"/>
    <w:rsid w:val="00C8262A"/>
    <w:rsid w:val="00C827AD"/>
    <w:rsid w:val="00C828AC"/>
    <w:rsid w:val="00C8293F"/>
    <w:rsid w:val="00C8297F"/>
    <w:rsid w:val="00C82AF8"/>
    <w:rsid w:val="00C82B66"/>
    <w:rsid w:val="00C82FE8"/>
    <w:rsid w:val="00C832FC"/>
    <w:rsid w:val="00C837A6"/>
    <w:rsid w:val="00C837D4"/>
    <w:rsid w:val="00C83A3F"/>
    <w:rsid w:val="00C83F35"/>
    <w:rsid w:val="00C84008"/>
    <w:rsid w:val="00C844B8"/>
    <w:rsid w:val="00C84541"/>
    <w:rsid w:val="00C84575"/>
    <w:rsid w:val="00C8478B"/>
    <w:rsid w:val="00C847A2"/>
    <w:rsid w:val="00C8488B"/>
    <w:rsid w:val="00C84B7E"/>
    <w:rsid w:val="00C84CFF"/>
    <w:rsid w:val="00C84FF6"/>
    <w:rsid w:val="00C854EE"/>
    <w:rsid w:val="00C85650"/>
    <w:rsid w:val="00C85AD1"/>
    <w:rsid w:val="00C85B6E"/>
    <w:rsid w:val="00C85BA1"/>
    <w:rsid w:val="00C85D5A"/>
    <w:rsid w:val="00C85EA8"/>
    <w:rsid w:val="00C86442"/>
    <w:rsid w:val="00C86B3D"/>
    <w:rsid w:val="00C86CA3"/>
    <w:rsid w:val="00C86EA3"/>
    <w:rsid w:val="00C8723D"/>
    <w:rsid w:val="00C875BB"/>
    <w:rsid w:val="00C876D4"/>
    <w:rsid w:val="00C876D6"/>
    <w:rsid w:val="00C8793B"/>
    <w:rsid w:val="00C87A17"/>
    <w:rsid w:val="00C87A52"/>
    <w:rsid w:val="00C87A85"/>
    <w:rsid w:val="00C87CE3"/>
    <w:rsid w:val="00C87E25"/>
    <w:rsid w:val="00C87E65"/>
    <w:rsid w:val="00C87FC7"/>
    <w:rsid w:val="00C903D2"/>
    <w:rsid w:val="00C9047E"/>
    <w:rsid w:val="00C90508"/>
    <w:rsid w:val="00C90604"/>
    <w:rsid w:val="00C90709"/>
    <w:rsid w:val="00C907F3"/>
    <w:rsid w:val="00C90863"/>
    <w:rsid w:val="00C90A40"/>
    <w:rsid w:val="00C90B94"/>
    <w:rsid w:val="00C913E3"/>
    <w:rsid w:val="00C915E0"/>
    <w:rsid w:val="00C917AB"/>
    <w:rsid w:val="00C91FA2"/>
    <w:rsid w:val="00C92050"/>
    <w:rsid w:val="00C9219E"/>
    <w:rsid w:val="00C92203"/>
    <w:rsid w:val="00C923D8"/>
    <w:rsid w:val="00C923ED"/>
    <w:rsid w:val="00C92500"/>
    <w:rsid w:val="00C92A94"/>
    <w:rsid w:val="00C92C13"/>
    <w:rsid w:val="00C92F25"/>
    <w:rsid w:val="00C9301A"/>
    <w:rsid w:val="00C932FB"/>
    <w:rsid w:val="00C93722"/>
    <w:rsid w:val="00C93D32"/>
    <w:rsid w:val="00C93E82"/>
    <w:rsid w:val="00C9429E"/>
    <w:rsid w:val="00C9464B"/>
    <w:rsid w:val="00C94653"/>
    <w:rsid w:val="00C9496A"/>
    <w:rsid w:val="00C949A6"/>
    <w:rsid w:val="00C94A22"/>
    <w:rsid w:val="00C94A3F"/>
    <w:rsid w:val="00C94A7E"/>
    <w:rsid w:val="00C94AC7"/>
    <w:rsid w:val="00C94B5A"/>
    <w:rsid w:val="00C94F6F"/>
    <w:rsid w:val="00C94FB1"/>
    <w:rsid w:val="00C94FCC"/>
    <w:rsid w:val="00C951FB"/>
    <w:rsid w:val="00C955EA"/>
    <w:rsid w:val="00C955F2"/>
    <w:rsid w:val="00C957C5"/>
    <w:rsid w:val="00C95940"/>
    <w:rsid w:val="00C95BD2"/>
    <w:rsid w:val="00C95E40"/>
    <w:rsid w:val="00C95E6D"/>
    <w:rsid w:val="00C9606D"/>
    <w:rsid w:val="00C963F4"/>
    <w:rsid w:val="00C9644C"/>
    <w:rsid w:val="00C96648"/>
    <w:rsid w:val="00C96742"/>
    <w:rsid w:val="00C9691B"/>
    <w:rsid w:val="00C96C45"/>
    <w:rsid w:val="00C97016"/>
    <w:rsid w:val="00C97019"/>
    <w:rsid w:val="00C97431"/>
    <w:rsid w:val="00C9792C"/>
    <w:rsid w:val="00C97A9B"/>
    <w:rsid w:val="00C97D96"/>
    <w:rsid w:val="00C97DCC"/>
    <w:rsid w:val="00C97E55"/>
    <w:rsid w:val="00C97FA4"/>
    <w:rsid w:val="00C97FBC"/>
    <w:rsid w:val="00CA0031"/>
    <w:rsid w:val="00CA0293"/>
    <w:rsid w:val="00CA0AA5"/>
    <w:rsid w:val="00CA0CA8"/>
    <w:rsid w:val="00CA0D27"/>
    <w:rsid w:val="00CA100C"/>
    <w:rsid w:val="00CA1327"/>
    <w:rsid w:val="00CA14E4"/>
    <w:rsid w:val="00CA151F"/>
    <w:rsid w:val="00CA17A1"/>
    <w:rsid w:val="00CA1BF3"/>
    <w:rsid w:val="00CA1C63"/>
    <w:rsid w:val="00CA2308"/>
    <w:rsid w:val="00CA2C22"/>
    <w:rsid w:val="00CA2EDC"/>
    <w:rsid w:val="00CA2FF8"/>
    <w:rsid w:val="00CA3204"/>
    <w:rsid w:val="00CA3439"/>
    <w:rsid w:val="00CA357C"/>
    <w:rsid w:val="00CA35FE"/>
    <w:rsid w:val="00CA376C"/>
    <w:rsid w:val="00CA3805"/>
    <w:rsid w:val="00CA3D98"/>
    <w:rsid w:val="00CA421F"/>
    <w:rsid w:val="00CA42A7"/>
    <w:rsid w:val="00CA4401"/>
    <w:rsid w:val="00CA4645"/>
    <w:rsid w:val="00CA5013"/>
    <w:rsid w:val="00CA5096"/>
    <w:rsid w:val="00CA5292"/>
    <w:rsid w:val="00CA5306"/>
    <w:rsid w:val="00CA5334"/>
    <w:rsid w:val="00CA54FB"/>
    <w:rsid w:val="00CA56F2"/>
    <w:rsid w:val="00CA59CC"/>
    <w:rsid w:val="00CA5B0E"/>
    <w:rsid w:val="00CA5D00"/>
    <w:rsid w:val="00CA60DE"/>
    <w:rsid w:val="00CA637C"/>
    <w:rsid w:val="00CA640C"/>
    <w:rsid w:val="00CA6604"/>
    <w:rsid w:val="00CA6769"/>
    <w:rsid w:val="00CA6890"/>
    <w:rsid w:val="00CA6CEC"/>
    <w:rsid w:val="00CA6DA5"/>
    <w:rsid w:val="00CA6F45"/>
    <w:rsid w:val="00CA70EB"/>
    <w:rsid w:val="00CA7106"/>
    <w:rsid w:val="00CA74BD"/>
    <w:rsid w:val="00CA77CE"/>
    <w:rsid w:val="00CA7A29"/>
    <w:rsid w:val="00CA7AFD"/>
    <w:rsid w:val="00CA7F21"/>
    <w:rsid w:val="00CA7F82"/>
    <w:rsid w:val="00CB008B"/>
    <w:rsid w:val="00CB0223"/>
    <w:rsid w:val="00CB0322"/>
    <w:rsid w:val="00CB035D"/>
    <w:rsid w:val="00CB040F"/>
    <w:rsid w:val="00CB0631"/>
    <w:rsid w:val="00CB0658"/>
    <w:rsid w:val="00CB0666"/>
    <w:rsid w:val="00CB07B3"/>
    <w:rsid w:val="00CB0B31"/>
    <w:rsid w:val="00CB0C0A"/>
    <w:rsid w:val="00CB0D14"/>
    <w:rsid w:val="00CB0E9B"/>
    <w:rsid w:val="00CB0EB7"/>
    <w:rsid w:val="00CB0F82"/>
    <w:rsid w:val="00CB0FFE"/>
    <w:rsid w:val="00CB10B3"/>
    <w:rsid w:val="00CB1B80"/>
    <w:rsid w:val="00CB1D5A"/>
    <w:rsid w:val="00CB1E2A"/>
    <w:rsid w:val="00CB1FB4"/>
    <w:rsid w:val="00CB2077"/>
    <w:rsid w:val="00CB257C"/>
    <w:rsid w:val="00CB2875"/>
    <w:rsid w:val="00CB2C84"/>
    <w:rsid w:val="00CB2CF5"/>
    <w:rsid w:val="00CB3001"/>
    <w:rsid w:val="00CB307A"/>
    <w:rsid w:val="00CB323E"/>
    <w:rsid w:val="00CB3837"/>
    <w:rsid w:val="00CB3B53"/>
    <w:rsid w:val="00CB4074"/>
    <w:rsid w:val="00CB432D"/>
    <w:rsid w:val="00CB43BF"/>
    <w:rsid w:val="00CB446A"/>
    <w:rsid w:val="00CB45AC"/>
    <w:rsid w:val="00CB4DFD"/>
    <w:rsid w:val="00CB4E17"/>
    <w:rsid w:val="00CB501B"/>
    <w:rsid w:val="00CB5114"/>
    <w:rsid w:val="00CB5519"/>
    <w:rsid w:val="00CB556B"/>
    <w:rsid w:val="00CB5775"/>
    <w:rsid w:val="00CB58B3"/>
    <w:rsid w:val="00CB5956"/>
    <w:rsid w:val="00CB59AA"/>
    <w:rsid w:val="00CB5B2B"/>
    <w:rsid w:val="00CB5B83"/>
    <w:rsid w:val="00CB5C52"/>
    <w:rsid w:val="00CB5EBF"/>
    <w:rsid w:val="00CB62F0"/>
    <w:rsid w:val="00CB64C7"/>
    <w:rsid w:val="00CB6C8D"/>
    <w:rsid w:val="00CB7083"/>
    <w:rsid w:val="00CB70D1"/>
    <w:rsid w:val="00CB7332"/>
    <w:rsid w:val="00CB77C1"/>
    <w:rsid w:val="00CB7930"/>
    <w:rsid w:val="00CB7E5A"/>
    <w:rsid w:val="00CC009B"/>
    <w:rsid w:val="00CC0728"/>
    <w:rsid w:val="00CC0829"/>
    <w:rsid w:val="00CC0A69"/>
    <w:rsid w:val="00CC0C8E"/>
    <w:rsid w:val="00CC0CF9"/>
    <w:rsid w:val="00CC0CFE"/>
    <w:rsid w:val="00CC0D05"/>
    <w:rsid w:val="00CC1204"/>
    <w:rsid w:val="00CC1636"/>
    <w:rsid w:val="00CC181C"/>
    <w:rsid w:val="00CC18E7"/>
    <w:rsid w:val="00CC1986"/>
    <w:rsid w:val="00CC19A2"/>
    <w:rsid w:val="00CC1BD8"/>
    <w:rsid w:val="00CC1DFE"/>
    <w:rsid w:val="00CC1F0A"/>
    <w:rsid w:val="00CC206B"/>
    <w:rsid w:val="00CC20CF"/>
    <w:rsid w:val="00CC21EA"/>
    <w:rsid w:val="00CC2BFD"/>
    <w:rsid w:val="00CC2D70"/>
    <w:rsid w:val="00CC2E32"/>
    <w:rsid w:val="00CC2FD2"/>
    <w:rsid w:val="00CC3039"/>
    <w:rsid w:val="00CC3231"/>
    <w:rsid w:val="00CC32E9"/>
    <w:rsid w:val="00CC33A2"/>
    <w:rsid w:val="00CC3512"/>
    <w:rsid w:val="00CC3577"/>
    <w:rsid w:val="00CC35C0"/>
    <w:rsid w:val="00CC3656"/>
    <w:rsid w:val="00CC3C1D"/>
    <w:rsid w:val="00CC3C8B"/>
    <w:rsid w:val="00CC3EC2"/>
    <w:rsid w:val="00CC404A"/>
    <w:rsid w:val="00CC4140"/>
    <w:rsid w:val="00CC439C"/>
    <w:rsid w:val="00CC4BA8"/>
    <w:rsid w:val="00CC4D3D"/>
    <w:rsid w:val="00CC4F21"/>
    <w:rsid w:val="00CC4F8B"/>
    <w:rsid w:val="00CC4FA4"/>
    <w:rsid w:val="00CC52BE"/>
    <w:rsid w:val="00CC541B"/>
    <w:rsid w:val="00CC5748"/>
    <w:rsid w:val="00CC57AC"/>
    <w:rsid w:val="00CC584A"/>
    <w:rsid w:val="00CC59E1"/>
    <w:rsid w:val="00CC5BB8"/>
    <w:rsid w:val="00CC5D19"/>
    <w:rsid w:val="00CC5ECA"/>
    <w:rsid w:val="00CC5EF3"/>
    <w:rsid w:val="00CC5F8A"/>
    <w:rsid w:val="00CC6346"/>
    <w:rsid w:val="00CC6646"/>
    <w:rsid w:val="00CC6841"/>
    <w:rsid w:val="00CC6AA9"/>
    <w:rsid w:val="00CC6E0E"/>
    <w:rsid w:val="00CC716F"/>
    <w:rsid w:val="00CC7263"/>
    <w:rsid w:val="00CC7412"/>
    <w:rsid w:val="00CC741A"/>
    <w:rsid w:val="00CC7763"/>
    <w:rsid w:val="00CC77C8"/>
    <w:rsid w:val="00CC787C"/>
    <w:rsid w:val="00CC7A66"/>
    <w:rsid w:val="00CC7ABF"/>
    <w:rsid w:val="00CC7AEA"/>
    <w:rsid w:val="00CC7BA1"/>
    <w:rsid w:val="00CC7D53"/>
    <w:rsid w:val="00CD01BB"/>
    <w:rsid w:val="00CD037A"/>
    <w:rsid w:val="00CD038E"/>
    <w:rsid w:val="00CD06B3"/>
    <w:rsid w:val="00CD0797"/>
    <w:rsid w:val="00CD079A"/>
    <w:rsid w:val="00CD0A8E"/>
    <w:rsid w:val="00CD0AC3"/>
    <w:rsid w:val="00CD0B8F"/>
    <w:rsid w:val="00CD0D51"/>
    <w:rsid w:val="00CD0ECD"/>
    <w:rsid w:val="00CD1112"/>
    <w:rsid w:val="00CD137A"/>
    <w:rsid w:val="00CD141C"/>
    <w:rsid w:val="00CD1761"/>
    <w:rsid w:val="00CD207A"/>
    <w:rsid w:val="00CD20D5"/>
    <w:rsid w:val="00CD2189"/>
    <w:rsid w:val="00CD21C6"/>
    <w:rsid w:val="00CD2323"/>
    <w:rsid w:val="00CD246E"/>
    <w:rsid w:val="00CD24D8"/>
    <w:rsid w:val="00CD2679"/>
    <w:rsid w:val="00CD29A5"/>
    <w:rsid w:val="00CD29B4"/>
    <w:rsid w:val="00CD2C6F"/>
    <w:rsid w:val="00CD2EAF"/>
    <w:rsid w:val="00CD2EE8"/>
    <w:rsid w:val="00CD2F4E"/>
    <w:rsid w:val="00CD3293"/>
    <w:rsid w:val="00CD34D3"/>
    <w:rsid w:val="00CD352A"/>
    <w:rsid w:val="00CD37C2"/>
    <w:rsid w:val="00CD39AA"/>
    <w:rsid w:val="00CD3B5A"/>
    <w:rsid w:val="00CD3C01"/>
    <w:rsid w:val="00CD3D90"/>
    <w:rsid w:val="00CD40E8"/>
    <w:rsid w:val="00CD4215"/>
    <w:rsid w:val="00CD46CD"/>
    <w:rsid w:val="00CD4A40"/>
    <w:rsid w:val="00CD4E93"/>
    <w:rsid w:val="00CD4F5C"/>
    <w:rsid w:val="00CD5117"/>
    <w:rsid w:val="00CD536A"/>
    <w:rsid w:val="00CD549C"/>
    <w:rsid w:val="00CD5695"/>
    <w:rsid w:val="00CD57A8"/>
    <w:rsid w:val="00CD5C20"/>
    <w:rsid w:val="00CD5D49"/>
    <w:rsid w:val="00CD622A"/>
    <w:rsid w:val="00CD62A6"/>
    <w:rsid w:val="00CD6451"/>
    <w:rsid w:val="00CD6744"/>
    <w:rsid w:val="00CD6787"/>
    <w:rsid w:val="00CD685C"/>
    <w:rsid w:val="00CD696F"/>
    <w:rsid w:val="00CD6CBC"/>
    <w:rsid w:val="00CD6D5F"/>
    <w:rsid w:val="00CD6D75"/>
    <w:rsid w:val="00CD6D76"/>
    <w:rsid w:val="00CD70C4"/>
    <w:rsid w:val="00CD7176"/>
    <w:rsid w:val="00CD71ED"/>
    <w:rsid w:val="00CD74C2"/>
    <w:rsid w:val="00CD752E"/>
    <w:rsid w:val="00CD7565"/>
    <w:rsid w:val="00CD7A35"/>
    <w:rsid w:val="00CD7B1E"/>
    <w:rsid w:val="00CD7C06"/>
    <w:rsid w:val="00CD7C73"/>
    <w:rsid w:val="00CD7DE7"/>
    <w:rsid w:val="00CD7F63"/>
    <w:rsid w:val="00CE0084"/>
    <w:rsid w:val="00CE0BF9"/>
    <w:rsid w:val="00CE0DAB"/>
    <w:rsid w:val="00CE0E50"/>
    <w:rsid w:val="00CE0E9A"/>
    <w:rsid w:val="00CE1023"/>
    <w:rsid w:val="00CE1201"/>
    <w:rsid w:val="00CE15B5"/>
    <w:rsid w:val="00CE15BF"/>
    <w:rsid w:val="00CE17DE"/>
    <w:rsid w:val="00CE1805"/>
    <w:rsid w:val="00CE1C88"/>
    <w:rsid w:val="00CE1EB5"/>
    <w:rsid w:val="00CE212E"/>
    <w:rsid w:val="00CE2530"/>
    <w:rsid w:val="00CE2583"/>
    <w:rsid w:val="00CE25AB"/>
    <w:rsid w:val="00CE2668"/>
    <w:rsid w:val="00CE2671"/>
    <w:rsid w:val="00CE267D"/>
    <w:rsid w:val="00CE293B"/>
    <w:rsid w:val="00CE2B33"/>
    <w:rsid w:val="00CE2C91"/>
    <w:rsid w:val="00CE2D73"/>
    <w:rsid w:val="00CE2E98"/>
    <w:rsid w:val="00CE3137"/>
    <w:rsid w:val="00CE3304"/>
    <w:rsid w:val="00CE3341"/>
    <w:rsid w:val="00CE34A8"/>
    <w:rsid w:val="00CE37D4"/>
    <w:rsid w:val="00CE396B"/>
    <w:rsid w:val="00CE3976"/>
    <w:rsid w:val="00CE399A"/>
    <w:rsid w:val="00CE3A75"/>
    <w:rsid w:val="00CE3A85"/>
    <w:rsid w:val="00CE3C83"/>
    <w:rsid w:val="00CE3F0C"/>
    <w:rsid w:val="00CE42AC"/>
    <w:rsid w:val="00CE448B"/>
    <w:rsid w:val="00CE46D8"/>
    <w:rsid w:val="00CE4A50"/>
    <w:rsid w:val="00CE4D76"/>
    <w:rsid w:val="00CE4DD1"/>
    <w:rsid w:val="00CE4E41"/>
    <w:rsid w:val="00CE4EF0"/>
    <w:rsid w:val="00CE5487"/>
    <w:rsid w:val="00CE598E"/>
    <w:rsid w:val="00CE5B1F"/>
    <w:rsid w:val="00CE5B72"/>
    <w:rsid w:val="00CE5CB2"/>
    <w:rsid w:val="00CE5EF5"/>
    <w:rsid w:val="00CE6233"/>
    <w:rsid w:val="00CE6689"/>
    <w:rsid w:val="00CE6815"/>
    <w:rsid w:val="00CE6F84"/>
    <w:rsid w:val="00CE6FCB"/>
    <w:rsid w:val="00CE72DF"/>
    <w:rsid w:val="00CE733D"/>
    <w:rsid w:val="00CE7579"/>
    <w:rsid w:val="00CE761C"/>
    <w:rsid w:val="00CE79BE"/>
    <w:rsid w:val="00CE7B1F"/>
    <w:rsid w:val="00CE7C6E"/>
    <w:rsid w:val="00CE7D5A"/>
    <w:rsid w:val="00CE7F6E"/>
    <w:rsid w:val="00CF014E"/>
    <w:rsid w:val="00CF02A9"/>
    <w:rsid w:val="00CF036C"/>
    <w:rsid w:val="00CF0598"/>
    <w:rsid w:val="00CF05CC"/>
    <w:rsid w:val="00CF06B9"/>
    <w:rsid w:val="00CF08D2"/>
    <w:rsid w:val="00CF0AE0"/>
    <w:rsid w:val="00CF0C87"/>
    <w:rsid w:val="00CF0E19"/>
    <w:rsid w:val="00CF0EEC"/>
    <w:rsid w:val="00CF13E3"/>
    <w:rsid w:val="00CF13E8"/>
    <w:rsid w:val="00CF1742"/>
    <w:rsid w:val="00CF2078"/>
    <w:rsid w:val="00CF24CA"/>
    <w:rsid w:val="00CF2552"/>
    <w:rsid w:val="00CF26C4"/>
    <w:rsid w:val="00CF27D3"/>
    <w:rsid w:val="00CF29B6"/>
    <w:rsid w:val="00CF2FE9"/>
    <w:rsid w:val="00CF30B9"/>
    <w:rsid w:val="00CF331C"/>
    <w:rsid w:val="00CF3463"/>
    <w:rsid w:val="00CF36C0"/>
    <w:rsid w:val="00CF3720"/>
    <w:rsid w:val="00CF373E"/>
    <w:rsid w:val="00CF38B7"/>
    <w:rsid w:val="00CF38FC"/>
    <w:rsid w:val="00CF3EC8"/>
    <w:rsid w:val="00CF4070"/>
    <w:rsid w:val="00CF4083"/>
    <w:rsid w:val="00CF411A"/>
    <w:rsid w:val="00CF4207"/>
    <w:rsid w:val="00CF42C9"/>
    <w:rsid w:val="00CF43CF"/>
    <w:rsid w:val="00CF458B"/>
    <w:rsid w:val="00CF47BA"/>
    <w:rsid w:val="00CF47C0"/>
    <w:rsid w:val="00CF486C"/>
    <w:rsid w:val="00CF4ABA"/>
    <w:rsid w:val="00CF5353"/>
    <w:rsid w:val="00CF5514"/>
    <w:rsid w:val="00CF5558"/>
    <w:rsid w:val="00CF5569"/>
    <w:rsid w:val="00CF5840"/>
    <w:rsid w:val="00CF5BE6"/>
    <w:rsid w:val="00CF5F55"/>
    <w:rsid w:val="00CF6068"/>
    <w:rsid w:val="00CF6737"/>
    <w:rsid w:val="00CF673F"/>
    <w:rsid w:val="00CF6CD4"/>
    <w:rsid w:val="00CF6F17"/>
    <w:rsid w:val="00CF6F2C"/>
    <w:rsid w:val="00CF70BF"/>
    <w:rsid w:val="00CF7220"/>
    <w:rsid w:val="00CF7415"/>
    <w:rsid w:val="00CF776F"/>
    <w:rsid w:val="00CF7783"/>
    <w:rsid w:val="00CF7D2B"/>
    <w:rsid w:val="00CF7D9E"/>
    <w:rsid w:val="00CF7DE0"/>
    <w:rsid w:val="00D0024C"/>
    <w:rsid w:val="00D004A0"/>
    <w:rsid w:val="00D0060F"/>
    <w:rsid w:val="00D0064E"/>
    <w:rsid w:val="00D006AB"/>
    <w:rsid w:val="00D009F6"/>
    <w:rsid w:val="00D00B3E"/>
    <w:rsid w:val="00D00C63"/>
    <w:rsid w:val="00D00E46"/>
    <w:rsid w:val="00D010EF"/>
    <w:rsid w:val="00D012E3"/>
    <w:rsid w:val="00D01480"/>
    <w:rsid w:val="00D014FE"/>
    <w:rsid w:val="00D0167A"/>
    <w:rsid w:val="00D017F8"/>
    <w:rsid w:val="00D0183A"/>
    <w:rsid w:val="00D01963"/>
    <w:rsid w:val="00D01A51"/>
    <w:rsid w:val="00D01F18"/>
    <w:rsid w:val="00D02962"/>
    <w:rsid w:val="00D02A3A"/>
    <w:rsid w:val="00D02A41"/>
    <w:rsid w:val="00D02DBC"/>
    <w:rsid w:val="00D03302"/>
    <w:rsid w:val="00D03369"/>
    <w:rsid w:val="00D033B4"/>
    <w:rsid w:val="00D03668"/>
    <w:rsid w:val="00D03673"/>
    <w:rsid w:val="00D0390D"/>
    <w:rsid w:val="00D03ADC"/>
    <w:rsid w:val="00D03C6F"/>
    <w:rsid w:val="00D03F75"/>
    <w:rsid w:val="00D040F9"/>
    <w:rsid w:val="00D04505"/>
    <w:rsid w:val="00D04599"/>
    <w:rsid w:val="00D045E4"/>
    <w:rsid w:val="00D04A08"/>
    <w:rsid w:val="00D04A26"/>
    <w:rsid w:val="00D04EA5"/>
    <w:rsid w:val="00D04F04"/>
    <w:rsid w:val="00D05322"/>
    <w:rsid w:val="00D0532E"/>
    <w:rsid w:val="00D054A0"/>
    <w:rsid w:val="00D054CA"/>
    <w:rsid w:val="00D055C0"/>
    <w:rsid w:val="00D05680"/>
    <w:rsid w:val="00D05763"/>
    <w:rsid w:val="00D05B12"/>
    <w:rsid w:val="00D05D0C"/>
    <w:rsid w:val="00D05D2D"/>
    <w:rsid w:val="00D05FA6"/>
    <w:rsid w:val="00D05FED"/>
    <w:rsid w:val="00D060F6"/>
    <w:rsid w:val="00D06189"/>
    <w:rsid w:val="00D0627F"/>
    <w:rsid w:val="00D06307"/>
    <w:rsid w:val="00D063B3"/>
    <w:rsid w:val="00D0654B"/>
    <w:rsid w:val="00D06AF1"/>
    <w:rsid w:val="00D07015"/>
    <w:rsid w:val="00D0703C"/>
    <w:rsid w:val="00D070B0"/>
    <w:rsid w:val="00D072EE"/>
    <w:rsid w:val="00D074CF"/>
    <w:rsid w:val="00D0761C"/>
    <w:rsid w:val="00D076AE"/>
    <w:rsid w:val="00D076E2"/>
    <w:rsid w:val="00D077D6"/>
    <w:rsid w:val="00D07A9D"/>
    <w:rsid w:val="00D07BC6"/>
    <w:rsid w:val="00D10014"/>
    <w:rsid w:val="00D10015"/>
    <w:rsid w:val="00D1008A"/>
    <w:rsid w:val="00D1033C"/>
    <w:rsid w:val="00D1085D"/>
    <w:rsid w:val="00D10B6E"/>
    <w:rsid w:val="00D10D1E"/>
    <w:rsid w:val="00D10D9E"/>
    <w:rsid w:val="00D11102"/>
    <w:rsid w:val="00D11511"/>
    <w:rsid w:val="00D119B4"/>
    <w:rsid w:val="00D119BE"/>
    <w:rsid w:val="00D1225E"/>
    <w:rsid w:val="00D12565"/>
    <w:rsid w:val="00D126FD"/>
    <w:rsid w:val="00D127DC"/>
    <w:rsid w:val="00D12A6C"/>
    <w:rsid w:val="00D12C73"/>
    <w:rsid w:val="00D1300B"/>
    <w:rsid w:val="00D1320B"/>
    <w:rsid w:val="00D1360A"/>
    <w:rsid w:val="00D1380C"/>
    <w:rsid w:val="00D1396E"/>
    <w:rsid w:val="00D139D0"/>
    <w:rsid w:val="00D13CE5"/>
    <w:rsid w:val="00D13D19"/>
    <w:rsid w:val="00D13E41"/>
    <w:rsid w:val="00D13EA8"/>
    <w:rsid w:val="00D13F60"/>
    <w:rsid w:val="00D13FFA"/>
    <w:rsid w:val="00D140E9"/>
    <w:rsid w:val="00D140F7"/>
    <w:rsid w:val="00D141FF"/>
    <w:rsid w:val="00D14269"/>
    <w:rsid w:val="00D1436E"/>
    <w:rsid w:val="00D1446B"/>
    <w:rsid w:val="00D14E39"/>
    <w:rsid w:val="00D14EE1"/>
    <w:rsid w:val="00D14F45"/>
    <w:rsid w:val="00D15383"/>
    <w:rsid w:val="00D15484"/>
    <w:rsid w:val="00D154EB"/>
    <w:rsid w:val="00D15594"/>
    <w:rsid w:val="00D157EA"/>
    <w:rsid w:val="00D15AD8"/>
    <w:rsid w:val="00D16097"/>
    <w:rsid w:val="00D160BE"/>
    <w:rsid w:val="00D161AB"/>
    <w:rsid w:val="00D16575"/>
    <w:rsid w:val="00D165DB"/>
    <w:rsid w:val="00D16787"/>
    <w:rsid w:val="00D167F9"/>
    <w:rsid w:val="00D16ADE"/>
    <w:rsid w:val="00D16BE1"/>
    <w:rsid w:val="00D16FF6"/>
    <w:rsid w:val="00D17049"/>
    <w:rsid w:val="00D1738E"/>
    <w:rsid w:val="00D173ED"/>
    <w:rsid w:val="00D1779D"/>
    <w:rsid w:val="00D1788F"/>
    <w:rsid w:val="00D178AE"/>
    <w:rsid w:val="00D17924"/>
    <w:rsid w:val="00D1796E"/>
    <w:rsid w:val="00D17CF1"/>
    <w:rsid w:val="00D17EA5"/>
    <w:rsid w:val="00D20138"/>
    <w:rsid w:val="00D20184"/>
    <w:rsid w:val="00D20405"/>
    <w:rsid w:val="00D205B3"/>
    <w:rsid w:val="00D2075E"/>
    <w:rsid w:val="00D207C0"/>
    <w:rsid w:val="00D20AD3"/>
    <w:rsid w:val="00D20D69"/>
    <w:rsid w:val="00D20F07"/>
    <w:rsid w:val="00D210CB"/>
    <w:rsid w:val="00D211AF"/>
    <w:rsid w:val="00D2120A"/>
    <w:rsid w:val="00D21395"/>
    <w:rsid w:val="00D213F9"/>
    <w:rsid w:val="00D2146E"/>
    <w:rsid w:val="00D215C2"/>
    <w:rsid w:val="00D216C0"/>
    <w:rsid w:val="00D219FC"/>
    <w:rsid w:val="00D21B4D"/>
    <w:rsid w:val="00D221F3"/>
    <w:rsid w:val="00D22599"/>
    <w:rsid w:val="00D227EB"/>
    <w:rsid w:val="00D2298E"/>
    <w:rsid w:val="00D22C84"/>
    <w:rsid w:val="00D22D83"/>
    <w:rsid w:val="00D22FF1"/>
    <w:rsid w:val="00D23064"/>
    <w:rsid w:val="00D233E3"/>
    <w:rsid w:val="00D234EF"/>
    <w:rsid w:val="00D238BC"/>
    <w:rsid w:val="00D23927"/>
    <w:rsid w:val="00D23A29"/>
    <w:rsid w:val="00D23AEC"/>
    <w:rsid w:val="00D23D1E"/>
    <w:rsid w:val="00D241D3"/>
    <w:rsid w:val="00D249CF"/>
    <w:rsid w:val="00D24A06"/>
    <w:rsid w:val="00D24D12"/>
    <w:rsid w:val="00D24E7C"/>
    <w:rsid w:val="00D2519C"/>
    <w:rsid w:val="00D251D8"/>
    <w:rsid w:val="00D253E1"/>
    <w:rsid w:val="00D25538"/>
    <w:rsid w:val="00D25D08"/>
    <w:rsid w:val="00D26594"/>
    <w:rsid w:val="00D26762"/>
    <w:rsid w:val="00D26BFB"/>
    <w:rsid w:val="00D26CF7"/>
    <w:rsid w:val="00D274FC"/>
    <w:rsid w:val="00D2761D"/>
    <w:rsid w:val="00D27B09"/>
    <w:rsid w:val="00D27BA6"/>
    <w:rsid w:val="00D27C27"/>
    <w:rsid w:val="00D27E2E"/>
    <w:rsid w:val="00D27FA8"/>
    <w:rsid w:val="00D30AF7"/>
    <w:rsid w:val="00D30C06"/>
    <w:rsid w:val="00D30D73"/>
    <w:rsid w:val="00D31330"/>
    <w:rsid w:val="00D3138E"/>
    <w:rsid w:val="00D31650"/>
    <w:rsid w:val="00D31857"/>
    <w:rsid w:val="00D31A9F"/>
    <w:rsid w:val="00D31B48"/>
    <w:rsid w:val="00D320E6"/>
    <w:rsid w:val="00D3245C"/>
    <w:rsid w:val="00D3252B"/>
    <w:rsid w:val="00D328A5"/>
    <w:rsid w:val="00D329FF"/>
    <w:rsid w:val="00D331B6"/>
    <w:rsid w:val="00D3326C"/>
    <w:rsid w:val="00D33323"/>
    <w:rsid w:val="00D33450"/>
    <w:rsid w:val="00D33540"/>
    <w:rsid w:val="00D3372B"/>
    <w:rsid w:val="00D337DF"/>
    <w:rsid w:val="00D33880"/>
    <w:rsid w:val="00D33913"/>
    <w:rsid w:val="00D33A6F"/>
    <w:rsid w:val="00D33B63"/>
    <w:rsid w:val="00D33B87"/>
    <w:rsid w:val="00D33C1A"/>
    <w:rsid w:val="00D3462A"/>
    <w:rsid w:val="00D34746"/>
    <w:rsid w:val="00D34CE2"/>
    <w:rsid w:val="00D34D43"/>
    <w:rsid w:val="00D34ECF"/>
    <w:rsid w:val="00D353F4"/>
    <w:rsid w:val="00D356D5"/>
    <w:rsid w:val="00D358F6"/>
    <w:rsid w:val="00D35931"/>
    <w:rsid w:val="00D35A9C"/>
    <w:rsid w:val="00D3606F"/>
    <w:rsid w:val="00D365D3"/>
    <w:rsid w:val="00D368F0"/>
    <w:rsid w:val="00D36927"/>
    <w:rsid w:val="00D36930"/>
    <w:rsid w:val="00D36981"/>
    <w:rsid w:val="00D36BE0"/>
    <w:rsid w:val="00D36DBB"/>
    <w:rsid w:val="00D379B5"/>
    <w:rsid w:val="00D37B5D"/>
    <w:rsid w:val="00D37B7C"/>
    <w:rsid w:val="00D37C8C"/>
    <w:rsid w:val="00D37CDA"/>
    <w:rsid w:val="00D40121"/>
    <w:rsid w:val="00D40153"/>
    <w:rsid w:val="00D404AD"/>
    <w:rsid w:val="00D40567"/>
    <w:rsid w:val="00D405B2"/>
    <w:rsid w:val="00D4083B"/>
    <w:rsid w:val="00D40A3E"/>
    <w:rsid w:val="00D40AC6"/>
    <w:rsid w:val="00D4148E"/>
    <w:rsid w:val="00D414A0"/>
    <w:rsid w:val="00D41795"/>
    <w:rsid w:val="00D41F21"/>
    <w:rsid w:val="00D4208F"/>
    <w:rsid w:val="00D4215A"/>
    <w:rsid w:val="00D422F2"/>
    <w:rsid w:val="00D423C0"/>
    <w:rsid w:val="00D42456"/>
    <w:rsid w:val="00D4255A"/>
    <w:rsid w:val="00D42A89"/>
    <w:rsid w:val="00D42AE0"/>
    <w:rsid w:val="00D42B4B"/>
    <w:rsid w:val="00D42EED"/>
    <w:rsid w:val="00D42F7B"/>
    <w:rsid w:val="00D432C5"/>
    <w:rsid w:val="00D43420"/>
    <w:rsid w:val="00D43703"/>
    <w:rsid w:val="00D43847"/>
    <w:rsid w:val="00D43AE8"/>
    <w:rsid w:val="00D43DF9"/>
    <w:rsid w:val="00D43E3E"/>
    <w:rsid w:val="00D43E4C"/>
    <w:rsid w:val="00D440BB"/>
    <w:rsid w:val="00D44657"/>
    <w:rsid w:val="00D446A9"/>
    <w:rsid w:val="00D447F9"/>
    <w:rsid w:val="00D44B6B"/>
    <w:rsid w:val="00D44CBD"/>
    <w:rsid w:val="00D44CC1"/>
    <w:rsid w:val="00D44F29"/>
    <w:rsid w:val="00D4515F"/>
    <w:rsid w:val="00D45247"/>
    <w:rsid w:val="00D45465"/>
    <w:rsid w:val="00D45752"/>
    <w:rsid w:val="00D458AC"/>
    <w:rsid w:val="00D45B19"/>
    <w:rsid w:val="00D45ED6"/>
    <w:rsid w:val="00D45FD2"/>
    <w:rsid w:val="00D460B9"/>
    <w:rsid w:val="00D460F4"/>
    <w:rsid w:val="00D4623B"/>
    <w:rsid w:val="00D46299"/>
    <w:rsid w:val="00D46373"/>
    <w:rsid w:val="00D4638C"/>
    <w:rsid w:val="00D4650E"/>
    <w:rsid w:val="00D4654F"/>
    <w:rsid w:val="00D46756"/>
    <w:rsid w:val="00D468D0"/>
    <w:rsid w:val="00D46DC3"/>
    <w:rsid w:val="00D46DF2"/>
    <w:rsid w:val="00D4734A"/>
    <w:rsid w:val="00D4743D"/>
    <w:rsid w:val="00D47542"/>
    <w:rsid w:val="00D47DD4"/>
    <w:rsid w:val="00D50457"/>
    <w:rsid w:val="00D504A9"/>
    <w:rsid w:val="00D50510"/>
    <w:rsid w:val="00D506AB"/>
    <w:rsid w:val="00D50829"/>
    <w:rsid w:val="00D509B8"/>
    <w:rsid w:val="00D50AD7"/>
    <w:rsid w:val="00D50BC9"/>
    <w:rsid w:val="00D50F2E"/>
    <w:rsid w:val="00D510F3"/>
    <w:rsid w:val="00D513D0"/>
    <w:rsid w:val="00D5145F"/>
    <w:rsid w:val="00D514E8"/>
    <w:rsid w:val="00D51851"/>
    <w:rsid w:val="00D51A8E"/>
    <w:rsid w:val="00D51AD2"/>
    <w:rsid w:val="00D51BB5"/>
    <w:rsid w:val="00D51E6A"/>
    <w:rsid w:val="00D51FB7"/>
    <w:rsid w:val="00D5205F"/>
    <w:rsid w:val="00D52430"/>
    <w:rsid w:val="00D52435"/>
    <w:rsid w:val="00D525D0"/>
    <w:rsid w:val="00D526DD"/>
    <w:rsid w:val="00D52707"/>
    <w:rsid w:val="00D52BCD"/>
    <w:rsid w:val="00D52EAD"/>
    <w:rsid w:val="00D52F12"/>
    <w:rsid w:val="00D53195"/>
    <w:rsid w:val="00D531D4"/>
    <w:rsid w:val="00D53379"/>
    <w:rsid w:val="00D5360D"/>
    <w:rsid w:val="00D5396B"/>
    <w:rsid w:val="00D53DF6"/>
    <w:rsid w:val="00D53FBA"/>
    <w:rsid w:val="00D5428D"/>
    <w:rsid w:val="00D5457E"/>
    <w:rsid w:val="00D546E5"/>
    <w:rsid w:val="00D548BD"/>
    <w:rsid w:val="00D54A94"/>
    <w:rsid w:val="00D54AC9"/>
    <w:rsid w:val="00D54ACE"/>
    <w:rsid w:val="00D54D4F"/>
    <w:rsid w:val="00D54D93"/>
    <w:rsid w:val="00D55089"/>
    <w:rsid w:val="00D550DE"/>
    <w:rsid w:val="00D55892"/>
    <w:rsid w:val="00D55C64"/>
    <w:rsid w:val="00D55CFD"/>
    <w:rsid w:val="00D55F1A"/>
    <w:rsid w:val="00D562FE"/>
    <w:rsid w:val="00D565E7"/>
    <w:rsid w:val="00D56815"/>
    <w:rsid w:val="00D5682F"/>
    <w:rsid w:val="00D56B6D"/>
    <w:rsid w:val="00D56CB2"/>
    <w:rsid w:val="00D56EC4"/>
    <w:rsid w:val="00D56FB6"/>
    <w:rsid w:val="00D57180"/>
    <w:rsid w:val="00D571C0"/>
    <w:rsid w:val="00D57595"/>
    <w:rsid w:val="00D57805"/>
    <w:rsid w:val="00D57A20"/>
    <w:rsid w:val="00D57CDA"/>
    <w:rsid w:val="00D57CE9"/>
    <w:rsid w:val="00D600FF"/>
    <w:rsid w:val="00D60253"/>
    <w:rsid w:val="00D60428"/>
    <w:rsid w:val="00D6045A"/>
    <w:rsid w:val="00D60496"/>
    <w:rsid w:val="00D605D7"/>
    <w:rsid w:val="00D6069F"/>
    <w:rsid w:val="00D6076F"/>
    <w:rsid w:val="00D60952"/>
    <w:rsid w:val="00D60979"/>
    <w:rsid w:val="00D60EC1"/>
    <w:rsid w:val="00D61054"/>
    <w:rsid w:val="00D61B01"/>
    <w:rsid w:val="00D61BC7"/>
    <w:rsid w:val="00D61D5B"/>
    <w:rsid w:val="00D61E23"/>
    <w:rsid w:val="00D61E67"/>
    <w:rsid w:val="00D61E8C"/>
    <w:rsid w:val="00D621C4"/>
    <w:rsid w:val="00D6253D"/>
    <w:rsid w:val="00D62922"/>
    <w:rsid w:val="00D62981"/>
    <w:rsid w:val="00D62D9D"/>
    <w:rsid w:val="00D62E85"/>
    <w:rsid w:val="00D63505"/>
    <w:rsid w:val="00D63621"/>
    <w:rsid w:val="00D63626"/>
    <w:rsid w:val="00D6396D"/>
    <w:rsid w:val="00D63AE9"/>
    <w:rsid w:val="00D63B2E"/>
    <w:rsid w:val="00D63BDA"/>
    <w:rsid w:val="00D63C12"/>
    <w:rsid w:val="00D63DE9"/>
    <w:rsid w:val="00D63FBD"/>
    <w:rsid w:val="00D64295"/>
    <w:rsid w:val="00D64585"/>
    <w:rsid w:val="00D647AE"/>
    <w:rsid w:val="00D64B9F"/>
    <w:rsid w:val="00D64C24"/>
    <w:rsid w:val="00D64C46"/>
    <w:rsid w:val="00D64CB0"/>
    <w:rsid w:val="00D6552B"/>
    <w:rsid w:val="00D65684"/>
    <w:rsid w:val="00D65848"/>
    <w:rsid w:val="00D658B3"/>
    <w:rsid w:val="00D65B42"/>
    <w:rsid w:val="00D65C42"/>
    <w:rsid w:val="00D65E75"/>
    <w:rsid w:val="00D65F9E"/>
    <w:rsid w:val="00D66097"/>
    <w:rsid w:val="00D66099"/>
    <w:rsid w:val="00D6678A"/>
    <w:rsid w:val="00D66790"/>
    <w:rsid w:val="00D667E3"/>
    <w:rsid w:val="00D66909"/>
    <w:rsid w:val="00D66952"/>
    <w:rsid w:val="00D66C85"/>
    <w:rsid w:val="00D66D37"/>
    <w:rsid w:val="00D66E76"/>
    <w:rsid w:val="00D66F27"/>
    <w:rsid w:val="00D6702D"/>
    <w:rsid w:val="00D674C6"/>
    <w:rsid w:val="00D67634"/>
    <w:rsid w:val="00D67677"/>
    <w:rsid w:val="00D67966"/>
    <w:rsid w:val="00D67AB5"/>
    <w:rsid w:val="00D67AC2"/>
    <w:rsid w:val="00D67B0C"/>
    <w:rsid w:val="00D67D30"/>
    <w:rsid w:val="00D67E15"/>
    <w:rsid w:val="00D7059C"/>
    <w:rsid w:val="00D705B6"/>
    <w:rsid w:val="00D70BE3"/>
    <w:rsid w:val="00D7106D"/>
    <w:rsid w:val="00D71610"/>
    <w:rsid w:val="00D7169F"/>
    <w:rsid w:val="00D716A2"/>
    <w:rsid w:val="00D716FB"/>
    <w:rsid w:val="00D717CC"/>
    <w:rsid w:val="00D71866"/>
    <w:rsid w:val="00D71AC0"/>
    <w:rsid w:val="00D71C08"/>
    <w:rsid w:val="00D71D82"/>
    <w:rsid w:val="00D71F75"/>
    <w:rsid w:val="00D71FA8"/>
    <w:rsid w:val="00D71FAA"/>
    <w:rsid w:val="00D72076"/>
    <w:rsid w:val="00D72712"/>
    <w:rsid w:val="00D72803"/>
    <w:rsid w:val="00D72994"/>
    <w:rsid w:val="00D72CA1"/>
    <w:rsid w:val="00D73254"/>
    <w:rsid w:val="00D7345D"/>
    <w:rsid w:val="00D73732"/>
    <w:rsid w:val="00D739E5"/>
    <w:rsid w:val="00D73BA2"/>
    <w:rsid w:val="00D73D66"/>
    <w:rsid w:val="00D73E76"/>
    <w:rsid w:val="00D74007"/>
    <w:rsid w:val="00D740F8"/>
    <w:rsid w:val="00D7422A"/>
    <w:rsid w:val="00D7437E"/>
    <w:rsid w:val="00D74430"/>
    <w:rsid w:val="00D746B1"/>
    <w:rsid w:val="00D74A77"/>
    <w:rsid w:val="00D75202"/>
    <w:rsid w:val="00D75513"/>
    <w:rsid w:val="00D75BBF"/>
    <w:rsid w:val="00D75C17"/>
    <w:rsid w:val="00D75C9E"/>
    <w:rsid w:val="00D75F23"/>
    <w:rsid w:val="00D761F6"/>
    <w:rsid w:val="00D763FD"/>
    <w:rsid w:val="00D76711"/>
    <w:rsid w:val="00D76B48"/>
    <w:rsid w:val="00D76B72"/>
    <w:rsid w:val="00D76E5A"/>
    <w:rsid w:val="00D76E88"/>
    <w:rsid w:val="00D76F24"/>
    <w:rsid w:val="00D771FD"/>
    <w:rsid w:val="00D7744D"/>
    <w:rsid w:val="00D7772A"/>
    <w:rsid w:val="00D777EA"/>
    <w:rsid w:val="00D77ACE"/>
    <w:rsid w:val="00D77BDD"/>
    <w:rsid w:val="00D77C4D"/>
    <w:rsid w:val="00D77D49"/>
    <w:rsid w:val="00D77FE6"/>
    <w:rsid w:val="00D8001F"/>
    <w:rsid w:val="00D801A7"/>
    <w:rsid w:val="00D801C6"/>
    <w:rsid w:val="00D8089B"/>
    <w:rsid w:val="00D80B75"/>
    <w:rsid w:val="00D80C03"/>
    <w:rsid w:val="00D81001"/>
    <w:rsid w:val="00D811A1"/>
    <w:rsid w:val="00D8136D"/>
    <w:rsid w:val="00D81FDB"/>
    <w:rsid w:val="00D821D0"/>
    <w:rsid w:val="00D8243E"/>
    <w:rsid w:val="00D8257A"/>
    <w:rsid w:val="00D826AF"/>
    <w:rsid w:val="00D826BB"/>
    <w:rsid w:val="00D826DE"/>
    <w:rsid w:val="00D8282D"/>
    <w:rsid w:val="00D829FB"/>
    <w:rsid w:val="00D830C4"/>
    <w:rsid w:val="00D83D69"/>
    <w:rsid w:val="00D840E4"/>
    <w:rsid w:val="00D8425A"/>
    <w:rsid w:val="00D84360"/>
    <w:rsid w:val="00D84669"/>
    <w:rsid w:val="00D8473F"/>
    <w:rsid w:val="00D8491F"/>
    <w:rsid w:val="00D8495B"/>
    <w:rsid w:val="00D84B8E"/>
    <w:rsid w:val="00D84CE9"/>
    <w:rsid w:val="00D8580B"/>
    <w:rsid w:val="00D8582E"/>
    <w:rsid w:val="00D8597F"/>
    <w:rsid w:val="00D85986"/>
    <w:rsid w:val="00D85A62"/>
    <w:rsid w:val="00D85B0B"/>
    <w:rsid w:val="00D85C01"/>
    <w:rsid w:val="00D85D0E"/>
    <w:rsid w:val="00D85D3F"/>
    <w:rsid w:val="00D85FA3"/>
    <w:rsid w:val="00D85FB3"/>
    <w:rsid w:val="00D86604"/>
    <w:rsid w:val="00D86C9B"/>
    <w:rsid w:val="00D86CDC"/>
    <w:rsid w:val="00D86D63"/>
    <w:rsid w:val="00D86EDD"/>
    <w:rsid w:val="00D871DE"/>
    <w:rsid w:val="00D87380"/>
    <w:rsid w:val="00D874B0"/>
    <w:rsid w:val="00D8765C"/>
    <w:rsid w:val="00D877A3"/>
    <w:rsid w:val="00D87929"/>
    <w:rsid w:val="00D87B53"/>
    <w:rsid w:val="00D87BDA"/>
    <w:rsid w:val="00D87DA4"/>
    <w:rsid w:val="00D87EC9"/>
    <w:rsid w:val="00D90109"/>
    <w:rsid w:val="00D90121"/>
    <w:rsid w:val="00D901E9"/>
    <w:rsid w:val="00D9021F"/>
    <w:rsid w:val="00D902A1"/>
    <w:rsid w:val="00D9059F"/>
    <w:rsid w:val="00D9087A"/>
    <w:rsid w:val="00D90A14"/>
    <w:rsid w:val="00D90AD6"/>
    <w:rsid w:val="00D90CA1"/>
    <w:rsid w:val="00D90E87"/>
    <w:rsid w:val="00D90F73"/>
    <w:rsid w:val="00D91073"/>
    <w:rsid w:val="00D91247"/>
    <w:rsid w:val="00D9132F"/>
    <w:rsid w:val="00D913C6"/>
    <w:rsid w:val="00D915E0"/>
    <w:rsid w:val="00D919DA"/>
    <w:rsid w:val="00D91A86"/>
    <w:rsid w:val="00D91ACE"/>
    <w:rsid w:val="00D91AEF"/>
    <w:rsid w:val="00D91C01"/>
    <w:rsid w:val="00D91CD4"/>
    <w:rsid w:val="00D91D2C"/>
    <w:rsid w:val="00D91ED5"/>
    <w:rsid w:val="00D9210C"/>
    <w:rsid w:val="00D9215A"/>
    <w:rsid w:val="00D92378"/>
    <w:rsid w:val="00D92417"/>
    <w:rsid w:val="00D92795"/>
    <w:rsid w:val="00D92CB7"/>
    <w:rsid w:val="00D93126"/>
    <w:rsid w:val="00D931DB"/>
    <w:rsid w:val="00D932AF"/>
    <w:rsid w:val="00D93566"/>
    <w:rsid w:val="00D93725"/>
    <w:rsid w:val="00D93928"/>
    <w:rsid w:val="00D93A58"/>
    <w:rsid w:val="00D93D52"/>
    <w:rsid w:val="00D93E12"/>
    <w:rsid w:val="00D93EBA"/>
    <w:rsid w:val="00D941D7"/>
    <w:rsid w:val="00D942A1"/>
    <w:rsid w:val="00D94349"/>
    <w:rsid w:val="00D94505"/>
    <w:rsid w:val="00D94757"/>
    <w:rsid w:val="00D94CA5"/>
    <w:rsid w:val="00D94F0E"/>
    <w:rsid w:val="00D94F30"/>
    <w:rsid w:val="00D9596A"/>
    <w:rsid w:val="00D95A30"/>
    <w:rsid w:val="00D95AE4"/>
    <w:rsid w:val="00D95D04"/>
    <w:rsid w:val="00D95DD4"/>
    <w:rsid w:val="00D9603B"/>
    <w:rsid w:val="00D96203"/>
    <w:rsid w:val="00D9653A"/>
    <w:rsid w:val="00D96683"/>
    <w:rsid w:val="00D9686D"/>
    <w:rsid w:val="00D9696A"/>
    <w:rsid w:val="00D96979"/>
    <w:rsid w:val="00D96B36"/>
    <w:rsid w:val="00D96D7C"/>
    <w:rsid w:val="00D96F97"/>
    <w:rsid w:val="00D96FB2"/>
    <w:rsid w:val="00D96FCE"/>
    <w:rsid w:val="00D9705B"/>
    <w:rsid w:val="00D970FF"/>
    <w:rsid w:val="00D97139"/>
    <w:rsid w:val="00D9718C"/>
    <w:rsid w:val="00D97439"/>
    <w:rsid w:val="00D978B8"/>
    <w:rsid w:val="00D97EE2"/>
    <w:rsid w:val="00D97F29"/>
    <w:rsid w:val="00DA02C2"/>
    <w:rsid w:val="00DA0336"/>
    <w:rsid w:val="00DA05AD"/>
    <w:rsid w:val="00DA067A"/>
    <w:rsid w:val="00DA073E"/>
    <w:rsid w:val="00DA0871"/>
    <w:rsid w:val="00DA098C"/>
    <w:rsid w:val="00DA0ADF"/>
    <w:rsid w:val="00DA0B17"/>
    <w:rsid w:val="00DA0CFC"/>
    <w:rsid w:val="00DA0D0D"/>
    <w:rsid w:val="00DA114A"/>
    <w:rsid w:val="00DA146A"/>
    <w:rsid w:val="00DA147B"/>
    <w:rsid w:val="00DA16A4"/>
    <w:rsid w:val="00DA178F"/>
    <w:rsid w:val="00DA1A81"/>
    <w:rsid w:val="00DA1A88"/>
    <w:rsid w:val="00DA1ADE"/>
    <w:rsid w:val="00DA1D72"/>
    <w:rsid w:val="00DA1FFB"/>
    <w:rsid w:val="00DA2436"/>
    <w:rsid w:val="00DA24E3"/>
    <w:rsid w:val="00DA25A9"/>
    <w:rsid w:val="00DA2653"/>
    <w:rsid w:val="00DA2BF3"/>
    <w:rsid w:val="00DA2E6B"/>
    <w:rsid w:val="00DA3056"/>
    <w:rsid w:val="00DA30D7"/>
    <w:rsid w:val="00DA3221"/>
    <w:rsid w:val="00DA3C39"/>
    <w:rsid w:val="00DA4287"/>
    <w:rsid w:val="00DA4407"/>
    <w:rsid w:val="00DA4929"/>
    <w:rsid w:val="00DA4950"/>
    <w:rsid w:val="00DA4997"/>
    <w:rsid w:val="00DA4D18"/>
    <w:rsid w:val="00DA4E0D"/>
    <w:rsid w:val="00DA509C"/>
    <w:rsid w:val="00DA5181"/>
    <w:rsid w:val="00DA556C"/>
    <w:rsid w:val="00DA5575"/>
    <w:rsid w:val="00DA56AB"/>
    <w:rsid w:val="00DA5897"/>
    <w:rsid w:val="00DA633F"/>
    <w:rsid w:val="00DA661B"/>
    <w:rsid w:val="00DA6954"/>
    <w:rsid w:val="00DA6A12"/>
    <w:rsid w:val="00DA6AD6"/>
    <w:rsid w:val="00DA6C91"/>
    <w:rsid w:val="00DA6E5A"/>
    <w:rsid w:val="00DA6F2A"/>
    <w:rsid w:val="00DA6F70"/>
    <w:rsid w:val="00DA70BC"/>
    <w:rsid w:val="00DA728E"/>
    <w:rsid w:val="00DA7368"/>
    <w:rsid w:val="00DA73DA"/>
    <w:rsid w:val="00DA7551"/>
    <w:rsid w:val="00DA76FA"/>
    <w:rsid w:val="00DA78E3"/>
    <w:rsid w:val="00DA7C3A"/>
    <w:rsid w:val="00DA7DCE"/>
    <w:rsid w:val="00DA7F82"/>
    <w:rsid w:val="00DA7F9C"/>
    <w:rsid w:val="00DB0203"/>
    <w:rsid w:val="00DB043C"/>
    <w:rsid w:val="00DB0888"/>
    <w:rsid w:val="00DB0C2A"/>
    <w:rsid w:val="00DB0CC5"/>
    <w:rsid w:val="00DB10A9"/>
    <w:rsid w:val="00DB11A7"/>
    <w:rsid w:val="00DB140A"/>
    <w:rsid w:val="00DB14EB"/>
    <w:rsid w:val="00DB17D0"/>
    <w:rsid w:val="00DB1B3C"/>
    <w:rsid w:val="00DB1EE0"/>
    <w:rsid w:val="00DB20B2"/>
    <w:rsid w:val="00DB2354"/>
    <w:rsid w:val="00DB26BE"/>
    <w:rsid w:val="00DB288D"/>
    <w:rsid w:val="00DB2AE8"/>
    <w:rsid w:val="00DB2B49"/>
    <w:rsid w:val="00DB2BC6"/>
    <w:rsid w:val="00DB2E7F"/>
    <w:rsid w:val="00DB2F3C"/>
    <w:rsid w:val="00DB3134"/>
    <w:rsid w:val="00DB31CA"/>
    <w:rsid w:val="00DB328C"/>
    <w:rsid w:val="00DB32A3"/>
    <w:rsid w:val="00DB3581"/>
    <w:rsid w:val="00DB3710"/>
    <w:rsid w:val="00DB3949"/>
    <w:rsid w:val="00DB395D"/>
    <w:rsid w:val="00DB3A67"/>
    <w:rsid w:val="00DB3E49"/>
    <w:rsid w:val="00DB41B7"/>
    <w:rsid w:val="00DB4256"/>
    <w:rsid w:val="00DB4357"/>
    <w:rsid w:val="00DB43E6"/>
    <w:rsid w:val="00DB460F"/>
    <w:rsid w:val="00DB4A13"/>
    <w:rsid w:val="00DB4C2F"/>
    <w:rsid w:val="00DB5076"/>
    <w:rsid w:val="00DB512B"/>
    <w:rsid w:val="00DB5369"/>
    <w:rsid w:val="00DB544C"/>
    <w:rsid w:val="00DB54A5"/>
    <w:rsid w:val="00DB5638"/>
    <w:rsid w:val="00DB5650"/>
    <w:rsid w:val="00DB5680"/>
    <w:rsid w:val="00DB5AA7"/>
    <w:rsid w:val="00DB5CA5"/>
    <w:rsid w:val="00DB5DD7"/>
    <w:rsid w:val="00DB617D"/>
    <w:rsid w:val="00DB6316"/>
    <w:rsid w:val="00DB6325"/>
    <w:rsid w:val="00DB6487"/>
    <w:rsid w:val="00DB656C"/>
    <w:rsid w:val="00DB6A2E"/>
    <w:rsid w:val="00DB6DAA"/>
    <w:rsid w:val="00DB6DD1"/>
    <w:rsid w:val="00DB748F"/>
    <w:rsid w:val="00DB75C1"/>
    <w:rsid w:val="00DB7624"/>
    <w:rsid w:val="00DB76EA"/>
    <w:rsid w:val="00DB78FA"/>
    <w:rsid w:val="00DB7C2B"/>
    <w:rsid w:val="00DB7E7B"/>
    <w:rsid w:val="00DB7F9E"/>
    <w:rsid w:val="00DC02A2"/>
    <w:rsid w:val="00DC040C"/>
    <w:rsid w:val="00DC0636"/>
    <w:rsid w:val="00DC0715"/>
    <w:rsid w:val="00DC07FD"/>
    <w:rsid w:val="00DC0AC3"/>
    <w:rsid w:val="00DC0C07"/>
    <w:rsid w:val="00DC0C67"/>
    <w:rsid w:val="00DC0E1B"/>
    <w:rsid w:val="00DC1175"/>
    <w:rsid w:val="00DC124A"/>
    <w:rsid w:val="00DC1836"/>
    <w:rsid w:val="00DC1BA1"/>
    <w:rsid w:val="00DC1BB0"/>
    <w:rsid w:val="00DC1D6B"/>
    <w:rsid w:val="00DC1E65"/>
    <w:rsid w:val="00DC2191"/>
    <w:rsid w:val="00DC2328"/>
    <w:rsid w:val="00DC2795"/>
    <w:rsid w:val="00DC28FE"/>
    <w:rsid w:val="00DC290C"/>
    <w:rsid w:val="00DC29B1"/>
    <w:rsid w:val="00DC2CB0"/>
    <w:rsid w:val="00DC2D07"/>
    <w:rsid w:val="00DC2F42"/>
    <w:rsid w:val="00DC2F5E"/>
    <w:rsid w:val="00DC3096"/>
    <w:rsid w:val="00DC3158"/>
    <w:rsid w:val="00DC33B4"/>
    <w:rsid w:val="00DC343A"/>
    <w:rsid w:val="00DC3543"/>
    <w:rsid w:val="00DC35FF"/>
    <w:rsid w:val="00DC3627"/>
    <w:rsid w:val="00DC383F"/>
    <w:rsid w:val="00DC3B36"/>
    <w:rsid w:val="00DC3D8F"/>
    <w:rsid w:val="00DC44EE"/>
    <w:rsid w:val="00DC4835"/>
    <w:rsid w:val="00DC4B8C"/>
    <w:rsid w:val="00DC4D35"/>
    <w:rsid w:val="00DC4D83"/>
    <w:rsid w:val="00DC57AB"/>
    <w:rsid w:val="00DC57E0"/>
    <w:rsid w:val="00DC59C2"/>
    <w:rsid w:val="00DC5B91"/>
    <w:rsid w:val="00DC5B9E"/>
    <w:rsid w:val="00DC5EA9"/>
    <w:rsid w:val="00DC5F0D"/>
    <w:rsid w:val="00DC66E2"/>
    <w:rsid w:val="00DC6796"/>
    <w:rsid w:val="00DC686A"/>
    <w:rsid w:val="00DC69CB"/>
    <w:rsid w:val="00DC6A5F"/>
    <w:rsid w:val="00DC6ABE"/>
    <w:rsid w:val="00DC6B05"/>
    <w:rsid w:val="00DC6B13"/>
    <w:rsid w:val="00DC6E58"/>
    <w:rsid w:val="00DC6EC1"/>
    <w:rsid w:val="00DC71E2"/>
    <w:rsid w:val="00DC7225"/>
    <w:rsid w:val="00DC73E9"/>
    <w:rsid w:val="00DC7489"/>
    <w:rsid w:val="00DC7542"/>
    <w:rsid w:val="00DC7647"/>
    <w:rsid w:val="00DC7657"/>
    <w:rsid w:val="00DC76C4"/>
    <w:rsid w:val="00DC76FF"/>
    <w:rsid w:val="00DC78B7"/>
    <w:rsid w:val="00DC7920"/>
    <w:rsid w:val="00DC7936"/>
    <w:rsid w:val="00DC7E83"/>
    <w:rsid w:val="00DC7E9F"/>
    <w:rsid w:val="00DC7EC6"/>
    <w:rsid w:val="00DC7FDB"/>
    <w:rsid w:val="00DD0162"/>
    <w:rsid w:val="00DD0170"/>
    <w:rsid w:val="00DD02F4"/>
    <w:rsid w:val="00DD042D"/>
    <w:rsid w:val="00DD061C"/>
    <w:rsid w:val="00DD0C97"/>
    <w:rsid w:val="00DD0D43"/>
    <w:rsid w:val="00DD1021"/>
    <w:rsid w:val="00DD1174"/>
    <w:rsid w:val="00DD136D"/>
    <w:rsid w:val="00DD13A0"/>
    <w:rsid w:val="00DD147B"/>
    <w:rsid w:val="00DD148A"/>
    <w:rsid w:val="00DD1A39"/>
    <w:rsid w:val="00DD1E27"/>
    <w:rsid w:val="00DD1E89"/>
    <w:rsid w:val="00DD216D"/>
    <w:rsid w:val="00DD2243"/>
    <w:rsid w:val="00DD25E6"/>
    <w:rsid w:val="00DD2618"/>
    <w:rsid w:val="00DD261A"/>
    <w:rsid w:val="00DD2F97"/>
    <w:rsid w:val="00DD32C3"/>
    <w:rsid w:val="00DD36BC"/>
    <w:rsid w:val="00DD3701"/>
    <w:rsid w:val="00DD3CC8"/>
    <w:rsid w:val="00DD3F31"/>
    <w:rsid w:val="00DD4020"/>
    <w:rsid w:val="00DD412F"/>
    <w:rsid w:val="00DD429C"/>
    <w:rsid w:val="00DD42AD"/>
    <w:rsid w:val="00DD4551"/>
    <w:rsid w:val="00DD4656"/>
    <w:rsid w:val="00DD4870"/>
    <w:rsid w:val="00DD496E"/>
    <w:rsid w:val="00DD4B29"/>
    <w:rsid w:val="00DD4DBC"/>
    <w:rsid w:val="00DD4E22"/>
    <w:rsid w:val="00DD4F05"/>
    <w:rsid w:val="00DD519E"/>
    <w:rsid w:val="00DD531E"/>
    <w:rsid w:val="00DD55A8"/>
    <w:rsid w:val="00DD5AA8"/>
    <w:rsid w:val="00DD5AF1"/>
    <w:rsid w:val="00DD5B30"/>
    <w:rsid w:val="00DD5BC2"/>
    <w:rsid w:val="00DD5C93"/>
    <w:rsid w:val="00DD63A1"/>
    <w:rsid w:val="00DD64DE"/>
    <w:rsid w:val="00DD69D0"/>
    <w:rsid w:val="00DD6BEC"/>
    <w:rsid w:val="00DD6E63"/>
    <w:rsid w:val="00DD7017"/>
    <w:rsid w:val="00DD74F7"/>
    <w:rsid w:val="00DD7705"/>
    <w:rsid w:val="00DD783B"/>
    <w:rsid w:val="00DD7B5F"/>
    <w:rsid w:val="00DD7D86"/>
    <w:rsid w:val="00DD7DD5"/>
    <w:rsid w:val="00DD7FD8"/>
    <w:rsid w:val="00DE0069"/>
    <w:rsid w:val="00DE018A"/>
    <w:rsid w:val="00DE037D"/>
    <w:rsid w:val="00DE03C7"/>
    <w:rsid w:val="00DE0549"/>
    <w:rsid w:val="00DE05EA"/>
    <w:rsid w:val="00DE0888"/>
    <w:rsid w:val="00DE08AE"/>
    <w:rsid w:val="00DE0A62"/>
    <w:rsid w:val="00DE0E10"/>
    <w:rsid w:val="00DE0FAE"/>
    <w:rsid w:val="00DE1083"/>
    <w:rsid w:val="00DE1667"/>
    <w:rsid w:val="00DE1779"/>
    <w:rsid w:val="00DE1844"/>
    <w:rsid w:val="00DE1882"/>
    <w:rsid w:val="00DE18A0"/>
    <w:rsid w:val="00DE191A"/>
    <w:rsid w:val="00DE1969"/>
    <w:rsid w:val="00DE1ADC"/>
    <w:rsid w:val="00DE1CA1"/>
    <w:rsid w:val="00DE204E"/>
    <w:rsid w:val="00DE2346"/>
    <w:rsid w:val="00DE267A"/>
    <w:rsid w:val="00DE2868"/>
    <w:rsid w:val="00DE2BA7"/>
    <w:rsid w:val="00DE2D15"/>
    <w:rsid w:val="00DE2EB2"/>
    <w:rsid w:val="00DE33A8"/>
    <w:rsid w:val="00DE36D0"/>
    <w:rsid w:val="00DE3844"/>
    <w:rsid w:val="00DE3915"/>
    <w:rsid w:val="00DE404C"/>
    <w:rsid w:val="00DE42E4"/>
    <w:rsid w:val="00DE4304"/>
    <w:rsid w:val="00DE4488"/>
    <w:rsid w:val="00DE44B5"/>
    <w:rsid w:val="00DE46DD"/>
    <w:rsid w:val="00DE472F"/>
    <w:rsid w:val="00DE48D8"/>
    <w:rsid w:val="00DE4925"/>
    <w:rsid w:val="00DE4A78"/>
    <w:rsid w:val="00DE4B1A"/>
    <w:rsid w:val="00DE4B70"/>
    <w:rsid w:val="00DE4D03"/>
    <w:rsid w:val="00DE5075"/>
    <w:rsid w:val="00DE52DF"/>
    <w:rsid w:val="00DE53C4"/>
    <w:rsid w:val="00DE55F0"/>
    <w:rsid w:val="00DE58D5"/>
    <w:rsid w:val="00DE5A94"/>
    <w:rsid w:val="00DE5D96"/>
    <w:rsid w:val="00DE60C6"/>
    <w:rsid w:val="00DE6278"/>
    <w:rsid w:val="00DE6361"/>
    <w:rsid w:val="00DE63FB"/>
    <w:rsid w:val="00DE67FD"/>
    <w:rsid w:val="00DE6861"/>
    <w:rsid w:val="00DE69C5"/>
    <w:rsid w:val="00DE6F32"/>
    <w:rsid w:val="00DE7139"/>
    <w:rsid w:val="00DE716B"/>
    <w:rsid w:val="00DE74D6"/>
    <w:rsid w:val="00DE7782"/>
    <w:rsid w:val="00DE7999"/>
    <w:rsid w:val="00DE7C66"/>
    <w:rsid w:val="00DE7D04"/>
    <w:rsid w:val="00DE7DFF"/>
    <w:rsid w:val="00DF01DF"/>
    <w:rsid w:val="00DF0956"/>
    <w:rsid w:val="00DF09BB"/>
    <w:rsid w:val="00DF0AE3"/>
    <w:rsid w:val="00DF0BB9"/>
    <w:rsid w:val="00DF0C5B"/>
    <w:rsid w:val="00DF0CA7"/>
    <w:rsid w:val="00DF0D43"/>
    <w:rsid w:val="00DF10CA"/>
    <w:rsid w:val="00DF1162"/>
    <w:rsid w:val="00DF1218"/>
    <w:rsid w:val="00DF1437"/>
    <w:rsid w:val="00DF1724"/>
    <w:rsid w:val="00DF17DC"/>
    <w:rsid w:val="00DF1A4C"/>
    <w:rsid w:val="00DF1BBE"/>
    <w:rsid w:val="00DF1F26"/>
    <w:rsid w:val="00DF1FF2"/>
    <w:rsid w:val="00DF2045"/>
    <w:rsid w:val="00DF2812"/>
    <w:rsid w:val="00DF2AEC"/>
    <w:rsid w:val="00DF2C76"/>
    <w:rsid w:val="00DF2CC4"/>
    <w:rsid w:val="00DF2CFD"/>
    <w:rsid w:val="00DF2E5F"/>
    <w:rsid w:val="00DF2F9E"/>
    <w:rsid w:val="00DF2FA6"/>
    <w:rsid w:val="00DF3003"/>
    <w:rsid w:val="00DF32BE"/>
    <w:rsid w:val="00DF32C9"/>
    <w:rsid w:val="00DF343C"/>
    <w:rsid w:val="00DF37C1"/>
    <w:rsid w:val="00DF38E7"/>
    <w:rsid w:val="00DF3948"/>
    <w:rsid w:val="00DF3B52"/>
    <w:rsid w:val="00DF3B63"/>
    <w:rsid w:val="00DF3D41"/>
    <w:rsid w:val="00DF3FB0"/>
    <w:rsid w:val="00DF3FE4"/>
    <w:rsid w:val="00DF444E"/>
    <w:rsid w:val="00DF4544"/>
    <w:rsid w:val="00DF475F"/>
    <w:rsid w:val="00DF4868"/>
    <w:rsid w:val="00DF4967"/>
    <w:rsid w:val="00DF50B4"/>
    <w:rsid w:val="00DF5231"/>
    <w:rsid w:val="00DF5B19"/>
    <w:rsid w:val="00DF5EFB"/>
    <w:rsid w:val="00DF6371"/>
    <w:rsid w:val="00DF6828"/>
    <w:rsid w:val="00DF6A89"/>
    <w:rsid w:val="00DF6E3A"/>
    <w:rsid w:val="00DF6FB5"/>
    <w:rsid w:val="00DF72DA"/>
    <w:rsid w:val="00DF7370"/>
    <w:rsid w:val="00DF738E"/>
    <w:rsid w:val="00DF73DD"/>
    <w:rsid w:val="00DF74C2"/>
    <w:rsid w:val="00DF75E4"/>
    <w:rsid w:val="00DF761A"/>
    <w:rsid w:val="00DF763A"/>
    <w:rsid w:val="00DF79A5"/>
    <w:rsid w:val="00DF7AB7"/>
    <w:rsid w:val="00DF7C6D"/>
    <w:rsid w:val="00DF7D37"/>
    <w:rsid w:val="00DF7E04"/>
    <w:rsid w:val="00E00036"/>
    <w:rsid w:val="00E00143"/>
    <w:rsid w:val="00E001B1"/>
    <w:rsid w:val="00E00270"/>
    <w:rsid w:val="00E00351"/>
    <w:rsid w:val="00E004B7"/>
    <w:rsid w:val="00E004F2"/>
    <w:rsid w:val="00E0063B"/>
    <w:rsid w:val="00E00647"/>
    <w:rsid w:val="00E008D8"/>
    <w:rsid w:val="00E00C0D"/>
    <w:rsid w:val="00E00CC2"/>
    <w:rsid w:val="00E00EA5"/>
    <w:rsid w:val="00E01087"/>
    <w:rsid w:val="00E010AC"/>
    <w:rsid w:val="00E0143D"/>
    <w:rsid w:val="00E01542"/>
    <w:rsid w:val="00E01854"/>
    <w:rsid w:val="00E018FB"/>
    <w:rsid w:val="00E019DB"/>
    <w:rsid w:val="00E01CF4"/>
    <w:rsid w:val="00E01D1D"/>
    <w:rsid w:val="00E01E96"/>
    <w:rsid w:val="00E0230B"/>
    <w:rsid w:val="00E025DE"/>
    <w:rsid w:val="00E02696"/>
    <w:rsid w:val="00E027D1"/>
    <w:rsid w:val="00E02AC2"/>
    <w:rsid w:val="00E02AF8"/>
    <w:rsid w:val="00E02B24"/>
    <w:rsid w:val="00E02C3C"/>
    <w:rsid w:val="00E02ECB"/>
    <w:rsid w:val="00E0302C"/>
    <w:rsid w:val="00E03072"/>
    <w:rsid w:val="00E0324A"/>
    <w:rsid w:val="00E03325"/>
    <w:rsid w:val="00E0360E"/>
    <w:rsid w:val="00E0439E"/>
    <w:rsid w:val="00E043E7"/>
    <w:rsid w:val="00E04645"/>
    <w:rsid w:val="00E048DB"/>
    <w:rsid w:val="00E04A04"/>
    <w:rsid w:val="00E04A0A"/>
    <w:rsid w:val="00E04A71"/>
    <w:rsid w:val="00E04C60"/>
    <w:rsid w:val="00E04C6C"/>
    <w:rsid w:val="00E04C90"/>
    <w:rsid w:val="00E04CB8"/>
    <w:rsid w:val="00E04EAB"/>
    <w:rsid w:val="00E0510A"/>
    <w:rsid w:val="00E052F0"/>
    <w:rsid w:val="00E05385"/>
    <w:rsid w:val="00E054DA"/>
    <w:rsid w:val="00E05857"/>
    <w:rsid w:val="00E05B9D"/>
    <w:rsid w:val="00E05E50"/>
    <w:rsid w:val="00E0630A"/>
    <w:rsid w:val="00E066DA"/>
    <w:rsid w:val="00E06C0C"/>
    <w:rsid w:val="00E06E32"/>
    <w:rsid w:val="00E07077"/>
    <w:rsid w:val="00E0707E"/>
    <w:rsid w:val="00E070A0"/>
    <w:rsid w:val="00E07511"/>
    <w:rsid w:val="00E07800"/>
    <w:rsid w:val="00E07804"/>
    <w:rsid w:val="00E0788E"/>
    <w:rsid w:val="00E07F3F"/>
    <w:rsid w:val="00E07FE0"/>
    <w:rsid w:val="00E100C1"/>
    <w:rsid w:val="00E10D86"/>
    <w:rsid w:val="00E10FF6"/>
    <w:rsid w:val="00E11039"/>
    <w:rsid w:val="00E11296"/>
    <w:rsid w:val="00E11395"/>
    <w:rsid w:val="00E113FD"/>
    <w:rsid w:val="00E115EE"/>
    <w:rsid w:val="00E115F7"/>
    <w:rsid w:val="00E118CC"/>
    <w:rsid w:val="00E11992"/>
    <w:rsid w:val="00E11AE3"/>
    <w:rsid w:val="00E11C24"/>
    <w:rsid w:val="00E11C64"/>
    <w:rsid w:val="00E12077"/>
    <w:rsid w:val="00E12205"/>
    <w:rsid w:val="00E12440"/>
    <w:rsid w:val="00E125FA"/>
    <w:rsid w:val="00E12881"/>
    <w:rsid w:val="00E128D9"/>
    <w:rsid w:val="00E12965"/>
    <w:rsid w:val="00E12C06"/>
    <w:rsid w:val="00E12E18"/>
    <w:rsid w:val="00E12E62"/>
    <w:rsid w:val="00E132BD"/>
    <w:rsid w:val="00E132DD"/>
    <w:rsid w:val="00E1339A"/>
    <w:rsid w:val="00E134D2"/>
    <w:rsid w:val="00E134DD"/>
    <w:rsid w:val="00E13561"/>
    <w:rsid w:val="00E1360E"/>
    <w:rsid w:val="00E138AD"/>
    <w:rsid w:val="00E13C4F"/>
    <w:rsid w:val="00E13D80"/>
    <w:rsid w:val="00E13F5D"/>
    <w:rsid w:val="00E1434C"/>
    <w:rsid w:val="00E1435F"/>
    <w:rsid w:val="00E1476C"/>
    <w:rsid w:val="00E14905"/>
    <w:rsid w:val="00E14B49"/>
    <w:rsid w:val="00E14F44"/>
    <w:rsid w:val="00E14FAE"/>
    <w:rsid w:val="00E1508A"/>
    <w:rsid w:val="00E1510C"/>
    <w:rsid w:val="00E15249"/>
    <w:rsid w:val="00E155BA"/>
    <w:rsid w:val="00E155CA"/>
    <w:rsid w:val="00E15683"/>
    <w:rsid w:val="00E15D66"/>
    <w:rsid w:val="00E15FC8"/>
    <w:rsid w:val="00E1612F"/>
    <w:rsid w:val="00E166BE"/>
    <w:rsid w:val="00E16713"/>
    <w:rsid w:val="00E16996"/>
    <w:rsid w:val="00E16A2D"/>
    <w:rsid w:val="00E16A96"/>
    <w:rsid w:val="00E16D1F"/>
    <w:rsid w:val="00E16D2C"/>
    <w:rsid w:val="00E16F7D"/>
    <w:rsid w:val="00E1701B"/>
    <w:rsid w:val="00E17154"/>
    <w:rsid w:val="00E173AC"/>
    <w:rsid w:val="00E17424"/>
    <w:rsid w:val="00E175E9"/>
    <w:rsid w:val="00E176C2"/>
    <w:rsid w:val="00E176E3"/>
    <w:rsid w:val="00E17C11"/>
    <w:rsid w:val="00E180F3"/>
    <w:rsid w:val="00E20185"/>
    <w:rsid w:val="00E202B5"/>
    <w:rsid w:val="00E2054E"/>
    <w:rsid w:val="00E20E96"/>
    <w:rsid w:val="00E20FE7"/>
    <w:rsid w:val="00E211B4"/>
    <w:rsid w:val="00E211C9"/>
    <w:rsid w:val="00E21244"/>
    <w:rsid w:val="00E21313"/>
    <w:rsid w:val="00E21347"/>
    <w:rsid w:val="00E21428"/>
    <w:rsid w:val="00E2173E"/>
    <w:rsid w:val="00E217A7"/>
    <w:rsid w:val="00E21B0D"/>
    <w:rsid w:val="00E21DC0"/>
    <w:rsid w:val="00E22184"/>
    <w:rsid w:val="00E221F8"/>
    <w:rsid w:val="00E2220A"/>
    <w:rsid w:val="00E22433"/>
    <w:rsid w:val="00E2251B"/>
    <w:rsid w:val="00E2264A"/>
    <w:rsid w:val="00E228D5"/>
    <w:rsid w:val="00E22C84"/>
    <w:rsid w:val="00E22D92"/>
    <w:rsid w:val="00E22D94"/>
    <w:rsid w:val="00E2345F"/>
    <w:rsid w:val="00E23629"/>
    <w:rsid w:val="00E236D9"/>
    <w:rsid w:val="00E236DB"/>
    <w:rsid w:val="00E23769"/>
    <w:rsid w:val="00E2384A"/>
    <w:rsid w:val="00E23EE9"/>
    <w:rsid w:val="00E241A0"/>
    <w:rsid w:val="00E24340"/>
    <w:rsid w:val="00E24AC5"/>
    <w:rsid w:val="00E24C3A"/>
    <w:rsid w:val="00E24D65"/>
    <w:rsid w:val="00E24F2B"/>
    <w:rsid w:val="00E2524E"/>
    <w:rsid w:val="00E2526D"/>
    <w:rsid w:val="00E252B2"/>
    <w:rsid w:val="00E25550"/>
    <w:rsid w:val="00E258A0"/>
    <w:rsid w:val="00E25995"/>
    <w:rsid w:val="00E259B3"/>
    <w:rsid w:val="00E259D6"/>
    <w:rsid w:val="00E25A7C"/>
    <w:rsid w:val="00E25C92"/>
    <w:rsid w:val="00E25D00"/>
    <w:rsid w:val="00E25DB3"/>
    <w:rsid w:val="00E25E78"/>
    <w:rsid w:val="00E25FFE"/>
    <w:rsid w:val="00E2602B"/>
    <w:rsid w:val="00E2636A"/>
    <w:rsid w:val="00E26727"/>
    <w:rsid w:val="00E2672A"/>
    <w:rsid w:val="00E26796"/>
    <w:rsid w:val="00E26855"/>
    <w:rsid w:val="00E26D9C"/>
    <w:rsid w:val="00E26E96"/>
    <w:rsid w:val="00E2723C"/>
    <w:rsid w:val="00E273DE"/>
    <w:rsid w:val="00E2756F"/>
    <w:rsid w:val="00E27592"/>
    <w:rsid w:val="00E27612"/>
    <w:rsid w:val="00E2787A"/>
    <w:rsid w:val="00E27944"/>
    <w:rsid w:val="00E27A5F"/>
    <w:rsid w:val="00E27B0A"/>
    <w:rsid w:val="00E27B3E"/>
    <w:rsid w:val="00E27D7A"/>
    <w:rsid w:val="00E30128"/>
    <w:rsid w:val="00E3034B"/>
    <w:rsid w:val="00E303EB"/>
    <w:rsid w:val="00E3042B"/>
    <w:rsid w:val="00E30757"/>
    <w:rsid w:val="00E308F7"/>
    <w:rsid w:val="00E30A67"/>
    <w:rsid w:val="00E30D29"/>
    <w:rsid w:val="00E30DA3"/>
    <w:rsid w:val="00E3100F"/>
    <w:rsid w:val="00E31198"/>
    <w:rsid w:val="00E311BC"/>
    <w:rsid w:val="00E31336"/>
    <w:rsid w:val="00E314AE"/>
    <w:rsid w:val="00E31A25"/>
    <w:rsid w:val="00E31A4C"/>
    <w:rsid w:val="00E31A68"/>
    <w:rsid w:val="00E31F84"/>
    <w:rsid w:val="00E32103"/>
    <w:rsid w:val="00E32222"/>
    <w:rsid w:val="00E32288"/>
    <w:rsid w:val="00E3240D"/>
    <w:rsid w:val="00E3264E"/>
    <w:rsid w:val="00E326FC"/>
    <w:rsid w:val="00E32764"/>
    <w:rsid w:val="00E327B6"/>
    <w:rsid w:val="00E327C3"/>
    <w:rsid w:val="00E32A63"/>
    <w:rsid w:val="00E32AF8"/>
    <w:rsid w:val="00E330C9"/>
    <w:rsid w:val="00E33353"/>
    <w:rsid w:val="00E3347C"/>
    <w:rsid w:val="00E334C8"/>
    <w:rsid w:val="00E33655"/>
    <w:rsid w:val="00E336D1"/>
    <w:rsid w:val="00E336F7"/>
    <w:rsid w:val="00E33743"/>
    <w:rsid w:val="00E339AB"/>
    <w:rsid w:val="00E33C2F"/>
    <w:rsid w:val="00E33EF7"/>
    <w:rsid w:val="00E34372"/>
    <w:rsid w:val="00E346FA"/>
    <w:rsid w:val="00E3495B"/>
    <w:rsid w:val="00E34F01"/>
    <w:rsid w:val="00E34F3F"/>
    <w:rsid w:val="00E350F8"/>
    <w:rsid w:val="00E35243"/>
    <w:rsid w:val="00E352D1"/>
    <w:rsid w:val="00E3573F"/>
    <w:rsid w:val="00E35C79"/>
    <w:rsid w:val="00E35E0D"/>
    <w:rsid w:val="00E3617A"/>
    <w:rsid w:val="00E36474"/>
    <w:rsid w:val="00E36506"/>
    <w:rsid w:val="00E3694D"/>
    <w:rsid w:val="00E36A06"/>
    <w:rsid w:val="00E36BBF"/>
    <w:rsid w:val="00E36BC3"/>
    <w:rsid w:val="00E36E67"/>
    <w:rsid w:val="00E37468"/>
    <w:rsid w:val="00E3772D"/>
    <w:rsid w:val="00E377E7"/>
    <w:rsid w:val="00E3783F"/>
    <w:rsid w:val="00E378CC"/>
    <w:rsid w:val="00E37918"/>
    <w:rsid w:val="00E37AB3"/>
    <w:rsid w:val="00E37BC2"/>
    <w:rsid w:val="00E40178"/>
    <w:rsid w:val="00E4029C"/>
    <w:rsid w:val="00E4063D"/>
    <w:rsid w:val="00E4066C"/>
    <w:rsid w:val="00E406B1"/>
    <w:rsid w:val="00E40866"/>
    <w:rsid w:val="00E40BEF"/>
    <w:rsid w:val="00E40EC4"/>
    <w:rsid w:val="00E40FBB"/>
    <w:rsid w:val="00E41133"/>
    <w:rsid w:val="00E4123B"/>
    <w:rsid w:val="00E414C8"/>
    <w:rsid w:val="00E41532"/>
    <w:rsid w:val="00E4177F"/>
    <w:rsid w:val="00E418B7"/>
    <w:rsid w:val="00E418CB"/>
    <w:rsid w:val="00E41918"/>
    <w:rsid w:val="00E41A30"/>
    <w:rsid w:val="00E41B62"/>
    <w:rsid w:val="00E41FD9"/>
    <w:rsid w:val="00E4235F"/>
    <w:rsid w:val="00E42360"/>
    <w:rsid w:val="00E42703"/>
    <w:rsid w:val="00E42815"/>
    <w:rsid w:val="00E4291F"/>
    <w:rsid w:val="00E42B25"/>
    <w:rsid w:val="00E42CC0"/>
    <w:rsid w:val="00E42D50"/>
    <w:rsid w:val="00E43834"/>
    <w:rsid w:val="00E439F0"/>
    <w:rsid w:val="00E43B8A"/>
    <w:rsid w:val="00E43D6B"/>
    <w:rsid w:val="00E43F72"/>
    <w:rsid w:val="00E442DA"/>
    <w:rsid w:val="00E448BA"/>
    <w:rsid w:val="00E448D5"/>
    <w:rsid w:val="00E44966"/>
    <w:rsid w:val="00E44D09"/>
    <w:rsid w:val="00E44F43"/>
    <w:rsid w:val="00E451B3"/>
    <w:rsid w:val="00E4581D"/>
    <w:rsid w:val="00E45B47"/>
    <w:rsid w:val="00E45CA8"/>
    <w:rsid w:val="00E45D02"/>
    <w:rsid w:val="00E46099"/>
    <w:rsid w:val="00E46269"/>
    <w:rsid w:val="00E4645F"/>
    <w:rsid w:val="00E47182"/>
    <w:rsid w:val="00E47730"/>
    <w:rsid w:val="00E479F5"/>
    <w:rsid w:val="00E47BB0"/>
    <w:rsid w:val="00E47BF9"/>
    <w:rsid w:val="00E47D24"/>
    <w:rsid w:val="00E47E4E"/>
    <w:rsid w:val="00E5024E"/>
    <w:rsid w:val="00E50326"/>
    <w:rsid w:val="00E506ED"/>
    <w:rsid w:val="00E50B12"/>
    <w:rsid w:val="00E51164"/>
    <w:rsid w:val="00E51240"/>
    <w:rsid w:val="00E51319"/>
    <w:rsid w:val="00E5134C"/>
    <w:rsid w:val="00E5141E"/>
    <w:rsid w:val="00E5155E"/>
    <w:rsid w:val="00E518E2"/>
    <w:rsid w:val="00E51A1F"/>
    <w:rsid w:val="00E51A30"/>
    <w:rsid w:val="00E51D47"/>
    <w:rsid w:val="00E51DFB"/>
    <w:rsid w:val="00E52414"/>
    <w:rsid w:val="00E524CD"/>
    <w:rsid w:val="00E52811"/>
    <w:rsid w:val="00E529B5"/>
    <w:rsid w:val="00E52A73"/>
    <w:rsid w:val="00E52E16"/>
    <w:rsid w:val="00E52E1C"/>
    <w:rsid w:val="00E52FE2"/>
    <w:rsid w:val="00E53466"/>
    <w:rsid w:val="00E53788"/>
    <w:rsid w:val="00E53BC5"/>
    <w:rsid w:val="00E53E92"/>
    <w:rsid w:val="00E53F0A"/>
    <w:rsid w:val="00E540CE"/>
    <w:rsid w:val="00E540E0"/>
    <w:rsid w:val="00E54479"/>
    <w:rsid w:val="00E544DA"/>
    <w:rsid w:val="00E5469A"/>
    <w:rsid w:val="00E546E1"/>
    <w:rsid w:val="00E5487F"/>
    <w:rsid w:val="00E549FB"/>
    <w:rsid w:val="00E54E71"/>
    <w:rsid w:val="00E54FB7"/>
    <w:rsid w:val="00E5526A"/>
    <w:rsid w:val="00E5536E"/>
    <w:rsid w:val="00E55466"/>
    <w:rsid w:val="00E555C8"/>
    <w:rsid w:val="00E55737"/>
    <w:rsid w:val="00E5575F"/>
    <w:rsid w:val="00E55763"/>
    <w:rsid w:val="00E55B11"/>
    <w:rsid w:val="00E56078"/>
    <w:rsid w:val="00E5609C"/>
    <w:rsid w:val="00E560EC"/>
    <w:rsid w:val="00E56794"/>
    <w:rsid w:val="00E567D2"/>
    <w:rsid w:val="00E56999"/>
    <w:rsid w:val="00E56D60"/>
    <w:rsid w:val="00E56F6A"/>
    <w:rsid w:val="00E56F84"/>
    <w:rsid w:val="00E57039"/>
    <w:rsid w:val="00E57164"/>
    <w:rsid w:val="00E575BF"/>
    <w:rsid w:val="00E576ED"/>
    <w:rsid w:val="00E5778C"/>
    <w:rsid w:val="00E578BD"/>
    <w:rsid w:val="00E57902"/>
    <w:rsid w:val="00E579BC"/>
    <w:rsid w:val="00E57B3F"/>
    <w:rsid w:val="00E57CED"/>
    <w:rsid w:val="00E6016D"/>
    <w:rsid w:val="00E60188"/>
    <w:rsid w:val="00E60197"/>
    <w:rsid w:val="00E605C1"/>
    <w:rsid w:val="00E60719"/>
    <w:rsid w:val="00E60722"/>
    <w:rsid w:val="00E608B6"/>
    <w:rsid w:val="00E608C3"/>
    <w:rsid w:val="00E60CB9"/>
    <w:rsid w:val="00E60D9F"/>
    <w:rsid w:val="00E61148"/>
    <w:rsid w:val="00E613DE"/>
    <w:rsid w:val="00E617EC"/>
    <w:rsid w:val="00E61ADF"/>
    <w:rsid w:val="00E61E75"/>
    <w:rsid w:val="00E62436"/>
    <w:rsid w:val="00E62486"/>
    <w:rsid w:val="00E627DB"/>
    <w:rsid w:val="00E6293F"/>
    <w:rsid w:val="00E62EF5"/>
    <w:rsid w:val="00E63006"/>
    <w:rsid w:val="00E631A8"/>
    <w:rsid w:val="00E6322C"/>
    <w:rsid w:val="00E632E1"/>
    <w:rsid w:val="00E636E6"/>
    <w:rsid w:val="00E63AE7"/>
    <w:rsid w:val="00E63B8C"/>
    <w:rsid w:val="00E642F7"/>
    <w:rsid w:val="00E643E9"/>
    <w:rsid w:val="00E64433"/>
    <w:rsid w:val="00E64526"/>
    <w:rsid w:val="00E647C4"/>
    <w:rsid w:val="00E64855"/>
    <w:rsid w:val="00E648B5"/>
    <w:rsid w:val="00E64924"/>
    <w:rsid w:val="00E64D0B"/>
    <w:rsid w:val="00E64E7F"/>
    <w:rsid w:val="00E65024"/>
    <w:rsid w:val="00E65507"/>
    <w:rsid w:val="00E6572C"/>
    <w:rsid w:val="00E6599E"/>
    <w:rsid w:val="00E659F9"/>
    <w:rsid w:val="00E65F15"/>
    <w:rsid w:val="00E661A9"/>
    <w:rsid w:val="00E66322"/>
    <w:rsid w:val="00E66A0E"/>
    <w:rsid w:val="00E66B52"/>
    <w:rsid w:val="00E66CE1"/>
    <w:rsid w:val="00E6716C"/>
    <w:rsid w:val="00E6741B"/>
    <w:rsid w:val="00E6763B"/>
    <w:rsid w:val="00E67856"/>
    <w:rsid w:val="00E67D16"/>
    <w:rsid w:val="00E7015E"/>
    <w:rsid w:val="00E70179"/>
    <w:rsid w:val="00E702EF"/>
    <w:rsid w:val="00E7056D"/>
    <w:rsid w:val="00E7061B"/>
    <w:rsid w:val="00E70658"/>
    <w:rsid w:val="00E70689"/>
    <w:rsid w:val="00E707AA"/>
    <w:rsid w:val="00E707EA"/>
    <w:rsid w:val="00E70802"/>
    <w:rsid w:val="00E7089B"/>
    <w:rsid w:val="00E70A43"/>
    <w:rsid w:val="00E70A48"/>
    <w:rsid w:val="00E70B2E"/>
    <w:rsid w:val="00E70C6C"/>
    <w:rsid w:val="00E70CF4"/>
    <w:rsid w:val="00E70EA4"/>
    <w:rsid w:val="00E70F17"/>
    <w:rsid w:val="00E710FF"/>
    <w:rsid w:val="00E71382"/>
    <w:rsid w:val="00E7162E"/>
    <w:rsid w:val="00E71B17"/>
    <w:rsid w:val="00E71D82"/>
    <w:rsid w:val="00E71DC8"/>
    <w:rsid w:val="00E721B5"/>
    <w:rsid w:val="00E7243C"/>
    <w:rsid w:val="00E72672"/>
    <w:rsid w:val="00E72686"/>
    <w:rsid w:val="00E72992"/>
    <w:rsid w:val="00E72B09"/>
    <w:rsid w:val="00E72BEE"/>
    <w:rsid w:val="00E72CCF"/>
    <w:rsid w:val="00E73105"/>
    <w:rsid w:val="00E7380E"/>
    <w:rsid w:val="00E73992"/>
    <w:rsid w:val="00E73F02"/>
    <w:rsid w:val="00E73F1F"/>
    <w:rsid w:val="00E74145"/>
    <w:rsid w:val="00E745CF"/>
    <w:rsid w:val="00E749E0"/>
    <w:rsid w:val="00E74CA8"/>
    <w:rsid w:val="00E74D14"/>
    <w:rsid w:val="00E74EB9"/>
    <w:rsid w:val="00E74EC3"/>
    <w:rsid w:val="00E75380"/>
    <w:rsid w:val="00E75655"/>
    <w:rsid w:val="00E75922"/>
    <w:rsid w:val="00E759DF"/>
    <w:rsid w:val="00E75E6D"/>
    <w:rsid w:val="00E76195"/>
    <w:rsid w:val="00E7628D"/>
    <w:rsid w:val="00E7629C"/>
    <w:rsid w:val="00E762BE"/>
    <w:rsid w:val="00E762D2"/>
    <w:rsid w:val="00E76409"/>
    <w:rsid w:val="00E76553"/>
    <w:rsid w:val="00E76607"/>
    <w:rsid w:val="00E76648"/>
    <w:rsid w:val="00E766B9"/>
    <w:rsid w:val="00E767A6"/>
    <w:rsid w:val="00E767A9"/>
    <w:rsid w:val="00E76C36"/>
    <w:rsid w:val="00E76C3A"/>
    <w:rsid w:val="00E76FC3"/>
    <w:rsid w:val="00E77120"/>
    <w:rsid w:val="00E77396"/>
    <w:rsid w:val="00E7792C"/>
    <w:rsid w:val="00E77A2A"/>
    <w:rsid w:val="00E77BC5"/>
    <w:rsid w:val="00E77C6E"/>
    <w:rsid w:val="00E77CD7"/>
    <w:rsid w:val="00E80117"/>
    <w:rsid w:val="00E80409"/>
    <w:rsid w:val="00E805B7"/>
    <w:rsid w:val="00E80659"/>
    <w:rsid w:val="00E807B1"/>
    <w:rsid w:val="00E807DA"/>
    <w:rsid w:val="00E80944"/>
    <w:rsid w:val="00E8096B"/>
    <w:rsid w:val="00E80CDA"/>
    <w:rsid w:val="00E80CF0"/>
    <w:rsid w:val="00E80D8F"/>
    <w:rsid w:val="00E80F35"/>
    <w:rsid w:val="00E81847"/>
    <w:rsid w:val="00E8196A"/>
    <w:rsid w:val="00E81A98"/>
    <w:rsid w:val="00E82069"/>
    <w:rsid w:val="00E8217A"/>
    <w:rsid w:val="00E8288A"/>
    <w:rsid w:val="00E82A82"/>
    <w:rsid w:val="00E82A98"/>
    <w:rsid w:val="00E82DAE"/>
    <w:rsid w:val="00E82F01"/>
    <w:rsid w:val="00E83004"/>
    <w:rsid w:val="00E83092"/>
    <w:rsid w:val="00E833A9"/>
    <w:rsid w:val="00E838AA"/>
    <w:rsid w:val="00E838FF"/>
    <w:rsid w:val="00E83989"/>
    <w:rsid w:val="00E84447"/>
    <w:rsid w:val="00E844E5"/>
    <w:rsid w:val="00E84A83"/>
    <w:rsid w:val="00E84B65"/>
    <w:rsid w:val="00E84B72"/>
    <w:rsid w:val="00E84C18"/>
    <w:rsid w:val="00E84DB8"/>
    <w:rsid w:val="00E84F9A"/>
    <w:rsid w:val="00E85207"/>
    <w:rsid w:val="00E853DE"/>
    <w:rsid w:val="00E853F5"/>
    <w:rsid w:val="00E85442"/>
    <w:rsid w:val="00E8598F"/>
    <w:rsid w:val="00E85A05"/>
    <w:rsid w:val="00E85C0F"/>
    <w:rsid w:val="00E85DAB"/>
    <w:rsid w:val="00E86181"/>
    <w:rsid w:val="00E8638A"/>
    <w:rsid w:val="00E865B2"/>
    <w:rsid w:val="00E86923"/>
    <w:rsid w:val="00E86DFC"/>
    <w:rsid w:val="00E8703F"/>
    <w:rsid w:val="00E8748C"/>
    <w:rsid w:val="00E87B1D"/>
    <w:rsid w:val="00E87CA6"/>
    <w:rsid w:val="00E87CD8"/>
    <w:rsid w:val="00E900F6"/>
    <w:rsid w:val="00E90185"/>
    <w:rsid w:val="00E9079C"/>
    <w:rsid w:val="00E90863"/>
    <w:rsid w:val="00E908A4"/>
    <w:rsid w:val="00E909E6"/>
    <w:rsid w:val="00E90A36"/>
    <w:rsid w:val="00E90FA3"/>
    <w:rsid w:val="00E914A5"/>
    <w:rsid w:val="00E91A36"/>
    <w:rsid w:val="00E91F9B"/>
    <w:rsid w:val="00E922B9"/>
    <w:rsid w:val="00E926C4"/>
    <w:rsid w:val="00E9298E"/>
    <w:rsid w:val="00E93228"/>
    <w:rsid w:val="00E93445"/>
    <w:rsid w:val="00E934DF"/>
    <w:rsid w:val="00E9355E"/>
    <w:rsid w:val="00E93631"/>
    <w:rsid w:val="00E9382D"/>
    <w:rsid w:val="00E93EC3"/>
    <w:rsid w:val="00E93FF9"/>
    <w:rsid w:val="00E941CB"/>
    <w:rsid w:val="00E9448E"/>
    <w:rsid w:val="00E946CB"/>
    <w:rsid w:val="00E94F45"/>
    <w:rsid w:val="00E94F9F"/>
    <w:rsid w:val="00E95056"/>
    <w:rsid w:val="00E9511E"/>
    <w:rsid w:val="00E95190"/>
    <w:rsid w:val="00E955CC"/>
    <w:rsid w:val="00E95673"/>
    <w:rsid w:val="00E95BC6"/>
    <w:rsid w:val="00E96251"/>
    <w:rsid w:val="00E963FE"/>
    <w:rsid w:val="00E96790"/>
    <w:rsid w:val="00E968E3"/>
    <w:rsid w:val="00E969A3"/>
    <w:rsid w:val="00E96D93"/>
    <w:rsid w:val="00E96E37"/>
    <w:rsid w:val="00E96EAF"/>
    <w:rsid w:val="00E9709A"/>
    <w:rsid w:val="00E970BB"/>
    <w:rsid w:val="00E9729B"/>
    <w:rsid w:val="00E9735B"/>
    <w:rsid w:val="00E97442"/>
    <w:rsid w:val="00E9747E"/>
    <w:rsid w:val="00E975E7"/>
    <w:rsid w:val="00E9760E"/>
    <w:rsid w:val="00E976F4"/>
    <w:rsid w:val="00E97E33"/>
    <w:rsid w:val="00E97E7F"/>
    <w:rsid w:val="00EA019C"/>
    <w:rsid w:val="00EA01DF"/>
    <w:rsid w:val="00EA04B7"/>
    <w:rsid w:val="00EA07F7"/>
    <w:rsid w:val="00EA0883"/>
    <w:rsid w:val="00EA0976"/>
    <w:rsid w:val="00EA0D72"/>
    <w:rsid w:val="00EA1109"/>
    <w:rsid w:val="00EA1251"/>
    <w:rsid w:val="00EA12A8"/>
    <w:rsid w:val="00EA1539"/>
    <w:rsid w:val="00EA15B3"/>
    <w:rsid w:val="00EA1684"/>
    <w:rsid w:val="00EA18E1"/>
    <w:rsid w:val="00EA1933"/>
    <w:rsid w:val="00EA1CDE"/>
    <w:rsid w:val="00EA1E77"/>
    <w:rsid w:val="00EA2001"/>
    <w:rsid w:val="00EA2385"/>
    <w:rsid w:val="00EA2EF3"/>
    <w:rsid w:val="00EA3289"/>
    <w:rsid w:val="00EA3567"/>
    <w:rsid w:val="00EA3644"/>
    <w:rsid w:val="00EA36ED"/>
    <w:rsid w:val="00EA381D"/>
    <w:rsid w:val="00EA4055"/>
    <w:rsid w:val="00EA4466"/>
    <w:rsid w:val="00EA4479"/>
    <w:rsid w:val="00EA458F"/>
    <w:rsid w:val="00EA47AD"/>
    <w:rsid w:val="00EA4C4F"/>
    <w:rsid w:val="00EA4EAC"/>
    <w:rsid w:val="00EA4ED4"/>
    <w:rsid w:val="00EA50DA"/>
    <w:rsid w:val="00EA50FD"/>
    <w:rsid w:val="00EA52CC"/>
    <w:rsid w:val="00EA54BA"/>
    <w:rsid w:val="00EA561E"/>
    <w:rsid w:val="00EA56C6"/>
    <w:rsid w:val="00EA571D"/>
    <w:rsid w:val="00EA5AE4"/>
    <w:rsid w:val="00EA5BCA"/>
    <w:rsid w:val="00EA603C"/>
    <w:rsid w:val="00EA6194"/>
    <w:rsid w:val="00EA61C4"/>
    <w:rsid w:val="00EA62F0"/>
    <w:rsid w:val="00EA66B8"/>
    <w:rsid w:val="00EA67BB"/>
    <w:rsid w:val="00EA6A3C"/>
    <w:rsid w:val="00EA6C33"/>
    <w:rsid w:val="00EA6C80"/>
    <w:rsid w:val="00EA6EAE"/>
    <w:rsid w:val="00EA6F35"/>
    <w:rsid w:val="00EA6FBB"/>
    <w:rsid w:val="00EA73CD"/>
    <w:rsid w:val="00EA75D1"/>
    <w:rsid w:val="00EA7A92"/>
    <w:rsid w:val="00EA7C6E"/>
    <w:rsid w:val="00EA7D2C"/>
    <w:rsid w:val="00EA7F4E"/>
    <w:rsid w:val="00EB0027"/>
    <w:rsid w:val="00EB015C"/>
    <w:rsid w:val="00EB01AE"/>
    <w:rsid w:val="00EB02FC"/>
    <w:rsid w:val="00EB0348"/>
    <w:rsid w:val="00EB0376"/>
    <w:rsid w:val="00EB0496"/>
    <w:rsid w:val="00EB0820"/>
    <w:rsid w:val="00EB09DE"/>
    <w:rsid w:val="00EB0BDE"/>
    <w:rsid w:val="00EB0CA9"/>
    <w:rsid w:val="00EB0E7D"/>
    <w:rsid w:val="00EB0F82"/>
    <w:rsid w:val="00EB11B0"/>
    <w:rsid w:val="00EB11F2"/>
    <w:rsid w:val="00EB1C57"/>
    <w:rsid w:val="00EB1CFA"/>
    <w:rsid w:val="00EB1FD5"/>
    <w:rsid w:val="00EB21F7"/>
    <w:rsid w:val="00EB26BE"/>
    <w:rsid w:val="00EB2908"/>
    <w:rsid w:val="00EB2A62"/>
    <w:rsid w:val="00EB2CC7"/>
    <w:rsid w:val="00EB2F23"/>
    <w:rsid w:val="00EB360C"/>
    <w:rsid w:val="00EB37DB"/>
    <w:rsid w:val="00EB3859"/>
    <w:rsid w:val="00EB403B"/>
    <w:rsid w:val="00EB403D"/>
    <w:rsid w:val="00EB40B4"/>
    <w:rsid w:val="00EB412E"/>
    <w:rsid w:val="00EB41B8"/>
    <w:rsid w:val="00EB438F"/>
    <w:rsid w:val="00EB4464"/>
    <w:rsid w:val="00EB4813"/>
    <w:rsid w:val="00EB48D1"/>
    <w:rsid w:val="00EB4A07"/>
    <w:rsid w:val="00EB4BD2"/>
    <w:rsid w:val="00EB4D8B"/>
    <w:rsid w:val="00EB4F5F"/>
    <w:rsid w:val="00EB5213"/>
    <w:rsid w:val="00EB543F"/>
    <w:rsid w:val="00EB555E"/>
    <w:rsid w:val="00EB58BD"/>
    <w:rsid w:val="00EB5CBD"/>
    <w:rsid w:val="00EB5DC3"/>
    <w:rsid w:val="00EB5E20"/>
    <w:rsid w:val="00EB5F78"/>
    <w:rsid w:val="00EB601E"/>
    <w:rsid w:val="00EB62C3"/>
    <w:rsid w:val="00EB6384"/>
    <w:rsid w:val="00EB6467"/>
    <w:rsid w:val="00EB646B"/>
    <w:rsid w:val="00EB670E"/>
    <w:rsid w:val="00EB67B7"/>
    <w:rsid w:val="00EB69DE"/>
    <w:rsid w:val="00EB6B79"/>
    <w:rsid w:val="00EB6B89"/>
    <w:rsid w:val="00EB6DEC"/>
    <w:rsid w:val="00EB6EC3"/>
    <w:rsid w:val="00EB7190"/>
    <w:rsid w:val="00EB72F2"/>
    <w:rsid w:val="00EB79B2"/>
    <w:rsid w:val="00EC031B"/>
    <w:rsid w:val="00EC04E6"/>
    <w:rsid w:val="00EC062A"/>
    <w:rsid w:val="00EC09CD"/>
    <w:rsid w:val="00EC09DF"/>
    <w:rsid w:val="00EC0AF7"/>
    <w:rsid w:val="00EC0E3F"/>
    <w:rsid w:val="00EC0FFC"/>
    <w:rsid w:val="00EC102A"/>
    <w:rsid w:val="00EC163A"/>
    <w:rsid w:val="00EC173A"/>
    <w:rsid w:val="00EC18D5"/>
    <w:rsid w:val="00EC1CD2"/>
    <w:rsid w:val="00EC1E37"/>
    <w:rsid w:val="00EC1E70"/>
    <w:rsid w:val="00EC20B6"/>
    <w:rsid w:val="00EC21EC"/>
    <w:rsid w:val="00EC2621"/>
    <w:rsid w:val="00EC2657"/>
    <w:rsid w:val="00EC2AA0"/>
    <w:rsid w:val="00EC2ACB"/>
    <w:rsid w:val="00EC2AE2"/>
    <w:rsid w:val="00EC2CC5"/>
    <w:rsid w:val="00EC2D4A"/>
    <w:rsid w:val="00EC2D4E"/>
    <w:rsid w:val="00EC2D5B"/>
    <w:rsid w:val="00EC2D99"/>
    <w:rsid w:val="00EC2DC7"/>
    <w:rsid w:val="00EC2F69"/>
    <w:rsid w:val="00EC2F96"/>
    <w:rsid w:val="00EC3252"/>
    <w:rsid w:val="00EC32A6"/>
    <w:rsid w:val="00EC34DF"/>
    <w:rsid w:val="00EC3573"/>
    <w:rsid w:val="00EC3634"/>
    <w:rsid w:val="00EC37F7"/>
    <w:rsid w:val="00EC3B7D"/>
    <w:rsid w:val="00EC3D56"/>
    <w:rsid w:val="00EC3D8C"/>
    <w:rsid w:val="00EC3EF3"/>
    <w:rsid w:val="00EC431A"/>
    <w:rsid w:val="00EC467A"/>
    <w:rsid w:val="00EC467B"/>
    <w:rsid w:val="00EC48A4"/>
    <w:rsid w:val="00EC494E"/>
    <w:rsid w:val="00EC4B88"/>
    <w:rsid w:val="00EC4BD0"/>
    <w:rsid w:val="00EC4F62"/>
    <w:rsid w:val="00EC5042"/>
    <w:rsid w:val="00EC53DE"/>
    <w:rsid w:val="00EC54B5"/>
    <w:rsid w:val="00EC5BDB"/>
    <w:rsid w:val="00EC5DE9"/>
    <w:rsid w:val="00EC5EC4"/>
    <w:rsid w:val="00EC6849"/>
    <w:rsid w:val="00EC6A11"/>
    <w:rsid w:val="00EC6C30"/>
    <w:rsid w:val="00EC6ED4"/>
    <w:rsid w:val="00EC6F6A"/>
    <w:rsid w:val="00EC70B9"/>
    <w:rsid w:val="00EC72BE"/>
    <w:rsid w:val="00EC761E"/>
    <w:rsid w:val="00EC7F78"/>
    <w:rsid w:val="00ED018C"/>
    <w:rsid w:val="00ED0446"/>
    <w:rsid w:val="00ED047D"/>
    <w:rsid w:val="00ED07DF"/>
    <w:rsid w:val="00ED0B45"/>
    <w:rsid w:val="00ED11BC"/>
    <w:rsid w:val="00ED1302"/>
    <w:rsid w:val="00ED13CC"/>
    <w:rsid w:val="00ED1563"/>
    <w:rsid w:val="00ED15F6"/>
    <w:rsid w:val="00ED167C"/>
    <w:rsid w:val="00ED1957"/>
    <w:rsid w:val="00ED1BD2"/>
    <w:rsid w:val="00ED1DBF"/>
    <w:rsid w:val="00ED1F21"/>
    <w:rsid w:val="00ED2353"/>
    <w:rsid w:val="00ED25FA"/>
    <w:rsid w:val="00ED2696"/>
    <w:rsid w:val="00ED2797"/>
    <w:rsid w:val="00ED2A31"/>
    <w:rsid w:val="00ED2B16"/>
    <w:rsid w:val="00ED2D08"/>
    <w:rsid w:val="00ED2E33"/>
    <w:rsid w:val="00ED2E7F"/>
    <w:rsid w:val="00ED3024"/>
    <w:rsid w:val="00ED326F"/>
    <w:rsid w:val="00ED338C"/>
    <w:rsid w:val="00ED3392"/>
    <w:rsid w:val="00ED3558"/>
    <w:rsid w:val="00ED35C8"/>
    <w:rsid w:val="00ED36AB"/>
    <w:rsid w:val="00ED38AC"/>
    <w:rsid w:val="00ED3A58"/>
    <w:rsid w:val="00ED3AF2"/>
    <w:rsid w:val="00ED3F56"/>
    <w:rsid w:val="00ED4061"/>
    <w:rsid w:val="00ED46BB"/>
    <w:rsid w:val="00ED488F"/>
    <w:rsid w:val="00ED4A12"/>
    <w:rsid w:val="00ED4A50"/>
    <w:rsid w:val="00ED4C17"/>
    <w:rsid w:val="00ED4F2E"/>
    <w:rsid w:val="00ED5021"/>
    <w:rsid w:val="00ED53E4"/>
    <w:rsid w:val="00ED5775"/>
    <w:rsid w:val="00ED59EB"/>
    <w:rsid w:val="00ED5BF2"/>
    <w:rsid w:val="00ED5C8B"/>
    <w:rsid w:val="00ED5CC0"/>
    <w:rsid w:val="00ED6026"/>
    <w:rsid w:val="00ED602F"/>
    <w:rsid w:val="00ED612C"/>
    <w:rsid w:val="00ED65CD"/>
    <w:rsid w:val="00ED68A5"/>
    <w:rsid w:val="00ED68BA"/>
    <w:rsid w:val="00ED69CC"/>
    <w:rsid w:val="00ED716A"/>
    <w:rsid w:val="00ED71B6"/>
    <w:rsid w:val="00ED738A"/>
    <w:rsid w:val="00ED79AE"/>
    <w:rsid w:val="00ED7C9F"/>
    <w:rsid w:val="00ED7CCA"/>
    <w:rsid w:val="00ED7D6D"/>
    <w:rsid w:val="00ED7DC2"/>
    <w:rsid w:val="00ED7EB2"/>
    <w:rsid w:val="00EE0152"/>
    <w:rsid w:val="00EE0520"/>
    <w:rsid w:val="00EE0CB7"/>
    <w:rsid w:val="00EE10BA"/>
    <w:rsid w:val="00EE1365"/>
    <w:rsid w:val="00EE19CA"/>
    <w:rsid w:val="00EE1DD6"/>
    <w:rsid w:val="00EE1E89"/>
    <w:rsid w:val="00EE24CB"/>
    <w:rsid w:val="00EE2619"/>
    <w:rsid w:val="00EE265C"/>
    <w:rsid w:val="00EE2670"/>
    <w:rsid w:val="00EE2705"/>
    <w:rsid w:val="00EE2778"/>
    <w:rsid w:val="00EE27D2"/>
    <w:rsid w:val="00EE2980"/>
    <w:rsid w:val="00EE2DFB"/>
    <w:rsid w:val="00EE2E1F"/>
    <w:rsid w:val="00EE3128"/>
    <w:rsid w:val="00EE327F"/>
    <w:rsid w:val="00EE32C7"/>
    <w:rsid w:val="00EE3600"/>
    <w:rsid w:val="00EE3F0E"/>
    <w:rsid w:val="00EE3F1E"/>
    <w:rsid w:val="00EE3F67"/>
    <w:rsid w:val="00EE4355"/>
    <w:rsid w:val="00EE445A"/>
    <w:rsid w:val="00EE4503"/>
    <w:rsid w:val="00EE4576"/>
    <w:rsid w:val="00EE4647"/>
    <w:rsid w:val="00EE4702"/>
    <w:rsid w:val="00EE47B8"/>
    <w:rsid w:val="00EE4869"/>
    <w:rsid w:val="00EE4999"/>
    <w:rsid w:val="00EE499F"/>
    <w:rsid w:val="00EE4C93"/>
    <w:rsid w:val="00EE5065"/>
    <w:rsid w:val="00EE50C7"/>
    <w:rsid w:val="00EE51A8"/>
    <w:rsid w:val="00EE5210"/>
    <w:rsid w:val="00EE524C"/>
    <w:rsid w:val="00EE5293"/>
    <w:rsid w:val="00EE54C2"/>
    <w:rsid w:val="00EE563E"/>
    <w:rsid w:val="00EE5822"/>
    <w:rsid w:val="00EE5BE1"/>
    <w:rsid w:val="00EE5C1C"/>
    <w:rsid w:val="00EE5C5A"/>
    <w:rsid w:val="00EE5C86"/>
    <w:rsid w:val="00EE5CBC"/>
    <w:rsid w:val="00EE6132"/>
    <w:rsid w:val="00EE61DA"/>
    <w:rsid w:val="00EE62F2"/>
    <w:rsid w:val="00EE6455"/>
    <w:rsid w:val="00EE65E9"/>
    <w:rsid w:val="00EE6625"/>
    <w:rsid w:val="00EE67D0"/>
    <w:rsid w:val="00EE6B54"/>
    <w:rsid w:val="00EE6CD7"/>
    <w:rsid w:val="00EE6DEF"/>
    <w:rsid w:val="00EE6FFA"/>
    <w:rsid w:val="00EE7207"/>
    <w:rsid w:val="00EE7305"/>
    <w:rsid w:val="00EE7440"/>
    <w:rsid w:val="00EE74EC"/>
    <w:rsid w:val="00EE780D"/>
    <w:rsid w:val="00EE7AAA"/>
    <w:rsid w:val="00EE7D06"/>
    <w:rsid w:val="00EE7EE4"/>
    <w:rsid w:val="00EF0477"/>
    <w:rsid w:val="00EF05D4"/>
    <w:rsid w:val="00EF061B"/>
    <w:rsid w:val="00EF08D4"/>
    <w:rsid w:val="00EF0E10"/>
    <w:rsid w:val="00EF123A"/>
    <w:rsid w:val="00EF12FB"/>
    <w:rsid w:val="00EF1304"/>
    <w:rsid w:val="00EF1713"/>
    <w:rsid w:val="00EF19A0"/>
    <w:rsid w:val="00EF1BF7"/>
    <w:rsid w:val="00EF2065"/>
    <w:rsid w:val="00EF2069"/>
    <w:rsid w:val="00EF2076"/>
    <w:rsid w:val="00EF2644"/>
    <w:rsid w:val="00EF298B"/>
    <w:rsid w:val="00EF2A69"/>
    <w:rsid w:val="00EF2A6A"/>
    <w:rsid w:val="00EF2AFB"/>
    <w:rsid w:val="00EF2B96"/>
    <w:rsid w:val="00EF2DF0"/>
    <w:rsid w:val="00EF3279"/>
    <w:rsid w:val="00EF35C9"/>
    <w:rsid w:val="00EF37A8"/>
    <w:rsid w:val="00EF399D"/>
    <w:rsid w:val="00EF39CA"/>
    <w:rsid w:val="00EF3B1C"/>
    <w:rsid w:val="00EF3F4E"/>
    <w:rsid w:val="00EF3F4F"/>
    <w:rsid w:val="00EF3F72"/>
    <w:rsid w:val="00EF4038"/>
    <w:rsid w:val="00EF421D"/>
    <w:rsid w:val="00EF436E"/>
    <w:rsid w:val="00EF44F0"/>
    <w:rsid w:val="00EF4C39"/>
    <w:rsid w:val="00EF55C6"/>
    <w:rsid w:val="00EF5775"/>
    <w:rsid w:val="00EF5A00"/>
    <w:rsid w:val="00EF5B96"/>
    <w:rsid w:val="00EF5FC3"/>
    <w:rsid w:val="00EF60AD"/>
    <w:rsid w:val="00EF663D"/>
    <w:rsid w:val="00EF6671"/>
    <w:rsid w:val="00EF6743"/>
    <w:rsid w:val="00EF679F"/>
    <w:rsid w:val="00EF6A9C"/>
    <w:rsid w:val="00EF6B40"/>
    <w:rsid w:val="00EF7156"/>
    <w:rsid w:val="00EF71D6"/>
    <w:rsid w:val="00EF72B1"/>
    <w:rsid w:val="00EF7369"/>
    <w:rsid w:val="00EF74EF"/>
    <w:rsid w:val="00EF76A4"/>
    <w:rsid w:val="00EF77D0"/>
    <w:rsid w:val="00EF785D"/>
    <w:rsid w:val="00EF7B0A"/>
    <w:rsid w:val="00EF7C73"/>
    <w:rsid w:val="00EF7DB4"/>
    <w:rsid w:val="00EF7E06"/>
    <w:rsid w:val="00EF7E5D"/>
    <w:rsid w:val="00F000EA"/>
    <w:rsid w:val="00F0019D"/>
    <w:rsid w:val="00F001E8"/>
    <w:rsid w:val="00F00284"/>
    <w:rsid w:val="00F00B61"/>
    <w:rsid w:val="00F00BCD"/>
    <w:rsid w:val="00F016ED"/>
    <w:rsid w:val="00F018D9"/>
    <w:rsid w:val="00F01AFC"/>
    <w:rsid w:val="00F01B11"/>
    <w:rsid w:val="00F01BFF"/>
    <w:rsid w:val="00F01CC4"/>
    <w:rsid w:val="00F01CF5"/>
    <w:rsid w:val="00F01D90"/>
    <w:rsid w:val="00F01E65"/>
    <w:rsid w:val="00F01F4D"/>
    <w:rsid w:val="00F020C4"/>
    <w:rsid w:val="00F021CD"/>
    <w:rsid w:val="00F0223D"/>
    <w:rsid w:val="00F025E2"/>
    <w:rsid w:val="00F025F3"/>
    <w:rsid w:val="00F026FC"/>
    <w:rsid w:val="00F02787"/>
    <w:rsid w:val="00F029CE"/>
    <w:rsid w:val="00F02C5F"/>
    <w:rsid w:val="00F02E5F"/>
    <w:rsid w:val="00F02F36"/>
    <w:rsid w:val="00F030CA"/>
    <w:rsid w:val="00F0327E"/>
    <w:rsid w:val="00F0365F"/>
    <w:rsid w:val="00F038C2"/>
    <w:rsid w:val="00F038C7"/>
    <w:rsid w:val="00F03925"/>
    <w:rsid w:val="00F039D7"/>
    <w:rsid w:val="00F03A73"/>
    <w:rsid w:val="00F03D27"/>
    <w:rsid w:val="00F047A1"/>
    <w:rsid w:val="00F04935"/>
    <w:rsid w:val="00F04D67"/>
    <w:rsid w:val="00F04D79"/>
    <w:rsid w:val="00F04E35"/>
    <w:rsid w:val="00F0514F"/>
    <w:rsid w:val="00F052AA"/>
    <w:rsid w:val="00F054A2"/>
    <w:rsid w:val="00F05889"/>
    <w:rsid w:val="00F05C60"/>
    <w:rsid w:val="00F06095"/>
    <w:rsid w:val="00F064E8"/>
    <w:rsid w:val="00F067BD"/>
    <w:rsid w:val="00F0680C"/>
    <w:rsid w:val="00F06818"/>
    <w:rsid w:val="00F068EF"/>
    <w:rsid w:val="00F06BF0"/>
    <w:rsid w:val="00F06C91"/>
    <w:rsid w:val="00F06CE6"/>
    <w:rsid w:val="00F06E37"/>
    <w:rsid w:val="00F071B0"/>
    <w:rsid w:val="00F0724A"/>
    <w:rsid w:val="00F0750F"/>
    <w:rsid w:val="00F07667"/>
    <w:rsid w:val="00F07751"/>
    <w:rsid w:val="00F07783"/>
    <w:rsid w:val="00F07791"/>
    <w:rsid w:val="00F07E5B"/>
    <w:rsid w:val="00F100CB"/>
    <w:rsid w:val="00F10397"/>
    <w:rsid w:val="00F1047F"/>
    <w:rsid w:val="00F105C1"/>
    <w:rsid w:val="00F10620"/>
    <w:rsid w:val="00F1076A"/>
    <w:rsid w:val="00F1083E"/>
    <w:rsid w:val="00F10AB4"/>
    <w:rsid w:val="00F10B21"/>
    <w:rsid w:val="00F10B44"/>
    <w:rsid w:val="00F10C67"/>
    <w:rsid w:val="00F10D68"/>
    <w:rsid w:val="00F10EA8"/>
    <w:rsid w:val="00F10EE0"/>
    <w:rsid w:val="00F11553"/>
    <w:rsid w:val="00F115F7"/>
    <w:rsid w:val="00F117C8"/>
    <w:rsid w:val="00F11ABE"/>
    <w:rsid w:val="00F122C9"/>
    <w:rsid w:val="00F12523"/>
    <w:rsid w:val="00F12636"/>
    <w:rsid w:val="00F12B0E"/>
    <w:rsid w:val="00F12C3A"/>
    <w:rsid w:val="00F131F9"/>
    <w:rsid w:val="00F135A5"/>
    <w:rsid w:val="00F13718"/>
    <w:rsid w:val="00F138A8"/>
    <w:rsid w:val="00F1392D"/>
    <w:rsid w:val="00F13A6E"/>
    <w:rsid w:val="00F13A90"/>
    <w:rsid w:val="00F13DD1"/>
    <w:rsid w:val="00F140C8"/>
    <w:rsid w:val="00F140FB"/>
    <w:rsid w:val="00F143E6"/>
    <w:rsid w:val="00F144FE"/>
    <w:rsid w:val="00F14583"/>
    <w:rsid w:val="00F14706"/>
    <w:rsid w:val="00F14B04"/>
    <w:rsid w:val="00F14BEC"/>
    <w:rsid w:val="00F1547D"/>
    <w:rsid w:val="00F15529"/>
    <w:rsid w:val="00F157D2"/>
    <w:rsid w:val="00F15B9C"/>
    <w:rsid w:val="00F15C27"/>
    <w:rsid w:val="00F15C77"/>
    <w:rsid w:val="00F15EEF"/>
    <w:rsid w:val="00F15F65"/>
    <w:rsid w:val="00F1614A"/>
    <w:rsid w:val="00F161AA"/>
    <w:rsid w:val="00F165A1"/>
    <w:rsid w:val="00F1690C"/>
    <w:rsid w:val="00F169E2"/>
    <w:rsid w:val="00F16FFA"/>
    <w:rsid w:val="00F170C0"/>
    <w:rsid w:val="00F171DF"/>
    <w:rsid w:val="00F173A9"/>
    <w:rsid w:val="00F17568"/>
    <w:rsid w:val="00F1756E"/>
    <w:rsid w:val="00F179FE"/>
    <w:rsid w:val="00F17E09"/>
    <w:rsid w:val="00F200A1"/>
    <w:rsid w:val="00F20A12"/>
    <w:rsid w:val="00F20AC1"/>
    <w:rsid w:val="00F20C0D"/>
    <w:rsid w:val="00F210F8"/>
    <w:rsid w:val="00F212A8"/>
    <w:rsid w:val="00F216B9"/>
    <w:rsid w:val="00F21A1F"/>
    <w:rsid w:val="00F21A4E"/>
    <w:rsid w:val="00F22045"/>
    <w:rsid w:val="00F2206D"/>
    <w:rsid w:val="00F223E9"/>
    <w:rsid w:val="00F224FE"/>
    <w:rsid w:val="00F2250C"/>
    <w:rsid w:val="00F2254B"/>
    <w:rsid w:val="00F2255B"/>
    <w:rsid w:val="00F226B8"/>
    <w:rsid w:val="00F2285E"/>
    <w:rsid w:val="00F229C2"/>
    <w:rsid w:val="00F229E3"/>
    <w:rsid w:val="00F22D1C"/>
    <w:rsid w:val="00F22DB2"/>
    <w:rsid w:val="00F22FC7"/>
    <w:rsid w:val="00F234BF"/>
    <w:rsid w:val="00F237A9"/>
    <w:rsid w:val="00F23899"/>
    <w:rsid w:val="00F238D8"/>
    <w:rsid w:val="00F23CED"/>
    <w:rsid w:val="00F23E31"/>
    <w:rsid w:val="00F24169"/>
    <w:rsid w:val="00F242DF"/>
    <w:rsid w:val="00F24439"/>
    <w:rsid w:val="00F248C0"/>
    <w:rsid w:val="00F24B57"/>
    <w:rsid w:val="00F24BF3"/>
    <w:rsid w:val="00F24D65"/>
    <w:rsid w:val="00F24F93"/>
    <w:rsid w:val="00F2516F"/>
    <w:rsid w:val="00F251B3"/>
    <w:rsid w:val="00F25393"/>
    <w:rsid w:val="00F25406"/>
    <w:rsid w:val="00F257D9"/>
    <w:rsid w:val="00F25A96"/>
    <w:rsid w:val="00F25CCC"/>
    <w:rsid w:val="00F262E5"/>
    <w:rsid w:val="00F264B9"/>
    <w:rsid w:val="00F2663E"/>
    <w:rsid w:val="00F26F94"/>
    <w:rsid w:val="00F26FDE"/>
    <w:rsid w:val="00F273DC"/>
    <w:rsid w:val="00F2741B"/>
    <w:rsid w:val="00F274AF"/>
    <w:rsid w:val="00F27ADF"/>
    <w:rsid w:val="00F27B00"/>
    <w:rsid w:val="00F30090"/>
    <w:rsid w:val="00F300E8"/>
    <w:rsid w:val="00F3020B"/>
    <w:rsid w:val="00F30485"/>
    <w:rsid w:val="00F30666"/>
    <w:rsid w:val="00F306ED"/>
    <w:rsid w:val="00F30A75"/>
    <w:rsid w:val="00F31042"/>
    <w:rsid w:val="00F311D9"/>
    <w:rsid w:val="00F31373"/>
    <w:rsid w:val="00F3159C"/>
    <w:rsid w:val="00F318D5"/>
    <w:rsid w:val="00F31CF7"/>
    <w:rsid w:val="00F31DBB"/>
    <w:rsid w:val="00F31E9C"/>
    <w:rsid w:val="00F321EA"/>
    <w:rsid w:val="00F32300"/>
    <w:rsid w:val="00F3244F"/>
    <w:rsid w:val="00F328E5"/>
    <w:rsid w:val="00F329E2"/>
    <w:rsid w:val="00F32ACC"/>
    <w:rsid w:val="00F32EC1"/>
    <w:rsid w:val="00F32F10"/>
    <w:rsid w:val="00F3357E"/>
    <w:rsid w:val="00F335F0"/>
    <w:rsid w:val="00F3364E"/>
    <w:rsid w:val="00F33696"/>
    <w:rsid w:val="00F337F0"/>
    <w:rsid w:val="00F339D8"/>
    <w:rsid w:val="00F33A00"/>
    <w:rsid w:val="00F341DF"/>
    <w:rsid w:val="00F3457F"/>
    <w:rsid w:val="00F346C1"/>
    <w:rsid w:val="00F34789"/>
    <w:rsid w:val="00F34866"/>
    <w:rsid w:val="00F349B8"/>
    <w:rsid w:val="00F34A5B"/>
    <w:rsid w:val="00F34AC1"/>
    <w:rsid w:val="00F34D29"/>
    <w:rsid w:val="00F34E2B"/>
    <w:rsid w:val="00F34F5F"/>
    <w:rsid w:val="00F350AB"/>
    <w:rsid w:val="00F351A2"/>
    <w:rsid w:val="00F353F2"/>
    <w:rsid w:val="00F361C6"/>
    <w:rsid w:val="00F363A6"/>
    <w:rsid w:val="00F36958"/>
    <w:rsid w:val="00F36A3A"/>
    <w:rsid w:val="00F36E9D"/>
    <w:rsid w:val="00F372D0"/>
    <w:rsid w:val="00F37349"/>
    <w:rsid w:val="00F373B7"/>
    <w:rsid w:val="00F373EC"/>
    <w:rsid w:val="00F37450"/>
    <w:rsid w:val="00F3746D"/>
    <w:rsid w:val="00F374A3"/>
    <w:rsid w:val="00F374DC"/>
    <w:rsid w:val="00F3754A"/>
    <w:rsid w:val="00F37995"/>
    <w:rsid w:val="00F37A67"/>
    <w:rsid w:val="00F37D21"/>
    <w:rsid w:val="00F401AB"/>
    <w:rsid w:val="00F401F5"/>
    <w:rsid w:val="00F4021A"/>
    <w:rsid w:val="00F40434"/>
    <w:rsid w:val="00F40549"/>
    <w:rsid w:val="00F40634"/>
    <w:rsid w:val="00F4081F"/>
    <w:rsid w:val="00F40C15"/>
    <w:rsid w:val="00F40CBA"/>
    <w:rsid w:val="00F40E09"/>
    <w:rsid w:val="00F40FB0"/>
    <w:rsid w:val="00F41139"/>
    <w:rsid w:val="00F417C7"/>
    <w:rsid w:val="00F41929"/>
    <w:rsid w:val="00F41B1E"/>
    <w:rsid w:val="00F41C86"/>
    <w:rsid w:val="00F41F73"/>
    <w:rsid w:val="00F41F9F"/>
    <w:rsid w:val="00F42029"/>
    <w:rsid w:val="00F4209F"/>
    <w:rsid w:val="00F421C1"/>
    <w:rsid w:val="00F42654"/>
    <w:rsid w:val="00F42747"/>
    <w:rsid w:val="00F42CDB"/>
    <w:rsid w:val="00F42F80"/>
    <w:rsid w:val="00F42F84"/>
    <w:rsid w:val="00F42F8C"/>
    <w:rsid w:val="00F431FB"/>
    <w:rsid w:val="00F4345E"/>
    <w:rsid w:val="00F437BA"/>
    <w:rsid w:val="00F437CD"/>
    <w:rsid w:val="00F437D5"/>
    <w:rsid w:val="00F43C06"/>
    <w:rsid w:val="00F43C0F"/>
    <w:rsid w:val="00F4455E"/>
    <w:rsid w:val="00F446E4"/>
    <w:rsid w:val="00F447C4"/>
    <w:rsid w:val="00F447E6"/>
    <w:rsid w:val="00F44BAF"/>
    <w:rsid w:val="00F44BF5"/>
    <w:rsid w:val="00F44DFF"/>
    <w:rsid w:val="00F45260"/>
    <w:rsid w:val="00F45452"/>
    <w:rsid w:val="00F454F1"/>
    <w:rsid w:val="00F4566B"/>
    <w:rsid w:val="00F45A42"/>
    <w:rsid w:val="00F45C8A"/>
    <w:rsid w:val="00F45CC3"/>
    <w:rsid w:val="00F45D3A"/>
    <w:rsid w:val="00F45DDC"/>
    <w:rsid w:val="00F45E8A"/>
    <w:rsid w:val="00F45FF2"/>
    <w:rsid w:val="00F4601F"/>
    <w:rsid w:val="00F46251"/>
    <w:rsid w:val="00F463CD"/>
    <w:rsid w:val="00F463CF"/>
    <w:rsid w:val="00F46435"/>
    <w:rsid w:val="00F466F1"/>
    <w:rsid w:val="00F46A0C"/>
    <w:rsid w:val="00F4715A"/>
    <w:rsid w:val="00F47210"/>
    <w:rsid w:val="00F474FD"/>
    <w:rsid w:val="00F4755D"/>
    <w:rsid w:val="00F47568"/>
    <w:rsid w:val="00F47640"/>
    <w:rsid w:val="00F47651"/>
    <w:rsid w:val="00F4769C"/>
    <w:rsid w:val="00F47985"/>
    <w:rsid w:val="00F47A5D"/>
    <w:rsid w:val="00F50159"/>
    <w:rsid w:val="00F5062C"/>
    <w:rsid w:val="00F50C64"/>
    <w:rsid w:val="00F50D8E"/>
    <w:rsid w:val="00F50EE5"/>
    <w:rsid w:val="00F510D8"/>
    <w:rsid w:val="00F51192"/>
    <w:rsid w:val="00F514CC"/>
    <w:rsid w:val="00F51749"/>
    <w:rsid w:val="00F52136"/>
    <w:rsid w:val="00F52147"/>
    <w:rsid w:val="00F52655"/>
    <w:rsid w:val="00F52945"/>
    <w:rsid w:val="00F52B6B"/>
    <w:rsid w:val="00F533C4"/>
    <w:rsid w:val="00F534A1"/>
    <w:rsid w:val="00F535C3"/>
    <w:rsid w:val="00F535E1"/>
    <w:rsid w:val="00F5371D"/>
    <w:rsid w:val="00F5385A"/>
    <w:rsid w:val="00F53ACB"/>
    <w:rsid w:val="00F5412B"/>
    <w:rsid w:val="00F5422C"/>
    <w:rsid w:val="00F54235"/>
    <w:rsid w:val="00F54242"/>
    <w:rsid w:val="00F546D3"/>
    <w:rsid w:val="00F54BE6"/>
    <w:rsid w:val="00F54C65"/>
    <w:rsid w:val="00F54F0A"/>
    <w:rsid w:val="00F551D4"/>
    <w:rsid w:val="00F554FE"/>
    <w:rsid w:val="00F558EA"/>
    <w:rsid w:val="00F55941"/>
    <w:rsid w:val="00F55A99"/>
    <w:rsid w:val="00F55E8B"/>
    <w:rsid w:val="00F562E8"/>
    <w:rsid w:val="00F5671F"/>
    <w:rsid w:val="00F56729"/>
    <w:rsid w:val="00F56EDC"/>
    <w:rsid w:val="00F5722E"/>
    <w:rsid w:val="00F57423"/>
    <w:rsid w:val="00F577DF"/>
    <w:rsid w:val="00F57A8A"/>
    <w:rsid w:val="00F57D11"/>
    <w:rsid w:val="00F6005E"/>
    <w:rsid w:val="00F602A1"/>
    <w:rsid w:val="00F605F2"/>
    <w:rsid w:val="00F608E9"/>
    <w:rsid w:val="00F6090E"/>
    <w:rsid w:val="00F60A10"/>
    <w:rsid w:val="00F60E46"/>
    <w:rsid w:val="00F60E86"/>
    <w:rsid w:val="00F60F8B"/>
    <w:rsid w:val="00F6102E"/>
    <w:rsid w:val="00F615CF"/>
    <w:rsid w:val="00F61707"/>
    <w:rsid w:val="00F61834"/>
    <w:rsid w:val="00F6184E"/>
    <w:rsid w:val="00F61856"/>
    <w:rsid w:val="00F6188B"/>
    <w:rsid w:val="00F61B84"/>
    <w:rsid w:val="00F62188"/>
    <w:rsid w:val="00F62199"/>
    <w:rsid w:val="00F621B8"/>
    <w:rsid w:val="00F62627"/>
    <w:rsid w:val="00F62894"/>
    <w:rsid w:val="00F62D34"/>
    <w:rsid w:val="00F62DB7"/>
    <w:rsid w:val="00F62E78"/>
    <w:rsid w:val="00F62F70"/>
    <w:rsid w:val="00F62FE3"/>
    <w:rsid w:val="00F6301C"/>
    <w:rsid w:val="00F63BC6"/>
    <w:rsid w:val="00F63DE8"/>
    <w:rsid w:val="00F642FA"/>
    <w:rsid w:val="00F64442"/>
    <w:rsid w:val="00F6474D"/>
    <w:rsid w:val="00F647FC"/>
    <w:rsid w:val="00F6483E"/>
    <w:rsid w:val="00F64910"/>
    <w:rsid w:val="00F64A64"/>
    <w:rsid w:val="00F64C74"/>
    <w:rsid w:val="00F64CDC"/>
    <w:rsid w:val="00F64F37"/>
    <w:rsid w:val="00F65031"/>
    <w:rsid w:val="00F652C8"/>
    <w:rsid w:val="00F65340"/>
    <w:rsid w:val="00F65AE9"/>
    <w:rsid w:val="00F65C1E"/>
    <w:rsid w:val="00F65CCA"/>
    <w:rsid w:val="00F65CFD"/>
    <w:rsid w:val="00F65D2A"/>
    <w:rsid w:val="00F65DF5"/>
    <w:rsid w:val="00F66010"/>
    <w:rsid w:val="00F66128"/>
    <w:rsid w:val="00F66193"/>
    <w:rsid w:val="00F66231"/>
    <w:rsid w:val="00F66363"/>
    <w:rsid w:val="00F663BB"/>
    <w:rsid w:val="00F66616"/>
    <w:rsid w:val="00F667C7"/>
    <w:rsid w:val="00F66D75"/>
    <w:rsid w:val="00F66DC3"/>
    <w:rsid w:val="00F66ECB"/>
    <w:rsid w:val="00F66F92"/>
    <w:rsid w:val="00F6745A"/>
    <w:rsid w:val="00F675D6"/>
    <w:rsid w:val="00F67631"/>
    <w:rsid w:val="00F67A5A"/>
    <w:rsid w:val="00F67B3B"/>
    <w:rsid w:val="00F70059"/>
    <w:rsid w:val="00F70304"/>
    <w:rsid w:val="00F7042D"/>
    <w:rsid w:val="00F70573"/>
    <w:rsid w:val="00F708AE"/>
    <w:rsid w:val="00F70A4C"/>
    <w:rsid w:val="00F70A5E"/>
    <w:rsid w:val="00F70B21"/>
    <w:rsid w:val="00F70D78"/>
    <w:rsid w:val="00F70FD8"/>
    <w:rsid w:val="00F70FF2"/>
    <w:rsid w:val="00F7129E"/>
    <w:rsid w:val="00F71465"/>
    <w:rsid w:val="00F71506"/>
    <w:rsid w:val="00F71518"/>
    <w:rsid w:val="00F716CB"/>
    <w:rsid w:val="00F71DCD"/>
    <w:rsid w:val="00F7203B"/>
    <w:rsid w:val="00F72649"/>
    <w:rsid w:val="00F726E0"/>
    <w:rsid w:val="00F72865"/>
    <w:rsid w:val="00F72A9F"/>
    <w:rsid w:val="00F72B6F"/>
    <w:rsid w:val="00F72BA1"/>
    <w:rsid w:val="00F72EAF"/>
    <w:rsid w:val="00F7348A"/>
    <w:rsid w:val="00F737E7"/>
    <w:rsid w:val="00F73BB1"/>
    <w:rsid w:val="00F747B2"/>
    <w:rsid w:val="00F74A46"/>
    <w:rsid w:val="00F74BFD"/>
    <w:rsid w:val="00F74D8F"/>
    <w:rsid w:val="00F74ECA"/>
    <w:rsid w:val="00F74FED"/>
    <w:rsid w:val="00F75055"/>
    <w:rsid w:val="00F752DC"/>
    <w:rsid w:val="00F75569"/>
    <w:rsid w:val="00F75C97"/>
    <w:rsid w:val="00F75FE8"/>
    <w:rsid w:val="00F761B2"/>
    <w:rsid w:val="00F7630E"/>
    <w:rsid w:val="00F76C06"/>
    <w:rsid w:val="00F76D18"/>
    <w:rsid w:val="00F76E2B"/>
    <w:rsid w:val="00F770A5"/>
    <w:rsid w:val="00F77166"/>
    <w:rsid w:val="00F77397"/>
    <w:rsid w:val="00F77421"/>
    <w:rsid w:val="00F777C8"/>
    <w:rsid w:val="00F77858"/>
    <w:rsid w:val="00F778A5"/>
    <w:rsid w:val="00F778EE"/>
    <w:rsid w:val="00F77B77"/>
    <w:rsid w:val="00F8007E"/>
    <w:rsid w:val="00F80083"/>
    <w:rsid w:val="00F801AB"/>
    <w:rsid w:val="00F8025E"/>
    <w:rsid w:val="00F8026C"/>
    <w:rsid w:val="00F802A8"/>
    <w:rsid w:val="00F80603"/>
    <w:rsid w:val="00F8087C"/>
    <w:rsid w:val="00F814AA"/>
    <w:rsid w:val="00F81564"/>
    <w:rsid w:val="00F81C8A"/>
    <w:rsid w:val="00F81E6C"/>
    <w:rsid w:val="00F8206A"/>
    <w:rsid w:val="00F82254"/>
    <w:rsid w:val="00F8245B"/>
    <w:rsid w:val="00F828EA"/>
    <w:rsid w:val="00F82929"/>
    <w:rsid w:val="00F82BC4"/>
    <w:rsid w:val="00F82D47"/>
    <w:rsid w:val="00F82DA2"/>
    <w:rsid w:val="00F82EFC"/>
    <w:rsid w:val="00F83038"/>
    <w:rsid w:val="00F8342B"/>
    <w:rsid w:val="00F83564"/>
    <w:rsid w:val="00F83599"/>
    <w:rsid w:val="00F836C6"/>
    <w:rsid w:val="00F83BAF"/>
    <w:rsid w:val="00F84259"/>
    <w:rsid w:val="00F8428C"/>
    <w:rsid w:val="00F844B7"/>
    <w:rsid w:val="00F84805"/>
    <w:rsid w:val="00F84ABD"/>
    <w:rsid w:val="00F84B20"/>
    <w:rsid w:val="00F84C14"/>
    <w:rsid w:val="00F84D1D"/>
    <w:rsid w:val="00F852F3"/>
    <w:rsid w:val="00F85503"/>
    <w:rsid w:val="00F85A52"/>
    <w:rsid w:val="00F85BD3"/>
    <w:rsid w:val="00F85C85"/>
    <w:rsid w:val="00F85D86"/>
    <w:rsid w:val="00F85E2F"/>
    <w:rsid w:val="00F86151"/>
    <w:rsid w:val="00F861D8"/>
    <w:rsid w:val="00F86280"/>
    <w:rsid w:val="00F8656E"/>
    <w:rsid w:val="00F86736"/>
    <w:rsid w:val="00F867B8"/>
    <w:rsid w:val="00F868CE"/>
    <w:rsid w:val="00F86E2D"/>
    <w:rsid w:val="00F86FD0"/>
    <w:rsid w:val="00F8718B"/>
    <w:rsid w:val="00F87273"/>
    <w:rsid w:val="00F87490"/>
    <w:rsid w:val="00F874CE"/>
    <w:rsid w:val="00F874F8"/>
    <w:rsid w:val="00F87660"/>
    <w:rsid w:val="00F876D7"/>
    <w:rsid w:val="00F878C7"/>
    <w:rsid w:val="00F87C58"/>
    <w:rsid w:val="00F9036C"/>
    <w:rsid w:val="00F90372"/>
    <w:rsid w:val="00F906F0"/>
    <w:rsid w:val="00F909AF"/>
    <w:rsid w:val="00F90E3C"/>
    <w:rsid w:val="00F90F1C"/>
    <w:rsid w:val="00F9114C"/>
    <w:rsid w:val="00F914D9"/>
    <w:rsid w:val="00F9163A"/>
    <w:rsid w:val="00F91646"/>
    <w:rsid w:val="00F916DA"/>
    <w:rsid w:val="00F9176A"/>
    <w:rsid w:val="00F91877"/>
    <w:rsid w:val="00F91AB4"/>
    <w:rsid w:val="00F91B4B"/>
    <w:rsid w:val="00F91BED"/>
    <w:rsid w:val="00F91EC8"/>
    <w:rsid w:val="00F92359"/>
    <w:rsid w:val="00F92943"/>
    <w:rsid w:val="00F92A47"/>
    <w:rsid w:val="00F92BEA"/>
    <w:rsid w:val="00F92FBC"/>
    <w:rsid w:val="00F932F5"/>
    <w:rsid w:val="00F93CFA"/>
    <w:rsid w:val="00F93E7F"/>
    <w:rsid w:val="00F93F70"/>
    <w:rsid w:val="00F941F7"/>
    <w:rsid w:val="00F944AF"/>
    <w:rsid w:val="00F944D8"/>
    <w:rsid w:val="00F94786"/>
    <w:rsid w:val="00F94A64"/>
    <w:rsid w:val="00F94B1D"/>
    <w:rsid w:val="00F94C40"/>
    <w:rsid w:val="00F95083"/>
    <w:rsid w:val="00F950B6"/>
    <w:rsid w:val="00F950D7"/>
    <w:rsid w:val="00F9541F"/>
    <w:rsid w:val="00F95577"/>
    <w:rsid w:val="00F95582"/>
    <w:rsid w:val="00F956EA"/>
    <w:rsid w:val="00F95B2C"/>
    <w:rsid w:val="00F95B4D"/>
    <w:rsid w:val="00F95BA9"/>
    <w:rsid w:val="00F95BFF"/>
    <w:rsid w:val="00F95CE0"/>
    <w:rsid w:val="00F95DF5"/>
    <w:rsid w:val="00F95F8A"/>
    <w:rsid w:val="00F9600A"/>
    <w:rsid w:val="00F960D2"/>
    <w:rsid w:val="00F96111"/>
    <w:rsid w:val="00F9672C"/>
    <w:rsid w:val="00F968EB"/>
    <w:rsid w:val="00F96926"/>
    <w:rsid w:val="00F969A5"/>
    <w:rsid w:val="00F9701B"/>
    <w:rsid w:val="00F973C8"/>
    <w:rsid w:val="00F97431"/>
    <w:rsid w:val="00F975C5"/>
    <w:rsid w:val="00F97794"/>
    <w:rsid w:val="00F97925"/>
    <w:rsid w:val="00F97A34"/>
    <w:rsid w:val="00F97DF8"/>
    <w:rsid w:val="00FA02B8"/>
    <w:rsid w:val="00FA08A2"/>
    <w:rsid w:val="00FA0A1C"/>
    <w:rsid w:val="00FA0A24"/>
    <w:rsid w:val="00FA0BC8"/>
    <w:rsid w:val="00FA11D0"/>
    <w:rsid w:val="00FA1213"/>
    <w:rsid w:val="00FA1221"/>
    <w:rsid w:val="00FA14A1"/>
    <w:rsid w:val="00FA154B"/>
    <w:rsid w:val="00FA164E"/>
    <w:rsid w:val="00FA1707"/>
    <w:rsid w:val="00FA1743"/>
    <w:rsid w:val="00FA182B"/>
    <w:rsid w:val="00FA18F7"/>
    <w:rsid w:val="00FA1CE0"/>
    <w:rsid w:val="00FA1ECF"/>
    <w:rsid w:val="00FA1F0E"/>
    <w:rsid w:val="00FA1F46"/>
    <w:rsid w:val="00FA1F56"/>
    <w:rsid w:val="00FA2206"/>
    <w:rsid w:val="00FA2681"/>
    <w:rsid w:val="00FA2781"/>
    <w:rsid w:val="00FA293C"/>
    <w:rsid w:val="00FA296B"/>
    <w:rsid w:val="00FA2B02"/>
    <w:rsid w:val="00FA2B7A"/>
    <w:rsid w:val="00FA2C19"/>
    <w:rsid w:val="00FA2E01"/>
    <w:rsid w:val="00FA2EA4"/>
    <w:rsid w:val="00FA2FBD"/>
    <w:rsid w:val="00FA3071"/>
    <w:rsid w:val="00FA327C"/>
    <w:rsid w:val="00FA342D"/>
    <w:rsid w:val="00FA38C3"/>
    <w:rsid w:val="00FA39A0"/>
    <w:rsid w:val="00FA3F37"/>
    <w:rsid w:val="00FA3F73"/>
    <w:rsid w:val="00FA40C7"/>
    <w:rsid w:val="00FA41A8"/>
    <w:rsid w:val="00FA44D4"/>
    <w:rsid w:val="00FA46E4"/>
    <w:rsid w:val="00FA47FB"/>
    <w:rsid w:val="00FA4973"/>
    <w:rsid w:val="00FA4A15"/>
    <w:rsid w:val="00FA4BE4"/>
    <w:rsid w:val="00FA4C8B"/>
    <w:rsid w:val="00FA5366"/>
    <w:rsid w:val="00FA5539"/>
    <w:rsid w:val="00FA562D"/>
    <w:rsid w:val="00FA583C"/>
    <w:rsid w:val="00FA5A35"/>
    <w:rsid w:val="00FA5B51"/>
    <w:rsid w:val="00FA5E28"/>
    <w:rsid w:val="00FA5E85"/>
    <w:rsid w:val="00FA5E91"/>
    <w:rsid w:val="00FA63FA"/>
    <w:rsid w:val="00FA6626"/>
    <w:rsid w:val="00FA6A3E"/>
    <w:rsid w:val="00FA6D76"/>
    <w:rsid w:val="00FA6E30"/>
    <w:rsid w:val="00FA6E8C"/>
    <w:rsid w:val="00FA6F2D"/>
    <w:rsid w:val="00FA6FB7"/>
    <w:rsid w:val="00FA7133"/>
    <w:rsid w:val="00FA7466"/>
    <w:rsid w:val="00FA754A"/>
    <w:rsid w:val="00FA76CB"/>
    <w:rsid w:val="00FA782B"/>
    <w:rsid w:val="00FA7A98"/>
    <w:rsid w:val="00FA7BF4"/>
    <w:rsid w:val="00FA7DC9"/>
    <w:rsid w:val="00FB03C3"/>
    <w:rsid w:val="00FB057D"/>
    <w:rsid w:val="00FB05EB"/>
    <w:rsid w:val="00FB0816"/>
    <w:rsid w:val="00FB0AF5"/>
    <w:rsid w:val="00FB0B62"/>
    <w:rsid w:val="00FB0FB0"/>
    <w:rsid w:val="00FB1115"/>
    <w:rsid w:val="00FB12E8"/>
    <w:rsid w:val="00FB1487"/>
    <w:rsid w:val="00FB14F7"/>
    <w:rsid w:val="00FB155C"/>
    <w:rsid w:val="00FB1717"/>
    <w:rsid w:val="00FB175E"/>
    <w:rsid w:val="00FB18C4"/>
    <w:rsid w:val="00FB19B8"/>
    <w:rsid w:val="00FB1E56"/>
    <w:rsid w:val="00FB1EDA"/>
    <w:rsid w:val="00FB1F16"/>
    <w:rsid w:val="00FB1FD2"/>
    <w:rsid w:val="00FB2189"/>
    <w:rsid w:val="00FB2891"/>
    <w:rsid w:val="00FB28B7"/>
    <w:rsid w:val="00FB2F87"/>
    <w:rsid w:val="00FB3182"/>
    <w:rsid w:val="00FB3470"/>
    <w:rsid w:val="00FB365D"/>
    <w:rsid w:val="00FB37B1"/>
    <w:rsid w:val="00FB388E"/>
    <w:rsid w:val="00FB38E2"/>
    <w:rsid w:val="00FB39F9"/>
    <w:rsid w:val="00FB3A98"/>
    <w:rsid w:val="00FB3AAE"/>
    <w:rsid w:val="00FB3AC7"/>
    <w:rsid w:val="00FB3BF0"/>
    <w:rsid w:val="00FB3CB4"/>
    <w:rsid w:val="00FB3E85"/>
    <w:rsid w:val="00FB3FCC"/>
    <w:rsid w:val="00FB430A"/>
    <w:rsid w:val="00FB433B"/>
    <w:rsid w:val="00FB4485"/>
    <w:rsid w:val="00FB468A"/>
    <w:rsid w:val="00FB4AE4"/>
    <w:rsid w:val="00FB4CFC"/>
    <w:rsid w:val="00FB4E54"/>
    <w:rsid w:val="00FB4EFC"/>
    <w:rsid w:val="00FB4F78"/>
    <w:rsid w:val="00FB54D4"/>
    <w:rsid w:val="00FB5878"/>
    <w:rsid w:val="00FB5DBB"/>
    <w:rsid w:val="00FB6002"/>
    <w:rsid w:val="00FB621E"/>
    <w:rsid w:val="00FB64C8"/>
    <w:rsid w:val="00FB68FF"/>
    <w:rsid w:val="00FB6BE8"/>
    <w:rsid w:val="00FB6D29"/>
    <w:rsid w:val="00FB6D68"/>
    <w:rsid w:val="00FB7322"/>
    <w:rsid w:val="00FB7377"/>
    <w:rsid w:val="00FB73C7"/>
    <w:rsid w:val="00FB7920"/>
    <w:rsid w:val="00FB7BE1"/>
    <w:rsid w:val="00FB7C1A"/>
    <w:rsid w:val="00FB7DA5"/>
    <w:rsid w:val="00FC005B"/>
    <w:rsid w:val="00FC071A"/>
    <w:rsid w:val="00FC0BBA"/>
    <w:rsid w:val="00FC0DE6"/>
    <w:rsid w:val="00FC1036"/>
    <w:rsid w:val="00FC113D"/>
    <w:rsid w:val="00FC11C3"/>
    <w:rsid w:val="00FC1347"/>
    <w:rsid w:val="00FC1378"/>
    <w:rsid w:val="00FC1379"/>
    <w:rsid w:val="00FC14DE"/>
    <w:rsid w:val="00FC183C"/>
    <w:rsid w:val="00FC26B9"/>
    <w:rsid w:val="00FC2781"/>
    <w:rsid w:val="00FC28C2"/>
    <w:rsid w:val="00FC2B55"/>
    <w:rsid w:val="00FC2C71"/>
    <w:rsid w:val="00FC2D7A"/>
    <w:rsid w:val="00FC34E3"/>
    <w:rsid w:val="00FC351D"/>
    <w:rsid w:val="00FC37CF"/>
    <w:rsid w:val="00FC38E3"/>
    <w:rsid w:val="00FC391E"/>
    <w:rsid w:val="00FC3A5D"/>
    <w:rsid w:val="00FC3AEE"/>
    <w:rsid w:val="00FC3F6D"/>
    <w:rsid w:val="00FC3FAD"/>
    <w:rsid w:val="00FC3FCD"/>
    <w:rsid w:val="00FC42E9"/>
    <w:rsid w:val="00FC463E"/>
    <w:rsid w:val="00FC4697"/>
    <w:rsid w:val="00FC470A"/>
    <w:rsid w:val="00FC47E1"/>
    <w:rsid w:val="00FC4A64"/>
    <w:rsid w:val="00FC4DCE"/>
    <w:rsid w:val="00FC4F49"/>
    <w:rsid w:val="00FC51FA"/>
    <w:rsid w:val="00FC553B"/>
    <w:rsid w:val="00FC5554"/>
    <w:rsid w:val="00FC57C2"/>
    <w:rsid w:val="00FC61A4"/>
    <w:rsid w:val="00FC642D"/>
    <w:rsid w:val="00FC65A6"/>
    <w:rsid w:val="00FC65D5"/>
    <w:rsid w:val="00FC67EC"/>
    <w:rsid w:val="00FC67FF"/>
    <w:rsid w:val="00FC6852"/>
    <w:rsid w:val="00FC6FB5"/>
    <w:rsid w:val="00FC7084"/>
    <w:rsid w:val="00FC7A46"/>
    <w:rsid w:val="00FC7C3E"/>
    <w:rsid w:val="00FC7EEE"/>
    <w:rsid w:val="00FC7FAE"/>
    <w:rsid w:val="00FD032D"/>
    <w:rsid w:val="00FD037D"/>
    <w:rsid w:val="00FD0A47"/>
    <w:rsid w:val="00FD0B54"/>
    <w:rsid w:val="00FD0B7A"/>
    <w:rsid w:val="00FD0CF0"/>
    <w:rsid w:val="00FD0EF3"/>
    <w:rsid w:val="00FD0F73"/>
    <w:rsid w:val="00FD107E"/>
    <w:rsid w:val="00FD1204"/>
    <w:rsid w:val="00FD123F"/>
    <w:rsid w:val="00FD1582"/>
    <w:rsid w:val="00FD19D5"/>
    <w:rsid w:val="00FD1ADF"/>
    <w:rsid w:val="00FD1B89"/>
    <w:rsid w:val="00FD1BBA"/>
    <w:rsid w:val="00FD1DB9"/>
    <w:rsid w:val="00FD218E"/>
    <w:rsid w:val="00FD21B9"/>
    <w:rsid w:val="00FD21DA"/>
    <w:rsid w:val="00FD2305"/>
    <w:rsid w:val="00FD2AFB"/>
    <w:rsid w:val="00FD2CCD"/>
    <w:rsid w:val="00FD2CDB"/>
    <w:rsid w:val="00FD2D53"/>
    <w:rsid w:val="00FD2F99"/>
    <w:rsid w:val="00FD34A7"/>
    <w:rsid w:val="00FD357A"/>
    <w:rsid w:val="00FD3825"/>
    <w:rsid w:val="00FD3A72"/>
    <w:rsid w:val="00FD3DA0"/>
    <w:rsid w:val="00FD3F0A"/>
    <w:rsid w:val="00FD4037"/>
    <w:rsid w:val="00FD4267"/>
    <w:rsid w:val="00FD4803"/>
    <w:rsid w:val="00FD48FB"/>
    <w:rsid w:val="00FD497D"/>
    <w:rsid w:val="00FD4A37"/>
    <w:rsid w:val="00FD4E11"/>
    <w:rsid w:val="00FD50D8"/>
    <w:rsid w:val="00FD5141"/>
    <w:rsid w:val="00FD52E1"/>
    <w:rsid w:val="00FD53D3"/>
    <w:rsid w:val="00FD56F2"/>
    <w:rsid w:val="00FD59BD"/>
    <w:rsid w:val="00FD5AF4"/>
    <w:rsid w:val="00FD5E09"/>
    <w:rsid w:val="00FD5EA7"/>
    <w:rsid w:val="00FD6135"/>
    <w:rsid w:val="00FD62E9"/>
    <w:rsid w:val="00FD64B7"/>
    <w:rsid w:val="00FD659C"/>
    <w:rsid w:val="00FD660C"/>
    <w:rsid w:val="00FD665B"/>
    <w:rsid w:val="00FD6800"/>
    <w:rsid w:val="00FD68A0"/>
    <w:rsid w:val="00FD69B4"/>
    <w:rsid w:val="00FD6D28"/>
    <w:rsid w:val="00FD7171"/>
    <w:rsid w:val="00FD73ED"/>
    <w:rsid w:val="00FD74CD"/>
    <w:rsid w:val="00FD7641"/>
    <w:rsid w:val="00FD79A7"/>
    <w:rsid w:val="00FD7A3E"/>
    <w:rsid w:val="00FD7D57"/>
    <w:rsid w:val="00FE05B1"/>
    <w:rsid w:val="00FE0A16"/>
    <w:rsid w:val="00FE0B48"/>
    <w:rsid w:val="00FE0C7C"/>
    <w:rsid w:val="00FE0D5D"/>
    <w:rsid w:val="00FE0D9B"/>
    <w:rsid w:val="00FE0E5F"/>
    <w:rsid w:val="00FE0EC4"/>
    <w:rsid w:val="00FE0FC3"/>
    <w:rsid w:val="00FE1349"/>
    <w:rsid w:val="00FE1596"/>
    <w:rsid w:val="00FE162E"/>
    <w:rsid w:val="00FE19A1"/>
    <w:rsid w:val="00FE19C8"/>
    <w:rsid w:val="00FE1A4F"/>
    <w:rsid w:val="00FE1B49"/>
    <w:rsid w:val="00FE1CC7"/>
    <w:rsid w:val="00FE1D1D"/>
    <w:rsid w:val="00FE2513"/>
    <w:rsid w:val="00FE2A2B"/>
    <w:rsid w:val="00FE2A3C"/>
    <w:rsid w:val="00FE2B6A"/>
    <w:rsid w:val="00FE2B90"/>
    <w:rsid w:val="00FE2EAF"/>
    <w:rsid w:val="00FE328D"/>
    <w:rsid w:val="00FE33A3"/>
    <w:rsid w:val="00FE33F6"/>
    <w:rsid w:val="00FE34C4"/>
    <w:rsid w:val="00FE3731"/>
    <w:rsid w:val="00FE37B5"/>
    <w:rsid w:val="00FE3905"/>
    <w:rsid w:val="00FE3977"/>
    <w:rsid w:val="00FE3AA0"/>
    <w:rsid w:val="00FE3AD5"/>
    <w:rsid w:val="00FE3D35"/>
    <w:rsid w:val="00FE3D3B"/>
    <w:rsid w:val="00FE46D9"/>
    <w:rsid w:val="00FE4941"/>
    <w:rsid w:val="00FE4E9F"/>
    <w:rsid w:val="00FE50C3"/>
    <w:rsid w:val="00FE5217"/>
    <w:rsid w:val="00FE53D9"/>
    <w:rsid w:val="00FE5547"/>
    <w:rsid w:val="00FE5A2E"/>
    <w:rsid w:val="00FE5B4D"/>
    <w:rsid w:val="00FE5BB4"/>
    <w:rsid w:val="00FE5BBA"/>
    <w:rsid w:val="00FE5C56"/>
    <w:rsid w:val="00FE5E82"/>
    <w:rsid w:val="00FE5F3E"/>
    <w:rsid w:val="00FE5F77"/>
    <w:rsid w:val="00FE6230"/>
    <w:rsid w:val="00FE64BB"/>
    <w:rsid w:val="00FE6844"/>
    <w:rsid w:val="00FE68D7"/>
    <w:rsid w:val="00FE6C84"/>
    <w:rsid w:val="00FE6D83"/>
    <w:rsid w:val="00FE7427"/>
    <w:rsid w:val="00FE7A02"/>
    <w:rsid w:val="00FE7A25"/>
    <w:rsid w:val="00FE7BEE"/>
    <w:rsid w:val="00FE7D1A"/>
    <w:rsid w:val="00FE7EE2"/>
    <w:rsid w:val="00FF017C"/>
    <w:rsid w:val="00FF03A6"/>
    <w:rsid w:val="00FF05A8"/>
    <w:rsid w:val="00FF0736"/>
    <w:rsid w:val="00FF0756"/>
    <w:rsid w:val="00FF0797"/>
    <w:rsid w:val="00FF094E"/>
    <w:rsid w:val="00FF0961"/>
    <w:rsid w:val="00FF09B8"/>
    <w:rsid w:val="00FF0A0C"/>
    <w:rsid w:val="00FF0D67"/>
    <w:rsid w:val="00FF0DE1"/>
    <w:rsid w:val="00FF0F7F"/>
    <w:rsid w:val="00FF102B"/>
    <w:rsid w:val="00FF1191"/>
    <w:rsid w:val="00FF1305"/>
    <w:rsid w:val="00FF1316"/>
    <w:rsid w:val="00FF1620"/>
    <w:rsid w:val="00FF1A8C"/>
    <w:rsid w:val="00FF2327"/>
    <w:rsid w:val="00FF2372"/>
    <w:rsid w:val="00FF2430"/>
    <w:rsid w:val="00FF2431"/>
    <w:rsid w:val="00FF2516"/>
    <w:rsid w:val="00FF2554"/>
    <w:rsid w:val="00FF2BDC"/>
    <w:rsid w:val="00FF2C11"/>
    <w:rsid w:val="00FF2E3B"/>
    <w:rsid w:val="00FF3214"/>
    <w:rsid w:val="00FF37E9"/>
    <w:rsid w:val="00FF3A95"/>
    <w:rsid w:val="00FF3C03"/>
    <w:rsid w:val="00FF3CA3"/>
    <w:rsid w:val="00FF3E2A"/>
    <w:rsid w:val="00FF3E9E"/>
    <w:rsid w:val="00FF3F8C"/>
    <w:rsid w:val="00FF41CD"/>
    <w:rsid w:val="00FF4362"/>
    <w:rsid w:val="00FF44EF"/>
    <w:rsid w:val="00FF499F"/>
    <w:rsid w:val="00FF4F37"/>
    <w:rsid w:val="00FF50E1"/>
    <w:rsid w:val="00FF54DC"/>
    <w:rsid w:val="00FF599F"/>
    <w:rsid w:val="00FF5FB7"/>
    <w:rsid w:val="00FF6364"/>
    <w:rsid w:val="00FF6438"/>
    <w:rsid w:val="00FF64E4"/>
    <w:rsid w:val="00FF6505"/>
    <w:rsid w:val="00FF65E3"/>
    <w:rsid w:val="00FF6C58"/>
    <w:rsid w:val="00FF749E"/>
    <w:rsid w:val="00FF7544"/>
    <w:rsid w:val="00FF773E"/>
    <w:rsid w:val="00FF7898"/>
    <w:rsid w:val="00FF78F5"/>
    <w:rsid w:val="01251440"/>
    <w:rsid w:val="0157535D"/>
    <w:rsid w:val="0195E0EE"/>
    <w:rsid w:val="019E428A"/>
    <w:rsid w:val="02126BD4"/>
    <w:rsid w:val="0217F436"/>
    <w:rsid w:val="021F2AF1"/>
    <w:rsid w:val="02271BF6"/>
    <w:rsid w:val="024B1650"/>
    <w:rsid w:val="0272C1F1"/>
    <w:rsid w:val="02A3456C"/>
    <w:rsid w:val="02B036D8"/>
    <w:rsid w:val="03170942"/>
    <w:rsid w:val="031D0145"/>
    <w:rsid w:val="0374773D"/>
    <w:rsid w:val="0389528C"/>
    <w:rsid w:val="03E07117"/>
    <w:rsid w:val="0418AA09"/>
    <w:rsid w:val="04780CFC"/>
    <w:rsid w:val="049B3268"/>
    <w:rsid w:val="04D5E34C"/>
    <w:rsid w:val="0544E9DF"/>
    <w:rsid w:val="0584F84C"/>
    <w:rsid w:val="05C0DC36"/>
    <w:rsid w:val="05CA74A5"/>
    <w:rsid w:val="05EADFC1"/>
    <w:rsid w:val="05F656BA"/>
    <w:rsid w:val="0615E33A"/>
    <w:rsid w:val="06213600"/>
    <w:rsid w:val="062F6E32"/>
    <w:rsid w:val="0635900B"/>
    <w:rsid w:val="0672E791"/>
    <w:rsid w:val="06817147"/>
    <w:rsid w:val="071E8773"/>
    <w:rsid w:val="072EF3A1"/>
    <w:rsid w:val="072F9BFC"/>
    <w:rsid w:val="0776A064"/>
    <w:rsid w:val="077EF08C"/>
    <w:rsid w:val="07AD50D9"/>
    <w:rsid w:val="0883054F"/>
    <w:rsid w:val="089247E8"/>
    <w:rsid w:val="08C5F1F2"/>
    <w:rsid w:val="09314862"/>
    <w:rsid w:val="09538596"/>
    <w:rsid w:val="096D90FD"/>
    <w:rsid w:val="097A4274"/>
    <w:rsid w:val="097E1D55"/>
    <w:rsid w:val="09A9546F"/>
    <w:rsid w:val="09DA8336"/>
    <w:rsid w:val="09E9B795"/>
    <w:rsid w:val="0A57AC26"/>
    <w:rsid w:val="0A5EDC84"/>
    <w:rsid w:val="0A6F5092"/>
    <w:rsid w:val="0AB63FBF"/>
    <w:rsid w:val="0B3823CE"/>
    <w:rsid w:val="0B59F3B7"/>
    <w:rsid w:val="0BEFBE8F"/>
    <w:rsid w:val="0C19AFE8"/>
    <w:rsid w:val="0C61FB4E"/>
    <w:rsid w:val="0C65AAA2"/>
    <w:rsid w:val="0C73E3BC"/>
    <w:rsid w:val="0CA43619"/>
    <w:rsid w:val="0CA70E96"/>
    <w:rsid w:val="0CBAED33"/>
    <w:rsid w:val="0D8DC8F7"/>
    <w:rsid w:val="0DA49C94"/>
    <w:rsid w:val="0E222203"/>
    <w:rsid w:val="0E3D6DF3"/>
    <w:rsid w:val="0E61EDF3"/>
    <w:rsid w:val="0EB9604A"/>
    <w:rsid w:val="0EC88728"/>
    <w:rsid w:val="0F010F2C"/>
    <w:rsid w:val="0F5B4805"/>
    <w:rsid w:val="0FB2EC12"/>
    <w:rsid w:val="0FDAC60B"/>
    <w:rsid w:val="0FE98723"/>
    <w:rsid w:val="1021E43F"/>
    <w:rsid w:val="1053ED5A"/>
    <w:rsid w:val="1066CA1B"/>
    <w:rsid w:val="10FC7B08"/>
    <w:rsid w:val="11258143"/>
    <w:rsid w:val="112BC614"/>
    <w:rsid w:val="115AFF8E"/>
    <w:rsid w:val="1187CE74"/>
    <w:rsid w:val="1202A67E"/>
    <w:rsid w:val="1220A5D8"/>
    <w:rsid w:val="124BE86E"/>
    <w:rsid w:val="12C151A4"/>
    <w:rsid w:val="12C31295"/>
    <w:rsid w:val="12D0CE74"/>
    <w:rsid w:val="12E2702A"/>
    <w:rsid w:val="12EDBF63"/>
    <w:rsid w:val="130B44DE"/>
    <w:rsid w:val="1338DD28"/>
    <w:rsid w:val="13692428"/>
    <w:rsid w:val="136E5736"/>
    <w:rsid w:val="138E0607"/>
    <w:rsid w:val="13924F72"/>
    <w:rsid w:val="139618B0"/>
    <w:rsid w:val="139D4D00"/>
    <w:rsid w:val="13F64BE5"/>
    <w:rsid w:val="143F3713"/>
    <w:rsid w:val="1443F9A8"/>
    <w:rsid w:val="1451BA37"/>
    <w:rsid w:val="146B4DDE"/>
    <w:rsid w:val="1503162F"/>
    <w:rsid w:val="151138D0"/>
    <w:rsid w:val="1539A76C"/>
    <w:rsid w:val="153C90D2"/>
    <w:rsid w:val="1565B63C"/>
    <w:rsid w:val="15B492EF"/>
    <w:rsid w:val="1618947A"/>
    <w:rsid w:val="1623A3D3"/>
    <w:rsid w:val="16376109"/>
    <w:rsid w:val="165990EF"/>
    <w:rsid w:val="166D803F"/>
    <w:rsid w:val="166FE7B5"/>
    <w:rsid w:val="16D57CE9"/>
    <w:rsid w:val="1746792C"/>
    <w:rsid w:val="17523A88"/>
    <w:rsid w:val="1758D545"/>
    <w:rsid w:val="175FBB0D"/>
    <w:rsid w:val="17977C83"/>
    <w:rsid w:val="17A2113F"/>
    <w:rsid w:val="17EF1FA4"/>
    <w:rsid w:val="183F09F9"/>
    <w:rsid w:val="18461E81"/>
    <w:rsid w:val="18ABC0C2"/>
    <w:rsid w:val="18FAA57D"/>
    <w:rsid w:val="19387FB3"/>
    <w:rsid w:val="193A8C54"/>
    <w:rsid w:val="19546FD4"/>
    <w:rsid w:val="1982E542"/>
    <w:rsid w:val="199BDA72"/>
    <w:rsid w:val="19C5E2F8"/>
    <w:rsid w:val="19C8C685"/>
    <w:rsid w:val="1A25E55F"/>
    <w:rsid w:val="1A3F9DAD"/>
    <w:rsid w:val="1AE1CC68"/>
    <w:rsid w:val="1B03638A"/>
    <w:rsid w:val="1B85A2C0"/>
    <w:rsid w:val="1BA1870A"/>
    <w:rsid w:val="1BD2AA02"/>
    <w:rsid w:val="1BF49C66"/>
    <w:rsid w:val="1C608511"/>
    <w:rsid w:val="1CD81E0F"/>
    <w:rsid w:val="1CEF5F41"/>
    <w:rsid w:val="1DBF3732"/>
    <w:rsid w:val="1DDD8BFA"/>
    <w:rsid w:val="1E1CB726"/>
    <w:rsid w:val="1E2240E0"/>
    <w:rsid w:val="1E23D835"/>
    <w:rsid w:val="1E3A96A5"/>
    <w:rsid w:val="1E99D568"/>
    <w:rsid w:val="1EE77678"/>
    <w:rsid w:val="1EF4D110"/>
    <w:rsid w:val="1F7983B2"/>
    <w:rsid w:val="1F89B5B2"/>
    <w:rsid w:val="1F9C4CF4"/>
    <w:rsid w:val="1FA38BDC"/>
    <w:rsid w:val="1FB4EB0F"/>
    <w:rsid w:val="1FF1DC3A"/>
    <w:rsid w:val="2013E21E"/>
    <w:rsid w:val="201EBFA1"/>
    <w:rsid w:val="20882261"/>
    <w:rsid w:val="2095EC35"/>
    <w:rsid w:val="209B842A"/>
    <w:rsid w:val="20A7A79B"/>
    <w:rsid w:val="20BBB505"/>
    <w:rsid w:val="20CB61BC"/>
    <w:rsid w:val="20D89F5E"/>
    <w:rsid w:val="20E79CE5"/>
    <w:rsid w:val="21150702"/>
    <w:rsid w:val="214B6D10"/>
    <w:rsid w:val="21714100"/>
    <w:rsid w:val="21963329"/>
    <w:rsid w:val="21963EB8"/>
    <w:rsid w:val="21A2FE55"/>
    <w:rsid w:val="2330712A"/>
    <w:rsid w:val="233E8EF8"/>
    <w:rsid w:val="2377627D"/>
    <w:rsid w:val="238F3BE7"/>
    <w:rsid w:val="2395DC78"/>
    <w:rsid w:val="23BFDAC6"/>
    <w:rsid w:val="23EDAE84"/>
    <w:rsid w:val="240820C4"/>
    <w:rsid w:val="249CB221"/>
    <w:rsid w:val="24B63342"/>
    <w:rsid w:val="24BCBE37"/>
    <w:rsid w:val="24C5B8EF"/>
    <w:rsid w:val="24E30AD1"/>
    <w:rsid w:val="256E2216"/>
    <w:rsid w:val="259DC3CF"/>
    <w:rsid w:val="259E306B"/>
    <w:rsid w:val="25B8F674"/>
    <w:rsid w:val="25BE84E0"/>
    <w:rsid w:val="2606A9AF"/>
    <w:rsid w:val="2610CCB7"/>
    <w:rsid w:val="2633649D"/>
    <w:rsid w:val="265EC424"/>
    <w:rsid w:val="266B2DA8"/>
    <w:rsid w:val="2678B3F7"/>
    <w:rsid w:val="26F8895D"/>
    <w:rsid w:val="27716187"/>
    <w:rsid w:val="27800FF1"/>
    <w:rsid w:val="27A1EBD9"/>
    <w:rsid w:val="27BF64F9"/>
    <w:rsid w:val="27CB350D"/>
    <w:rsid w:val="27ECD425"/>
    <w:rsid w:val="2816B3E4"/>
    <w:rsid w:val="28893A57"/>
    <w:rsid w:val="288FAA30"/>
    <w:rsid w:val="28F2AAE0"/>
    <w:rsid w:val="2925C2CD"/>
    <w:rsid w:val="29611BA7"/>
    <w:rsid w:val="297F7118"/>
    <w:rsid w:val="2981A391"/>
    <w:rsid w:val="29868CFD"/>
    <w:rsid w:val="29995BE8"/>
    <w:rsid w:val="29AA086B"/>
    <w:rsid w:val="2A031FEA"/>
    <w:rsid w:val="2A3F4DCB"/>
    <w:rsid w:val="2A4FB11D"/>
    <w:rsid w:val="2A6F5DEE"/>
    <w:rsid w:val="2A7134F2"/>
    <w:rsid w:val="2A92AB65"/>
    <w:rsid w:val="2A943105"/>
    <w:rsid w:val="2AA2E8D9"/>
    <w:rsid w:val="2AA7932F"/>
    <w:rsid w:val="2AAC01FD"/>
    <w:rsid w:val="2AB16129"/>
    <w:rsid w:val="2AB428C0"/>
    <w:rsid w:val="2AC13B3A"/>
    <w:rsid w:val="2AD00B7E"/>
    <w:rsid w:val="2B561E9F"/>
    <w:rsid w:val="2B7C8FCD"/>
    <w:rsid w:val="2BAD727C"/>
    <w:rsid w:val="2BED675C"/>
    <w:rsid w:val="2C20BECD"/>
    <w:rsid w:val="2C7BAEF3"/>
    <w:rsid w:val="2CC04FDF"/>
    <w:rsid w:val="2CC2C4D0"/>
    <w:rsid w:val="2CF8DAC0"/>
    <w:rsid w:val="2D1E7897"/>
    <w:rsid w:val="2D3022AD"/>
    <w:rsid w:val="2D304AA8"/>
    <w:rsid w:val="2D34C9E5"/>
    <w:rsid w:val="2D53FE80"/>
    <w:rsid w:val="2D62379A"/>
    <w:rsid w:val="2DF125A7"/>
    <w:rsid w:val="2DF66C95"/>
    <w:rsid w:val="2E6469CB"/>
    <w:rsid w:val="2E701134"/>
    <w:rsid w:val="2E94EEC2"/>
    <w:rsid w:val="2EAE6A6C"/>
    <w:rsid w:val="2EAFFE65"/>
    <w:rsid w:val="2EB7FF59"/>
    <w:rsid w:val="2EBC8DEF"/>
    <w:rsid w:val="2EF2A95B"/>
    <w:rsid w:val="2EFC60D2"/>
    <w:rsid w:val="2F0EAA42"/>
    <w:rsid w:val="2F517BD6"/>
    <w:rsid w:val="2F966EE6"/>
    <w:rsid w:val="2FBE62D3"/>
    <w:rsid w:val="2FFCE2CE"/>
    <w:rsid w:val="303B4C71"/>
    <w:rsid w:val="30805D68"/>
    <w:rsid w:val="3089AB48"/>
    <w:rsid w:val="3095BC50"/>
    <w:rsid w:val="309D05AC"/>
    <w:rsid w:val="30E07676"/>
    <w:rsid w:val="31237408"/>
    <w:rsid w:val="314ADE63"/>
    <w:rsid w:val="314EE6D7"/>
    <w:rsid w:val="315A9B13"/>
    <w:rsid w:val="31FCA39A"/>
    <w:rsid w:val="32192888"/>
    <w:rsid w:val="327E115C"/>
    <w:rsid w:val="32A43323"/>
    <w:rsid w:val="32D55D40"/>
    <w:rsid w:val="331A3213"/>
    <w:rsid w:val="33218726"/>
    <w:rsid w:val="33586A29"/>
    <w:rsid w:val="3368F263"/>
    <w:rsid w:val="33710A06"/>
    <w:rsid w:val="338D019D"/>
    <w:rsid w:val="33B569E2"/>
    <w:rsid w:val="343C4140"/>
    <w:rsid w:val="3466EDCA"/>
    <w:rsid w:val="348DB841"/>
    <w:rsid w:val="3539992E"/>
    <w:rsid w:val="3544399C"/>
    <w:rsid w:val="357245E4"/>
    <w:rsid w:val="363FCAC0"/>
    <w:rsid w:val="3640228B"/>
    <w:rsid w:val="364E377F"/>
    <w:rsid w:val="367325F4"/>
    <w:rsid w:val="36880C95"/>
    <w:rsid w:val="36959AD4"/>
    <w:rsid w:val="36AC4C78"/>
    <w:rsid w:val="36D6D61D"/>
    <w:rsid w:val="36DC3F10"/>
    <w:rsid w:val="372DBD8D"/>
    <w:rsid w:val="374B891A"/>
    <w:rsid w:val="37BAB6A4"/>
    <w:rsid w:val="37F22F6E"/>
    <w:rsid w:val="38046A9F"/>
    <w:rsid w:val="382A5290"/>
    <w:rsid w:val="382B7643"/>
    <w:rsid w:val="3844C181"/>
    <w:rsid w:val="38B0690C"/>
    <w:rsid w:val="39402AA7"/>
    <w:rsid w:val="395FEB7C"/>
    <w:rsid w:val="39B13C15"/>
    <w:rsid w:val="39C1B8C9"/>
    <w:rsid w:val="39E0514E"/>
    <w:rsid w:val="39F5F844"/>
    <w:rsid w:val="3A1ED35A"/>
    <w:rsid w:val="3A1FBF86"/>
    <w:rsid w:val="3A40704B"/>
    <w:rsid w:val="3A4ECA20"/>
    <w:rsid w:val="3A818532"/>
    <w:rsid w:val="3A93CE36"/>
    <w:rsid w:val="3B2A5CE9"/>
    <w:rsid w:val="3B3324D0"/>
    <w:rsid w:val="3B732E29"/>
    <w:rsid w:val="3B9F45B7"/>
    <w:rsid w:val="3BB0E0D5"/>
    <w:rsid w:val="3C14530C"/>
    <w:rsid w:val="3C5E07A9"/>
    <w:rsid w:val="3C801979"/>
    <w:rsid w:val="3CAE4090"/>
    <w:rsid w:val="3CD5D48A"/>
    <w:rsid w:val="3CDDEF5C"/>
    <w:rsid w:val="3CE0E659"/>
    <w:rsid w:val="3CE3E833"/>
    <w:rsid w:val="3CFEF8DC"/>
    <w:rsid w:val="3D76CF7B"/>
    <w:rsid w:val="3DB85126"/>
    <w:rsid w:val="3DE03037"/>
    <w:rsid w:val="3E15F9FF"/>
    <w:rsid w:val="3E39DBB1"/>
    <w:rsid w:val="3E47165C"/>
    <w:rsid w:val="3EF3B751"/>
    <w:rsid w:val="3EF5AA2D"/>
    <w:rsid w:val="3F2AF6B2"/>
    <w:rsid w:val="3F3F950A"/>
    <w:rsid w:val="3F734A71"/>
    <w:rsid w:val="3F9E7A53"/>
    <w:rsid w:val="3FABD275"/>
    <w:rsid w:val="3FAC193C"/>
    <w:rsid w:val="3FBB963F"/>
    <w:rsid w:val="3FDDC1F6"/>
    <w:rsid w:val="404E171A"/>
    <w:rsid w:val="407A92A7"/>
    <w:rsid w:val="40826B4D"/>
    <w:rsid w:val="408826D2"/>
    <w:rsid w:val="40B8D75E"/>
    <w:rsid w:val="40F1063A"/>
    <w:rsid w:val="41402AEE"/>
    <w:rsid w:val="41595035"/>
    <w:rsid w:val="417DC419"/>
    <w:rsid w:val="41EB1CB7"/>
    <w:rsid w:val="42213B1E"/>
    <w:rsid w:val="4257C67F"/>
    <w:rsid w:val="427052E1"/>
    <w:rsid w:val="42966CE8"/>
    <w:rsid w:val="42B9461D"/>
    <w:rsid w:val="42C88343"/>
    <w:rsid w:val="434B5D8F"/>
    <w:rsid w:val="4381FEB4"/>
    <w:rsid w:val="4388F5BF"/>
    <w:rsid w:val="439A652B"/>
    <w:rsid w:val="43A7C366"/>
    <w:rsid w:val="442E6878"/>
    <w:rsid w:val="44523A30"/>
    <w:rsid w:val="448B2B5E"/>
    <w:rsid w:val="44DA753C"/>
    <w:rsid w:val="44E55D50"/>
    <w:rsid w:val="44E5A7B1"/>
    <w:rsid w:val="453AB257"/>
    <w:rsid w:val="45716012"/>
    <w:rsid w:val="459AD83A"/>
    <w:rsid w:val="45CA0B63"/>
    <w:rsid w:val="460E0A50"/>
    <w:rsid w:val="4626FBBF"/>
    <w:rsid w:val="46555AB8"/>
    <w:rsid w:val="46A69C06"/>
    <w:rsid w:val="46A88562"/>
    <w:rsid w:val="46BDCE56"/>
    <w:rsid w:val="46CB5C29"/>
    <w:rsid w:val="46D0E065"/>
    <w:rsid w:val="46EADCA8"/>
    <w:rsid w:val="46EDAF22"/>
    <w:rsid w:val="46F7242E"/>
    <w:rsid w:val="47010FAD"/>
    <w:rsid w:val="475A36CB"/>
    <w:rsid w:val="47686B7A"/>
    <w:rsid w:val="4785C7A8"/>
    <w:rsid w:val="47F1A2D7"/>
    <w:rsid w:val="48085F7C"/>
    <w:rsid w:val="4873A132"/>
    <w:rsid w:val="4876995B"/>
    <w:rsid w:val="4881F79F"/>
    <w:rsid w:val="48E2C22C"/>
    <w:rsid w:val="4912A318"/>
    <w:rsid w:val="492725E0"/>
    <w:rsid w:val="495B9437"/>
    <w:rsid w:val="496EFBFC"/>
    <w:rsid w:val="499ED0F7"/>
    <w:rsid w:val="49A19BFF"/>
    <w:rsid w:val="49AE6938"/>
    <w:rsid w:val="49B318AF"/>
    <w:rsid w:val="49DED211"/>
    <w:rsid w:val="49DEF734"/>
    <w:rsid w:val="49E8CD28"/>
    <w:rsid w:val="49FBAD32"/>
    <w:rsid w:val="4A2CD7C8"/>
    <w:rsid w:val="4A42CC32"/>
    <w:rsid w:val="4A61099A"/>
    <w:rsid w:val="4AB06BB7"/>
    <w:rsid w:val="4AC27C8D"/>
    <w:rsid w:val="4B2797DA"/>
    <w:rsid w:val="4B43B6CD"/>
    <w:rsid w:val="4B4D777A"/>
    <w:rsid w:val="4B78171C"/>
    <w:rsid w:val="4BE49CAA"/>
    <w:rsid w:val="4C18D64E"/>
    <w:rsid w:val="4C1C4322"/>
    <w:rsid w:val="4C237A29"/>
    <w:rsid w:val="4C2A9D66"/>
    <w:rsid w:val="4C31FBF1"/>
    <w:rsid w:val="4C64A532"/>
    <w:rsid w:val="4C6510C0"/>
    <w:rsid w:val="4C68C90C"/>
    <w:rsid w:val="4C900904"/>
    <w:rsid w:val="4CCA1923"/>
    <w:rsid w:val="4D0D9F59"/>
    <w:rsid w:val="4D148A6A"/>
    <w:rsid w:val="4D256760"/>
    <w:rsid w:val="4D2D0FDA"/>
    <w:rsid w:val="4D89BB57"/>
    <w:rsid w:val="4D99CBF9"/>
    <w:rsid w:val="4DACFB4E"/>
    <w:rsid w:val="4DFC7A11"/>
    <w:rsid w:val="4E0C2E04"/>
    <w:rsid w:val="4E255AC1"/>
    <w:rsid w:val="4E39837A"/>
    <w:rsid w:val="4E4DA6F2"/>
    <w:rsid w:val="4E5CE2C7"/>
    <w:rsid w:val="4EB219DB"/>
    <w:rsid w:val="4EB7A564"/>
    <w:rsid w:val="4EBA2FBF"/>
    <w:rsid w:val="4F33DEE5"/>
    <w:rsid w:val="4F463EA1"/>
    <w:rsid w:val="4F9FB91F"/>
    <w:rsid w:val="4FC7A4D9"/>
    <w:rsid w:val="50079301"/>
    <w:rsid w:val="5018B733"/>
    <w:rsid w:val="5018FB17"/>
    <w:rsid w:val="504E17F5"/>
    <w:rsid w:val="5091767F"/>
    <w:rsid w:val="50B6C410"/>
    <w:rsid w:val="50B8A94F"/>
    <w:rsid w:val="51025D8D"/>
    <w:rsid w:val="51BF7A8A"/>
    <w:rsid w:val="527FE6AD"/>
    <w:rsid w:val="528B58EC"/>
    <w:rsid w:val="52A82D98"/>
    <w:rsid w:val="52B50B1A"/>
    <w:rsid w:val="52DF03ED"/>
    <w:rsid w:val="52E07A53"/>
    <w:rsid w:val="5348454C"/>
    <w:rsid w:val="536C9870"/>
    <w:rsid w:val="538C653F"/>
    <w:rsid w:val="5395F30F"/>
    <w:rsid w:val="53966344"/>
    <w:rsid w:val="53AB009C"/>
    <w:rsid w:val="53DF368A"/>
    <w:rsid w:val="53FCFFD9"/>
    <w:rsid w:val="547697FE"/>
    <w:rsid w:val="547B73E8"/>
    <w:rsid w:val="54C26948"/>
    <w:rsid w:val="54C4065C"/>
    <w:rsid w:val="54E1C145"/>
    <w:rsid w:val="54F4BA07"/>
    <w:rsid w:val="5522A6F5"/>
    <w:rsid w:val="5525E5FF"/>
    <w:rsid w:val="553A5D9E"/>
    <w:rsid w:val="557C6532"/>
    <w:rsid w:val="55D41012"/>
    <w:rsid w:val="55FBD532"/>
    <w:rsid w:val="560BC68E"/>
    <w:rsid w:val="565FF94A"/>
    <w:rsid w:val="56BAC9C3"/>
    <w:rsid w:val="5715C1E1"/>
    <w:rsid w:val="57364B48"/>
    <w:rsid w:val="5758745B"/>
    <w:rsid w:val="57916C6A"/>
    <w:rsid w:val="57CC9E21"/>
    <w:rsid w:val="5851E62F"/>
    <w:rsid w:val="58F31537"/>
    <w:rsid w:val="593C9BBF"/>
    <w:rsid w:val="59433DF7"/>
    <w:rsid w:val="594A3A72"/>
    <w:rsid w:val="59578BC1"/>
    <w:rsid w:val="5A039F25"/>
    <w:rsid w:val="5A0E1CE5"/>
    <w:rsid w:val="5A181AAE"/>
    <w:rsid w:val="5A25F6AD"/>
    <w:rsid w:val="5A5A828B"/>
    <w:rsid w:val="5AAF1E94"/>
    <w:rsid w:val="5ADAB971"/>
    <w:rsid w:val="5AE36059"/>
    <w:rsid w:val="5AE8BD2E"/>
    <w:rsid w:val="5AEAB56C"/>
    <w:rsid w:val="5B01AE5A"/>
    <w:rsid w:val="5B3ACB48"/>
    <w:rsid w:val="5BC95344"/>
    <w:rsid w:val="5BCF4836"/>
    <w:rsid w:val="5C0DC15E"/>
    <w:rsid w:val="5C196C30"/>
    <w:rsid w:val="5C41B09C"/>
    <w:rsid w:val="5C56B43D"/>
    <w:rsid w:val="5C599B49"/>
    <w:rsid w:val="5C5D0DA5"/>
    <w:rsid w:val="5C73C253"/>
    <w:rsid w:val="5C7D71D3"/>
    <w:rsid w:val="5C84A231"/>
    <w:rsid w:val="5CB88D48"/>
    <w:rsid w:val="5CD9B759"/>
    <w:rsid w:val="5D2F302B"/>
    <w:rsid w:val="5D3ADD17"/>
    <w:rsid w:val="5D5E316E"/>
    <w:rsid w:val="5D726D05"/>
    <w:rsid w:val="5D98FFC8"/>
    <w:rsid w:val="5DACA119"/>
    <w:rsid w:val="5E41461F"/>
    <w:rsid w:val="5E418DB7"/>
    <w:rsid w:val="5F14B85B"/>
    <w:rsid w:val="5F2F141B"/>
    <w:rsid w:val="5F67F069"/>
    <w:rsid w:val="5F78F96A"/>
    <w:rsid w:val="5F8118C6"/>
    <w:rsid w:val="5FDFB401"/>
    <w:rsid w:val="60008DC8"/>
    <w:rsid w:val="600E461A"/>
    <w:rsid w:val="6061AC09"/>
    <w:rsid w:val="607A4B83"/>
    <w:rsid w:val="60B37207"/>
    <w:rsid w:val="60BF92A4"/>
    <w:rsid w:val="60CD2C5C"/>
    <w:rsid w:val="60DDC16A"/>
    <w:rsid w:val="61046472"/>
    <w:rsid w:val="610C2BDE"/>
    <w:rsid w:val="6156AC25"/>
    <w:rsid w:val="616A94CD"/>
    <w:rsid w:val="6192C35F"/>
    <w:rsid w:val="6198F36C"/>
    <w:rsid w:val="61B42065"/>
    <w:rsid w:val="61D5289A"/>
    <w:rsid w:val="61D8B149"/>
    <w:rsid w:val="61DD7ADA"/>
    <w:rsid w:val="61E85738"/>
    <w:rsid w:val="61F10E23"/>
    <w:rsid w:val="62B0BAB1"/>
    <w:rsid w:val="62D1CD06"/>
    <w:rsid w:val="62F13F5D"/>
    <w:rsid w:val="630E1452"/>
    <w:rsid w:val="63398D6A"/>
    <w:rsid w:val="634AB92E"/>
    <w:rsid w:val="63834805"/>
    <w:rsid w:val="63924C2E"/>
    <w:rsid w:val="63D61B38"/>
    <w:rsid w:val="63E7E6D4"/>
    <w:rsid w:val="64041D6B"/>
    <w:rsid w:val="6427D326"/>
    <w:rsid w:val="6435E592"/>
    <w:rsid w:val="64998538"/>
    <w:rsid w:val="64ADED75"/>
    <w:rsid w:val="64B15748"/>
    <w:rsid w:val="64D95BC0"/>
    <w:rsid w:val="6536475B"/>
    <w:rsid w:val="65364C1C"/>
    <w:rsid w:val="656CE99D"/>
    <w:rsid w:val="6599835E"/>
    <w:rsid w:val="65B2EEBE"/>
    <w:rsid w:val="662F0EE0"/>
    <w:rsid w:val="666C26C1"/>
    <w:rsid w:val="66C8B3C4"/>
    <w:rsid w:val="67000A01"/>
    <w:rsid w:val="6700AD96"/>
    <w:rsid w:val="675F77A4"/>
    <w:rsid w:val="677DCC9F"/>
    <w:rsid w:val="67C9176E"/>
    <w:rsid w:val="6815ECA6"/>
    <w:rsid w:val="68246268"/>
    <w:rsid w:val="6874AB74"/>
    <w:rsid w:val="6891B9E5"/>
    <w:rsid w:val="6895C05F"/>
    <w:rsid w:val="68A5F82E"/>
    <w:rsid w:val="68B5ECE3"/>
    <w:rsid w:val="6937005F"/>
    <w:rsid w:val="69395286"/>
    <w:rsid w:val="69658BE0"/>
    <w:rsid w:val="697B9378"/>
    <w:rsid w:val="69908032"/>
    <w:rsid w:val="6995D532"/>
    <w:rsid w:val="69F4C9FA"/>
    <w:rsid w:val="6A05B816"/>
    <w:rsid w:val="6A0A67B9"/>
    <w:rsid w:val="6A49B252"/>
    <w:rsid w:val="6A5DD5C1"/>
    <w:rsid w:val="6A829E8E"/>
    <w:rsid w:val="6A922B7C"/>
    <w:rsid w:val="6AC5CB4F"/>
    <w:rsid w:val="6ADB4331"/>
    <w:rsid w:val="6ADD56EE"/>
    <w:rsid w:val="6AEEF990"/>
    <w:rsid w:val="6B08C6BC"/>
    <w:rsid w:val="6B13E0AD"/>
    <w:rsid w:val="6B1A4319"/>
    <w:rsid w:val="6B1C1634"/>
    <w:rsid w:val="6B581236"/>
    <w:rsid w:val="6B5F83B4"/>
    <w:rsid w:val="6BCA1C4E"/>
    <w:rsid w:val="6C436B41"/>
    <w:rsid w:val="6C64EBF0"/>
    <w:rsid w:val="6CC45BF3"/>
    <w:rsid w:val="6CD1EAAB"/>
    <w:rsid w:val="6D21F8D9"/>
    <w:rsid w:val="6DDF57F2"/>
    <w:rsid w:val="6E0E61C7"/>
    <w:rsid w:val="6E1E83ED"/>
    <w:rsid w:val="6E3F6FB9"/>
    <w:rsid w:val="6E5A3608"/>
    <w:rsid w:val="6E76C117"/>
    <w:rsid w:val="6E8658E2"/>
    <w:rsid w:val="6E96958A"/>
    <w:rsid w:val="6EE67CAE"/>
    <w:rsid w:val="6F2AE403"/>
    <w:rsid w:val="6F37ED5F"/>
    <w:rsid w:val="6F39EF37"/>
    <w:rsid w:val="6F740B84"/>
    <w:rsid w:val="6FF249DE"/>
    <w:rsid w:val="7069367D"/>
    <w:rsid w:val="70B9182E"/>
    <w:rsid w:val="70DD0D03"/>
    <w:rsid w:val="70DDBA8A"/>
    <w:rsid w:val="70DFBE18"/>
    <w:rsid w:val="710E7344"/>
    <w:rsid w:val="71126110"/>
    <w:rsid w:val="712B896D"/>
    <w:rsid w:val="7138E27F"/>
    <w:rsid w:val="71692B2E"/>
    <w:rsid w:val="718955B8"/>
    <w:rsid w:val="71905E74"/>
    <w:rsid w:val="71C2C42F"/>
    <w:rsid w:val="71C670A5"/>
    <w:rsid w:val="721E1D70"/>
    <w:rsid w:val="728E38A9"/>
    <w:rsid w:val="72A5763D"/>
    <w:rsid w:val="72BF49A2"/>
    <w:rsid w:val="72C1E75F"/>
    <w:rsid w:val="72ECC71B"/>
    <w:rsid w:val="73081B62"/>
    <w:rsid w:val="7395F3B5"/>
    <w:rsid w:val="744982A5"/>
    <w:rsid w:val="747F9522"/>
    <w:rsid w:val="748C64AB"/>
    <w:rsid w:val="74A857AB"/>
    <w:rsid w:val="750E3232"/>
    <w:rsid w:val="757A91ED"/>
    <w:rsid w:val="75B0A442"/>
    <w:rsid w:val="75C7C42C"/>
    <w:rsid w:val="75E45F5F"/>
    <w:rsid w:val="75EA2E89"/>
    <w:rsid w:val="76A36A1B"/>
    <w:rsid w:val="76D86636"/>
    <w:rsid w:val="77068E48"/>
    <w:rsid w:val="775410D1"/>
    <w:rsid w:val="7755EC47"/>
    <w:rsid w:val="77663789"/>
    <w:rsid w:val="7799581D"/>
    <w:rsid w:val="77D6808D"/>
    <w:rsid w:val="784B5DA4"/>
    <w:rsid w:val="7855BA19"/>
    <w:rsid w:val="785E8D24"/>
    <w:rsid w:val="789E489F"/>
    <w:rsid w:val="78DACEBF"/>
    <w:rsid w:val="7911AEC7"/>
    <w:rsid w:val="792A2178"/>
    <w:rsid w:val="792A534E"/>
    <w:rsid w:val="7935287E"/>
    <w:rsid w:val="794083CE"/>
    <w:rsid w:val="79791F71"/>
    <w:rsid w:val="79DF3ED5"/>
    <w:rsid w:val="79EC1F72"/>
    <w:rsid w:val="79FEB717"/>
    <w:rsid w:val="7A1DB19A"/>
    <w:rsid w:val="7A5AC47B"/>
    <w:rsid w:val="7A5EC8EE"/>
    <w:rsid w:val="7A967BE0"/>
    <w:rsid w:val="7A982E6E"/>
    <w:rsid w:val="7AB94356"/>
    <w:rsid w:val="7AD546B4"/>
    <w:rsid w:val="7B06A39B"/>
    <w:rsid w:val="7B28A365"/>
    <w:rsid w:val="7B37C9A4"/>
    <w:rsid w:val="7B5CFFBE"/>
    <w:rsid w:val="7B9B0641"/>
    <w:rsid w:val="7BABC646"/>
    <w:rsid w:val="7BB19475"/>
    <w:rsid w:val="7C2BA842"/>
    <w:rsid w:val="7C3BA987"/>
    <w:rsid w:val="7C613BD2"/>
    <w:rsid w:val="7C6401BB"/>
    <w:rsid w:val="7CF14852"/>
    <w:rsid w:val="7D5941FF"/>
    <w:rsid w:val="7D83E4DE"/>
    <w:rsid w:val="7DA828A0"/>
    <w:rsid w:val="7DE5D47C"/>
    <w:rsid w:val="7DF20B53"/>
    <w:rsid w:val="7E1FB29A"/>
    <w:rsid w:val="7E2A7377"/>
    <w:rsid w:val="7E38DAF7"/>
    <w:rsid w:val="7F8B41A5"/>
    <w:rsid w:val="7FC41675"/>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D39BF6"/>
  <w15:docId w15:val="{02E08EC5-6771-43E3-B194-B69CFB94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uiPriority="1" w:unhideWhenUsed="1" w:qFormat="1"/>
    <w:lsdException w:name="List Number" w:semiHidden="1" w:uiPriority="1" w:unhideWhenUsed="1" w:qFormat="1"/>
    <w:lsdException w:name="List 2" w:semiHidden="1"/>
    <w:lsdException w:name="List 3" w:semiHidden="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0"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qFormat="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43"/>
    <w:pPr>
      <w:spacing w:before="40" w:after="160" w:line="276" w:lineRule="auto"/>
    </w:pPr>
  </w:style>
  <w:style w:type="paragraph" w:styleId="Heading1">
    <w:name w:val="heading 1"/>
    <w:basedOn w:val="Normal"/>
    <w:next w:val="Normal"/>
    <w:link w:val="Heading1Char"/>
    <w:qFormat/>
    <w:rsid w:val="00BC2D99"/>
    <w:pPr>
      <w:keepNext/>
      <w:keepLines/>
      <w:pageBreakBefore/>
      <w:widowControl w:val="0"/>
      <w:pBdr>
        <w:bottom w:val="single" w:sz="4" w:space="1" w:color="0F4BEB" w:themeColor="accent1"/>
      </w:pBdr>
      <w:spacing w:after="480"/>
      <w:outlineLvl w:val="0"/>
    </w:pPr>
    <w:rPr>
      <w:rFonts w:asciiTheme="majorHAnsi" w:eastAsia="Times New Roman" w:hAnsiTheme="majorHAnsi" w:cs="Arial"/>
      <w:bCs/>
      <w:color w:val="0F4BEB" w:themeColor="accent1"/>
      <w:sz w:val="40"/>
      <w:szCs w:val="24"/>
      <w:lang w:eastAsia="en-AU"/>
    </w:rPr>
  </w:style>
  <w:style w:type="paragraph" w:styleId="Heading2">
    <w:name w:val="heading 2"/>
    <w:basedOn w:val="Normal"/>
    <w:next w:val="Normal"/>
    <w:link w:val="Heading2Char"/>
    <w:qFormat/>
    <w:rsid w:val="00B73DEC"/>
    <w:pPr>
      <w:keepNext/>
      <w:keepLines/>
      <w:spacing w:before="320" w:after="240"/>
      <w:outlineLvl w:val="1"/>
    </w:pPr>
    <w:rPr>
      <w:rFonts w:asciiTheme="majorHAnsi" w:eastAsia="Times New Roman" w:hAnsiTheme="majorHAnsi" w:cs="Arial"/>
      <w:bCs/>
      <w:iCs/>
      <w:color w:val="0F4BEB" w:themeColor="accent1"/>
      <w:sz w:val="30"/>
      <w:szCs w:val="28"/>
      <w:lang w:eastAsia="en-AU"/>
    </w:rPr>
  </w:style>
  <w:style w:type="paragraph" w:styleId="Heading3">
    <w:name w:val="heading 3"/>
    <w:basedOn w:val="Normal"/>
    <w:next w:val="Normal"/>
    <w:link w:val="Heading3Char"/>
    <w:qFormat/>
    <w:rsid w:val="003E6AF6"/>
    <w:pPr>
      <w:keepNext/>
      <w:keepLines/>
      <w:spacing w:before="280" w:after="140"/>
      <w:outlineLvl w:val="2"/>
    </w:pPr>
    <w:rPr>
      <w:rFonts w:asciiTheme="majorHAnsi" w:eastAsia="Times New Roman" w:hAnsiTheme="majorHAnsi" w:cs="Times New Roman"/>
      <w:b/>
      <w:bCs/>
      <w:szCs w:val="24"/>
      <w:lang w:eastAsia="en-AU"/>
    </w:rPr>
  </w:style>
  <w:style w:type="paragraph" w:styleId="Heading4">
    <w:name w:val="heading 4"/>
    <w:basedOn w:val="Normal"/>
    <w:next w:val="Normal"/>
    <w:link w:val="Heading4Char"/>
    <w:qFormat/>
    <w:rsid w:val="003E6AF6"/>
    <w:pPr>
      <w:keepNext/>
      <w:keepLines/>
      <w:spacing w:before="240" w:after="120"/>
      <w:outlineLvl w:val="3"/>
    </w:pPr>
    <w:rPr>
      <w:rFonts w:asciiTheme="majorHAnsi" w:eastAsia="Times New Roman" w:hAnsiTheme="majorHAnsi" w:cs="Times New Roman"/>
      <w:b/>
      <w:bCs/>
      <w:lang w:eastAsia="en-AU"/>
    </w:rPr>
  </w:style>
  <w:style w:type="paragraph" w:styleId="Heading5">
    <w:name w:val="heading 5"/>
    <w:basedOn w:val="Normal"/>
    <w:next w:val="Normal"/>
    <w:link w:val="Heading5Char"/>
    <w:semiHidden/>
    <w:qFormat/>
    <w:rsid w:val="00967F38"/>
    <w:pPr>
      <w:keepNext/>
      <w:keepLines/>
      <w:spacing w:before="240" w:after="120"/>
      <w:outlineLvl w:val="4"/>
    </w:pPr>
    <w:rPr>
      <w:rFonts w:asciiTheme="majorHAnsi" w:eastAsia="Times New Roman" w:hAnsiTheme="majorHAnsi" w:cs="Times New Roman"/>
      <w:bCs/>
      <w:iCs/>
      <w:sz w:val="20"/>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718B"/>
    <w:rPr>
      <w:rFonts w:asciiTheme="majorHAnsi" w:eastAsia="Times New Roman" w:hAnsiTheme="majorHAnsi" w:cs="Arial"/>
      <w:bCs/>
      <w:color w:val="0F4BEB" w:themeColor="accent1"/>
      <w:sz w:val="40"/>
      <w:szCs w:val="24"/>
      <w:lang w:eastAsia="en-AU"/>
    </w:rPr>
  </w:style>
  <w:style w:type="character" w:customStyle="1" w:styleId="Heading2Char">
    <w:name w:val="Heading 2 Char"/>
    <w:basedOn w:val="DefaultParagraphFont"/>
    <w:link w:val="Heading2"/>
    <w:rsid w:val="00B73DEC"/>
    <w:rPr>
      <w:rFonts w:asciiTheme="majorHAnsi" w:eastAsia="Times New Roman" w:hAnsiTheme="majorHAnsi" w:cs="Arial"/>
      <w:bCs/>
      <w:iCs/>
      <w:color w:val="0F4BEB" w:themeColor="accent1"/>
      <w:sz w:val="30"/>
      <w:szCs w:val="28"/>
      <w:lang w:eastAsia="en-AU"/>
    </w:rPr>
  </w:style>
  <w:style w:type="character" w:customStyle="1" w:styleId="Heading3Char">
    <w:name w:val="Heading 3 Char"/>
    <w:basedOn w:val="DefaultParagraphFont"/>
    <w:link w:val="Heading3"/>
    <w:rsid w:val="003E6AF6"/>
    <w:rPr>
      <w:rFonts w:asciiTheme="majorHAnsi" w:eastAsia="Times New Roman" w:hAnsiTheme="majorHAnsi" w:cs="Times New Roman"/>
      <w:b/>
      <w:bCs/>
      <w:szCs w:val="24"/>
      <w:lang w:eastAsia="en-AU"/>
    </w:rPr>
  </w:style>
  <w:style w:type="character" w:customStyle="1" w:styleId="Heading4Char">
    <w:name w:val="Heading 4 Char"/>
    <w:basedOn w:val="DefaultParagraphFont"/>
    <w:link w:val="Heading4"/>
    <w:rsid w:val="003E6AF6"/>
    <w:rPr>
      <w:rFonts w:asciiTheme="majorHAnsi" w:eastAsia="Times New Roman" w:hAnsiTheme="majorHAnsi" w:cs="Times New Roman"/>
      <w:b/>
      <w:bCs/>
      <w:sz w:val="18"/>
      <w:lang w:eastAsia="en-AU"/>
    </w:rPr>
  </w:style>
  <w:style w:type="paragraph" w:customStyle="1" w:styleId="NbrHeading1">
    <w:name w:val="Nbr Heading 1"/>
    <w:aliases w:val="UTS Nbr H1,Nbr H1"/>
    <w:basedOn w:val="Heading1"/>
    <w:next w:val="Normal"/>
    <w:qFormat/>
    <w:rsid w:val="00CB257C"/>
    <w:pPr>
      <w:pageBreakBefore w:val="0"/>
      <w:numPr>
        <w:numId w:val="19"/>
      </w:numPr>
      <w:spacing w:before="120" w:after="360"/>
    </w:pPr>
    <w:rPr>
      <w:bCs w:val="0"/>
      <w:sz w:val="36"/>
      <w:szCs w:val="22"/>
    </w:rPr>
  </w:style>
  <w:style w:type="paragraph" w:customStyle="1" w:styleId="NbrHeading2">
    <w:name w:val="Nbr Heading 2"/>
    <w:aliases w:val="UTS Nbr H2,Nbr H2"/>
    <w:basedOn w:val="Heading2"/>
    <w:next w:val="Normal"/>
    <w:qFormat/>
    <w:rsid w:val="00B14964"/>
    <w:pPr>
      <w:numPr>
        <w:ilvl w:val="1"/>
        <w:numId w:val="20"/>
      </w:numPr>
      <w:spacing w:before="240"/>
    </w:pPr>
  </w:style>
  <w:style w:type="paragraph" w:customStyle="1" w:styleId="NbrHeading3">
    <w:name w:val="Nbr Heading 3"/>
    <w:aliases w:val="UTS Nbr H3,Nbr H3"/>
    <w:basedOn w:val="Heading3"/>
    <w:next w:val="Normal"/>
    <w:qFormat/>
    <w:rsid w:val="002C4456"/>
    <w:pPr>
      <w:numPr>
        <w:ilvl w:val="2"/>
        <w:numId w:val="20"/>
      </w:numPr>
      <w:spacing w:before="320" w:after="160"/>
    </w:pPr>
  </w:style>
  <w:style w:type="paragraph" w:customStyle="1" w:styleId="NbrHeading4">
    <w:name w:val="Nbr Heading 4"/>
    <w:aliases w:val="UTS Nbr H4,Nbr H4"/>
    <w:basedOn w:val="Heading4"/>
    <w:next w:val="Normal"/>
    <w:qFormat/>
    <w:rsid w:val="00DF343C"/>
    <w:pPr>
      <w:numPr>
        <w:ilvl w:val="3"/>
        <w:numId w:val="20"/>
      </w:numPr>
    </w:pPr>
    <w:rPr>
      <w:sz w:val="20"/>
      <w:szCs w:val="20"/>
    </w:rPr>
  </w:style>
  <w:style w:type="paragraph" w:styleId="Title">
    <w:name w:val="Title"/>
    <w:basedOn w:val="Normal"/>
    <w:next w:val="Normal"/>
    <w:link w:val="TitleChar"/>
    <w:uiPriority w:val="9"/>
    <w:rsid w:val="006A61F1"/>
    <w:rPr>
      <w:color w:val="FFFFFF" w:themeColor="background1"/>
      <w:sz w:val="56"/>
      <w:szCs w:val="72"/>
    </w:rPr>
  </w:style>
  <w:style w:type="character" w:customStyle="1" w:styleId="TitleChar">
    <w:name w:val="Title Char"/>
    <w:basedOn w:val="DefaultParagraphFont"/>
    <w:link w:val="Title"/>
    <w:uiPriority w:val="9"/>
    <w:rsid w:val="006A61F1"/>
    <w:rPr>
      <w:color w:val="FFFFFF" w:themeColor="background1"/>
      <w:sz w:val="56"/>
      <w:szCs w:val="72"/>
    </w:rPr>
  </w:style>
  <w:style w:type="paragraph" w:styleId="Subtitle">
    <w:name w:val="Subtitle"/>
    <w:basedOn w:val="Normal"/>
    <w:next w:val="Normal"/>
    <w:link w:val="SubtitleChar"/>
    <w:uiPriority w:val="10"/>
    <w:qFormat/>
    <w:rsid w:val="006A61F1"/>
    <w:pPr>
      <w:ind w:right="1701"/>
    </w:pPr>
    <w:rPr>
      <w:color w:val="FFFFFF" w:themeColor="background1"/>
      <w:sz w:val="40"/>
      <w:szCs w:val="36"/>
    </w:rPr>
  </w:style>
  <w:style w:type="character" w:customStyle="1" w:styleId="SubtitleChar">
    <w:name w:val="Subtitle Char"/>
    <w:basedOn w:val="DefaultParagraphFont"/>
    <w:link w:val="Subtitle"/>
    <w:uiPriority w:val="10"/>
    <w:rsid w:val="006A61F1"/>
    <w:rPr>
      <w:color w:val="FFFFFF" w:themeColor="background1"/>
      <w:sz w:val="40"/>
      <w:szCs w:val="36"/>
    </w:rPr>
  </w:style>
  <w:style w:type="paragraph" w:styleId="BodyText2">
    <w:name w:val="Body Text 2"/>
    <w:basedOn w:val="Normal"/>
    <w:link w:val="BodyText2Char"/>
    <w:uiPriority w:val="99"/>
    <w:semiHidden/>
    <w:qFormat/>
    <w:rsid w:val="003405FA"/>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207A"/>
    <w:rPr>
      <w:color w:val="0F4BEB" w:themeColor="accent1"/>
      <w:sz w:val="16"/>
    </w:rPr>
  </w:style>
  <w:style w:type="character" w:customStyle="1" w:styleId="HeaderChar">
    <w:name w:val="Header Char"/>
    <w:basedOn w:val="DefaultParagraphFont"/>
    <w:link w:val="Header"/>
    <w:uiPriority w:val="99"/>
    <w:rsid w:val="00CD207A"/>
    <w:rPr>
      <w:color w:val="0F4BEB" w:themeColor="accent1"/>
      <w:sz w:val="16"/>
    </w:rPr>
  </w:style>
  <w:style w:type="paragraph" w:styleId="Footer">
    <w:name w:val="footer"/>
    <w:basedOn w:val="Normal"/>
    <w:link w:val="FooterChar"/>
    <w:uiPriority w:val="99"/>
    <w:rsid w:val="00012538"/>
    <w:pPr>
      <w:tabs>
        <w:tab w:val="right" w:pos="9639"/>
      </w:tabs>
      <w:spacing w:after="120"/>
    </w:pPr>
    <w:rPr>
      <w:color w:val="0F4BEB" w:themeColor="accent1"/>
      <w:sz w:val="16"/>
    </w:rPr>
  </w:style>
  <w:style w:type="character" w:customStyle="1" w:styleId="FooterChar">
    <w:name w:val="Footer Char"/>
    <w:basedOn w:val="DefaultParagraphFont"/>
    <w:link w:val="Footer"/>
    <w:uiPriority w:val="99"/>
    <w:rsid w:val="00012538"/>
    <w:rPr>
      <w:color w:val="0F4BEB" w:themeColor="accent1"/>
      <w:sz w:val="16"/>
    </w:rPr>
  </w:style>
  <w:style w:type="paragraph" w:styleId="ListNumber0">
    <w:name w:val="List Number"/>
    <w:basedOn w:val="Normal"/>
    <w:uiPriority w:val="1"/>
    <w:qFormat/>
    <w:rsid w:val="00A65BD2"/>
    <w:pPr>
      <w:numPr>
        <w:numId w:val="27"/>
      </w:numPr>
      <w:spacing w:before="120" w:after="120"/>
    </w:pPr>
    <w:rPr>
      <w:rFonts w:eastAsia="Times New Roman" w:cs="Times New Roman"/>
      <w:szCs w:val="24"/>
      <w:lang w:eastAsia="en-AU"/>
    </w:rPr>
  </w:style>
  <w:style w:type="paragraph" w:styleId="ListBullet0">
    <w:name w:val="List Bullet"/>
    <w:basedOn w:val="Normal"/>
    <w:link w:val="ListBulletChar"/>
    <w:uiPriority w:val="1"/>
    <w:qFormat/>
    <w:rsid w:val="00B85E1C"/>
    <w:pPr>
      <w:numPr>
        <w:numId w:val="8"/>
      </w:numPr>
      <w:spacing w:before="120" w:after="120"/>
    </w:pPr>
    <w:rPr>
      <w:rFonts w:eastAsia="Times New Roman" w:cs="Times New Roman"/>
      <w:szCs w:val="24"/>
      <w:lang w:eastAsia="en-AU"/>
    </w:rPr>
  </w:style>
  <w:style w:type="paragraph" w:styleId="TOCHeading">
    <w:name w:val="TOC Heading"/>
    <w:basedOn w:val="Heading1"/>
    <w:next w:val="Normal"/>
    <w:uiPriority w:val="39"/>
    <w:qFormat/>
    <w:rsid w:val="003A21A7"/>
    <w:pPr>
      <w:pageBreakBefore w:val="0"/>
      <w:spacing w:before="480" w:after="240"/>
    </w:pPr>
  </w:style>
  <w:style w:type="character" w:styleId="Hyperlink">
    <w:name w:val="Hyperlink"/>
    <w:basedOn w:val="DefaultParagraphFont"/>
    <w:uiPriority w:val="99"/>
    <w:rsid w:val="00BF1F87"/>
    <w:rPr>
      <w:color w:val="0F4BEB" w:themeColor="accent1"/>
      <w:u w:val="single"/>
    </w:rPr>
  </w:style>
  <w:style w:type="paragraph" w:styleId="TOC1">
    <w:name w:val="toc 1"/>
    <w:basedOn w:val="Normal"/>
    <w:next w:val="Normal"/>
    <w:uiPriority w:val="39"/>
    <w:rsid w:val="00EB6DEC"/>
    <w:pPr>
      <w:keepNext/>
      <w:tabs>
        <w:tab w:val="right" w:pos="8505"/>
      </w:tabs>
      <w:spacing w:before="240" w:after="120"/>
    </w:pPr>
    <w:rPr>
      <w:b/>
      <w:noProof/>
    </w:rPr>
  </w:style>
  <w:style w:type="paragraph" w:styleId="TOC2">
    <w:name w:val="toc 2"/>
    <w:basedOn w:val="Normal"/>
    <w:next w:val="Normal"/>
    <w:uiPriority w:val="39"/>
    <w:rsid w:val="007F718B"/>
    <w:pPr>
      <w:tabs>
        <w:tab w:val="right" w:pos="8505"/>
      </w:tabs>
      <w:spacing w:after="80"/>
      <w:ind w:left="284"/>
    </w:pPr>
  </w:style>
  <w:style w:type="paragraph" w:styleId="TOC3">
    <w:name w:val="toc 3"/>
    <w:basedOn w:val="Normal"/>
    <w:next w:val="Normal"/>
    <w:uiPriority w:val="39"/>
    <w:rsid w:val="007F718B"/>
    <w:pPr>
      <w:tabs>
        <w:tab w:val="right" w:pos="8505"/>
      </w:tabs>
      <w:spacing w:after="20"/>
      <w:ind w:left="567"/>
    </w:pPr>
    <w:rPr>
      <w:noProof/>
    </w:rPr>
  </w:style>
  <w:style w:type="table" w:styleId="TableGrid">
    <w:name w:val="Table Grid"/>
    <w:aliases w:val="Cred light,DPS Table Grid,none,ICB Table,PB Table,1TableGrid,McLL Table General Text,SGS Numeric Table,GTA,EP Table Grid,CV table,EY Table,EY Question Table,EYTable,CV1,new tab,Equifax table,Header Table,Format for the table,Header Table Grid"/>
    <w:basedOn w:val="TableNormal"/>
    <w:uiPriority w:val="3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
    <w:name w:val="Lined Red Table"/>
    <w:basedOn w:val="LinedBlueTable"/>
    <w:uiPriority w:val="99"/>
    <w:rsid w:val="00562433"/>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character" w:styleId="Emphasis">
    <w:name w:val="Emphasis"/>
    <w:basedOn w:val="DefaultParagraphFont"/>
    <w:uiPriority w:val="99"/>
    <w:semiHidden/>
    <w:rsid w:val="00B85E1C"/>
    <w:rPr>
      <w:i/>
      <w:iCs/>
    </w:rPr>
  </w:style>
  <w:style w:type="paragraph" w:customStyle="1" w:styleId="TableText">
    <w:name w:val="Table Text"/>
    <w:basedOn w:val="Normal"/>
    <w:link w:val="TableTextChar"/>
    <w:uiPriority w:val="3"/>
    <w:qFormat/>
    <w:rsid w:val="00C6313E"/>
    <w:pPr>
      <w:spacing w:before="60" w:after="60"/>
      <w:ind w:left="113" w:right="113"/>
    </w:pPr>
  </w:style>
  <w:style w:type="paragraph" w:customStyle="1" w:styleId="TableBullet">
    <w:name w:val="Table Bullet"/>
    <w:basedOn w:val="TableText"/>
    <w:uiPriority w:val="4"/>
    <w:qFormat/>
    <w:rsid w:val="00411DB3"/>
    <w:pPr>
      <w:numPr>
        <w:numId w:val="11"/>
      </w:numPr>
    </w:pPr>
    <w:rPr>
      <w:rFonts w:eastAsia="Times New Roman" w:cs="Times New Roman"/>
      <w:szCs w:val="24"/>
      <w:lang w:eastAsia="en-AU"/>
    </w:rPr>
  </w:style>
  <w:style w:type="character" w:customStyle="1" w:styleId="Heading5Char">
    <w:name w:val="Heading 5 Char"/>
    <w:basedOn w:val="DefaultParagraphFont"/>
    <w:link w:val="Heading5"/>
    <w:semiHidden/>
    <w:rsid w:val="00D27E2E"/>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E33EF7"/>
    <w:rPr>
      <w:rFonts w:eastAsia="Times New Roman" w:cs="Times New Roman"/>
      <w:bCs/>
      <w:sz w:val="18"/>
      <w:lang w:eastAsia="en-AU"/>
    </w:rPr>
  </w:style>
  <w:style w:type="paragraph" w:styleId="BodyText3">
    <w:name w:val="Body Text 3"/>
    <w:basedOn w:val="Normal"/>
    <w:link w:val="BodyText3Char"/>
    <w:uiPriority w:val="99"/>
    <w:semiHidden/>
    <w:qFormat/>
    <w:rsid w:val="003405FA"/>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basedOn w:val="Normal"/>
    <w:uiPriority w:val="34"/>
    <w:qFormat/>
    <w:rsid w:val="003405FA"/>
    <w:pPr>
      <w:spacing w:before="120" w:after="120"/>
      <w:ind w:left="425"/>
    </w:pPr>
    <w:rPr>
      <w:rFonts w:eastAsia="Times New Roman" w:cs="Times New Roman"/>
      <w:szCs w:val="24"/>
      <w:lang w:eastAsia="en-AU"/>
    </w:rPr>
  </w:style>
  <w:style w:type="paragraph" w:styleId="TOC4">
    <w:name w:val="toc 4"/>
    <w:basedOn w:val="TOC1"/>
    <w:next w:val="Normal"/>
    <w:uiPriority w:val="39"/>
    <w:rsid w:val="00DF01DF"/>
    <w:pPr>
      <w:tabs>
        <w:tab w:val="left" w:pos="851"/>
      </w:tabs>
      <w:ind w:left="851" w:hanging="851"/>
    </w:pPr>
  </w:style>
  <w:style w:type="paragraph" w:customStyle="1" w:styleId="NbrHeading5">
    <w:name w:val="Nbr Heading 5"/>
    <w:basedOn w:val="Heading5"/>
    <w:next w:val="Normal"/>
    <w:qFormat/>
    <w:rsid w:val="003A08A5"/>
    <w:pPr>
      <w:numPr>
        <w:ilvl w:val="4"/>
        <w:numId w:val="20"/>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E33EF7"/>
    <w:rPr>
      <w:i/>
      <w:iCs/>
      <w:color w:val="000000" w:themeColor="text1"/>
      <w:sz w:val="18"/>
    </w:rPr>
  </w:style>
  <w:style w:type="paragraph" w:customStyle="1" w:styleId="FigureCaption">
    <w:name w:val="Figure Caption"/>
    <w:basedOn w:val="Normal"/>
    <w:next w:val="Normal"/>
    <w:uiPriority w:val="6"/>
    <w:qFormat/>
    <w:rsid w:val="001B762F"/>
    <w:pPr>
      <w:tabs>
        <w:tab w:val="left" w:pos="0"/>
      </w:tabs>
      <w:spacing w:before="80" w:after="240"/>
    </w:pPr>
    <w:rPr>
      <w:i/>
      <w:sz w:val="20"/>
      <w:szCs w:val="20"/>
      <w:lang w:eastAsia="en-AU"/>
    </w:rPr>
  </w:style>
  <w:style w:type="paragraph" w:customStyle="1" w:styleId="TableCaption">
    <w:name w:val="Table Caption"/>
    <w:basedOn w:val="Caption"/>
    <w:uiPriority w:val="6"/>
    <w:qFormat/>
    <w:rsid w:val="00FE7A02"/>
    <w:pPr>
      <w:keepNext/>
    </w:pPr>
  </w:style>
  <w:style w:type="paragraph" w:customStyle="1" w:styleId="FigureStyle">
    <w:name w:val="Figure Style"/>
    <w:basedOn w:val="Normal"/>
    <w:uiPriority w:val="6"/>
    <w:rsid w:val="003405FA"/>
    <w:pPr>
      <w:keepNext/>
      <w:spacing w:before="240" w:after="120"/>
      <w:jc w:val="center"/>
    </w:pPr>
    <w:rPr>
      <w:rFonts w:eastAsia="Times New Roman" w:cs="Times New Roman"/>
      <w:szCs w:val="24"/>
      <w:lang w:eastAsia="en-AU"/>
    </w:r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style>
  <w:style w:type="paragraph" w:styleId="TOC7">
    <w:name w:val="toc 7"/>
    <w:basedOn w:val="TOC2"/>
    <w:next w:val="Normal"/>
    <w:uiPriority w:val="39"/>
    <w:rsid w:val="003B4DCF"/>
    <w:pPr>
      <w:spacing w:after="60"/>
    </w:pPr>
    <w:rPr>
      <w:sz w:val="16"/>
    </w:rPr>
  </w:style>
  <w:style w:type="paragraph" w:styleId="TOC8">
    <w:name w:val="toc 8"/>
    <w:basedOn w:val="Normal"/>
    <w:next w:val="Normal"/>
    <w:uiPriority w:val="39"/>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D63B2E"/>
    <w:pPr>
      <w:numPr>
        <w:numId w:val="3"/>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Normal"/>
    <w:uiPriority w:val="1"/>
    <w:qFormat/>
    <w:rsid w:val="003405FA"/>
    <w:pPr>
      <w:numPr>
        <w:numId w:val="7"/>
      </w:numPr>
      <w:spacing w:before="120" w:after="120"/>
    </w:pPr>
    <w:rPr>
      <w:rFonts w:eastAsia="Times New Roman" w:cs="Times New Roman"/>
      <w:szCs w:val="24"/>
      <w:lang w:eastAsia="en-AU"/>
    </w:rPr>
  </w:style>
  <w:style w:type="numbering" w:customStyle="1" w:styleId="ListAlpha">
    <w:name w:val="List_Alpha"/>
    <w:uiPriority w:val="99"/>
    <w:rsid w:val="00D63B2E"/>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3A21A7"/>
    <w:pPr>
      <w:spacing w:after="60"/>
      <w:ind w:left="0"/>
    </w:pPr>
  </w:style>
  <w:style w:type="table" w:customStyle="1" w:styleId="LinedBlueTable">
    <w:name w:val="Lined Blue Table"/>
    <w:basedOn w:val="TableNormal"/>
    <w:uiPriority w:val="99"/>
    <w:rsid w:val="00562433"/>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character" w:styleId="FollowedHyperlink">
    <w:name w:val="FollowedHyperlink"/>
    <w:basedOn w:val="DefaultParagraphFont"/>
    <w:uiPriority w:val="15"/>
    <w:rsid w:val="00BF1F87"/>
    <w:rPr>
      <w:color w:val="0F4BEB" w:themeColor="accent1"/>
      <w:u w:val="single"/>
    </w:rPr>
  </w:style>
  <w:style w:type="paragraph" w:customStyle="1" w:styleId="AppendixH1">
    <w:name w:val="Appendix H1"/>
    <w:basedOn w:val="Normal"/>
    <w:next w:val="Normal"/>
    <w:uiPriority w:val="11"/>
    <w:semiHidden/>
    <w:qFormat/>
    <w:rsid w:val="00E33EF7"/>
    <w:pPr>
      <w:pageBreakBefore/>
      <w:tabs>
        <w:tab w:val="left" w:pos="567"/>
      </w:tabs>
      <w:spacing w:before="60" w:after="320"/>
      <w:outlineLvl w:val="0"/>
    </w:pPr>
    <w:rPr>
      <w:rFonts w:eastAsia="Times New Roman" w:cs="Times New Roman"/>
      <w:b/>
      <w:sz w:val="36"/>
      <w:szCs w:val="24"/>
      <w:lang w:eastAsia="en-AU"/>
    </w:rPr>
  </w:style>
  <w:style w:type="paragraph" w:customStyle="1" w:styleId="AppendixH2">
    <w:name w:val="Appendix H2"/>
    <w:basedOn w:val="Heading2"/>
    <w:next w:val="Normal"/>
    <w:uiPriority w:val="11"/>
    <w:semiHidden/>
    <w:qFormat/>
    <w:rsid w:val="00E33EF7"/>
    <w:pPr>
      <w:tabs>
        <w:tab w:val="left" w:pos="851"/>
      </w:tabs>
    </w:pPr>
    <w:rPr>
      <w:iCs w:val="0"/>
    </w:rPr>
  </w:style>
  <w:style w:type="paragraph" w:customStyle="1" w:styleId="AppendixH3">
    <w:name w:val="Appendix H3"/>
    <w:basedOn w:val="Heading3"/>
    <w:next w:val="Normal"/>
    <w:uiPriority w:val="11"/>
    <w:semiHidden/>
    <w:qFormat/>
    <w:rsid w:val="00E33EF7"/>
    <w:pPr>
      <w:tabs>
        <w:tab w:val="left" w:pos="851"/>
      </w:tabs>
    </w:pPr>
  </w:style>
  <w:style w:type="paragraph" w:customStyle="1" w:styleId="ListAlpha2">
    <w:name w:val="List Alpha 2"/>
    <w:basedOn w:val="ListBullet0"/>
    <w:uiPriority w:val="19"/>
    <w:rsid w:val="00C80E1D"/>
    <w:pPr>
      <w:numPr>
        <w:ilvl w:val="1"/>
        <w:numId w:val="29"/>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Alpha2"/>
    <w:uiPriority w:val="19"/>
    <w:rsid w:val="00C80E1D"/>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rsid w:val="004F2A3C"/>
    <w:pPr>
      <w:numPr>
        <w:ilvl w:val="3"/>
      </w:numPr>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595E32"/>
    <w:pPr>
      <w:numPr>
        <w:numId w:val="0"/>
      </w:numPr>
      <w:ind w:left="924" w:hanging="357"/>
    </w:pPr>
  </w:style>
  <w:style w:type="paragraph" w:styleId="ListNumber3">
    <w:name w:val="List Number 3"/>
    <w:basedOn w:val="ListNumber0"/>
    <w:uiPriority w:val="19"/>
    <w:rsid w:val="004F2A3C"/>
    <w:pPr>
      <w:numPr>
        <w:ilvl w:val="2"/>
        <w:numId w:val="26"/>
      </w:numPr>
    </w:pPr>
  </w:style>
  <w:style w:type="paragraph" w:styleId="ListNumber4">
    <w:name w:val="List Number 4"/>
    <w:basedOn w:val="ListNumber0"/>
    <w:uiPriority w:val="19"/>
    <w:rsid w:val="004F2A3C"/>
    <w:pPr>
      <w:numPr>
        <w:ilvl w:val="3"/>
        <w:numId w:val="26"/>
      </w:numPr>
    </w:pPr>
  </w:style>
  <w:style w:type="paragraph" w:styleId="ListNumber5">
    <w:name w:val="List Number 5"/>
    <w:basedOn w:val="ListNumber0"/>
    <w:uiPriority w:val="19"/>
    <w:rsid w:val="004F2A3C"/>
    <w:pPr>
      <w:numPr>
        <w:ilvl w:val="4"/>
        <w:numId w:val="26"/>
      </w:numPr>
    </w:pPr>
  </w:style>
  <w:style w:type="paragraph" w:customStyle="1" w:styleId="ListNumber6">
    <w:name w:val="List Number 6"/>
    <w:basedOn w:val="ListNumber0"/>
    <w:uiPriority w:val="19"/>
    <w:rsid w:val="004F2A3C"/>
    <w:pPr>
      <w:numPr>
        <w:ilvl w:val="5"/>
        <w:numId w:val="26"/>
      </w:numPr>
    </w:pPr>
  </w:style>
  <w:style w:type="paragraph" w:customStyle="1" w:styleId="ListParagraph2">
    <w:name w:val="List Paragraph 2"/>
    <w:basedOn w:val="ListParagraph"/>
    <w:uiPriority w:val="19"/>
    <w:rsid w:val="004F2A3C"/>
    <w:pPr>
      <w:ind w:left="850"/>
    </w:pPr>
  </w:style>
  <w:style w:type="paragraph" w:customStyle="1" w:styleId="ListParagraph3">
    <w:name w:val="List Paragraph 3"/>
    <w:basedOn w:val="ListParagraph"/>
    <w:uiPriority w:val="19"/>
    <w:rsid w:val="004F2A3C"/>
    <w:pPr>
      <w:ind w:left="1275"/>
    </w:pPr>
  </w:style>
  <w:style w:type="paragraph" w:customStyle="1" w:styleId="ListParagraph4">
    <w:name w:val="List Paragraph 4"/>
    <w:basedOn w:val="ListParagraph"/>
    <w:uiPriority w:val="19"/>
    <w:rsid w:val="004F2A3C"/>
    <w:pPr>
      <w:ind w:left="1700"/>
    </w:pPr>
  </w:style>
  <w:style w:type="paragraph" w:customStyle="1" w:styleId="ListParagraph5">
    <w:name w:val="List Paragraph 5"/>
    <w:basedOn w:val="ListParagraph"/>
    <w:uiPriority w:val="19"/>
    <w:rsid w:val="004F2A3C"/>
    <w:pPr>
      <w:ind w:left="2125"/>
    </w:pPr>
  </w:style>
  <w:style w:type="paragraph" w:customStyle="1" w:styleId="ListParagraph6">
    <w:name w:val="List Paragraph 6"/>
    <w:basedOn w:val="ListParagraph"/>
    <w:uiPriority w:val="19"/>
    <w:rsid w:val="004F2A3C"/>
    <w:pPr>
      <w:ind w:left="2550"/>
    </w:pPr>
  </w:style>
  <w:style w:type="numbering" w:customStyle="1" w:styleId="ListBullet">
    <w:name w:val="List_Bullet"/>
    <w:uiPriority w:val="99"/>
    <w:rsid w:val="00D63B2E"/>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411DB3"/>
    <w:pPr>
      <w:numPr>
        <w:numId w:val="5"/>
      </w:numPr>
    </w:pPr>
  </w:style>
  <w:style w:type="numbering" w:customStyle="1" w:styleId="ListTableNumber">
    <w:name w:val="List_TableNumber"/>
    <w:uiPriority w:val="99"/>
    <w:rsid w:val="00411DB3"/>
    <w:pPr>
      <w:numPr>
        <w:numId w:val="6"/>
      </w:numPr>
    </w:pPr>
  </w:style>
  <w:style w:type="paragraph" w:customStyle="1" w:styleId="TableBullet2">
    <w:name w:val="Table Bullet 2"/>
    <w:basedOn w:val="TableBullet"/>
    <w:uiPriority w:val="19"/>
    <w:rsid w:val="00411DB3"/>
    <w:pPr>
      <w:numPr>
        <w:ilvl w:val="1"/>
      </w:numPr>
    </w:pPr>
  </w:style>
  <w:style w:type="paragraph" w:customStyle="1" w:styleId="TableNumber2">
    <w:name w:val="Table Number 2"/>
    <w:basedOn w:val="Normal"/>
    <w:uiPriority w:val="19"/>
    <w:rsid w:val="00B85E1C"/>
    <w:pPr>
      <w:numPr>
        <w:ilvl w:val="1"/>
        <w:numId w:val="12"/>
      </w:numPr>
      <w:tabs>
        <w:tab w:val="num" w:pos="425"/>
      </w:tabs>
      <w:spacing w:before="60" w:after="60"/>
      <w:ind w:right="113"/>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LInedBlackTable">
    <w:name w:val="LIned Black Table"/>
    <w:basedOn w:val="LinedBlueTable"/>
    <w:uiPriority w:val="99"/>
    <w:rsid w:val="003E6AF6"/>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paragraph" w:styleId="FootnoteText">
    <w:name w:val="footnote text"/>
    <w:basedOn w:val="Normal"/>
    <w:link w:val="FootnoteTextChar"/>
    <w:uiPriority w:val="99"/>
    <w:rsid w:val="00595E32"/>
    <w:pPr>
      <w:tabs>
        <w:tab w:val="left" w:pos="284"/>
      </w:tabs>
    </w:pPr>
    <w:rPr>
      <w:sz w:val="20"/>
      <w:szCs w:val="20"/>
    </w:rPr>
  </w:style>
  <w:style w:type="numbering" w:customStyle="1" w:styleId="ListChapter">
    <w:name w:val="List_Chapter"/>
    <w:uiPriority w:val="99"/>
    <w:rsid w:val="00EB6DEC"/>
    <w:pPr>
      <w:numPr>
        <w:numId w:val="13"/>
      </w:numPr>
    </w:pPr>
  </w:style>
  <w:style w:type="character" w:styleId="PlaceholderText">
    <w:name w:val="Placeholder Text"/>
    <w:basedOn w:val="DefaultParagraphFont"/>
    <w:uiPriority w:val="99"/>
    <w:semiHidden/>
    <w:rsid w:val="002106C4"/>
    <w:rPr>
      <w:color w:val="808080"/>
    </w:rPr>
  </w:style>
  <w:style w:type="table" w:customStyle="1" w:styleId="TableNoBorders">
    <w:name w:val="Table No Borders"/>
    <w:basedOn w:val="TableNormal"/>
    <w:uiPriority w:val="99"/>
    <w:rsid w:val="009D07AF"/>
    <w:pPr>
      <w:spacing w:before="0" w:after="0"/>
    </w:pPr>
    <w:tblPr/>
  </w:style>
  <w:style w:type="character" w:customStyle="1" w:styleId="FootnoteTextChar">
    <w:name w:val="Footnote Text Char"/>
    <w:basedOn w:val="DefaultParagraphFont"/>
    <w:link w:val="FootnoteText"/>
    <w:uiPriority w:val="99"/>
    <w:rsid w:val="00595E32"/>
    <w:rPr>
      <w:sz w:val="20"/>
      <w:szCs w:val="20"/>
    </w:rPr>
  </w:style>
  <w:style w:type="character" w:styleId="FootnoteReference">
    <w:name w:val="footnote reference"/>
    <w:basedOn w:val="DefaultParagraphFont"/>
    <w:uiPriority w:val="99"/>
    <w:rsid w:val="00024D7F"/>
    <w:rPr>
      <w:vertAlign w:val="superscript"/>
    </w:rPr>
  </w:style>
  <w:style w:type="paragraph" w:customStyle="1" w:styleId="AppendixHeading">
    <w:name w:val="Appendix Heading"/>
    <w:basedOn w:val="Heading1"/>
    <w:next w:val="Normal"/>
    <w:qFormat/>
    <w:rsid w:val="009A0B25"/>
  </w:style>
  <w:style w:type="character" w:styleId="CommentReference">
    <w:name w:val="annotation reference"/>
    <w:basedOn w:val="DefaultParagraphFont"/>
    <w:uiPriority w:val="99"/>
    <w:semiHidden/>
    <w:rsid w:val="00C563BE"/>
    <w:rPr>
      <w:sz w:val="16"/>
      <w:szCs w:val="16"/>
    </w:rPr>
  </w:style>
  <w:style w:type="paragraph" w:styleId="CommentText">
    <w:name w:val="annotation text"/>
    <w:basedOn w:val="Normal"/>
    <w:link w:val="CommentTextChar"/>
    <w:uiPriority w:val="99"/>
    <w:semiHidden/>
    <w:rsid w:val="00C563BE"/>
    <w:pPr>
      <w:spacing w:before="60" w:line="240" w:lineRule="auto"/>
    </w:pPr>
    <w:rPr>
      <w:rFonts w:eastAsia="Times New Roman" w:cs="Times New Roman"/>
      <w:sz w:val="20"/>
      <w:szCs w:val="20"/>
      <w:lang w:val="en-US" w:eastAsia="en-AU"/>
    </w:rPr>
  </w:style>
  <w:style w:type="character" w:customStyle="1" w:styleId="CommentTextChar">
    <w:name w:val="Comment Text Char"/>
    <w:basedOn w:val="DefaultParagraphFont"/>
    <w:link w:val="CommentText"/>
    <w:uiPriority w:val="99"/>
    <w:semiHidden/>
    <w:rsid w:val="00C563BE"/>
    <w:rPr>
      <w:rFonts w:eastAsia="Times New Roman" w:cs="Times New Roman"/>
      <w:sz w:val="20"/>
      <w:szCs w:val="20"/>
      <w:lang w:val="en-US" w:eastAsia="en-AU"/>
    </w:rPr>
  </w:style>
  <w:style w:type="paragraph" w:styleId="CommentSubject">
    <w:name w:val="annotation subject"/>
    <w:basedOn w:val="CommentText"/>
    <w:next w:val="CommentText"/>
    <w:link w:val="CommentSubjectChar"/>
    <w:uiPriority w:val="99"/>
    <w:semiHidden/>
    <w:rsid w:val="002D3797"/>
    <w:pPr>
      <w:spacing w:before="40"/>
    </w:pPr>
    <w:rPr>
      <w:rFonts w:eastAsiaTheme="minorHAnsi" w:cstheme="minorBidi"/>
      <w:b/>
      <w:bCs/>
      <w:lang w:val="en-AU" w:eastAsia="en-US"/>
    </w:rPr>
  </w:style>
  <w:style w:type="character" w:customStyle="1" w:styleId="CommentSubjectChar">
    <w:name w:val="Comment Subject Char"/>
    <w:basedOn w:val="CommentTextChar"/>
    <w:link w:val="CommentSubject"/>
    <w:uiPriority w:val="99"/>
    <w:semiHidden/>
    <w:rsid w:val="002D3797"/>
    <w:rPr>
      <w:rFonts w:eastAsia="Times New Roman" w:cs="Times New Roman"/>
      <w:b/>
      <w:bCs/>
      <w:sz w:val="20"/>
      <w:szCs w:val="20"/>
      <w:lang w:val="en-US" w:eastAsia="en-AU"/>
    </w:rPr>
  </w:style>
  <w:style w:type="table" w:styleId="GridTable5Dark-Accent1">
    <w:name w:val="Grid Table 5 Dark Accent 1"/>
    <w:basedOn w:val="TableNormal"/>
    <w:uiPriority w:val="50"/>
    <w:rsid w:val="00710A8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BE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BE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BE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BEB" w:themeFill="accent1"/>
      </w:tcPr>
    </w:tblStylePr>
    <w:tblStylePr w:type="band1Vert">
      <w:tblPr/>
      <w:tcPr>
        <w:shd w:val="clear" w:color="auto" w:fill="9DB5F8" w:themeFill="accent1" w:themeFillTint="66"/>
      </w:tcPr>
    </w:tblStylePr>
    <w:tblStylePr w:type="band1Horz">
      <w:tblPr/>
      <w:tcPr>
        <w:shd w:val="clear" w:color="auto" w:fill="9DB5F8" w:themeFill="accent1" w:themeFillTint="66"/>
      </w:tcPr>
    </w:tblStylePr>
  </w:style>
  <w:style w:type="table" w:styleId="GridTable4-Accent1">
    <w:name w:val="Grid Table 4 Accent 1"/>
    <w:basedOn w:val="TableNormal"/>
    <w:uiPriority w:val="49"/>
    <w:rsid w:val="00710A83"/>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numbering" w:customStyle="1" w:styleId="ListParagraph0">
    <w:name w:val="List Paragraph0"/>
    <w:uiPriority w:val="99"/>
    <w:rsid w:val="00D63B2E"/>
    <w:pPr>
      <w:numPr>
        <w:numId w:val="15"/>
      </w:numPr>
    </w:pPr>
  </w:style>
  <w:style w:type="paragraph" w:customStyle="1" w:styleId="EndNoteBibliographyTitle">
    <w:name w:val="EndNote Bibliography Title"/>
    <w:basedOn w:val="Normal"/>
    <w:link w:val="EndNoteBibliographyTitleChar"/>
    <w:rsid w:val="00B43363"/>
    <w:pPr>
      <w:spacing w:after="0"/>
      <w:jc w:val="center"/>
    </w:pPr>
    <w:rPr>
      <w:rFonts w:ascii="Arial" w:hAnsi="Arial" w:cs="Arial"/>
      <w:noProof/>
      <w:lang w:val="en-US"/>
    </w:rPr>
  </w:style>
  <w:style w:type="character" w:customStyle="1" w:styleId="ListBulletChar">
    <w:name w:val="List Bullet Char"/>
    <w:basedOn w:val="DefaultParagraphFont"/>
    <w:link w:val="ListBullet0"/>
    <w:uiPriority w:val="1"/>
    <w:rsid w:val="00A74059"/>
    <w:rPr>
      <w:rFonts w:eastAsia="Times New Roman" w:cs="Times New Roman"/>
      <w:szCs w:val="24"/>
      <w:lang w:eastAsia="en-AU"/>
    </w:rPr>
  </w:style>
  <w:style w:type="character" w:customStyle="1" w:styleId="EndNoteBibliographyTitleChar">
    <w:name w:val="EndNote Bibliography Title Char"/>
    <w:basedOn w:val="ListBulletChar"/>
    <w:link w:val="EndNoteBibliographyTitle"/>
    <w:rsid w:val="00B43363"/>
    <w:rPr>
      <w:rFonts w:ascii="Arial" w:eastAsia="Times New Roman" w:hAnsi="Arial" w:cs="Arial"/>
      <w:noProof/>
      <w:szCs w:val="24"/>
      <w:lang w:val="en-US" w:eastAsia="en-AU"/>
    </w:rPr>
  </w:style>
  <w:style w:type="paragraph" w:customStyle="1" w:styleId="EndNoteBibliography">
    <w:name w:val="EndNote Bibliography"/>
    <w:basedOn w:val="Normal"/>
    <w:link w:val="EndNoteBibliographyChar"/>
    <w:rsid w:val="00B43363"/>
    <w:pPr>
      <w:spacing w:line="240" w:lineRule="auto"/>
    </w:pPr>
    <w:rPr>
      <w:rFonts w:ascii="Arial" w:hAnsi="Arial" w:cs="Arial"/>
      <w:noProof/>
      <w:lang w:val="en-US"/>
    </w:rPr>
  </w:style>
  <w:style w:type="character" w:customStyle="1" w:styleId="EndNoteBibliographyChar">
    <w:name w:val="EndNote Bibliography Char"/>
    <w:basedOn w:val="ListBulletChar"/>
    <w:link w:val="EndNoteBibliography"/>
    <w:rsid w:val="00B43363"/>
    <w:rPr>
      <w:rFonts w:ascii="Arial" w:eastAsia="Times New Roman" w:hAnsi="Arial" w:cs="Arial"/>
      <w:noProof/>
      <w:szCs w:val="24"/>
      <w:lang w:val="en-US" w:eastAsia="en-AU"/>
    </w:rPr>
  </w:style>
  <w:style w:type="paragraph" w:styleId="EndnoteText">
    <w:name w:val="endnote text"/>
    <w:basedOn w:val="Normal"/>
    <w:link w:val="EndnoteTextChar"/>
    <w:uiPriority w:val="99"/>
    <w:semiHidden/>
    <w:rsid w:val="006F5F4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F5F4F"/>
    <w:rPr>
      <w:sz w:val="20"/>
      <w:szCs w:val="20"/>
    </w:rPr>
  </w:style>
  <w:style w:type="character" w:styleId="EndnoteReference">
    <w:name w:val="endnote reference"/>
    <w:basedOn w:val="DefaultParagraphFont"/>
    <w:uiPriority w:val="99"/>
    <w:semiHidden/>
    <w:rsid w:val="006F5F4F"/>
    <w:rPr>
      <w:vertAlign w:val="superscript"/>
    </w:rPr>
  </w:style>
  <w:style w:type="paragraph" w:styleId="NormalWeb">
    <w:name w:val="Normal (Web)"/>
    <w:basedOn w:val="Normal"/>
    <w:uiPriority w:val="99"/>
    <w:semiHidden/>
    <w:rsid w:val="009A79BA"/>
    <w:rPr>
      <w:rFonts w:ascii="Times New Roman" w:hAnsi="Times New Roman" w:cs="Times New Roman"/>
      <w:sz w:val="24"/>
      <w:szCs w:val="24"/>
    </w:rPr>
  </w:style>
  <w:style w:type="paragraph" w:styleId="Revision">
    <w:name w:val="Revision"/>
    <w:hidden/>
    <w:uiPriority w:val="99"/>
    <w:semiHidden/>
    <w:rsid w:val="007C79FC"/>
    <w:pPr>
      <w:spacing w:before="0" w:after="0"/>
    </w:pPr>
  </w:style>
  <w:style w:type="character" w:styleId="Strong">
    <w:name w:val="Strong"/>
    <w:basedOn w:val="DefaultParagraphFont"/>
    <w:uiPriority w:val="99"/>
    <w:semiHidden/>
    <w:qFormat/>
    <w:rsid w:val="00C041CA"/>
    <w:rPr>
      <w:b/>
      <w:bCs/>
    </w:rPr>
  </w:style>
  <w:style w:type="numbering" w:customStyle="1" w:styleId="ListParagraph00">
    <w:name w:val="List Paragraph00"/>
    <w:uiPriority w:val="99"/>
    <w:rsid w:val="00466007"/>
    <w:pPr>
      <w:numPr>
        <w:numId w:val="48"/>
      </w:numPr>
    </w:pPr>
  </w:style>
  <w:style w:type="numbering" w:customStyle="1" w:styleId="ListNumberedHeadings1">
    <w:name w:val="List_NumberedHeadings1"/>
    <w:uiPriority w:val="99"/>
    <w:rsid w:val="00466007"/>
  </w:style>
  <w:style w:type="numbering" w:customStyle="1" w:styleId="ListChapter1">
    <w:name w:val="List_Chapter1"/>
    <w:uiPriority w:val="99"/>
    <w:rsid w:val="00466007"/>
  </w:style>
  <w:style w:type="character" w:customStyle="1" w:styleId="Mention1">
    <w:name w:val="Mention1"/>
    <w:basedOn w:val="DefaultParagraphFont"/>
    <w:uiPriority w:val="99"/>
    <w:unhideWhenUsed/>
    <w:rsid w:val="005F5D44"/>
    <w:rPr>
      <w:color w:val="2B579A"/>
      <w:shd w:val="clear" w:color="auto" w:fill="E1DFDD"/>
    </w:rPr>
  </w:style>
  <w:style w:type="numbering" w:customStyle="1" w:styleId="ListBullet1">
    <w:name w:val="List_Bullet1"/>
    <w:uiPriority w:val="99"/>
    <w:rsid w:val="001729AB"/>
  </w:style>
  <w:style w:type="table" w:styleId="TableGridLight">
    <w:name w:val="Grid Table Light"/>
    <w:basedOn w:val="TableNormal"/>
    <w:uiPriority w:val="40"/>
    <w:rsid w:val="00595E32"/>
    <w:pPr>
      <w:spacing w:after="0"/>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Paragraph1">
    <w:name w:val="List_Paragraph"/>
    <w:uiPriority w:val="99"/>
    <w:rsid w:val="000A39FA"/>
  </w:style>
  <w:style w:type="character" w:styleId="Mention">
    <w:name w:val="Mention"/>
    <w:basedOn w:val="DefaultParagraphFont"/>
    <w:uiPriority w:val="99"/>
    <w:unhideWhenUsed/>
    <w:rsid w:val="00F558EA"/>
    <w:rPr>
      <w:color w:val="2B579A"/>
      <w:shd w:val="clear" w:color="auto" w:fill="E1DFDD"/>
    </w:rPr>
  </w:style>
  <w:style w:type="numbering" w:customStyle="1" w:styleId="ListTableBullet1">
    <w:name w:val="List_TableBullet1"/>
    <w:uiPriority w:val="99"/>
    <w:rsid w:val="00F251B3"/>
  </w:style>
  <w:style w:type="numbering" w:customStyle="1" w:styleId="ListParagraph01">
    <w:name w:val="List Paragraph01"/>
    <w:uiPriority w:val="99"/>
    <w:rsid w:val="00F251B3"/>
  </w:style>
  <w:style w:type="character" w:customStyle="1" w:styleId="TableTextChar">
    <w:name w:val="Table Text Char"/>
    <w:basedOn w:val="DefaultParagraphFont"/>
    <w:link w:val="TableText"/>
    <w:uiPriority w:val="3"/>
    <w:rsid w:val="00F251B3"/>
  </w:style>
  <w:style w:type="numbering" w:customStyle="1" w:styleId="ListParagraph10">
    <w:name w:val="List_Paragraph1"/>
    <w:uiPriority w:val="99"/>
    <w:rsid w:val="00F251B3"/>
  </w:style>
  <w:style w:type="numbering" w:customStyle="1" w:styleId="ListTableBullet2">
    <w:name w:val="List_TableBullet2"/>
    <w:uiPriority w:val="99"/>
    <w:rsid w:val="00746AAF"/>
  </w:style>
  <w:style w:type="numbering" w:customStyle="1" w:styleId="ListParagraph02">
    <w:name w:val="List Paragraph02"/>
    <w:uiPriority w:val="99"/>
    <w:rsid w:val="00746AAF"/>
  </w:style>
  <w:style w:type="numbering" w:customStyle="1" w:styleId="ListParagraph20">
    <w:name w:val="List_Paragraph2"/>
    <w:uiPriority w:val="99"/>
    <w:rsid w:val="00746AAF"/>
  </w:style>
  <w:style w:type="table" w:styleId="GridTable1Light-Accent5">
    <w:name w:val="Grid Table 1 Light Accent 5"/>
    <w:basedOn w:val="TableNormal"/>
    <w:uiPriority w:val="46"/>
    <w:rsid w:val="009D04B8"/>
    <w:pPr>
      <w:spacing w:before="0" w:after="0"/>
    </w:pPr>
    <w:rPr>
      <w:sz w:val="24"/>
      <w:szCs w:val="24"/>
      <w:lang w:val="en-US"/>
    </w:rPr>
    <w:tblPr>
      <w:tblStyleRowBandSize w:val="1"/>
      <w:tblStyleColBandSize w:val="1"/>
      <w:tblBorders>
        <w:top w:val="single" w:sz="4" w:space="0" w:color="E8F88F" w:themeColor="accent5" w:themeTint="66"/>
        <w:left w:val="single" w:sz="4" w:space="0" w:color="E8F88F" w:themeColor="accent5" w:themeTint="66"/>
        <w:bottom w:val="single" w:sz="4" w:space="0" w:color="E8F88F" w:themeColor="accent5" w:themeTint="66"/>
        <w:right w:val="single" w:sz="4" w:space="0" w:color="E8F88F" w:themeColor="accent5" w:themeTint="66"/>
        <w:insideH w:val="single" w:sz="4" w:space="0" w:color="E8F88F" w:themeColor="accent5" w:themeTint="66"/>
        <w:insideV w:val="single" w:sz="4" w:space="0" w:color="E8F88F" w:themeColor="accent5" w:themeTint="66"/>
      </w:tblBorders>
    </w:tblPr>
    <w:tblStylePr w:type="firstRow">
      <w:rPr>
        <w:b/>
        <w:bCs/>
      </w:rPr>
      <w:tblPr/>
      <w:tcPr>
        <w:tcBorders>
          <w:bottom w:val="single" w:sz="12" w:space="0" w:color="DDF557" w:themeColor="accent5" w:themeTint="99"/>
        </w:tcBorders>
      </w:tcPr>
    </w:tblStylePr>
    <w:tblStylePr w:type="lastRow">
      <w:rPr>
        <w:b/>
        <w:bCs/>
      </w:rPr>
      <w:tblPr/>
      <w:tcPr>
        <w:tcBorders>
          <w:top w:val="double" w:sz="2" w:space="0" w:color="DDF557" w:themeColor="accent5" w:themeTint="99"/>
        </w:tcBorders>
      </w:tcPr>
    </w:tblStylePr>
    <w:tblStylePr w:type="firstCol">
      <w:rPr>
        <w:b/>
        <w:bCs/>
      </w:rPr>
    </w:tblStylePr>
    <w:tblStylePr w:type="lastCol">
      <w:rPr>
        <w:b/>
        <w:bCs/>
      </w:rPr>
    </w:tblStylePr>
  </w:style>
  <w:style w:type="character" w:customStyle="1" w:styleId="Hyperlink1">
    <w:name w:val="Hyperlink1"/>
    <w:basedOn w:val="DefaultParagraphFont"/>
    <w:uiPriority w:val="99"/>
    <w:rsid w:val="009D04B8"/>
    <w:rPr>
      <w:color w:val="0F4BEB"/>
      <w:u w:val="single"/>
    </w:rPr>
  </w:style>
  <w:style w:type="table" w:customStyle="1" w:styleId="PlainTable11">
    <w:name w:val="Plain Table 11"/>
    <w:basedOn w:val="TableNormal"/>
    <w:next w:val="PlainTable1"/>
    <w:uiPriority w:val="41"/>
    <w:rsid w:val="009D04B8"/>
    <w:pPr>
      <w:spacing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9D04B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ate">
    <w:name w:val="Date"/>
    <w:basedOn w:val="Normal"/>
    <w:next w:val="Normal"/>
    <w:link w:val="DateChar"/>
    <w:uiPriority w:val="99"/>
    <w:semiHidden/>
    <w:rsid w:val="006A61F1"/>
    <w:rPr>
      <w:rFonts w:cstheme="minorHAnsi"/>
      <w:color w:val="FFFFFF" w:themeColor="background1"/>
      <w:sz w:val="32"/>
      <w:szCs w:val="32"/>
    </w:rPr>
  </w:style>
  <w:style w:type="character" w:customStyle="1" w:styleId="DateChar">
    <w:name w:val="Date Char"/>
    <w:basedOn w:val="DefaultParagraphFont"/>
    <w:link w:val="Date"/>
    <w:uiPriority w:val="99"/>
    <w:semiHidden/>
    <w:rsid w:val="006A61F1"/>
    <w:rPr>
      <w:rFonts w:cstheme="minorHAnsi"/>
      <w:color w:val="FFFFFF" w:themeColor="background1"/>
      <w:sz w:val="32"/>
      <w:szCs w:val="32"/>
    </w:rPr>
  </w:style>
  <w:style w:type="paragraph" w:customStyle="1" w:styleId="Acknowledgmentheading">
    <w:name w:val="Acknowledgment (heading)"/>
    <w:basedOn w:val="Normal"/>
    <w:link w:val="AcknowledgmentheadingChar"/>
    <w:qFormat/>
    <w:rsid w:val="009C7B65"/>
    <w:rPr>
      <w:color w:val="0F4BEB" w:themeColor="accent1"/>
      <w:sz w:val="28"/>
      <w:szCs w:val="28"/>
    </w:rPr>
  </w:style>
  <w:style w:type="character" w:customStyle="1" w:styleId="AcknowledgmentheadingChar">
    <w:name w:val="Acknowledgment (heading) Char"/>
    <w:basedOn w:val="DefaultParagraphFont"/>
    <w:link w:val="Acknowledgmentheading"/>
    <w:rsid w:val="009C7B65"/>
    <w:rPr>
      <w:color w:val="0F4BEB" w:themeColor="accent1"/>
      <w:sz w:val="28"/>
      <w:szCs w:val="28"/>
    </w:rPr>
  </w:style>
  <w:style w:type="character" w:styleId="UnresolvedMention">
    <w:name w:val="Unresolved Mention"/>
    <w:basedOn w:val="DefaultParagraphFont"/>
    <w:uiPriority w:val="99"/>
    <w:semiHidden/>
    <w:unhideWhenUsed/>
    <w:rsid w:val="009C7B65"/>
    <w:rPr>
      <w:color w:val="605E5C"/>
      <w:shd w:val="clear" w:color="auto" w:fill="E1DFDD"/>
    </w:rPr>
  </w:style>
  <w:style w:type="paragraph" w:customStyle="1" w:styleId="Tablelista">
    <w:name w:val="Table list (a"/>
    <w:aliases w:val="b,c)"/>
    <w:basedOn w:val="Normal"/>
    <w:link w:val="TablelistaChar"/>
    <w:qFormat/>
    <w:rsid w:val="007A0443"/>
    <w:pPr>
      <w:numPr>
        <w:ilvl w:val="1"/>
        <w:numId w:val="9"/>
      </w:numPr>
      <w:spacing w:before="120" w:after="120"/>
    </w:pPr>
    <w:rPr>
      <w:rFonts w:eastAsia="Times New Roman" w:cs="Times New Roman"/>
      <w:szCs w:val="24"/>
      <w:lang w:eastAsia="en-AU"/>
    </w:rPr>
  </w:style>
  <w:style w:type="character" w:customStyle="1" w:styleId="TablelistaChar">
    <w:name w:val="Table list (a Char"/>
    <w:aliases w:val="b Char,c) Char"/>
    <w:basedOn w:val="DefaultParagraphFont"/>
    <w:link w:val="Tablelista"/>
    <w:rsid w:val="007A0443"/>
    <w:rPr>
      <w:rFonts w:eastAsia="Times New Roman" w:cs="Times New Roman"/>
      <w:szCs w:val="24"/>
      <w:lang w:eastAsia="en-AU"/>
    </w:rPr>
  </w:style>
  <w:style w:type="paragraph" w:styleId="Salutation">
    <w:name w:val="Salutation"/>
    <w:basedOn w:val="Normal"/>
    <w:next w:val="Normal"/>
    <w:link w:val="SalutationChar"/>
    <w:uiPriority w:val="99"/>
    <w:semiHidden/>
    <w:rsid w:val="00DB78FA"/>
  </w:style>
  <w:style w:type="character" w:customStyle="1" w:styleId="SalutationChar">
    <w:name w:val="Salutation Char"/>
    <w:basedOn w:val="DefaultParagraphFont"/>
    <w:link w:val="Salutation"/>
    <w:uiPriority w:val="99"/>
    <w:semiHidden/>
    <w:rsid w:val="00DB7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4507">
      <w:bodyDiv w:val="1"/>
      <w:marLeft w:val="0"/>
      <w:marRight w:val="0"/>
      <w:marTop w:val="0"/>
      <w:marBottom w:val="0"/>
      <w:divBdr>
        <w:top w:val="none" w:sz="0" w:space="0" w:color="auto"/>
        <w:left w:val="none" w:sz="0" w:space="0" w:color="auto"/>
        <w:bottom w:val="none" w:sz="0" w:space="0" w:color="auto"/>
        <w:right w:val="none" w:sz="0" w:space="0" w:color="auto"/>
      </w:divBdr>
      <w:divsChild>
        <w:div w:id="249124817">
          <w:marLeft w:val="0"/>
          <w:marRight w:val="0"/>
          <w:marTop w:val="0"/>
          <w:marBottom w:val="0"/>
          <w:divBdr>
            <w:top w:val="single" w:sz="2" w:space="0" w:color="auto"/>
            <w:left w:val="single" w:sz="2" w:space="0" w:color="auto"/>
            <w:bottom w:val="single" w:sz="6" w:space="0" w:color="auto"/>
            <w:right w:val="single" w:sz="2" w:space="0" w:color="auto"/>
          </w:divBdr>
          <w:divsChild>
            <w:div w:id="1492482500">
              <w:marLeft w:val="0"/>
              <w:marRight w:val="0"/>
              <w:marTop w:val="100"/>
              <w:marBottom w:val="100"/>
              <w:divBdr>
                <w:top w:val="single" w:sz="2" w:space="0" w:color="D9D9E3"/>
                <w:left w:val="single" w:sz="2" w:space="0" w:color="D9D9E3"/>
                <w:bottom w:val="single" w:sz="2" w:space="0" w:color="D9D9E3"/>
                <w:right w:val="single" w:sz="2" w:space="0" w:color="D9D9E3"/>
              </w:divBdr>
              <w:divsChild>
                <w:div w:id="1513840502">
                  <w:marLeft w:val="0"/>
                  <w:marRight w:val="0"/>
                  <w:marTop w:val="0"/>
                  <w:marBottom w:val="0"/>
                  <w:divBdr>
                    <w:top w:val="single" w:sz="2" w:space="0" w:color="D9D9E3"/>
                    <w:left w:val="single" w:sz="2" w:space="0" w:color="D9D9E3"/>
                    <w:bottom w:val="single" w:sz="2" w:space="0" w:color="D9D9E3"/>
                    <w:right w:val="single" w:sz="2" w:space="0" w:color="D9D9E3"/>
                  </w:divBdr>
                  <w:divsChild>
                    <w:div w:id="1474828976">
                      <w:marLeft w:val="0"/>
                      <w:marRight w:val="0"/>
                      <w:marTop w:val="0"/>
                      <w:marBottom w:val="0"/>
                      <w:divBdr>
                        <w:top w:val="single" w:sz="2" w:space="0" w:color="D9D9E3"/>
                        <w:left w:val="single" w:sz="2" w:space="0" w:color="D9D9E3"/>
                        <w:bottom w:val="single" w:sz="2" w:space="0" w:color="D9D9E3"/>
                        <w:right w:val="single" w:sz="2" w:space="0" w:color="D9D9E3"/>
                      </w:divBdr>
                      <w:divsChild>
                        <w:div w:id="1312521998">
                          <w:marLeft w:val="0"/>
                          <w:marRight w:val="0"/>
                          <w:marTop w:val="0"/>
                          <w:marBottom w:val="0"/>
                          <w:divBdr>
                            <w:top w:val="single" w:sz="2" w:space="0" w:color="D9D9E3"/>
                            <w:left w:val="single" w:sz="2" w:space="0" w:color="D9D9E3"/>
                            <w:bottom w:val="single" w:sz="2" w:space="0" w:color="D9D9E3"/>
                            <w:right w:val="single" w:sz="2" w:space="0" w:color="D9D9E3"/>
                          </w:divBdr>
                          <w:divsChild>
                            <w:div w:id="1033044130">
                              <w:marLeft w:val="0"/>
                              <w:marRight w:val="0"/>
                              <w:marTop w:val="0"/>
                              <w:marBottom w:val="0"/>
                              <w:divBdr>
                                <w:top w:val="single" w:sz="2" w:space="0" w:color="D9D9E3"/>
                                <w:left w:val="single" w:sz="2" w:space="0" w:color="D9D9E3"/>
                                <w:bottom w:val="single" w:sz="2" w:space="0" w:color="D9D9E3"/>
                                <w:right w:val="single" w:sz="2" w:space="0" w:color="D9D9E3"/>
                              </w:divBdr>
                              <w:divsChild>
                                <w:div w:id="1729380465">
                                  <w:marLeft w:val="0"/>
                                  <w:marRight w:val="0"/>
                                  <w:marTop w:val="0"/>
                                  <w:marBottom w:val="0"/>
                                  <w:divBdr>
                                    <w:top w:val="single" w:sz="2" w:space="0" w:color="D9D9E3"/>
                                    <w:left w:val="single" w:sz="2" w:space="0" w:color="D9D9E3"/>
                                    <w:bottom w:val="single" w:sz="2" w:space="0" w:color="D9D9E3"/>
                                    <w:right w:val="single" w:sz="2" w:space="0" w:color="D9D9E3"/>
                                  </w:divBdr>
                                  <w:divsChild>
                                    <w:div w:id="16766147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3705667">
      <w:bodyDiv w:val="1"/>
      <w:marLeft w:val="0"/>
      <w:marRight w:val="0"/>
      <w:marTop w:val="0"/>
      <w:marBottom w:val="0"/>
      <w:divBdr>
        <w:top w:val="none" w:sz="0" w:space="0" w:color="auto"/>
        <w:left w:val="none" w:sz="0" w:space="0" w:color="auto"/>
        <w:bottom w:val="none" w:sz="0" w:space="0" w:color="auto"/>
        <w:right w:val="none" w:sz="0" w:space="0" w:color="auto"/>
      </w:divBdr>
    </w:div>
    <w:div w:id="85468588">
      <w:bodyDiv w:val="1"/>
      <w:marLeft w:val="0"/>
      <w:marRight w:val="0"/>
      <w:marTop w:val="0"/>
      <w:marBottom w:val="0"/>
      <w:divBdr>
        <w:top w:val="none" w:sz="0" w:space="0" w:color="auto"/>
        <w:left w:val="none" w:sz="0" w:space="0" w:color="auto"/>
        <w:bottom w:val="none" w:sz="0" w:space="0" w:color="auto"/>
        <w:right w:val="none" w:sz="0" w:space="0" w:color="auto"/>
      </w:divBdr>
    </w:div>
    <w:div w:id="118648639">
      <w:bodyDiv w:val="1"/>
      <w:marLeft w:val="0"/>
      <w:marRight w:val="0"/>
      <w:marTop w:val="0"/>
      <w:marBottom w:val="0"/>
      <w:divBdr>
        <w:top w:val="none" w:sz="0" w:space="0" w:color="auto"/>
        <w:left w:val="none" w:sz="0" w:space="0" w:color="auto"/>
        <w:bottom w:val="none" w:sz="0" w:space="0" w:color="auto"/>
        <w:right w:val="none" w:sz="0" w:space="0" w:color="auto"/>
      </w:divBdr>
    </w:div>
    <w:div w:id="126551135">
      <w:bodyDiv w:val="1"/>
      <w:marLeft w:val="0"/>
      <w:marRight w:val="0"/>
      <w:marTop w:val="0"/>
      <w:marBottom w:val="0"/>
      <w:divBdr>
        <w:top w:val="none" w:sz="0" w:space="0" w:color="auto"/>
        <w:left w:val="none" w:sz="0" w:space="0" w:color="auto"/>
        <w:bottom w:val="none" w:sz="0" w:space="0" w:color="auto"/>
        <w:right w:val="none" w:sz="0" w:space="0" w:color="auto"/>
      </w:divBdr>
    </w:div>
    <w:div w:id="174655249">
      <w:bodyDiv w:val="1"/>
      <w:marLeft w:val="0"/>
      <w:marRight w:val="0"/>
      <w:marTop w:val="0"/>
      <w:marBottom w:val="0"/>
      <w:divBdr>
        <w:top w:val="none" w:sz="0" w:space="0" w:color="auto"/>
        <w:left w:val="none" w:sz="0" w:space="0" w:color="auto"/>
        <w:bottom w:val="none" w:sz="0" w:space="0" w:color="auto"/>
        <w:right w:val="none" w:sz="0" w:space="0" w:color="auto"/>
      </w:divBdr>
    </w:div>
    <w:div w:id="176505443">
      <w:bodyDiv w:val="1"/>
      <w:marLeft w:val="0"/>
      <w:marRight w:val="0"/>
      <w:marTop w:val="0"/>
      <w:marBottom w:val="0"/>
      <w:divBdr>
        <w:top w:val="none" w:sz="0" w:space="0" w:color="auto"/>
        <w:left w:val="none" w:sz="0" w:space="0" w:color="auto"/>
        <w:bottom w:val="none" w:sz="0" w:space="0" w:color="auto"/>
        <w:right w:val="none" w:sz="0" w:space="0" w:color="auto"/>
      </w:divBdr>
    </w:div>
    <w:div w:id="365297773">
      <w:bodyDiv w:val="1"/>
      <w:marLeft w:val="0"/>
      <w:marRight w:val="0"/>
      <w:marTop w:val="0"/>
      <w:marBottom w:val="0"/>
      <w:divBdr>
        <w:top w:val="none" w:sz="0" w:space="0" w:color="auto"/>
        <w:left w:val="none" w:sz="0" w:space="0" w:color="auto"/>
        <w:bottom w:val="none" w:sz="0" w:space="0" w:color="auto"/>
        <w:right w:val="none" w:sz="0" w:space="0" w:color="auto"/>
      </w:divBdr>
    </w:div>
    <w:div w:id="401947760">
      <w:bodyDiv w:val="1"/>
      <w:marLeft w:val="0"/>
      <w:marRight w:val="0"/>
      <w:marTop w:val="0"/>
      <w:marBottom w:val="0"/>
      <w:divBdr>
        <w:top w:val="none" w:sz="0" w:space="0" w:color="auto"/>
        <w:left w:val="none" w:sz="0" w:space="0" w:color="auto"/>
        <w:bottom w:val="none" w:sz="0" w:space="0" w:color="auto"/>
        <w:right w:val="none" w:sz="0" w:space="0" w:color="auto"/>
      </w:divBdr>
    </w:div>
    <w:div w:id="423456288">
      <w:bodyDiv w:val="1"/>
      <w:marLeft w:val="0"/>
      <w:marRight w:val="0"/>
      <w:marTop w:val="0"/>
      <w:marBottom w:val="0"/>
      <w:divBdr>
        <w:top w:val="none" w:sz="0" w:space="0" w:color="auto"/>
        <w:left w:val="none" w:sz="0" w:space="0" w:color="auto"/>
        <w:bottom w:val="none" w:sz="0" w:space="0" w:color="auto"/>
        <w:right w:val="none" w:sz="0" w:space="0" w:color="auto"/>
      </w:divBdr>
    </w:div>
    <w:div w:id="564726664">
      <w:bodyDiv w:val="1"/>
      <w:marLeft w:val="0"/>
      <w:marRight w:val="0"/>
      <w:marTop w:val="0"/>
      <w:marBottom w:val="0"/>
      <w:divBdr>
        <w:top w:val="none" w:sz="0" w:space="0" w:color="auto"/>
        <w:left w:val="none" w:sz="0" w:space="0" w:color="auto"/>
        <w:bottom w:val="none" w:sz="0" w:space="0" w:color="auto"/>
        <w:right w:val="none" w:sz="0" w:space="0" w:color="auto"/>
      </w:divBdr>
    </w:div>
    <w:div w:id="573583726">
      <w:bodyDiv w:val="1"/>
      <w:marLeft w:val="0"/>
      <w:marRight w:val="0"/>
      <w:marTop w:val="0"/>
      <w:marBottom w:val="0"/>
      <w:divBdr>
        <w:top w:val="none" w:sz="0" w:space="0" w:color="auto"/>
        <w:left w:val="none" w:sz="0" w:space="0" w:color="auto"/>
        <w:bottom w:val="none" w:sz="0" w:space="0" w:color="auto"/>
        <w:right w:val="none" w:sz="0" w:space="0" w:color="auto"/>
      </w:divBdr>
    </w:div>
    <w:div w:id="574629829">
      <w:bodyDiv w:val="1"/>
      <w:marLeft w:val="0"/>
      <w:marRight w:val="0"/>
      <w:marTop w:val="0"/>
      <w:marBottom w:val="0"/>
      <w:divBdr>
        <w:top w:val="none" w:sz="0" w:space="0" w:color="auto"/>
        <w:left w:val="none" w:sz="0" w:space="0" w:color="auto"/>
        <w:bottom w:val="none" w:sz="0" w:space="0" w:color="auto"/>
        <w:right w:val="none" w:sz="0" w:space="0" w:color="auto"/>
      </w:divBdr>
    </w:div>
    <w:div w:id="589193784">
      <w:bodyDiv w:val="1"/>
      <w:marLeft w:val="0"/>
      <w:marRight w:val="0"/>
      <w:marTop w:val="0"/>
      <w:marBottom w:val="0"/>
      <w:divBdr>
        <w:top w:val="none" w:sz="0" w:space="0" w:color="auto"/>
        <w:left w:val="none" w:sz="0" w:space="0" w:color="auto"/>
        <w:bottom w:val="none" w:sz="0" w:space="0" w:color="auto"/>
        <w:right w:val="none" w:sz="0" w:space="0" w:color="auto"/>
      </w:divBdr>
      <w:divsChild>
        <w:div w:id="564923420">
          <w:marLeft w:val="0"/>
          <w:marRight w:val="0"/>
          <w:marTop w:val="0"/>
          <w:marBottom w:val="0"/>
          <w:divBdr>
            <w:top w:val="single" w:sz="2" w:space="0" w:color="auto"/>
            <w:left w:val="single" w:sz="2" w:space="0" w:color="auto"/>
            <w:bottom w:val="single" w:sz="6" w:space="0" w:color="auto"/>
            <w:right w:val="single" w:sz="2" w:space="0" w:color="auto"/>
          </w:divBdr>
          <w:divsChild>
            <w:div w:id="367344121">
              <w:marLeft w:val="0"/>
              <w:marRight w:val="0"/>
              <w:marTop w:val="100"/>
              <w:marBottom w:val="100"/>
              <w:divBdr>
                <w:top w:val="single" w:sz="2" w:space="0" w:color="D9D9E3"/>
                <w:left w:val="single" w:sz="2" w:space="0" w:color="D9D9E3"/>
                <w:bottom w:val="single" w:sz="2" w:space="0" w:color="D9D9E3"/>
                <w:right w:val="single" w:sz="2" w:space="0" w:color="D9D9E3"/>
              </w:divBdr>
              <w:divsChild>
                <w:div w:id="316038021">
                  <w:marLeft w:val="0"/>
                  <w:marRight w:val="0"/>
                  <w:marTop w:val="0"/>
                  <w:marBottom w:val="0"/>
                  <w:divBdr>
                    <w:top w:val="single" w:sz="2" w:space="0" w:color="D9D9E3"/>
                    <w:left w:val="single" w:sz="2" w:space="0" w:color="D9D9E3"/>
                    <w:bottom w:val="single" w:sz="2" w:space="0" w:color="D9D9E3"/>
                    <w:right w:val="single" w:sz="2" w:space="0" w:color="D9D9E3"/>
                  </w:divBdr>
                  <w:divsChild>
                    <w:div w:id="318314308">
                      <w:marLeft w:val="0"/>
                      <w:marRight w:val="0"/>
                      <w:marTop w:val="0"/>
                      <w:marBottom w:val="0"/>
                      <w:divBdr>
                        <w:top w:val="single" w:sz="2" w:space="0" w:color="D9D9E3"/>
                        <w:left w:val="single" w:sz="2" w:space="0" w:color="D9D9E3"/>
                        <w:bottom w:val="single" w:sz="2" w:space="0" w:color="D9D9E3"/>
                        <w:right w:val="single" w:sz="2" w:space="0" w:color="D9D9E3"/>
                      </w:divBdr>
                      <w:divsChild>
                        <w:div w:id="2057928099">
                          <w:marLeft w:val="0"/>
                          <w:marRight w:val="0"/>
                          <w:marTop w:val="0"/>
                          <w:marBottom w:val="0"/>
                          <w:divBdr>
                            <w:top w:val="single" w:sz="2" w:space="0" w:color="D9D9E3"/>
                            <w:left w:val="single" w:sz="2" w:space="0" w:color="D9D9E3"/>
                            <w:bottom w:val="single" w:sz="2" w:space="0" w:color="D9D9E3"/>
                            <w:right w:val="single" w:sz="2" w:space="0" w:color="D9D9E3"/>
                          </w:divBdr>
                          <w:divsChild>
                            <w:div w:id="1278028452">
                              <w:marLeft w:val="0"/>
                              <w:marRight w:val="0"/>
                              <w:marTop w:val="0"/>
                              <w:marBottom w:val="0"/>
                              <w:divBdr>
                                <w:top w:val="single" w:sz="2" w:space="0" w:color="D9D9E3"/>
                                <w:left w:val="single" w:sz="2" w:space="0" w:color="D9D9E3"/>
                                <w:bottom w:val="single" w:sz="2" w:space="0" w:color="D9D9E3"/>
                                <w:right w:val="single" w:sz="2" w:space="0" w:color="D9D9E3"/>
                              </w:divBdr>
                              <w:divsChild>
                                <w:div w:id="1023366716">
                                  <w:marLeft w:val="0"/>
                                  <w:marRight w:val="0"/>
                                  <w:marTop w:val="0"/>
                                  <w:marBottom w:val="0"/>
                                  <w:divBdr>
                                    <w:top w:val="single" w:sz="2" w:space="0" w:color="D9D9E3"/>
                                    <w:left w:val="single" w:sz="2" w:space="0" w:color="D9D9E3"/>
                                    <w:bottom w:val="single" w:sz="2" w:space="0" w:color="D9D9E3"/>
                                    <w:right w:val="single" w:sz="2" w:space="0" w:color="D9D9E3"/>
                                  </w:divBdr>
                                  <w:divsChild>
                                    <w:div w:id="1459683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39188270">
      <w:bodyDiv w:val="1"/>
      <w:marLeft w:val="0"/>
      <w:marRight w:val="0"/>
      <w:marTop w:val="0"/>
      <w:marBottom w:val="0"/>
      <w:divBdr>
        <w:top w:val="none" w:sz="0" w:space="0" w:color="auto"/>
        <w:left w:val="none" w:sz="0" w:space="0" w:color="auto"/>
        <w:bottom w:val="none" w:sz="0" w:space="0" w:color="auto"/>
        <w:right w:val="none" w:sz="0" w:space="0" w:color="auto"/>
      </w:divBdr>
      <w:divsChild>
        <w:div w:id="197858977">
          <w:marLeft w:val="547"/>
          <w:marRight w:val="0"/>
          <w:marTop w:val="0"/>
          <w:marBottom w:val="0"/>
          <w:divBdr>
            <w:top w:val="none" w:sz="0" w:space="0" w:color="auto"/>
            <w:left w:val="none" w:sz="0" w:space="0" w:color="auto"/>
            <w:bottom w:val="none" w:sz="0" w:space="0" w:color="auto"/>
            <w:right w:val="none" w:sz="0" w:space="0" w:color="auto"/>
          </w:divBdr>
        </w:div>
      </w:divsChild>
    </w:div>
    <w:div w:id="875628638">
      <w:bodyDiv w:val="1"/>
      <w:marLeft w:val="0"/>
      <w:marRight w:val="0"/>
      <w:marTop w:val="0"/>
      <w:marBottom w:val="0"/>
      <w:divBdr>
        <w:top w:val="none" w:sz="0" w:space="0" w:color="auto"/>
        <w:left w:val="none" w:sz="0" w:space="0" w:color="auto"/>
        <w:bottom w:val="none" w:sz="0" w:space="0" w:color="auto"/>
        <w:right w:val="none" w:sz="0" w:space="0" w:color="auto"/>
      </w:divBdr>
      <w:divsChild>
        <w:div w:id="2085684753">
          <w:marLeft w:val="0"/>
          <w:marRight w:val="0"/>
          <w:marTop w:val="0"/>
          <w:marBottom w:val="0"/>
          <w:divBdr>
            <w:top w:val="single" w:sz="2" w:space="0" w:color="auto"/>
            <w:left w:val="single" w:sz="2" w:space="0" w:color="auto"/>
            <w:bottom w:val="single" w:sz="6" w:space="0" w:color="auto"/>
            <w:right w:val="single" w:sz="2" w:space="0" w:color="auto"/>
          </w:divBdr>
          <w:divsChild>
            <w:div w:id="930506472">
              <w:marLeft w:val="0"/>
              <w:marRight w:val="0"/>
              <w:marTop w:val="100"/>
              <w:marBottom w:val="100"/>
              <w:divBdr>
                <w:top w:val="single" w:sz="2" w:space="0" w:color="D9D9E3"/>
                <w:left w:val="single" w:sz="2" w:space="0" w:color="D9D9E3"/>
                <w:bottom w:val="single" w:sz="2" w:space="0" w:color="D9D9E3"/>
                <w:right w:val="single" w:sz="2" w:space="0" w:color="D9D9E3"/>
              </w:divBdr>
              <w:divsChild>
                <w:div w:id="533734400">
                  <w:marLeft w:val="0"/>
                  <w:marRight w:val="0"/>
                  <w:marTop w:val="0"/>
                  <w:marBottom w:val="0"/>
                  <w:divBdr>
                    <w:top w:val="single" w:sz="2" w:space="0" w:color="D9D9E3"/>
                    <w:left w:val="single" w:sz="2" w:space="0" w:color="D9D9E3"/>
                    <w:bottom w:val="single" w:sz="2" w:space="0" w:color="D9D9E3"/>
                    <w:right w:val="single" w:sz="2" w:space="0" w:color="D9D9E3"/>
                  </w:divBdr>
                  <w:divsChild>
                    <w:div w:id="1551842212">
                      <w:marLeft w:val="0"/>
                      <w:marRight w:val="0"/>
                      <w:marTop w:val="0"/>
                      <w:marBottom w:val="0"/>
                      <w:divBdr>
                        <w:top w:val="single" w:sz="2" w:space="0" w:color="D9D9E3"/>
                        <w:left w:val="single" w:sz="2" w:space="0" w:color="D9D9E3"/>
                        <w:bottom w:val="single" w:sz="2" w:space="0" w:color="D9D9E3"/>
                        <w:right w:val="single" w:sz="2" w:space="0" w:color="D9D9E3"/>
                      </w:divBdr>
                      <w:divsChild>
                        <w:div w:id="1334642551">
                          <w:marLeft w:val="0"/>
                          <w:marRight w:val="0"/>
                          <w:marTop w:val="0"/>
                          <w:marBottom w:val="0"/>
                          <w:divBdr>
                            <w:top w:val="single" w:sz="2" w:space="0" w:color="D9D9E3"/>
                            <w:left w:val="single" w:sz="2" w:space="0" w:color="D9D9E3"/>
                            <w:bottom w:val="single" w:sz="2" w:space="0" w:color="D9D9E3"/>
                            <w:right w:val="single" w:sz="2" w:space="0" w:color="D9D9E3"/>
                          </w:divBdr>
                          <w:divsChild>
                            <w:div w:id="475100590">
                              <w:marLeft w:val="0"/>
                              <w:marRight w:val="0"/>
                              <w:marTop w:val="0"/>
                              <w:marBottom w:val="0"/>
                              <w:divBdr>
                                <w:top w:val="single" w:sz="2" w:space="0" w:color="D9D9E3"/>
                                <w:left w:val="single" w:sz="2" w:space="0" w:color="D9D9E3"/>
                                <w:bottom w:val="single" w:sz="2" w:space="0" w:color="D9D9E3"/>
                                <w:right w:val="single" w:sz="2" w:space="0" w:color="D9D9E3"/>
                              </w:divBdr>
                              <w:divsChild>
                                <w:div w:id="863523119">
                                  <w:marLeft w:val="0"/>
                                  <w:marRight w:val="0"/>
                                  <w:marTop w:val="0"/>
                                  <w:marBottom w:val="0"/>
                                  <w:divBdr>
                                    <w:top w:val="single" w:sz="2" w:space="0" w:color="D9D9E3"/>
                                    <w:left w:val="single" w:sz="2" w:space="0" w:color="D9D9E3"/>
                                    <w:bottom w:val="single" w:sz="2" w:space="0" w:color="D9D9E3"/>
                                    <w:right w:val="single" w:sz="2" w:space="0" w:color="D9D9E3"/>
                                  </w:divBdr>
                                  <w:divsChild>
                                    <w:div w:id="6663284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77283454">
      <w:bodyDiv w:val="1"/>
      <w:marLeft w:val="0"/>
      <w:marRight w:val="0"/>
      <w:marTop w:val="0"/>
      <w:marBottom w:val="0"/>
      <w:divBdr>
        <w:top w:val="none" w:sz="0" w:space="0" w:color="auto"/>
        <w:left w:val="none" w:sz="0" w:space="0" w:color="auto"/>
        <w:bottom w:val="none" w:sz="0" w:space="0" w:color="auto"/>
        <w:right w:val="none" w:sz="0" w:space="0" w:color="auto"/>
      </w:divBdr>
      <w:divsChild>
        <w:div w:id="202907439">
          <w:marLeft w:val="274"/>
          <w:marRight w:val="0"/>
          <w:marTop w:val="0"/>
          <w:marBottom w:val="200"/>
          <w:divBdr>
            <w:top w:val="none" w:sz="0" w:space="0" w:color="auto"/>
            <w:left w:val="none" w:sz="0" w:space="0" w:color="auto"/>
            <w:bottom w:val="none" w:sz="0" w:space="0" w:color="auto"/>
            <w:right w:val="none" w:sz="0" w:space="0" w:color="auto"/>
          </w:divBdr>
        </w:div>
        <w:div w:id="381253435">
          <w:marLeft w:val="274"/>
          <w:marRight w:val="0"/>
          <w:marTop w:val="0"/>
          <w:marBottom w:val="200"/>
          <w:divBdr>
            <w:top w:val="none" w:sz="0" w:space="0" w:color="auto"/>
            <w:left w:val="none" w:sz="0" w:space="0" w:color="auto"/>
            <w:bottom w:val="none" w:sz="0" w:space="0" w:color="auto"/>
            <w:right w:val="none" w:sz="0" w:space="0" w:color="auto"/>
          </w:divBdr>
        </w:div>
        <w:div w:id="1046569588">
          <w:marLeft w:val="274"/>
          <w:marRight w:val="0"/>
          <w:marTop w:val="0"/>
          <w:marBottom w:val="200"/>
          <w:divBdr>
            <w:top w:val="none" w:sz="0" w:space="0" w:color="auto"/>
            <w:left w:val="none" w:sz="0" w:space="0" w:color="auto"/>
            <w:bottom w:val="none" w:sz="0" w:space="0" w:color="auto"/>
            <w:right w:val="none" w:sz="0" w:space="0" w:color="auto"/>
          </w:divBdr>
        </w:div>
        <w:div w:id="1391465347">
          <w:marLeft w:val="274"/>
          <w:marRight w:val="0"/>
          <w:marTop w:val="0"/>
          <w:marBottom w:val="200"/>
          <w:divBdr>
            <w:top w:val="none" w:sz="0" w:space="0" w:color="auto"/>
            <w:left w:val="none" w:sz="0" w:space="0" w:color="auto"/>
            <w:bottom w:val="none" w:sz="0" w:space="0" w:color="auto"/>
            <w:right w:val="none" w:sz="0" w:space="0" w:color="auto"/>
          </w:divBdr>
        </w:div>
      </w:divsChild>
    </w:div>
    <w:div w:id="994794997">
      <w:bodyDiv w:val="1"/>
      <w:marLeft w:val="0"/>
      <w:marRight w:val="0"/>
      <w:marTop w:val="0"/>
      <w:marBottom w:val="0"/>
      <w:divBdr>
        <w:top w:val="none" w:sz="0" w:space="0" w:color="auto"/>
        <w:left w:val="none" w:sz="0" w:space="0" w:color="auto"/>
        <w:bottom w:val="none" w:sz="0" w:space="0" w:color="auto"/>
        <w:right w:val="none" w:sz="0" w:space="0" w:color="auto"/>
      </w:divBdr>
    </w:div>
    <w:div w:id="1037311755">
      <w:bodyDiv w:val="1"/>
      <w:marLeft w:val="0"/>
      <w:marRight w:val="0"/>
      <w:marTop w:val="0"/>
      <w:marBottom w:val="0"/>
      <w:divBdr>
        <w:top w:val="none" w:sz="0" w:space="0" w:color="auto"/>
        <w:left w:val="none" w:sz="0" w:space="0" w:color="auto"/>
        <w:bottom w:val="none" w:sz="0" w:space="0" w:color="auto"/>
        <w:right w:val="none" w:sz="0" w:space="0" w:color="auto"/>
      </w:divBdr>
    </w:div>
    <w:div w:id="1039359016">
      <w:bodyDiv w:val="1"/>
      <w:marLeft w:val="0"/>
      <w:marRight w:val="0"/>
      <w:marTop w:val="0"/>
      <w:marBottom w:val="0"/>
      <w:divBdr>
        <w:top w:val="none" w:sz="0" w:space="0" w:color="auto"/>
        <w:left w:val="none" w:sz="0" w:space="0" w:color="auto"/>
        <w:bottom w:val="none" w:sz="0" w:space="0" w:color="auto"/>
        <w:right w:val="none" w:sz="0" w:space="0" w:color="auto"/>
      </w:divBdr>
    </w:div>
    <w:div w:id="1066879013">
      <w:bodyDiv w:val="1"/>
      <w:marLeft w:val="0"/>
      <w:marRight w:val="0"/>
      <w:marTop w:val="0"/>
      <w:marBottom w:val="0"/>
      <w:divBdr>
        <w:top w:val="none" w:sz="0" w:space="0" w:color="auto"/>
        <w:left w:val="none" w:sz="0" w:space="0" w:color="auto"/>
        <w:bottom w:val="none" w:sz="0" w:space="0" w:color="auto"/>
        <w:right w:val="none" w:sz="0" w:space="0" w:color="auto"/>
      </w:divBdr>
      <w:divsChild>
        <w:div w:id="174613946">
          <w:marLeft w:val="1080"/>
          <w:marRight w:val="0"/>
          <w:marTop w:val="0"/>
          <w:marBottom w:val="0"/>
          <w:divBdr>
            <w:top w:val="none" w:sz="0" w:space="0" w:color="auto"/>
            <w:left w:val="none" w:sz="0" w:space="0" w:color="auto"/>
            <w:bottom w:val="none" w:sz="0" w:space="0" w:color="auto"/>
            <w:right w:val="none" w:sz="0" w:space="0" w:color="auto"/>
          </w:divBdr>
        </w:div>
        <w:div w:id="296957422">
          <w:marLeft w:val="1080"/>
          <w:marRight w:val="0"/>
          <w:marTop w:val="0"/>
          <w:marBottom w:val="0"/>
          <w:divBdr>
            <w:top w:val="none" w:sz="0" w:space="0" w:color="auto"/>
            <w:left w:val="none" w:sz="0" w:space="0" w:color="auto"/>
            <w:bottom w:val="none" w:sz="0" w:space="0" w:color="auto"/>
            <w:right w:val="none" w:sz="0" w:space="0" w:color="auto"/>
          </w:divBdr>
        </w:div>
        <w:div w:id="1752585410">
          <w:marLeft w:val="1080"/>
          <w:marRight w:val="0"/>
          <w:marTop w:val="0"/>
          <w:marBottom w:val="0"/>
          <w:divBdr>
            <w:top w:val="none" w:sz="0" w:space="0" w:color="auto"/>
            <w:left w:val="none" w:sz="0" w:space="0" w:color="auto"/>
            <w:bottom w:val="none" w:sz="0" w:space="0" w:color="auto"/>
            <w:right w:val="none" w:sz="0" w:space="0" w:color="auto"/>
          </w:divBdr>
        </w:div>
      </w:divsChild>
    </w:div>
    <w:div w:id="1097671734">
      <w:bodyDiv w:val="1"/>
      <w:marLeft w:val="0"/>
      <w:marRight w:val="0"/>
      <w:marTop w:val="0"/>
      <w:marBottom w:val="0"/>
      <w:divBdr>
        <w:top w:val="none" w:sz="0" w:space="0" w:color="auto"/>
        <w:left w:val="none" w:sz="0" w:space="0" w:color="auto"/>
        <w:bottom w:val="none" w:sz="0" w:space="0" w:color="auto"/>
        <w:right w:val="none" w:sz="0" w:space="0" w:color="auto"/>
      </w:divBdr>
    </w:div>
    <w:div w:id="1124692153">
      <w:bodyDiv w:val="1"/>
      <w:marLeft w:val="0"/>
      <w:marRight w:val="0"/>
      <w:marTop w:val="0"/>
      <w:marBottom w:val="0"/>
      <w:divBdr>
        <w:top w:val="none" w:sz="0" w:space="0" w:color="auto"/>
        <w:left w:val="none" w:sz="0" w:space="0" w:color="auto"/>
        <w:bottom w:val="none" w:sz="0" w:space="0" w:color="auto"/>
        <w:right w:val="none" w:sz="0" w:space="0" w:color="auto"/>
      </w:divBdr>
    </w:div>
    <w:div w:id="1201430587">
      <w:bodyDiv w:val="1"/>
      <w:marLeft w:val="0"/>
      <w:marRight w:val="0"/>
      <w:marTop w:val="0"/>
      <w:marBottom w:val="0"/>
      <w:divBdr>
        <w:top w:val="none" w:sz="0" w:space="0" w:color="auto"/>
        <w:left w:val="none" w:sz="0" w:space="0" w:color="auto"/>
        <w:bottom w:val="none" w:sz="0" w:space="0" w:color="auto"/>
        <w:right w:val="none" w:sz="0" w:space="0" w:color="auto"/>
      </w:divBdr>
    </w:div>
    <w:div w:id="1224683139">
      <w:bodyDiv w:val="1"/>
      <w:marLeft w:val="0"/>
      <w:marRight w:val="0"/>
      <w:marTop w:val="0"/>
      <w:marBottom w:val="0"/>
      <w:divBdr>
        <w:top w:val="none" w:sz="0" w:space="0" w:color="auto"/>
        <w:left w:val="none" w:sz="0" w:space="0" w:color="auto"/>
        <w:bottom w:val="none" w:sz="0" w:space="0" w:color="auto"/>
        <w:right w:val="none" w:sz="0" w:space="0" w:color="auto"/>
      </w:divBdr>
    </w:div>
    <w:div w:id="1255937769">
      <w:bodyDiv w:val="1"/>
      <w:marLeft w:val="0"/>
      <w:marRight w:val="0"/>
      <w:marTop w:val="0"/>
      <w:marBottom w:val="0"/>
      <w:divBdr>
        <w:top w:val="none" w:sz="0" w:space="0" w:color="auto"/>
        <w:left w:val="none" w:sz="0" w:space="0" w:color="auto"/>
        <w:bottom w:val="none" w:sz="0" w:space="0" w:color="auto"/>
        <w:right w:val="none" w:sz="0" w:space="0" w:color="auto"/>
      </w:divBdr>
    </w:div>
    <w:div w:id="1309507295">
      <w:bodyDiv w:val="1"/>
      <w:marLeft w:val="0"/>
      <w:marRight w:val="0"/>
      <w:marTop w:val="0"/>
      <w:marBottom w:val="0"/>
      <w:divBdr>
        <w:top w:val="none" w:sz="0" w:space="0" w:color="auto"/>
        <w:left w:val="none" w:sz="0" w:space="0" w:color="auto"/>
        <w:bottom w:val="none" w:sz="0" w:space="0" w:color="auto"/>
        <w:right w:val="none" w:sz="0" w:space="0" w:color="auto"/>
      </w:divBdr>
      <w:divsChild>
        <w:div w:id="1646928223">
          <w:marLeft w:val="0"/>
          <w:marRight w:val="0"/>
          <w:marTop w:val="0"/>
          <w:marBottom w:val="0"/>
          <w:divBdr>
            <w:top w:val="single" w:sz="2" w:space="0" w:color="auto"/>
            <w:left w:val="single" w:sz="2" w:space="0" w:color="auto"/>
            <w:bottom w:val="single" w:sz="6" w:space="0" w:color="auto"/>
            <w:right w:val="single" w:sz="2" w:space="0" w:color="auto"/>
          </w:divBdr>
          <w:divsChild>
            <w:div w:id="1890800818">
              <w:marLeft w:val="0"/>
              <w:marRight w:val="0"/>
              <w:marTop w:val="100"/>
              <w:marBottom w:val="100"/>
              <w:divBdr>
                <w:top w:val="single" w:sz="2" w:space="0" w:color="D9D9E3"/>
                <w:left w:val="single" w:sz="2" w:space="0" w:color="D9D9E3"/>
                <w:bottom w:val="single" w:sz="2" w:space="0" w:color="D9D9E3"/>
                <w:right w:val="single" w:sz="2" w:space="0" w:color="D9D9E3"/>
              </w:divBdr>
              <w:divsChild>
                <w:div w:id="248276175">
                  <w:marLeft w:val="0"/>
                  <w:marRight w:val="0"/>
                  <w:marTop w:val="0"/>
                  <w:marBottom w:val="0"/>
                  <w:divBdr>
                    <w:top w:val="single" w:sz="2" w:space="0" w:color="D9D9E3"/>
                    <w:left w:val="single" w:sz="2" w:space="0" w:color="D9D9E3"/>
                    <w:bottom w:val="single" w:sz="2" w:space="0" w:color="D9D9E3"/>
                    <w:right w:val="single" w:sz="2" w:space="0" w:color="D9D9E3"/>
                  </w:divBdr>
                  <w:divsChild>
                    <w:div w:id="1039933839">
                      <w:marLeft w:val="0"/>
                      <w:marRight w:val="0"/>
                      <w:marTop w:val="0"/>
                      <w:marBottom w:val="0"/>
                      <w:divBdr>
                        <w:top w:val="single" w:sz="2" w:space="0" w:color="D9D9E3"/>
                        <w:left w:val="single" w:sz="2" w:space="0" w:color="D9D9E3"/>
                        <w:bottom w:val="single" w:sz="2" w:space="0" w:color="D9D9E3"/>
                        <w:right w:val="single" w:sz="2" w:space="0" w:color="D9D9E3"/>
                      </w:divBdr>
                      <w:divsChild>
                        <w:div w:id="1595745174">
                          <w:marLeft w:val="0"/>
                          <w:marRight w:val="0"/>
                          <w:marTop w:val="0"/>
                          <w:marBottom w:val="0"/>
                          <w:divBdr>
                            <w:top w:val="single" w:sz="2" w:space="0" w:color="D9D9E3"/>
                            <w:left w:val="single" w:sz="2" w:space="0" w:color="D9D9E3"/>
                            <w:bottom w:val="single" w:sz="2" w:space="0" w:color="D9D9E3"/>
                            <w:right w:val="single" w:sz="2" w:space="0" w:color="D9D9E3"/>
                          </w:divBdr>
                          <w:divsChild>
                            <w:div w:id="2123766391">
                              <w:marLeft w:val="0"/>
                              <w:marRight w:val="0"/>
                              <w:marTop w:val="0"/>
                              <w:marBottom w:val="0"/>
                              <w:divBdr>
                                <w:top w:val="single" w:sz="2" w:space="0" w:color="D9D9E3"/>
                                <w:left w:val="single" w:sz="2" w:space="0" w:color="D9D9E3"/>
                                <w:bottom w:val="single" w:sz="2" w:space="0" w:color="D9D9E3"/>
                                <w:right w:val="single" w:sz="2" w:space="0" w:color="D9D9E3"/>
                              </w:divBdr>
                              <w:divsChild>
                                <w:div w:id="551962349">
                                  <w:marLeft w:val="0"/>
                                  <w:marRight w:val="0"/>
                                  <w:marTop w:val="0"/>
                                  <w:marBottom w:val="0"/>
                                  <w:divBdr>
                                    <w:top w:val="single" w:sz="2" w:space="0" w:color="D9D9E3"/>
                                    <w:left w:val="single" w:sz="2" w:space="0" w:color="D9D9E3"/>
                                    <w:bottom w:val="single" w:sz="2" w:space="0" w:color="D9D9E3"/>
                                    <w:right w:val="single" w:sz="2" w:space="0" w:color="D9D9E3"/>
                                  </w:divBdr>
                                  <w:divsChild>
                                    <w:div w:id="1958901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32679531">
      <w:bodyDiv w:val="1"/>
      <w:marLeft w:val="0"/>
      <w:marRight w:val="0"/>
      <w:marTop w:val="0"/>
      <w:marBottom w:val="0"/>
      <w:divBdr>
        <w:top w:val="none" w:sz="0" w:space="0" w:color="auto"/>
        <w:left w:val="none" w:sz="0" w:space="0" w:color="auto"/>
        <w:bottom w:val="none" w:sz="0" w:space="0" w:color="auto"/>
        <w:right w:val="none" w:sz="0" w:space="0" w:color="auto"/>
      </w:divBdr>
    </w:div>
    <w:div w:id="1443459270">
      <w:bodyDiv w:val="1"/>
      <w:marLeft w:val="0"/>
      <w:marRight w:val="0"/>
      <w:marTop w:val="0"/>
      <w:marBottom w:val="0"/>
      <w:divBdr>
        <w:top w:val="none" w:sz="0" w:space="0" w:color="auto"/>
        <w:left w:val="none" w:sz="0" w:space="0" w:color="auto"/>
        <w:bottom w:val="none" w:sz="0" w:space="0" w:color="auto"/>
        <w:right w:val="none" w:sz="0" w:space="0" w:color="auto"/>
      </w:divBdr>
    </w:div>
    <w:div w:id="1598637841">
      <w:bodyDiv w:val="1"/>
      <w:marLeft w:val="0"/>
      <w:marRight w:val="0"/>
      <w:marTop w:val="0"/>
      <w:marBottom w:val="0"/>
      <w:divBdr>
        <w:top w:val="none" w:sz="0" w:space="0" w:color="auto"/>
        <w:left w:val="none" w:sz="0" w:space="0" w:color="auto"/>
        <w:bottom w:val="none" w:sz="0" w:space="0" w:color="auto"/>
        <w:right w:val="none" w:sz="0" w:space="0" w:color="auto"/>
      </w:divBdr>
      <w:divsChild>
        <w:div w:id="661735285">
          <w:marLeft w:val="0"/>
          <w:marRight w:val="0"/>
          <w:marTop w:val="0"/>
          <w:marBottom w:val="0"/>
          <w:divBdr>
            <w:top w:val="single" w:sz="2" w:space="0" w:color="auto"/>
            <w:left w:val="single" w:sz="2" w:space="0" w:color="auto"/>
            <w:bottom w:val="single" w:sz="6" w:space="0" w:color="auto"/>
            <w:right w:val="single" w:sz="2" w:space="0" w:color="auto"/>
          </w:divBdr>
          <w:divsChild>
            <w:div w:id="659120169">
              <w:marLeft w:val="0"/>
              <w:marRight w:val="0"/>
              <w:marTop w:val="100"/>
              <w:marBottom w:val="100"/>
              <w:divBdr>
                <w:top w:val="single" w:sz="2" w:space="0" w:color="D9D9E3"/>
                <w:left w:val="single" w:sz="2" w:space="0" w:color="D9D9E3"/>
                <w:bottom w:val="single" w:sz="2" w:space="0" w:color="D9D9E3"/>
                <w:right w:val="single" w:sz="2" w:space="0" w:color="D9D9E3"/>
              </w:divBdr>
              <w:divsChild>
                <w:div w:id="757214245">
                  <w:marLeft w:val="0"/>
                  <w:marRight w:val="0"/>
                  <w:marTop w:val="0"/>
                  <w:marBottom w:val="0"/>
                  <w:divBdr>
                    <w:top w:val="single" w:sz="2" w:space="0" w:color="D9D9E3"/>
                    <w:left w:val="single" w:sz="2" w:space="0" w:color="D9D9E3"/>
                    <w:bottom w:val="single" w:sz="2" w:space="0" w:color="D9D9E3"/>
                    <w:right w:val="single" w:sz="2" w:space="0" w:color="D9D9E3"/>
                  </w:divBdr>
                  <w:divsChild>
                    <w:div w:id="1981030740">
                      <w:marLeft w:val="0"/>
                      <w:marRight w:val="0"/>
                      <w:marTop w:val="0"/>
                      <w:marBottom w:val="0"/>
                      <w:divBdr>
                        <w:top w:val="single" w:sz="2" w:space="0" w:color="D9D9E3"/>
                        <w:left w:val="single" w:sz="2" w:space="0" w:color="D9D9E3"/>
                        <w:bottom w:val="single" w:sz="2" w:space="0" w:color="D9D9E3"/>
                        <w:right w:val="single" w:sz="2" w:space="0" w:color="D9D9E3"/>
                      </w:divBdr>
                      <w:divsChild>
                        <w:div w:id="1533491731">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5">
                              <w:marLeft w:val="0"/>
                              <w:marRight w:val="0"/>
                              <w:marTop w:val="0"/>
                              <w:marBottom w:val="0"/>
                              <w:divBdr>
                                <w:top w:val="single" w:sz="2" w:space="0" w:color="D9D9E3"/>
                                <w:left w:val="single" w:sz="2" w:space="0" w:color="D9D9E3"/>
                                <w:bottom w:val="single" w:sz="2" w:space="0" w:color="D9D9E3"/>
                                <w:right w:val="single" w:sz="2" w:space="0" w:color="D9D9E3"/>
                              </w:divBdr>
                              <w:divsChild>
                                <w:div w:id="1890065391">
                                  <w:marLeft w:val="0"/>
                                  <w:marRight w:val="0"/>
                                  <w:marTop w:val="0"/>
                                  <w:marBottom w:val="0"/>
                                  <w:divBdr>
                                    <w:top w:val="single" w:sz="2" w:space="0" w:color="D9D9E3"/>
                                    <w:left w:val="single" w:sz="2" w:space="0" w:color="D9D9E3"/>
                                    <w:bottom w:val="single" w:sz="2" w:space="0" w:color="D9D9E3"/>
                                    <w:right w:val="single" w:sz="2" w:space="0" w:color="D9D9E3"/>
                                  </w:divBdr>
                                  <w:divsChild>
                                    <w:div w:id="1593660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54990807">
      <w:bodyDiv w:val="1"/>
      <w:marLeft w:val="0"/>
      <w:marRight w:val="0"/>
      <w:marTop w:val="0"/>
      <w:marBottom w:val="0"/>
      <w:divBdr>
        <w:top w:val="none" w:sz="0" w:space="0" w:color="auto"/>
        <w:left w:val="none" w:sz="0" w:space="0" w:color="auto"/>
        <w:bottom w:val="none" w:sz="0" w:space="0" w:color="auto"/>
        <w:right w:val="none" w:sz="0" w:space="0" w:color="auto"/>
      </w:divBdr>
    </w:div>
    <w:div w:id="1671444237">
      <w:bodyDiv w:val="1"/>
      <w:marLeft w:val="0"/>
      <w:marRight w:val="0"/>
      <w:marTop w:val="0"/>
      <w:marBottom w:val="0"/>
      <w:divBdr>
        <w:top w:val="none" w:sz="0" w:space="0" w:color="auto"/>
        <w:left w:val="none" w:sz="0" w:space="0" w:color="auto"/>
        <w:bottom w:val="none" w:sz="0" w:space="0" w:color="auto"/>
        <w:right w:val="none" w:sz="0" w:space="0" w:color="auto"/>
      </w:divBdr>
      <w:divsChild>
        <w:div w:id="511914877">
          <w:marLeft w:val="0"/>
          <w:marRight w:val="0"/>
          <w:marTop w:val="0"/>
          <w:marBottom w:val="0"/>
          <w:divBdr>
            <w:top w:val="single" w:sz="2" w:space="0" w:color="auto"/>
            <w:left w:val="single" w:sz="2" w:space="0" w:color="auto"/>
            <w:bottom w:val="single" w:sz="6" w:space="0" w:color="auto"/>
            <w:right w:val="single" w:sz="2" w:space="0" w:color="auto"/>
          </w:divBdr>
          <w:divsChild>
            <w:div w:id="1320111717">
              <w:marLeft w:val="0"/>
              <w:marRight w:val="0"/>
              <w:marTop w:val="100"/>
              <w:marBottom w:val="100"/>
              <w:divBdr>
                <w:top w:val="single" w:sz="2" w:space="0" w:color="D9D9E3"/>
                <w:left w:val="single" w:sz="2" w:space="0" w:color="D9D9E3"/>
                <w:bottom w:val="single" w:sz="2" w:space="0" w:color="D9D9E3"/>
                <w:right w:val="single" w:sz="2" w:space="0" w:color="D9D9E3"/>
              </w:divBdr>
              <w:divsChild>
                <w:div w:id="649015612">
                  <w:marLeft w:val="0"/>
                  <w:marRight w:val="0"/>
                  <w:marTop w:val="0"/>
                  <w:marBottom w:val="0"/>
                  <w:divBdr>
                    <w:top w:val="single" w:sz="2" w:space="0" w:color="D9D9E3"/>
                    <w:left w:val="single" w:sz="2" w:space="0" w:color="D9D9E3"/>
                    <w:bottom w:val="single" w:sz="2" w:space="0" w:color="D9D9E3"/>
                    <w:right w:val="single" w:sz="2" w:space="0" w:color="D9D9E3"/>
                  </w:divBdr>
                  <w:divsChild>
                    <w:div w:id="100729734">
                      <w:marLeft w:val="0"/>
                      <w:marRight w:val="0"/>
                      <w:marTop w:val="0"/>
                      <w:marBottom w:val="0"/>
                      <w:divBdr>
                        <w:top w:val="single" w:sz="2" w:space="0" w:color="D9D9E3"/>
                        <w:left w:val="single" w:sz="2" w:space="0" w:color="D9D9E3"/>
                        <w:bottom w:val="single" w:sz="2" w:space="0" w:color="D9D9E3"/>
                        <w:right w:val="single" w:sz="2" w:space="0" w:color="D9D9E3"/>
                      </w:divBdr>
                      <w:divsChild>
                        <w:div w:id="180095003">
                          <w:marLeft w:val="0"/>
                          <w:marRight w:val="0"/>
                          <w:marTop w:val="0"/>
                          <w:marBottom w:val="0"/>
                          <w:divBdr>
                            <w:top w:val="single" w:sz="2" w:space="0" w:color="D9D9E3"/>
                            <w:left w:val="single" w:sz="2" w:space="0" w:color="D9D9E3"/>
                            <w:bottom w:val="single" w:sz="2" w:space="0" w:color="D9D9E3"/>
                            <w:right w:val="single" w:sz="2" w:space="0" w:color="D9D9E3"/>
                          </w:divBdr>
                          <w:divsChild>
                            <w:div w:id="1245846120">
                              <w:marLeft w:val="0"/>
                              <w:marRight w:val="0"/>
                              <w:marTop w:val="0"/>
                              <w:marBottom w:val="0"/>
                              <w:divBdr>
                                <w:top w:val="single" w:sz="2" w:space="0" w:color="D9D9E3"/>
                                <w:left w:val="single" w:sz="2" w:space="0" w:color="D9D9E3"/>
                                <w:bottom w:val="single" w:sz="2" w:space="0" w:color="D9D9E3"/>
                                <w:right w:val="single" w:sz="2" w:space="0" w:color="D9D9E3"/>
                              </w:divBdr>
                              <w:divsChild>
                                <w:div w:id="1795522551">
                                  <w:marLeft w:val="0"/>
                                  <w:marRight w:val="0"/>
                                  <w:marTop w:val="0"/>
                                  <w:marBottom w:val="0"/>
                                  <w:divBdr>
                                    <w:top w:val="single" w:sz="2" w:space="0" w:color="D9D9E3"/>
                                    <w:left w:val="single" w:sz="2" w:space="0" w:color="D9D9E3"/>
                                    <w:bottom w:val="single" w:sz="2" w:space="0" w:color="D9D9E3"/>
                                    <w:right w:val="single" w:sz="2" w:space="0" w:color="D9D9E3"/>
                                  </w:divBdr>
                                  <w:divsChild>
                                    <w:div w:id="7583282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49111286">
      <w:bodyDiv w:val="1"/>
      <w:marLeft w:val="0"/>
      <w:marRight w:val="0"/>
      <w:marTop w:val="0"/>
      <w:marBottom w:val="0"/>
      <w:divBdr>
        <w:top w:val="none" w:sz="0" w:space="0" w:color="auto"/>
        <w:left w:val="none" w:sz="0" w:space="0" w:color="auto"/>
        <w:bottom w:val="none" w:sz="0" w:space="0" w:color="auto"/>
        <w:right w:val="none" w:sz="0" w:space="0" w:color="auto"/>
      </w:divBdr>
      <w:divsChild>
        <w:div w:id="861821891">
          <w:marLeft w:val="432"/>
          <w:marRight w:val="0"/>
          <w:marTop w:val="0"/>
          <w:marBottom w:val="200"/>
          <w:divBdr>
            <w:top w:val="none" w:sz="0" w:space="0" w:color="auto"/>
            <w:left w:val="none" w:sz="0" w:space="0" w:color="auto"/>
            <w:bottom w:val="none" w:sz="0" w:space="0" w:color="auto"/>
            <w:right w:val="none" w:sz="0" w:space="0" w:color="auto"/>
          </w:divBdr>
        </w:div>
      </w:divsChild>
    </w:div>
    <w:div w:id="1750148852">
      <w:bodyDiv w:val="1"/>
      <w:marLeft w:val="0"/>
      <w:marRight w:val="0"/>
      <w:marTop w:val="0"/>
      <w:marBottom w:val="0"/>
      <w:divBdr>
        <w:top w:val="none" w:sz="0" w:space="0" w:color="auto"/>
        <w:left w:val="none" w:sz="0" w:space="0" w:color="auto"/>
        <w:bottom w:val="none" w:sz="0" w:space="0" w:color="auto"/>
        <w:right w:val="none" w:sz="0" w:space="0" w:color="auto"/>
      </w:divBdr>
      <w:divsChild>
        <w:div w:id="18047429">
          <w:marLeft w:val="0"/>
          <w:marRight w:val="0"/>
          <w:marTop w:val="0"/>
          <w:marBottom w:val="0"/>
          <w:divBdr>
            <w:top w:val="single" w:sz="2" w:space="0" w:color="auto"/>
            <w:left w:val="single" w:sz="2" w:space="0" w:color="auto"/>
            <w:bottom w:val="single" w:sz="6" w:space="0" w:color="auto"/>
            <w:right w:val="single" w:sz="2" w:space="0" w:color="auto"/>
          </w:divBdr>
          <w:divsChild>
            <w:div w:id="615252829">
              <w:marLeft w:val="0"/>
              <w:marRight w:val="0"/>
              <w:marTop w:val="100"/>
              <w:marBottom w:val="100"/>
              <w:divBdr>
                <w:top w:val="single" w:sz="2" w:space="0" w:color="D9D9E3"/>
                <w:left w:val="single" w:sz="2" w:space="0" w:color="D9D9E3"/>
                <w:bottom w:val="single" w:sz="2" w:space="0" w:color="D9D9E3"/>
                <w:right w:val="single" w:sz="2" w:space="0" w:color="D9D9E3"/>
              </w:divBdr>
              <w:divsChild>
                <w:div w:id="2001541243">
                  <w:marLeft w:val="0"/>
                  <w:marRight w:val="0"/>
                  <w:marTop w:val="0"/>
                  <w:marBottom w:val="0"/>
                  <w:divBdr>
                    <w:top w:val="single" w:sz="2" w:space="0" w:color="D9D9E3"/>
                    <w:left w:val="single" w:sz="2" w:space="0" w:color="D9D9E3"/>
                    <w:bottom w:val="single" w:sz="2" w:space="0" w:color="D9D9E3"/>
                    <w:right w:val="single" w:sz="2" w:space="0" w:color="D9D9E3"/>
                  </w:divBdr>
                  <w:divsChild>
                    <w:div w:id="1377974289">
                      <w:marLeft w:val="0"/>
                      <w:marRight w:val="0"/>
                      <w:marTop w:val="0"/>
                      <w:marBottom w:val="0"/>
                      <w:divBdr>
                        <w:top w:val="single" w:sz="2" w:space="0" w:color="D9D9E3"/>
                        <w:left w:val="single" w:sz="2" w:space="0" w:color="D9D9E3"/>
                        <w:bottom w:val="single" w:sz="2" w:space="0" w:color="D9D9E3"/>
                        <w:right w:val="single" w:sz="2" w:space="0" w:color="D9D9E3"/>
                      </w:divBdr>
                      <w:divsChild>
                        <w:div w:id="1228565827">
                          <w:marLeft w:val="0"/>
                          <w:marRight w:val="0"/>
                          <w:marTop w:val="0"/>
                          <w:marBottom w:val="0"/>
                          <w:divBdr>
                            <w:top w:val="single" w:sz="2" w:space="0" w:color="D9D9E3"/>
                            <w:left w:val="single" w:sz="2" w:space="0" w:color="D9D9E3"/>
                            <w:bottom w:val="single" w:sz="2" w:space="0" w:color="D9D9E3"/>
                            <w:right w:val="single" w:sz="2" w:space="0" w:color="D9D9E3"/>
                          </w:divBdr>
                          <w:divsChild>
                            <w:div w:id="649865844">
                              <w:marLeft w:val="0"/>
                              <w:marRight w:val="0"/>
                              <w:marTop w:val="0"/>
                              <w:marBottom w:val="0"/>
                              <w:divBdr>
                                <w:top w:val="single" w:sz="2" w:space="0" w:color="D9D9E3"/>
                                <w:left w:val="single" w:sz="2" w:space="0" w:color="D9D9E3"/>
                                <w:bottom w:val="single" w:sz="2" w:space="0" w:color="D9D9E3"/>
                                <w:right w:val="single" w:sz="2" w:space="0" w:color="D9D9E3"/>
                              </w:divBdr>
                              <w:divsChild>
                                <w:div w:id="56364924">
                                  <w:marLeft w:val="0"/>
                                  <w:marRight w:val="0"/>
                                  <w:marTop w:val="0"/>
                                  <w:marBottom w:val="0"/>
                                  <w:divBdr>
                                    <w:top w:val="single" w:sz="2" w:space="0" w:color="D9D9E3"/>
                                    <w:left w:val="single" w:sz="2" w:space="0" w:color="D9D9E3"/>
                                    <w:bottom w:val="single" w:sz="2" w:space="0" w:color="D9D9E3"/>
                                    <w:right w:val="single" w:sz="2" w:space="0" w:color="D9D9E3"/>
                                  </w:divBdr>
                                  <w:divsChild>
                                    <w:div w:id="1785915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56766293">
      <w:bodyDiv w:val="1"/>
      <w:marLeft w:val="0"/>
      <w:marRight w:val="0"/>
      <w:marTop w:val="0"/>
      <w:marBottom w:val="0"/>
      <w:divBdr>
        <w:top w:val="none" w:sz="0" w:space="0" w:color="auto"/>
        <w:left w:val="none" w:sz="0" w:space="0" w:color="auto"/>
        <w:bottom w:val="none" w:sz="0" w:space="0" w:color="auto"/>
        <w:right w:val="none" w:sz="0" w:space="0" w:color="auto"/>
      </w:divBdr>
      <w:divsChild>
        <w:div w:id="637809540">
          <w:marLeft w:val="0"/>
          <w:marRight w:val="0"/>
          <w:marTop w:val="0"/>
          <w:marBottom w:val="0"/>
          <w:divBdr>
            <w:top w:val="single" w:sz="2" w:space="0" w:color="auto"/>
            <w:left w:val="single" w:sz="2" w:space="0" w:color="auto"/>
            <w:bottom w:val="single" w:sz="6" w:space="0" w:color="auto"/>
            <w:right w:val="single" w:sz="2" w:space="0" w:color="auto"/>
          </w:divBdr>
          <w:divsChild>
            <w:div w:id="1784613860">
              <w:marLeft w:val="0"/>
              <w:marRight w:val="0"/>
              <w:marTop w:val="100"/>
              <w:marBottom w:val="100"/>
              <w:divBdr>
                <w:top w:val="single" w:sz="2" w:space="0" w:color="D9D9E3"/>
                <w:left w:val="single" w:sz="2" w:space="0" w:color="D9D9E3"/>
                <w:bottom w:val="single" w:sz="2" w:space="0" w:color="D9D9E3"/>
                <w:right w:val="single" w:sz="2" w:space="0" w:color="D9D9E3"/>
              </w:divBdr>
              <w:divsChild>
                <w:div w:id="1710452093">
                  <w:marLeft w:val="0"/>
                  <w:marRight w:val="0"/>
                  <w:marTop w:val="0"/>
                  <w:marBottom w:val="0"/>
                  <w:divBdr>
                    <w:top w:val="single" w:sz="2" w:space="0" w:color="D9D9E3"/>
                    <w:left w:val="single" w:sz="2" w:space="0" w:color="D9D9E3"/>
                    <w:bottom w:val="single" w:sz="2" w:space="0" w:color="D9D9E3"/>
                    <w:right w:val="single" w:sz="2" w:space="0" w:color="D9D9E3"/>
                  </w:divBdr>
                  <w:divsChild>
                    <w:div w:id="1360014231">
                      <w:marLeft w:val="0"/>
                      <w:marRight w:val="0"/>
                      <w:marTop w:val="0"/>
                      <w:marBottom w:val="0"/>
                      <w:divBdr>
                        <w:top w:val="single" w:sz="2" w:space="0" w:color="D9D9E3"/>
                        <w:left w:val="single" w:sz="2" w:space="0" w:color="D9D9E3"/>
                        <w:bottom w:val="single" w:sz="2" w:space="0" w:color="D9D9E3"/>
                        <w:right w:val="single" w:sz="2" w:space="0" w:color="D9D9E3"/>
                      </w:divBdr>
                      <w:divsChild>
                        <w:div w:id="1299456354">
                          <w:marLeft w:val="0"/>
                          <w:marRight w:val="0"/>
                          <w:marTop w:val="0"/>
                          <w:marBottom w:val="0"/>
                          <w:divBdr>
                            <w:top w:val="single" w:sz="2" w:space="0" w:color="D9D9E3"/>
                            <w:left w:val="single" w:sz="2" w:space="0" w:color="D9D9E3"/>
                            <w:bottom w:val="single" w:sz="2" w:space="0" w:color="D9D9E3"/>
                            <w:right w:val="single" w:sz="2" w:space="0" w:color="D9D9E3"/>
                          </w:divBdr>
                          <w:divsChild>
                            <w:div w:id="462961410">
                              <w:marLeft w:val="0"/>
                              <w:marRight w:val="0"/>
                              <w:marTop w:val="0"/>
                              <w:marBottom w:val="0"/>
                              <w:divBdr>
                                <w:top w:val="single" w:sz="2" w:space="0" w:color="D9D9E3"/>
                                <w:left w:val="single" w:sz="2" w:space="0" w:color="D9D9E3"/>
                                <w:bottom w:val="single" w:sz="2" w:space="0" w:color="D9D9E3"/>
                                <w:right w:val="single" w:sz="2" w:space="0" w:color="D9D9E3"/>
                              </w:divBdr>
                              <w:divsChild>
                                <w:div w:id="663515275">
                                  <w:marLeft w:val="0"/>
                                  <w:marRight w:val="0"/>
                                  <w:marTop w:val="0"/>
                                  <w:marBottom w:val="0"/>
                                  <w:divBdr>
                                    <w:top w:val="single" w:sz="2" w:space="0" w:color="D9D9E3"/>
                                    <w:left w:val="single" w:sz="2" w:space="0" w:color="D9D9E3"/>
                                    <w:bottom w:val="single" w:sz="2" w:space="0" w:color="D9D9E3"/>
                                    <w:right w:val="single" w:sz="2" w:space="0" w:color="D9D9E3"/>
                                  </w:divBdr>
                                  <w:divsChild>
                                    <w:div w:id="1813671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15044146">
      <w:bodyDiv w:val="1"/>
      <w:marLeft w:val="0"/>
      <w:marRight w:val="0"/>
      <w:marTop w:val="0"/>
      <w:marBottom w:val="0"/>
      <w:divBdr>
        <w:top w:val="none" w:sz="0" w:space="0" w:color="auto"/>
        <w:left w:val="none" w:sz="0" w:space="0" w:color="auto"/>
        <w:bottom w:val="none" w:sz="0" w:space="0" w:color="auto"/>
        <w:right w:val="none" w:sz="0" w:space="0" w:color="auto"/>
      </w:divBdr>
    </w:div>
    <w:div w:id="1924291506">
      <w:bodyDiv w:val="1"/>
      <w:marLeft w:val="0"/>
      <w:marRight w:val="0"/>
      <w:marTop w:val="0"/>
      <w:marBottom w:val="0"/>
      <w:divBdr>
        <w:top w:val="none" w:sz="0" w:space="0" w:color="auto"/>
        <w:left w:val="none" w:sz="0" w:space="0" w:color="auto"/>
        <w:bottom w:val="none" w:sz="0" w:space="0" w:color="auto"/>
        <w:right w:val="none" w:sz="0" w:space="0" w:color="auto"/>
      </w:divBdr>
    </w:div>
    <w:div w:id="1968732162">
      <w:bodyDiv w:val="1"/>
      <w:marLeft w:val="0"/>
      <w:marRight w:val="0"/>
      <w:marTop w:val="0"/>
      <w:marBottom w:val="0"/>
      <w:divBdr>
        <w:top w:val="none" w:sz="0" w:space="0" w:color="auto"/>
        <w:left w:val="none" w:sz="0" w:space="0" w:color="auto"/>
        <w:bottom w:val="none" w:sz="0" w:space="0" w:color="auto"/>
        <w:right w:val="none" w:sz="0" w:space="0" w:color="auto"/>
      </w:divBdr>
    </w:div>
    <w:div w:id="2024935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chiabu.2022.105660" TargetMode="External"/><Relationship Id="rId21" Type="http://schemas.openxmlformats.org/officeDocument/2006/relationships/hyperlink" Target="https://protect-au.mimecast.com/s/wZMiCZY1WDcWyzlzczGydb?domain=uts.edu.au" TargetMode="External"/><Relationship Id="rId42" Type="http://schemas.openxmlformats.org/officeDocument/2006/relationships/hyperlink" Target="https://federalfinancialrelations.gov.au/agreements/mental-health-suicide-prevention-agreement" TargetMode="External"/><Relationship Id="rId47" Type="http://schemas.openxmlformats.org/officeDocument/2006/relationships/hyperlink" Target="https://www.health.nsw.gov.au/lgbtiq-health/Pages/lgbtiq-health-strategy.aspx" TargetMode="External"/><Relationship Id="rId63" Type="http://schemas.openxmlformats.org/officeDocument/2006/relationships/hyperlink" Target="https://mhrm.mhcc.org.au/chapters/8-people-with-mental-health-and-co-existing-conditions/8i-lgbtiq-people-and-mental-health-conditions/" TargetMode="External"/><Relationship Id="rId68" Type="http://schemas.openxmlformats.org/officeDocument/2006/relationships/hyperlink" Target="https://www.waac.com.au/what-we-do/freedom-centre/" TargetMode="External"/><Relationship Id="rId84" Type="http://schemas.openxmlformats.org/officeDocument/2006/relationships/hyperlink" Target="https://www.transhub.org.au/mental-health" TargetMode="External"/><Relationship Id="rId89" Type="http://schemas.openxmlformats.org/officeDocument/2006/relationships/footer" Target="footer9.xml"/><Relationship Id="rId112" Type="http://schemas.openxmlformats.org/officeDocument/2006/relationships/hyperlink" Target="https://www.abs.gov.au/statistics/health/mental-health/national-study-mental-health-and-wellbeing/latest-release" TargetMode="External"/><Relationship Id="rId133" Type="http://schemas.openxmlformats.org/officeDocument/2006/relationships/hyperlink" Target="https://headspace.org.au/our-impact/campaigns/lgbtiqaplus/" TargetMode="External"/><Relationship Id="rId138" Type="http://schemas.openxmlformats.org/officeDocument/2006/relationships/hyperlink" Target="https://mhanational.org/lgbtq/asexual-community-mental-health" TargetMode="External"/><Relationship Id="rId154" Type="http://schemas.openxmlformats.org/officeDocument/2006/relationships/hyperlink" Target="https://twenty10.org.au/youth-services/" TargetMode="External"/><Relationship Id="rId159" Type="http://schemas.openxmlformats.org/officeDocument/2006/relationships/hyperlink" Target="https://westvicphn.com.au/health-professionals/health-topics/priority-populations/lgbtiq/" TargetMode="External"/><Relationship Id="rId175" Type="http://schemas.openxmlformats.org/officeDocument/2006/relationships/hyperlink" Target="https://www.humanrights.vic.gov.au/" TargetMode="External"/><Relationship Id="rId170" Type="http://schemas.openxmlformats.org/officeDocument/2006/relationships/hyperlink" Target="https://www.gotocourt.com.au/civil-law/sa/lgbtiq-rights/" TargetMode="External"/><Relationship Id="rId191" Type="http://schemas.openxmlformats.org/officeDocument/2006/relationships/hyperlink" Target="https://www.dpac.tas.gov.au/__data/assets/pdf_file/0022/236335/LGBTI_Framework_17_Nov_2015_ART.pdf" TargetMode="External"/><Relationship Id="rId196" Type="http://schemas.openxmlformats.org/officeDocument/2006/relationships/image" Target="media/image7.png"/><Relationship Id="rId16" Type="http://schemas.openxmlformats.org/officeDocument/2006/relationships/footer" Target="footer2.xml"/><Relationship Id="rId107" Type="http://schemas.openxmlformats.org/officeDocument/2006/relationships/hyperlink" Target="https://acesandaros.org/learn/the-asexual-umbrella" TargetMode="External"/><Relationship Id="rId11" Type="http://schemas.openxmlformats.org/officeDocument/2006/relationships/endnotes" Target="endnotes.xml"/><Relationship Id="rId32" Type="http://schemas.openxmlformats.org/officeDocument/2006/relationships/hyperlink" Target="https://www.uts.edu.au/about/faculty-health" TargetMode="External"/><Relationship Id="rId37" Type="http://schemas.openxmlformats.org/officeDocument/2006/relationships/footer" Target="footer6.xml"/><Relationship Id="rId53" Type="http://schemas.openxmlformats.org/officeDocument/2006/relationships/hyperlink" Target="https://www.health.wa.gov.au/~/media/Files/Corporate/general-documents/Health-Networks/PDF/LGBTI-Health-Strategy-2019-2024.pdfhttps:/www.health.wa.gov.au/~/media/Files/Corporate/general-documents/Health-Networks/PDF/LGBTI-Health-Strategy-2019-2024.pdf" TargetMode="External"/><Relationship Id="rId58" Type="http://schemas.openxmlformats.org/officeDocument/2006/relationships/footer" Target="footer8.xml"/><Relationship Id="rId74" Type="http://schemas.openxmlformats.org/officeDocument/2006/relationships/hyperlink" Target="https://www.herecompletely.com.au/lgbtq" TargetMode="External"/><Relationship Id="rId79" Type="http://schemas.openxmlformats.org/officeDocument/2006/relationships/hyperlink" Target="http://www.diversevoices.org.au/" TargetMode="External"/><Relationship Id="rId102" Type="http://schemas.openxmlformats.org/officeDocument/2006/relationships/hyperlink" Target="https://www.housing.qld.gov.au/about/initiatives/lgbti-roundtable" TargetMode="External"/><Relationship Id="rId123" Type="http://schemas.openxmlformats.org/officeDocument/2006/relationships/hyperlink" Target="https://www.cetc.org.au/the-needs-of-lgbtiq-young-people-in-out-of-home-care-research-brief/" TargetMode="External"/><Relationship Id="rId128" Type="http://schemas.openxmlformats.org/officeDocument/2006/relationships/hyperlink" Target="https://www.evolves.com.au/aboriginal-diversity/" TargetMode="External"/><Relationship Id="rId144" Type="http://schemas.openxmlformats.org/officeDocument/2006/relationships/hyperlink" Target="https://www.health.nsw.gov.au/news/Pages/20220419_01.aspx" TargetMode="External"/><Relationship Id="rId149" Type="http://schemas.openxmlformats.org/officeDocument/2006/relationships/hyperlink" Target="https://rainbowhealthaustralia.org.au/media/pages/research-resources/research-matters-trans-and-gender-diverse-health-and-wellbeing/80199998-1655786493/research-matters-trans-and-gender-diverse-health-and-wellbeing.pdf" TargetMode="External"/><Relationship Id="rId5" Type="http://schemas.openxmlformats.org/officeDocument/2006/relationships/customXml" Target="../customXml/item5.xml"/><Relationship Id="rId90" Type="http://schemas.openxmlformats.org/officeDocument/2006/relationships/hyperlink" Target="https://d3n8a8pro7vhmx.cloudfront.net/lgbtihealth/pages/663/attachments/original/1604283772/LGBTQIHomelessness_GUIDE_Final-March2020.pdf?1604283772" TargetMode="External"/><Relationship Id="rId95" Type="http://schemas.openxmlformats.org/officeDocument/2006/relationships/diagramQuickStyle" Target="diagrams/quickStyle1.xml"/><Relationship Id="rId160" Type="http://schemas.openxmlformats.org/officeDocument/2006/relationships/hyperlink" Target="https://www.health.wa.gov.au/~/media/Files/Corporate/general-documents/Health-Networks/PDF/LGBTI-Health-Strategy-2019-2024.pdfhttps:/www.health.wa.gov.au/~/media/Files/Corporate/general-documents/Health-Networks/PDF/LGBTI-Health-Strategy-2019-2024.pdf" TargetMode="External"/><Relationship Id="rId165" Type="http://schemas.openxmlformats.org/officeDocument/2006/relationships/hyperlink" Target="https://antidiscrimination.nsw.gov.au/" TargetMode="External"/><Relationship Id="rId181" Type="http://schemas.openxmlformats.org/officeDocument/2006/relationships/hyperlink" Target="https://health.nt.gov.au/governance-strategies-committees/nt-health-strategies/suicide-prevention-strategy-review" TargetMode="External"/><Relationship Id="rId186" Type="http://schemas.openxmlformats.org/officeDocument/2006/relationships/hyperlink" Target="https://www.qmhc.qld.gov.au/documents/everylifethequeenslandsuicidepreventionplan2019-2029webpdf" TargetMode="External"/><Relationship Id="rId22" Type="http://schemas.openxmlformats.org/officeDocument/2006/relationships/header" Target="header4.xml"/><Relationship Id="rId27" Type="http://schemas.openxmlformats.org/officeDocument/2006/relationships/footer" Target="footer5.xml"/><Relationship Id="rId43" Type="http://schemas.openxmlformats.org/officeDocument/2006/relationships/hyperlink" Target="https://www.pc.gov.au/inquiries/completed/mental-health/report/mental-health-volume1.pdf" TargetMode="External"/><Relationship Id="rId48" Type="http://schemas.openxmlformats.org/officeDocument/2006/relationships/hyperlink" Target="https://health.nt.gov.au/__data/assets/pdf_file/0005/735314/NT-Health-Inclusion-Strategy-Respecting-People-with-Diverse-Sexualities-and-Gender-Identities.pdf" TargetMode="External"/><Relationship Id="rId64" Type="http://schemas.openxmlformats.org/officeDocument/2006/relationships/hyperlink" Target="https://mhcc.org.au/wp-content/uploads/2022/10/Recovery-Oriented-Language-Guide-3rd-edition.pdf" TargetMode="External"/><Relationship Id="rId69" Type="http://schemas.openxmlformats.org/officeDocument/2006/relationships/hyperlink" Target="https://www.opendoors.net.au/about-open-doors-youth-service/" TargetMode="External"/><Relationship Id="rId113" Type="http://schemas.openxmlformats.org/officeDocument/2006/relationships/hyperlink" Target="https://www.abs.gov.au/media-centre/media-statements/statement-regret-2021-census" TargetMode="External"/><Relationship Id="rId118" Type="http://schemas.openxmlformats.org/officeDocument/2006/relationships/hyperlink" Target="https://www.psychiatry.org/psychiatrists/diversity/education/transgender-and-gender-nonconforming-patients/gender-dysphoria-diagnosis" TargetMode="External"/><Relationship Id="rId134" Type="http://schemas.openxmlformats.org/officeDocument/2006/relationships/hyperlink" Target="https://www.herecompletely.com.au/lgbtq" TargetMode="External"/><Relationship Id="rId139" Type="http://schemas.openxmlformats.org/officeDocument/2006/relationships/hyperlink" Target="https://doi.org/10.5204/ijcjsd.2225" TargetMode="External"/><Relationship Id="rId80" Type="http://schemas.openxmlformats.org/officeDocument/2006/relationships/hyperlink" Target="https://www.twenty10.org.au/" TargetMode="External"/><Relationship Id="rId85" Type="http://schemas.openxmlformats.org/officeDocument/2006/relationships/hyperlink" Target="https://www.instagram.com/p/CrJlXUTIMDp/?img_index=1" TargetMode="External"/><Relationship Id="rId150" Type="http://schemas.openxmlformats.org/officeDocument/2006/relationships/hyperlink" Target="https://www.rainbowhealthvic.org.au/media/pages/research-resources/research-matters-how-many-people-are-lgbtiq/4170611962-1612761890/researchmatters-numbers-lgbtiq.pdf" TargetMode="External"/><Relationship Id="rId155" Type="http://schemas.openxmlformats.org/officeDocument/2006/relationships/hyperlink" Target="https://www.health.vic.gov.au/your-health-report-of-the-chief-health-officer-victoria-2018/health-inequalities/lgbtiq-victorians" TargetMode="External"/><Relationship Id="rId171" Type="http://schemas.openxmlformats.org/officeDocument/2006/relationships/hyperlink" Target="https://www.equalopportunity.sa.gov.au" TargetMode="External"/><Relationship Id="rId176" Type="http://schemas.openxmlformats.org/officeDocument/2006/relationships/hyperlink" Target="https://www.gotocourt.com.au/civil-law/wa/lgbtiq-rights/" TargetMode="External"/><Relationship Id="rId192" Type="http://schemas.openxmlformats.org/officeDocument/2006/relationships/hyperlink" Target="https://federalfinancialrelations.gov.au/sites/federalfinancialrelations.gov.au/files/2022-04/nmh_sp_bilateral_agreement_vic.pdf" TargetMode="External"/><Relationship Id="rId197"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image" Target="media/image1.png"/><Relationship Id="rId33" Type="http://schemas.openxmlformats.org/officeDocument/2006/relationships/hyperlink" Target="https://www.uts.edu.au/research/institute-public-policy-and-governance/" TargetMode="External"/><Relationship Id="rId38" Type="http://schemas.openxmlformats.org/officeDocument/2006/relationships/hyperlink" Target="https://www.lgbtiqhealth.org.au/statistics" TargetMode="External"/><Relationship Id="rId59" Type="http://schemas.openxmlformats.org/officeDocument/2006/relationships/hyperlink" Target="https://www.lgbtiqhealth.org.au/beyond_urgent_national_lgbtiq_mhsp_strategy" TargetMode="External"/><Relationship Id="rId103" Type="http://schemas.openxmlformats.org/officeDocument/2006/relationships/hyperlink" Target="https://rainbowhealthaustralia.org.au/rainbow-tick" TargetMode="External"/><Relationship Id="rId108" Type="http://schemas.openxmlformats.org/officeDocument/2006/relationships/hyperlink" Target="https://www.acon.org.au/what-we-are-here-for/mental-health/" TargetMode="External"/><Relationship Id="rId124" Type="http://schemas.openxmlformats.org/officeDocument/2006/relationships/hyperlink" Target="https://www.meridianact.org.au/role_of_lgbtiqa_peer_led_services" TargetMode="External"/><Relationship Id="rId129" Type="http://schemas.openxmlformats.org/officeDocument/2006/relationships/hyperlink" Target="https://doi.org/10.1016/j.copsyc.2023.101579" TargetMode="External"/><Relationship Id="rId54" Type="http://schemas.openxmlformats.org/officeDocument/2006/relationships/hyperlink" Target="https://www.cmtedd.act.gov.au/policystrategic/the-office-of-lgbtiq-affairs/lgbtiq-ministerial-advisory-council" TargetMode="External"/><Relationship Id="rId70" Type="http://schemas.openxmlformats.org/officeDocument/2006/relationships/hyperlink" Target="https://blaq.org.au/" TargetMode="External"/><Relationship Id="rId75" Type="http://schemas.openxmlformats.org/officeDocument/2006/relationships/hyperlink" Target="https://someone.health/lgbtq-psychologists/" TargetMode="External"/><Relationship Id="rId91" Type="http://schemas.openxmlformats.org/officeDocument/2006/relationships/hyperlink" Target="https://www.cetc.org.au/the-needs-of-lgbtiq-young-people-in-out-of-home-care-research-brief/" TargetMode="External"/><Relationship Id="rId96" Type="http://schemas.openxmlformats.org/officeDocument/2006/relationships/diagramColors" Target="diagrams/colors1.xml"/><Relationship Id="rId140" Type="http://schemas.openxmlformats.org/officeDocument/2006/relationships/hyperlink" Target="https://doi.org/10.4102/hsag.v26i0.1487" TargetMode="External"/><Relationship Id="rId145" Type="http://schemas.openxmlformats.org/officeDocument/2006/relationships/hyperlink" Target="https://pridefoundation.org.au/wp-content/uploads/2020/07/Pride-Foundation-Australia-Submission-Federal-Parliamentary-Inquiry-into-Homelessness-2020-final.pdf" TargetMode="External"/><Relationship Id="rId161" Type="http://schemas.openxmlformats.org/officeDocument/2006/relationships/hyperlink" Target="https://pursuit.unimelb.edu.au/articles/challenging-five-years-of-transphobia" TargetMode="External"/><Relationship Id="rId166" Type="http://schemas.openxmlformats.org/officeDocument/2006/relationships/hyperlink" Target="https://www.gotocourt.com.au/civil-law/nt/lgbtiq-rights-law/" TargetMode="External"/><Relationship Id="rId182" Type="http://schemas.openxmlformats.org/officeDocument/2006/relationships/hyperlink" Target="https://tfhc.nt.gov.au/social-inclusion-and-interpreting-services/office-of-gender-equity-and-diversity/gender-equality" TargetMode="External"/><Relationship Id="rId187" Type="http://schemas.openxmlformats.org/officeDocument/2006/relationships/hyperlink" Target="https://www.forgov.qld.gov.au/__data/assets/pdf_file/0029/183926/lgbtiq-inclusion-strategy.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5.xml"/><Relationship Id="rId28" Type="http://schemas.openxmlformats.org/officeDocument/2006/relationships/hyperlink" Target="mailto:ippg@uts.edu.au" TargetMode="External"/><Relationship Id="rId49" Type="http://schemas.openxmlformats.org/officeDocument/2006/relationships/hyperlink" Target="https://www.dpac.tas.gov.au/__data/assets/pdf_file/0022/236335/LGBTI_Framework_17_Nov_2015_ART.pdf" TargetMode="External"/><Relationship Id="rId114" Type="http://schemas.openxmlformats.org/officeDocument/2006/relationships/hyperlink" Target="https://www.aihw.gov.au/mental-health/overview/mental-health-services" TargetMode="External"/><Relationship Id="rId119" Type="http://schemas.openxmlformats.org/officeDocument/2006/relationships/hyperlink" Target="https://humanrights.gov.au/about/news/media-releases/commission-welcomes-resolution-census-inclusion-complaint" TargetMode="External"/><Relationship Id="rId44" Type="http://schemas.openxmlformats.org/officeDocument/2006/relationships/hyperlink" Target="https://www.health.gov.au/resources/publications/national-suicide-prevention-adviser-final-advice" TargetMode="External"/><Relationship Id="rId60" Type="http://schemas.openxmlformats.org/officeDocument/2006/relationships/hyperlink" Target="https://www.lgbtiqhealth.org.au/current_evidence_for_good_practice_in_suicide_prevention_for_lgbtiq_people" TargetMode="External"/><Relationship Id="rId65" Type="http://schemas.openxmlformats.org/officeDocument/2006/relationships/hyperlink" Target="https://www.acon.org.au/what-we-are-here-for/mental-health/" TargetMode="External"/><Relationship Id="rId81" Type="http://schemas.openxmlformats.org/officeDocument/2006/relationships/hyperlink" Target="https://www.switchboard.org.au/" TargetMode="External"/><Relationship Id="rId86" Type="http://schemas.openxmlformats.org/officeDocument/2006/relationships/hyperlink" Target="https://fdpn.org.au/queer-sisterhood/" TargetMode="External"/><Relationship Id="rId130" Type="http://schemas.openxmlformats.org/officeDocument/2006/relationships/hyperlink" Target="https://www.sahealth.sa.gov.au/wps/wcm/connect/public+content/sa+health+internet/about+us/publications+and+resources/plans/sa+mental+health+services+plan/sa+health+mental+health+services+plan" TargetMode="External"/><Relationship Id="rId135" Type="http://schemas.openxmlformats.org/officeDocument/2006/relationships/hyperlink" Target="https://www.theguardian.com/australia-news/2019/oct/05/questions-about-sexual-orientation-and-gender-identity-dumped-from-census" TargetMode="External"/><Relationship Id="rId151" Type="http://schemas.openxmlformats.org/officeDocument/2006/relationships/hyperlink" Target="https://www.servicesaustralia.gov.au/mental-health-care-and-medicare?context=60092" TargetMode="External"/><Relationship Id="rId156" Type="http://schemas.openxmlformats.org/officeDocument/2006/relationships/hyperlink" Target="https://content.vic.gov.au/sites/default/files/2022-02/Pride-in-our-future-Victorias-LGBTIQ%2B-strategy-2022-32.pdf" TargetMode="External"/><Relationship Id="rId177" Type="http://schemas.openxmlformats.org/officeDocument/2006/relationships/hyperlink" Target="https://www.wa.gov.au/organisation/equal-opportunity-commission" TargetMode="External"/><Relationship Id="rId198" Type="http://schemas.openxmlformats.org/officeDocument/2006/relationships/theme" Target="theme/theme1.xml"/><Relationship Id="rId172" Type="http://schemas.openxmlformats.org/officeDocument/2006/relationships/hyperlink" Target="https://www.health.tas.gov.au/professionals/education-and-training-health-professionals/lgbtiq-inclusive-healthcare/lgbtiqa-laws-and-guidelines" TargetMode="External"/><Relationship Id="rId193" Type="http://schemas.openxmlformats.org/officeDocument/2006/relationships/hyperlink" Target="https://federalfinancialrelations.gov.au/sites/federalfinancialrelations.gov.au/files/2022-04/nmh_sp_bilateral_agreement_wa.pdf" TargetMode="Externa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s://humanrights.gov.au/our-work/employers/sex-discrimination" TargetMode="External"/><Relationship Id="rId109" Type="http://schemas.openxmlformats.org/officeDocument/2006/relationships/hyperlink" Target="https://www.cmtedd.act.gov.au/policystrategic/the-office-of-lgbtiq-affairs/capital-of-equality-act-government-lgbtiq-strategy" TargetMode="External"/><Relationship Id="rId34" Type="http://schemas.openxmlformats.org/officeDocument/2006/relationships/hyperlink" Target="https://www.blackdoginstitute.org.au/" TargetMode="External"/><Relationship Id="rId50" Type="http://schemas.openxmlformats.org/officeDocument/2006/relationships/hyperlink" Target="https://www.health.tas.gov.au/sites/default/files/2023-11/rethink_2020_implementation_plan_2023-24.pdf" TargetMode="External"/><Relationship Id="rId55" Type="http://schemas.openxmlformats.org/officeDocument/2006/relationships/hyperlink" Target="https://www.housing.qld.gov.au/about/initiatives/lgbti-roundtable" TargetMode="External"/><Relationship Id="rId76" Type="http://schemas.openxmlformats.org/officeDocument/2006/relationships/hyperlink" Target="https://monashhealth.org/services/gender-clinic/" TargetMode="External"/><Relationship Id="rId97" Type="http://schemas.microsoft.com/office/2007/relationships/diagramDrawing" Target="diagrams/drawing1.xml"/><Relationship Id="rId104" Type="http://schemas.openxmlformats.org/officeDocument/2006/relationships/hyperlink" Target="https://www.mentalhealthcommission.gov.au/getmedia/ad54b39b-ea46-458d-a1e6-71623f53accd/Vision-2030" TargetMode="External"/><Relationship Id="rId120" Type="http://schemas.openxmlformats.org/officeDocument/2006/relationships/hyperlink" Target="https://humanrights.gov.au/sites/default/files/document/publication/SOGII%20Rights%20Report%202015_Web_Version.pdf" TargetMode="External"/><Relationship Id="rId125" Type="http://schemas.openxmlformats.org/officeDocument/2006/relationships/hyperlink" Target="https://www.health.gov.au/ministers/the-hon-mark-butler-mp/media/pathway-to-better-health-for-lgbtiqa-communities" TargetMode="External"/><Relationship Id="rId141" Type="http://schemas.openxmlformats.org/officeDocument/2006/relationships/hyperlink" Target="https://monashhealth.org/services/gender-clinic/questions/" TargetMode="External"/><Relationship Id="rId146" Type="http://schemas.openxmlformats.org/officeDocument/2006/relationships/hyperlink" Target="https://qlife.org.au/get-help/" TargetMode="External"/><Relationship Id="rId167" Type="http://schemas.openxmlformats.org/officeDocument/2006/relationships/hyperlink" Target="https://adc.nt.gov.au/" TargetMode="External"/><Relationship Id="rId188" Type="http://schemas.openxmlformats.org/officeDocument/2006/relationships/hyperlink" Target="https://federalfinancialrelations.gov.au/sites/federalfinancialrelations.gov.au/files/2022-03/nmh_sp_bilateral_agreement_sa_0.pdf" TargetMode="External"/><Relationship Id="rId7" Type="http://schemas.openxmlformats.org/officeDocument/2006/relationships/styles" Target="styles.xml"/><Relationship Id="rId71" Type="http://schemas.openxmlformats.org/officeDocument/2006/relationships/hyperlink" Target="https://www.wmq.org.au/mental-health/supporting-minds" TargetMode="External"/><Relationship Id="rId92" Type="http://schemas.openxmlformats.org/officeDocument/2006/relationships/image" Target="media/image5.png"/><Relationship Id="rId162" Type="http://schemas.openxmlformats.org/officeDocument/2006/relationships/hyperlink" Target="https://www.gotocourt.com.au/civil-law/act/lgbtiq-rights/" TargetMode="External"/><Relationship Id="rId183" Type="http://schemas.openxmlformats.org/officeDocument/2006/relationships/hyperlink" Target="https://federalfinancialrelations.gov.au/sites/federalfinancialrelations.gov.au/files/2022-03/nmh_sp_bilateral_agreement_nsw_0.pdf" TargetMode="External"/><Relationship Id="rId2" Type="http://schemas.openxmlformats.org/officeDocument/2006/relationships/customXml" Target="../customXml/item2.xml"/><Relationship Id="rId29" Type="http://schemas.openxmlformats.org/officeDocument/2006/relationships/hyperlink" Target="http://www.uts.edu.au/ippg" TargetMode="External"/><Relationship Id="rId24" Type="http://schemas.openxmlformats.org/officeDocument/2006/relationships/footer" Target="footer3.xml"/><Relationship Id="rId40" Type="http://schemas.openxmlformats.org/officeDocument/2006/relationships/hyperlink" Target="https://humanrights.gov.au/about" TargetMode="External"/><Relationship Id="rId45" Type="http://schemas.openxmlformats.org/officeDocument/2006/relationships/footer" Target="footer7.xml"/><Relationship Id="rId66" Type="http://schemas.openxmlformats.org/officeDocument/2006/relationships/hyperlink" Target="https://thorneharbour.org/about/who-we-are/" TargetMode="External"/><Relationship Id="rId87" Type="http://schemas.openxmlformats.org/officeDocument/2006/relationships/hyperlink" Target="https://www.switchboard.org.au/lgbtiolderpeople" TargetMode="External"/><Relationship Id="rId110" Type="http://schemas.openxmlformats.org/officeDocument/2006/relationships/hyperlink" Target="https://www.abs.gov.au/statistics/people/people-and-communities/general-social-survey-summary-results-australia/latest-release" TargetMode="External"/><Relationship Id="rId115" Type="http://schemas.openxmlformats.org/officeDocument/2006/relationships/hyperlink" Target="https://www.aihw.gov.au/reports/australias-health/social-determinants-of-health" TargetMode="External"/><Relationship Id="rId131" Type="http://schemas.openxmlformats.org/officeDocument/2006/relationships/hyperlink" Target="https://www.grants.gov.au/Go/Show?GoUuid=e69dca85-1fcb-4e39-872d-b1ced05bb58b" TargetMode="External"/><Relationship Id="rId136" Type="http://schemas.openxmlformats.org/officeDocument/2006/relationships/hyperlink" Target="https://www.lgbtiqhealth.org.au/understanding_suicide_among_tgd" TargetMode="External"/><Relationship Id="rId157" Type="http://schemas.openxmlformats.org/officeDocument/2006/relationships/hyperlink" Target="https://pridecentre.org.au/resources/q-psychology/" TargetMode="External"/><Relationship Id="rId178" Type="http://schemas.openxmlformats.org/officeDocument/2006/relationships/hyperlink" Target="https://www.health.gov.au/sites/default/files/2023-06/national-mental-health-workforce-strategy-summary.pdf" TargetMode="External"/><Relationship Id="rId61" Type="http://schemas.openxmlformats.org/officeDocument/2006/relationships/hyperlink" Target="https://www.dhi.health.nsw.gov.au/transcultural-mental-health-centre-tmhc/resources/community-mental-health-profiles-and-information-resources/lgbtiq" TargetMode="External"/><Relationship Id="rId82" Type="http://schemas.openxmlformats.org/officeDocument/2006/relationships/hyperlink" Target="https://headspace.org.au/our-impact/campaigns/lgbtiqaplus/" TargetMode="External"/><Relationship Id="rId152" Type="http://schemas.openxmlformats.org/officeDocument/2006/relationships/hyperlink" Target="https://someone.health/lgbtq-psychologists/" TargetMode="External"/><Relationship Id="rId173" Type="http://schemas.openxmlformats.org/officeDocument/2006/relationships/hyperlink" Target="https://equalopportunity.tas.gov.au/" TargetMode="External"/><Relationship Id="rId194" Type="http://schemas.openxmlformats.org/officeDocument/2006/relationships/hyperlink" Target="https://engage.perth.wa.gov.au/lgbtqia-community" TargetMode="External"/><Relationship Id="rId19" Type="http://schemas.openxmlformats.org/officeDocument/2006/relationships/hyperlink" Target="mailto:https://www.uts.edu.au/research/institute-public-policy-and-governance" TargetMode="External"/><Relationship Id="rId14"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hyperlink" Target="https://www.sydney.edu.au/medicine-health/" TargetMode="External"/><Relationship Id="rId56" Type="http://schemas.openxmlformats.org/officeDocument/2006/relationships/hyperlink" Target="https://dhs.sa.gov.au/about-us/our-department/inclusion-engagement-and-safeguarding/ministers-advisory-councils/lgbtiqa-ministers-advisory-council" TargetMode="External"/><Relationship Id="rId77" Type="http://schemas.openxmlformats.org/officeDocument/2006/relationships/hyperlink" Target="https://qlife.org.au/get-help/" TargetMode="External"/><Relationship Id="rId100" Type="http://schemas.openxmlformats.org/officeDocument/2006/relationships/image" Target="media/image6.png"/><Relationship Id="rId105" Type="http://schemas.openxmlformats.org/officeDocument/2006/relationships/hyperlink" Target="https://aci.health.nsw.gov.au/__data/assets/pdf_file/0006/719871/ACI-Trauma-informed-care-and-practice-in-mental-health-services-across-NSW-Framework.pdf" TargetMode="External"/><Relationship Id="rId126" Type="http://schemas.openxmlformats.org/officeDocument/2006/relationships/hyperlink" Target="https://ministers.ag.gov.au/media-centre/australian-law-reform-commission-review-religious-exemptions-educational-institutions-extended-20-04-2023" TargetMode="External"/><Relationship Id="rId147" Type="http://schemas.openxmlformats.org/officeDocument/2006/relationships/hyperlink" Target="https://www.qmhc.qld.gov.au/strategic-planning/action-plans/every-life-phase-one" TargetMode="External"/><Relationship Id="rId168" Type="http://schemas.openxmlformats.org/officeDocument/2006/relationships/hyperlink" Target="https://www.gotocourt.com.au/civil-law/qld/lgbtiq-rights-in-queensland/" TargetMode="External"/><Relationship Id="rId8" Type="http://schemas.openxmlformats.org/officeDocument/2006/relationships/settings" Target="settings.xml"/><Relationship Id="rId51" Type="http://schemas.openxmlformats.org/officeDocument/2006/relationships/hyperlink" Target="https://www.vic.gov.au/pride-our-future-victorias-lgbtiq-strategy-2022-32" TargetMode="External"/><Relationship Id="rId72" Type="http://schemas.openxmlformats.org/officeDocument/2006/relationships/hyperlink" Target="https://westvicphn.com.au/health-professionals/health-topics/priority-populations/lgbtiq/" TargetMode="External"/><Relationship Id="rId93" Type="http://schemas.openxmlformats.org/officeDocument/2006/relationships/diagramData" Target="diagrams/data1.xml"/><Relationship Id="rId98" Type="http://schemas.openxmlformats.org/officeDocument/2006/relationships/hyperlink" Target="https://www.lgbtiqhealth.org.au/beyond_urgent_national_lgbtiq_mhsp_strategy" TargetMode="External"/><Relationship Id="rId121" Type="http://schemas.openxmlformats.org/officeDocument/2006/relationships/hyperlink" Target="https://www.aihw.gov.au/reports/alcohol/alcohol-tobacco-other-drugs-australia/contents/population-groups-of-interest/patterns-of-consumption-by-drug-type" TargetMode="External"/><Relationship Id="rId142" Type="http://schemas.openxmlformats.org/officeDocument/2006/relationships/hyperlink" Target="https://www.mentalhealthcommission.gov.au/Projects/stigma-and-discrimination-reduction-strategy" TargetMode="External"/><Relationship Id="rId163" Type="http://schemas.openxmlformats.org/officeDocument/2006/relationships/hyperlink" Target="https://www.hrc.act.gov.au/" TargetMode="External"/><Relationship Id="rId184" Type="http://schemas.openxmlformats.org/officeDocument/2006/relationships/hyperlink" Target="https://federalfinancialrelations.gov.au/sites/federalfinancialrelations.gov.au/files/2022-04/nmh_sp_bilateral_agreement_qld.pdf" TargetMode="External"/><Relationship Id="rId189" Type="http://schemas.openxmlformats.org/officeDocument/2006/relationships/hyperlink" Target="https://www.sahealth.sa.gov.au/wps/wcm/connect/8520124e-0250-4393-819e-71bca0db4ad9/19032.2+MHSP-report-web-no+watermark.pdf?MOD=AJPERES&amp;amp;CACHEID=ROOTWORKSPACE-8520124e-0250-4393-819e-71bca0db4ad9-nwLp6cp" TargetMode="Externa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hyperlink" Target="https://www.cmtedd.act.gov.au/policystrategic/the-office-of-lgbtiq-affairs/capital-of-equality-act-government-lgbtiq-strategy" TargetMode="External"/><Relationship Id="rId67" Type="http://schemas.openxmlformats.org/officeDocument/2006/relationships/hyperlink" Target="https://twenty10.org.au/" TargetMode="External"/><Relationship Id="rId116" Type="http://schemas.openxmlformats.org/officeDocument/2006/relationships/hyperlink" Target="https://psychology.org.au/community/advocacy-social-issues/lesbian-gay-bisexual-transgender-intersex" TargetMode="External"/><Relationship Id="rId137" Type="http://schemas.openxmlformats.org/officeDocument/2006/relationships/hyperlink" Target="https://www.lgbtiqhealth.org.au/submission_to_abs_2026_census_topic_consultation_phase_two" TargetMode="External"/><Relationship Id="rId158" Type="http://schemas.openxmlformats.org/officeDocument/2006/relationships/hyperlink" Target="https://www.wmq.org.au/mental-health/supporting-minds" TargetMode="External"/><Relationship Id="rId20" Type="http://schemas.openxmlformats.org/officeDocument/2006/relationships/hyperlink" Target="https://protect-au.mimecast.com/s/wZMiCZY1WDcWyzlzczGydb?domain=uts.edu.au" TargetMode="External"/><Relationship Id="rId41" Type="http://schemas.openxmlformats.org/officeDocument/2006/relationships/hyperlink" Target="https://www.ag.gov.au/families-and-marriage/marriage/marriage-equality-australia" TargetMode="External"/><Relationship Id="rId62" Type="http://schemas.openxmlformats.org/officeDocument/2006/relationships/hyperlink" Target="https://rainbowhealthaustralia.org.au/rainbow-tick" TargetMode="External"/><Relationship Id="rId83" Type="http://schemas.openxmlformats.org/officeDocument/2006/relationships/hyperlink" Target="https://here.org.au/" TargetMode="External"/><Relationship Id="rId88" Type="http://schemas.openxmlformats.org/officeDocument/2006/relationships/hyperlink" Target="https://albanypride.com.au/events/" TargetMode="External"/><Relationship Id="rId111" Type="http://schemas.openxmlformats.org/officeDocument/2006/relationships/hyperlink" Target="https://www.abs.gov.au/statistics/labour/employment-and-unemployment/labour-force-australia/latest-release" TargetMode="External"/><Relationship Id="rId132" Type="http://schemas.openxmlformats.org/officeDocument/2006/relationships/hyperlink" Target="https://doi.org/10.1177/00048674221104744" TargetMode="External"/><Relationship Id="rId153" Type="http://schemas.openxmlformats.org/officeDocument/2006/relationships/hyperlink" Target="https://www.psychologytoday.com/us/blog/political-minds/202201/the-evidence-trans-youth-gender-affirming-medical-care" TargetMode="External"/><Relationship Id="rId174" Type="http://schemas.openxmlformats.org/officeDocument/2006/relationships/hyperlink" Target="https://www.vic.gov.au/historic-timeline-lgbtiq-equality" TargetMode="External"/><Relationship Id="rId179" Type="http://schemas.openxmlformats.org/officeDocument/2006/relationships/hyperlink" Target="https://federalfinancialrelations.gov.au/sites/federalfinancialrelations.gov.au/files/2022-04/nmh_sp_bilateral_agreement_act.pdf" TargetMode="External"/><Relationship Id="rId195" Type="http://schemas.openxmlformats.org/officeDocument/2006/relationships/hyperlink" Target="https://perth.wa.gov.au/en/live-and-work/community-services-and-facilities/lgbtqia" TargetMode="External"/><Relationship Id="rId190" Type="http://schemas.openxmlformats.org/officeDocument/2006/relationships/hyperlink" Target="https://federalfinancialrelations.gov.au/sites/federalfinancialrelations.gov.au/files/2022-05/nmh_sp_bilateral_agreement_tas.PDF" TargetMode="External"/><Relationship Id="rId15" Type="http://schemas.openxmlformats.org/officeDocument/2006/relationships/header" Target="header3.xml"/><Relationship Id="rId36" Type="http://schemas.openxmlformats.org/officeDocument/2006/relationships/header" Target="header7.xml"/><Relationship Id="rId57" Type="http://schemas.openxmlformats.org/officeDocument/2006/relationships/hyperlink" Target="https://www.health.vic.gov.au/populations/lgbtiq-taskforce-and-health-and-human-services-working-group" TargetMode="External"/><Relationship Id="rId106" Type="http://schemas.openxmlformats.org/officeDocument/2006/relationships/hyperlink" Target="https://aci.health.nsw.gov.au/networks/mental-health/trauma-informed-care/self-assessment" TargetMode="External"/><Relationship Id="rId127" Type="http://schemas.openxmlformats.org/officeDocument/2006/relationships/hyperlink" Target="https://equalityaustralia.org.au/abs-admits-new-recommendations-required-to-count-lgbtiq-people-properly-in-census/" TargetMode="External"/><Relationship Id="rId10" Type="http://schemas.openxmlformats.org/officeDocument/2006/relationships/footnotes" Target="footnotes.xml"/><Relationship Id="rId31" Type="http://schemas.openxmlformats.org/officeDocument/2006/relationships/image" Target="media/image4.png"/><Relationship Id="rId52" Type="http://schemas.openxmlformats.org/officeDocument/2006/relationships/hyperlink" Target="https://www.vic.gov.au/pride-our-future-victorias-lgbtiq-strategy-2022-32" TargetMode="External"/><Relationship Id="rId73" Type="http://schemas.openxmlformats.org/officeDocument/2006/relationships/hyperlink" Target="https://pridecentre.org.au/resources/q-psychology/" TargetMode="External"/><Relationship Id="rId78" Type="http://schemas.openxmlformats.org/officeDocument/2006/relationships/hyperlink" Target="https://www.livingproud.org.au/" TargetMode="External"/><Relationship Id="rId94" Type="http://schemas.openxmlformats.org/officeDocument/2006/relationships/diagramLayout" Target="diagrams/layout1.xml"/><Relationship Id="rId99" Type="http://schemas.openxmlformats.org/officeDocument/2006/relationships/hyperlink" Target="https://mhrm.mhcc.org.au/chapters/8-people-with-mental-health-and-co-existing-conditions/8i-lgbtiq-people-and-mental-health-conditions/https:/mhrm.mhcc.org.au/chapters/8-people-with-mental-health-and-co-existing-conditions/8i-lgbtiq-people-and-mental-health-conditions/" TargetMode="External"/><Relationship Id="rId101" Type="http://schemas.openxmlformats.org/officeDocument/2006/relationships/hyperlink" Target="https://www.vic.gov.au/lgbtiq-taskforce" TargetMode="External"/><Relationship Id="rId122" Type="http://schemas.openxmlformats.org/officeDocument/2006/relationships/hyperlink" Target="https://www.aihw.gov.au/reports/australias-health/social-determinants-of-health" TargetMode="External"/><Relationship Id="rId143" Type="http://schemas.openxmlformats.org/officeDocument/2006/relationships/hyperlink" Target="https://www.health.nsw.gov.au/lgbtiq-health/Publications/lgbtiq-health-summary.pdf" TargetMode="External"/><Relationship Id="rId148" Type="http://schemas.openxmlformats.org/officeDocument/2006/relationships/hyperlink" Target="https://www.qmhc.qld.gov.au/shifting-minds-2023-2028" TargetMode="External"/><Relationship Id="rId164" Type="http://schemas.openxmlformats.org/officeDocument/2006/relationships/hyperlink" Target="https://www.gotocourt.com.au/criminal-law/nsw/lgbtiq-rights/" TargetMode="External"/><Relationship Id="rId169" Type="http://schemas.openxmlformats.org/officeDocument/2006/relationships/hyperlink" Target="https://www.qhrc.qld.gov.au/" TargetMode="External"/><Relationship Id="rId185" Type="http://schemas.openxmlformats.org/officeDocument/2006/relationships/hyperlink" Target="https://www.qmhc.qld.gov.au/shifting-minds-2023-2028"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federalfinancialrelations.gov.au/sites/federalfinancialrelations.gov.au/files/2022-03/nmh_sp_bilateral_agreement_nt_0.pdf" TargetMode="External"/><Relationship Id="rId26" Type="http://schemas.openxmlformats.org/officeDocument/2006/relationships/header" Target="header6.xml"/></Relationships>
</file>

<file path=word/_rels/footnotes.xml.rels><?xml version="1.0" encoding="UTF-8" standalone="yes"?>
<Relationships xmlns="http://schemas.openxmlformats.org/package/2006/relationships"><Relationship Id="rId13" Type="http://schemas.openxmlformats.org/officeDocument/2006/relationships/hyperlink" Target="https://content.vic.gov.au/sites/default/files/2022-02/Pride-in-our-future-Victorias-LGBTIQ%2B-strategy-2022-32.pdf" TargetMode="External"/><Relationship Id="rId18" Type="http://schemas.openxmlformats.org/officeDocument/2006/relationships/hyperlink" Target="https://www.health.nsw.gov.au/news/Pages/20220419_01.aspx" TargetMode="External"/><Relationship Id="rId26" Type="http://schemas.openxmlformats.org/officeDocument/2006/relationships/hyperlink" Target="https://doi.org/10.1016/j.copsyc.2023.101579" TargetMode="External"/><Relationship Id="rId39" Type="http://schemas.openxmlformats.org/officeDocument/2006/relationships/hyperlink" Target="https://www.aihw.gov.au/reports/australias-health/social-determinants-of-health" TargetMode="External"/><Relationship Id="rId3" Type="http://schemas.openxmlformats.org/officeDocument/2006/relationships/hyperlink" Target="https://www.health.gov.au/ministers/the-hon-mark-butler-mp/media/pathway-to-better-health-for-lgbtiqa-communities" TargetMode="External"/><Relationship Id="rId21" Type="http://schemas.openxmlformats.org/officeDocument/2006/relationships/hyperlink" Target="https://westvicphn.com.au/health-professionals/health-topics/priority-populations/lgbtiq/" TargetMode="External"/><Relationship Id="rId34" Type="http://schemas.openxmlformats.org/officeDocument/2006/relationships/hyperlink" Target="https://www.psychiatry.org/psychiatrists/diversity/education/transgender-and-gender-nonconforming-patients/gender-dysphoria-diagnosis" TargetMode="External"/><Relationship Id="rId42" Type="http://schemas.openxmlformats.org/officeDocument/2006/relationships/hyperlink" Target="https://doi.org/10.1177/00048674221104744" TargetMode="External"/><Relationship Id="rId47" Type="http://schemas.openxmlformats.org/officeDocument/2006/relationships/hyperlink" Target="https://www.cetc.org.au/the-needs-of-lgbtiq-young-people-in-out-of-home-care-research-brief/" TargetMode="External"/><Relationship Id="rId50" Type="http://schemas.openxmlformats.org/officeDocument/2006/relationships/hyperlink" Target="https://www.mentalhealthcommission.gov.au/projects/national-research-strategy" TargetMode="External"/><Relationship Id="rId7" Type="http://schemas.openxmlformats.org/officeDocument/2006/relationships/hyperlink" Target="https://www.health.nsw.gov.au/lgbtiq-health/Publications/lgbtiq-health-summary.pdf" TargetMode="External"/><Relationship Id="rId12" Type="http://schemas.openxmlformats.org/officeDocument/2006/relationships/hyperlink" Target="https://content.vic.gov.au/sites/default/files/2022-02/Pride-in-our-future-Victorias-LGBTIQ%2B-strategy-2022-32.pdf" TargetMode="External"/><Relationship Id="rId17" Type="http://schemas.openxmlformats.org/officeDocument/2006/relationships/hyperlink" Target="https://www.acon.org.au/what-we-are-here-for/mental-health/" TargetMode="External"/><Relationship Id="rId25" Type="http://schemas.openxmlformats.org/officeDocument/2006/relationships/hyperlink" Target="https://qlife.org.au/get-help/" TargetMode="External"/><Relationship Id="rId33" Type="http://schemas.openxmlformats.org/officeDocument/2006/relationships/hyperlink" Target="https://www.psychiatry.org/psychiatrists/diversity/education/transgender-and-gender-nonconforming-patients/gender-dysphoria-diagnosis" TargetMode="External"/><Relationship Id="rId38" Type="http://schemas.openxmlformats.org/officeDocument/2006/relationships/hyperlink" Target="https://www.evolves.com.au/aboriginal-diversity/" TargetMode="External"/><Relationship Id="rId46" Type="http://schemas.openxmlformats.org/officeDocument/2006/relationships/hyperlink" Target="https://www.cetc.org.au/the-needs-of-lgbtiq-young-people-in-out-of-home-care-research-brief/" TargetMode="External"/><Relationship Id="rId2" Type="http://schemas.openxmlformats.org/officeDocument/2006/relationships/hyperlink" Target="https://equalityaustralia.org.au/abs-admits-new-recommendations-required-to-count-lgbtiq-people-properly-in-census/" TargetMode="External"/><Relationship Id="rId16" Type="http://schemas.openxmlformats.org/officeDocument/2006/relationships/hyperlink" Target="https://standbysupport.com.au/" TargetMode="External"/><Relationship Id="rId20" Type="http://schemas.openxmlformats.org/officeDocument/2006/relationships/hyperlink" Target="https://www.wmq.org.au/mental-health/supporting-minds" TargetMode="External"/><Relationship Id="rId29" Type="http://schemas.openxmlformats.org/officeDocument/2006/relationships/hyperlink" Target="https://humanrights.gov.au/about/news/media-releases/commission-welcomes-resolution-census-inclusion-complaint" TargetMode="External"/><Relationship Id="rId41" Type="http://schemas.openxmlformats.org/officeDocument/2006/relationships/hyperlink" Target="https://www.aihw.gov.au/reports/alcohol/alcohol-tobacco-other-drugs-australia/contents/population-groups-of-interest/patterns-of-consumption-by-drug-type" TargetMode="External"/><Relationship Id="rId1" Type="http://schemas.openxmlformats.org/officeDocument/2006/relationships/hyperlink" Target="https://www.abs.gov.au/media-centre/media-statements/statement-regret-2021-census" TargetMode="External"/><Relationship Id="rId6" Type="http://schemas.openxmlformats.org/officeDocument/2006/relationships/hyperlink" Target="https://www.cmtedd.act.gov.au/__data/assets/pdf_file/0006/1975218/Second-Action-Plan-April-2022.pdf" TargetMode="External"/><Relationship Id="rId11" Type="http://schemas.openxmlformats.org/officeDocument/2006/relationships/hyperlink" Target="https://www.health.tas.gov.au/sites/default/files/2023-11/rethink_2020_implementation_plan_2023-24.pdf" TargetMode="External"/><Relationship Id="rId24" Type="http://schemas.openxmlformats.org/officeDocument/2006/relationships/hyperlink" Target="https://monashhealth.org/services/gender-clinic/questions/" TargetMode="External"/><Relationship Id="rId32" Type="http://schemas.openxmlformats.org/officeDocument/2006/relationships/hyperlink" Target="https://rainbowhealthaustralia.org.au/media/pages/research-resources/research-matters-trans-and-gender-diverse-health-and-wellbeing/80199998-1655786493/research-matters-trans-and-gender-diverse-health-and-wellbeing.pdf" TargetMode="External"/><Relationship Id="rId37" Type="http://schemas.openxmlformats.org/officeDocument/2006/relationships/hyperlink" Target="https://pursuit.unimelb.edu.au/articles/challenging-five-years-of-transphobia" TargetMode="External"/><Relationship Id="rId40" Type="http://schemas.openxmlformats.org/officeDocument/2006/relationships/hyperlink" Target="https://pridefoundation.org.au/wp-content/uploads/2020/07/Pride-Foundation-Australia-Submission-Federal-Parliamentary-Inquiry-into-Homelessness-2020-final.pdf" TargetMode="External"/><Relationship Id="rId45" Type="http://schemas.openxmlformats.org/officeDocument/2006/relationships/hyperlink" Target="https://doi.org/10.1016/j.chiabu.2022.105660" TargetMode="External"/><Relationship Id="rId5" Type="http://schemas.openxmlformats.org/officeDocument/2006/relationships/hyperlink" Target="https://www.cmtedd.act.gov.au/policystrategic/the-office-of-lgbtiq-affairs/capital-of-equality-act-government-lgbtiq-strategy" TargetMode="External"/><Relationship Id="rId15" Type="http://schemas.openxmlformats.org/officeDocument/2006/relationships/hyperlink" Target="https://www.servicesaustralia.gov.au/mental-health-care-and-medicare?context=60092" TargetMode="External"/><Relationship Id="rId23" Type="http://schemas.openxmlformats.org/officeDocument/2006/relationships/hyperlink" Target="https://someone.health/lgbtq-psychologists/" TargetMode="External"/><Relationship Id="rId28" Type="http://schemas.openxmlformats.org/officeDocument/2006/relationships/hyperlink" Target="https://www.lgbtiqhealth.org.au/understanding_suicide_among_tgd" TargetMode="External"/><Relationship Id="rId36" Type="http://schemas.openxmlformats.org/officeDocument/2006/relationships/hyperlink" Target="https://psychology.org.au/community/advocacy-social-issues/lesbian-gay-bisexual-transgender-intersex" TargetMode="External"/><Relationship Id="rId49" Type="http://schemas.openxmlformats.org/officeDocument/2006/relationships/hyperlink" Target="https://www.cmtedd.act.gov.au/policystrategic/the-office-of-lgbtiq-affairs/capital-of-equality-act-government-lgbtiq-strategy" TargetMode="External"/><Relationship Id="rId10" Type="http://schemas.openxmlformats.org/officeDocument/2006/relationships/hyperlink" Target="https://www.sahealth.sa.gov.au/wps/wcm/connect/public+content/sa+health+internet/about+us/publications+and+resources/plans/sa+mental+health+services+plan/sa+health+mental+health+services+plan" TargetMode="External"/><Relationship Id="rId19" Type="http://schemas.openxmlformats.org/officeDocument/2006/relationships/hyperlink" Target="https://twenty10.org.au/youth-services/" TargetMode="External"/><Relationship Id="rId31" Type="http://schemas.openxmlformats.org/officeDocument/2006/relationships/hyperlink" Target="https://www.psychologytoday.com/us/blog/political-minds/202201/the-evidence-trans-youth-gender-affirming-medical-care" TargetMode="External"/><Relationship Id="rId44" Type="http://schemas.openxmlformats.org/officeDocument/2006/relationships/hyperlink" Target="https://doi.org/10.1177/00048674221104744" TargetMode="External"/><Relationship Id="rId52" Type="http://schemas.openxmlformats.org/officeDocument/2006/relationships/hyperlink" Target="https://jbi-global-wiki.refined.site/space/MANUAL" TargetMode="External"/><Relationship Id="rId4" Type="http://schemas.openxmlformats.org/officeDocument/2006/relationships/hyperlink" Target="https://www.grants.gov.au/Go/Show?GoUuid=e69dca85-1fcb-4e39-872d-b1ced05bb58b" TargetMode="External"/><Relationship Id="rId9" Type="http://schemas.openxmlformats.org/officeDocument/2006/relationships/hyperlink" Target="https://www.qmhc.qld.gov.au/shifting-minds-2023-2028" TargetMode="External"/><Relationship Id="rId14" Type="http://schemas.openxmlformats.org/officeDocument/2006/relationships/hyperlink" Target="https://www.aihw.gov.au/mental-health/overview/mental-health-services" TargetMode="External"/><Relationship Id="rId22" Type="http://schemas.openxmlformats.org/officeDocument/2006/relationships/hyperlink" Target="https://pridecentre.org.au/resources/q-psychology/" TargetMode="External"/><Relationship Id="rId27" Type="http://schemas.openxmlformats.org/officeDocument/2006/relationships/hyperlink" Target="https://doi.org/10.4102/hsag.v26i0.1487" TargetMode="External"/><Relationship Id="rId30" Type="http://schemas.openxmlformats.org/officeDocument/2006/relationships/hyperlink" Target="https://ministers.ag.gov.au/media-centre/australian-law-reform-commission-review-religious-exemptions-educational-institutions-extended-20-04-2023" TargetMode="External"/><Relationship Id="rId35" Type="http://schemas.openxmlformats.org/officeDocument/2006/relationships/hyperlink" Target="https://www.psychiatry.org/psychiatrists/diversity/education/transgender-and-gender-nonconforming-patients/gender-dysphoria-diagnosis" TargetMode="External"/><Relationship Id="rId43" Type="http://schemas.openxmlformats.org/officeDocument/2006/relationships/hyperlink" Target="https://doi.org/10.5204/ijcjsd.2225" TargetMode="External"/><Relationship Id="rId48" Type="http://schemas.openxmlformats.org/officeDocument/2006/relationships/hyperlink" Target="https://www.mentalhealthcommission.gov.au/Projects/stigma-and-discrimination-reduction-strategy" TargetMode="External"/><Relationship Id="rId8" Type="http://schemas.openxmlformats.org/officeDocument/2006/relationships/hyperlink" Target="https://www.qmhc.qld.gov.au/strategic-planning/action-plans/every-life-phase-one" TargetMode="External"/><Relationship Id="rId51" Type="http://schemas.openxmlformats.org/officeDocument/2006/relationships/hyperlink" Target="https://synthesismanual.jbi.globa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0160BB-7CF2-466C-B337-FEB23C722DFD}"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en-AU"/>
        </a:p>
      </dgm:t>
    </dgm:pt>
    <dgm:pt modelId="{66499FC6-CA64-476D-AED4-5D5D1FEBF0DD}">
      <dgm:prSet phldrT="[Text]"/>
      <dgm:spPr>
        <a:xfrm>
          <a:off x="2816631" y="-67030"/>
          <a:ext cx="1291411" cy="684116"/>
        </a:xfrm>
        <a:prstGeom prst="roundRect">
          <a:avLst/>
        </a:prstGeom>
      </dgm:spPr>
      <dgm:t>
        <a:bodyPr/>
        <a:lstStyle/>
        <a:p>
          <a:pPr algn="ctr">
            <a:buNone/>
          </a:pPr>
          <a:r>
            <a:rPr lang="en-AU">
              <a:latin typeface="Arial"/>
              <a:ea typeface="+mn-ea"/>
              <a:cs typeface="+mn-cs"/>
            </a:rPr>
            <a:t>1] </a:t>
          </a:r>
          <a:br>
            <a:rPr lang="en-AU">
              <a:latin typeface="Arial"/>
              <a:ea typeface="+mn-ea"/>
              <a:cs typeface="+mn-cs"/>
            </a:rPr>
          </a:br>
          <a:r>
            <a:rPr lang="en-AU">
              <a:latin typeface="Arial"/>
              <a:ea typeface="+mn-ea"/>
              <a:cs typeface="+mn-cs"/>
            </a:rPr>
            <a:t>Intersecting Lived Experience </a:t>
          </a:r>
        </a:p>
      </dgm:t>
    </dgm:pt>
    <dgm:pt modelId="{B9BED47E-54A9-42F8-AE35-D52E9E982305}" type="parTrans" cxnId="{ABDC6168-5B8A-4CB9-916D-C9A1266AA1D4}">
      <dgm:prSet/>
      <dgm:spPr/>
      <dgm:t>
        <a:bodyPr/>
        <a:lstStyle/>
        <a:p>
          <a:pPr algn="ctr"/>
          <a:endParaRPr lang="en-AU"/>
        </a:p>
      </dgm:t>
    </dgm:pt>
    <dgm:pt modelId="{3BBBF1A8-B709-4870-AD48-3783C215FCE7}" type="sibTrans" cxnId="{ABDC6168-5B8A-4CB9-916D-C9A1266AA1D4}">
      <dgm:prSet/>
      <dgm:spPr>
        <a:xfrm>
          <a:off x="643560" y="-69906"/>
          <a:ext cx="5637553" cy="3878125"/>
        </a:xfrm>
        <a:prstGeom prst="circularArrow">
          <a:avLst>
            <a:gd name="adj1" fmla="val 5544"/>
            <a:gd name="adj2" fmla="val 330680"/>
            <a:gd name="adj3" fmla="val 14417227"/>
            <a:gd name="adj4" fmla="val 17006787"/>
            <a:gd name="adj5" fmla="val 5757"/>
          </a:avLst>
        </a:prstGeom>
      </dgm:spPr>
      <dgm:t>
        <a:bodyPr/>
        <a:lstStyle/>
        <a:p>
          <a:pPr algn="ctr"/>
          <a:endParaRPr lang="en-AU"/>
        </a:p>
      </dgm:t>
    </dgm:pt>
    <dgm:pt modelId="{31928909-8C98-4D76-8AD6-70FC3E495289}">
      <dgm:prSet phldrT="[Text]"/>
      <dgm:spPr>
        <a:xfrm>
          <a:off x="5266531" y="1596007"/>
          <a:ext cx="1291411" cy="684116"/>
        </a:xfrm>
        <a:prstGeom prst="roundRect">
          <a:avLst/>
        </a:prstGeom>
      </dgm:spPr>
      <dgm:t>
        <a:bodyPr/>
        <a:lstStyle/>
        <a:p>
          <a:pPr algn="ctr">
            <a:buNone/>
          </a:pPr>
          <a:r>
            <a:rPr lang="en-AU">
              <a:latin typeface="Arial"/>
              <a:ea typeface="+mn-ea"/>
              <a:cs typeface="+mn-cs"/>
            </a:rPr>
            <a:t>3]</a:t>
          </a:r>
          <a:br>
            <a:rPr lang="en-AU">
              <a:latin typeface="Arial"/>
              <a:ea typeface="+mn-ea"/>
              <a:cs typeface="+mn-cs"/>
            </a:rPr>
          </a:br>
          <a:r>
            <a:rPr lang="en-AU">
              <a:latin typeface="Arial"/>
              <a:ea typeface="+mn-ea"/>
              <a:cs typeface="+mn-cs"/>
            </a:rPr>
            <a:t>Focus on Service Quality</a:t>
          </a:r>
        </a:p>
      </dgm:t>
    </dgm:pt>
    <dgm:pt modelId="{01416371-D5ED-4D10-90A5-75FB358EC507}" type="parTrans" cxnId="{CD57EE3C-0FF1-47FA-ADD5-1823ED4F5E32}">
      <dgm:prSet/>
      <dgm:spPr/>
      <dgm:t>
        <a:bodyPr/>
        <a:lstStyle/>
        <a:p>
          <a:pPr algn="ctr"/>
          <a:endParaRPr lang="en-AU"/>
        </a:p>
      </dgm:t>
    </dgm:pt>
    <dgm:pt modelId="{A895AF76-D098-43B5-AE25-9E38626F1C9C}" type="sibTrans" cxnId="{CD57EE3C-0FF1-47FA-ADD5-1823ED4F5E32}">
      <dgm:prSet/>
      <dgm:spPr/>
      <dgm:t>
        <a:bodyPr/>
        <a:lstStyle/>
        <a:p>
          <a:pPr algn="ctr"/>
          <a:endParaRPr lang="en-AU"/>
        </a:p>
      </dgm:t>
    </dgm:pt>
    <dgm:pt modelId="{A00BF46B-7DBD-4592-890A-6AADB5C0FE4F}">
      <dgm:prSet phldrT="[Text]"/>
      <dgm:spPr>
        <a:xfrm>
          <a:off x="4541455" y="491404"/>
          <a:ext cx="1291411" cy="684116"/>
        </a:xfrm>
        <a:prstGeom prst="roundRect">
          <a:avLst/>
        </a:prstGeom>
      </dgm:spPr>
      <dgm:t>
        <a:bodyPr/>
        <a:lstStyle/>
        <a:p>
          <a:pPr algn="ctr">
            <a:buNone/>
          </a:pPr>
          <a:r>
            <a:rPr lang="en-AU">
              <a:latin typeface="Arial"/>
              <a:ea typeface="+mn-ea"/>
              <a:cs typeface="+mn-cs"/>
            </a:rPr>
            <a:t>2]</a:t>
          </a:r>
          <a:br>
            <a:rPr lang="en-AU">
              <a:latin typeface="Arial"/>
              <a:ea typeface="+mn-ea"/>
              <a:cs typeface="+mn-cs"/>
            </a:rPr>
          </a:br>
          <a:r>
            <a:rPr lang="en-AU">
              <a:latin typeface="Arial"/>
              <a:ea typeface="+mn-ea"/>
              <a:cs typeface="+mn-cs"/>
            </a:rPr>
            <a:t>No one-size-fits-all</a:t>
          </a:r>
        </a:p>
      </dgm:t>
    </dgm:pt>
    <dgm:pt modelId="{44D6D43A-BF94-4E55-8005-F28F48615670}" type="parTrans" cxnId="{620F29B8-9CEA-4598-9977-BE442D593DD3}">
      <dgm:prSet/>
      <dgm:spPr/>
      <dgm:t>
        <a:bodyPr/>
        <a:lstStyle/>
        <a:p>
          <a:pPr algn="ctr"/>
          <a:endParaRPr lang="en-AU"/>
        </a:p>
      </dgm:t>
    </dgm:pt>
    <dgm:pt modelId="{EE678023-5496-411F-8540-1CCBA217BF20}" type="sibTrans" cxnId="{620F29B8-9CEA-4598-9977-BE442D593DD3}">
      <dgm:prSet/>
      <dgm:spPr/>
      <dgm:t>
        <a:bodyPr/>
        <a:lstStyle/>
        <a:p>
          <a:pPr algn="ctr"/>
          <a:endParaRPr lang="en-AU"/>
        </a:p>
      </dgm:t>
    </dgm:pt>
    <dgm:pt modelId="{80DA7458-2402-4EDD-AA0B-14B14ABD54B2}">
      <dgm:prSet phldrT="[Text]"/>
      <dgm:spPr>
        <a:xfrm>
          <a:off x="1184370" y="2719128"/>
          <a:ext cx="1291411" cy="684116"/>
        </a:xfrm>
        <a:prstGeom prst="roundRect">
          <a:avLst/>
        </a:prstGeom>
      </dgm:spPr>
      <dgm:t>
        <a:bodyPr/>
        <a:lstStyle/>
        <a:p>
          <a:pPr algn="ctr">
            <a:buNone/>
          </a:pPr>
          <a:r>
            <a:rPr lang="en-AU">
              <a:latin typeface="Arial"/>
              <a:ea typeface="+mn-ea"/>
              <a:cs typeface="+mn-cs"/>
            </a:rPr>
            <a:t>6]</a:t>
          </a:r>
          <a:br>
            <a:rPr lang="en-AU">
              <a:latin typeface="Arial"/>
              <a:ea typeface="+mn-ea"/>
              <a:cs typeface="+mn-cs"/>
            </a:rPr>
          </a:br>
          <a:r>
            <a:rPr lang="en-AU">
              <a:latin typeface="Arial"/>
              <a:ea typeface="+mn-ea"/>
              <a:cs typeface="+mn-cs"/>
            </a:rPr>
            <a:t>Language matters</a:t>
          </a:r>
        </a:p>
      </dgm:t>
    </dgm:pt>
    <dgm:pt modelId="{184C7F7B-F58B-492D-9397-C2B3E5D7EEE7}" type="parTrans" cxnId="{24F81CC2-5E2A-4D4A-9152-7CA5641E1E57}">
      <dgm:prSet/>
      <dgm:spPr/>
      <dgm:t>
        <a:bodyPr/>
        <a:lstStyle/>
        <a:p>
          <a:pPr algn="ctr"/>
          <a:endParaRPr lang="en-AU"/>
        </a:p>
      </dgm:t>
    </dgm:pt>
    <dgm:pt modelId="{3384599B-E4A5-42E7-8273-7238641BF555}" type="sibTrans" cxnId="{24F81CC2-5E2A-4D4A-9152-7CA5641E1E57}">
      <dgm:prSet/>
      <dgm:spPr/>
      <dgm:t>
        <a:bodyPr/>
        <a:lstStyle/>
        <a:p>
          <a:pPr algn="ctr"/>
          <a:endParaRPr lang="en-AU"/>
        </a:p>
      </dgm:t>
    </dgm:pt>
    <dgm:pt modelId="{C2477A5C-53B0-4159-807B-E34CF5A64556}">
      <dgm:prSet phldrT="[Text]"/>
      <dgm:spPr>
        <a:xfrm>
          <a:off x="4569220" y="2589528"/>
          <a:ext cx="1291411" cy="684116"/>
        </a:xfrm>
        <a:prstGeom prst="roundRect">
          <a:avLst/>
        </a:prstGeom>
      </dgm:spPr>
      <dgm:t>
        <a:bodyPr/>
        <a:lstStyle/>
        <a:p>
          <a:pPr algn="ctr">
            <a:buNone/>
          </a:pPr>
          <a:r>
            <a:rPr lang="en-AU">
              <a:latin typeface="Arial"/>
              <a:ea typeface="+mn-ea"/>
              <a:cs typeface="+mn-cs"/>
            </a:rPr>
            <a:t>4]</a:t>
          </a:r>
          <a:br>
            <a:rPr lang="en-AU">
              <a:latin typeface="Arial"/>
              <a:ea typeface="+mn-ea"/>
              <a:cs typeface="+mn-cs"/>
            </a:rPr>
          </a:br>
          <a:r>
            <a:rPr lang="en-AU">
              <a:latin typeface="Arial"/>
              <a:ea typeface="+mn-ea"/>
              <a:cs typeface="+mn-cs"/>
            </a:rPr>
            <a:t>Focus on the spectrum of needs</a:t>
          </a:r>
        </a:p>
      </dgm:t>
    </dgm:pt>
    <dgm:pt modelId="{6163AC7F-7CA0-422F-AD8C-DF73577C7B4F}" type="parTrans" cxnId="{72BA1C56-9203-46C4-A3F9-83692C05FA93}">
      <dgm:prSet/>
      <dgm:spPr/>
      <dgm:t>
        <a:bodyPr/>
        <a:lstStyle/>
        <a:p>
          <a:pPr algn="ctr"/>
          <a:endParaRPr lang="en-AU"/>
        </a:p>
      </dgm:t>
    </dgm:pt>
    <dgm:pt modelId="{BF9DB97A-A4AA-4BC6-A238-1AFF0FE4542C}" type="sibTrans" cxnId="{72BA1C56-9203-46C4-A3F9-83692C05FA93}">
      <dgm:prSet/>
      <dgm:spPr/>
      <dgm:t>
        <a:bodyPr/>
        <a:lstStyle/>
        <a:p>
          <a:pPr algn="ctr"/>
          <a:endParaRPr lang="en-AU"/>
        </a:p>
      </dgm:t>
    </dgm:pt>
    <dgm:pt modelId="{19A50BDE-B902-4AFA-93B1-FC46ADF81044}">
      <dgm:prSet phldrT="[Text]"/>
      <dgm:spPr>
        <a:xfrm>
          <a:off x="989961" y="528432"/>
          <a:ext cx="1291411" cy="684116"/>
        </a:xfrm>
        <a:prstGeom prst="roundRect">
          <a:avLst/>
        </a:prstGeom>
      </dgm:spPr>
      <dgm:t>
        <a:bodyPr/>
        <a:lstStyle/>
        <a:p>
          <a:pPr algn="ctr">
            <a:buNone/>
          </a:pPr>
          <a:r>
            <a:rPr lang="en-AU">
              <a:latin typeface="Arial"/>
              <a:ea typeface="+mn-ea"/>
              <a:cs typeface="+mn-cs"/>
            </a:rPr>
            <a:t>8]</a:t>
          </a:r>
          <a:br>
            <a:rPr lang="en-AU">
              <a:latin typeface="Arial"/>
              <a:ea typeface="+mn-ea"/>
              <a:cs typeface="+mn-cs"/>
            </a:rPr>
          </a:br>
          <a:r>
            <a:rPr lang="en-AU">
              <a:latin typeface="Arial"/>
              <a:ea typeface="+mn-ea"/>
              <a:cs typeface="+mn-cs"/>
            </a:rPr>
            <a:t>Ongoing monitoring, evaluation and  learning</a:t>
          </a:r>
        </a:p>
      </dgm:t>
    </dgm:pt>
    <dgm:pt modelId="{ED08D46C-05C6-4460-A184-DAB9BADE1FE2}" type="parTrans" cxnId="{B94683BE-4F73-444E-B6B5-D1B1FC56F027}">
      <dgm:prSet/>
      <dgm:spPr/>
      <dgm:t>
        <a:bodyPr/>
        <a:lstStyle/>
        <a:p>
          <a:pPr algn="ctr"/>
          <a:endParaRPr lang="en-AU"/>
        </a:p>
      </dgm:t>
    </dgm:pt>
    <dgm:pt modelId="{10C04226-3BA7-4EF5-AB6C-7A02051D9664}" type="sibTrans" cxnId="{B94683BE-4F73-444E-B6B5-D1B1FC56F027}">
      <dgm:prSet/>
      <dgm:spPr/>
      <dgm:t>
        <a:bodyPr/>
        <a:lstStyle/>
        <a:p>
          <a:pPr algn="ctr"/>
          <a:endParaRPr lang="en-AU"/>
        </a:p>
      </dgm:t>
    </dgm:pt>
    <dgm:pt modelId="{7098DB76-7387-4B2B-B7BD-80031E1B4DCF}">
      <dgm:prSet phldrT="[Text]"/>
      <dgm:spPr>
        <a:xfrm>
          <a:off x="2835145" y="3172725"/>
          <a:ext cx="1291411" cy="684116"/>
        </a:xfrm>
        <a:prstGeom prst="roundRect">
          <a:avLst/>
        </a:prstGeom>
      </dgm:spPr>
      <dgm:t>
        <a:bodyPr/>
        <a:lstStyle/>
        <a:p>
          <a:pPr algn="ctr">
            <a:buNone/>
          </a:pPr>
          <a:r>
            <a:rPr lang="en-AU">
              <a:latin typeface="Arial"/>
              <a:ea typeface="+mn-ea"/>
              <a:cs typeface="+mn-cs"/>
            </a:rPr>
            <a:t>5]</a:t>
          </a:r>
          <a:br>
            <a:rPr lang="en-AU">
              <a:latin typeface="Arial"/>
              <a:ea typeface="+mn-ea"/>
              <a:cs typeface="+mn-cs"/>
            </a:rPr>
          </a:br>
          <a:r>
            <a:rPr lang="en-AU">
              <a:latin typeface="Arial"/>
              <a:ea typeface="+mn-ea"/>
              <a:cs typeface="+mn-cs"/>
            </a:rPr>
            <a:t>More than health and service matter</a:t>
          </a:r>
        </a:p>
      </dgm:t>
    </dgm:pt>
    <dgm:pt modelId="{45F5C74D-A291-4ADD-9267-785245BFD3C8}" type="parTrans" cxnId="{3A75C973-65FB-4881-A665-1BBB8A64D30E}">
      <dgm:prSet/>
      <dgm:spPr/>
      <dgm:t>
        <a:bodyPr/>
        <a:lstStyle/>
        <a:p>
          <a:pPr algn="ctr"/>
          <a:endParaRPr lang="en-AU"/>
        </a:p>
      </dgm:t>
    </dgm:pt>
    <dgm:pt modelId="{D22B9883-CDA5-4012-BDFB-6C4469BA0DD7}" type="sibTrans" cxnId="{3A75C973-65FB-4881-A665-1BBB8A64D30E}">
      <dgm:prSet/>
      <dgm:spPr/>
      <dgm:t>
        <a:bodyPr/>
        <a:lstStyle/>
        <a:p>
          <a:pPr algn="ctr"/>
          <a:endParaRPr lang="en-AU"/>
        </a:p>
      </dgm:t>
    </dgm:pt>
    <dgm:pt modelId="{7FB688C2-F9F3-4FDD-A68F-CB344CB306C2}">
      <dgm:prSet phldrT="[Text]"/>
      <dgm:spPr>
        <a:xfrm>
          <a:off x="505591" y="1568248"/>
          <a:ext cx="1291411" cy="684116"/>
        </a:xfrm>
        <a:prstGeom prst="roundRect">
          <a:avLst/>
        </a:prstGeom>
      </dgm:spPr>
      <dgm:t>
        <a:bodyPr/>
        <a:lstStyle/>
        <a:p>
          <a:pPr algn="ctr">
            <a:buNone/>
          </a:pPr>
          <a:r>
            <a:rPr lang="en-AU">
              <a:latin typeface="Arial"/>
              <a:ea typeface="+mn-ea"/>
              <a:cs typeface="+mn-cs"/>
            </a:rPr>
            <a:t>7]</a:t>
          </a:r>
          <a:br>
            <a:rPr lang="en-AU">
              <a:latin typeface="Arial"/>
              <a:ea typeface="+mn-ea"/>
              <a:cs typeface="+mn-cs"/>
            </a:rPr>
          </a:br>
          <a:r>
            <a:rPr lang="en-AU">
              <a:latin typeface="Arial"/>
              <a:ea typeface="+mn-ea"/>
              <a:cs typeface="+mn-cs"/>
            </a:rPr>
            <a:t>Moving with the evidence base</a:t>
          </a:r>
        </a:p>
      </dgm:t>
    </dgm:pt>
    <dgm:pt modelId="{6A37FE7F-BABD-463B-A3EA-885D8C70F4CA}" type="parTrans" cxnId="{3C47F676-C4D4-4C8A-87CA-51A6565CB393}">
      <dgm:prSet/>
      <dgm:spPr/>
      <dgm:t>
        <a:bodyPr/>
        <a:lstStyle/>
        <a:p>
          <a:pPr algn="ctr"/>
          <a:endParaRPr lang="en-AU"/>
        </a:p>
      </dgm:t>
    </dgm:pt>
    <dgm:pt modelId="{B8F87361-2253-4DA6-9E66-CFCFCF3D3A2F}" type="sibTrans" cxnId="{3C47F676-C4D4-4C8A-87CA-51A6565CB393}">
      <dgm:prSet/>
      <dgm:spPr/>
      <dgm:t>
        <a:bodyPr/>
        <a:lstStyle/>
        <a:p>
          <a:pPr algn="ctr"/>
          <a:endParaRPr lang="en-AU"/>
        </a:p>
      </dgm:t>
    </dgm:pt>
    <dgm:pt modelId="{41CD3755-A5AF-4742-8D57-1360C5625D59}" type="pres">
      <dgm:prSet presAssocID="{870160BB-7CF2-466C-B337-FEB23C722DFD}" presName="Name0" presStyleCnt="0">
        <dgm:presLayoutVars>
          <dgm:dir/>
          <dgm:resizeHandles val="exact"/>
        </dgm:presLayoutVars>
      </dgm:prSet>
      <dgm:spPr/>
    </dgm:pt>
    <dgm:pt modelId="{C7ECC8A0-814E-4F9B-BD82-0358C9295A8E}" type="pres">
      <dgm:prSet presAssocID="{870160BB-7CF2-466C-B337-FEB23C722DFD}" presName="cycle" presStyleCnt="0"/>
      <dgm:spPr/>
    </dgm:pt>
    <dgm:pt modelId="{CB13E56A-EC2A-4778-B151-A9F3C780B789}" type="pres">
      <dgm:prSet presAssocID="{66499FC6-CA64-476D-AED4-5D5D1FEBF0DD}" presName="nodeFirstNode" presStyleLbl="node1" presStyleIdx="0" presStyleCnt="8" custScaleX="118431" custScaleY="125476">
        <dgm:presLayoutVars>
          <dgm:bulletEnabled val="1"/>
        </dgm:presLayoutVars>
      </dgm:prSet>
      <dgm:spPr/>
    </dgm:pt>
    <dgm:pt modelId="{A97D2B4A-1341-4FA5-BCDD-B2D2AFD7A880}" type="pres">
      <dgm:prSet presAssocID="{3BBBF1A8-B709-4870-AD48-3783C215FCE7}" presName="sibTransFirstNode" presStyleLbl="bgShp" presStyleIdx="0" presStyleCnt="1" custScaleX="145368"/>
      <dgm:spPr/>
    </dgm:pt>
    <dgm:pt modelId="{7761A0A3-234F-4B69-ABC0-ABBCF545177C}" type="pres">
      <dgm:prSet presAssocID="{A00BF46B-7DBD-4592-890A-6AADB5C0FE4F}" presName="nodeFollowingNodes" presStyleLbl="node1" presStyleIdx="1" presStyleCnt="8" custScaleX="118431" custScaleY="125476" custRadScaleRad="123549" custRadScaleInc="31456">
        <dgm:presLayoutVars>
          <dgm:bulletEnabled val="1"/>
        </dgm:presLayoutVars>
      </dgm:prSet>
      <dgm:spPr/>
    </dgm:pt>
    <dgm:pt modelId="{9C52B5F8-B3EB-4F9F-8EC8-7162FEF6C071}" type="pres">
      <dgm:prSet presAssocID="{31928909-8C98-4D76-8AD6-70FC3E495289}" presName="nodeFollowingNodes" presStyleLbl="node1" presStyleIdx="2" presStyleCnt="8" custScaleX="118431" custScaleY="125476" custRadScaleRad="148140" custRadScaleInc="541">
        <dgm:presLayoutVars>
          <dgm:bulletEnabled val="1"/>
        </dgm:presLayoutVars>
      </dgm:prSet>
      <dgm:spPr/>
    </dgm:pt>
    <dgm:pt modelId="{68BB3562-8703-46CD-8C44-FD5B066A8ED3}" type="pres">
      <dgm:prSet presAssocID="{C2477A5C-53B0-4159-807B-E34CF5A64556}" presName="nodeFollowingNodes" presStyleLbl="node1" presStyleIdx="3" presStyleCnt="8" custScaleX="118431" custScaleY="125476" custRadScaleRad="122095" custRadScaleInc="-38058">
        <dgm:presLayoutVars>
          <dgm:bulletEnabled val="1"/>
        </dgm:presLayoutVars>
      </dgm:prSet>
      <dgm:spPr/>
    </dgm:pt>
    <dgm:pt modelId="{81641977-B9A0-47D1-BE63-C737D8DB3604}" type="pres">
      <dgm:prSet presAssocID="{7098DB76-7387-4B2B-B7BD-80031E1B4DCF}" presName="nodeFollowingNodes" presStyleLbl="node1" presStyleIdx="4" presStyleCnt="8" custScaleX="118431" custScaleY="125476" custRadScaleRad="95906" custRadScaleInc="-1672">
        <dgm:presLayoutVars>
          <dgm:bulletEnabled val="1"/>
        </dgm:presLayoutVars>
      </dgm:prSet>
      <dgm:spPr/>
    </dgm:pt>
    <dgm:pt modelId="{57A141E3-8833-463C-8239-0E8A938E726D}" type="pres">
      <dgm:prSet presAssocID="{80DA7458-2402-4EDD-AA0B-14B14ABD54B2}" presName="nodeFollowingNodes" presStyleLbl="node1" presStyleIdx="5" presStyleCnt="8" custScaleX="118431" custScaleY="125476" custRadScaleRad="120124" custRadScaleInc="25623">
        <dgm:presLayoutVars>
          <dgm:bulletEnabled val="1"/>
        </dgm:presLayoutVars>
      </dgm:prSet>
      <dgm:spPr/>
    </dgm:pt>
    <dgm:pt modelId="{33D2DB4D-0191-434A-9B4B-11275F685FE8}" type="pres">
      <dgm:prSet presAssocID="{7FB688C2-F9F3-4FDD-A68F-CB344CB306C2}" presName="nodeFollowingNodes" presStyleLbl="node1" presStyleIdx="6" presStyleCnt="8" custScaleX="118431" custScaleY="125476" custRadScaleRad="139747" custRadScaleInc="1147">
        <dgm:presLayoutVars>
          <dgm:bulletEnabled val="1"/>
        </dgm:presLayoutVars>
      </dgm:prSet>
      <dgm:spPr/>
    </dgm:pt>
    <dgm:pt modelId="{2BE695C1-3C24-4426-9BDB-69763A21001C}" type="pres">
      <dgm:prSet presAssocID="{19A50BDE-B902-4AFA-93B1-FC46ADF81044}" presName="nodeFollowingNodes" presStyleLbl="node1" presStyleIdx="7" presStyleCnt="8" custScaleX="118431" custScaleY="125476" custRadScaleRad="127653" custRadScaleInc="-37283">
        <dgm:presLayoutVars>
          <dgm:bulletEnabled val="1"/>
        </dgm:presLayoutVars>
      </dgm:prSet>
      <dgm:spPr/>
    </dgm:pt>
  </dgm:ptLst>
  <dgm:cxnLst>
    <dgm:cxn modelId="{DC39F800-CA06-433B-847C-B1D5D23CE848}" type="presOf" srcId="{C2477A5C-53B0-4159-807B-E34CF5A64556}" destId="{68BB3562-8703-46CD-8C44-FD5B066A8ED3}" srcOrd="0" destOrd="0" presId="urn:microsoft.com/office/officeart/2005/8/layout/cycle3"/>
    <dgm:cxn modelId="{539B7407-7232-4EEE-9C5D-222403BC3DC7}" type="presOf" srcId="{A00BF46B-7DBD-4592-890A-6AADB5C0FE4F}" destId="{7761A0A3-234F-4B69-ABC0-ABBCF545177C}" srcOrd="0" destOrd="0" presId="urn:microsoft.com/office/officeart/2005/8/layout/cycle3"/>
    <dgm:cxn modelId="{52F41F36-EB37-45CB-82A6-15DA7DC7CE2F}" type="presOf" srcId="{80DA7458-2402-4EDD-AA0B-14B14ABD54B2}" destId="{57A141E3-8833-463C-8239-0E8A938E726D}" srcOrd="0" destOrd="0" presId="urn:microsoft.com/office/officeart/2005/8/layout/cycle3"/>
    <dgm:cxn modelId="{CD57EE3C-0FF1-47FA-ADD5-1823ED4F5E32}" srcId="{870160BB-7CF2-466C-B337-FEB23C722DFD}" destId="{31928909-8C98-4D76-8AD6-70FC3E495289}" srcOrd="2" destOrd="0" parTransId="{01416371-D5ED-4D10-90A5-75FB358EC507}" sibTransId="{A895AF76-D098-43B5-AE25-9E38626F1C9C}"/>
    <dgm:cxn modelId="{F8902E65-90CE-4585-A15D-D118FEDBD89A}" type="presOf" srcId="{66499FC6-CA64-476D-AED4-5D5D1FEBF0DD}" destId="{CB13E56A-EC2A-4778-B151-A9F3C780B789}" srcOrd="0" destOrd="0" presId="urn:microsoft.com/office/officeart/2005/8/layout/cycle3"/>
    <dgm:cxn modelId="{ABDC6168-5B8A-4CB9-916D-C9A1266AA1D4}" srcId="{870160BB-7CF2-466C-B337-FEB23C722DFD}" destId="{66499FC6-CA64-476D-AED4-5D5D1FEBF0DD}" srcOrd="0" destOrd="0" parTransId="{B9BED47E-54A9-42F8-AE35-D52E9E982305}" sibTransId="{3BBBF1A8-B709-4870-AD48-3783C215FCE7}"/>
    <dgm:cxn modelId="{3A75C973-65FB-4881-A665-1BBB8A64D30E}" srcId="{870160BB-7CF2-466C-B337-FEB23C722DFD}" destId="{7098DB76-7387-4B2B-B7BD-80031E1B4DCF}" srcOrd="4" destOrd="0" parTransId="{45F5C74D-A291-4ADD-9267-785245BFD3C8}" sibTransId="{D22B9883-CDA5-4012-BDFB-6C4469BA0DD7}"/>
    <dgm:cxn modelId="{72BA1C56-9203-46C4-A3F9-83692C05FA93}" srcId="{870160BB-7CF2-466C-B337-FEB23C722DFD}" destId="{C2477A5C-53B0-4159-807B-E34CF5A64556}" srcOrd="3" destOrd="0" parTransId="{6163AC7F-7CA0-422F-AD8C-DF73577C7B4F}" sibTransId="{BF9DB97A-A4AA-4BC6-A238-1AFF0FE4542C}"/>
    <dgm:cxn modelId="{3C47F676-C4D4-4C8A-87CA-51A6565CB393}" srcId="{870160BB-7CF2-466C-B337-FEB23C722DFD}" destId="{7FB688C2-F9F3-4FDD-A68F-CB344CB306C2}" srcOrd="6" destOrd="0" parTransId="{6A37FE7F-BABD-463B-A3EA-885D8C70F4CA}" sibTransId="{B8F87361-2253-4DA6-9E66-CFCFCF3D3A2F}"/>
    <dgm:cxn modelId="{D63E855A-D308-42BA-8691-C8E215453358}" type="presOf" srcId="{870160BB-7CF2-466C-B337-FEB23C722DFD}" destId="{41CD3755-A5AF-4742-8D57-1360C5625D59}" srcOrd="0" destOrd="0" presId="urn:microsoft.com/office/officeart/2005/8/layout/cycle3"/>
    <dgm:cxn modelId="{D34AEC8B-D8D3-4C57-A863-3C53438EDC9A}" type="presOf" srcId="{7FB688C2-F9F3-4FDD-A68F-CB344CB306C2}" destId="{33D2DB4D-0191-434A-9B4B-11275F685FE8}" srcOrd="0" destOrd="0" presId="urn:microsoft.com/office/officeart/2005/8/layout/cycle3"/>
    <dgm:cxn modelId="{B02EC2A9-D82E-4A2A-9279-255AC0F767FB}" type="presOf" srcId="{19A50BDE-B902-4AFA-93B1-FC46ADF81044}" destId="{2BE695C1-3C24-4426-9BDB-69763A21001C}" srcOrd="0" destOrd="0" presId="urn:microsoft.com/office/officeart/2005/8/layout/cycle3"/>
    <dgm:cxn modelId="{620F29B8-9CEA-4598-9977-BE442D593DD3}" srcId="{870160BB-7CF2-466C-B337-FEB23C722DFD}" destId="{A00BF46B-7DBD-4592-890A-6AADB5C0FE4F}" srcOrd="1" destOrd="0" parTransId="{44D6D43A-BF94-4E55-8005-F28F48615670}" sibTransId="{EE678023-5496-411F-8540-1CCBA217BF20}"/>
    <dgm:cxn modelId="{E88F98B9-D420-4BA5-B1AE-D6116C2C69C2}" type="presOf" srcId="{31928909-8C98-4D76-8AD6-70FC3E495289}" destId="{9C52B5F8-B3EB-4F9F-8EC8-7162FEF6C071}" srcOrd="0" destOrd="0" presId="urn:microsoft.com/office/officeart/2005/8/layout/cycle3"/>
    <dgm:cxn modelId="{B94683BE-4F73-444E-B6B5-D1B1FC56F027}" srcId="{870160BB-7CF2-466C-B337-FEB23C722DFD}" destId="{19A50BDE-B902-4AFA-93B1-FC46ADF81044}" srcOrd="7" destOrd="0" parTransId="{ED08D46C-05C6-4460-A184-DAB9BADE1FE2}" sibTransId="{10C04226-3BA7-4EF5-AB6C-7A02051D9664}"/>
    <dgm:cxn modelId="{24F81CC2-5E2A-4D4A-9152-7CA5641E1E57}" srcId="{870160BB-7CF2-466C-B337-FEB23C722DFD}" destId="{80DA7458-2402-4EDD-AA0B-14B14ABD54B2}" srcOrd="5" destOrd="0" parTransId="{184C7F7B-F58B-492D-9397-C2B3E5D7EEE7}" sibTransId="{3384599B-E4A5-42E7-8273-7238641BF555}"/>
    <dgm:cxn modelId="{38A2E6C4-5A5C-478A-B59D-48F2B7A113B2}" type="presOf" srcId="{7098DB76-7387-4B2B-B7BD-80031E1B4DCF}" destId="{81641977-B9A0-47D1-BE63-C737D8DB3604}" srcOrd="0" destOrd="0" presId="urn:microsoft.com/office/officeart/2005/8/layout/cycle3"/>
    <dgm:cxn modelId="{4DA622FE-15D2-4972-BE5B-9EB7BCE2505E}" type="presOf" srcId="{3BBBF1A8-B709-4870-AD48-3783C215FCE7}" destId="{A97D2B4A-1341-4FA5-BCDD-B2D2AFD7A880}" srcOrd="0" destOrd="0" presId="urn:microsoft.com/office/officeart/2005/8/layout/cycle3"/>
    <dgm:cxn modelId="{0355CD15-1D09-43B4-8C12-AD392F2A051F}" type="presParOf" srcId="{41CD3755-A5AF-4742-8D57-1360C5625D59}" destId="{C7ECC8A0-814E-4F9B-BD82-0358C9295A8E}" srcOrd="0" destOrd="0" presId="urn:microsoft.com/office/officeart/2005/8/layout/cycle3"/>
    <dgm:cxn modelId="{08AFFF8E-CF21-46B1-B720-6676D14FAA7A}" type="presParOf" srcId="{C7ECC8A0-814E-4F9B-BD82-0358C9295A8E}" destId="{CB13E56A-EC2A-4778-B151-A9F3C780B789}" srcOrd="0" destOrd="0" presId="urn:microsoft.com/office/officeart/2005/8/layout/cycle3"/>
    <dgm:cxn modelId="{F9C76D8F-2723-45A9-99FB-17914C93B0EE}" type="presParOf" srcId="{C7ECC8A0-814E-4F9B-BD82-0358C9295A8E}" destId="{A97D2B4A-1341-4FA5-BCDD-B2D2AFD7A880}" srcOrd="1" destOrd="0" presId="urn:microsoft.com/office/officeart/2005/8/layout/cycle3"/>
    <dgm:cxn modelId="{98C91730-5BC2-4A5F-A8EF-FC6C17F87F48}" type="presParOf" srcId="{C7ECC8A0-814E-4F9B-BD82-0358C9295A8E}" destId="{7761A0A3-234F-4B69-ABC0-ABBCF545177C}" srcOrd="2" destOrd="0" presId="urn:microsoft.com/office/officeart/2005/8/layout/cycle3"/>
    <dgm:cxn modelId="{4CD66E16-5D51-4EF9-BEAF-67778DFFDEBD}" type="presParOf" srcId="{C7ECC8A0-814E-4F9B-BD82-0358C9295A8E}" destId="{9C52B5F8-B3EB-4F9F-8EC8-7162FEF6C071}" srcOrd="3" destOrd="0" presId="urn:microsoft.com/office/officeart/2005/8/layout/cycle3"/>
    <dgm:cxn modelId="{400D8A6A-B1BC-43B7-9870-4567568A27AC}" type="presParOf" srcId="{C7ECC8A0-814E-4F9B-BD82-0358C9295A8E}" destId="{68BB3562-8703-46CD-8C44-FD5B066A8ED3}" srcOrd="4" destOrd="0" presId="urn:microsoft.com/office/officeart/2005/8/layout/cycle3"/>
    <dgm:cxn modelId="{6C6C43AD-34EA-496E-AD8B-F4961A6EBCB5}" type="presParOf" srcId="{C7ECC8A0-814E-4F9B-BD82-0358C9295A8E}" destId="{81641977-B9A0-47D1-BE63-C737D8DB3604}" srcOrd="5" destOrd="0" presId="urn:microsoft.com/office/officeart/2005/8/layout/cycle3"/>
    <dgm:cxn modelId="{954D574C-A65E-4810-9957-2A3974E5514E}" type="presParOf" srcId="{C7ECC8A0-814E-4F9B-BD82-0358C9295A8E}" destId="{57A141E3-8833-463C-8239-0E8A938E726D}" srcOrd="6" destOrd="0" presId="urn:microsoft.com/office/officeart/2005/8/layout/cycle3"/>
    <dgm:cxn modelId="{DCCDFF1A-D1F5-4100-BA88-07F56F182943}" type="presParOf" srcId="{C7ECC8A0-814E-4F9B-BD82-0358C9295A8E}" destId="{33D2DB4D-0191-434A-9B4B-11275F685FE8}" srcOrd="7" destOrd="0" presId="urn:microsoft.com/office/officeart/2005/8/layout/cycle3"/>
    <dgm:cxn modelId="{1BCD8E49-F9CB-43D8-A414-1C9285E5B5E6}" type="presParOf" srcId="{C7ECC8A0-814E-4F9B-BD82-0358C9295A8E}" destId="{2BE695C1-3C24-4426-9BDB-69763A21001C}" srcOrd="8" destOrd="0" presId="urn:microsoft.com/office/officeart/2005/8/layout/cycle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D2B4A-1341-4FA5-BCDD-B2D2AFD7A880}">
      <dsp:nvSpPr>
        <dsp:cNvPr id="0" name=""/>
        <dsp:cNvSpPr/>
      </dsp:nvSpPr>
      <dsp:spPr>
        <a:xfrm>
          <a:off x="758274" y="-63810"/>
          <a:ext cx="5046175" cy="3471310"/>
        </a:xfrm>
        <a:prstGeom prst="circularArrow">
          <a:avLst>
            <a:gd name="adj1" fmla="val 5544"/>
            <a:gd name="adj2" fmla="val 330680"/>
            <a:gd name="adj3" fmla="val 14417227"/>
            <a:gd name="adj4" fmla="val 17006787"/>
            <a:gd name="adj5" fmla="val 575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B13E56A-EC2A-4778-B151-A9F3C780B789}">
      <dsp:nvSpPr>
        <dsp:cNvPr id="0" name=""/>
        <dsp:cNvSpPr/>
      </dsp:nvSpPr>
      <dsp:spPr>
        <a:xfrm>
          <a:off x="2706409" y="-60855"/>
          <a:ext cx="1149905" cy="6091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latin typeface="Arial"/>
              <a:ea typeface="+mn-ea"/>
              <a:cs typeface="+mn-cs"/>
            </a:rPr>
            <a:t>1] </a:t>
          </a:r>
          <a:br>
            <a:rPr lang="en-AU" sz="800" kern="1200">
              <a:latin typeface="Arial"/>
              <a:ea typeface="+mn-ea"/>
              <a:cs typeface="+mn-cs"/>
            </a:rPr>
          </a:br>
          <a:r>
            <a:rPr lang="en-AU" sz="800" kern="1200">
              <a:latin typeface="Arial"/>
              <a:ea typeface="+mn-ea"/>
              <a:cs typeface="+mn-cs"/>
            </a:rPr>
            <a:t>Intersecting Lived Experience </a:t>
          </a:r>
        </a:p>
      </dsp:txBody>
      <dsp:txXfrm>
        <a:off x="2736145" y="-31119"/>
        <a:ext cx="1090433" cy="549682"/>
      </dsp:txXfrm>
    </dsp:sp>
    <dsp:sp modelId="{7761A0A3-234F-4B69-ABC0-ABBCF545177C}">
      <dsp:nvSpPr>
        <dsp:cNvPr id="0" name=""/>
        <dsp:cNvSpPr/>
      </dsp:nvSpPr>
      <dsp:spPr>
        <a:xfrm>
          <a:off x="4250299" y="438999"/>
          <a:ext cx="1149905" cy="6091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latin typeface="Arial"/>
              <a:ea typeface="+mn-ea"/>
              <a:cs typeface="+mn-cs"/>
            </a:rPr>
            <a:t>2]</a:t>
          </a:r>
          <a:br>
            <a:rPr lang="en-AU" sz="800" kern="1200">
              <a:latin typeface="Arial"/>
              <a:ea typeface="+mn-ea"/>
              <a:cs typeface="+mn-cs"/>
            </a:rPr>
          </a:br>
          <a:r>
            <a:rPr lang="en-AU" sz="800" kern="1200">
              <a:latin typeface="Arial"/>
              <a:ea typeface="+mn-ea"/>
              <a:cs typeface="+mn-cs"/>
            </a:rPr>
            <a:t>No one-size-fits-all</a:t>
          </a:r>
        </a:p>
      </dsp:txBody>
      <dsp:txXfrm>
        <a:off x="4280035" y="468735"/>
        <a:ext cx="1090433" cy="549682"/>
      </dsp:txXfrm>
    </dsp:sp>
    <dsp:sp modelId="{9C52B5F8-B3EB-4F9F-8EC8-7162FEF6C071}">
      <dsp:nvSpPr>
        <dsp:cNvPr id="0" name=""/>
        <dsp:cNvSpPr/>
      </dsp:nvSpPr>
      <dsp:spPr>
        <a:xfrm>
          <a:off x="4899315" y="1427730"/>
          <a:ext cx="1149905" cy="6091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latin typeface="Arial"/>
              <a:ea typeface="+mn-ea"/>
              <a:cs typeface="+mn-cs"/>
            </a:rPr>
            <a:t>3]</a:t>
          </a:r>
          <a:br>
            <a:rPr lang="en-AU" sz="800" kern="1200">
              <a:latin typeface="Arial"/>
              <a:ea typeface="+mn-ea"/>
              <a:cs typeface="+mn-cs"/>
            </a:rPr>
          </a:br>
          <a:r>
            <a:rPr lang="en-AU" sz="800" kern="1200">
              <a:latin typeface="Arial"/>
              <a:ea typeface="+mn-ea"/>
              <a:cs typeface="+mn-cs"/>
            </a:rPr>
            <a:t>Focus on Service Quality</a:t>
          </a:r>
        </a:p>
      </dsp:txBody>
      <dsp:txXfrm>
        <a:off x="4929051" y="1457466"/>
        <a:ext cx="1090433" cy="549682"/>
      </dsp:txXfrm>
    </dsp:sp>
    <dsp:sp modelId="{68BB3562-8703-46CD-8C44-FD5B066A8ED3}">
      <dsp:nvSpPr>
        <dsp:cNvPr id="0" name=""/>
        <dsp:cNvSpPr/>
      </dsp:nvSpPr>
      <dsp:spPr>
        <a:xfrm>
          <a:off x="4275151" y="2317031"/>
          <a:ext cx="1149905" cy="6091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latin typeface="Arial"/>
              <a:ea typeface="+mn-ea"/>
              <a:cs typeface="+mn-cs"/>
            </a:rPr>
            <a:t>4]</a:t>
          </a:r>
          <a:br>
            <a:rPr lang="en-AU" sz="800" kern="1200">
              <a:latin typeface="Arial"/>
              <a:ea typeface="+mn-ea"/>
              <a:cs typeface="+mn-cs"/>
            </a:rPr>
          </a:br>
          <a:r>
            <a:rPr lang="en-AU" sz="800" kern="1200">
              <a:latin typeface="Arial"/>
              <a:ea typeface="+mn-ea"/>
              <a:cs typeface="+mn-cs"/>
            </a:rPr>
            <a:t>Focus on the spectrum of needs</a:t>
          </a:r>
        </a:p>
      </dsp:txBody>
      <dsp:txXfrm>
        <a:off x="4304887" y="2346767"/>
        <a:ext cx="1090433" cy="549682"/>
      </dsp:txXfrm>
    </dsp:sp>
    <dsp:sp modelId="{81641977-B9A0-47D1-BE63-C737D8DB3604}">
      <dsp:nvSpPr>
        <dsp:cNvPr id="0" name=""/>
        <dsp:cNvSpPr/>
      </dsp:nvSpPr>
      <dsp:spPr>
        <a:xfrm>
          <a:off x="2722981" y="2839050"/>
          <a:ext cx="1149905" cy="6091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latin typeface="Arial"/>
              <a:ea typeface="+mn-ea"/>
              <a:cs typeface="+mn-cs"/>
            </a:rPr>
            <a:t>5]</a:t>
          </a:r>
          <a:br>
            <a:rPr lang="en-AU" sz="800" kern="1200">
              <a:latin typeface="Arial"/>
              <a:ea typeface="+mn-ea"/>
              <a:cs typeface="+mn-cs"/>
            </a:rPr>
          </a:br>
          <a:r>
            <a:rPr lang="en-AU" sz="800" kern="1200">
              <a:latin typeface="Arial"/>
              <a:ea typeface="+mn-ea"/>
              <a:cs typeface="+mn-cs"/>
            </a:rPr>
            <a:t>More than health and service matter</a:t>
          </a:r>
        </a:p>
      </dsp:txBody>
      <dsp:txXfrm>
        <a:off x="2752717" y="2868786"/>
        <a:ext cx="1090433" cy="549682"/>
      </dsp:txXfrm>
    </dsp:sp>
    <dsp:sp modelId="{57A141E3-8833-463C-8239-0E8A938E726D}">
      <dsp:nvSpPr>
        <dsp:cNvPr id="0" name=""/>
        <dsp:cNvSpPr/>
      </dsp:nvSpPr>
      <dsp:spPr>
        <a:xfrm>
          <a:off x="1245371" y="2433035"/>
          <a:ext cx="1149905" cy="6091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latin typeface="Arial"/>
              <a:ea typeface="+mn-ea"/>
              <a:cs typeface="+mn-cs"/>
            </a:rPr>
            <a:t>6]</a:t>
          </a:r>
          <a:br>
            <a:rPr lang="en-AU" sz="800" kern="1200">
              <a:latin typeface="Arial"/>
              <a:ea typeface="+mn-ea"/>
              <a:cs typeface="+mn-cs"/>
            </a:rPr>
          </a:br>
          <a:r>
            <a:rPr lang="en-AU" sz="800" kern="1200">
              <a:latin typeface="Arial"/>
              <a:ea typeface="+mn-ea"/>
              <a:cs typeface="+mn-cs"/>
            </a:rPr>
            <a:t>Language matters</a:t>
          </a:r>
        </a:p>
      </dsp:txBody>
      <dsp:txXfrm>
        <a:off x="1275107" y="2462771"/>
        <a:ext cx="1090433" cy="549682"/>
      </dsp:txXfrm>
    </dsp:sp>
    <dsp:sp modelId="{33D2DB4D-0191-434A-9B4B-11275F685FE8}">
      <dsp:nvSpPr>
        <dsp:cNvPr id="0" name=""/>
        <dsp:cNvSpPr/>
      </dsp:nvSpPr>
      <dsp:spPr>
        <a:xfrm>
          <a:off x="637796" y="1402882"/>
          <a:ext cx="1149905" cy="6091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latin typeface="Arial"/>
              <a:ea typeface="+mn-ea"/>
              <a:cs typeface="+mn-cs"/>
            </a:rPr>
            <a:t>7]</a:t>
          </a:r>
          <a:br>
            <a:rPr lang="en-AU" sz="800" kern="1200">
              <a:latin typeface="Arial"/>
              <a:ea typeface="+mn-ea"/>
              <a:cs typeface="+mn-cs"/>
            </a:rPr>
          </a:br>
          <a:r>
            <a:rPr lang="en-AU" sz="800" kern="1200">
              <a:latin typeface="Arial"/>
              <a:ea typeface="+mn-ea"/>
              <a:cs typeface="+mn-cs"/>
            </a:rPr>
            <a:t>Moving with the evidence base</a:t>
          </a:r>
        </a:p>
      </dsp:txBody>
      <dsp:txXfrm>
        <a:off x="667532" y="1432618"/>
        <a:ext cx="1090433" cy="549682"/>
      </dsp:txXfrm>
    </dsp:sp>
    <dsp:sp modelId="{2BE695C1-3C24-4426-9BDB-69763A21001C}">
      <dsp:nvSpPr>
        <dsp:cNvPr id="0" name=""/>
        <dsp:cNvSpPr/>
      </dsp:nvSpPr>
      <dsp:spPr>
        <a:xfrm>
          <a:off x="1071356" y="472143"/>
          <a:ext cx="1149905" cy="6091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latin typeface="Arial"/>
              <a:ea typeface="+mn-ea"/>
              <a:cs typeface="+mn-cs"/>
            </a:rPr>
            <a:t>8]</a:t>
          </a:r>
          <a:br>
            <a:rPr lang="en-AU" sz="800" kern="1200">
              <a:latin typeface="Arial"/>
              <a:ea typeface="+mn-ea"/>
              <a:cs typeface="+mn-cs"/>
            </a:rPr>
          </a:br>
          <a:r>
            <a:rPr lang="en-AU" sz="800" kern="1200">
              <a:latin typeface="Arial"/>
              <a:ea typeface="+mn-ea"/>
              <a:cs typeface="+mn-cs"/>
            </a:rPr>
            <a:t>Ongoing monitoring, evaluation and  learning</a:t>
          </a:r>
        </a:p>
      </dsp:txBody>
      <dsp:txXfrm>
        <a:off x="1101092" y="501879"/>
        <a:ext cx="1090433" cy="54968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TS">
      <a:dk1>
        <a:sysClr val="windowText" lastClr="000000"/>
      </a:dk1>
      <a:lt1>
        <a:sysClr val="window" lastClr="FFFFFF"/>
      </a:lt1>
      <a:dk2>
        <a:srgbClr val="B2B2B2"/>
      </a:dk2>
      <a:lt2>
        <a:srgbClr val="F2F2F2"/>
      </a:lt2>
      <a:accent1>
        <a:srgbClr val="0F4BEB"/>
      </a:accent1>
      <a:accent2>
        <a:srgbClr val="FF2305"/>
      </a:accent2>
      <a:accent3>
        <a:srgbClr val="49C0E2"/>
      </a:accent3>
      <a:accent4>
        <a:srgbClr val="068D38"/>
      </a:accent4>
      <a:accent5>
        <a:srgbClr val="AECA0C"/>
      </a:accent5>
      <a:accent6>
        <a:srgbClr val="6E237F"/>
      </a:accent6>
      <a:hlink>
        <a:srgbClr val="0F4BEB"/>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bf78ea-4de6-4202-9ad2-7b55950f35bb">
      <Terms xmlns="http://schemas.microsoft.com/office/infopath/2007/PartnerControls"/>
    </lcf76f155ced4ddcb4097134ff3c332f>
    <TaxCatchAll xmlns="a478078e-e899-4d03-a5a3-682e45d765a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7DF337C811391409B6C212B2F959029" ma:contentTypeVersion="13" ma:contentTypeDescription="Create a new document." ma:contentTypeScope="" ma:versionID="15ad4b4cb3f93f3691fe59303d8e3397">
  <xsd:schema xmlns:xsd="http://www.w3.org/2001/XMLSchema" xmlns:xs="http://www.w3.org/2001/XMLSchema" xmlns:p="http://schemas.microsoft.com/office/2006/metadata/properties" xmlns:ns2="66bf78ea-4de6-4202-9ad2-7b55950f35bb" xmlns:ns3="a478078e-e899-4d03-a5a3-682e45d765a0" targetNamespace="http://schemas.microsoft.com/office/2006/metadata/properties" ma:root="true" ma:fieldsID="dc68f9ba640e971a0d60dcb97e1faeac" ns2:_="" ns3:_="">
    <xsd:import namespace="66bf78ea-4de6-4202-9ad2-7b55950f35bb"/>
    <xsd:import namespace="a478078e-e899-4d03-a5a3-682e45d765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f78ea-4de6-4202-9ad2-7b55950f3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78078e-e899-4d03-a5a3-682e45d765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510d870-e4b5-44a0-a0c2-2c5be80f32b2}" ma:internalName="TaxCatchAll" ma:showField="CatchAllData" ma:web="a478078e-e899-4d03-a5a3-682e45d76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DE0B39-5D7C-4186-8923-C74749C0530C}">
  <ds:schemaRefs>
    <ds:schemaRef ds:uri="http://schemas.openxmlformats.org/officeDocument/2006/bibliography"/>
  </ds:schemaRefs>
</ds:datastoreItem>
</file>

<file path=customXml/itemProps3.xml><?xml version="1.0" encoding="utf-8"?>
<ds:datastoreItem xmlns:ds="http://schemas.openxmlformats.org/officeDocument/2006/customXml" ds:itemID="{6DC480A3-000C-40AD-BB68-575DF997AA8E}">
  <ds:schemaRefs>
    <ds:schemaRef ds:uri="http://schemas.microsoft.com/sharepoint/v3/contenttype/forms"/>
  </ds:schemaRefs>
</ds:datastoreItem>
</file>

<file path=customXml/itemProps4.xml><?xml version="1.0" encoding="utf-8"?>
<ds:datastoreItem xmlns:ds="http://schemas.openxmlformats.org/officeDocument/2006/customXml" ds:itemID="{1BD7F4D2-895B-454F-A757-62EC6CB4656B}">
  <ds:schemaRefs>
    <ds:schemaRef ds:uri="http://schemas.microsoft.com/office/2006/metadata/properties"/>
    <ds:schemaRef ds:uri="http://schemas.microsoft.com/office/infopath/2007/PartnerControls"/>
    <ds:schemaRef ds:uri="31EC5D6C-7394-4809-A693-4754D1A8A473"/>
    <ds:schemaRef ds:uri="66bf78ea-4de6-4202-9ad2-7b55950f35bb"/>
    <ds:schemaRef ds:uri="a478078e-e899-4d03-a5a3-682e45d765a0"/>
  </ds:schemaRefs>
</ds:datastoreItem>
</file>

<file path=customXml/itemProps5.xml><?xml version="1.0" encoding="utf-8"?>
<ds:datastoreItem xmlns:ds="http://schemas.openxmlformats.org/officeDocument/2006/customXml" ds:itemID="{B42ACC9E-C495-4168-9BA6-DB4C45EC8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f78ea-4de6-4202-9ad2-7b55950f35bb"/>
    <ds:schemaRef ds:uri="a478078e-e899-4d03-a5a3-682e45d76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45580</Words>
  <Characters>259810</Characters>
  <Application>Microsoft Office Word</Application>
  <DocSecurity>4</DocSecurity>
  <Lines>2165</Lines>
  <Paragraphs>609</Paragraphs>
  <ScaleCrop>false</ScaleCrop>
  <HeadingPairs>
    <vt:vector size="2" baseType="variant">
      <vt:variant>
        <vt:lpstr>Title</vt:lpstr>
      </vt:variant>
      <vt:variant>
        <vt:i4>1</vt:i4>
      </vt:variant>
    </vt:vector>
  </HeadingPairs>
  <TitlesOfParts>
    <vt:vector size="1" baseType="lpstr">
      <vt:lpstr>Research Translation Paper LGBTQ+ People and Mental Health Services Research</vt:lpstr>
    </vt:vector>
  </TitlesOfParts>
  <Company/>
  <LinksUpToDate>false</LinksUpToDate>
  <CharactersWithSpaces>304781</CharactersWithSpaces>
  <SharedDoc>false</SharedDoc>
  <HLinks>
    <vt:vector size="1704" baseType="variant">
      <vt:variant>
        <vt:i4>6488112</vt:i4>
      </vt:variant>
      <vt:variant>
        <vt:i4>945</vt:i4>
      </vt:variant>
      <vt:variant>
        <vt:i4>0</vt:i4>
      </vt:variant>
      <vt:variant>
        <vt:i4>5</vt:i4>
      </vt:variant>
      <vt:variant>
        <vt:lpwstr>https://perth.wa.gov.au/en/live-and-work/community-services-and-facilities/lgbtqia</vt:lpwstr>
      </vt:variant>
      <vt:variant>
        <vt:lpwstr/>
      </vt:variant>
      <vt:variant>
        <vt:i4>589893</vt:i4>
      </vt:variant>
      <vt:variant>
        <vt:i4>942</vt:i4>
      </vt:variant>
      <vt:variant>
        <vt:i4>0</vt:i4>
      </vt:variant>
      <vt:variant>
        <vt:i4>5</vt:i4>
      </vt:variant>
      <vt:variant>
        <vt:lpwstr>https://engage.perth.wa.gov.au/lgbtqia-community</vt:lpwstr>
      </vt:variant>
      <vt:variant>
        <vt:lpwstr/>
      </vt:variant>
      <vt:variant>
        <vt:i4>196625</vt:i4>
      </vt:variant>
      <vt:variant>
        <vt:i4>939</vt:i4>
      </vt:variant>
      <vt:variant>
        <vt:i4>0</vt:i4>
      </vt:variant>
      <vt:variant>
        <vt:i4>5</vt:i4>
      </vt:variant>
      <vt:variant>
        <vt:lpwstr>https://federalfinancialrelations.gov.au/sites/federalfinancialrelations.gov.au/files/2022-04/nmh_sp_bilateral_agreement_wa.pdf</vt:lpwstr>
      </vt:variant>
      <vt:variant>
        <vt:lpwstr/>
      </vt:variant>
      <vt:variant>
        <vt:i4>3997731</vt:i4>
      </vt:variant>
      <vt:variant>
        <vt:i4>936</vt:i4>
      </vt:variant>
      <vt:variant>
        <vt:i4>0</vt:i4>
      </vt:variant>
      <vt:variant>
        <vt:i4>5</vt:i4>
      </vt:variant>
      <vt:variant>
        <vt:lpwstr>https://federalfinancialrelations.gov.au/sites/federalfinancialrelations.gov.au/files/2022-04/nmh_sp_bilateral_agreement_vic.pdf</vt:lpwstr>
      </vt:variant>
      <vt:variant>
        <vt:lpwstr/>
      </vt:variant>
      <vt:variant>
        <vt:i4>6488190</vt:i4>
      </vt:variant>
      <vt:variant>
        <vt:i4>933</vt:i4>
      </vt:variant>
      <vt:variant>
        <vt:i4>0</vt:i4>
      </vt:variant>
      <vt:variant>
        <vt:i4>5</vt:i4>
      </vt:variant>
      <vt:variant>
        <vt:lpwstr>https://www.dpac.tas.gov.au/__data/assets/pdf_file/0022/236335/LGBTI_Framework_17_Nov_2015_ART.pdf</vt:lpwstr>
      </vt:variant>
      <vt:variant>
        <vt:lpwstr/>
      </vt:variant>
      <vt:variant>
        <vt:i4>3080234</vt:i4>
      </vt:variant>
      <vt:variant>
        <vt:i4>930</vt:i4>
      </vt:variant>
      <vt:variant>
        <vt:i4>0</vt:i4>
      </vt:variant>
      <vt:variant>
        <vt:i4>5</vt:i4>
      </vt:variant>
      <vt:variant>
        <vt:lpwstr>https://federalfinancialrelations.gov.au/sites/federalfinancialrelations.gov.au/files/2022-05/nmh_sp_bilateral_agreement_tas.PDF</vt:lpwstr>
      </vt:variant>
      <vt:variant>
        <vt:lpwstr/>
      </vt:variant>
      <vt:variant>
        <vt:i4>2293874</vt:i4>
      </vt:variant>
      <vt:variant>
        <vt:i4>927</vt:i4>
      </vt:variant>
      <vt:variant>
        <vt:i4>0</vt:i4>
      </vt:variant>
      <vt:variant>
        <vt:i4>5</vt:i4>
      </vt:variant>
      <vt:variant>
        <vt:lpwstr>https://www.sahealth.sa.gov.au/wps/wcm/connect/8520124e-0250-4393-819e-71bca0db4ad9/19032.2+MHSP-report-web-no+watermark.pdf?MOD=AJPERES&amp;amp;CACHEID=ROOTWORKSPACE-8520124e-0250-4393-819e-71bca0db4ad9-nwLp6cp</vt:lpwstr>
      </vt:variant>
      <vt:variant>
        <vt:lpwstr/>
      </vt:variant>
      <vt:variant>
        <vt:i4>5767206</vt:i4>
      </vt:variant>
      <vt:variant>
        <vt:i4>924</vt:i4>
      </vt:variant>
      <vt:variant>
        <vt:i4>0</vt:i4>
      </vt:variant>
      <vt:variant>
        <vt:i4>5</vt:i4>
      </vt:variant>
      <vt:variant>
        <vt:lpwstr>https://federalfinancialrelations.gov.au/sites/federalfinancialrelations.gov.au/files/2022-03/nmh_sp_bilateral_agreement_sa_0.pdf</vt:lpwstr>
      </vt:variant>
      <vt:variant>
        <vt:lpwstr/>
      </vt:variant>
      <vt:variant>
        <vt:i4>2162689</vt:i4>
      </vt:variant>
      <vt:variant>
        <vt:i4>921</vt:i4>
      </vt:variant>
      <vt:variant>
        <vt:i4>0</vt:i4>
      </vt:variant>
      <vt:variant>
        <vt:i4>5</vt:i4>
      </vt:variant>
      <vt:variant>
        <vt:lpwstr>https://www.forgov.qld.gov.au/__data/assets/pdf_file/0029/183926/lgbtiq-inclusion-strategy.pdf</vt:lpwstr>
      </vt:variant>
      <vt:variant>
        <vt:lpwstr/>
      </vt:variant>
      <vt:variant>
        <vt:i4>851986</vt:i4>
      </vt:variant>
      <vt:variant>
        <vt:i4>918</vt:i4>
      </vt:variant>
      <vt:variant>
        <vt:i4>0</vt:i4>
      </vt:variant>
      <vt:variant>
        <vt:i4>5</vt:i4>
      </vt:variant>
      <vt:variant>
        <vt:lpwstr>https://www.qmhc.qld.gov.au/documents/everylifethequeenslandsuicidepreventionplan2019-2029webpdf</vt:lpwstr>
      </vt:variant>
      <vt:variant>
        <vt:lpwstr/>
      </vt:variant>
      <vt:variant>
        <vt:i4>5832719</vt:i4>
      </vt:variant>
      <vt:variant>
        <vt:i4>915</vt:i4>
      </vt:variant>
      <vt:variant>
        <vt:i4>0</vt:i4>
      </vt:variant>
      <vt:variant>
        <vt:i4>5</vt:i4>
      </vt:variant>
      <vt:variant>
        <vt:lpwstr>https://www.qmhc.qld.gov.au/shifting-minds-2023-2028</vt:lpwstr>
      </vt:variant>
      <vt:variant>
        <vt:lpwstr/>
      </vt:variant>
      <vt:variant>
        <vt:i4>3997734</vt:i4>
      </vt:variant>
      <vt:variant>
        <vt:i4>912</vt:i4>
      </vt:variant>
      <vt:variant>
        <vt:i4>0</vt:i4>
      </vt:variant>
      <vt:variant>
        <vt:i4>5</vt:i4>
      </vt:variant>
      <vt:variant>
        <vt:lpwstr>https://federalfinancialrelations.gov.au/sites/federalfinancialrelations.gov.au/files/2022-04/nmh_sp_bilateral_agreement_qld.pdf</vt:lpwstr>
      </vt:variant>
      <vt:variant>
        <vt:lpwstr/>
      </vt:variant>
      <vt:variant>
        <vt:i4>65633</vt:i4>
      </vt:variant>
      <vt:variant>
        <vt:i4>909</vt:i4>
      </vt:variant>
      <vt:variant>
        <vt:i4>0</vt:i4>
      </vt:variant>
      <vt:variant>
        <vt:i4>5</vt:i4>
      </vt:variant>
      <vt:variant>
        <vt:lpwstr>https://federalfinancialrelations.gov.au/sites/federalfinancialrelations.gov.au/files/2022-03/nmh_sp_bilateral_agreement_nsw_0.pdf</vt:lpwstr>
      </vt:variant>
      <vt:variant>
        <vt:lpwstr/>
      </vt:variant>
      <vt:variant>
        <vt:i4>7340075</vt:i4>
      </vt:variant>
      <vt:variant>
        <vt:i4>906</vt:i4>
      </vt:variant>
      <vt:variant>
        <vt:i4>0</vt:i4>
      </vt:variant>
      <vt:variant>
        <vt:i4>5</vt:i4>
      </vt:variant>
      <vt:variant>
        <vt:lpwstr>https://tfhc.nt.gov.au/social-inclusion-and-interpreting-services/office-of-gender-equity-and-diversity/gender-equality</vt:lpwstr>
      </vt:variant>
      <vt:variant>
        <vt:lpwstr/>
      </vt:variant>
      <vt:variant>
        <vt:i4>851990</vt:i4>
      </vt:variant>
      <vt:variant>
        <vt:i4>903</vt:i4>
      </vt:variant>
      <vt:variant>
        <vt:i4>0</vt:i4>
      </vt:variant>
      <vt:variant>
        <vt:i4>5</vt:i4>
      </vt:variant>
      <vt:variant>
        <vt:lpwstr>https://health.nt.gov.au/governance-strategies-committees/nt-health-strategies/suicide-prevention-strategy-review</vt:lpwstr>
      </vt:variant>
      <vt:variant>
        <vt:lpwstr/>
      </vt:variant>
      <vt:variant>
        <vt:i4>4522035</vt:i4>
      </vt:variant>
      <vt:variant>
        <vt:i4>900</vt:i4>
      </vt:variant>
      <vt:variant>
        <vt:i4>0</vt:i4>
      </vt:variant>
      <vt:variant>
        <vt:i4>5</vt:i4>
      </vt:variant>
      <vt:variant>
        <vt:lpwstr>https://federalfinancialrelations.gov.au/sites/federalfinancialrelations.gov.au/files/2022-03/nmh_sp_bilateral_agreement_nt_0.pdf</vt:lpwstr>
      </vt:variant>
      <vt:variant>
        <vt:lpwstr/>
      </vt:variant>
      <vt:variant>
        <vt:i4>3997737</vt:i4>
      </vt:variant>
      <vt:variant>
        <vt:i4>897</vt:i4>
      </vt:variant>
      <vt:variant>
        <vt:i4>0</vt:i4>
      </vt:variant>
      <vt:variant>
        <vt:i4>5</vt:i4>
      </vt:variant>
      <vt:variant>
        <vt:lpwstr>https://federalfinancialrelations.gov.au/sites/federalfinancialrelations.gov.au/files/2022-04/nmh_sp_bilateral_agreement_act.pdf</vt:lpwstr>
      </vt:variant>
      <vt:variant>
        <vt:lpwstr/>
      </vt:variant>
      <vt:variant>
        <vt:i4>6422652</vt:i4>
      </vt:variant>
      <vt:variant>
        <vt:i4>894</vt:i4>
      </vt:variant>
      <vt:variant>
        <vt:i4>0</vt:i4>
      </vt:variant>
      <vt:variant>
        <vt:i4>5</vt:i4>
      </vt:variant>
      <vt:variant>
        <vt:lpwstr>https://www.health.gov.au/sites/default/files/2023-06/national-mental-health-workforce-strategy-summary.pdf</vt:lpwstr>
      </vt:variant>
      <vt:variant>
        <vt:lpwstr/>
      </vt:variant>
      <vt:variant>
        <vt:i4>6619253</vt:i4>
      </vt:variant>
      <vt:variant>
        <vt:i4>891</vt:i4>
      </vt:variant>
      <vt:variant>
        <vt:i4>0</vt:i4>
      </vt:variant>
      <vt:variant>
        <vt:i4>5</vt:i4>
      </vt:variant>
      <vt:variant>
        <vt:lpwstr>https://www.wa.gov.au/organisation/equal-opportunity-commission</vt:lpwstr>
      </vt:variant>
      <vt:variant>
        <vt:lpwstr/>
      </vt:variant>
      <vt:variant>
        <vt:i4>5832779</vt:i4>
      </vt:variant>
      <vt:variant>
        <vt:i4>888</vt:i4>
      </vt:variant>
      <vt:variant>
        <vt:i4>0</vt:i4>
      </vt:variant>
      <vt:variant>
        <vt:i4>5</vt:i4>
      </vt:variant>
      <vt:variant>
        <vt:lpwstr>https://www.gotocourt.com.au/civil-law/wa/lgbtiq-rights/</vt:lpwstr>
      </vt:variant>
      <vt:variant>
        <vt:lpwstr/>
      </vt:variant>
      <vt:variant>
        <vt:i4>6291516</vt:i4>
      </vt:variant>
      <vt:variant>
        <vt:i4>885</vt:i4>
      </vt:variant>
      <vt:variant>
        <vt:i4>0</vt:i4>
      </vt:variant>
      <vt:variant>
        <vt:i4>5</vt:i4>
      </vt:variant>
      <vt:variant>
        <vt:lpwstr>https://www.humanrights.vic.gov.au/</vt:lpwstr>
      </vt:variant>
      <vt:variant>
        <vt:lpwstr/>
      </vt:variant>
      <vt:variant>
        <vt:i4>4259930</vt:i4>
      </vt:variant>
      <vt:variant>
        <vt:i4>882</vt:i4>
      </vt:variant>
      <vt:variant>
        <vt:i4>0</vt:i4>
      </vt:variant>
      <vt:variant>
        <vt:i4>5</vt:i4>
      </vt:variant>
      <vt:variant>
        <vt:lpwstr>https://www.vic.gov.au/historic-timeline-lgbtiq-equality</vt:lpwstr>
      </vt:variant>
      <vt:variant>
        <vt:lpwstr/>
      </vt:variant>
      <vt:variant>
        <vt:i4>5308440</vt:i4>
      </vt:variant>
      <vt:variant>
        <vt:i4>879</vt:i4>
      </vt:variant>
      <vt:variant>
        <vt:i4>0</vt:i4>
      </vt:variant>
      <vt:variant>
        <vt:i4>5</vt:i4>
      </vt:variant>
      <vt:variant>
        <vt:lpwstr>https://equalopportunity.tas.gov.au/</vt:lpwstr>
      </vt:variant>
      <vt:variant>
        <vt:lpwstr/>
      </vt:variant>
      <vt:variant>
        <vt:i4>2818087</vt:i4>
      </vt:variant>
      <vt:variant>
        <vt:i4>876</vt:i4>
      </vt:variant>
      <vt:variant>
        <vt:i4>0</vt:i4>
      </vt:variant>
      <vt:variant>
        <vt:i4>5</vt:i4>
      </vt:variant>
      <vt:variant>
        <vt:lpwstr>https://www.health.tas.gov.au/professionals/education-and-training-health-professionals/lgbtiq-inclusive-healthcare/lgbtiqa-laws-and-guidelines</vt:lpwstr>
      </vt:variant>
      <vt:variant>
        <vt:lpwstr/>
      </vt:variant>
      <vt:variant>
        <vt:i4>3735666</vt:i4>
      </vt:variant>
      <vt:variant>
        <vt:i4>873</vt:i4>
      </vt:variant>
      <vt:variant>
        <vt:i4>0</vt:i4>
      </vt:variant>
      <vt:variant>
        <vt:i4>5</vt:i4>
      </vt:variant>
      <vt:variant>
        <vt:lpwstr>https://www.equalopportunity.sa.gov.au/</vt:lpwstr>
      </vt:variant>
      <vt:variant>
        <vt:lpwstr/>
      </vt:variant>
      <vt:variant>
        <vt:i4>6094923</vt:i4>
      </vt:variant>
      <vt:variant>
        <vt:i4>870</vt:i4>
      </vt:variant>
      <vt:variant>
        <vt:i4>0</vt:i4>
      </vt:variant>
      <vt:variant>
        <vt:i4>5</vt:i4>
      </vt:variant>
      <vt:variant>
        <vt:lpwstr>https://www.gotocourt.com.au/civil-law/sa/lgbtiq-rights/</vt:lpwstr>
      </vt:variant>
      <vt:variant>
        <vt:lpwstr/>
      </vt:variant>
      <vt:variant>
        <vt:i4>589851</vt:i4>
      </vt:variant>
      <vt:variant>
        <vt:i4>867</vt:i4>
      </vt:variant>
      <vt:variant>
        <vt:i4>0</vt:i4>
      </vt:variant>
      <vt:variant>
        <vt:i4>5</vt:i4>
      </vt:variant>
      <vt:variant>
        <vt:lpwstr>https://www.qhrc.qld.gov.au/</vt:lpwstr>
      </vt:variant>
      <vt:variant>
        <vt:lpwstr/>
      </vt:variant>
      <vt:variant>
        <vt:i4>2228329</vt:i4>
      </vt:variant>
      <vt:variant>
        <vt:i4>864</vt:i4>
      </vt:variant>
      <vt:variant>
        <vt:i4>0</vt:i4>
      </vt:variant>
      <vt:variant>
        <vt:i4>5</vt:i4>
      </vt:variant>
      <vt:variant>
        <vt:lpwstr>https://www.gotocourt.com.au/civil-law/qld/lgbtiq-rights-in-queensland/</vt:lpwstr>
      </vt:variant>
      <vt:variant>
        <vt:lpwstr/>
      </vt:variant>
      <vt:variant>
        <vt:i4>7340086</vt:i4>
      </vt:variant>
      <vt:variant>
        <vt:i4>861</vt:i4>
      </vt:variant>
      <vt:variant>
        <vt:i4>0</vt:i4>
      </vt:variant>
      <vt:variant>
        <vt:i4>5</vt:i4>
      </vt:variant>
      <vt:variant>
        <vt:lpwstr>https://adc.nt.gov.au/</vt:lpwstr>
      </vt:variant>
      <vt:variant>
        <vt:lpwstr/>
      </vt:variant>
      <vt:variant>
        <vt:i4>786501</vt:i4>
      </vt:variant>
      <vt:variant>
        <vt:i4>858</vt:i4>
      </vt:variant>
      <vt:variant>
        <vt:i4>0</vt:i4>
      </vt:variant>
      <vt:variant>
        <vt:i4>5</vt:i4>
      </vt:variant>
      <vt:variant>
        <vt:lpwstr>https://www.gotocourt.com.au/civil-law/nt/lgbtiq-rights-law/</vt:lpwstr>
      </vt:variant>
      <vt:variant>
        <vt:lpwstr/>
      </vt:variant>
      <vt:variant>
        <vt:i4>3932271</vt:i4>
      </vt:variant>
      <vt:variant>
        <vt:i4>855</vt:i4>
      </vt:variant>
      <vt:variant>
        <vt:i4>0</vt:i4>
      </vt:variant>
      <vt:variant>
        <vt:i4>5</vt:i4>
      </vt:variant>
      <vt:variant>
        <vt:lpwstr>https://antidiscrimination.nsw.gov.au/</vt:lpwstr>
      </vt:variant>
      <vt:variant>
        <vt:lpwstr/>
      </vt:variant>
      <vt:variant>
        <vt:i4>6160470</vt:i4>
      </vt:variant>
      <vt:variant>
        <vt:i4>852</vt:i4>
      </vt:variant>
      <vt:variant>
        <vt:i4>0</vt:i4>
      </vt:variant>
      <vt:variant>
        <vt:i4>5</vt:i4>
      </vt:variant>
      <vt:variant>
        <vt:lpwstr>https://www.gotocourt.com.au/criminal-law/nsw/lgbtiq-rights/</vt:lpwstr>
      </vt:variant>
      <vt:variant>
        <vt:lpwstr/>
      </vt:variant>
      <vt:variant>
        <vt:i4>7143470</vt:i4>
      </vt:variant>
      <vt:variant>
        <vt:i4>849</vt:i4>
      </vt:variant>
      <vt:variant>
        <vt:i4>0</vt:i4>
      </vt:variant>
      <vt:variant>
        <vt:i4>5</vt:i4>
      </vt:variant>
      <vt:variant>
        <vt:lpwstr>https://www.hrc.act.gov.au/</vt:lpwstr>
      </vt:variant>
      <vt:variant>
        <vt:lpwstr/>
      </vt:variant>
      <vt:variant>
        <vt:i4>93</vt:i4>
      </vt:variant>
      <vt:variant>
        <vt:i4>846</vt:i4>
      </vt:variant>
      <vt:variant>
        <vt:i4>0</vt:i4>
      </vt:variant>
      <vt:variant>
        <vt:i4>5</vt:i4>
      </vt:variant>
      <vt:variant>
        <vt:lpwstr>https://www.gotocourt.com.au/civil-law/act/lgbtiq-rights/</vt:lpwstr>
      </vt:variant>
      <vt:variant>
        <vt:lpwstr/>
      </vt:variant>
      <vt:variant>
        <vt:i4>1572865</vt:i4>
      </vt:variant>
      <vt:variant>
        <vt:i4>825</vt:i4>
      </vt:variant>
      <vt:variant>
        <vt:i4>0</vt:i4>
      </vt:variant>
      <vt:variant>
        <vt:i4>5</vt:i4>
      </vt:variant>
      <vt:variant>
        <vt:lpwstr>https://pursuit.unimelb.edu.au/articles/challenging-five-years-of-transphobia</vt:lpwstr>
      </vt:variant>
      <vt:variant>
        <vt:lpwstr/>
      </vt:variant>
      <vt:variant>
        <vt:i4>8126517</vt:i4>
      </vt:variant>
      <vt:variant>
        <vt:i4>822</vt:i4>
      </vt:variant>
      <vt:variant>
        <vt:i4>0</vt:i4>
      </vt:variant>
      <vt:variant>
        <vt:i4>5</vt:i4>
      </vt:variant>
      <vt:variant>
        <vt:lpwstr>https://www.health.wa.gov.au/~/media/Files/Corporate/general-documents/Health-Networks/PDF/LGBTI-Health-Strategy-2019-2024.pdfhttps:/www.health.wa.gov.au/~/media/Files/Corporate/general-documents/Health-Networks/PDF/LGBTI-Health-Strategy-2019-2024.pdf</vt:lpwstr>
      </vt:variant>
      <vt:variant>
        <vt:lpwstr/>
      </vt:variant>
      <vt:variant>
        <vt:i4>262167</vt:i4>
      </vt:variant>
      <vt:variant>
        <vt:i4>819</vt:i4>
      </vt:variant>
      <vt:variant>
        <vt:i4>0</vt:i4>
      </vt:variant>
      <vt:variant>
        <vt:i4>5</vt:i4>
      </vt:variant>
      <vt:variant>
        <vt:lpwstr>https://westvicphn.com.au/health-professionals/health-topics/priority-populations/lgbtiq/</vt:lpwstr>
      </vt:variant>
      <vt:variant>
        <vt:lpwstr/>
      </vt:variant>
      <vt:variant>
        <vt:i4>5898325</vt:i4>
      </vt:variant>
      <vt:variant>
        <vt:i4>816</vt:i4>
      </vt:variant>
      <vt:variant>
        <vt:i4>0</vt:i4>
      </vt:variant>
      <vt:variant>
        <vt:i4>5</vt:i4>
      </vt:variant>
      <vt:variant>
        <vt:lpwstr>https://www.wmq.org.au/mental-health/supporting-minds</vt:lpwstr>
      </vt:variant>
      <vt:variant>
        <vt:lpwstr/>
      </vt:variant>
      <vt:variant>
        <vt:i4>3080312</vt:i4>
      </vt:variant>
      <vt:variant>
        <vt:i4>813</vt:i4>
      </vt:variant>
      <vt:variant>
        <vt:i4>0</vt:i4>
      </vt:variant>
      <vt:variant>
        <vt:i4>5</vt:i4>
      </vt:variant>
      <vt:variant>
        <vt:lpwstr>https://pridecentre.org.au/resources/q-psychology/</vt:lpwstr>
      </vt:variant>
      <vt:variant>
        <vt:lpwstr/>
      </vt:variant>
      <vt:variant>
        <vt:i4>2687089</vt:i4>
      </vt:variant>
      <vt:variant>
        <vt:i4>810</vt:i4>
      </vt:variant>
      <vt:variant>
        <vt:i4>0</vt:i4>
      </vt:variant>
      <vt:variant>
        <vt:i4>5</vt:i4>
      </vt:variant>
      <vt:variant>
        <vt:lpwstr>https://content.vic.gov.au/sites/default/files/2022-02/Pride-in-our-future-Victorias-LGBTIQ%2B-strategy-2022-32.pdf</vt:lpwstr>
      </vt:variant>
      <vt:variant>
        <vt:lpwstr/>
      </vt:variant>
      <vt:variant>
        <vt:i4>5373958</vt:i4>
      </vt:variant>
      <vt:variant>
        <vt:i4>807</vt:i4>
      </vt:variant>
      <vt:variant>
        <vt:i4>0</vt:i4>
      </vt:variant>
      <vt:variant>
        <vt:i4>5</vt:i4>
      </vt:variant>
      <vt:variant>
        <vt:lpwstr>https://www.health.vic.gov.au/your-health-report-of-the-chief-health-officer-victoria-2018/health-inequalities/lgbtiq-victorians</vt:lpwstr>
      </vt:variant>
      <vt:variant>
        <vt:lpwstr/>
      </vt:variant>
      <vt:variant>
        <vt:i4>3276922</vt:i4>
      </vt:variant>
      <vt:variant>
        <vt:i4>804</vt:i4>
      </vt:variant>
      <vt:variant>
        <vt:i4>0</vt:i4>
      </vt:variant>
      <vt:variant>
        <vt:i4>5</vt:i4>
      </vt:variant>
      <vt:variant>
        <vt:lpwstr>https://twenty10.org.au/youth-services/</vt:lpwstr>
      </vt:variant>
      <vt:variant>
        <vt:lpwstr/>
      </vt:variant>
      <vt:variant>
        <vt:i4>786443</vt:i4>
      </vt:variant>
      <vt:variant>
        <vt:i4>801</vt:i4>
      </vt:variant>
      <vt:variant>
        <vt:i4>0</vt:i4>
      </vt:variant>
      <vt:variant>
        <vt:i4>5</vt:i4>
      </vt:variant>
      <vt:variant>
        <vt:lpwstr>https://www.psychologytoday.com/us/blog/political-minds/202201/the-evidence-trans-youth-gender-affirming-medical-care</vt:lpwstr>
      </vt:variant>
      <vt:variant>
        <vt:lpwstr/>
      </vt:variant>
      <vt:variant>
        <vt:i4>3080245</vt:i4>
      </vt:variant>
      <vt:variant>
        <vt:i4>798</vt:i4>
      </vt:variant>
      <vt:variant>
        <vt:i4>0</vt:i4>
      </vt:variant>
      <vt:variant>
        <vt:i4>5</vt:i4>
      </vt:variant>
      <vt:variant>
        <vt:lpwstr>https://someone.health/lgbtq-psychologists/</vt:lpwstr>
      </vt:variant>
      <vt:variant>
        <vt:lpwstr/>
      </vt:variant>
      <vt:variant>
        <vt:i4>2687011</vt:i4>
      </vt:variant>
      <vt:variant>
        <vt:i4>795</vt:i4>
      </vt:variant>
      <vt:variant>
        <vt:i4>0</vt:i4>
      </vt:variant>
      <vt:variant>
        <vt:i4>5</vt:i4>
      </vt:variant>
      <vt:variant>
        <vt:lpwstr>https://www.servicesaustralia.gov.au/mental-health-care-and-medicare?context=60092</vt:lpwstr>
      </vt:variant>
      <vt:variant>
        <vt:lpwstr/>
      </vt:variant>
      <vt:variant>
        <vt:i4>3932264</vt:i4>
      </vt:variant>
      <vt:variant>
        <vt:i4>792</vt:i4>
      </vt:variant>
      <vt:variant>
        <vt:i4>0</vt:i4>
      </vt:variant>
      <vt:variant>
        <vt:i4>5</vt:i4>
      </vt:variant>
      <vt:variant>
        <vt:lpwstr>https://www.rainbowhealthvic.org.au/media/pages/research-resources/research-matters-how-many-people-are-lgbtiq/4170611962-1612761890/researchmatters-numbers-lgbtiq.pdf</vt:lpwstr>
      </vt:variant>
      <vt:variant>
        <vt:lpwstr/>
      </vt:variant>
      <vt:variant>
        <vt:i4>7602276</vt:i4>
      </vt:variant>
      <vt:variant>
        <vt:i4>789</vt:i4>
      </vt:variant>
      <vt:variant>
        <vt:i4>0</vt:i4>
      </vt:variant>
      <vt:variant>
        <vt:i4>5</vt:i4>
      </vt:variant>
      <vt:variant>
        <vt:lpwstr>https://rainbowhealthaustralia.org.au/media/pages/research-resources/research-matters-trans-and-gender-diverse-health-and-wellbeing/80199998-1655786493/research-matters-trans-and-gender-diverse-health-and-wellbeing.pdf</vt:lpwstr>
      </vt:variant>
      <vt:variant>
        <vt:lpwstr/>
      </vt:variant>
      <vt:variant>
        <vt:i4>5832719</vt:i4>
      </vt:variant>
      <vt:variant>
        <vt:i4>786</vt:i4>
      </vt:variant>
      <vt:variant>
        <vt:i4>0</vt:i4>
      </vt:variant>
      <vt:variant>
        <vt:i4>5</vt:i4>
      </vt:variant>
      <vt:variant>
        <vt:lpwstr>https://www.qmhc.qld.gov.au/shifting-minds-2023-2028</vt:lpwstr>
      </vt:variant>
      <vt:variant>
        <vt:lpwstr/>
      </vt:variant>
      <vt:variant>
        <vt:i4>2097250</vt:i4>
      </vt:variant>
      <vt:variant>
        <vt:i4>783</vt:i4>
      </vt:variant>
      <vt:variant>
        <vt:i4>0</vt:i4>
      </vt:variant>
      <vt:variant>
        <vt:i4>5</vt:i4>
      </vt:variant>
      <vt:variant>
        <vt:lpwstr>https://www.qmhc.qld.gov.au/strategic-planning/action-plans/every-life-phase-one</vt:lpwstr>
      </vt:variant>
      <vt:variant>
        <vt:lpwstr>:~:text=The%20Every%20life%20plan%20recognises,of%20people%20with%20lived%20experience</vt:lpwstr>
      </vt:variant>
      <vt:variant>
        <vt:i4>2359334</vt:i4>
      </vt:variant>
      <vt:variant>
        <vt:i4>780</vt:i4>
      </vt:variant>
      <vt:variant>
        <vt:i4>0</vt:i4>
      </vt:variant>
      <vt:variant>
        <vt:i4>5</vt:i4>
      </vt:variant>
      <vt:variant>
        <vt:lpwstr>https://qlife.org.au/get-help/</vt:lpwstr>
      </vt:variant>
      <vt:variant>
        <vt:lpwstr/>
      </vt:variant>
      <vt:variant>
        <vt:i4>2883622</vt:i4>
      </vt:variant>
      <vt:variant>
        <vt:i4>777</vt:i4>
      </vt:variant>
      <vt:variant>
        <vt:i4>0</vt:i4>
      </vt:variant>
      <vt:variant>
        <vt:i4>5</vt:i4>
      </vt:variant>
      <vt:variant>
        <vt:lpwstr>https://pridefoundation.org.au/wp-content/uploads/2020/07/Pride-Foundation-Australia-Submission-Federal-Parliamentary-Inquiry-into-Homelessness-2020-final.pdf</vt:lpwstr>
      </vt:variant>
      <vt:variant>
        <vt:lpwstr/>
      </vt:variant>
      <vt:variant>
        <vt:i4>6488069</vt:i4>
      </vt:variant>
      <vt:variant>
        <vt:i4>774</vt:i4>
      </vt:variant>
      <vt:variant>
        <vt:i4>0</vt:i4>
      </vt:variant>
      <vt:variant>
        <vt:i4>5</vt:i4>
      </vt:variant>
      <vt:variant>
        <vt:lpwstr>https://www.health.nsw.gov.au/news/Pages/20220419_01.aspx</vt:lpwstr>
      </vt:variant>
      <vt:variant>
        <vt:lpwstr/>
      </vt:variant>
      <vt:variant>
        <vt:i4>7733361</vt:i4>
      </vt:variant>
      <vt:variant>
        <vt:i4>771</vt:i4>
      </vt:variant>
      <vt:variant>
        <vt:i4>0</vt:i4>
      </vt:variant>
      <vt:variant>
        <vt:i4>5</vt:i4>
      </vt:variant>
      <vt:variant>
        <vt:lpwstr>https://www.health.nsw.gov.au/lgbtiq-health/Publications/lgbtiq-health-summary.pdf</vt:lpwstr>
      </vt:variant>
      <vt:variant>
        <vt:lpwstr/>
      </vt:variant>
      <vt:variant>
        <vt:i4>6291566</vt:i4>
      </vt:variant>
      <vt:variant>
        <vt:i4>768</vt:i4>
      </vt:variant>
      <vt:variant>
        <vt:i4>0</vt:i4>
      </vt:variant>
      <vt:variant>
        <vt:i4>5</vt:i4>
      </vt:variant>
      <vt:variant>
        <vt:lpwstr>https://www.mentalhealthcommission.gov.au/Projects/stigma-and-discrimination-reduction-strategy</vt:lpwstr>
      </vt:variant>
      <vt:variant>
        <vt:lpwstr/>
      </vt:variant>
      <vt:variant>
        <vt:i4>2949217</vt:i4>
      </vt:variant>
      <vt:variant>
        <vt:i4>765</vt:i4>
      </vt:variant>
      <vt:variant>
        <vt:i4>0</vt:i4>
      </vt:variant>
      <vt:variant>
        <vt:i4>5</vt:i4>
      </vt:variant>
      <vt:variant>
        <vt:lpwstr>https://monashhealth.org/services/gender-clinic/questions/</vt:lpwstr>
      </vt:variant>
      <vt:variant>
        <vt:lpwstr/>
      </vt:variant>
      <vt:variant>
        <vt:i4>8060991</vt:i4>
      </vt:variant>
      <vt:variant>
        <vt:i4>762</vt:i4>
      </vt:variant>
      <vt:variant>
        <vt:i4>0</vt:i4>
      </vt:variant>
      <vt:variant>
        <vt:i4>5</vt:i4>
      </vt:variant>
      <vt:variant>
        <vt:lpwstr>https://doi.org/10.4102/hsag.v26i0.1487</vt:lpwstr>
      </vt:variant>
      <vt:variant>
        <vt:lpwstr/>
      </vt:variant>
      <vt:variant>
        <vt:i4>7536697</vt:i4>
      </vt:variant>
      <vt:variant>
        <vt:i4>759</vt:i4>
      </vt:variant>
      <vt:variant>
        <vt:i4>0</vt:i4>
      </vt:variant>
      <vt:variant>
        <vt:i4>5</vt:i4>
      </vt:variant>
      <vt:variant>
        <vt:lpwstr>https://doi.org/10.5204/ijcjsd.2225</vt:lpwstr>
      </vt:variant>
      <vt:variant>
        <vt:lpwstr/>
      </vt:variant>
      <vt:variant>
        <vt:i4>4194306</vt:i4>
      </vt:variant>
      <vt:variant>
        <vt:i4>756</vt:i4>
      </vt:variant>
      <vt:variant>
        <vt:i4>0</vt:i4>
      </vt:variant>
      <vt:variant>
        <vt:i4>5</vt:i4>
      </vt:variant>
      <vt:variant>
        <vt:lpwstr>https://mhanational.org/lgbtq/asexual-community-mental-health</vt:lpwstr>
      </vt:variant>
      <vt:variant>
        <vt:lpwstr>:~:text=Other%20research%20has%20found%20asexual,as%20compared%20to%20heterosexual%20individuals</vt:lpwstr>
      </vt:variant>
      <vt:variant>
        <vt:i4>7733309</vt:i4>
      </vt:variant>
      <vt:variant>
        <vt:i4>753</vt:i4>
      </vt:variant>
      <vt:variant>
        <vt:i4>0</vt:i4>
      </vt:variant>
      <vt:variant>
        <vt:i4>5</vt:i4>
      </vt:variant>
      <vt:variant>
        <vt:lpwstr>https://www.lgbtiqhealth.org.au/submission_to_abs_2026_census_topic_consultation_phase_two</vt:lpwstr>
      </vt:variant>
      <vt:variant>
        <vt:lpwstr/>
      </vt:variant>
      <vt:variant>
        <vt:i4>5701665</vt:i4>
      </vt:variant>
      <vt:variant>
        <vt:i4>750</vt:i4>
      </vt:variant>
      <vt:variant>
        <vt:i4>0</vt:i4>
      </vt:variant>
      <vt:variant>
        <vt:i4>5</vt:i4>
      </vt:variant>
      <vt:variant>
        <vt:lpwstr>https://www.lgbtiqhealth.org.au/understanding_suicide_among_tgd</vt:lpwstr>
      </vt:variant>
      <vt:variant>
        <vt:lpwstr/>
      </vt:variant>
      <vt:variant>
        <vt:i4>983061</vt:i4>
      </vt:variant>
      <vt:variant>
        <vt:i4>747</vt:i4>
      </vt:variant>
      <vt:variant>
        <vt:i4>0</vt:i4>
      </vt:variant>
      <vt:variant>
        <vt:i4>5</vt:i4>
      </vt:variant>
      <vt:variant>
        <vt:lpwstr>https://www.theguardian.com/australia-news/2019/oct/05/questions-about-sexual-orientation-and-gender-identity-dumped-from-census</vt:lpwstr>
      </vt:variant>
      <vt:variant>
        <vt:lpwstr/>
      </vt:variant>
      <vt:variant>
        <vt:i4>8192052</vt:i4>
      </vt:variant>
      <vt:variant>
        <vt:i4>744</vt:i4>
      </vt:variant>
      <vt:variant>
        <vt:i4>0</vt:i4>
      </vt:variant>
      <vt:variant>
        <vt:i4>5</vt:i4>
      </vt:variant>
      <vt:variant>
        <vt:lpwstr>https://www.herecompletely.com.au/lgbtq</vt:lpwstr>
      </vt:variant>
      <vt:variant>
        <vt:lpwstr/>
      </vt:variant>
      <vt:variant>
        <vt:i4>3997754</vt:i4>
      </vt:variant>
      <vt:variant>
        <vt:i4>741</vt:i4>
      </vt:variant>
      <vt:variant>
        <vt:i4>0</vt:i4>
      </vt:variant>
      <vt:variant>
        <vt:i4>5</vt:i4>
      </vt:variant>
      <vt:variant>
        <vt:lpwstr>https://headspace.org.au/our-impact/campaigns/lgbtiqaplus/</vt:lpwstr>
      </vt:variant>
      <vt:variant>
        <vt:lpwstr/>
      </vt:variant>
      <vt:variant>
        <vt:i4>1114199</vt:i4>
      </vt:variant>
      <vt:variant>
        <vt:i4>738</vt:i4>
      </vt:variant>
      <vt:variant>
        <vt:i4>0</vt:i4>
      </vt:variant>
      <vt:variant>
        <vt:i4>5</vt:i4>
      </vt:variant>
      <vt:variant>
        <vt:lpwstr>https://doi.org/10.1177/00048674221104744</vt:lpwstr>
      </vt:variant>
      <vt:variant>
        <vt:lpwstr/>
      </vt:variant>
      <vt:variant>
        <vt:i4>1507336</vt:i4>
      </vt:variant>
      <vt:variant>
        <vt:i4>735</vt:i4>
      </vt:variant>
      <vt:variant>
        <vt:i4>0</vt:i4>
      </vt:variant>
      <vt:variant>
        <vt:i4>5</vt:i4>
      </vt:variant>
      <vt:variant>
        <vt:lpwstr>https://www.grants.gov.au/Go/Show?GoUuid=e69dca85-1fcb-4e39-872d-b1ced05bb58b</vt:lpwstr>
      </vt:variant>
      <vt:variant>
        <vt:lpwstr/>
      </vt:variant>
      <vt:variant>
        <vt:i4>8257647</vt:i4>
      </vt:variant>
      <vt:variant>
        <vt:i4>732</vt:i4>
      </vt:variant>
      <vt:variant>
        <vt:i4>0</vt:i4>
      </vt:variant>
      <vt:variant>
        <vt:i4>5</vt:i4>
      </vt:variant>
      <vt:variant>
        <vt:lpwstr>https://www.sahealth.sa.gov.au/wps/wcm/connect/public+content/sa+health+internet/about+us/publications+and+resources/plans/sa+mental+health+services+plan/sa+health+mental+health+services+plan</vt:lpwstr>
      </vt:variant>
      <vt:variant>
        <vt:lpwstr/>
      </vt:variant>
      <vt:variant>
        <vt:i4>5308486</vt:i4>
      </vt:variant>
      <vt:variant>
        <vt:i4>729</vt:i4>
      </vt:variant>
      <vt:variant>
        <vt:i4>0</vt:i4>
      </vt:variant>
      <vt:variant>
        <vt:i4>5</vt:i4>
      </vt:variant>
      <vt:variant>
        <vt:lpwstr>https://doi.org/10.1016/j.copsyc.2023.101579</vt:lpwstr>
      </vt:variant>
      <vt:variant>
        <vt:lpwstr/>
      </vt:variant>
      <vt:variant>
        <vt:i4>4915210</vt:i4>
      </vt:variant>
      <vt:variant>
        <vt:i4>726</vt:i4>
      </vt:variant>
      <vt:variant>
        <vt:i4>0</vt:i4>
      </vt:variant>
      <vt:variant>
        <vt:i4>5</vt:i4>
      </vt:variant>
      <vt:variant>
        <vt:lpwstr>https://www.evolves.com.au/aboriginal-diversity/</vt:lpwstr>
      </vt:variant>
      <vt:variant>
        <vt:lpwstr/>
      </vt:variant>
      <vt:variant>
        <vt:i4>3473510</vt:i4>
      </vt:variant>
      <vt:variant>
        <vt:i4>723</vt:i4>
      </vt:variant>
      <vt:variant>
        <vt:i4>0</vt:i4>
      </vt:variant>
      <vt:variant>
        <vt:i4>5</vt:i4>
      </vt:variant>
      <vt:variant>
        <vt:lpwstr>https://equalityaustralia.org.au/abs-admits-new-recommendations-required-to-count-lgbtiq-people-properly-in-census/</vt:lpwstr>
      </vt:variant>
      <vt:variant>
        <vt:lpwstr/>
      </vt:variant>
      <vt:variant>
        <vt:i4>6422568</vt:i4>
      </vt:variant>
      <vt:variant>
        <vt:i4>720</vt:i4>
      </vt:variant>
      <vt:variant>
        <vt:i4>0</vt:i4>
      </vt:variant>
      <vt:variant>
        <vt:i4>5</vt:i4>
      </vt:variant>
      <vt:variant>
        <vt:lpwstr>https://ministers.ag.gov.au/media-centre/australian-law-reform-commission-review-religious-exemptions-educational-institutions-extended-20-04-2023</vt:lpwstr>
      </vt:variant>
      <vt:variant>
        <vt:lpwstr/>
      </vt:variant>
      <vt:variant>
        <vt:i4>262162</vt:i4>
      </vt:variant>
      <vt:variant>
        <vt:i4>717</vt:i4>
      </vt:variant>
      <vt:variant>
        <vt:i4>0</vt:i4>
      </vt:variant>
      <vt:variant>
        <vt:i4>5</vt:i4>
      </vt:variant>
      <vt:variant>
        <vt:lpwstr>https://www.health.gov.au/ministers/the-hon-mark-butler-mp/media/pathway-to-better-health-for-lgbtiqa-communities</vt:lpwstr>
      </vt:variant>
      <vt:variant>
        <vt:lpwstr/>
      </vt:variant>
      <vt:variant>
        <vt:i4>7667740</vt:i4>
      </vt:variant>
      <vt:variant>
        <vt:i4>714</vt:i4>
      </vt:variant>
      <vt:variant>
        <vt:i4>0</vt:i4>
      </vt:variant>
      <vt:variant>
        <vt:i4>5</vt:i4>
      </vt:variant>
      <vt:variant>
        <vt:lpwstr>https://www.meridianact.org.au/role_of_lgbtiqa_peer_led_services</vt:lpwstr>
      </vt:variant>
      <vt:variant>
        <vt:lpwstr/>
      </vt:variant>
      <vt:variant>
        <vt:i4>5308506</vt:i4>
      </vt:variant>
      <vt:variant>
        <vt:i4>711</vt:i4>
      </vt:variant>
      <vt:variant>
        <vt:i4>0</vt:i4>
      </vt:variant>
      <vt:variant>
        <vt:i4>5</vt:i4>
      </vt:variant>
      <vt:variant>
        <vt:lpwstr>https://www.cetc.org.au/the-needs-of-lgbtiq-young-people-in-out-of-home-care-research-brief/</vt:lpwstr>
      </vt:variant>
      <vt:variant>
        <vt:lpwstr/>
      </vt:variant>
      <vt:variant>
        <vt:i4>3276920</vt:i4>
      </vt:variant>
      <vt:variant>
        <vt:i4>708</vt:i4>
      </vt:variant>
      <vt:variant>
        <vt:i4>0</vt:i4>
      </vt:variant>
      <vt:variant>
        <vt:i4>5</vt:i4>
      </vt:variant>
      <vt:variant>
        <vt:lpwstr>https://www.aihw.gov.au/reports/australias-health/social-determinants-of-health</vt:lpwstr>
      </vt:variant>
      <vt:variant>
        <vt:lpwstr/>
      </vt:variant>
      <vt:variant>
        <vt:i4>3145767</vt:i4>
      </vt:variant>
      <vt:variant>
        <vt:i4>705</vt:i4>
      </vt:variant>
      <vt:variant>
        <vt:i4>0</vt:i4>
      </vt:variant>
      <vt:variant>
        <vt:i4>5</vt:i4>
      </vt:variant>
      <vt:variant>
        <vt:lpwstr>https://www.aihw.gov.au/reports/alcohol/alcohol-tobacco-other-drugs-australia/contents/population-groups-of-interest/patterns-of-consumption-by-drug-type</vt:lpwstr>
      </vt:variant>
      <vt:variant>
        <vt:lpwstr>tobacco</vt:lpwstr>
      </vt:variant>
      <vt:variant>
        <vt:i4>1310784</vt:i4>
      </vt:variant>
      <vt:variant>
        <vt:i4>702</vt:i4>
      </vt:variant>
      <vt:variant>
        <vt:i4>0</vt:i4>
      </vt:variant>
      <vt:variant>
        <vt:i4>5</vt:i4>
      </vt:variant>
      <vt:variant>
        <vt:lpwstr>https://humanrights.gov.au/sites/default/files/document/publication/SOGII Rights Report 2015_Web_Version.pdf</vt:lpwstr>
      </vt:variant>
      <vt:variant>
        <vt:lpwstr/>
      </vt:variant>
      <vt:variant>
        <vt:i4>6553649</vt:i4>
      </vt:variant>
      <vt:variant>
        <vt:i4>699</vt:i4>
      </vt:variant>
      <vt:variant>
        <vt:i4>0</vt:i4>
      </vt:variant>
      <vt:variant>
        <vt:i4>5</vt:i4>
      </vt:variant>
      <vt:variant>
        <vt:lpwstr>https://humanrights.gov.au/about/news/media-releases/commission-welcomes-resolution-census-inclusion-complaint</vt:lpwstr>
      </vt:variant>
      <vt:variant>
        <vt:lpwstr/>
      </vt:variant>
      <vt:variant>
        <vt:i4>4980812</vt:i4>
      </vt:variant>
      <vt:variant>
        <vt:i4>696</vt:i4>
      </vt:variant>
      <vt:variant>
        <vt:i4>0</vt:i4>
      </vt:variant>
      <vt:variant>
        <vt:i4>5</vt:i4>
      </vt:variant>
      <vt:variant>
        <vt:lpwstr>https://www.psychiatry.org/psychiatrists/diversity/education/transgender-and-gender-nonconforming-patients/gender-dysphoria-diagnosis</vt:lpwstr>
      </vt:variant>
      <vt:variant>
        <vt:lpwstr/>
      </vt:variant>
      <vt:variant>
        <vt:i4>5767232</vt:i4>
      </vt:variant>
      <vt:variant>
        <vt:i4>693</vt:i4>
      </vt:variant>
      <vt:variant>
        <vt:i4>0</vt:i4>
      </vt:variant>
      <vt:variant>
        <vt:i4>5</vt:i4>
      </vt:variant>
      <vt:variant>
        <vt:lpwstr>https://doi.org/10.1016/j.chiabu.2022.105660</vt:lpwstr>
      </vt:variant>
      <vt:variant>
        <vt:lpwstr/>
      </vt:variant>
      <vt:variant>
        <vt:i4>5046347</vt:i4>
      </vt:variant>
      <vt:variant>
        <vt:i4>690</vt:i4>
      </vt:variant>
      <vt:variant>
        <vt:i4>0</vt:i4>
      </vt:variant>
      <vt:variant>
        <vt:i4>5</vt:i4>
      </vt:variant>
      <vt:variant>
        <vt:lpwstr>https://psychology.org.au/community/advocacy-social-issues/lesbian-gay-bisexual-transgender-intersex</vt:lpwstr>
      </vt:variant>
      <vt:variant>
        <vt:lpwstr/>
      </vt:variant>
      <vt:variant>
        <vt:i4>3276920</vt:i4>
      </vt:variant>
      <vt:variant>
        <vt:i4>687</vt:i4>
      </vt:variant>
      <vt:variant>
        <vt:i4>0</vt:i4>
      </vt:variant>
      <vt:variant>
        <vt:i4>5</vt:i4>
      </vt:variant>
      <vt:variant>
        <vt:lpwstr>https://www.aihw.gov.au/reports/australias-health/social-determinants-of-health</vt:lpwstr>
      </vt:variant>
      <vt:variant>
        <vt:lpwstr/>
      </vt:variant>
      <vt:variant>
        <vt:i4>2031638</vt:i4>
      </vt:variant>
      <vt:variant>
        <vt:i4>684</vt:i4>
      </vt:variant>
      <vt:variant>
        <vt:i4>0</vt:i4>
      </vt:variant>
      <vt:variant>
        <vt:i4>5</vt:i4>
      </vt:variant>
      <vt:variant>
        <vt:lpwstr>https://www.aihw.gov.au/mental-health/overview/mental-health-services</vt:lpwstr>
      </vt:variant>
      <vt:variant>
        <vt:lpwstr/>
      </vt:variant>
      <vt:variant>
        <vt:i4>1769487</vt:i4>
      </vt:variant>
      <vt:variant>
        <vt:i4>681</vt:i4>
      </vt:variant>
      <vt:variant>
        <vt:i4>0</vt:i4>
      </vt:variant>
      <vt:variant>
        <vt:i4>5</vt:i4>
      </vt:variant>
      <vt:variant>
        <vt:lpwstr>https://www.abs.gov.au/media-centre/media-statements/statement-regret-2021-census</vt:lpwstr>
      </vt:variant>
      <vt:variant>
        <vt:lpwstr/>
      </vt:variant>
      <vt:variant>
        <vt:i4>1114117</vt:i4>
      </vt:variant>
      <vt:variant>
        <vt:i4>678</vt:i4>
      </vt:variant>
      <vt:variant>
        <vt:i4>0</vt:i4>
      </vt:variant>
      <vt:variant>
        <vt:i4>5</vt:i4>
      </vt:variant>
      <vt:variant>
        <vt:lpwstr>https://www.abs.gov.au/statistics/health/mental-health/national-study-mental-health-and-wellbeing/latest-release</vt:lpwstr>
      </vt:variant>
      <vt:variant>
        <vt:lpwstr/>
      </vt:variant>
      <vt:variant>
        <vt:i4>2359338</vt:i4>
      </vt:variant>
      <vt:variant>
        <vt:i4>675</vt:i4>
      </vt:variant>
      <vt:variant>
        <vt:i4>0</vt:i4>
      </vt:variant>
      <vt:variant>
        <vt:i4>5</vt:i4>
      </vt:variant>
      <vt:variant>
        <vt:lpwstr>https://www.abs.gov.au/statistics/labour/employment-and-unemployment/labour-force-australia/latest-release</vt:lpwstr>
      </vt:variant>
      <vt:variant>
        <vt:lpwstr/>
      </vt:variant>
      <vt:variant>
        <vt:i4>6357044</vt:i4>
      </vt:variant>
      <vt:variant>
        <vt:i4>672</vt:i4>
      </vt:variant>
      <vt:variant>
        <vt:i4>0</vt:i4>
      </vt:variant>
      <vt:variant>
        <vt:i4>5</vt:i4>
      </vt:variant>
      <vt:variant>
        <vt:lpwstr>https://www.abs.gov.au/statistics/people/people-and-communities/general-social-survey-summary-results-australia/latest-release</vt:lpwstr>
      </vt:variant>
      <vt:variant>
        <vt:lpwstr/>
      </vt:variant>
      <vt:variant>
        <vt:i4>5636178</vt:i4>
      </vt:variant>
      <vt:variant>
        <vt:i4>669</vt:i4>
      </vt:variant>
      <vt:variant>
        <vt:i4>0</vt:i4>
      </vt:variant>
      <vt:variant>
        <vt:i4>5</vt:i4>
      </vt:variant>
      <vt:variant>
        <vt:lpwstr>https://www.cmtedd.act.gov.au/policystrategic/the-office-of-lgbtiq-affairs/capital-of-equality-act-government-lgbtiq-strategy</vt:lpwstr>
      </vt:variant>
      <vt:variant>
        <vt:lpwstr>:~:text=In%202019%20the%20ACT%20Government,are%20visible%2C%20valued%2C%20respected.</vt:lpwstr>
      </vt:variant>
      <vt:variant>
        <vt:i4>7864419</vt:i4>
      </vt:variant>
      <vt:variant>
        <vt:i4>666</vt:i4>
      </vt:variant>
      <vt:variant>
        <vt:i4>0</vt:i4>
      </vt:variant>
      <vt:variant>
        <vt:i4>5</vt:i4>
      </vt:variant>
      <vt:variant>
        <vt:lpwstr>https://www.acon.org.au/what-we-are-here-for/mental-health/</vt:lpwstr>
      </vt:variant>
      <vt:variant>
        <vt:lpwstr>lgbti-counselling</vt:lpwstr>
      </vt:variant>
      <vt:variant>
        <vt:i4>3801145</vt:i4>
      </vt:variant>
      <vt:variant>
        <vt:i4>663</vt:i4>
      </vt:variant>
      <vt:variant>
        <vt:i4>0</vt:i4>
      </vt:variant>
      <vt:variant>
        <vt:i4>5</vt:i4>
      </vt:variant>
      <vt:variant>
        <vt:lpwstr>https://acesandaros.org/learn/the-asexual-umbrella</vt:lpwstr>
      </vt:variant>
      <vt:variant>
        <vt:lpwstr/>
      </vt:variant>
      <vt:variant>
        <vt:i4>4456457</vt:i4>
      </vt:variant>
      <vt:variant>
        <vt:i4>660</vt:i4>
      </vt:variant>
      <vt:variant>
        <vt:i4>0</vt:i4>
      </vt:variant>
      <vt:variant>
        <vt:i4>5</vt:i4>
      </vt:variant>
      <vt:variant>
        <vt:lpwstr>https://aci.health.nsw.gov.au/networks/mental-health/trauma-informed-care/self-assessment</vt:lpwstr>
      </vt:variant>
      <vt:variant>
        <vt:lpwstr/>
      </vt:variant>
      <vt:variant>
        <vt:i4>5439603</vt:i4>
      </vt:variant>
      <vt:variant>
        <vt:i4>657</vt:i4>
      </vt:variant>
      <vt:variant>
        <vt:i4>0</vt:i4>
      </vt:variant>
      <vt:variant>
        <vt:i4>5</vt:i4>
      </vt:variant>
      <vt:variant>
        <vt:lpwstr>https://aci.health.nsw.gov.au/__data/assets/pdf_file/0006/719871/ACI-Trauma-informed-care-and-practice-in-mental-health-services-across-NSW-Framework.pdf</vt:lpwstr>
      </vt:variant>
      <vt:variant>
        <vt:lpwstr/>
      </vt:variant>
      <vt:variant>
        <vt:i4>6684717</vt:i4>
      </vt:variant>
      <vt:variant>
        <vt:i4>654</vt:i4>
      </vt:variant>
      <vt:variant>
        <vt:i4>0</vt:i4>
      </vt:variant>
      <vt:variant>
        <vt:i4>5</vt:i4>
      </vt:variant>
      <vt:variant>
        <vt:lpwstr>https://www.mentalhealthcommission.gov.au/getmedia/ad54b39b-ea46-458d-a1e6-71623f53accd/Vision-2030</vt:lpwstr>
      </vt:variant>
      <vt:variant>
        <vt:lpwstr/>
      </vt:variant>
      <vt:variant>
        <vt:i4>3014719</vt:i4>
      </vt:variant>
      <vt:variant>
        <vt:i4>651</vt:i4>
      </vt:variant>
      <vt:variant>
        <vt:i4>0</vt:i4>
      </vt:variant>
      <vt:variant>
        <vt:i4>5</vt:i4>
      </vt:variant>
      <vt:variant>
        <vt:lpwstr>https://rainbowhealthaustralia.org.au/rainbow-tick</vt:lpwstr>
      </vt:variant>
      <vt:variant>
        <vt:lpwstr>:~:text=The%20Rainbow%20Tick%20is%20a,to%20build%20lasting%20LGBTIQ%20inclusion.</vt:lpwstr>
      </vt:variant>
      <vt:variant>
        <vt:i4>589904</vt:i4>
      </vt:variant>
      <vt:variant>
        <vt:i4>648</vt:i4>
      </vt:variant>
      <vt:variant>
        <vt:i4>0</vt:i4>
      </vt:variant>
      <vt:variant>
        <vt:i4>5</vt:i4>
      </vt:variant>
      <vt:variant>
        <vt:lpwstr>https://www.housing.qld.gov.au/about/initiatives/lgbti-roundtable</vt:lpwstr>
      </vt:variant>
      <vt:variant>
        <vt:lpwstr/>
      </vt:variant>
      <vt:variant>
        <vt:i4>7798907</vt:i4>
      </vt:variant>
      <vt:variant>
        <vt:i4>645</vt:i4>
      </vt:variant>
      <vt:variant>
        <vt:i4>0</vt:i4>
      </vt:variant>
      <vt:variant>
        <vt:i4>5</vt:i4>
      </vt:variant>
      <vt:variant>
        <vt:lpwstr>https://www.vic.gov.au/lgbtiq-taskforce</vt:lpwstr>
      </vt:variant>
      <vt:variant>
        <vt:lpwstr/>
      </vt:variant>
      <vt:variant>
        <vt:i4>7012406</vt:i4>
      </vt:variant>
      <vt:variant>
        <vt:i4>642</vt:i4>
      </vt:variant>
      <vt:variant>
        <vt:i4>0</vt:i4>
      </vt:variant>
      <vt:variant>
        <vt:i4>5</vt:i4>
      </vt:variant>
      <vt:variant>
        <vt:lpwstr>https://mhrm.mhcc.org.au/chapters/8-people-with-mental-health-and-co-existing-conditions/8i-lgbtiq-people-and-mental-health-conditions/https:/mhrm.mhcc.org.au/chapters/8-people-with-mental-health-and-co-existing-conditions/8i-lgbtiq-people-and-mental-health-conditions/</vt:lpwstr>
      </vt:variant>
      <vt:variant>
        <vt:lpwstr/>
      </vt:variant>
      <vt:variant>
        <vt:i4>7864332</vt:i4>
      </vt:variant>
      <vt:variant>
        <vt:i4>639</vt:i4>
      </vt:variant>
      <vt:variant>
        <vt:i4>0</vt:i4>
      </vt:variant>
      <vt:variant>
        <vt:i4>5</vt:i4>
      </vt:variant>
      <vt:variant>
        <vt:lpwstr>https://www.lgbtiqhealth.org.au/beyond_urgent_national_lgbtiq_mhsp_strategy</vt:lpwstr>
      </vt:variant>
      <vt:variant>
        <vt:lpwstr/>
      </vt:variant>
      <vt:variant>
        <vt:i4>5308506</vt:i4>
      </vt:variant>
      <vt:variant>
        <vt:i4>636</vt:i4>
      </vt:variant>
      <vt:variant>
        <vt:i4>0</vt:i4>
      </vt:variant>
      <vt:variant>
        <vt:i4>5</vt:i4>
      </vt:variant>
      <vt:variant>
        <vt:lpwstr>https://www.cetc.org.au/the-needs-of-lgbtiq-young-people-in-out-of-home-care-research-brief/</vt:lpwstr>
      </vt:variant>
      <vt:variant>
        <vt:lpwstr/>
      </vt:variant>
      <vt:variant>
        <vt:i4>7405622</vt:i4>
      </vt:variant>
      <vt:variant>
        <vt:i4>633</vt:i4>
      </vt:variant>
      <vt:variant>
        <vt:i4>0</vt:i4>
      </vt:variant>
      <vt:variant>
        <vt:i4>5</vt:i4>
      </vt:variant>
      <vt:variant>
        <vt:lpwstr>https://d3n8a8pro7vhmx.cloudfront.net/lgbtihealth/pages/663/attachments/original/1604283772/LGBTQIHomelessness_GUIDE_Final-March2020.pdf?1604283772</vt:lpwstr>
      </vt:variant>
      <vt:variant>
        <vt:lpwstr/>
      </vt:variant>
      <vt:variant>
        <vt:i4>3276922</vt:i4>
      </vt:variant>
      <vt:variant>
        <vt:i4>630</vt:i4>
      </vt:variant>
      <vt:variant>
        <vt:i4>0</vt:i4>
      </vt:variant>
      <vt:variant>
        <vt:i4>5</vt:i4>
      </vt:variant>
      <vt:variant>
        <vt:lpwstr>https://albanypride.com.au/events/</vt:lpwstr>
      </vt:variant>
      <vt:variant>
        <vt:lpwstr/>
      </vt:variant>
      <vt:variant>
        <vt:i4>2359399</vt:i4>
      </vt:variant>
      <vt:variant>
        <vt:i4>627</vt:i4>
      </vt:variant>
      <vt:variant>
        <vt:i4>0</vt:i4>
      </vt:variant>
      <vt:variant>
        <vt:i4>5</vt:i4>
      </vt:variant>
      <vt:variant>
        <vt:lpwstr>https://www.switchboard.org.au/lgbtiolderpeople</vt:lpwstr>
      </vt:variant>
      <vt:variant>
        <vt:lpwstr/>
      </vt:variant>
      <vt:variant>
        <vt:i4>262229</vt:i4>
      </vt:variant>
      <vt:variant>
        <vt:i4>624</vt:i4>
      </vt:variant>
      <vt:variant>
        <vt:i4>0</vt:i4>
      </vt:variant>
      <vt:variant>
        <vt:i4>5</vt:i4>
      </vt:variant>
      <vt:variant>
        <vt:lpwstr>https://fdpn.org.au/queer-sisterhood/</vt:lpwstr>
      </vt:variant>
      <vt:variant>
        <vt:lpwstr/>
      </vt:variant>
      <vt:variant>
        <vt:i4>1441913</vt:i4>
      </vt:variant>
      <vt:variant>
        <vt:i4>621</vt:i4>
      </vt:variant>
      <vt:variant>
        <vt:i4>0</vt:i4>
      </vt:variant>
      <vt:variant>
        <vt:i4>5</vt:i4>
      </vt:variant>
      <vt:variant>
        <vt:lpwstr>https://www.instagram.com/p/CrJlXUTIMDp/?img_index=1</vt:lpwstr>
      </vt:variant>
      <vt:variant>
        <vt:lpwstr/>
      </vt:variant>
      <vt:variant>
        <vt:i4>1572882</vt:i4>
      </vt:variant>
      <vt:variant>
        <vt:i4>618</vt:i4>
      </vt:variant>
      <vt:variant>
        <vt:i4>0</vt:i4>
      </vt:variant>
      <vt:variant>
        <vt:i4>5</vt:i4>
      </vt:variant>
      <vt:variant>
        <vt:lpwstr>https://www.transhub.org.au/mental-health</vt:lpwstr>
      </vt:variant>
      <vt:variant>
        <vt:lpwstr/>
      </vt:variant>
      <vt:variant>
        <vt:i4>5701725</vt:i4>
      </vt:variant>
      <vt:variant>
        <vt:i4>615</vt:i4>
      </vt:variant>
      <vt:variant>
        <vt:i4>0</vt:i4>
      </vt:variant>
      <vt:variant>
        <vt:i4>5</vt:i4>
      </vt:variant>
      <vt:variant>
        <vt:lpwstr>https://here.org.au/</vt:lpwstr>
      </vt:variant>
      <vt:variant>
        <vt:lpwstr/>
      </vt:variant>
      <vt:variant>
        <vt:i4>3997754</vt:i4>
      </vt:variant>
      <vt:variant>
        <vt:i4>612</vt:i4>
      </vt:variant>
      <vt:variant>
        <vt:i4>0</vt:i4>
      </vt:variant>
      <vt:variant>
        <vt:i4>5</vt:i4>
      </vt:variant>
      <vt:variant>
        <vt:lpwstr>https://headspace.org.au/our-impact/campaigns/lgbtiqaplus/</vt:lpwstr>
      </vt:variant>
      <vt:variant>
        <vt:lpwstr/>
      </vt:variant>
      <vt:variant>
        <vt:i4>3735607</vt:i4>
      </vt:variant>
      <vt:variant>
        <vt:i4>609</vt:i4>
      </vt:variant>
      <vt:variant>
        <vt:i4>0</vt:i4>
      </vt:variant>
      <vt:variant>
        <vt:i4>5</vt:i4>
      </vt:variant>
      <vt:variant>
        <vt:lpwstr>https://www.switchboard.org.au/</vt:lpwstr>
      </vt:variant>
      <vt:variant>
        <vt:lpwstr/>
      </vt:variant>
      <vt:variant>
        <vt:i4>6160403</vt:i4>
      </vt:variant>
      <vt:variant>
        <vt:i4>606</vt:i4>
      </vt:variant>
      <vt:variant>
        <vt:i4>0</vt:i4>
      </vt:variant>
      <vt:variant>
        <vt:i4>5</vt:i4>
      </vt:variant>
      <vt:variant>
        <vt:lpwstr>https://www.twenty10.org.au/</vt:lpwstr>
      </vt:variant>
      <vt:variant>
        <vt:lpwstr/>
      </vt:variant>
      <vt:variant>
        <vt:i4>1507410</vt:i4>
      </vt:variant>
      <vt:variant>
        <vt:i4>603</vt:i4>
      </vt:variant>
      <vt:variant>
        <vt:i4>0</vt:i4>
      </vt:variant>
      <vt:variant>
        <vt:i4>5</vt:i4>
      </vt:variant>
      <vt:variant>
        <vt:lpwstr>http://www.diversevoices.org.au/</vt:lpwstr>
      </vt:variant>
      <vt:variant>
        <vt:lpwstr/>
      </vt:variant>
      <vt:variant>
        <vt:i4>3080230</vt:i4>
      </vt:variant>
      <vt:variant>
        <vt:i4>600</vt:i4>
      </vt:variant>
      <vt:variant>
        <vt:i4>0</vt:i4>
      </vt:variant>
      <vt:variant>
        <vt:i4>5</vt:i4>
      </vt:variant>
      <vt:variant>
        <vt:lpwstr>https://www.livingproud.org.au/</vt:lpwstr>
      </vt:variant>
      <vt:variant>
        <vt:lpwstr/>
      </vt:variant>
      <vt:variant>
        <vt:i4>2359334</vt:i4>
      </vt:variant>
      <vt:variant>
        <vt:i4>597</vt:i4>
      </vt:variant>
      <vt:variant>
        <vt:i4>0</vt:i4>
      </vt:variant>
      <vt:variant>
        <vt:i4>5</vt:i4>
      </vt:variant>
      <vt:variant>
        <vt:lpwstr>https://qlife.org.au/get-help/</vt:lpwstr>
      </vt:variant>
      <vt:variant>
        <vt:lpwstr/>
      </vt:variant>
      <vt:variant>
        <vt:i4>196637</vt:i4>
      </vt:variant>
      <vt:variant>
        <vt:i4>594</vt:i4>
      </vt:variant>
      <vt:variant>
        <vt:i4>0</vt:i4>
      </vt:variant>
      <vt:variant>
        <vt:i4>5</vt:i4>
      </vt:variant>
      <vt:variant>
        <vt:lpwstr>https://monashhealth.org/services/gender-clinic/</vt:lpwstr>
      </vt:variant>
      <vt:variant>
        <vt:lpwstr/>
      </vt:variant>
      <vt:variant>
        <vt:i4>3080245</vt:i4>
      </vt:variant>
      <vt:variant>
        <vt:i4>591</vt:i4>
      </vt:variant>
      <vt:variant>
        <vt:i4>0</vt:i4>
      </vt:variant>
      <vt:variant>
        <vt:i4>5</vt:i4>
      </vt:variant>
      <vt:variant>
        <vt:lpwstr>https://someone.health/lgbtq-psychologists/</vt:lpwstr>
      </vt:variant>
      <vt:variant>
        <vt:lpwstr/>
      </vt:variant>
      <vt:variant>
        <vt:i4>8126505</vt:i4>
      </vt:variant>
      <vt:variant>
        <vt:i4>588</vt:i4>
      </vt:variant>
      <vt:variant>
        <vt:i4>0</vt:i4>
      </vt:variant>
      <vt:variant>
        <vt:i4>5</vt:i4>
      </vt:variant>
      <vt:variant>
        <vt:lpwstr>https://www.herecompletely.com.au/lgbtq</vt:lpwstr>
      </vt:variant>
      <vt:variant>
        <vt:lpwstr>lgbtproviders</vt:lpwstr>
      </vt:variant>
      <vt:variant>
        <vt:i4>3080312</vt:i4>
      </vt:variant>
      <vt:variant>
        <vt:i4>585</vt:i4>
      </vt:variant>
      <vt:variant>
        <vt:i4>0</vt:i4>
      </vt:variant>
      <vt:variant>
        <vt:i4>5</vt:i4>
      </vt:variant>
      <vt:variant>
        <vt:lpwstr>https://pridecentre.org.au/resources/q-psychology/</vt:lpwstr>
      </vt:variant>
      <vt:variant>
        <vt:lpwstr/>
      </vt:variant>
      <vt:variant>
        <vt:i4>262167</vt:i4>
      </vt:variant>
      <vt:variant>
        <vt:i4>582</vt:i4>
      </vt:variant>
      <vt:variant>
        <vt:i4>0</vt:i4>
      </vt:variant>
      <vt:variant>
        <vt:i4>5</vt:i4>
      </vt:variant>
      <vt:variant>
        <vt:lpwstr>https://westvicphn.com.au/health-professionals/health-topics/priority-populations/lgbtiq/</vt:lpwstr>
      </vt:variant>
      <vt:variant>
        <vt:lpwstr/>
      </vt:variant>
      <vt:variant>
        <vt:i4>5898325</vt:i4>
      </vt:variant>
      <vt:variant>
        <vt:i4>579</vt:i4>
      </vt:variant>
      <vt:variant>
        <vt:i4>0</vt:i4>
      </vt:variant>
      <vt:variant>
        <vt:i4>5</vt:i4>
      </vt:variant>
      <vt:variant>
        <vt:lpwstr>https://www.wmq.org.au/mental-health/supporting-minds</vt:lpwstr>
      </vt:variant>
      <vt:variant>
        <vt:lpwstr/>
      </vt:variant>
      <vt:variant>
        <vt:i4>4849732</vt:i4>
      </vt:variant>
      <vt:variant>
        <vt:i4>576</vt:i4>
      </vt:variant>
      <vt:variant>
        <vt:i4>0</vt:i4>
      </vt:variant>
      <vt:variant>
        <vt:i4>5</vt:i4>
      </vt:variant>
      <vt:variant>
        <vt:lpwstr>https://blaq.org.au/</vt:lpwstr>
      </vt:variant>
      <vt:variant>
        <vt:lpwstr/>
      </vt:variant>
      <vt:variant>
        <vt:i4>6226003</vt:i4>
      </vt:variant>
      <vt:variant>
        <vt:i4>573</vt:i4>
      </vt:variant>
      <vt:variant>
        <vt:i4>0</vt:i4>
      </vt:variant>
      <vt:variant>
        <vt:i4>5</vt:i4>
      </vt:variant>
      <vt:variant>
        <vt:lpwstr>https://www.opendoors.net.au/about-open-doors-youth-service/</vt:lpwstr>
      </vt:variant>
      <vt:variant>
        <vt:lpwstr/>
      </vt:variant>
      <vt:variant>
        <vt:i4>7929976</vt:i4>
      </vt:variant>
      <vt:variant>
        <vt:i4>570</vt:i4>
      </vt:variant>
      <vt:variant>
        <vt:i4>0</vt:i4>
      </vt:variant>
      <vt:variant>
        <vt:i4>5</vt:i4>
      </vt:variant>
      <vt:variant>
        <vt:lpwstr>https://www.waac.com.au/what-we-do/freedom-centre/</vt:lpwstr>
      </vt:variant>
      <vt:variant>
        <vt:lpwstr/>
      </vt:variant>
      <vt:variant>
        <vt:i4>458771</vt:i4>
      </vt:variant>
      <vt:variant>
        <vt:i4>567</vt:i4>
      </vt:variant>
      <vt:variant>
        <vt:i4>0</vt:i4>
      </vt:variant>
      <vt:variant>
        <vt:i4>5</vt:i4>
      </vt:variant>
      <vt:variant>
        <vt:lpwstr>https://twenty10.org.au/</vt:lpwstr>
      </vt:variant>
      <vt:variant>
        <vt:lpwstr/>
      </vt:variant>
      <vt:variant>
        <vt:i4>7798896</vt:i4>
      </vt:variant>
      <vt:variant>
        <vt:i4>564</vt:i4>
      </vt:variant>
      <vt:variant>
        <vt:i4>0</vt:i4>
      </vt:variant>
      <vt:variant>
        <vt:i4>5</vt:i4>
      </vt:variant>
      <vt:variant>
        <vt:lpwstr>https://thorneharbour.org/about/who-we-are/</vt:lpwstr>
      </vt:variant>
      <vt:variant>
        <vt:lpwstr/>
      </vt:variant>
      <vt:variant>
        <vt:i4>2097252</vt:i4>
      </vt:variant>
      <vt:variant>
        <vt:i4>561</vt:i4>
      </vt:variant>
      <vt:variant>
        <vt:i4>0</vt:i4>
      </vt:variant>
      <vt:variant>
        <vt:i4>5</vt:i4>
      </vt:variant>
      <vt:variant>
        <vt:lpwstr>https://www.acon.org.au/what-we-are-here-for/mental-health/</vt:lpwstr>
      </vt:variant>
      <vt:variant>
        <vt:lpwstr/>
      </vt:variant>
      <vt:variant>
        <vt:i4>7340146</vt:i4>
      </vt:variant>
      <vt:variant>
        <vt:i4>558</vt:i4>
      </vt:variant>
      <vt:variant>
        <vt:i4>0</vt:i4>
      </vt:variant>
      <vt:variant>
        <vt:i4>5</vt:i4>
      </vt:variant>
      <vt:variant>
        <vt:lpwstr>https://mhcc.org.au/wp-content/uploads/2022/10/Recovery-Oriented-Language-Guide-3rd-edition.pdf</vt:lpwstr>
      </vt:variant>
      <vt:variant>
        <vt:lpwstr/>
      </vt:variant>
      <vt:variant>
        <vt:i4>3670114</vt:i4>
      </vt:variant>
      <vt:variant>
        <vt:i4>555</vt:i4>
      </vt:variant>
      <vt:variant>
        <vt:i4>0</vt:i4>
      </vt:variant>
      <vt:variant>
        <vt:i4>5</vt:i4>
      </vt:variant>
      <vt:variant>
        <vt:lpwstr>https://mhrm.mhcc.org.au/chapters/8-people-with-mental-health-and-co-existing-conditions/8i-lgbtiq-people-and-mental-health-conditions/</vt:lpwstr>
      </vt:variant>
      <vt:variant>
        <vt:lpwstr/>
      </vt:variant>
      <vt:variant>
        <vt:i4>6815800</vt:i4>
      </vt:variant>
      <vt:variant>
        <vt:i4>552</vt:i4>
      </vt:variant>
      <vt:variant>
        <vt:i4>0</vt:i4>
      </vt:variant>
      <vt:variant>
        <vt:i4>5</vt:i4>
      </vt:variant>
      <vt:variant>
        <vt:lpwstr>https://rainbowhealthaustralia.org.au/rainbow-tick</vt:lpwstr>
      </vt:variant>
      <vt:variant>
        <vt:lpwstr/>
      </vt:variant>
      <vt:variant>
        <vt:i4>5570651</vt:i4>
      </vt:variant>
      <vt:variant>
        <vt:i4>549</vt:i4>
      </vt:variant>
      <vt:variant>
        <vt:i4>0</vt:i4>
      </vt:variant>
      <vt:variant>
        <vt:i4>5</vt:i4>
      </vt:variant>
      <vt:variant>
        <vt:lpwstr>https://www.dhi.health.nsw.gov.au/transcultural-mental-health-centre-tmhc/resources/community-mental-health-profiles-and-information-resources/lgbtiq</vt:lpwstr>
      </vt:variant>
      <vt:variant>
        <vt:lpwstr/>
      </vt:variant>
      <vt:variant>
        <vt:i4>5636103</vt:i4>
      </vt:variant>
      <vt:variant>
        <vt:i4>546</vt:i4>
      </vt:variant>
      <vt:variant>
        <vt:i4>0</vt:i4>
      </vt:variant>
      <vt:variant>
        <vt:i4>5</vt:i4>
      </vt:variant>
      <vt:variant>
        <vt:lpwstr>https://www.lgbtiqhealth.org.au/current_evidence_for_good_practice_in_suicide_prevention_for_lgbtiq_people</vt:lpwstr>
      </vt:variant>
      <vt:variant>
        <vt:lpwstr/>
      </vt:variant>
      <vt:variant>
        <vt:i4>7864332</vt:i4>
      </vt:variant>
      <vt:variant>
        <vt:i4>543</vt:i4>
      </vt:variant>
      <vt:variant>
        <vt:i4>0</vt:i4>
      </vt:variant>
      <vt:variant>
        <vt:i4>5</vt:i4>
      </vt:variant>
      <vt:variant>
        <vt:lpwstr>https://www.lgbtiqhealth.org.au/beyond_urgent_national_lgbtiq_mhsp_strategy</vt:lpwstr>
      </vt:variant>
      <vt:variant>
        <vt:lpwstr/>
      </vt:variant>
      <vt:variant>
        <vt:i4>8060969</vt:i4>
      </vt:variant>
      <vt:variant>
        <vt:i4>540</vt:i4>
      </vt:variant>
      <vt:variant>
        <vt:i4>0</vt:i4>
      </vt:variant>
      <vt:variant>
        <vt:i4>5</vt:i4>
      </vt:variant>
      <vt:variant>
        <vt:lpwstr>https://www.health.vic.gov.au/populations/lgbtiq-taskforce-and-health-and-human-services-working-group</vt:lpwstr>
      </vt:variant>
      <vt:variant>
        <vt:lpwstr/>
      </vt:variant>
      <vt:variant>
        <vt:i4>7077935</vt:i4>
      </vt:variant>
      <vt:variant>
        <vt:i4>537</vt:i4>
      </vt:variant>
      <vt:variant>
        <vt:i4>0</vt:i4>
      </vt:variant>
      <vt:variant>
        <vt:i4>5</vt:i4>
      </vt:variant>
      <vt:variant>
        <vt:lpwstr>https://dhs.sa.gov.au/about-us/our-department/inclusion-engagement-and-safeguarding/ministers-advisory-councils/lgbtiqa-ministers-advisory-council</vt:lpwstr>
      </vt:variant>
      <vt:variant>
        <vt:lpwstr/>
      </vt:variant>
      <vt:variant>
        <vt:i4>589904</vt:i4>
      </vt:variant>
      <vt:variant>
        <vt:i4>534</vt:i4>
      </vt:variant>
      <vt:variant>
        <vt:i4>0</vt:i4>
      </vt:variant>
      <vt:variant>
        <vt:i4>5</vt:i4>
      </vt:variant>
      <vt:variant>
        <vt:lpwstr>https://www.housing.qld.gov.au/about/initiatives/lgbti-roundtable</vt:lpwstr>
      </vt:variant>
      <vt:variant>
        <vt:lpwstr/>
      </vt:variant>
      <vt:variant>
        <vt:i4>3604587</vt:i4>
      </vt:variant>
      <vt:variant>
        <vt:i4>531</vt:i4>
      </vt:variant>
      <vt:variant>
        <vt:i4>0</vt:i4>
      </vt:variant>
      <vt:variant>
        <vt:i4>5</vt:i4>
      </vt:variant>
      <vt:variant>
        <vt:lpwstr>https://www.cmtedd.act.gov.au/policystrategic/the-office-of-lgbtiq-affairs/lgbtiq-ministerial-advisory-council</vt:lpwstr>
      </vt:variant>
      <vt:variant>
        <vt:lpwstr/>
      </vt:variant>
      <vt:variant>
        <vt:i4>8126517</vt:i4>
      </vt:variant>
      <vt:variant>
        <vt:i4>525</vt:i4>
      </vt:variant>
      <vt:variant>
        <vt:i4>0</vt:i4>
      </vt:variant>
      <vt:variant>
        <vt:i4>5</vt:i4>
      </vt:variant>
      <vt:variant>
        <vt:lpwstr>https://www.health.wa.gov.au/~/media/Files/Corporate/general-documents/Health-Networks/PDF/LGBTI-Health-Strategy-2019-2024.pdfhttps:/www.health.wa.gov.au/~/media/Files/Corporate/general-documents/Health-Networks/PDF/LGBTI-Health-Strategy-2019-2024.pdf</vt:lpwstr>
      </vt:variant>
      <vt:variant>
        <vt:lpwstr/>
      </vt:variant>
      <vt:variant>
        <vt:i4>5767170</vt:i4>
      </vt:variant>
      <vt:variant>
        <vt:i4>522</vt:i4>
      </vt:variant>
      <vt:variant>
        <vt:i4>0</vt:i4>
      </vt:variant>
      <vt:variant>
        <vt:i4>5</vt:i4>
      </vt:variant>
      <vt:variant>
        <vt:lpwstr>https://www.vic.gov.au/pride-our-future-victorias-lgbtiq-strategy-2022-32</vt:lpwstr>
      </vt:variant>
      <vt:variant>
        <vt:lpwstr/>
      </vt:variant>
      <vt:variant>
        <vt:i4>5767170</vt:i4>
      </vt:variant>
      <vt:variant>
        <vt:i4>519</vt:i4>
      </vt:variant>
      <vt:variant>
        <vt:i4>0</vt:i4>
      </vt:variant>
      <vt:variant>
        <vt:i4>5</vt:i4>
      </vt:variant>
      <vt:variant>
        <vt:lpwstr>https://www.vic.gov.au/pride-our-future-victorias-lgbtiq-strategy-2022-32</vt:lpwstr>
      </vt:variant>
      <vt:variant>
        <vt:lpwstr/>
      </vt:variant>
      <vt:variant>
        <vt:i4>3342448</vt:i4>
      </vt:variant>
      <vt:variant>
        <vt:i4>516</vt:i4>
      </vt:variant>
      <vt:variant>
        <vt:i4>0</vt:i4>
      </vt:variant>
      <vt:variant>
        <vt:i4>5</vt:i4>
      </vt:variant>
      <vt:variant>
        <vt:lpwstr>https://www.health.tas.gov.au/sites/default/files/2023-11/rethink_2020_implementation_plan_2023-24.pdf</vt:lpwstr>
      </vt:variant>
      <vt:variant>
        <vt:lpwstr/>
      </vt:variant>
      <vt:variant>
        <vt:i4>6488190</vt:i4>
      </vt:variant>
      <vt:variant>
        <vt:i4>513</vt:i4>
      </vt:variant>
      <vt:variant>
        <vt:i4>0</vt:i4>
      </vt:variant>
      <vt:variant>
        <vt:i4>5</vt:i4>
      </vt:variant>
      <vt:variant>
        <vt:lpwstr>https://www.dpac.tas.gov.au/__data/assets/pdf_file/0022/236335/LGBTI_Framework_17_Nov_2015_ART.pdf</vt:lpwstr>
      </vt:variant>
      <vt:variant>
        <vt:lpwstr/>
      </vt:variant>
      <vt:variant>
        <vt:i4>3735569</vt:i4>
      </vt:variant>
      <vt:variant>
        <vt:i4>510</vt:i4>
      </vt:variant>
      <vt:variant>
        <vt:i4>0</vt:i4>
      </vt:variant>
      <vt:variant>
        <vt:i4>5</vt:i4>
      </vt:variant>
      <vt:variant>
        <vt:lpwstr>https://health.nt.gov.au/__data/assets/pdf_file/0005/735314/NT-Health-Inclusion-Strategy-Respecting-People-with-Diverse-Sexualities-and-Gender-Identities.pdf</vt:lpwstr>
      </vt:variant>
      <vt:variant>
        <vt:lpwstr/>
      </vt:variant>
      <vt:variant>
        <vt:i4>6160465</vt:i4>
      </vt:variant>
      <vt:variant>
        <vt:i4>507</vt:i4>
      </vt:variant>
      <vt:variant>
        <vt:i4>0</vt:i4>
      </vt:variant>
      <vt:variant>
        <vt:i4>5</vt:i4>
      </vt:variant>
      <vt:variant>
        <vt:lpwstr>https://www.health.nsw.gov.au/lgbtiq-health/Pages/lgbtiq-health-strategy.aspx</vt:lpwstr>
      </vt:variant>
      <vt:variant>
        <vt:lpwstr/>
      </vt:variant>
      <vt:variant>
        <vt:i4>5505100</vt:i4>
      </vt:variant>
      <vt:variant>
        <vt:i4>504</vt:i4>
      </vt:variant>
      <vt:variant>
        <vt:i4>0</vt:i4>
      </vt:variant>
      <vt:variant>
        <vt:i4>5</vt:i4>
      </vt:variant>
      <vt:variant>
        <vt:lpwstr>https://www.cmtedd.act.gov.au/policystrategic/the-office-of-lgbtiq-affairs/capital-of-equality-act-government-lgbtiq-strategy</vt:lpwstr>
      </vt:variant>
      <vt:variant>
        <vt:lpwstr/>
      </vt:variant>
      <vt:variant>
        <vt:i4>5963846</vt:i4>
      </vt:variant>
      <vt:variant>
        <vt:i4>501</vt:i4>
      </vt:variant>
      <vt:variant>
        <vt:i4>0</vt:i4>
      </vt:variant>
      <vt:variant>
        <vt:i4>5</vt:i4>
      </vt:variant>
      <vt:variant>
        <vt:lpwstr>https://www.health.gov.au/resources/publications/national-suicide-prevention-adviser-final-advice</vt:lpwstr>
      </vt:variant>
      <vt:variant>
        <vt:lpwstr/>
      </vt:variant>
      <vt:variant>
        <vt:i4>4718682</vt:i4>
      </vt:variant>
      <vt:variant>
        <vt:i4>498</vt:i4>
      </vt:variant>
      <vt:variant>
        <vt:i4>0</vt:i4>
      </vt:variant>
      <vt:variant>
        <vt:i4>5</vt:i4>
      </vt:variant>
      <vt:variant>
        <vt:lpwstr>https://www.pc.gov.au/inquiries/completed/mental-health/report/mental-health-volume1.pdf</vt:lpwstr>
      </vt:variant>
      <vt:variant>
        <vt:lpwstr/>
      </vt:variant>
      <vt:variant>
        <vt:i4>3801202</vt:i4>
      </vt:variant>
      <vt:variant>
        <vt:i4>495</vt:i4>
      </vt:variant>
      <vt:variant>
        <vt:i4>0</vt:i4>
      </vt:variant>
      <vt:variant>
        <vt:i4>5</vt:i4>
      </vt:variant>
      <vt:variant>
        <vt:lpwstr>https://federalfinancialrelations.gov.au/agreements/mental-health-suicide-prevention-agreement</vt:lpwstr>
      </vt:variant>
      <vt:variant>
        <vt:lpwstr/>
      </vt:variant>
      <vt:variant>
        <vt:i4>2031685</vt:i4>
      </vt:variant>
      <vt:variant>
        <vt:i4>492</vt:i4>
      </vt:variant>
      <vt:variant>
        <vt:i4>0</vt:i4>
      </vt:variant>
      <vt:variant>
        <vt:i4>5</vt:i4>
      </vt:variant>
      <vt:variant>
        <vt:lpwstr>https://www.ag.gov.au/families-and-marriage/marriage/marriage-equality-australia</vt:lpwstr>
      </vt:variant>
      <vt:variant>
        <vt:lpwstr/>
      </vt:variant>
      <vt:variant>
        <vt:i4>262161</vt:i4>
      </vt:variant>
      <vt:variant>
        <vt:i4>489</vt:i4>
      </vt:variant>
      <vt:variant>
        <vt:i4>0</vt:i4>
      </vt:variant>
      <vt:variant>
        <vt:i4>5</vt:i4>
      </vt:variant>
      <vt:variant>
        <vt:lpwstr>https://humanrights.gov.au/about</vt:lpwstr>
      </vt:variant>
      <vt:variant>
        <vt:lpwstr/>
      </vt:variant>
      <vt:variant>
        <vt:i4>7340076</vt:i4>
      </vt:variant>
      <vt:variant>
        <vt:i4>486</vt:i4>
      </vt:variant>
      <vt:variant>
        <vt:i4>0</vt:i4>
      </vt:variant>
      <vt:variant>
        <vt:i4>5</vt:i4>
      </vt:variant>
      <vt:variant>
        <vt:lpwstr>https://humanrights.gov.au/our-work/employers/sex-discrimination</vt:lpwstr>
      </vt:variant>
      <vt:variant>
        <vt:lpwstr>:~:text=The%20Sex%20Discrimination%20Act%201984,or%20because%20they%20are%20breastfeeding.</vt:lpwstr>
      </vt:variant>
      <vt:variant>
        <vt:i4>6553649</vt:i4>
      </vt:variant>
      <vt:variant>
        <vt:i4>483</vt:i4>
      </vt:variant>
      <vt:variant>
        <vt:i4>0</vt:i4>
      </vt:variant>
      <vt:variant>
        <vt:i4>5</vt:i4>
      </vt:variant>
      <vt:variant>
        <vt:lpwstr>https://www.lgbtiqhealth.org.au/statistics</vt:lpwstr>
      </vt:variant>
      <vt:variant>
        <vt:lpwstr/>
      </vt:variant>
      <vt:variant>
        <vt:i4>2752619</vt:i4>
      </vt:variant>
      <vt:variant>
        <vt:i4>477</vt:i4>
      </vt:variant>
      <vt:variant>
        <vt:i4>0</vt:i4>
      </vt:variant>
      <vt:variant>
        <vt:i4>5</vt:i4>
      </vt:variant>
      <vt:variant>
        <vt:lpwstr>https://www.sydney.edu.au/medicine-health/</vt:lpwstr>
      </vt:variant>
      <vt:variant>
        <vt:lpwstr/>
      </vt:variant>
      <vt:variant>
        <vt:i4>5832781</vt:i4>
      </vt:variant>
      <vt:variant>
        <vt:i4>474</vt:i4>
      </vt:variant>
      <vt:variant>
        <vt:i4>0</vt:i4>
      </vt:variant>
      <vt:variant>
        <vt:i4>5</vt:i4>
      </vt:variant>
      <vt:variant>
        <vt:lpwstr>https://www.blackdoginstitute.org.au/</vt:lpwstr>
      </vt:variant>
      <vt:variant>
        <vt:lpwstr/>
      </vt:variant>
      <vt:variant>
        <vt:i4>3276844</vt:i4>
      </vt:variant>
      <vt:variant>
        <vt:i4>471</vt:i4>
      </vt:variant>
      <vt:variant>
        <vt:i4>0</vt:i4>
      </vt:variant>
      <vt:variant>
        <vt:i4>5</vt:i4>
      </vt:variant>
      <vt:variant>
        <vt:lpwstr>https://www.uts.edu.au/research/institute-public-policy-and-governance/</vt:lpwstr>
      </vt:variant>
      <vt:variant>
        <vt:lpwstr/>
      </vt:variant>
      <vt:variant>
        <vt:i4>3801188</vt:i4>
      </vt:variant>
      <vt:variant>
        <vt:i4>468</vt:i4>
      </vt:variant>
      <vt:variant>
        <vt:i4>0</vt:i4>
      </vt:variant>
      <vt:variant>
        <vt:i4>5</vt:i4>
      </vt:variant>
      <vt:variant>
        <vt:lpwstr>https://www.uts.edu.au/about/faculty-health</vt:lpwstr>
      </vt:variant>
      <vt:variant>
        <vt:lpwstr/>
      </vt:variant>
      <vt:variant>
        <vt:i4>1507380</vt:i4>
      </vt:variant>
      <vt:variant>
        <vt:i4>461</vt:i4>
      </vt:variant>
      <vt:variant>
        <vt:i4>0</vt:i4>
      </vt:variant>
      <vt:variant>
        <vt:i4>5</vt:i4>
      </vt:variant>
      <vt:variant>
        <vt:lpwstr/>
      </vt:variant>
      <vt:variant>
        <vt:lpwstr>_Toc152835485</vt:lpwstr>
      </vt:variant>
      <vt:variant>
        <vt:i4>1507380</vt:i4>
      </vt:variant>
      <vt:variant>
        <vt:i4>455</vt:i4>
      </vt:variant>
      <vt:variant>
        <vt:i4>0</vt:i4>
      </vt:variant>
      <vt:variant>
        <vt:i4>5</vt:i4>
      </vt:variant>
      <vt:variant>
        <vt:lpwstr/>
      </vt:variant>
      <vt:variant>
        <vt:lpwstr>_Toc152835484</vt:lpwstr>
      </vt:variant>
      <vt:variant>
        <vt:i4>1507380</vt:i4>
      </vt:variant>
      <vt:variant>
        <vt:i4>449</vt:i4>
      </vt:variant>
      <vt:variant>
        <vt:i4>0</vt:i4>
      </vt:variant>
      <vt:variant>
        <vt:i4>5</vt:i4>
      </vt:variant>
      <vt:variant>
        <vt:lpwstr/>
      </vt:variant>
      <vt:variant>
        <vt:lpwstr>_Toc152835483</vt:lpwstr>
      </vt:variant>
      <vt:variant>
        <vt:i4>1507380</vt:i4>
      </vt:variant>
      <vt:variant>
        <vt:i4>443</vt:i4>
      </vt:variant>
      <vt:variant>
        <vt:i4>0</vt:i4>
      </vt:variant>
      <vt:variant>
        <vt:i4>5</vt:i4>
      </vt:variant>
      <vt:variant>
        <vt:lpwstr/>
      </vt:variant>
      <vt:variant>
        <vt:lpwstr>_Toc152835482</vt:lpwstr>
      </vt:variant>
      <vt:variant>
        <vt:i4>1507380</vt:i4>
      </vt:variant>
      <vt:variant>
        <vt:i4>437</vt:i4>
      </vt:variant>
      <vt:variant>
        <vt:i4>0</vt:i4>
      </vt:variant>
      <vt:variant>
        <vt:i4>5</vt:i4>
      </vt:variant>
      <vt:variant>
        <vt:lpwstr/>
      </vt:variant>
      <vt:variant>
        <vt:lpwstr>_Toc152835481</vt:lpwstr>
      </vt:variant>
      <vt:variant>
        <vt:i4>1507380</vt:i4>
      </vt:variant>
      <vt:variant>
        <vt:i4>431</vt:i4>
      </vt:variant>
      <vt:variant>
        <vt:i4>0</vt:i4>
      </vt:variant>
      <vt:variant>
        <vt:i4>5</vt:i4>
      </vt:variant>
      <vt:variant>
        <vt:lpwstr/>
      </vt:variant>
      <vt:variant>
        <vt:lpwstr>_Toc152835480</vt:lpwstr>
      </vt:variant>
      <vt:variant>
        <vt:i4>1572916</vt:i4>
      </vt:variant>
      <vt:variant>
        <vt:i4>425</vt:i4>
      </vt:variant>
      <vt:variant>
        <vt:i4>0</vt:i4>
      </vt:variant>
      <vt:variant>
        <vt:i4>5</vt:i4>
      </vt:variant>
      <vt:variant>
        <vt:lpwstr/>
      </vt:variant>
      <vt:variant>
        <vt:lpwstr>_Toc152835479</vt:lpwstr>
      </vt:variant>
      <vt:variant>
        <vt:i4>1572916</vt:i4>
      </vt:variant>
      <vt:variant>
        <vt:i4>419</vt:i4>
      </vt:variant>
      <vt:variant>
        <vt:i4>0</vt:i4>
      </vt:variant>
      <vt:variant>
        <vt:i4>5</vt:i4>
      </vt:variant>
      <vt:variant>
        <vt:lpwstr/>
      </vt:variant>
      <vt:variant>
        <vt:lpwstr>_Toc152835478</vt:lpwstr>
      </vt:variant>
      <vt:variant>
        <vt:i4>1572916</vt:i4>
      </vt:variant>
      <vt:variant>
        <vt:i4>413</vt:i4>
      </vt:variant>
      <vt:variant>
        <vt:i4>0</vt:i4>
      </vt:variant>
      <vt:variant>
        <vt:i4>5</vt:i4>
      </vt:variant>
      <vt:variant>
        <vt:lpwstr/>
      </vt:variant>
      <vt:variant>
        <vt:lpwstr>_Toc152835477</vt:lpwstr>
      </vt:variant>
      <vt:variant>
        <vt:i4>1572916</vt:i4>
      </vt:variant>
      <vt:variant>
        <vt:i4>407</vt:i4>
      </vt:variant>
      <vt:variant>
        <vt:i4>0</vt:i4>
      </vt:variant>
      <vt:variant>
        <vt:i4>5</vt:i4>
      </vt:variant>
      <vt:variant>
        <vt:lpwstr/>
      </vt:variant>
      <vt:variant>
        <vt:lpwstr>_Toc152835476</vt:lpwstr>
      </vt:variant>
      <vt:variant>
        <vt:i4>1572916</vt:i4>
      </vt:variant>
      <vt:variant>
        <vt:i4>401</vt:i4>
      </vt:variant>
      <vt:variant>
        <vt:i4>0</vt:i4>
      </vt:variant>
      <vt:variant>
        <vt:i4>5</vt:i4>
      </vt:variant>
      <vt:variant>
        <vt:lpwstr/>
      </vt:variant>
      <vt:variant>
        <vt:lpwstr>_Toc152835475</vt:lpwstr>
      </vt:variant>
      <vt:variant>
        <vt:i4>1572916</vt:i4>
      </vt:variant>
      <vt:variant>
        <vt:i4>395</vt:i4>
      </vt:variant>
      <vt:variant>
        <vt:i4>0</vt:i4>
      </vt:variant>
      <vt:variant>
        <vt:i4>5</vt:i4>
      </vt:variant>
      <vt:variant>
        <vt:lpwstr/>
      </vt:variant>
      <vt:variant>
        <vt:lpwstr>_Toc152835474</vt:lpwstr>
      </vt:variant>
      <vt:variant>
        <vt:i4>1572916</vt:i4>
      </vt:variant>
      <vt:variant>
        <vt:i4>389</vt:i4>
      </vt:variant>
      <vt:variant>
        <vt:i4>0</vt:i4>
      </vt:variant>
      <vt:variant>
        <vt:i4>5</vt:i4>
      </vt:variant>
      <vt:variant>
        <vt:lpwstr/>
      </vt:variant>
      <vt:variant>
        <vt:lpwstr>_Toc152835473</vt:lpwstr>
      </vt:variant>
      <vt:variant>
        <vt:i4>1572916</vt:i4>
      </vt:variant>
      <vt:variant>
        <vt:i4>383</vt:i4>
      </vt:variant>
      <vt:variant>
        <vt:i4>0</vt:i4>
      </vt:variant>
      <vt:variant>
        <vt:i4>5</vt:i4>
      </vt:variant>
      <vt:variant>
        <vt:lpwstr/>
      </vt:variant>
      <vt:variant>
        <vt:lpwstr>_Toc152835472</vt:lpwstr>
      </vt:variant>
      <vt:variant>
        <vt:i4>1572916</vt:i4>
      </vt:variant>
      <vt:variant>
        <vt:i4>377</vt:i4>
      </vt:variant>
      <vt:variant>
        <vt:i4>0</vt:i4>
      </vt:variant>
      <vt:variant>
        <vt:i4>5</vt:i4>
      </vt:variant>
      <vt:variant>
        <vt:lpwstr/>
      </vt:variant>
      <vt:variant>
        <vt:lpwstr>_Toc152835471</vt:lpwstr>
      </vt:variant>
      <vt:variant>
        <vt:i4>1572916</vt:i4>
      </vt:variant>
      <vt:variant>
        <vt:i4>371</vt:i4>
      </vt:variant>
      <vt:variant>
        <vt:i4>0</vt:i4>
      </vt:variant>
      <vt:variant>
        <vt:i4>5</vt:i4>
      </vt:variant>
      <vt:variant>
        <vt:lpwstr/>
      </vt:variant>
      <vt:variant>
        <vt:lpwstr>_Toc152835470</vt:lpwstr>
      </vt:variant>
      <vt:variant>
        <vt:i4>1638452</vt:i4>
      </vt:variant>
      <vt:variant>
        <vt:i4>365</vt:i4>
      </vt:variant>
      <vt:variant>
        <vt:i4>0</vt:i4>
      </vt:variant>
      <vt:variant>
        <vt:i4>5</vt:i4>
      </vt:variant>
      <vt:variant>
        <vt:lpwstr/>
      </vt:variant>
      <vt:variant>
        <vt:lpwstr>_Toc152835469</vt:lpwstr>
      </vt:variant>
      <vt:variant>
        <vt:i4>1638452</vt:i4>
      </vt:variant>
      <vt:variant>
        <vt:i4>359</vt:i4>
      </vt:variant>
      <vt:variant>
        <vt:i4>0</vt:i4>
      </vt:variant>
      <vt:variant>
        <vt:i4>5</vt:i4>
      </vt:variant>
      <vt:variant>
        <vt:lpwstr/>
      </vt:variant>
      <vt:variant>
        <vt:lpwstr>_Toc152835468</vt:lpwstr>
      </vt:variant>
      <vt:variant>
        <vt:i4>1638452</vt:i4>
      </vt:variant>
      <vt:variant>
        <vt:i4>353</vt:i4>
      </vt:variant>
      <vt:variant>
        <vt:i4>0</vt:i4>
      </vt:variant>
      <vt:variant>
        <vt:i4>5</vt:i4>
      </vt:variant>
      <vt:variant>
        <vt:lpwstr/>
      </vt:variant>
      <vt:variant>
        <vt:lpwstr>_Toc152835467</vt:lpwstr>
      </vt:variant>
      <vt:variant>
        <vt:i4>1638452</vt:i4>
      </vt:variant>
      <vt:variant>
        <vt:i4>347</vt:i4>
      </vt:variant>
      <vt:variant>
        <vt:i4>0</vt:i4>
      </vt:variant>
      <vt:variant>
        <vt:i4>5</vt:i4>
      </vt:variant>
      <vt:variant>
        <vt:lpwstr/>
      </vt:variant>
      <vt:variant>
        <vt:lpwstr>_Toc152835466</vt:lpwstr>
      </vt:variant>
      <vt:variant>
        <vt:i4>1638452</vt:i4>
      </vt:variant>
      <vt:variant>
        <vt:i4>341</vt:i4>
      </vt:variant>
      <vt:variant>
        <vt:i4>0</vt:i4>
      </vt:variant>
      <vt:variant>
        <vt:i4>5</vt:i4>
      </vt:variant>
      <vt:variant>
        <vt:lpwstr/>
      </vt:variant>
      <vt:variant>
        <vt:lpwstr>_Toc152835465</vt:lpwstr>
      </vt:variant>
      <vt:variant>
        <vt:i4>1638452</vt:i4>
      </vt:variant>
      <vt:variant>
        <vt:i4>335</vt:i4>
      </vt:variant>
      <vt:variant>
        <vt:i4>0</vt:i4>
      </vt:variant>
      <vt:variant>
        <vt:i4>5</vt:i4>
      </vt:variant>
      <vt:variant>
        <vt:lpwstr/>
      </vt:variant>
      <vt:variant>
        <vt:lpwstr>_Toc152835464</vt:lpwstr>
      </vt:variant>
      <vt:variant>
        <vt:i4>1638452</vt:i4>
      </vt:variant>
      <vt:variant>
        <vt:i4>329</vt:i4>
      </vt:variant>
      <vt:variant>
        <vt:i4>0</vt:i4>
      </vt:variant>
      <vt:variant>
        <vt:i4>5</vt:i4>
      </vt:variant>
      <vt:variant>
        <vt:lpwstr/>
      </vt:variant>
      <vt:variant>
        <vt:lpwstr>_Toc152835463</vt:lpwstr>
      </vt:variant>
      <vt:variant>
        <vt:i4>1638452</vt:i4>
      </vt:variant>
      <vt:variant>
        <vt:i4>323</vt:i4>
      </vt:variant>
      <vt:variant>
        <vt:i4>0</vt:i4>
      </vt:variant>
      <vt:variant>
        <vt:i4>5</vt:i4>
      </vt:variant>
      <vt:variant>
        <vt:lpwstr/>
      </vt:variant>
      <vt:variant>
        <vt:lpwstr>_Toc152835462</vt:lpwstr>
      </vt:variant>
      <vt:variant>
        <vt:i4>1638452</vt:i4>
      </vt:variant>
      <vt:variant>
        <vt:i4>317</vt:i4>
      </vt:variant>
      <vt:variant>
        <vt:i4>0</vt:i4>
      </vt:variant>
      <vt:variant>
        <vt:i4>5</vt:i4>
      </vt:variant>
      <vt:variant>
        <vt:lpwstr/>
      </vt:variant>
      <vt:variant>
        <vt:lpwstr>_Toc152835461</vt:lpwstr>
      </vt:variant>
      <vt:variant>
        <vt:i4>1638452</vt:i4>
      </vt:variant>
      <vt:variant>
        <vt:i4>311</vt:i4>
      </vt:variant>
      <vt:variant>
        <vt:i4>0</vt:i4>
      </vt:variant>
      <vt:variant>
        <vt:i4>5</vt:i4>
      </vt:variant>
      <vt:variant>
        <vt:lpwstr/>
      </vt:variant>
      <vt:variant>
        <vt:lpwstr>_Toc152835460</vt:lpwstr>
      </vt:variant>
      <vt:variant>
        <vt:i4>1703988</vt:i4>
      </vt:variant>
      <vt:variant>
        <vt:i4>305</vt:i4>
      </vt:variant>
      <vt:variant>
        <vt:i4>0</vt:i4>
      </vt:variant>
      <vt:variant>
        <vt:i4>5</vt:i4>
      </vt:variant>
      <vt:variant>
        <vt:lpwstr/>
      </vt:variant>
      <vt:variant>
        <vt:lpwstr>_Toc152835459</vt:lpwstr>
      </vt:variant>
      <vt:variant>
        <vt:i4>1703988</vt:i4>
      </vt:variant>
      <vt:variant>
        <vt:i4>299</vt:i4>
      </vt:variant>
      <vt:variant>
        <vt:i4>0</vt:i4>
      </vt:variant>
      <vt:variant>
        <vt:i4>5</vt:i4>
      </vt:variant>
      <vt:variant>
        <vt:lpwstr/>
      </vt:variant>
      <vt:variant>
        <vt:lpwstr>_Toc152835458</vt:lpwstr>
      </vt:variant>
      <vt:variant>
        <vt:i4>1703988</vt:i4>
      </vt:variant>
      <vt:variant>
        <vt:i4>293</vt:i4>
      </vt:variant>
      <vt:variant>
        <vt:i4>0</vt:i4>
      </vt:variant>
      <vt:variant>
        <vt:i4>5</vt:i4>
      </vt:variant>
      <vt:variant>
        <vt:lpwstr/>
      </vt:variant>
      <vt:variant>
        <vt:lpwstr>_Toc152835457</vt:lpwstr>
      </vt:variant>
      <vt:variant>
        <vt:i4>1703988</vt:i4>
      </vt:variant>
      <vt:variant>
        <vt:i4>287</vt:i4>
      </vt:variant>
      <vt:variant>
        <vt:i4>0</vt:i4>
      </vt:variant>
      <vt:variant>
        <vt:i4>5</vt:i4>
      </vt:variant>
      <vt:variant>
        <vt:lpwstr/>
      </vt:variant>
      <vt:variant>
        <vt:lpwstr>_Toc152835456</vt:lpwstr>
      </vt:variant>
      <vt:variant>
        <vt:i4>1703988</vt:i4>
      </vt:variant>
      <vt:variant>
        <vt:i4>281</vt:i4>
      </vt:variant>
      <vt:variant>
        <vt:i4>0</vt:i4>
      </vt:variant>
      <vt:variant>
        <vt:i4>5</vt:i4>
      </vt:variant>
      <vt:variant>
        <vt:lpwstr/>
      </vt:variant>
      <vt:variant>
        <vt:lpwstr>_Toc152835455</vt:lpwstr>
      </vt:variant>
      <vt:variant>
        <vt:i4>1703988</vt:i4>
      </vt:variant>
      <vt:variant>
        <vt:i4>275</vt:i4>
      </vt:variant>
      <vt:variant>
        <vt:i4>0</vt:i4>
      </vt:variant>
      <vt:variant>
        <vt:i4>5</vt:i4>
      </vt:variant>
      <vt:variant>
        <vt:lpwstr/>
      </vt:variant>
      <vt:variant>
        <vt:lpwstr>_Toc152835454</vt:lpwstr>
      </vt:variant>
      <vt:variant>
        <vt:i4>1703988</vt:i4>
      </vt:variant>
      <vt:variant>
        <vt:i4>269</vt:i4>
      </vt:variant>
      <vt:variant>
        <vt:i4>0</vt:i4>
      </vt:variant>
      <vt:variant>
        <vt:i4>5</vt:i4>
      </vt:variant>
      <vt:variant>
        <vt:lpwstr/>
      </vt:variant>
      <vt:variant>
        <vt:lpwstr>_Toc152835453</vt:lpwstr>
      </vt:variant>
      <vt:variant>
        <vt:i4>1703988</vt:i4>
      </vt:variant>
      <vt:variant>
        <vt:i4>263</vt:i4>
      </vt:variant>
      <vt:variant>
        <vt:i4>0</vt:i4>
      </vt:variant>
      <vt:variant>
        <vt:i4>5</vt:i4>
      </vt:variant>
      <vt:variant>
        <vt:lpwstr/>
      </vt:variant>
      <vt:variant>
        <vt:lpwstr>_Toc152835452</vt:lpwstr>
      </vt:variant>
      <vt:variant>
        <vt:i4>1703988</vt:i4>
      </vt:variant>
      <vt:variant>
        <vt:i4>257</vt:i4>
      </vt:variant>
      <vt:variant>
        <vt:i4>0</vt:i4>
      </vt:variant>
      <vt:variant>
        <vt:i4>5</vt:i4>
      </vt:variant>
      <vt:variant>
        <vt:lpwstr/>
      </vt:variant>
      <vt:variant>
        <vt:lpwstr>_Toc152835451</vt:lpwstr>
      </vt:variant>
      <vt:variant>
        <vt:i4>1703988</vt:i4>
      </vt:variant>
      <vt:variant>
        <vt:i4>251</vt:i4>
      </vt:variant>
      <vt:variant>
        <vt:i4>0</vt:i4>
      </vt:variant>
      <vt:variant>
        <vt:i4>5</vt:i4>
      </vt:variant>
      <vt:variant>
        <vt:lpwstr/>
      </vt:variant>
      <vt:variant>
        <vt:lpwstr>_Toc152835450</vt:lpwstr>
      </vt:variant>
      <vt:variant>
        <vt:i4>1769524</vt:i4>
      </vt:variant>
      <vt:variant>
        <vt:i4>245</vt:i4>
      </vt:variant>
      <vt:variant>
        <vt:i4>0</vt:i4>
      </vt:variant>
      <vt:variant>
        <vt:i4>5</vt:i4>
      </vt:variant>
      <vt:variant>
        <vt:lpwstr/>
      </vt:variant>
      <vt:variant>
        <vt:lpwstr>_Toc152835449</vt:lpwstr>
      </vt:variant>
      <vt:variant>
        <vt:i4>1769524</vt:i4>
      </vt:variant>
      <vt:variant>
        <vt:i4>239</vt:i4>
      </vt:variant>
      <vt:variant>
        <vt:i4>0</vt:i4>
      </vt:variant>
      <vt:variant>
        <vt:i4>5</vt:i4>
      </vt:variant>
      <vt:variant>
        <vt:lpwstr/>
      </vt:variant>
      <vt:variant>
        <vt:lpwstr>_Toc152835448</vt:lpwstr>
      </vt:variant>
      <vt:variant>
        <vt:i4>1769524</vt:i4>
      </vt:variant>
      <vt:variant>
        <vt:i4>233</vt:i4>
      </vt:variant>
      <vt:variant>
        <vt:i4>0</vt:i4>
      </vt:variant>
      <vt:variant>
        <vt:i4>5</vt:i4>
      </vt:variant>
      <vt:variant>
        <vt:lpwstr/>
      </vt:variant>
      <vt:variant>
        <vt:lpwstr>_Toc152835447</vt:lpwstr>
      </vt:variant>
      <vt:variant>
        <vt:i4>1769524</vt:i4>
      </vt:variant>
      <vt:variant>
        <vt:i4>227</vt:i4>
      </vt:variant>
      <vt:variant>
        <vt:i4>0</vt:i4>
      </vt:variant>
      <vt:variant>
        <vt:i4>5</vt:i4>
      </vt:variant>
      <vt:variant>
        <vt:lpwstr/>
      </vt:variant>
      <vt:variant>
        <vt:lpwstr>_Toc152835446</vt:lpwstr>
      </vt:variant>
      <vt:variant>
        <vt:i4>1769524</vt:i4>
      </vt:variant>
      <vt:variant>
        <vt:i4>221</vt:i4>
      </vt:variant>
      <vt:variant>
        <vt:i4>0</vt:i4>
      </vt:variant>
      <vt:variant>
        <vt:i4>5</vt:i4>
      </vt:variant>
      <vt:variant>
        <vt:lpwstr/>
      </vt:variant>
      <vt:variant>
        <vt:lpwstr>_Toc152835445</vt:lpwstr>
      </vt:variant>
      <vt:variant>
        <vt:i4>1769524</vt:i4>
      </vt:variant>
      <vt:variant>
        <vt:i4>215</vt:i4>
      </vt:variant>
      <vt:variant>
        <vt:i4>0</vt:i4>
      </vt:variant>
      <vt:variant>
        <vt:i4>5</vt:i4>
      </vt:variant>
      <vt:variant>
        <vt:lpwstr/>
      </vt:variant>
      <vt:variant>
        <vt:lpwstr>_Toc152835444</vt:lpwstr>
      </vt:variant>
      <vt:variant>
        <vt:i4>1769524</vt:i4>
      </vt:variant>
      <vt:variant>
        <vt:i4>209</vt:i4>
      </vt:variant>
      <vt:variant>
        <vt:i4>0</vt:i4>
      </vt:variant>
      <vt:variant>
        <vt:i4>5</vt:i4>
      </vt:variant>
      <vt:variant>
        <vt:lpwstr/>
      </vt:variant>
      <vt:variant>
        <vt:lpwstr>_Toc152835443</vt:lpwstr>
      </vt:variant>
      <vt:variant>
        <vt:i4>1769524</vt:i4>
      </vt:variant>
      <vt:variant>
        <vt:i4>203</vt:i4>
      </vt:variant>
      <vt:variant>
        <vt:i4>0</vt:i4>
      </vt:variant>
      <vt:variant>
        <vt:i4>5</vt:i4>
      </vt:variant>
      <vt:variant>
        <vt:lpwstr/>
      </vt:variant>
      <vt:variant>
        <vt:lpwstr>_Toc152835442</vt:lpwstr>
      </vt:variant>
      <vt:variant>
        <vt:i4>1769524</vt:i4>
      </vt:variant>
      <vt:variant>
        <vt:i4>197</vt:i4>
      </vt:variant>
      <vt:variant>
        <vt:i4>0</vt:i4>
      </vt:variant>
      <vt:variant>
        <vt:i4>5</vt:i4>
      </vt:variant>
      <vt:variant>
        <vt:lpwstr/>
      </vt:variant>
      <vt:variant>
        <vt:lpwstr>_Toc152835441</vt:lpwstr>
      </vt:variant>
      <vt:variant>
        <vt:i4>1769524</vt:i4>
      </vt:variant>
      <vt:variant>
        <vt:i4>191</vt:i4>
      </vt:variant>
      <vt:variant>
        <vt:i4>0</vt:i4>
      </vt:variant>
      <vt:variant>
        <vt:i4>5</vt:i4>
      </vt:variant>
      <vt:variant>
        <vt:lpwstr/>
      </vt:variant>
      <vt:variant>
        <vt:lpwstr>_Toc152835440</vt:lpwstr>
      </vt:variant>
      <vt:variant>
        <vt:i4>1835060</vt:i4>
      </vt:variant>
      <vt:variant>
        <vt:i4>185</vt:i4>
      </vt:variant>
      <vt:variant>
        <vt:i4>0</vt:i4>
      </vt:variant>
      <vt:variant>
        <vt:i4>5</vt:i4>
      </vt:variant>
      <vt:variant>
        <vt:lpwstr/>
      </vt:variant>
      <vt:variant>
        <vt:lpwstr>_Toc152835439</vt:lpwstr>
      </vt:variant>
      <vt:variant>
        <vt:i4>1835060</vt:i4>
      </vt:variant>
      <vt:variant>
        <vt:i4>179</vt:i4>
      </vt:variant>
      <vt:variant>
        <vt:i4>0</vt:i4>
      </vt:variant>
      <vt:variant>
        <vt:i4>5</vt:i4>
      </vt:variant>
      <vt:variant>
        <vt:lpwstr/>
      </vt:variant>
      <vt:variant>
        <vt:lpwstr>_Toc152835438</vt:lpwstr>
      </vt:variant>
      <vt:variant>
        <vt:i4>1835060</vt:i4>
      </vt:variant>
      <vt:variant>
        <vt:i4>173</vt:i4>
      </vt:variant>
      <vt:variant>
        <vt:i4>0</vt:i4>
      </vt:variant>
      <vt:variant>
        <vt:i4>5</vt:i4>
      </vt:variant>
      <vt:variant>
        <vt:lpwstr/>
      </vt:variant>
      <vt:variant>
        <vt:lpwstr>_Toc152835437</vt:lpwstr>
      </vt:variant>
      <vt:variant>
        <vt:i4>1835060</vt:i4>
      </vt:variant>
      <vt:variant>
        <vt:i4>167</vt:i4>
      </vt:variant>
      <vt:variant>
        <vt:i4>0</vt:i4>
      </vt:variant>
      <vt:variant>
        <vt:i4>5</vt:i4>
      </vt:variant>
      <vt:variant>
        <vt:lpwstr/>
      </vt:variant>
      <vt:variant>
        <vt:lpwstr>_Toc152835436</vt:lpwstr>
      </vt:variant>
      <vt:variant>
        <vt:i4>1835060</vt:i4>
      </vt:variant>
      <vt:variant>
        <vt:i4>161</vt:i4>
      </vt:variant>
      <vt:variant>
        <vt:i4>0</vt:i4>
      </vt:variant>
      <vt:variant>
        <vt:i4>5</vt:i4>
      </vt:variant>
      <vt:variant>
        <vt:lpwstr/>
      </vt:variant>
      <vt:variant>
        <vt:lpwstr>_Toc152835435</vt:lpwstr>
      </vt:variant>
      <vt:variant>
        <vt:i4>1835060</vt:i4>
      </vt:variant>
      <vt:variant>
        <vt:i4>155</vt:i4>
      </vt:variant>
      <vt:variant>
        <vt:i4>0</vt:i4>
      </vt:variant>
      <vt:variant>
        <vt:i4>5</vt:i4>
      </vt:variant>
      <vt:variant>
        <vt:lpwstr/>
      </vt:variant>
      <vt:variant>
        <vt:lpwstr>_Toc152835434</vt:lpwstr>
      </vt:variant>
      <vt:variant>
        <vt:i4>1835060</vt:i4>
      </vt:variant>
      <vt:variant>
        <vt:i4>149</vt:i4>
      </vt:variant>
      <vt:variant>
        <vt:i4>0</vt:i4>
      </vt:variant>
      <vt:variant>
        <vt:i4>5</vt:i4>
      </vt:variant>
      <vt:variant>
        <vt:lpwstr/>
      </vt:variant>
      <vt:variant>
        <vt:lpwstr>_Toc152835433</vt:lpwstr>
      </vt:variant>
      <vt:variant>
        <vt:i4>1835060</vt:i4>
      </vt:variant>
      <vt:variant>
        <vt:i4>143</vt:i4>
      </vt:variant>
      <vt:variant>
        <vt:i4>0</vt:i4>
      </vt:variant>
      <vt:variant>
        <vt:i4>5</vt:i4>
      </vt:variant>
      <vt:variant>
        <vt:lpwstr/>
      </vt:variant>
      <vt:variant>
        <vt:lpwstr>_Toc152835432</vt:lpwstr>
      </vt:variant>
      <vt:variant>
        <vt:i4>1835060</vt:i4>
      </vt:variant>
      <vt:variant>
        <vt:i4>137</vt:i4>
      </vt:variant>
      <vt:variant>
        <vt:i4>0</vt:i4>
      </vt:variant>
      <vt:variant>
        <vt:i4>5</vt:i4>
      </vt:variant>
      <vt:variant>
        <vt:lpwstr/>
      </vt:variant>
      <vt:variant>
        <vt:lpwstr>_Toc152835431</vt:lpwstr>
      </vt:variant>
      <vt:variant>
        <vt:i4>1835060</vt:i4>
      </vt:variant>
      <vt:variant>
        <vt:i4>131</vt:i4>
      </vt:variant>
      <vt:variant>
        <vt:i4>0</vt:i4>
      </vt:variant>
      <vt:variant>
        <vt:i4>5</vt:i4>
      </vt:variant>
      <vt:variant>
        <vt:lpwstr/>
      </vt:variant>
      <vt:variant>
        <vt:lpwstr>_Toc152835430</vt:lpwstr>
      </vt:variant>
      <vt:variant>
        <vt:i4>1900596</vt:i4>
      </vt:variant>
      <vt:variant>
        <vt:i4>125</vt:i4>
      </vt:variant>
      <vt:variant>
        <vt:i4>0</vt:i4>
      </vt:variant>
      <vt:variant>
        <vt:i4>5</vt:i4>
      </vt:variant>
      <vt:variant>
        <vt:lpwstr/>
      </vt:variant>
      <vt:variant>
        <vt:lpwstr>_Toc152835429</vt:lpwstr>
      </vt:variant>
      <vt:variant>
        <vt:i4>1900596</vt:i4>
      </vt:variant>
      <vt:variant>
        <vt:i4>119</vt:i4>
      </vt:variant>
      <vt:variant>
        <vt:i4>0</vt:i4>
      </vt:variant>
      <vt:variant>
        <vt:i4>5</vt:i4>
      </vt:variant>
      <vt:variant>
        <vt:lpwstr/>
      </vt:variant>
      <vt:variant>
        <vt:lpwstr>_Toc152835428</vt:lpwstr>
      </vt:variant>
      <vt:variant>
        <vt:i4>1900596</vt:i4>
      </vt:variant>
      <vt:variant>
        <vt:i4>113</vt:i4>
      </vt:variant>
      <vt:variant>
        <vt:i4>0</vt:i4>
      </vt:variant>
      <vt:variant>
        <vt:i4>5</vt:i4>
      </vt:variant>
      <vt:variant>
        <vt:lpwstr/>
      </vt:variant>
      <vt:variant>
        <vt:lpwstr>_Toc152835427</vt:lpwstr>
      </vt:variant>
      <vt:variant>
        <vt:i4>1900596</vt:i4>
      </vt:variant>
      <vt:variant>
        <vt:i4>107</vt:i4>
      </vt:variant>
      <vt:variant>
        <vt:i4>0</vt:i4>
      </vt:variant>
      <vt:variant>
        <vt:i4>5</vt:i4>
      </vt:variant>
      <vt:variant>
        <vt:lpwstr/>
      </vt:variant>
      <vt:variant>
        <vt:lpwstr>_Toc152835426</vt:lpwstr>
      </vt:variant>
      <vt:variant>
        <vt:i4>1900596</vt:i4>
      </vt:variant>
      <vt:variant>
        <vt:i4>101</vt:i4>
      </vt:variant>
      <vt:variant>
        <vt:i4>0</vt:i4>
      </vt:variant>
      <vt:variant>
        <vt:i4>5</vt:i4>
      </vt:variant>
      <vt:variant>
        <vt:lpwstr/>
      </vt:variant>
      <vt:variant>
        <vt:lpwstr>_Toc152835425</vt:lpwstr>
      </vt:variant>
      <vt:variant>
        <vt:i4>1900596</vt:i4>
      </vt:variant>
      <vt:variant>
        <vt:i4>95</vt:i4>
      </vt:variant>
      <vt:variant>
        <vt:i4>0</vt:i4>
      </vt:variant>
      <vt:variant>
        <vt:i4>5</vt:i4>
      </vt:variant>
      <vt:variant>
        <vt:lpwstr/>
      </vt:variant>
      <vt:variant>
        <vt:lpwstr>_Toc152835424</vt:lpwstr>
      </vt:variant>
      <vt:variant>
        <vt:i4>1900596</vt:i4>
      </vt:variant>
      <vt:variant>
        <vt:i4>89</vt:i4>
      </vt:variant>
      <vt:variant>
        <vt:i4>0</vt:i4>
      </vt:variant>
      <vt:variant>
        <vt:i4>5</vt:i4>
      </vt:variant>
      <vt:variant>
        <vt:lpwstr/>
      </vt:variant>
      <vt:variant>
        <vt:lpwstr>_Toc152835423</vt:lpwstr>
      </vt:variant>
      <vt:variant>
        <vt:i4>1900596</vt:i4>
      </vt:variant>
      <vt:variant>
        <vt:i4>83</vt:i4>
      </vt:variant>
      <vt:variant>
        <vt:i4>0</vt:i4>
      </vt:variant>
      <vt:variant>
        <vt:i4>5</vt:i4>
      </vt:variant>
      <vt:variant>
        <vt:lpwstr/>
      </vt:variant>
      <vt:variant>
        <vt:lpwstr>_Toc152835422</vt:lpwstr>
      </vt:variant>
      <vt:variant>
        <vt:i4>1900596</vt:i4>
      </vt:variant>
      <vt:variant>
        <vt:i4>77</vt:i4>
      </vt:variant>
      <vt:variant>
        <vt:i4>0</vt:i4>
      </vt:variant>
      <vt:variant>
        <vt:i4>5</vt:i4>
      </vt:variant>
      <vt:variant>
        <vt:lpwstr/>
      </vt:variant>
      <vt:variant>
        <vt:lpwstr>_Toc152835421</vt:lpwstr>
      </vt:variant>
      <vt:variant>
        <vt:i4>1900596</vt:i4>
      </vt:variant>
      <vt:variant>
        <vt:i4>71</vt:i4>
      </vt:variant>
      <vt:variant>
        <vt:i4>0</vt:i4>
      </vt:variant>
      <vt:variant>
        <vt:i4>5</vt:i4>
      </vt:variant>
      <vt:variant>
        <vt:lpwstr/>
      </vt:variant>
      <vt:variant>
        <vt:lpwstr>_Toc152835420</vt:lpwstr>
      </vt:variant>
      <vt:variant>
        <vt:i4>1966132</vt:i4>
      </vt:variant>
      <vt:variant>
        <vt:i4>65</vt:i4>
      </vt:variant>
      <vt:variant>
        <vt:i4>0</vt:i4>
      </vt:variant>
      <vt:variant>
        <vt:i4>5</vt:i4>
      </vt:variant>
      <vt:variant>
        <vt:lpwstr/>
      </vt:variant>
      <vt:variant>
        <vt:lpwstr>_Toc152835419</vt:lpwstr>
      </vt:variant>
      <vt:variant>
        <vt:i4>1966132</vt:i4>
      </vt:variant>
      <vt:variant>
        <vt:i4>59</vt:i4>
      </vt:variant>
      <vt:variant>
        <vt:i4>0</vt:i4>
      </vt:variant>
      <vt:variant>
        <vt:i4>5</vt:i4>
      </vt:variant>
      <vt:variant>
        <vt:lpwstr/>
      </vt:variant>
      <vt:variant>
        <vt:lpwstr>_Toc152835418</vt:lpwstr>
      </vt:variant>
      <vt:variant>
        <vt:i4>1966132</vt:i4>
      </vt:variant>
      <vt:variant>
        <vt:i4>53</vt:i4>
      </vt:variant>
      <vt:variant>
        <vt:i4>0</vt:i4>
      </vt:variant>
      <vt:variant>
        <vt:i4>5</vt:i4>
      </vt:variant>
      <vt:variant>
        <vt:lpwstr/>
      </vt:variant>
      <vt:variant>
        <vt:lpwstr>_Toc152835417</vt:lpwstr>
      </vt:variant>
      <vt:variant>
        <vt:i4>1966132</vt:i4>
      </vt:variant>
      <vt:variant>
        <vt:i4>47</vt:i4>
      </vt:variant>
      <vt:variant>
        <vt:i4>0</vt:i4>
      </vt:variant>
      <vt:variant>
        <vt:i4>5</vt:i4>
      </vt:variant>
      <vt:variant>
        <vt:lpwstr/>
      </vt:variant>
      <vt:variant>
        <vt:lpwstr>_Toc152835416</vt:lpwstr>
      </vt:variant>
      <vt:variant>
        <vt:i4>1966132</vt:i4>
      </vt:variant>
      <vt:variant>
        <vt:i4>41</vt:i4>
      </vt:variant>
      <vt:variant>
        <vt:i4>0</vt:i4>
      </vt:variant>
      <vt:variant>
        <vt:i4>5</vt:i4>
      </vt:variant>
      <vt:variant>
        <vt:lpwstr/>
      </vt:variant>
      <vt:variant>
        <vt:lpwstr>_Toc152835415</vt:lpwstr>
      </vt:variant>
      <vt:variant>
        <vt:i4>1966132</vt:i4>
      </vt:variant>
      <vt:variant>
        <vt:i4>35</vt:i4>
      </vt:variant>
      <vt:variant>
        <vt:i4>0</vt:i4>
      </vt:variant>
      <vt:variant>
        <vt:i4>5</vt:i4>
      </vt:variant>
      <vt:variant>
        <vt:lpwstr/>
      </vt:variant>
      <vt:variant>
        <vt:lpwstr>_Toc152835414</vt:lpwstr>
      </vt:variant>
      <vt:variant>
        <vt:i4>1966132</vt:i4>
      </vt:variant>
      <vt:variant>
        <vt:i4>29</vt:i4>
      </vt:variant>
      <vt:variant>
        <vt:i4>0</vt:i4>
      </vt:variant>
      <vt:variant>
        <vt:i4>5</vt:i4>
      </vt:variant>
      <vt:variant>
        <vt:lpwstr/>
      </vt:variant>
      <vt:variant>
        <vt:lpwstr>_Toc152835413</vt:lpwstr>
      </vt:variant>
      <vt:variant>
        <vt:i4>1966132</vt:i4>
      </vt:variant>
      <vt:variant>
        <vt:i4>23</vt:i4>
      </vt:variant>
      <vt:variant>
        <vt:i4>0</vt:i4>
      </vt:variant>
      <vt:variant>
        <vt:i4>5</vt:i4>
      </vt:variant>
      <vt:variant>
        <vt:lpwstr/>
      </vt:variant>
      <vt:variant>
        <vt:lpwstr>_Toc152835412</vt:lpwstr>
      </vt:variant>
      <vt:variant>
        <vt:i4>1966132</vt:i4>
      </vt:variant>
      <vt:variant>
        <vt:i4>17</vt:i4>
      </vt:variant>
      <vt:variant>
        <vt:i4>0</vt:i4>
      </vt:variant>
      <vt:variant>
        <vt:i4>5</vt:i4>
      </vt:variant>
      <vt:variant>
        <vt:lpwstr/>
      </vt:variant>
      <vt:variant>
        <vt:lpwstr>_Toc152835411</vt:lpwstr>
      </vt:variant>
      <vt:variant>
        <vt:i4>6553644</vt:i4>
      </vt:variant>
      <vt:variant>
        <vt:i4>12</vt:i4>
      </vt:variant>
      <vt:variant>
        <vt:i4>0</vt:i4>
      </vt:variant>
      <vt:variant>
        <vt:i4>5</vt:i4>
      </vt:variant>
      <vt:variant>
        <vt:lpwstr>http://www.uts.edu.au/ippg</vt:lpwstr>
      </vt:variant>
      <vt:variant>
        <vt:lpwstr/>
      </vt:variant>
      <vt:variant>
        <vt:i4>6160426</vt:i4>
      </vt:variant>
      <vt:variant>
        <vt:i4>9</vt:i4>
      </vt:variant>
      <vt:variant>
        <vt:i4>0</vt:i4>
      </vt:variant>
      <vt:variant>
        <vt:i4>5</vt:i4>
      </vt:variant>
      <vt:variant>
        <vt:lpwstr>mailto:ippg@uts.edu.au</vt:lpwstr>
      </vt:variant>
      <vt:variant>
        <vt:lpwstr/>
      </vt:variant>
      <vt:variant>
        <vt:i4>7274540</vt:i4>
      </vt:variant>
      <vt:variant>
        <vt:i4>6</vt:i4>
      </vt:variant>
      <vt:variant>
        <vt:i4>0</vt:i4>
      </vt:variant>
      <vt:variant>
        <vt:i4>5</vt:i4>
      </vt:variant>
      <vt:variant>
        <vt:lpwstr>https://protect-au.mimecast.com/s/wZMiCZY1WDcWyzlzczGydb?domain=uts.edu.au</vt:lpwstr>
      </vt:variant>
      <vt:variant>
        <vt:lpwstr/>
      </vt:variant>
      <vt:variant>
        <vt:i4>7274540</vt:i4>
      </vt:variant>
      <vt:variant>
        <vt:i4>3</vt:i4>
      </vt:variant>
      <vt:variant>
        <vt:i4>0</vt:i4>
      </vt:variant>
      <vt:variant>
        <vt:i4>5</vt:i4>
      </vt:variant>
      <vt:variant>
        <vt:lpwstr>https://protect-au.mimecast.com/s/wZMiCZY1WDcWyzlzczGydb?domain=uts.edu.au</vt:lpwstr>
      </vt:variant>
      <vt:variant>
        <vt:lpwstr/>
      </vt:variant>
      <vt:variant>
        <vt:i4>5111837</vt:i4>
      </vt:variant>
      <vt:variant>
        <vt:i4>0</vt:i4>
      </vt:variant>
      <vt:variant>
        <vt:i4>0</vt:i4>
      </vt:variant>
      <vt:variant>
        <vt:i4>5</vt:i4>
      </vt:variant>
      <vt:variant>
        <vt:lpwstr>mailto:https://www.uts.edu.au/research/institute-public-policy-and-governance</vt:lpwstr>
      </vt:variant>
      <vt:variant>
        <vt:lpwstr/>
      </vt:variant>
      <vt:variant>
        <vt:i4>5242905</vt:i4>
      </vt:variant>
      <vt:variant>
        <vt:i4>153</vt:i4>
      </vt:variant>
      <vt:variant>
        <vt:i4>0</vt:i4>
      </vt:variant>
      <vt:variant>
        <vt:i4>5</vt:i4>
      </vt:variant>
      <vt:variant>
        <vt:lpwstr>https://jbi-global-wiki.refined.site/space/MANUAL</vt:lpwstr>
      </vt:variant>
      <vt:variant>
        <vt:lpwstr/>
      </vt:variant>
      <vt:variant>
        <vt:i4>7471143</vt:i4>
      </vt:variant>
      <vt:variant>
        <vt:i4>150</vt:i4>
      </vt:variant>
      <vt:variant>
        <vt:i4>0</vt:i4>
      </vt:variant>
      <vt:variant>
        <vt:i4>5</vt:i4>
      </vt:variant>
      <vt:variant>
        <vt:lpwstr>https://synthesismanual.jbi.global/</vt:lpwstr>
      </vt:variant>
      <vt:variant>
        <vt:lpwstr/>
      </vt:variant>
      <vt:variant>
        <vt:i4>4456523</vt:i4>
      </vt:variant>
      <vt:variant>
        <vt:i4>147</vt:i4>
      </vt:variant>
      <vt:variant>
        <vt:i4>0</vt:i4>
      </vt:variant>
      <vt:variant>
        <vt:i4>5</vt:i4>
      </vt:variant>
      <vt:variant>
        <vt:lpwstr>https://www.mentalhealthcommission.gov.au/projects/national-research-strategy</vt:lpwstr>
      </vt:variant>
      <vt:variant>
        <vt:lpwstr/>
      </vt:variant>
      <vt:variant>
        <vt:i4>2687087</vt:i4>
      </vt:variant>
      <vt:variant>
        <vt:i4>144</vt:i4>
      </vt:variant>
      <vt:variant>
        <vt:i4>0</vt:i4>
      </vt:variant>
      <vt:variant>
        <vt:i4>5</vt:i4>
      </vt:variant>
      <vt:variant>
        <vt:lpwstr>https://www.cmtedd.act.gov.au/policystrategic/the-office-of-lgbtiq-affairs/capital-of-equality-act-government-lgbtiq-strategy</vt:lpwstr>
      </vt:variant>
      <vt:variant>
        <vt:lpwstr>:~:text=The%20Capital%20of%20Equality%20Strategy,and%20marginalisation%20for%20LGBTIQ%2B%20Canberrans.</vt:lpwstr>
      </vt:variant>
      <vt:variant>
        <vt:i4>6291566</vt:i4>
      </vt:variant>
      <vt:variant>
        <vt:i4>141</vt:i4>
      </vt:variant>
      <vt:variant>
        <vt:i4>0</vt:i4>
      </vt:variant>
      <vt:variant>
        <vt:i4>5</vt:i4>
      </vt:variant>
      <vt:variant>
        <vt:lpwstr>https://www.mentalhealthcommission.gov.au/Projects/stigma-and-discrimination-reduction-strategy</vt:lpwstr>
      </vt:variant>
      <vt:variant>
        <vt:lpwstr/>
      </vt:variant>
      <vt:variant>
        <vt:i4>5308506</vt:i4>
      </vt:variant>
      <vt:variant>
        <vt:i4>138</vt:i4>
      </vt:variant>
      <vt:variant>
        <vt:i4>0</vt:i4>
      </vt:variant>
      <vt:variant>
        <vt:i4>5</vt:i4>
      </vt:variant>
      <vt:variant>
        <vt:lpwstr>https://www.cetc.org.au/the-needs-of-lgbtiq-young-people-in-out-of-home-care-research-brief/</vt:lpwstr>
      </vt:variant>
      <vt:variant>
        <vt:lpwstr/>
      </vt:variant>
      <vt:variant>
        <vt:i4>5308506</vt:i4>
      </vt:variant>
      <vt:variant>
        <vt:i4>135</vt:i4>
      </vt:variant>
      <vt:variant>
        <vt:i4>0</vt:i4>
      </vt:variant>
      <vt:variant>
        <vt:i4>5</vt:i4>
      </vt:variant>
      <vt:variant>
        <vt:lpwstr>https://www.cetc.org.au/the-needs-of-lgbtiq-young-people-in-out-of-home-care-research-brief/</vt:lpwstr>
      </vt:variant>
      <vt:variant>
        <vt:lpwstr/>
      </vt:variant>
      <vt:variant>
        <vt:i4>5767232</vt:i4>
      </vt:variant>
      <vt:variant>
        <vt:i4>132</vt:i4>
      </vt:variant>
      <vt:variant>
        <vt:i4>0</vt:i4>
      </vt:variant>
      <vt:variant>
        <vt:i4>5</vt:i4>
      </vt:variant>
      <vt:variant>
        <vt:lpwstr>https://doi.org/10.1016/j.chiabu.2022.105660</vt:lpwstr>
      </vt:variant>
      <vt:variant>
        <vt:lpwstr/>
      </vt:variant>
      <vt:variant>
        <vt:i4>1114199</vt:i4>
      </vt:variant>
      <vt:variant>
        <vt:i4>129</vt:i4>
      </vt:variant>
      <vt:variant>
        <vt:i4>0</vt:i4>
      </vt:variant>
      <vt:variant>
        <vt:i4>5</vt:i4>
      </vt:variant>
      <vt:variant>
        <vt:lpwstr>https://doi.org/10.1177/00048674221104744</vt:lpwstr>
      </vt:variant>
      <vt:variant>
        <vt:lpwstr/>
      </vt:variant>
      <vt:variant>
        <vt:i4>7536697</vt:i4>
      </vt:variant>
      <vt:variant>
        <vt:i4>126</vt:i4>
      </vt:variant>
      <vt:variant>
        <vt:i4>0</vt:i4>
      </vt:variant>
      <vt:variant>
        <vt:i4>5</vt:i4>
      </vt:variant>
      <vt:variant>
        <vt:lpwstr>https://doi.org/10.5204/ijcjsd.2225</vt:lpwstr>
      </vt:variant>
      <vt:variant>
        <vt:lpwstr/>
      </vt:variant>
      <vt:variant>
        <vt:i4>1114199</vt:i4>
      </vt:variant>
      <vt:variant>
        <vt:i4>123</vt:i4>
      </vt:variant>
      <vt:variant>
        <vt:i4>0</vt:i4>
      </vt:variant>
      <vt:variant>
        <vt:i4>5</vt:i4>
      </vt:variant>
      <vt:variant>
        <vt:lpwstr>https://doi.org/10.1177/00048674221104744</vt:lpwstr>
      </vt:variant>
      <vt:variant>
        <vt:lpwstr/>
      </vt:variant>
      <vt:variant>
        <vt:i4>1966152</vt:i4>
      </vt:variant>
      <vt:variant>
        <vt:i4>120</vt:i4>
      </vt:variant>
      <vt:variant>
        <vt:i4>0</vt:i4>
      </vt:variant>
      <vt:variant>
        <vt:i4>5</vt:i4>
      </vt:variant>
      <vt:variant>
        <vt:lpwstr>https://www.aihw.gov.au/reports/alcohol/alcohol-tobacco-other-drugs-australia/contents/population-groups-of-interest/patterns-of-consumption-by-drug-type</vt:lpwstr>
      </vt:variant>
      <vt:variant>
        <vt:lpwstr>tobacco.</vt:lpwstr>
      </vt:variant>
      <vt:variant>
        <vt:i4>2883622</vt:i4>
      </vt:variant>
      <vt:variant>
        <vt:i4>117</vt:i4>
      </vt:variant>
      <vt:variant>
        <vt:i4>0</vt:i4>
      </vt:variant>
      <vt:variant>
        <vt:i4>5</vt:i4>
      </vt:variant>
      <vt:variant>
        <vt:lpwstr>https://pridefoundation.org.au/wp-content/uploads/2020/07/Pride-Foundation-Australia-Submission-Federal-Parliamentary-Inquiry-into-Homelessness-2020-final.pdf</vt:lpwstr>
      </vt:variant>
      <vt:variant>
        <vt:lpwstr/>
      </vt:variant>
      <vt:variant>
        <vt:i4>3276920</vt:i4>
      </vt:variant>
      <vt:variant>
        <vt:i4>114</vt:i4>
      </vt:variant>
      <vt:variant>
        <vt:i4>0</vt:i4>
      </vt:variant>
      <vt:variant>
        <vt:i4>5</vt:i4>
      </vt:variant>
      <vt:variant>
        <vt:lpwstr>https://www.aihw.gov.au/reports/australias-health/social-determinants-of-health</vt:lpwstr>
      </vt:variant>
      <vt:variant>
        <vt:lpwstr/>
      </vt:variant>
      <vt:variant>
        <vt:i4>4915210</vt:i4>
      </vt:variant>
      <vt:variant>
        <vt:i4>111</vt:i4>
      </vt:variant>
      <vt:variant>
        <vt:i4>0</vt:i4>
      </vt:variant>
      <vt:variant>
        <vt:i4>5</vt:i4>
      </vt:variant>
      <vt:variant>
        <vt:lpwstr>https://www.evolves.com.au/aboriginal-diversity/</vt:lpwstr>
      </vt:variant>
      <vt:variant>
        <vt:lpwstr/>
      </vt:variant>
      <vt:variant>
        <vt:i4>1572865</vt:i4>
      </vt:variant>
      <vt:variant>
        <vt:i4>108</vt:i4>
      </vt:variant>
      <vt:variant>
        <vt:i4>0</vt:i4>
      </vt:variant>
      <vt:variant>
        <vt:i4>5</vt:i4>
      </vt:variant>
      <vt:variant>
        <vt:lpwstr>https://pursuit.unimelb.edu.au/articles/challenging-five-years-of-transphobia</vt:lpwstr>
      </vt:variant>
      <vt:variant>
        <vt:lpwstr/>
      </vt:variant>
      <vt:variant>
        <vt:i4>5046347</vt:i4>
      </vt:variant>
      <vt:variant>
        <vt:i4>105</vt:i4>
      </vt:variant>
      <vt:variant>
        <vt:i4>0</vt:i4>
      </vt:variant>
      <vt:variant>
        <vt:i4>5</vt:i4>
      </vt:variant>
      <vt:variant>
        <vt:lpwstr>https://psychology.org.au/community/advocacy-social-issues/lesbian-gay-bisexual-transgender-intersex</vt:lpwstr>
      </vt:variant>
      <vt:variant>
        <vt:lpwstr/>
      </vt:variant>
      <vt:variant>
        <vt:i4>4980812</vt:i4>
      </vt:variant>
      <vt:variant>
        <vt:i4>102</vt:i4>
      </vt:variant>
      <vt:variant>
        <vt:i4>0</vt:i4>
      </vt:variant>
      <vt:variant>
        <vt:i4>5</vt:i4>
      </vt:variant>
      <vt:variant>
        <vt:lpwstr>https://www.psychiatry.org/psychiatrists/diversity/education/transgender-and-gender-nonconforming-patients/gender-dysphoria-diagnosis</vt:lpwstr>
      </vt:variant>
      <vt:variant>
        <vt:lpwstr/>
      </vt:variant>
      <vt:variant>
        <vt:i4>4980812</vt:i4>
      </vt:variant>
      <vt:variant>
        <vt:i4>99</vt:i4>
      </vt:variant>
      <vt:variant>
        <vt:i4>0</vt:i4>
      </vt:variant>
      <vt:variant>
        <vt:i4>5</vt:i4>
      </vt:variant>
      <vt:variant>
        <vt:lpwstr>https://www.psychiatry.org/psychiatrists/diversity/education/transgender-and-gender-nonconforming-patients/gender-dysphoria-diagnosis</vt:lpwstr>
      </vt:variant>
      <vt:variant>
        <vt:lpwstr/>
      </vt:variant>
      <vt:variant>
        <vt:i4>4980812</vt:i4>
      </vt:variant>
      <vt:variant>
        <vt:i4>96</vt:i4>
      </vt:variant>
      <vt:variant>
        <vt:i4>0</vt:i4>
      </vt:variant>
      <vt:variant>
        <vt:i4>5</vt:i4>
      </vt:variant>
      <vt:variant>
        <vt:lpwstr>https://www.psychiatry.org/psychiatrists/diversity/education/transgender-and-gender-nonconforming-patients/gender-dysphoria-diagnosis</vt:lpwstr>
      </vt:variant>
      <vt:variant>
        <vt:lpwstr/>
      </vt:variant>
      <vt:variant>
        <vt:i4>7602276</vt:i4>
      </vt:variant>
      <vt:variant>
        <vt:i4>93</vt:i4>
      </vt:variant>
      <vt:variant>
        <vt:i4>0</vt:i4>
      </vt:variant>
      <vt:variant>
        <vt:i4>5</vt:i4>
      </vt:variant>
      <vt:variant>
        <vt:lpwstr>https://rainbowhealthaustralia.org.au/media/pages/research-resources/research-matters-trans-and-gender-diverse-health-and-wellbeing/80199998-1655786493/research-matters-trans-and-gender-diverse-health-and-wellbeing.pdf</vt:lpwstr>
      </vt:variant>
      <vt:variant>
        <vt:lpwstr/>
      </vt:variant>
      <vt:variant>
        <vt:i4>786443</vt:i4>
      </vt:variant>
      <vt:variant>
        <vt:i4>90</vt:i4>
      </vt:variant>
      <vt:variant>
        <vt:i4>0</vt:i4>
      </vt:variant>
      <vt:variant>
        <vt:i4>5</vt:i4>
      </vt:variant>
      <vt:variant>
        <vt:lpwstr>https://www.psychologytoday.com/us/blog/political-minds/202201/the-evidence-trans-youth-gender-affirming-medical-care</vt:lpwstr>
      </vt:variant>
      <vt:variant>
        <vt:lpwstr/>
      </vt:variant>
      <vt:variant>
        <vt:i4>6422568</vt:i4>
      </vt:variant>
      <vt:variant>
        <vt:i4>87</vt:i4>
      </vt:variant>
      <vt:variant>
        <vt:i4>0</vt:i4>
      </vt:variant>
      <vt:variant>
        <vt:i4>5</vt:i4>
      </vt:variant>
      <vt:variant>
        <vt:lpwstr>https://ministers.ag.gov.au/media-centre/australian-law-reform-commission-review-religious-exemptions-educational-institutions-extended-20-04-2023</vt:lpwstr>
      </vt:variant>
      <vt:variant>
        <vt:lpwstr/>
      </vt:variant>
      <vt:variant>
        <vt:i4>6553649</vt:i4>
      </vt:variant>
      <vt:variant>
        <vt:i4>84</vt:i4>
      </vt:variant>
      <vt:variant>
        <vt:i4>0</vt:i4>
      </vt:variant>
      <vt:variant>
        <vt:i4>5</vt:i4>
      </vt:variant>
      <vt:variant>
        <vt:lpwstr>https://humanrights.gov.au/about/news/media-releases/commission-welcomes-resolution-census-inclusion-complaint</vt:lpwstr>
      </vt:variant>
      <vt:variant>
        <vt:lpwstr/>
      </vt:variant>
      <vt:variant>
        <vt:i4>5701665</vt:i4>
      </vt:variant>
      <vt:variant>
        <vt:i4>81</vt:i4>
      </vt:variant>
      <vt:variant>
        <vt:i4>0</vt:i4>
      </vt:variant>
      <vt:variant>
        <vt:i4>5</vt:i4>
      </vt:variant>
      <vt:variant>
        <vt:lpwstr>https://www.lgbtiqhealth.org.au/understanding_suicide_among_tgd</vt:lpwstr>
      </vt:variant>
      <vt:variant>
        <vt:lpwstr/>
      </vt:variant>
      <vt:variant>
        <vt:i4>8060991</vt:i4>
      </vt:variant>
      <vt:variant>
        <vt:i4>78</vt:i4>
      </vt:variant>
      <vt:variant>
        <vt:i4>0</vt:i4>
      </vt:variant>
      <vt:variant>
        <vt:i4>5</vt:i4>
      </vt:variant>
      <vt:variant>
        <vt:lpwstr>https://doi.org/10.4102/hsag.v26i0.1487</vt:lpwstr>
      </vt:variant>
      <vt:variant>
        <vt:lpwstr/>
      </vt:variant>
      <vt:variant>
        <vt:i4>5308486</vt:i4>
      </vt:variant>
      <vt:variant>
        <vt:i4>75</vt:i4>
      </vt:variant>
      <vt:variant>
        <vt:i4>0</vt:i4>
      </vt:variant>
      <vt:variant>
        <vt:i4>5</vt:i4>
      </vt:variant>
      <vt:variant>
        <vt:lpwstr>https://doi.org/10.1016/j.copsyc.2023.101579</vt:lpwstr>
      </vt:variant>
      <vt:variant>
        <vt:lpwstr/>
      </vt:variant>
      <vt:variant>
        <vt:i4>2359334</vt:i4>
      </vt:variant>
      <vt:variant>
        <vt:i4>72</vt:i4>
      </vt:variant>
      <vt:variant>
        <vt:i4>0</vt:i4>
      </vt:variant>
      <vt:variant>
        <vt:i4>5</vt:i4>
      </vt:variant>
      <vt:variant>
        <vt:lpwstr>https://qlife.org.au/get-help/</vt:lpwstr>
      </vt:variant>
      <vt:variant>
        <vt:lpwstr/>
      </vt:variant>
      <vt:variant>
        <vt:i4>2949217</vt:i4>
      </vt:variant>
      <vt:variant>
        <vt:i4>69</vt:i4>
      </vt:variant>
      <vt:variant>
        <vt:i4>0</vt:i4>
      </vt:variant>
      <vt:variant>
        <vt:i4>5</vt:i4>
      </vt:variant>
      <vt:variant>
        <vt:lpwstr>https://monashhealth.org/services/gender-clinic/questions/</vt:lpwstr>
      </vt:variant>
      <vt:variant>
        <vt:lpwstr/>
      </vt:variant>
      <vt:variant>
        <vt:i4>3080245</vt:i4>
      </vt:variant>
      <vt:variant>
        <vt:i4>66</vt:i4>
      </vt:variant>
      <vt:variant>
        <vt:i4>0</vt:i4>
      </vt:variant>
      <vt:variant>
        <vt:i4>5</vt:i4>
      </vt:variant>
      <vt:variant>
        <vt:lpwstr>https://someone.health/lgbtq-psychologists/</vt:lpwstr>
      </vt:variant>
      <vt:variant>
        <vt:lpwstr/>
      </vt:variant>
      <vt:variant>
        <vt:i4>3080312</vt:i4>
      </vt:variant>
      <vt:variant>
        <vt:i4>63</vt:i4>
      </vt:variant>
      <vt:variant>
        <vt:i4>0</vt:i4>
      </vt:variant>
      <vt:variant>
        <vt:i4>5</vt:i4>
      </vt:variant>
      <vt:variant>
        <vt:lpwstr>https://pridecentre.org.au/resources/q-psychology/</vt:lpwstr>
      </vt:variant>
      <vt:variant>
        <vt:lpwstr/>
      </vt:variant>
      <vt:variant>
        <vt:i4>262167</vt:i4>
      </vt:variant>
      <vt:variant>
        <vt:i4>60</vt:i4>
      </vt:variant>
      <vt:variant>
        <vt:i4>0</vt:i4>
      </vt:variant>
      <vt:variant>
        <vt:i4>5</vt:i4>
      </vt:variant>
      <vt:variant>
        <vt:lpwstr>https://westvicphn.com.au/health-professionals/health-topics/priority-populations/lgbtiq/</vt:lpwstr>
      </vt:variant>
      <vt:variant>
        <vt:lpwstr/>
      </vt:variant>
      <vt:variant>
        <vt:i4>5898325</vt:i4>
      </vt:variant>
      <vt:variant>
        <vt:i4>57</vt:i4>
      </vt:variant>
      <vt:variant>
        <vt:i4>0</vt:i4>
      </vt:variant>
      <vt:variant>
        <vt:i4>5</vt:i4>
      </vt:variant>
      <vt:variant>
        <vt:lpwstr>https://www.wmq.org.au/mental-health/supporting-minds</vt:lpwstr>
      </vt:variant>
      <vt:variant>
        <vt:lpwstr/>
      </vt:variant>
      <vt:variant>
        <vt:i4>3276922</vt:i4>
      </vt:variant>
      <vt:variant>
        <vt:i4>54</vt:i4>
      </vt:variant>
      <vt:variant>
        <vt:i4>0</vt:i4>
      </vt:variant>
      <vt:variant>
        <vt:i4>5</vt:i4>
      </vt:variant>
      <vt:variant>
        <vt:lpwstr>https://twenty10.org.au/youth-services/</vt:lpwstr>
      </vt:variant>
      <vt:variant>
        <vt:lpwstr/>
      </vt:variant>
      <vt:variant>
        <vt:i4>6488069</vt:i4>
      </vt:variant>
      <vt:variant>
        <vt:i4>51</vt:i4>
      </vt:variant>
      <vt:variant>
        <vt:i4>0</vt:i4>
      </vt:variant>
      <vt:variant>
        <vt:i4>5</vt:i4>
      </vt:variant>
      <vt:variant>
        <vt:lpwstr>https://www.health.nsw.gov.au/news/Pages/20220419_01.aspx</vt:lpwstr>
      </vt:variant>
      <vt:variant>
        <vt:lpwstr/>
      </vt:variant>
      <vt:variant>
        <vt:i4>7864419</vt:i4>
      </vt:variant>
      <vt:variant>
        <vt:i4>48</vt:i4>
      </vt:variant>
      <vt:variant>
        <vt:i4>0</vt:i4>
      </vt:variant>
      <vt:variant>
        <vt:i4>5</vt:i4>
      </vt:variant>
      <vt:variant>
        <vt:lpwstr>https://www.acon.org.au/what-we-are-here-for/mental-health/</vt:lpwstr>
      </vt:variant>
      <vt:variant>
        <vt:lpwstr>lgbti-counselling</vt:lpwstr>
      </vt:variant>
      <vt:variant>
        <vt:i4>3211298</vt:i4>
      </vt:variant>
      <vt:variant>
        <vt:i4>45</vt:i4>
      </vt:variant>
      <vt:variant>
        <vt:i4>0</vt:i4>
      </vt:variant>
      <vt:variant>
        <vt:i4>5</vt:i4>
      </vt:variant>
      <vt:variant>
        <vt:lpwstr>https://standbysupport.com.au/</vt:lpwstr>
      </vt:variant>
      <vt:variant>
        <vt:lpwstr/>
      </vt:variant>
      <vt:variant>
        <vt:i4>2687011</vt:i4>
      </vt:variant>
      <vt:variant>
        <vt:i4>42</vt:i4>
      </vt:variant>
      <vt:variant>
        <vt:i4>0</vt:i4>
      </vt:variant>
      <vt:variant>
        <vt:i4>5</vt:i4>
      </vt:variant>
      <vt:variant>
        <vt:lpwstr>https://www.servicesaustralia.gov.au/mental-health-care-and-medicare?context=60092</vt:lpwstr>
      </vt:variant>
      <vt:variant>
        <vt:lpwstr/>
      </vt:variant>
      <vt:variant>
        <vt:i4>2031638</vt:i4>
      </vt:variant>
      <vt:variant>
        <vt:i4>39</vt:i4>
      </vt:variant>
      <vt:variant>
        <vt:i4>0</vt:i4>
      </vt:variant>
      <vt:variant>
        <vt:i4>5</vt:i4>
      </vt:variant>
      <vt:variant>
        <vt:lpwstr>https://www.aihw.gov.au/mental-health/overview/mental-health-services</vt:lpwstr>
      </vt:variant>
      <vt:variant>
        <vt:lpwstr/>
      </vt:variant>
      <vt:variant>
        <vt:i4>2687089</vt:i4>
      </vt:variant>
      <vt:variant>
        <vt:i4>36</vt:i4>
      </vt:variant>
      <vt:variant>
        <vt:i4>0</vt:i4>
      </vt:variant>
      <vt:variant>
        <vt:i4>5</vt:i4>
      </vt:variant>
      <vt:variant>
        <vt:lpwstr>https://content.vic.gov.au/sites/default/files/2022-02/Pride-in-our-future-Victorias-LGBTIQ%2B-strategy-2022-32.pdf</vt:lpwstr>
      </vt:variant>
      <vt:variant>
        <vt:lpwstr/>
      </vt:variant>
      <vt:variant>
        <vt:i4>2687089</vt:i4>
      </vt:variant>
      <vt:variant>
        <vt:i4>33</vt:i4>
      </vt:variant>
      <vt:variant>
        <vt:i4>0</vt:i4>
      </vt:variant>
      <vt:variant>
        <vt:i4>5</vt:i4>
      </vt:variant>
      <vt:variant>
        <vt:lpwstr>https://content.vic.gov.au/sites/default/files/2022-02/Pride-in-our-future-Victorias-LGBTIQ%2B-strategy-2022-32.pdf</vt:lpwstr>
      </vt:variant>
      <vt:variant>
        <vt:lpwstr/>
      </vt:variant>
      <vt:variant>
        <vt:i4>3342448</vt:i4>
      </vt:variant>
      <vt:variant>
        <vt:i4>30</vt:i4>
      </vt:variant>
      <vt:variant>
        <vt:i4>0</vt:i4>
      </vt:variant>
      <vt:variant>
        <vt:i4>5</vt:i4>
      </vt:variant>
      <vt:variant>
        <vt:lpwstr>https://www.health.tas.gov.au/sites/default/files/2023-11/rethink_2020_implementation_plan_2023-24.pdf</vt:lpwstr>
      </vt:variant>
      <vt:variant>
        <vt:lpwstr/>
      </vt:variant>
      <vt:variant>
        <vt:i4>8257647</vt:i4>
      </vt:variant>
      <vt:variant>
        <vt:i4>27</vt:i4>
      </vt:variant>
      <vt:variant>
        <vt:i4>0</vt:i4>
      </vt:variant>
      <vt:variant>
        <vt:i4>5</vt:i4>
      </vt:variant>
      <vt:variant>
        <vt:lpwstr>https://www.sahealth.sa.gov.au/wps/wcm/connect/public+content/sa+health+internet/about+us/publications+and+resources/plans/sa+mental+health+services+plan/sa+health+mental+health+services+plan</vt:lpwstr>
      </vt:variant>
      <vt:variant>
        <vt:lpwstr/>
      </vt:variant>
      <vt:variant>
        <vt:i4>5832719</vt:i4>
      </vt:variant>
      <vt:variant>
        <vt:i4>24</vt:i4>
      </vt:variant>
      <vt:variant>
        <vt:i4>0</vt:i4>
      </vt:variant>
      <vt:variant>
        <vt:i4>5</vt:i4>
      </vt:variant>
      <vt:variant>
        <vt:lpwstr>https://www.qmhc.qld.gov.au/shifting-minds-2023-2028</vt:lpwstr>
      </vt:variant>
      <vt:variant>
        <vt:lpwstr/>
      </vt:variant>
      <vt:variant>
        <vt:i4>2097250</vt:i4>
      </vt:variant>
      <vt:variant>
        <vt:i4>21</vt:i4>
      </vt:variant>
      <vt:variant>
        <vt:i4>0</vt:i4>
      </vt:variant>
      <vt:variant>
        <vt:i4>5</vt:i4>
      </vt:variant>
      <vt:variant>
        <vt:lpwstr>https://www.qmhc.qld.gov.au/strategic-planning/action-plans/every-life-phase-one</vt:lpwstr>
      </vt:variant>
      <vt:variant>
        <vt:lpwstr>:~:text=The%20Every%20life%20plan%20recognises,of%20people%20with%20lived%20experience</vt:lpwstr>
      </vt:variant>
      <vt:variant>
        <vt:i4>7733361</vt:i4>
      </vt:variant>
      <vt:variant>
        <vt:i4>18</vt:i4>
      </vt:variant>
      <vt:variant>
        <vt:i4>0</vt:i4>
      </vt:variant>
      <vt:variant>
        <vt:i4>5</vt:i4>
      </vt:variant>
      <vt:variant>
        <vt:lpwstr>https://www.health.nsw.gov.au/lgbtiq-health/Publications/lgbtiq-health-summary.pdf</vt:lpwstr>
      </vt:variant>
      <vt:variant>
        <vt:lpwstr/>
      </vt:variant>
      <vt:variant>
        <vt:i4>8126485</vt:i4>
      </vt:variant>
      <vt:variant>
        <vt:i4>15</vt:i4>
      </vt:variant>
      <vt:variant>
        <vt:i4>0</vt:i4>
      </vt:variant>
      <vt:variant>
        <vt:i4>5</vt:i4>
      </vt:variant>
      <vt:variant>
        <vt:lpwstr>https://www.cmtedd.act.gov.au/__data/assets/pdf_file/0006/1975218/Second-Action-Plan-April-2022.pdf</vt:lpwstr>
      </vt:variant>
      <vt:variant>
        <vt:lpwstr/>
      </vt:variant>
      <vt:variant>
        <vt:i4>5636178</vt:i4>
      </vt:variant>
      <vt:variant>
        <vt:i4>12</vt:i4>
      </vt:variant>
      <vt:variant>
        <vt:i4>0</vt:i4>
      </vt:variant>
      <vt:variant>
        <vt:i4>5</vt:i4>
      </vt:variant>
      <vt:variant>
        <vt:lpwstr>https://www.cmtedd.act.gov.au/policystrategic/the-office-of-lgbtiq-affairs/capital-of-equality-act-government-lgbtiq-strategy</vt:lpwstr>
      </vt:variant>
      <vt:variant>
        <vt:lpwstr>:~:text=In%202019%20the%20ACT%20Government,are%20visible%2C%20valued%2C%20respected.</vt:lpwstr>
      </vt:variant>
      <vt:variant>
        <vt:i4>1507336</vt:i4>
      </vt:variant>
      <vt:variant>
        <vt:i4>9</vt:i4>
      </vt:variant>
      <vt:variant>
        <vt:i4>0</vt:i4>
      </vt:variant>
      <vt:variant>
        <vt:i4>5</vt:i4>
      </vt:variant>
      <vt:variant>
        <vt:lpwstr>https://www.grants.gov.au/Go/Show?GoUuid=e69dca85-1fcb-4e39-872d-b1ced05bb58b</vt:lpwstr>
      </vt:variant>
      <vt:variant>
        <vt:lpwstr/>
      </vt:variant>
      <vt:variant>
        <vt:i4>262162</vt:i4>
      </vt:variant>
      <vt:variant>
        <vt:i4>6</vt:i4>
      </vt:variant>
      <vt:variant>
        <vt:i4>0</vt:i4>
      </vt:variant>
      <vt:variant>
        <vt:i4>5</vt:i4>
      </vt:variant>
      <vt:variant>
        <vt:lpwstr>https://www.health.gov.au/ministers/the-hon-mark-butler-mp/media/pathway-to-better-health-for-lgbtiqa-communities</vt:lpwstr>
      </vt:variant>
      <vt:variant>
        <vt:lpwstr/>
      </vt:variant>
      <vt:variant>
        <vt:i4>3473510</vt:i4>
      </vt:variant>
      <vt:variant>
        <vt:i4>3</vt:i4>
      </vt:variant>
      <vt:variant>
        <vt:i4>0</vt:i4>
      </vt:variant>
      <vt:variant>
        <vt:i4>5</vt:i4>
      </vt:variant>
      <vt:variant>
        <vt:lpwstr>https://equalityaustralia.org.au/abs-admits-new-recommendations-required-to-count-lgbtiq-people-properly-in-census/</vt:lpwstr>
      </vt:variant>
      <vt:variant>
        <vt:lpwstr/>
      </vt:variant>
      <vt:variant>
        <vt:i4>1769487</vt:i4>
      </vt:variant>
      <vt:variant>
        <vt:i4>0</vt:i4>
      </vt:variant>
      <vt:variant>
        <vt:i4>0</vt:i4>
      </vt:variant>
      <vt:variant>
        <vt:i4>5</vt:i4>
      </vt:variant>
      <vt:variant>
        <vt:lpwstr>https://www.abs.gov.au/media-centre/media-statements/statement-regret-2021-census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Translation Paper LGBTQ+ People and Mental Health Services Research</dc:title>
  <dc:subject>Mental Health</dc:subject>
  <dc:creator>Australian Governement Department of Health and Aged Care</dc:creator>
  <cp:keywords>Mental health and suicide prevention;LGBTI</cp:keywords>
  <dc:description/>
  <cp:lastModifiedBy>MASCHKE, Elvia</cp:lastModifiedBy>
  <cp:revision>2</cp:revision>
  <cp:lastPrinted>2023-12-19T06:38:00Z</cp:lastPrinted>
  <dcterms:created xsi:type="dcterms:W3CDTF">2025-01-31T05:08:00Z</dcterms:created>
  <dcterms:modified xsi:type="dcterms:W3CDTF">2025-01-31T05:08:00Z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0x010100A7DF337C811391409B6C212B2F959029</vt:lpwstr>
  </property>
</Properties>
</file>