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1011" w14:textId="5F31E078" w:rsidR="00D94EE2" w:rsidRPr="001C4089" w:rsidRDefault="00214BC4" w:rsidP="009B148F">
      <w:pPr>
        <w:rPr>
          <w:rStyle w:val="Heading1Char"/>
          <w:sz w:val="36"/>
          <w:szCs w:val="36"/>
        </w:rPr>
      </w:pPr>
      <w:r>
        <w:rPr>
          <w:noProof/>
        </w:rPr>
        <w:drawing>
          <wp:inline distT="0" distB="0" distL="0" distR="0" wp14:anchorId="6E21E39C" wp14:editId="4B156862">
            <wp:extent cx="5659755" cy="1255857"/>
            <wp:effectExtent l="0" t="0" r="0" b="0"/>
            <wp:docPr id="372157070" name="Picture 1" descr="University of Technology Sydn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57070" name="Picture 1" descr="University of Technology Sydney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926" cy="1259223"/>
                    </a:xfrm>
                    <a:prstGeom prst="rect">
                      <a:avLst/>
                    </a:prstGeom>
                    <a:noFill/>
                  </pic:spPr>
                </pic:pic>
              </a:graphicData>
            </a:graphic>
          </wp:inline>
        </w:drawing>
      </w:r>
      <w:r w:rsidR="00D94EE2" w:rsidRPr="001C4089">
        <w:rPr>
          <w:rStyle w:val="Heading1Char"/>
          <w:sz w:val="36"/>
          <w:szCs w:val="36"/>
        </w:rPr>
        <w:t>LGBT</w:t>
      </w:r>
      <w:r w:rsidR="00CD2161" w:rsidRPr="001C4089">
        <w:rPr>
          <w:rStyle w:val="Heading1Char"/>
          <w:sz w:val="36"/>
          <w:szCs w:val="36"/>
        </w:rPr>
        <w:t>Q</w:t>
      </w:r>
      <w:r w:rsidR="00D94EE2" w:rsidRPr="001C4089">
        <w:rPr>
          <w:rStyle w:val="Heading1Char"/>
          <w:sz w:val="36"/>
          <w:szCs w:val="36"/>
        </w:rPr>
        <w:t>+ People and Mental Health Services Research</w:t>
      </w:r>
    </w:p>
    <w:p w14:paraId="688FC84C" w14:textId="77777777" w:rsidR="00D107EE" w:rsidRPr="009B148F" w:rsidRDefault="00D94EE2" w:rsidP="009B148F">
      <w:pPr>
        <w:jc w:val="center"/>
        <w:rPr>
          <w:rStyle w:val="Strong"/>
        </w:rPr>
      </w:pPr>
      <w:r w:rsidRPr="009B148F">
        <w:rPr>
          <w:rStyle w:val="Strong"/>
        </w:rPr>
        <w:t>Conducted by a UTS-led research team fo</w:t>
      </w:r>
      <w:r w:rsidR="00D107EE" w:rsidRPr="009B148F">
        <w:rPr>
          <w:rStyle w:val="Strong"/>
        </w:rPr>
        <w:t>r</w:t>
      </w:r>
    </w:p>
    <w:p w14:paraId="55CF80A7" w14:textId="312160EA" w:rsidR="00366E8C" w:rsidRPr="009B148F" w:rsidRDefault="00D94EE2" w:rsidP="009B148F">
      <w:pPr>
        <w:jc w:val="center"/>
        <w:rPr>
          <w:rStyle w:val="Strong"/>
        </w:rPr>
      </w:pPr>
      <w:r w:rsidRPr="009B148F">
        <w:rPr>
          <w:rStyle w:val="Strong"/>
        </w:rPr>
        <w:t>Commonwealth Department of Health and Aged Care</w:t>
      </w:r>
    </w:p>
    <w:p w14:paraId="71FC9677" w14:textId="1C82C367" w:rsidR="005100BE" w:rsidRPr="006677AD" w:rsidRDefault="005100BE" w:rsidP="006677AD">
      <w:pPr>
        <w:pStyle w:val="Heading1"/>
        <w:spacing w:before="288"/>
      </w:pPr>
      <w:r w:rsidRPr="006677AD">
        <w:t>About the Research</w:t>
      </w:r>
    </w:p>
    <w:p w14:paraId="7A08036D" w14:textId="195E3F58" w:rsidR="00444943" w:rsidRDefault="0023726F" w:rsidP="009B148F">
      <w:pPr>
        <w:rPr>
          <w:lang w:eastAsia="en-AU"/>
        </w:rPr>
      </w:pPr>
      <w:r w:rsidRPr="251CE190">
        <w:rPr>
          <w:lang w:eastAsia="en-AU"/>
        </w:rPr>
        <w:t>In June 2023, the Department of Health and Aged Care contracted a U</w:t>
      </w:r>
      <w:r w:rsidR="00C07F6E" w:rsidRPr="251CE190">
        <w:rPr>
          <w:lang w:eastAsia="en-AU"/>
        </w:rPr>
        <w:t xml:space="preserve">niversity of Technology Sydney (UTS) </w:t>
      </w:r>
      <w:r w:rsidRPr="251CE190">
        <w:rPr>
          <w:lang w:eastAsia="en-AU"/>
        </w:rPr>
        <w:t>led research team</w:t>
      </w:r>
      <w:r w:rsidRPr="251CE190">
        <w:rPr>
          <w:vertAlign w:val="superscript"/>
          <w:lang w:eastAsia="en-AU"/>
        </w:rPr>
        <w:endnoteReference w:id="2"/>
      </w:r>
      <w:r w:rsidRPr="251CE190">
        <w:rPr>
          <w:lang w:eastAsia="en-AU"/>
        </w:rPr>
        <w:t xml:space="preserve"> to undertake an applied systematic literature review (SLR) to inform the preparation of a 10-Year National Action Plan for the Health and Wellbeing of </w:t>
      </w:r>
      <w:r w:rsidR="00B15C55" w:rsidRPr="251CE190">
        <w:rPr>
          <w:lang w:eastAsia="en-AU"/>
        </w:rPr>
        <w:t>LGBTIQA+ People</w:t>
      </w:r>
      <w:r w:rsidR="009D7B1A" w:rsidRPr="251CE190">
        <w:rPr>
          <w:lang w:eastAsia="en-AU"/>
        </w:rPr>
        <w:t xml:space="preserve"> (the Action Plan)</w:t>
      </w:r>
      <w:r w:rsidRPr="251CE190">
        <w:rPr>
          <w:lang w:eastAsia="en-AU"/>
        </w:rPr>
        <w:t xml:space="preserve">. </w:t>
      </w:r>
      <w:r w:rsidR="002F45B9" w:rsidRPr="251CE190">
        <w:rPr>
          <w:lang w:eastAsia="en-AU"/>
        </w:rPr>
        <w:t xml:space="preserve"> </w:t>
      </w:r>
    </w:p>
    <w:p w14:paraId="456D74F7" w14:textId="19EEDCB8" w:rsidR="00F60BD5" w:rsidRDefault="00C61EB6" w:rsidP="009B148F">
      <w:pPr>
        <w:rPr>
          <w:lang w:val="en-AU" w:eastAsia="en-AU"/>
        </w:rPr>
      </w:pPr>
      <w:r>
        <w:rPr>
          <w:lang w:val="en-AU" w:eastAsia="en-AU"/>
        </w:rPr>
        <w:t xml:space="preserve">Based </w:t>
      </w:r>
      <w:r w:rsidR="00AA0D62">
        <w:rPr>
          <w:lang w:val="en-AU" w:eastAsia="en-AU"/>
        </w:rPr>
        <w:t xml:space="preserve">on </w:t>
      </w:r>
      <w:r>
        <w:rPr>
          <w:lang w:val="en-AU" w:eastAsia="en-AU"/>
        </w:rPr>
        <w:t>t</w:t>
      </w:r>
      <w:r w:rsidR="002F45B9" w:rsidRPr="004D3D3A">
        <w:rPr>
          <w:lang w:val="en-AU" w:eastAsia="en-AU"/>
        </w:rPr>
        <w:t xml:space="preserve">he </w:t>
      </w:r>
      <w:r w:rsidR="004533CB">
        <w:rPr>
          <w:lang w:val="en-AU" w:eastAsia="en-AU"/>
        </w:rPr>
        <w:t xml:space="preserve">in-scope literature </w:t>
      </w:r>
      <w:r w:rsidR="004533CB" w:rsidRPr="004533CB">
        <w:rPr>
          <w:i/>
          <w:lang w:val="en-AU" w:eastAsia="en-AU"/>
        </w:rPr>
        <w:t xml:space="preserve">(see </w:t>
      </w:r>
      <w:r w:rsidR="00627CA1">
        <w:rPr>
          <w:i/>
          <w:lang w:val="en-AU" w:eastAsia="en-AU"/>
        </w:rPr>
        <w:t xml:space="preserve">details on </w:t>
      </w:r>
      <w:r w:rsidR="004533CB" w:rsidRPr="004533CB">
        <w:rPr>
          <w:i/>
          <w:lang w:val="en-AU" w:eastAsia="en-AU"/>
        </w:rPr>
        <w:t>page 2)</w:t>
      </w:r>
      <w:r w:rsidR="00801243">
        <w:rPr>
          <w:i/>
          <w:lang w:val="en-AU" w:eastAsia="en-AU"/>
        </w:rPr>
        <w:t>,</w:t>
      </w:r>
      <w:r w:rsidR="004533CB">
        <w:rPr>
          <w:lang w:val="en-AU" w:eastAsia="en-AU"/>
        </w:rPr>
        <w:t xml:space="preserve"> the specific </w:t>
      </w:r>
      <w:r w:rsidR="002F45B9" w:rsidRPr="004D3D3A">
        <w:rPr>
          <w:lang w:val="en-AU" w:eastAsia="en-AU"/>
        </w:rPr>
        <w:t xml:space="preserve">research </w:t>
      </w:r>
      <w:r w:rsidR="00627CA1">
        <w:rPr>
          <w:lang w:val="en-AU" w:eastAsia="en-AU"/>
        </w:rPr>
        <w:t>parameters</w:t>
      </w:r>
      <w:r w:rsidR="004533CB">
        <w:rPr>
          <w:lang w:val="en-AU" w:eastAsia="en-AU"/>
        </w:rPr>
        <w:t xml:space="preserve"> </w:t>
      </w:r>
      <w:r w:rsidR="00627CA1" w:rsidRPr="00627CA1">
        <w:rPr>
          <w:i/>
          <w:lang w:val="en-AU" w:eastAsia="en-AU"/>
        </w:rPr>
        <w:t xml:space="preserve">(see </w:t>
      </w:r>
      <w:r w:rsidR="004533CB" w:rsidRPr="00627CA1">
        <w:rPr>
          <w:i/>
          <w:lang w:val="en-AU" w:eastAsia="en-AU"/>
        </w:rPr>
        <w:t>below</w:t>
      </w:r>
      <w:r w:rsidR="00627CA1" w:rsidRPr="00627CA1">
        <w:rPr>
          <w:i/>
          <w:lang w:val="en-AU" w:eastAsia="en-AU"/>
        </w:rPr>
        <w:t>)</w:t>
      </w:r>
      <w:r w:rsidR="000800EA">
        <w:rPr>
          <w:i/>
          <w:lang w:val="en-AU" w:eastAsia="en-AU"/>
        </w:rPr>
        <w:t xml:space="preserve"> </w:t>
      </w:r>
      <w:r w:rsidR="000800EA">
        <w:rPr>
          <w:iCs/>
          <w:lang w:val="en-AU" w:eastAsia="en-AU"/>
        </w:rPr>
        <w:t>and feedback provided through independent review by sector experts</w:t>
      </w:r>
      <w:r>
        <w:rPr>
          <w:lang w:val="en-AU" w:eastAsia="en-AU"/>
        </w:rPr>
        <w:t xml:space="preserve">, the brief was </w:t>
      </w:r>
      <w:r w:rsidR="00444943">
        <w:rPr>
          <w:lang w:val="en-AU" w:eastAsia="en-AU"/>
        </w:rPr>
        <w:t xml:space="preserve">later </w:t>
      </w:r>
      <w:r w:rsidR="002F45B9" w:rsidRPr="004D3D3A">
        <w:rPr>
          <w:lang w:val="en-AU" w:eastAsia="en-AU"/>
        </w:rPr>
        <w:t xml:space="preserve">amended to </w:t>
      </w:r>
      <w:r w:rsidR="00E867CB">
        <w:rPr>
          <w:lang w:val="en-AU" w:eastAsia="en-AU"/>
        </w:rPr>
        <w:t>focus on</w:t>
      </w:r>
      <w:r w:rsidR="00627CA1">
        <w:rPr>
          <w:lang w:val="en-AU" w:eastAsia="en-AU"/>
        </w:rPr>
        <w:t xml:space="preserve"> </w:t>
      </w:r>
      <w:r w:rsidR="0083566C">
        <w:rPr>
          <w:lang w:val="en-AU" w:eastAsia="en-AU"/>
        </w:rPr>
        <w:t>L</w:t>
      </w:r>
      <w:r w:rsidR="009D7B1A">
        <w:rPr>
          <w:lang w:val="en-AU" w:eastAsia="en-AU"/>
        </w:rPr>
        <w:t xml:space="preserve">esbian, </w:t>
      </w:r>
      <w:r w:rsidR="0083566C">
        <w:rPr>
          <w:lang w:val="en-AU" w:eastAsia="en-AU"/>
        </w:rPr>
        <w:t>G</w:t>
      </w:r>
      <w:r w:rsidR="009D7B1A">
        <w:rPr>
          <w:lang w:val="en-AU" w:eastAsia="en-AU"/>
        </w:rPr>
        <w:t xml:space="preserve">ay, </w:t>
      </w:r>
      <w:r w:rsidR="0083566C">
        <w:rPr>
          <w:lang w:val="en-AU" w:eastAsia="en-AU"/>
        </w:rPr>
        <w:t>B</w:t>
      </w:r>
      <w:r w:rsidR="009D7B1A">
        <w:rPr>
          <w:lang w:val="en-AU" w:eastAsia="en-AU"/>
        </w:rPr>
        <w:t xml:space="preserve">isexual, </w:t>
      </w:r>
      <w:r w:rsidR="0083566C">
        <w:rPr>
          <w:lang w:val="en-AU" w:eastAsia="en-AU"/>
        </w:rPr>
        <w:t>T</w:t>
      </w:r>
      <w:r w:rsidR="009D7B1A">
        <w:rPr>
          <w:lang w:val="en-AU" w:eastAsia="en-AU"/>
        </w:rPr>
        <w:t xml:space="preserve">ransgender and gender diverse, and </w:t>
      </w:r>
      <w:r w:rsidR="00BF50F7">
        <w:rPr>
          <w:lang w:val="en-AU" w:eastAsia="en-AU"/>
        </w:rPr>
        <w:t>Q</w:t>
      </w:r>
      <w:r w:rsidR="009D7B1A">
        <w:rPr>
          <w:lang w:val="en-AU" w:eastAsia="en-AU"/>
        </w:rPr>
        <w:t>ueer</w:t>
      </w:r>
      <w:r w:rsidR="00BF50F7">
        <w:rPr>
          <w:lang w:val="en-AU" w:eastAsia="en-AU"/>
        </w:rPr>
        <w:t xml:space="preserve"> (LGBTQ+</w:t>
      </w:r>
      <w:r w:rsidR="00BF50F7">
        <w:rPr>
          <w:rStyle w:val="EndnoteReference"/>
          <w:rFonts w:eastAsia="Arial" w:cs="Cordia New"/>
          <w:lang w:val="en-AU" w:eastAsia="en-AU"/>
        </w:rPr>
        <w:endnoteReference w:id="3"/>
      </w:r>
      <w:r w:rsidR="00BF50F7">
        <w:rPr>
          <w:lang w:val="en-AU" w:eastAsia="en-AU"/>
        </w:rPr>
        <w:t xml:space="preserve">) </w:t>
      </w:r>
      <w:r w:rsidR="002F45B9" w:rsidRPr="004D3D3A">
        <w:rPr>
          <w:lang w:val="en-AU" w:eastAsia="en-AU"/>
        </w:rPr>
        <w:t>people</w:t>
      </w:r>
      <w:r w:rsidR="00F60BD5" w:rsidRPr="00F60BD5">
        <w:t xml:space="preserve"> </w:t>
      </w:r>
      <w:r w:rsidR="00F60BD5" w:rsidRPr="00F60BD5">
        <w:rPr>
          <w:lang w:val="en-AU" w:eastAsia="en-AU"/>
        </w:rPr>
        <w:t xml:space="preserve">with the expectation that other options will be explored to attend to the specific needs of asexual people and people with innate variations of sex characteristics (commonly shortened to intersex people). The Australian Government is aware of the unique health and wellbeing needs, and challenges faced by </w:t>
      </w:r>
      <w:r w:rsidR="00A37186">
        <w:rPr>
          <w:lang w:val="en-AU" w:eastAsia="en-AU"/>
        </w:rPr>
        <w:t xml:space="preserve">these groups and </w:t>
      </w:r>
      <w:r w:rsidR="0009107E">
        <w:rPr>
          <w:lang w:val="en-AU" w:eastAsia="en-AU"/>
        </w:rPr>
        <w:t xml:space="preserve">will </w:t>
      </w:r>
      <w:r w:rsidR="00A37186">
        <w:rPr>
          <w:lang w:val="en-AU" w:eastAsia="en-AU"/>
        </w:rPr>
        <w:t>other o</w:t>
      </w:r>
      <w:r w:rsidR="00F60BD5" w:rsidRPr="00F60BD5">
        <w:rPr>
          <w:lang w:val="en-AU" w:eastAsia="en-AU"/>
        </w:rPr>
        <w:t xml:space="preserve">ptions to further support this group, including exploring further research, will be considered as part of the development and ongoing consultation to support the </w:t>
      </w:r>
      <w:r w:rsidR="00B654A6">
        <w:rPr>
          <w:lang w:val="en-AU" w:eastAsia="en-AU"/>
        </w:rPr>
        <w:t>Action Plan.</w:t>
      </w:r>
      <w:r w:rsidR="00F60BD5">
        <w:rPr>
          <w:lang w:val="en-AU" w:eastAsia="en-AU"/>
        </w:rPr>
        <w:t xml:space="preserve"> </w:t>
      </w:r>
    </w:p>
    <w:p w14:paraId="2CD82B87" w14:textId="02E92642" w:rsidR="0023726F" w:rsidRPr="005100BE" w:rsidRDefault="00627CA1" w:rsidP="009B148F">
      <w:pPr>
        <w:rPr>
          <w:lang w:val="en-AU" w:eastAsia="en-AU"/>
        </w:rPr>
      </w:pPr>
      <w:r>
        <w:rPr>
          <w:lang w:val="en-AU" w:eastAsia="en-AU"/>
        </w:rPr>
        <w:t>T</w:t>
      </w:r>
      <w:r w:rsidR="0023726F" w:rsidRPr="005100BE">
        <w:rPr>
          <w:lang w:val="en-AU" w:eastAsia="en-AU"/>
        </w:rPr>
        <w:t xml:space="preserve">he targeted UTS-led research was to address three key research questions (KRQ):  </w:t>
      </w:r>
    </w:p>
    <w:p w14:paraId="0494630F" w14:textId="265AC9CA" w:rsidR="006D1D04" w:rsidRPr="00F72ECF" w:rsidRDefault="006D1D04" w:rsidP="00214BC4">
      <w:pPr>
        <w:pStyle w:val="ListNumber"/>
      </w:pPr>
      <w:r w:rsidRPr="00F72ECF">
        <w:t xml:space="preserve">For </w:t>
      </w:r>
      <w:r w:rsidRPr="00214BC4">
        <w:t>LGBTQ</w:t>
      </w:r>
      <w:r w:rsidRPr="00F72ECF">
        <w:t>+ people:</w:t>
      </w:r>
    </w:p>
    <w:p w14:paraId="5AD00D1D" w14:textId="77777777" w:rsidR="006677AD" w:rsidRDefault="006D1D04" w:rsidP="0058522A">
      <w:pPr>
        <w:pStyle w:val="ListContinue"/>
        <w:numPr>
          <w:ilvl w:val="0"/>
          <w:numId w:val="37"/>
        </w:numPr>
        <w:spacing w:before="120"/>
        <w:ind w:left="357" w:hanging="357"/>
      </w:pPr>
      <w:r w:rsidRPr="00214BC4">
        <w:t xml:space="preserve">What are the key causes of distress </w:t>
      </w:r>
      <w:proofErr w:type="gramStart"/>
      <w:r w:rsidRPr="00214BC4">
        <w:t>experienced</w:t>
      </w:r>
      <w:proofErr w:type="gramEnd"/>
      <w:r w:rsidRPr="00214BC4">
        <w:t xml:space="preserve"> that impact on their mental health or wellbeing, and/or increase their risk of suicidal behaviours?</w:t>
      </w:r>
    </w:p>
    <w:p w14:paraId="2C03052C" w14:textId="6787ABA0" w:rsidR="006D1D04" w:rsidRPr="00214BC4" w:rsidRDefault="006D1D04" w:rsidP="00361355">
      <w:pPr>
        <w:pStyle w:val="ListContinue"/>
        <w:numPr>
          <w:ilvl w:val="0"/>
          <w:numId w:val="37"/>
        </w:numPr>
        <w:ind w:left="357" w:hanging="357"/>
      </w:pPr>
      <w:r w:rsidRPr="00214BC4">
        <w:t xml:space="preserve">What are the key issues and barriers when accessing services for their mental health and/or suicide prevention services? </w:t>
      </w:r>
    </w:p>
    <w:p w14:paraId="0AEA44B3" w14:textId="2940BC5A" w:rsidR="006D1D04" w:rsidRPr="00F72ECF" w:rsidRDefault="006D1D04" w:rsidP="00214BC4">
      <w:pPr>
        <w:pStyle w:val="ListNumber"/>
      </w:pPr>
      <w:r w:rsidRPr="00F72ECF">
        <w:t xml:space="preserve">In respect to accessing services for mental health and suicide </w:t>
      </w:r>
      <w:proofErr w:type="gramStart"/>
      <w:r w:rsidRPr="00F72ECF">
        <w:t>prevention, and</w:t>
      </w:r>
      <w:proofErr w:type="gramEnd"/>
      <w:r w:rsidRPr="00F72ECF">
        <w:t xml:space="preserve"> based on a Departmental literature search of peer reviewed literature on mental health and/or suicide prevention services for </w:t>
      </w:r>
      <w:r w:rsidR="00627CA1">
        <w:t>LGBTQ+</w:t>
      </w:r>
      <w:r w:rsidRPr="00F72ECF">
        <w:t xml:space="preserve"> people in Australia and a comparator international context (UK)</w:t>
      </w:r>
      <w:r w:rsidRPr="00F72ECF">
        <w:rPr>
          <w:vertAlign w:val="superscript"/>
        </w:rPr>
        <w:endnoteReference w:id="4"/>
      </w:r>
      <w:r w:rsidRPr="00F72ECF">
        <w:t>.</w:t>
      </w:r>
    </w:p>
    <w:p w14:paraId="585A4717" w14:textId="0144F778" w:rsidR="006D1D04" w:rsidRPr="00214BC4" w:rsidRDefault="006D1D04" w:rsidP="00361355">
      <w:pPr>
        <w:pStyle w:val="ListContinue"/>
        <w:numPr>
          <w:ilvl w:val="0"/>
          <w:numId w:val="39"/>
        </w:numPr>
        <w:spacing w:before="120"/>
        <w:ind w:left="357" w:hanging="357"/>
      </w:pPr>
      <w:r w:rsidRPr="00214BC4">
        <w:t>What services are available and provided to LGBTQ+ peoples?</w:t>
      </w:r>
    </w:p>
    <w:p w14:paraId="1A6622D0" w14:textId="77777777" w:rsidR="006D1D04" w:rsidRPr="00214BC4" w:rsidRDefault="006D1D04" w:rsidP="00361355">
      <w:pPr>
        <w:pStyle w:val="ListContinue"/>
        <w:numPr>
          <w:ilvl w:val="0"/>
          <w:numId w:val="39"/>
        </w:numPr>
        <w:ind w:left="357" w:hanging="357"/>
      </w:pPr>
      <w:r w:rsidRPr="00214BC4">
        <w:t>What services were found to be effective?</w:t>
      </w:r>
    </w:p>
    <w:p w14:paraId="5B5236CA" w14:textId="77777777" w:rsidR="006D1D04" w:rsidRPr="00214BC4" w:rsidRDefault="006D1D04" w:rsidP="00361355">
      <w:pPr>
        <w:pStyle w:val="ListContinue"/>
        <w:numPr>
          <w:ilvl w:val="0"/>
          <w:numId w:val="39"/>
        </w:numPr>
        <w:ind w:left="357" w:hanging="357"/>
      </w:pPr>
      <w:r w:rsidRPr="00214BC4">
        <w:t>What service gaps or barriers were identified and what were their details?</w:t>
      </w:r>
    </w:p>
    <w:p w14:paraId="7C0CCA2E" w14:textId="6A13CE9B" w:rsidR="006D1D04" w:rsidRPr="00F72ECF" w:rsidRDefault="006D1D04" w:rsidP="00214BC4">
      <w:pPr>
        <w:pStyle w:val="ListNumber"/>
      </w:pPr>
      <w:r w:rsidRPr="00F72ECF">
        <w:lastRenderedPageBreak/>
        <w:t>What evidence-based insights can be drawn from the UK and Australian literature for Australia, to help inform policy development for the 10 Year National Action Plan for the Health and Wellbeing of LGBT</w:t>
      </w:r>
      <w:r w:rsidR="00A94A01">
        <w:t>I</w:t>
      </w:r>
      <w:r w:rsidRPr="00F72ECF">
        <w:t>Q</w:t>
      </w:r>
      <w:r w:rsidR="00A94A01">
        <w:t>A</w:t>
      </w:r>
      <w:r w:rsidRPr="00F72ECF">
        <w:t>+ people?</w:t>
      </w:r>
    </w:p>
    <w:p w14:paraId="642D3240" w14:textId="7314BAAE" w:rsidR="0023726F" w:rsidRPr="005100BE" w:rsidRDefault="00095771" w:rsidP="009B148F">
      <w:pPr>
        <w:rPr>
          <w:lang w:val="en-AU" w:eastAsia="en-AU"/>
        </w:rPr>
      </w:pPr>
      <w:r>
        <w:rPr>
          <w:lang w:val="en-AU" w:eastAsia="en-AU"/>
        </w:rPr>
        <w:t>To address these, t</w:t>
      </w:r>
      <w:r w:rsidR="0023726F" w:rsidRPr="005100BE">
        <w:rPr>
          <w:lang w:val="en-AU" w:eastAsia="en-AU"/>
        </w:rPr>
        <w:t>hree papers were prepared for the Department:</w:t>
      </w:r>
    </w:p>
    <w:p w14:paraId="134ABD66" w14:textId="2D363327" w:rsidR="00627CA1" w:rsidRPr="00627CA1" w:rsidRDefault="0023726F" w:rsidP="00214BC4">
      <w:pPr>
        <w:pStyle w:val="ListBullet"/>
        <w:rPr>
          <w:b/>
          <w:lang w:val="en-AU" w:eastAsia="en-AU"/>
        </w:rPr>
      </w:pPr>
      <w:r w:rsidRPr="00627CA1">
        <w:rPr>
          <w:b/>
          <w:lang w:val="en-AU" w:eastAsia="en-AU"/>
        </w:rPr>
        <w:t xml:space="preserve">Applied SLR </w:t>
      </w:r>
      <w:r w:rsidRPr="00627CA1">
        <w:rPr>
          <w:lang w:val="en-AU" w:eastAsia="en-AU"/>
        </w:rPr>
        <w:t>addressing KRQ 2 based on the 5</w:t>
      </w:r>
      <w:r w:rsidR="00E972FA" w:rsidRPr="00627CA1">
        <w:rPr>
          <w:lang w:val="en-AU" w:eastAsia="en-AU"/>
        </w:rPr>
        <w:t>6</w:t>
      </w:r>
      <w:r w:rsidRPr="00627CA1">
        <w:rPr>
          <w:lang w:val="en-AU" w:eastAsia="en-AU"/>
        </w:rPr>
        <w:t xml:space="preserve"> peer reviewed articles identified by the Department. This report included interpretation of review data with members of the UTS Rainbow Embassy and associates, comprised of LGBTQ+</w:t>
      </w:r>
      <w:r w:rsidR="00627CA1">
        <w:rPr>
          <w:lang w:val="en-AU" w:eastAsia="en-AU"/>
        </w:rPr>
        <w:t xml:space="preserve"> people with </w:t>
      </w:r>
      <w:r w:rsidR="00627CA1" w:rsidRPr="00627CA1">
        <w:rPr>
          <w:lang w:val="en-AU" w:eastAsia="en-AU"/>
        </w:rPr>
        <w:t>lived experience of mental health challenges</w:t>
      </w:r>
      <w:r w:rsidR="00627CA1" w:rsidRPr="00627CA1">
        <w:rPr>
          <w:vertAlign w:val="superscript"/>
          <w:lang w:val="en-AU" w:eastAsia="en-AU"/>
        </w:rPr>
        <w:endnoteReference w:id="5"/>
      </w:r>
      <w:r w:rsidR="00627CA1">
        <w:rPr>
          <w:lang w:val="en-AU" w:eastAsia="en-AU"/>
        </w:rPr>
        <w:t xml:space="preserve"> </w:t>
      </w:r>
      <w:r w:rsidR="00627CA1" w:rsidRPr="00627CA1">
        <w:rPr>
          <w:lang w:val="en-AU" w:eastAsia="en-AU"/>
        </w:rPr>
        <w:t>and/or suicidality, and of accessing mental health and suicide prevention services (intersecting lived experience).</w:t>
      </w:r>
      <w:r w:rsidR="00627CA1" w:rsidRPr="00627CA1">
        <w:rPr>
          <w:vertAlign w:val="superscript"/>
          <w:lang w:val="en-AU" w:eastAsia="en-AU"/>
        </w:rPr>
        <w:endnoteReference w:id="6"/>
      </w:r>
      <w:r w:rsidR="00627CA1" w:rsidRPr="00627CA1">
        <w:rPr>
          <w:b/>
          <w:vertAlign w:val="superscript"/>
          <w:lang w:val="en-AU" w:eastAsia="en-AU"/>
        </w:rPr>
        <w:t xml:space="preserve"> </w:t>
      </w:r>
    </w:p>
    <w:p w14:paraId="1BF0412F" w14:textId="77777777" w:rsidR="0023726F" w:rsidRPr="00627CA1" w:rsidRDefault="0023726F" w:rsidP="00214BC4">
      <w:pPr>
        <w:pStyle w:val="ListBullet"/>
        <w:rPr>
          <w:lang w:val="en-AU" w:eastAsia="en-AU"/>
        </w:rPr>
      </w:pPr>
      <w:r w:rsidRPr="00627CA1">
        <w:rPr>
          <w:b/>
          <w:lang w:val="en-AU" w:eastAsia="en-AU"/>
        </w:rPr>
        <w:t xml:space="preserve">Research Translation Paper </w:t>
      </w:r>
      <w:r w:rsidRPr="00627CA1">
        <w:rPr>
          <w:lang w:val="en-AU" w:eastAsia="en-AU"/>
        </w:rPr>
        <w:t>answering all three KRQ, including a summary of the Applied SLR</w:t>
      </w:r>
    </w:p>
    <w:p w14:paraId="679BAE53" w14:textId="77777777" w:rsidR="000876AB" w:rsidRPr="000876AB" w:rsidRDefault="0023726F" w:rsidP="00214BC4">
      <w:pPr>
        <w:pStyle w:val="ListBullet"/>
        <w:rPr>
          <w:lang w:val="en-AU" w:eastAsia="en-AU"/>
        </w:rPr>
      </w:pPr>
      <w:r w:rsidRPr="000876AB">
        <w:rPr>
          <w:b/>
          <w:lang w:val="en-AU" w:eastAsia="en-AU"/>
        </w:rPr>
        <w:t xml:space="preserve">A plain English </w:t>
      </w:r>
      <w:r w:rsidRPr="000876AB">
        <w:rPr>
          <w:lang w:val="en-AU" w:eastAsia="en-AU"/>
        </w:rPr>
        <w:t>summary of the above (this paper).</w:t>
      </w:r>
    </w:p>
    <w:p w14:paraId="4506A035" w14:textId="7BB8477E" w:rsidR="005100BE" w:rsidRPr="000876AB" w:rsidRDefault="005100BE" w:rsidP="00214BC4">
      <w:pPr>
        <w:pStyle w:val="Heading1"/>
        <w:spacing w:before="288"/>
        <w:rPr>
          <w:b w:val="0"/>
          <w:lang w:val="en-AU" w:eastAsia="en-AU"/>
        </w:rPr>
      </w:pPr>
      <w:r w:rsidRPr="000876AB">
        <w:rPr>
          <w:lang w:val="en-AU" w:eastAsia="en-AU"/>
        </w:rPr>
        <w:t>Background</w:t>
      </w:r>
    </w:p>
    <w:p w14:paraId="2A3CFAFB" w14:textId="553BB2A1" w:rsidR="005100BE" w:rsidRPr="005100BE" w:rsidRDefault="005100BE" w:rsidP="00E13400">
      <w:pPr>
        <w:pStyle w:val="Heading2"/>
        <w:spacing w:beforeLines="0" w:before="0"/>
        <w:rPr>
          <w:lang w:val="en-AU" w:eastAsia="en-AU"/>
        </w:rPr>
      </w:pPr>
      <w:r w:rsidRPr="005100BE">
        <w:rPr>
          <w:lang w:val="en-AU" w:eastAsia="en-AU"/>
        </w:rPr>
        <w:t xml:space="preserve">What do we know about Australia’s LGBTQ+ </w:t>
      </w:r>
      <w:r w:rsidR="00B902C9">
        <w:rPr>
          <w:lang w:val="en-AU" w:eastAsia="en-AU"/>
        </w:rPr>
        <w:t>c</w:t>
      </w:r>
      <w:r w:rsidRPr="005100BE">
        <w:rPr>
          <w:lang w:val="en-AU" w:eastAsia="en-AU"/>
        </w:rPr>
        <w:t>ommunity?</w:t>
      </w:r>
    </w:p>
    <w:p w14:paraId="00752DFA" w14:textId="49241851" w:rsidR="005100BE" w:rsidRPr="005100BE" w:rsidRDefault="005100BE" w:rsidP="009B148F">
      <w:pPr>
        <w:rPr>
          <w:lang w:val="en-AU"/>
        </w:rPr>
      </w:pPr>
      <w:r w:rsidRPr="005100BE">
        <w:rPr>
          <w:lang w:val="en-AU"/>
        </w:rPr>
        <w:t>While there are substantive gaps and limitations to the available data</w:t>
      </w:r>
      <w:r w:rsidRPr="005100BE">
        <w:rPr>
          <w:vertAlign w:val="superscript"/>
          <w:lang w:val="en-AU"/>
        </w:rPr>
        <w:endnoteReference w:id="7"/>
      </w:r>
      <w:r w:rsidRPr="005100BE">
        <w:rPr>
          <w:lang w:val="en-AU"/>
        </w:rPr>
        <w:t>, estimates from the Victorian Agency for Health suggest that upwards of 5.7% of the population identify as Gay/Lesbian (1.8%), Bisexual/Queer/Pansexual (3</w:t>
      </w:r>
      <w:r w:rsidR="00A266A8">
        <w:rPr>
          <w:lang w:val="en-AU"/>
        </w:rPr>
        <w:t>.0</w:t>
      </w:r>
      <w:r w:rsidRPr="005100BE">
        <w:rPr>
          <w:lang w:val="en-AU"/>
        </w:rPr>
        <w:t>%), Transgender or gender diverse (0.2%), Intersex (0.2%) and Asexual/Other (0.4%).</w:t>
      </w:r>
      <w:r w:rsidRPr="005100BE">
        <w:rPr>
          <w:vertAlign w:val="superscript"/>
          <w:lang w:val="en-AU"/>
        </w:rPr>
        <w:endnoteReference w:id="8"/>
      </w:r>
      <w:r w:rsidRPr="005100BE">
        <w:rPr>
          <w:lang w:val="en-AU"/>
        </w:rPr>
        <w:t xml:space="preserve"> </w:t>
      </w:r>
      <w:r w:rsidR="00627CA1">
        <w:rPr>
          <w:lang w:val="en-AU"/>
        </w:rPr>
        <w:t xml:space="preserve">Many </w:t>
      </w:r>
      <w:r w:rsidRPr="005100BE">
        <w:rPr>
          <w:lang w:val="en-AU"/>
        </w:rPr>
        <w:t xml:space="preserve">researchers </w:t>
      </w:r>
      <w:r w:rsidR="00627CA1">
        <w:rPr>
          <w:lang w:val="en-AU"/>
        </w:rPr>
        <w:t xml:space="preserve">however </w:t>
      </w:r>
      <w:r w:rsidRPr="005100BE">
        <w:rPr>
          <w:lang w:val="en-AU"/>
        </w:rPr>
        <w:t xml:space="preserve">argue that </w:t>
      </w:r>
      <w:r w:rsidR="00627CA1">
        <w:rPr>
          <w:lang w:val="en-AU"/>
        </w:rPr>
        <w:t xml:space="preserve">actual </w:t>
      </w:r>
      <w:r w:rsidRPr="005100BE">
        <w:rPr>
          <w:lang w:val="en-AU"/>
        </w:rPr>
        <w:t>figures are higher still.</w:t>
      </w:r>
      <w:r w:rsidRPr="005100BE">
        <w:rPr>
          <w:vertAlign w:val="superscript"/>
          <w:lang w:val="en-AU"/>
        </w:rPr>
        <w:endnoteReference w:id="9"/>
      </w:r>
      <w:r w:rsidRPr="005100BE">
        <w:rPr>
          <w:lang w:val="en-AU"/>
        </w:rPr>
        <w:t xml:space="preserve"> </w:t>
      </w:r>
    </w:p>
    <w:p w14:paraId="2A718B8A" w14:textId="196A4ECD" w:rsidR="005100BE" w:rsidRPr="005100BE" w:rsidRDefault="2A5881C3" w:rsidP="009B148F">
      <w:pPr>
        <w:rPr>
          <w:lang w:val="en-AU"/>
        </w:rPr>
      </w:pPr>
      <w:r>
        <w:rPr>
          <w:lang w:val="en-AU"/>
        </w:rPr>
        <w:t>The data that is</w:t>
      </w:r>
      <w:r w:rsidR="184CA97D" w:rsidRPr="005100BE">
        <w:rPr>
          <w:lang w:val="en-AU"/>
        </w:rPr>
        <w:t xml:space="preserve"> available indicates that </w:t>
      </w:r>
      <w:r w:rsidR="00DD5448">
        <w:rPr>
          <w:lang w:val="en-AU"/>
        </w:rPr>
        <w:t>LGBTQ+</w:t>
      </w:r>
      <w:r w:rsidR="184CA97D" w:rsidRPr="005100BE">
        <w:rPr>
          <w:lang w:val="en-AU"/>
        </w:rPr>
        <w:t xml:space="preserve"> people experience higher rates of mental health challenges and suicidality than the general population.</w:t>
      </w:r>
      <w:r w:rsidR="005100BE" w:rsidRPr="005100BE">
        <w:rPr>
          <w:vertAlign w:val="superscript"/>
          <w:lang w:val="en-AU"/>
        </w:rPr>
        <w:endnoteReference w:id="10"/>
      </w:r>
      <w:r w:rsidR="184CA97D" w:rsidRPr="005100BE">
        <w:rPr>
          <w:lang w:val="en-AU"/>
        </w:rPr>
        <w:t xml:space="preserve"> </w:t>
      </w:r>
      <w:r w:rsidR="003E6742">
        <w:rPr>
          <w:lang w:val="en-AU"/>
        </w:rPr>
        <w:t>For example,</w:t>
      </w:r>
      <w:r>
        <w:rPr>
          <w:lang w:val="en-AU"/>
        </w:rPr>
        <w:t xml:space="preserve"> </w:t>
      </w:r>
      <w:r w:rsidR="4196420E">
        <w:rPr>
          <w:lang w:val="en-AU"/>
        </w:rPr>
        <w:t>the</w:t>
      </w:r>
      <w:r w:rsidR="1CCDAE53">
        <w:rPr>
          <w:lang w:val="en-AU"/>
        </w:rPr>
        <w:t xml:space="preserve"> </w:t>
      </w:r>
      <w:r w:rsidR="7E9DFE0B" w:rsidRPr="186C9C28">
        <w:rPr>
          <w:i/>
          <w:iCs/>
          <w:lang w:val="en-AU"/>
        </w:rPr>
        <w:t>National Study of Mental Health and Wellbeing 2022</w:t>
      </w:r>
      <w:r w:rsidR="7E9DFE0B" w:rsidRPr="000546EB">
        <w:rPr>
          <w:lang w:val="en-AU"/>
        </w:rPr>
        <w:t xml:space="preserve"> found that more than half of GLB+ respondents reported having a diagnosis of any mental health </w:t>
      </w:r>
      <w:r w:rsidR="005D5D4D">
        <w:rPr>
          <w:lang w:val="en-AU"/>
        </w:rPr>
        <w:t xml:space="preserve">condition </w:t>
      </w:r>
      <w:r w:rsidR="7E9DFE0B" w:rsidRPr="000546EB">
        <w:rPr>
          <w:lang w:val="en-AU"/>
        </w:rPr>
        <w:t xml:space="preserve">in the past 12 months (59%), compared to only 20% of heterosexual respondents. </w:t>
      </w:r>
      <w:r w:rsidR="003E6742">
        <w:rPr>
          <w:lang w:val="en-AU"/>
        </w:rPr>
        <w:t xml:space="preserve">Further, </w:t>
      </w:r>
      <w:r w:rsidR="7E9DFE0B" w:rsidRPr="000546EB">
        <w:rPr>
          <w:lang w:val="en-AU"/>
        </w:rPr>
        <w:t>33% of transgender respondents had a diagnosis in the 12 months preceding the survey, compared to 21% of cisgender respondents.</w:t>
      </w:r>
      <w:r w:rsidR="00C13FBD">
        <w:rPr>
          <w:rStyle w:val="EndnoteReference"/>
          <w:rFonts w:eastAsia="Arial" w:cs="Cordia New"/>
          <w:lang w:val="en-AU"/>
        </w:rPr>
        <w:endnoteReference w:id="11"/>
      </w:r>
      <w:r w:rsidR="184CA97D" w:rsidRPr="005100BE">
        <w:rPr>
          <w:lang w:val="en-AU"/>
        </w:rPr>
        <w:t xml:space="preserve"> Emerging evidence also suggests that </w:t>
      </w:r>
      <w:r w:rsidR="00DD5448">
        <w:rPr>
          <w:lang w:val="en-AU"/>
        </w:rPr>
        <w:t>LGBTQ+</w:t>
      </w:r>
      <w:r w:rsidR="184CA97D" w:rsidRPr="005100BE">
        <w:rPr>
          <w:lang w:val="en-AU"/>
        </w:rPr>
        <w:t xml:space="preserve"> people with intersecting identities and experiences (e.g. </w:t>
      </w:r>
      <w:r w:rsidR="00DD5448">
        <w:rPr>
          <w:lang w:val="en-AU"/>
        </w:rPr>
        <w:t>LGBTQ+</w:t>
      </w:r>
      <w:r w:rsidR="184CA97D" w:rsidRPr="005100BE">
        <w:rPr>
          <w:lang w:val="en-AU"/>
        </w:rPr>
        <w:t xml:space="preserve"> people with disability) </w:t>
      </w:r>
      <w:r w:rsidR="00581219" w:rsidRPr="186C9C28">
        <w:rPr>
          <w:lang w:val="en-AU"/>
        </w:rPr>
        <w:t xml:space="preserve">are at even greater risk of </w:t>
      </w:r>
      <w:r w:rsidR="184CA97D" w:rsidRPr="005100BE">
        <w:rPr>
          <w:lang w:val="en-AU"/>
        </w:rPr>
        <w:t>poor mental health</w:t>
      </w:r>
      <w:r w:rsidR="00DA606B">
        <w:rPr>
          <w:lang w:val="en-AU"/>
        </w:rPr>
        <w:t xml:space="preserve"> and suicide</w:t>
      </w:r>
      <w:r w:rsidR="184CA97D" w:rsidRPr="005100BE">
        <w:rPr>
          <w:lang w:val="en-AU"/>
        </w:rPr>
        <w:t xml:space="preserve"> outcome</w:t>
      </w:r>
      <w:r w:rsidR="00DA606B">
        <w:rPr>
          <w:lang w:val="en-AU"/>
        </w:rPr>
        <w:t>s</w:t>
      </w:r>
      <w:r w:rsidR="184CA97D" w:rsidRPr="005100BE">
        <w:rPr>
          <w:lang w:val="en-AU"/>
        </w:rPr>
        <w:t xml:space="preserve">. </w:t>
      </w:r>
    </w:p>
    <w:p w14:paraId="6102FE0E" w14:textId="77777777" w:rsidR="005100BE" w:rsidRPr="005100BE" w:rsidRDefault="005100BE" w:rsidP="00214BC4">
      <w:pPr>
        <w:pStyle w:val="Heading2"/>
        <w:spacing w:before="288"/>
        <w:rPr>
          <w:lang w:val="en-AU" w:eastAsia="en-AU"/>
        </w:rPr>
      </w:pPr>
      <w:r w:rsidRPr="005100BE">
        <w:rPr>
          <w:lang w:val="en-AU" w:eastAsia="en-AU"/>
        </w:rPr>
        <w:t xml:space="preserve">What do we know about the mental health policy and service landscape in Australia? </w:t>
      </w:r>
    </w:p>
    <w:p w14:paraId="4AD94B05" w14:textId="0E1736C1" w:rsidR="005100BE" w:rsidRPr="005100BE" w:rsidRDefault="47D9E085" w:rsidP="009B148F">
      <w:pPr>
        <w:rPr>
          <w:lang w:val="en-AU" w:eastAsia="en-AU"/>
        </w:rPr>
      </w:pPr>
      <w:r w:rsidRPr="2C550601">
        <w:rPr>
          <w:lang w:val="en-AU" w:eastAsia="en-AU"/>
        </w:rPr>
        <w:t>The</w:t>
      </w:r>
      <w:r w:rsidR="7A078311" w:rsidRPr="2C550601">
        <w:rPr>
          <w:lang w:val="en-AU" w:eastAsia="en-AU"/>
        </w:rPr>
        <w:t xml:space="preserve">re </w:t>
      </w:r>
      <w:r w:rsidR="00FA4291">
        <w:rPr>
          <w:lang w:val="en-AU" w:eastAsia="en-AU"/>
        </w:rPr>
        <w:t>is</w:t>
      </w:r>
      <w:r w:rsidR="06874F1C" w:rsidRPr="2C550601">
        <w:rPr>
          <w:lang w:val="en-AU" w:eastAsia="en-AU"/>
        </w:rPr>
        <w:t xml:space="preserve"> </w:t>
      </w:r>
      <w:r w:rsidR="74D06892" w:rsidRPr="2C550601">
        <w:rPr>
          <w:lang w:val="en-AU" w:eastAsia="en-AU"/>
        </w:rPr>
        <w:t xml:space="preserve">a </w:t>
      </w:r>
      <w:r w:rsidR="06874F1C" w:rsidRPr="2C550601">
        <w:rPr>
          <w:lang w:val="en-AU" w:eastAsia="en-AU"/>
        </w:rPr>
        <w:t>diverse</w:t>
      </w:r>
      <w:r w:rsidR="712FA2A1" w:rsidRPr="2C550601">
        <w:rPr>
          <w:lang w:val="en-AU" w:eastAsia="en-AU"/>
        </w:rPr>
        <w:t xml:space="preserve"> </w:t>
      </w:r>
      <w:r w:rsidR="0D1A39CB" w:rsidRPr="2C550601">
        <w:rPr>
          <w:lang w:val="en-AU" w:eastAsia="en-AU"/>
        </w:rPr>
        <w:t xml:space="preserve">range and distribution </w:t>
      </w:r>
      <w:r w:rsidR="237BF257" w:rsidRPr="2C550601">
        <w:rPr>
          <w:lang w:val="en-AU" w:eastAsia="en-AU"/>
        </w:rPr>
        <w:t xml:space="preserve">of </w:t>
      </w:r>
      <w:r w:rsidR="712FA2A1" w:rsidRPr="2C550601">
        <w:rPr>
          <w:lang w:val="en-AU" w:eastAsia="en-AU"/>
        </w:rPr>
        <w:t xml:space="preserve">services </w:t>
      </w:r>
      <w:r w:rsidR="6E69D22E" w:rsidRPr="2C550601">
        <w:rPr>
          <w:lang w:val="en-AU" w:eastAsia="en-AU"/>
        </w:rPr>
        <w:t>to</w:t>
      </w:r>
      <w:r w:rsidR="712FA2A1" w:rsidRPr="2C550601">
        <w:rPr>
          <w:lang w:val="en-AU" w:eastAsia="en-AU"/>
        </w:rPr>
        <w:t xml:space="preserve"> </w:t>
      </w:r>
      <w:r w:rsidR="00DD5448">
        <w:rPr>
          <w:lang w:val="en-AU" w:eastAsia="en-AU"/>
        </w:rPr>
        <w:t>LGBTQ+</w:t>
      </w:r>
      <w:r w:rsidR="184CA97D" w:rsidRPr="2C550601">
        <w:rPr>
          <w:lang w:val="en-AU" w:eastAsia="en-AU"/>
        </w:rPr>
        <w:t xml:space="preserve"> people in Australia </w:t>
      </w:r>
      <w:r w:rsidR="00442017" w:rsidRPr="2C550601">
        <w:rPr>
          <w:lang w:val="en-AU" w:eastAsia="en-AU"/>
        </w:rPr>
        <w:t xml:space="preserve">who need support related to </w:t>
      </w:r>
      <w:r w:rsidR="184CA97D" w:rsidRPr="2C550601">
        <w:rPr>
          <w:lang w:val="en-AU" w:eastAsia="en-AU"/>
        </w:rPr>
        <w:t>mental health, wellbeing, and suicide prevention. Reflecting the broader health system, these services are administered, funded, and delivered through a mix of Commonwealth, state/territory, private</w:t>
      </w:r>
      <w:r w:rsidR="54605B8C" w:rsidRPr="2C550601">
        <w:rPr>
          <w:lang w:val="en-AU" w:eastAsia="en-AU"/>
        </w:rPr>
        <w:t xml:space="preserve">, </w:t>
      </w:r>
      <w:r w:rsidR="184CA97D" w:rsidRPr="2C550601">
        <w:rPr>
          <w:lang w:val="en-AU" w:eastAsia="en-AU"/>
        </w:rPr>
        <w:t>not-for-profit</w:t>
      </w:r>
      <w:r w:rsidR="00FA4291">
        <w:rPr>
          <w:lang w:val="en-AU" w:eastAsia="en-AU"/>
        </w:rPr>
        <w:t>,</w:t>
      </w:r>
      <w:r w:rsidR="54605B8C" w:rsidRPr="2C550601">
        <w:rPr>
          <w:lang w:val="en-AU" w:eastAsia="en-AU"/>
        </w:rPr>
        <w:t xml:space="preserve"> and community-controlled</w:t>
      </w:r>
      <w:r w:rsidR="184CA97D" w:rsidRPr="2C550601">
        <w:rPr>
          <w:lang w:val="en-AU" w:eastAsia="en-AU"/>
        </w:rPr>
        <w:t xml:space="preserve"> mechanisms. </w:t>
      </w:r>
    </w:p>
    <w:p w14:paraId="0D1FDE94" w14:textId="298B6861" w:rsidR="005100BE" w:rsidRPr="00B72AAB" w:rsidRDefault="184CA97D" w:rsidP="009B148F">
      <w:pPr>
        <w:rPr>
          <w:lang w:val="en-AU" w:eastAsia="en-AU"/>
        </w:rPr>
      </w:pPr>
      <w:r w:rsidRPr="00B72AAB">
        <w:rPr>
          <w:lang w:val="en-AU" w:eastAsia="en-AU"/>
        </w:rPr>
        <w:t>While most of the services available are designed for the general community</w:t>
      </w:r>
      <w:r w:rsidR="005100BE" w:rsidRPr="005100BE">
        <w:rPr>
          <w:vertAlign w:val="superscript"/>
          <w:lang w:val="en-AU" w:eastAsia="en-AU"/>
        </w:rPr>
        <w:endnoteReference w:id="12"/>
      </w:r>
      <w:r w:rsidRPr="00B72AAB">
        <w:rPr>
          <w:lang w:val="en-AU" w:eastAsia="en-AU"/>
        </w:rPr>
        <w:t xml:space="preserve">, there is also a patchwork of services which are </w:t>
      </w:r>
      <w:r w:rsidR="07830329">
        <w:rPr>
          <w:lang w:val="en-AU" w:eastAsia="en-AU"/>
        </w:rPr>
        <w:t xml:space="preserve">designed specifically </w:t>
      </w:r>
      <w:r w:rsidRPr="00B72AAB">
        <w:rPr>
          <w:lang w:val="en-AU" w:eastAsia="en-AU"/>
        </w:rPr>
        <w:t xml:space="preserve">for </w:t>
      </w:r>
      <w:r w:rsidR="00DD5448">
        <w:rPr>
          <w:lang w:val="en-AU" w:eastAsia="en-AU"/>
        </w:rPr>
        <w:t>LGBTQ+</w:t>
      </w:r>
      <w:r w:rsidRPr="00B72AAB">
        <w:rPr>
          <w:lang w:val="en-AU" w:eastAsia="en-AU"/>
        </w:rPr>
        <w:t xml:space="preserve"> people (referred to as </w:t>
      </w:r>
      <w:r w:rsidR="00DD5448">
        <w:rPr>
          <w:lang w:val="en-AU" w:eastAsia="en-AU"/>
        </w:rPr>
        <w:t>LGBTQ+</w:t>
      </w:r>
      <w:r w:rsidR="4E166236" w:rsidRPr="00B72AAB">
        <w:rPr>
          <w:lang w:val="en-AU" w:eastAsia="en-AU"/>
        </w:rPr>
        <w:t xml:space="preserve"> </w:t>
      </w:r>
      <w:r w:rsidR="143567ED" w:rsidRPr="7CE10AFC">
        <w:rPr>
          <w:lang w:val="en-AU" w:eastAsia="en-AU"/>
        </w:rPr>
        <w:t>s</w:t>
      </w:r>
      <w:r w:rsidRPr="00B72AAB">
        <w:rPr>
          <w:lang w:val="en-AU" w:eastAsia="en-AU"/>
        </w:rPr>
        <w:t>pecific services).</w:t>
      </w:r>
      <w:r w:rsidR="005100BE" w:rsidRPr="005100BE">
        <w:rPr>
          <w:vertAlign w:val="superscript"/>
          <w:lang w:val="en-AU" w:eastAsia="en-AU"/>
        </w:rPr>
        <w:endnoteReference w:id="13"/>
      </w:r>
      <w:r w:rsidRPr="00B72AAB">
        <w:rPr>
          <w:lang w:val="en-AU" w:eastAsia="en-AU"/>
        </w:rPr>
        <w:t xml:space="preserve"> However, t</w:t>
      </w:r>
      <w:r w:rsidR="003E6742">
        <w:rPr>
          <w:lang w:val="en-AU" w:eastAsia="en-AU"/>
        </w:rPr>
        <w:t xml:space="preserve">hese specialised </w:t>
      </w:r>
      <w:r w:rsidRPr="00B72AAB">
        <w:rPr>
          <w:lang w:val="en-AU" w:eastAsia="en-AU"/>
        </w:rPr>
        <w:t>services are limited</w:t>
      </w:r>
      <w:r w:rsidR="003E6742">
        <w:rPr>
          <w:lang w:val="en-AU" w:eastAsia="en-AU"/>
        </w:rPr>
        <w:t>,</w:t>
      </w:r>
      <w:r w:rsidR="003E6742" w:rsidRPr="00B72AAB">
        <w:rPr>
          <w:lang w:val="en-AU" w:eastAsia="en-AU"/>
        </w:rPr>
        <w:t xml:space="preserve"> </w:t>
      </w:r>
      <w:r w:rsidRPr="00B72AAB">
        <w:rPr>
          <w:lang w:val="en-AU" w:eastAsia="en-AU"/>
        </w:rPr>
        <w:t>with only a small number of services providing state-wide or national coverage. Evidence suggests that many mainstream mental health services are not well equipped to provide best practice care for LGBTQ+ people</w:t>
      </w:r>
      <w:r w:rsidR="003E6742" w:rsidRPr="00B72AAB">
        <w:rPr>
          <w:lang w:val="en-AU" w:eastAsia="en-AU"/>
        </w:rPr>
        <w:t xml:space="preserve"> and </w:t>
      </w:r>
      <w:r w:rsidRPr="00B72AAB">
        <w:rPr>
          <w:lang w:val="en-AU" w:eastAsia="en-AU"/>
        </w:rPr>
        <w:t xml:space="preserve">can be experienced as discriminatory, </w:t>
      </w:r>
      <w:proofErr w:type="spellStart"/>
      <w:r w:rsidR="47389025">
        <w:rPr>
          <w:lang w:val="en-AU" w:eastAsia="en-AU"/>
        </w:rPr>
        <w:t>pathologi</w:t>
      </w:r>
      <w:r w:rsidR="3C7A085A" w:rsidRPr="7CE10AFC">
        <w:rPr>
          <w:lang w:val="en-AU" w:eastAsia="en-AU"/>
        </w:rPr>
        <w:t>s</w:t>
      </w:r>
      <w:r w:rsidR="47389025">
        <w:rPr>
          <w:lang w:val="en-AU" w:eastAsia="en-AU"/>
        </w:rPr>
        <w:t>ing</w:t>
      </w:r>
      <w:proofErr w:type="spellEnd"/>
      <w:r w:rsidR="47389025">
        <w:rPr>
          <w:lang w:val="en-AU" w:eastAsia="en-AU"/>
        </w:rPr>
        <w:t>,</w:t>
      </w:r>
      <w:r w:rsidRPr="00B72AAB">
        <w:rPr>
          <w:lang w:val="en-AU" w:eastAsia="en-AU"/>
        </w:rPr>
        <w:t xml:space="preserve"> and traumatising.</w:t>
      </w:r>
    </w:p>
    <w:p w14:paraId="1AAA8C7D" w14:textId="53FA5B04" w:rsidR="005100BE" w:rsidRPr="005100BE" w:rsidRDefault="184CA97D" w:rsidP="009B148F">
      <w:pPr>
        <w:rPr>
          <w:lang w:val="en-AU" w:eastAsia="en-AU"/>
        </w:rPr>
      </w:pPr>
      <w:r w:rsidRPr="005100BE">
        <w:rPr>
          <w:lang w:val="en-AU" w:eastAsia="en-AU"/>
        </w:rPr>
        <w:lastRenderedPageBreak/>
        <w:t xml:space="preserve">There are various policies, strategies, and other mechanisms already in place at the Commonwealth and state/territory levels which are seeking to improve outcomes and services for </w:t>
      </w:r>
      <w:r w:rsidR="00DD5448">
        <w:rPr>
          <w:lang w:val="en-AU" w:eastAsia="en-AU"/>
        </w:rPr>
        <w:t>LGBTQ+</w:t>
      </w:r>
      <w:r w:rsidRPr="005100BE">
        <w:rPr>
          <w:lang w:val="en-AU" w:eastAsia="en-AU"/>
        </w:rPr>
        <w:t xml:space="preserve"> people. This includes dedicated </w:t>
      </w:r>
      <w:r w:rsidR="00DD5448">
        <w:rPr>
          <w:lang w:val="en-AU" w:eastAsia="en-AU"/>
        </w:rPr>
        <w:t>LGBTQ+</w:t>
      </w:r>
      <w:r w:rsidRPr="005100BE">
        <w:rPr>
          <w:lang w:val="en-AU" w:eastAsia="en-AU"/>
        </w:rPr>
        <w:t xml:space="preserve"> health or whole-of-government strategies in at least five state and territories, as well as ongoing lived experience input provided through permanent advisory infrastructure. Various community organisations, education providers and industry bodies</w:t>
      </w:r>
      <w:r w:rsidR="712007CB">
        <w:rPr>
          <w:lang w:val="en-AU" w:eastAsia="en-AU"/>
        </w:rPr>
        <w:t xml:space="preserve"> </w:t>
      </w:r>
      <w:r w:rsidRPr="005100BE">
        <w:rPr>
          <w:lang w:val="en-AU" w:eastAsia="en-AU"/>
        </w:rPr>
        <w:t xml:space="preserve">are also promoting new strategies, best practice guides and other resources to support mental health and </w:t>
      </w:r>
      <w:r w:rsidR="581F49D5" w:rsidRPr="005100BE">
        <w:rPr>
          <w:lang w:val="en-AU" w:eastAsia="en-AU"/>
        </w:rPr>
        <w:t xml:space="preserve">suicide </w:t>
      </w:r>
      <w:r w:rsidRPr="005100BE">
        <w:rPr>
          <w:lang w:val="en-AU" w:eastAsia="en-AU"/>
        </w:rPr>
        <w:t xml:space="preserve">prevention for </w:t>
      </w:r>
      <w:r w:rsidR="00DD5448">
        <w:rPr>
          <w:lang w:val="en-AU" w:eastAsia="en-AU"/>
        </w:rPr>
        <w:t>LGBTQ+</w:t>
      </w:r>
      <w:r w:rsidRPr="005100BE">
        <w:rPr>
          <w:lang w:val="en-AU" w:eastAsia="en-AU"/>
        </w:rPr>
        <w:t xml:space="preserve"> people </w:t>
      </w:r>
      <w:r w:rsidR="5812D8F0">
        <w:rPr>
          <w:lang w:val="en-AU" w:eastAsia="en-AU"/>
        </w:rPr>
        <w:t>(e.g.</w:t>
      </w:r>
      <w:r w:rsidR="005351C2">
        <w:rPr>
          <w:lang w:val="en-AU" w:eastAsia="en-AU"/>
        </w:rPr>
        <w:t>,</w:t>
      </w:r>
      <w:r w:rsidRPr="005100BE">
        <w:rPr>
          <w:lang w:val="en-AU" w:eastAsia="en-AU"/>
        </w:rPr>
        <w:t xml:space="preserve"> </w:t>
      </w:r>
      <w:r w:rsidRPr="005100BE">
        <w:rPr>
          <w:lang w:val="en-AU"/>
        </w:rPr>
        <w:t xml:space="preserve">LGBTIQ+ Health Australia’s </w:t>
      </w:r>
      <w:r w:rsidRPr="2C550601">
        <w:rPr>
          <w:i/>
          <w:iCs/>
          <w:lang w:val="en-AU"/>
        </w:rPr>
        <w:t>2021-26 Strategy</w:t>
      </w:r>
      <w:r w:rsidR="5812D8F0">
        <w:rPr>
          <w:lang w:val="en-AU"/>
        </w:rPr>
        <w:t>)</w:t>
      </w:r>
      <w:r w:rsidR="00E30926">
        <w:rPr>
          <w:rStyle w:val="EndnoteReference"/>
          <w:rFonts w:eastAsia="Arial" w:cs="Cordia New"/>
          <w:lang w:val="en-AU"/>
        </w:rPr>
        <w:endnoteReference w:id="14"/>
      </w:r>
      <w:r w:rsidRPr="005100BE">
        <w:rPr>
          <w:lang w:val="en-AU" w:eastAsia="en-AU"/>
        </w:rPr>
        <w:t>.</w:t>
      </w:r>
    </w:p>
    <w:p w14:paraId="1BDC5E25" w14:textId="57C04D2F" w:rsidR="005100BE" w:rsidRPr="0058522A" w:rsidRDefault="005100BE" w:rsidP="000745E8">
      <w:pPr>
        <w:pStyle w:val="Heading3"/>
        <w:spacing w:before="288"/>
      </w:pPr>
      <w:r w:rsidRPr="0058522A">
        <w:t>KRQ 1: Causes of Distress</w:t>
      </w:r>
    </w:p>
    <w:p w14:paraId="701476E6" w14:textId="186AE6F1" w:rsidR="005100BE" w:rsidRPr="005100BE" w:rsidRDefault="005100BE" w:rsidP="009B148F">
      <w:pPr>
        <w:rPr>
          <w:lang w:val="en-AU"/>
        </w:rPr>
      </w:pPr>
      <w:r w:rsidRPr="005100BE">
        <w:rPr>
          <w:lang w:val="en-AU"/>
        </w:rPr>
        <w:t xml:space="preserve">The research indicates that there is no single or uniform set of factors which determine mental health, wellbeing, and suicide prevention outcomes for Australia’s LGBTQ+ population. As with the general population, causes of distress (referred to as ‘stressors’) are complex and include a diversity of structural, psychosocial, and biological factors. </w:t>
      </w:r>
    </w:p>
    <w:p w14:paraId="5C223E01" w14:textId="4D8660B2" w:rsidR="005100BE" w:rsidRPr="005100BE" w:rsidRDefault="184CA97D" w:rsidP="009B148F">
      <w:pPr>
        <w:rPr>
          <w:lang w:val="en-AU"/>
        </w:rPr>
      </w:pPr>
      <w:r w:rsidRPr="2C550601">
        <w:rPr>
          <w:lang w:val="en-AU"/>
        </w:rPr>
        <w:t xml:space="preserve">Researchers have, however, identified specific external stressors that LGBTQ+ can experience, including, </w:t>
      </w:r>
      <w:r w:rsidR="005351C2">
        <w:rPr>
          <w:lang w:val="en-AU"/>
        </w:rPr>
        <w:t>though</w:t>
      </w:r>
      <w:r w:rsidRPr="2C550601">
        <w:rPr>
          <w:lang w:val="en-AU"/>
        </w:rPr>
        <w:t xml:space="preserve"> not limited to:</w:t>
      </w:r>
    </w:p>
    <w:p w14:paraId="28B18E4C" w14:textId="77777777" w:rsidR="005100BE" w:rsidRPr="00214BC4" w:rsidRDefault="005100BE" w:rsidP="00214BC4">
      <w:pPr>
        <w:pStyle w:val="ListBullet"/>
      </w:pPr>
      <w:proofErr w:type="spellStart"/>
      <w:r w:rsidRPr="00214BC4">
        <w:t>Stigmatisation</w:t>
      </w:r>
      <w:proofErr w:type="spellEnd"/>
      <w:r w:rsidRPr="00214BC4">
        <w:t xml:space="preserve">, discrimination, and </w:t>
      </w:r>
      <w:proofErr w:type="spellStart"/>
      <w:r w:rsidRPr="00214BC4">
        <w:t>marginalisation</w:t>
      </w:r>
      <w:proofErr w:type="spellEnd"/>
      <w:r w:rsidRPr="00214BC4">
        <w:t xml:space="preserve"> </w:t>
      </w:r>
    </w:p>
    <w:p w14:paraId="3EACBC98" w14:textId="77777777" w:rsidR="005100BE" w:rsidRPr="00214BC4" w:rsidRDefault="005100BE" w:rsidP="00214BC4">
      <w:pPr>
        <w:pStyle w:val="ListBullet"/>
      </w:pPr>
      <w:proofErr w:type="spellStart"/>
      <w:r w:rsidRPr="00214BC4">
        <w:t>Victimisation</w:t>
      </w:r>
      <w:proofErr w:type="spellEnd"/>
      <w:r w:rsidRPr="00214BC4">
        <w:t>, bullying and violence</w:t>
      </w:r>
    </w:p>
    <w:p w14:paraId="03CBFBE6" w14:textId="77777777" w:rsidR="005100BE" w:rsidRPr="00214BC4" w:rsidRDefault="005100BE" w:rsidP="00214BC4">
      <w:pPr>
        <w:pStyle w:val="ListBullet"/>
      </w:pPr>
      <w:r w:rsidRPr="00214BC4">
        <w:t xml:space="preserve">Rejection, isolation, and loneliness from both family and peers. </w:t>
      </w:r>
    </w:p>
    <w:p w14:paraId="438B5084" w14:textId="37385F9C" w:rsidR="005100BE" w:rsidRPr="005100BE" w:rsidRDefault="184CA97D" w:rsidP="009B148F">
      <w:pPr>
        <w:rPr>
          <w:lang w:val="en-AU"/>
        </w:rPr>
      </w:pPr>
      <w:r w:rsidRPr="005100BE">
        <w:rPr>
          <w:lang w:val="en-AU"/>
        </w:rPr>
        <w:t xml:space="preserve">As described </w:t>
      </w:r>
      <w:r w:rsidR="1C332947" w:rsidRPr="186C9C28">
        <w:rPr>
          <w:lang w:val="en-AU"/>
        </w:rPr>
        <w:t>by</w:t>
      </w:r>
      <w:r w:rsidR="7DA6D1BB">
        <w:rPr>
          <w:lang w:val="en-AU"/>
        </w:rPr>
        <w:t xml:space="preserve"> </w:t>
      </w:r>
      <w:r w:rsidRPr="005100BE">
        <w:rPr>
          <w:lang w:val="en-AU"/>
        </w:rPr>
        <w:t>Meyer (2003)</w:t>
      </w:r>
      <w:r w:rsidR="7DA6D1BB">
        <w:rPr>
          <w:lang w:val="en-AU"/>
        </w:rPr>
        <w:t>’s Minority Stress Theory</w:t>
      </w:r>
      <w:r w:rsidR="005100BE" w:rsidRPr="005100BE">
        <w:rPr>
          <w:vertAlign w:val="superscript"/>
          <w:lang w:val="en-AU"/>
        </w:rPr>
        <w:endnoteReference w:id="15"/>
      </w:r>
      <w:r w:rsidRPr="005100BE">
        <w:rPr>
          <w:lang w:val="en-AU"/>
        </w:rPr>
        <w:t xml:space="preserve">, exposure to external stressors can drive internal stressors such as internalised stigma, anticipation of rejection, and fear of harm. These stressors can also erode protective factors which support resilience and positive mental health, such as access to social support and structural resources, including employment, housing, and healthcare. </w:t>
      </w:r>
    </w:p>
    <w:p w14:paraId="529CA700" w14:textId="7E20864C" w:rsidR="005100BE" w:rsidRPr="005100BE" w:rsidRDefault="184CA97D" w:rsidP="009B148F">
      <w:pPr>
        <w:rPr>
          <w:lang w:val="en-AU"/>
        </w:rPr>
      </w:pPr>
      <w:r w:rsidRPr="2C550601">
        <w:rPr>
          <w:lang w:val="en-AU"/>
        </w:rPr>
        <w:t xml:space="preserve">While all LGBTQ+ </w:t>
      </w:r>
      <w:r w:rsidR="3B97EE9B" w:rsidRPr="2C550601">
        <w:rPr>
          <w:lang w:val="en-AU"/>
        </w:rPr>
        <w:t xml:space="preserve">people </w:t>
      </w:r>
      <w:r w:rsidR="005100BE" w:rsidRPr="2C550601">
        <w:rPr>
          <w:lang w:val="en-AU"/>
        </w:rPr>
        <w:t xml:space="preserve">have the potential to </w:t>
      </w:r>
      <w:r w:rsidRPr="2C550601">
        <w:rPr>
          <w:lang w:val="en-AU"/>
        </w:rPr>
        <w:t xml:space="preserve">be exposed to the </w:t>
      </w:r>
      <w:r w:rsidR="005351C2">
        <w:rPr>
          <w:lang w:val="en-AU"/>
        </w:rPr>
        <w:t xml:space="preserve">external and internal </w:t>
      </w:r>
      <w:r w:rsidRPr="2C550601">
        <w:rPr>
          <w:lang w:val="en-AU"/>
        </w:rPr>
        <w:t xml:space="preserve">stressors outlined above, exposure </w:t>
      </w:r>
      <w:r w:rsidR="5C457C02" w:rsidRPr="2C550601">
        <w:rPr>
          <w:lang w:val="en-AU"/>
        </w:rPr>
        <w:t>varies</w:t>
      </w:r>
      <w:r w:rsidRPr="2C550601">
        <w:rPr>
          <w:lang w:val="en-AU"/>
        </w:rPr>
        <w:t xml:space="preserve"> with respect to individual, subgroup, </w:t>
      </w:r>
      <w:r w:rsidR="005351C2">
        <w:rPr>
          <w:lang w:val="en-AU"/>
        </w:rPr>
        <w:t xml:space="preserve">as well as </w:t>
      </w:r>
      <w:r w:rsidRPr="2C550601">
        <w:rPr>
          <w:lang w:val="en-AU"/>
        </w:rPr>
        <w:t>sociopolitical factors</w:t>
      </w:r>
      <w:r w:rsidR="317A8F28" w:rsidRPr="2C550601">
        <w:rPr>
          <w:lang w:val="en-AU"/>
        </w:rPr>
        <w:t>.</w:t>
      </w:r>
      <w:r w:rsidRPr="2C550601">
        <w:rPr>
          <w:lang w:val="en-AU"/>
        </w:rPr>
        <w:t xml:space="preserve"> For example, research has identified </w:t>
      </w:r>
      <w:r w:rsidR="005351C2">
        <w:rPr>
          <w:lang w:val="en-AU"/>
        </w:rPr>
        <w:t xml:space="preserve">additional and specific </w:t>
      </w:r>
      <w:r w:rsidRPr="2C550601">
        <w:rPr>
          <w:lang w:val="en-AU"/>
        </w:rPr>
        <w:t xml:space="preserve">stressors related to LGBTQ+ subgroups (e.g., </w:t>
      </w:r>
      <w:r w:rsidR="2B630959" w:rsidRPr="2C550601">
        <w:rPr>
          <w:lang w:val="en-AU"/>
        </w:rPr>
        <w:t>transgender people)</w:t>
      </w:r>
      <w:r w:rsidRPr="2C550601">
        <w:rPr>
          <w:lang w:val="en-AU"/>
        </w:rPr>
        <w:t xml:space="preserve"> and those with intersecting identities (e.g., LGBTQ+ </w:t>
      </w:r>
      <w:r w:rsidR="703B4619" w:rsidRPr="2C550601">
        <w:rPr>
          <w:lang w:val="en-AU"/>
        </w:rPr>
        <w:t xml:space="preserve">from culturally and linguistically diverse </w:t>
      </w:r>
      <w:r w:rsidR="0414765B" w:rsidRPr="2C550601">
        <w:rPr>
          <w:lang w:val="en-AU"/>
        </w:rPr>
        <w:t xml:space="preserve">[CALD] </w:t>
      </w:r>
      <w:r w:rsidR="703B4619" w:rsidRPr="2C550601">
        <w:rPr>
          <w:lang w:val="en-AU"/>
        </w:rPr>
        <w:t>backgrounds</w:t>
      </w:r>
      <w:r w:rsidRPr="2C550601">
        <w:rPr>
          <w:lang w:val="en-AU"/>
        </w:rPr>
        <w:t xml:space="preserve">). </w:t>
      </w:r>
    </w:p>
    <w:p w14:paraId="5EBF9D0A" w14:textId="77777777" w:rsidR="005100BE" w:rsidRPr="00214BC4" w:rsidRDefault="005100BE" w:rsidP="00214BC4">
      <w:pPr>
        <w:pStyle w:val="Heading3"/>
        <w:spacing w:before="288"/>
      </w:pPr>
      <w:r w:rsidRPr="00214BC4">
        <w:t>KRQ 2: Mental health and suicide prevention services effectiveness</w:t>
      </w:r>
    </w:p>
    <w:p w14:paraId="77F87401" w14:textId="0F620FDC" w:rsidR="005100BE" w:rsidRPr="005100BE" w:rsidRDefault="184CA97D" w:rsidP="009B148F">
      <w:pPr>
        <w:rPr>
          <w:lang w:val="en-AU" w:eastAsia="en-AU"/>
        </w:rPr>
      </w:pPr>
      <w:r w:rsidRPr="2C550601">
        <w:rPr>
          <w:lang w:val="en-AU" w:eastAsia="en-AU"/>
        </w:rPr>
        <w:t xml:space="preserve">A definitive answer regarding the effectiveness of services could not be provided based on the literature included within the </w:t>
      </w:r>
      <w:r w:rsidR="005351C2">
        <w:rPr>
          <w:lang w:val="en-AU" w:eastAsia="en-AU"/>
        </w:rPr>
        <w:t xml:space="preserve">applied </w:t>
      </w:r>
      <w:r w:rsidRPr="2C550601">
        <w:rPr>
          <w:lang w:val="en-AU" w:eastAsia="en-AU"/>
        </w:rPr>
        <w:t xml:space="preserve">SLR research scope. However, findings of the review provide important insights into the current state of service provision </w:t>
      </w:r>
      <w:r w:rsidR="005351C2">
        <w:rPr>
          <w:lang w:val="en-AU" w:eastAsia="en-AU"/>
        </w:rPr>
        <w:t>as</w:t>
      </w:r>
      <w:r w:rsidRPr="2C550601">
        <w:rPr>
          <w:lang w:val="en-AU" w:eastAsia="en-AU"/>
        </w:rPr>
        <w:t xml:space="preserve"> summarised below: </w:t>
      </w:r>
    </w:p>
    <w:p w14:paraId="11872F5F" w14:textId="003DBDB5" w:rsidR="005100BE" w:rsidRPr="0002478E" w:rsidRDefault="005100BE" w:rsidP="0002478E">
      <w:pPr>
        <w:pStyle w:val="ListContinue"/>
        <w:numPr>
          <w:ilvl w:val="0"/>
          <w:numId w:val="36"/>
        </w:numPr>
        <w:spacing w:before="120"/>
        <w:ind w:left="113" w:firstLine="0"/>
      </w:pPr>
      <w:r w:rsidRPr="0002478E">
        <w:t xml:space="preserve">What services are available and provided to </w:t>
      </w:r>
      <w:r w:rsidR="00627CA1" w:rsidRPr="0002478E">
        <w:t>LGBTQ+</w:t>
      </w:r>
      <w:r w:rsidRPr="0002478E">
        <w:t xml:space="preserve"> peoples?</w:t>
      </w:r>
    </w:p>
    <w:p w14:paraId="1C8635F2" w14:textId="1729704B" w:rsidR="005351C2" w:rsidRDefault="184CA97D" w:rsidP="009B148F">
      <w:pPr>
        <w:rPr>
          <w:lang w:val="en-AU"/>
        </w:rPr>
      </w:pPr>
      <w:r w:rsidRPr="186C9C28">
        <w:rPr>
          <w:lang w:val="en-AU"/>
        </w:rPr>
        <w:t>None of the screened studies (5</w:t>
      </w:r>
      <w:r w:rsidR="25BC2EEC" w:rsidRPr="186C9C28">
        <w:rPr>
          <w:lang w:val="en-AU"/>
        </w:rPr>
        <w:t>6</w:t>
      </w:r>
      <w:r w:rsidRPr="186C9C28">
        <w:rPr>
          <w:lang w:val="en-AU"/>
        </w:rPr>
        <w:t>)</w:t>
      </w:r>
      <w:r w:rsidR="4A66035B" w:rsidRPr="186C9C28">
        <w:rPr>
          <w:lang w:val="en-AU"/>
        </w:rPr>
        <w:t xml:space="preserve"> </w:t>
      </w:r>
      <w:r w:rsidRPr="186C9C28">
        <w:rPr>
          <w:lang w:val="en-AU"/>
        </w:rPr>
        <w:t xml:space="preserve">provided a comprehensive map of the mental health services provided to LGBTQ+ people in Australia, nor the UK. </w:t>
      </w:r>
      <w:r w:rsidR="005351C2" w:rsidRPr="005100BE">
        <w:rPr>
          <w:lang w:val="en-AU"/>
        </w:rPr>
        <w:t xml:space="preserve">A few studies, however, surveyed the mental health services that </w:t>
      </w:r>
      <w:r w:rsidR="00DD5448">
        <w:rPr>
          <w:lang w:val="en-AU"/>
        </w:rPr>
        <w:t>LGBTQ+</w:t>
      </w:r>
      <w:r w:rsidR="005351C2" w:rsidRPr="005100BE">
        <w:rPr>
          <w:lang w:val="en-AU"/>
        </w:rPr>
        <w:t xml:space="preserve"> participants had accessed, which indicated that they used services across the range of different care and provider types.</w:t>
      </w:r>
    </w:p>
    <w:p w14:paraId="1471FF6A" w14:textId="6B5C610E" w:rsidR="005100BE" w:rsidRPr="005100BE" w:rsidRDefault="184CA97D" w:rsidP="009B148F">
      <w:pPr>
        <w:rPr>
          <w:lang w:val="en-AU"/>
        </w:rPr>
      </w:pPr>
      <w:r w:rsidRPr="2C550601">
        <w:rPr>
          <w:lang w:val="en-AU"/>
        </w:rPr>
        <w:lastRenderedPageBreak/>
        <w:t xml:space="preserve">In addition to a gap in general service mapping, the </w:t>
      </w:r>
      <w:r w:rsidR="5C916243" w:rsidRPr="2C550601">
        <w:rPr>
          <w:lang w:val="en-AU"/>
        </w:rPr>
        <w:t>SLR</w:t>
      </w:r>
      <w:r w:rsidRPr="2C550601">
        <w:rPr>
          <w:lang w:val="en-AU"/>
        </w:rPr>
        <w:t xml:space="preserve"> </w:t>
      </w:r>
      <w:r w:rsidR="6A987F62" w:rsidRPr="2C550601">
        <w:rPr>
          <w:lang w:val="en-AU"/>
        </w:rPr>
        <w:t>pointed to a</w:t>
      </w:r>
      <w:r w:rsidRPr="2C550601">
        <w:rPr>
          <w:lang w:val="en-AU"/>
        </w:rPr>
        <w:t xml:space="preserve"> lack of dedicated research regarding the provision of care to </w:t>
      </w:r>
      <w:r w:rsidR="2C96C2E4" w:rsidRPr="2C550601">
        <w:rPr>
          <w:lang w:val="en-AU"/>
        </w:rPr>
        <w:t>some sub-groups of the</w:t>
      </w:r>
      <w:r w:rsidR="473C7B02" w:rsidRPr="2C550601">
        <w:rPr>
          <w:lang w:val="en-AU"/>
        </w:rPr>
        <w:t xml:space="preserve"> LGBTQ+ </w:t>
      </w:r>
      <w:r w:rsidR="32516ED6" w:rsidRPr="2C550601">
        <w:rPr>
          <w:lang w:val="en-AU"/>
        </w:rPr>
        <w:t>population</w:t>
      </w:r>
      <w:r w:rsidR="16C40765" w:rsidRPr="2C550601">
        <w:rPr>
          <w:lang w:val="en-AU"/>
        </w:rPr>
        <w:t xml:space="preserve"> </w:t>
      </w:r>
      <w:r w:rsidR="4236B913" w:rsidRPr="2C550601">
        <w:rPr>
          <w:lang w:val="en-AU"/>
        </w:rPr>
        <w:t>(</w:t>
      </w:r>
      <w:r w:rsidR="16C40765" w:rsidRPr="2C550601">
        <w:rPr>
          <w:lang w:val="en-AU"/>
        </w:rPr>
        <w:t xml:space="preserve">e.g., </w:t>
      </w:r>
      <w:r w:rsidR="20EFB498" w:rsidRPr="2C550601">
        <w:rPr>
          <w:lang w:val="en-AU"/>
        </w:rPr>
        <w:t>non-binary people</w:t>
      </w:r>
      <w:r w:rsidR="0038D86C" w:rsidRPr="2C550601">
        <w:rPr>
          <w:lang w:val="en-AU"/>
        </w:rPr>
        <w:t>,</w:t>
      </w:r>
      <w:r w:rsidR="20EFB498" w:rsidRPr="2C550601">
        <w:rPr>
          <w:lang w:val="en-AU"/>
        </w:rPr>
        <w:t xml:space="preserve"> </w:t>
      </w:r>
      <w:r w:rsidR="42C82DC6" w:rsidRPr="2C550601">
        <w:rPr>
          <w:lang w:val="en-AU"/>
        </w:rPr>
        <w:t xml:space="preserve">gender fluid, </w:t>
      </w:r>
      <w:r w:rsidR="005351C2">
        <w:rPr>
          <w:lang w:val="en-AU"/>
        </w:rPr>
        <w:t xml:space="preserve">and/or </w:t>
      </w:r>
      <w:r w:rsidR="6321CA2A" w:rsidRPr="2C550601">
        <w:rPr>
          <w:lang w:val="en-AU"/>
        </w:rPr>
        <w:t>pansexual people</w:t>
      </w:r>
      <w:r w:rsidR="74FACEB0" w:rsidRPr="2C550601">
        <w:rPr>
          <w:lang w:val="en-AU"/>
        </w:rPr>
        <w:t>)</w:t>
      </w:r>
      <w:r w:rsidRPr="2C550601">
        <w:rPr>
          <w:lang w:val="en-AU"/>
        </w:rPr>
        <w:t>, as well as LGBTQ+ people with intersecting identities (e.g.,</w:t>
      </w:r>
      <w:r w:rsidR="4F704235" w:rsidRPr="2C550601">
        <w:rPr>
          <w:lang w:val="en-AU"/>
        </w:rPr>
        <w:t xml:space="preserve"> </w:t>
      </w:r>
      <w:r w:rsidRPr="2C550601">
        <w:rPr>
          <w:lang w:val="en-AU"/>
        </w:rPr>
        <w:t>LGBT</w:t>
      </w:r>
      <w:r w:rsidR="7B925544" w:rsidRPr="2C550601">
        <w:rPr>
          <w:lang w:val="en-AU"/>
        </w:rPr>
        <w:t>Q</w:t>
      </w:r>
      <w:r w:rsidRPr="2C550601">
        <w:rPr>
          <w:lang w:val="en-AU"/>
        </w:rPr>
        <w:t xml:space="preserve">+ people from </w:t>
      </w:r>
      <w:r w:rsidR="24C203C2" w:rsidRPr="2C550601">
        <w:rPr>
          <w:lang w:val="en-AU"/>
        </w:rPr>
        <w:t>CALD</w:t>
      </w:r>
      <w:r w:rsidRPr="2C550601">
        <w:rPr>
          <w:lang w:val="en-AU"/>
        </w:rPr>
        <w:t xml:space="preserve"> backgrounds).</w:t>
      </w:r>
    </w:p>
    <w:p w14:paraId="74603ED3" w14:textId="77777777" w:rsidR="005100BE" w:rsidRPr="0002478E" w:rsidRDefault="005100BE" w:rsidP="0002478E">
      <w:pPr>
        <w:pStyle w:val="ListContinue"/>
      </w:pPr>
      <w:r w:rsidRPr="0002478E">
        <w:t>What services were found to be effective?</w:t>
      </w:r>
    </w:p>
    <w:p w14:paraId="47934334" w14:textId="0DC24887" w:rsidR="00583599" w:rsidRPr="005100BE" w:rsidRDefault="00583599" w:rsidP="009B148F">
      <w:r w:rsidRPr="005100BE">
        <w:t xml:space="preserve">The SLR </w:t>
      </w:r>
      <w:proofErr w:type="spellStart"/>
      <w:r w:rsidRPr="005100BE">
        <w:t>analysed</w:t>
      </w:r>
      <w:proofErr w:type="spellEnd"/>
      <w:r w:rsidRPr="005100BE">
        <w:t xml:space="preserve"> the review data in respect to the six domains of health care quality put fo</w:t>
      </w:r>
      <w:r w:rsidRPr="00206BFA">
        <w:rPr>
          <w:u w:val="single"/>
        </w:rPr>
        <w:t>rwar</w:t>
      </w:r>
      <w:r w:rsidRPr="005100BE">
        <w:t xml:space="preserve">d by the </w:t>
      </w:r>
      <w:r w:rsidRPr="00206BFA">
        <w:rPr>
          <w:rFonts w:eastAsia="Arial" w:cs="Cordia New"/>
          <w:lang w:val="en-AU"/>
        </w:rPr>
        <w:t>Institute</w:t>
      </w:r>
      <w:r w:rsidRPr="005100BE">
        <w:t xml:space="preserve"> of Medicine Committee</w:t>
      </w:r>
      <w:r>
        <w:t>.</w:t>
      </w:r>
      <w:r w:rsidR="00464F17">
        <w:rPr>
          <w:rStyle w:val="EndnoteReference"/>
          <w:rFonts w:eastAsia="Arial" w:cs="Cordia New"/>
        </w:rPr>
        <w:endnoteReference w:id="16"/>
      </w:r>
      <w:r w:rsidRPr="005100BE">
        <w:t xml:space="preserve"> </w:t>
      </w:r>
      <w:r>
        <w:t>This</w:t>
      </w:r>
      <w:r w:rsidRPr="005100BE">
        <w:t xml:space="preserve"> provides a comprehensive framework to </w:t>
      </w:r>
      <w:proofErr w:type="spellStart"/>
      <w:r w:rsidRPr="005100BE">
        <w:t>analyse</w:t>
      </w:r>
      <w:proofErr w:type="spellEnd"/>
      <w:r w:rsidRPr="005100BE">
        <w:t xml:space="preserve"> evidence on the quality and performance of mental health services, including assessment of timeliness, person-</w:t>
      </w:r>
      <w:proofErr w:type="spellStart"/>
      <w:r w:rsidRPr="005100BE">
        <w:t>centredness</w:t>
      </w:r>
      <w:proofErr w:type="spellEnd"/>
      <w:r w:rsidRPr="005100BE">
        <w:t>, effectiveness, equity, safety, and efficiency</w:t>
      </w:r>
      <w:r>
        <w:t>.</w:t>
      </w:r>
      <w:r w:rsidR="00B21258">
        <w:rPr>
          <w:rStyle w:val="EndnoteReference"/>
          <w:rFonts w:eastAsia="Arial" w:cs="Cordia New"/>
        </w:rPr>
        <w:endnoteReference w:id="17"/>
      </w:r>
    </w:p>
    <w:p w14:paraId="778601B9" w14:textId="38871B20" w:rsidR="00583599" w:rsidRDefault="00583599" w:rsidP="009B148F">
      <w:r w:rsidRPr="005100BE">
        <w:t xml:space="preserve">Most of the studies examined a mix of mental health service providers, making it difficult to distinguish the perceived </w:t>
      </w:r>
      <w:r w:rsidRPr="00761CAC">
        <w:t>quality</w:t>
      </w:r>
      <w:r w:rsidRPr="005100BE">
        <w:t xml:space="preserve"> and performance of specific providers or service types</w:t>
      </w:r>
      <w:r>
        <w:t xml:space="preserve"> – for example, between services offering diagnosis and medication, compared to those offering therapeutic or </w:t>
      </w:r>
      <w:proofErr w:type="spellStart"/>
      <w:r>
        <w:t>behavioural</w:t>
      </w:r>
      <w:proofErr w:type="spellEnd"/>
      <w:r>
        <w:t xml:space="preserve"> support options</w:t>
      </w:r>
      <w:r w:rsidRPr="005100BE">
        <w:t>.</w:t>
      </w:r>
    </w:p>
    <w:p w14:paraId="6AFCFC42" w14:textId="36EC1BC6" w:rsidR="00583599" w:rsidRPr="005100BE" w:rsidRDefault="00583599" w:rsidP="009B148F">
      <w:r>
        <w:t>O</w:t>
      </w:r>
      <w:r w:rsidRPr="005100BE">
        <w:t>verall, there were mixed findings regarding the quality and performance of mental health</w:t>
      </w:r>
      <w:r w:rsidRPr="186C9C28">
        <w:t xml:space="preserve"> and suicide prevention</w:t>
      </w:r>
      <w:r w:rsidRPr="005100BE">
        <w:t xml:space="preserve"> services.  </w:t>
      </w:r>
      <w:r>
        <w:t>While s</w:t>
      </w:r>
      <w:r w:rsidRPr="005100BE">
        <w:t>ome LGBTQ+ people received mental health and suicide prevention services that were accessible, affirming, safe</w:t>
      </w:r>
      <w:r>
        <w:t>,</w:t>
      </w:r>
      <w:r w:rsidRPr="005100BE">
        <w:t xml:space="preserve"> and effective for promoting </w:t>
      </w:r>
      <w:r w:rsidRPr="186C9C28">
        <w:t xml:space="preserve">personal </w:t>
      </w:r>
      <w:r w:rsidRPr="005100BE">
        <w:t>recovery</w:t>
      </w:r>
      <w:r w:rsidR="006963CF">
        <w:rPr>
          <w:rStyle w:val="EndnoteReference"/>
          <w:rFonts w:eastAsia="Arial" w:cs="Cordia New"/>
        </w:rPr>
        <w:endnoteReference w:id="18"/>
      </w:r>
      <w:r w:rsidRPr="005100BE">
        <w:t xml:space="preserve">, many studies indicated </w:t>
      </w:r>
      <w:r w:rsidRPr="186C9C28">
        <w:t>difficulties</w:t>
      </w:r>
      <w:r w:rsidRPr="005100BE">
        <w:t xml:space="preserve"> related to timely access to</w:t>
      </w:r>
      <w:r w:rsidRPr="186C9C28">
        <w:t xml:space="preserve"> person-</w:t>
      </w:r>
      <w:proofErr w:type="spellStart"/>
      <w:r w:rsidRPr="186C9C28">
        <w:t>centred</w:t>
      </w:r>
      <w:proofErr w:type="spellEnd"/>
      <w:r w:rsidRPr="186C9C28">
        <w:t>,</w:t>
      </w:r>
      <w:r w:rsidRPr="005100BE">
        <w:t xml:space="preserve"> recovery-oriented, equitable</w:t>
      </w:r>
      <w:r>
        <w:t>,</w:t>
      </w:r>
      <w:r w:rsidRPr="005100BE">
        <w:t xml:space="preserve"> and safe services. Commonly identified issues with service quality and performance included:</w:t>
      </w:r>
    </w:p>
    <w:p w14:paraId="0666591B" w14:textId="77777777" w:rsidR="00583599" w:rsidRPr="00993E95" w:rsidRDefault="00583599" w:rsidP="00214BC4">
      <w:pPr>
        <w:pStyle w:val="ListBullet"/>
      </w:pPr>
      <w:r w:rsidRPr="00993E95">
        <w:rPr>
          <w:b/>
          <w:bCs/>
        </w:rPr>
        <w:t>Knowledge deficits</w:t>
      </w:r>
      <w:r w:rsidRPr="00993E95">
        <w:t xml:space="preserve"> among healthcare providers and reliance on those seeking care to educate the provider about the needs of LGBTQ+ people, which could be emotionally exhausting and financially costly in terms of therapy time.</w:t>
      </w:r>
      <w:r w:rsidRPr="005100BE">
        <w:rPr>
          <w:vertAlign w:val="superscript"/>
        </w:rPr>
        <w:endnoteReference w:id="19"/>
      </w:r>
    </w:p>
    <w:p w14:paraId="1F750E4B" w14:textId="77777777" w:rsidR="00583599" w:rsidRPr="00993E95" w:rsidRDefault="00583599" w:rsidP="00214BC4">
      <w:pPr>
        <w:pStyle w:val="ListBullet"/>
      </w:pPr>
      <w:r w:rsidRPr="186C9C28">
        <w:rPr>
          <w:b/>
          <w:bCs/>
        </w:rPr>
        <w:t xml:space="preserve">Microaggressions </w:t>
      </w:r>
      <w:r w:rsidRPr="186C9C28">
        <w:t xml:space="preserve">including hetero/cis normativity, misgendering, invalidation and </w:t>
      </w:r>
      <w:proofErr w:type="spellStart"/>
      <w:r w:rsidRPr="186C9C28">
        <w:t>pathologisation</w:t>
      </w:r>
      <w:proofErr w:type="spellEnd"/>
      <w:r w:rsidRPr="186C9C28">
        <w:t xml:space="preserve"> of sexual orientation, gender, or sex identity. These issues were linked to increased distress and discouragement of future help seeking. </w:t>
      </w:r>
    </w:p>
    <w:p w14:paraId="68B21089" w14:textId="77777777" w:rsidR="00583599" w:rsidRDefault="00583599" w:rsidP="00214BC4">
      <w:pPr>
        <w:pStyle w:val="ListBullet"/>
      </w:pPr>
      <w:r w:rsidRPr="00755451">
        <w:rPr>
          <w:b/>
          <w:bCs/>
        </w:rPr>
        <w:t xml:space="preserve">Difficulty accessing </w:t>
      </w:r>
      <w:r w:rsidRPr="186C9C28">
        <w:rPr>
          <w:b/>
          <w:bCs/>
        </w:rPr>
        <w:t xml:space="preserve">affirming </w:t>
      </w:r>
      <w:r w:rsidRPr="00755451">
        <w:rPr>
          <w:b/>
          <w:bCs/>
        </w:rPr>
        <w:t>mental health services</w:t>
      </w:r>
      <w:r w:rsidRPr="186C9C28">
        <w:rPr>
          <w:b/>
          <w:bCs/>
        </w:rPr>
        <w:t>, particularly during a</w:t>
      </w:r>
      <w:r w:rsidRPr="00755451">
        <w:rPr>
          <w:b/>
          <w:bCs/>
        </w:rPr>
        <w:t xml:space="preserve"> crisis</w:t>
      </w:r>
      <w:r w:rsidRPr="186C9C28">
        <w:rPr>
          <w:b/>
          <w:bCs/>
        </w:rPr>
        <w:t xml:space="preserve">. </w:t>
      </w:r>
      <w:r w:rsidRPr="186C9C28">
        <w:t>This related to timely access to recovery-oriented services that are safe, affirming</w:t>
      </w:r>
      <w:r>
        <w:t>,</w:t>
      </w:r>
      <w:r w:rsidRPr="186C9C28">
        <w:t xml:space="preserve"> and effective</w:t>
      </w:r>
      <w:r>
        <w:t xml:space="preserve">. It also related to timely access to appropriate </w:t>
      </w:r>
      <w:r w:rsidRPr="186C9C28">
        <w:t>referrals.</w:t>
      </w:r>
      <w:r>
        <w:rPr>
          <w:rStyle w:val="CommentReference"/>
        </w:rPr>
        <w:t xml:space="preserve"> </w:t>
      </w:r>
    </w:p>
    <w:p w14:paraId="123147F1" w14:textId="77777777" w:rsidR="00583599" w:rsidRDefault="00583599" w:rsidP="00214BC4">
      <w:pPr>
        <w:pStyle w:val="ListBullet"/>
      </w:pPr>
      <w:r>
        <w:rPr>
          <w:b/>
          <w:bCs/>
        </w:rPr>
        <w:t>Inequitable and u</w:t>
      </w:r>
      <w:r w:rsidRPr="00DF0D4E">
        <w:rPr>
          <w:b/>
          <w:bCs/>
        </w:rPr>
        <w:t>nsafe care in inpatient and emergency services.</w:t>
      </w:r>
      <w:r>
        <w:t xml:space="preserve"> This included low acceptance and affirmation of sexual orientation and gender identity, and </w:t>
      </w:r>
      <w:r w:rsidRPr="00FD1A7A">
        <w:t>inequitable and unsafe care that could be coercive, restrictive, disempowering</w:t>
      </w:r>
      <w:r>
        <w:t>,</w:t>
      </w:r>
      <w:r w:rsidRPr="00FD1A7A">
        <w:t xml:space="preserve"> and </w:t>
      </w:r>
      <w:proofErr w:type="spellStart"/>
      <w:r w:rsidRPr="00FD1A7A">
        <w:t>traumatising</w:t>
      </w:r>
      <w:proofErr w:type="spellEnd"/>
      <w:r w:rsidRPr="00FD1A7A">
        <w:t xml:space="preserve"> for some LGBTQ+ people, serving to reinforce rather</w:t>
      </w:r>
      <w:r>
        <w:t xml:space="preserve"> than alleviate minority stress. </w:t>
      </w:r>
    </w:p>
    <w:p w14:paraId="07A198CF" w14:textId="77777777" w:rsidR="00583599" w:rsidRPr="005100BE" w:rsidRDefault="00583599" w:rsidP="009B148F">
      <w:r w:rsidRPr="005100BE">
        <w:t xml:space="preserve">Further, the research indicated that LGBTQ+ people with intersecting identities and experiences, and </w:t>
      </w:r>
      <w:r w:rsidRPr="7CE10AFC">
        <w:t xml:space="preserve">some sub-populations of LGBTQ+ </w:t>
      </w:r>
      <w:r w:rsidRPr="005100BE">
        <w:t>people (</w:t>
      </w:r>
      <w:r w:rsidRPr="7CE10AFC">
        <w:t>e.g., trans and gender diverse youth, women who have sex with women</w:t>
      </w:r>
      <w:r w:rsidRPr="005100BE">
        <w:t xml:space="preserve">), are more likely to encounter </w:t>
      </w:r>
      <w:proofErr w:type="spellStart"/>
      <w:r w:rsidRPr="005100BE">
        <w:t>stigmatising</w:t>
      </w:r>
      <w:proofErr w:type="spellEnd"/>
      <w:r w:rsidRPr="005100BE">
        <w:t xml:space="preserve">, or </w:t>
      </w:r>
      <w:proofErr w:type="spellStart"/>
      <w:r w:rsidRPr="005100BE">
        <w:t>traumatising</w:t>
      </w:r>
      <w:proofErr w:type="spellEnd"/>
      <w:r w:rsidRPr="005100BE">
        <w:t xml:space="preserve"> care situations. </w:t>
      </w:r>
    </w:p>
    <w:p w14:paraId="5D6FEFC6" w14:textId="77777777" w:rsidR="00583599" w:rsidRPr="0002478E" w:rsidRDefault="00583599" w:rsidP="009B148F">
      <w:r w:rsidRPr="005100BE">
        <w:t xml:space="preserve">Positive care experiences were more often reported in </w:t>
      </w:r>
      <w:r>
        <w:t>LGBTQ+</w:t>
      </w:r>
      <w:r w:rsidRPr="005100BE">
        <w:t xml:space="preserve"> specific services, including knowledgeable, equitable and safe care, as well as appropriate referrals to affirming providers. However, these services were reported to be less equipped to support </w:t>
      </w:r>
      <w:r>
        <w:t xml:space="preserve">more </w:t>
      </w:r>
      <w:proofErr w:type="spellStart"/>
      <w:r>
        <w:t>marginalised</w:t>
      </w:r>
      <w:proofErr w:type="spellEnd"/>
      <w:r>
        <w:t xml:space="preserve"> </w:t>
      </w:r>
      <w:r w:rsidRPr="005100BE">
        <w:t>LGBTQ+ subgroups</w:t>
      </w:r>
      <w:r w:rsidRPr="7CE10AFC">
        <w:t xml:space="preserve"> (e.g., nonbinary people, bisexual people)</w:t>
      </w:r>
      <w:r w:rsidRPr="005100BE">
        <w:t>, or those with intersecting identities</w:t>
      </w:r>
      <w:r>
        <w:t>. Further, they m</w:t>
      </w:r>
      <w:r w:rsidRPr="005100BE">
        <w:t xml:space="preserve">ay be insufficiently resourced to support </w:t>
      </w:r>
      <w:r w:rsidRPr="7CE10AFC">
        <w:t xml:space="preserve">LGBTQ+ </w:t>
      </w:r>
      <w:r w:rsidRPr="005100BE">
        <w:t>people</w:t>
      </w:r>
      <w:r w:rsidRPr="7CE10AFC">
        <w:t xml:space="preserve"> with </w:t>
      </w:r>
      <w:r w:rsidRPr="7CE10AFC">
        <w:lastRenderedPageBreak/>
        <w:t>intersecting experiences</w:t>
      </w:r>
      <w:r>
        <w:t>, specifically</w:t>
      </w:r>
      <w:r w:rsidRPr="7CE10AFC">
        <w:t xml:space="preserve"> related to</w:t>
      </w:r>
      <w:r w:rsidRPr="005100BE">
        <w:t xml:space="preserve"> life-interrupting mental health challenges</w:t>
      </w:r>
      <w:r>
        <w:t xml:space="preserve"> </w:t>
      </w:r>
      <w:r w:rsidRPr="005100BE">
        <w:t xml:space="preserve">and </w:t>
      </w:r>
      <w:r w:rsidRPr="0002478E">
        <w:t>suicidality.</w:t>
      </w:r>
    </w:p>
    <w:p w14:paraId="50314E14" w14:textId="2FF7357E" w:rsidR="005100BE" w:rsidRPr="0002478E" w:rsidRDefault="005100BE" w:rsidP="0002478E">
      <w:pPr>
        <w:pStyle w:val="ListContinue"/>
      </w:pPr>
      <w:r w:rsidRPr="0002478E">
        <w:t>What service gaps or barriers were identified and what were their details?</w:t>
      </w:r>
    </w:p>
    <w:p w14:paraId="793C79B4" w14:textId="77777777" w:rsidR="00850B05" w:rsidRDefault="00850B05" w:rsidP="009B148F">
      <w:pPr>
        <w:rPr>
          <w:lang w:val="en-AU"/>
        </w:rPr>
      </w:pPr>
      <w:r w:rsidRPr="00850B05">
        <w:rPr>
          <w:lang w:val="en-AU"/>
        </w:rPr>
        <w:t xml:space="preserve">The SLR identified numerous gaps and barriers in the mental health and suicide prevention services available to LGBTQ+ people. As the literature tended to assess a mix of services, it is hard to discern how these gaps and barriers vary with types of services or providers – however at a high-level they can be summarised as: </w:t>
      </w:r>
    </w:p>
    <w:p w14:paraId="2690CE15" w14:textId="42E74477" w:rsidR="00751A23" w:rsidRPr="00C9787B" w:rsidRDefault="184CA97D" w:rsidP="00214BC4">
      <w:pPr>
        <w:pStyle w:val="ListBullet"/>
        <w:rPr>
          <w:b/>
          <w:bCs/>
          <w:szCs w:val="24"/>
          <w:lang w:val="en-AU" w:eastAsia="en-AU"/>
        </w:rPr>
      </w:pPr>
      <w:r w:rsidRPr="00C9787B">
        <w:rPr>
          <w:b/>
          <w:bCs/>
          <w:lang w:val="en-AU" w:eastAsia="en-AU"/>
        </w:rPr>
        <w:t>Provider shortages</w:t>
      </w:r>
      <w:r w:rsidRPr="00C9787B">
        <w:rPr>
          <w:lang w:val="en-AU" w:eastAsia="en-AU"/>
        </w:rPr>
        <w:t>, long waitlists and limited operating hours, particularly with respect to accessing LGBTQ+</w:t>
      </w:r>
      <w:r w:rsidR="1965BB55" w:rsidRPr="00C9787B">
        <w:rPr>
          <w:lang w:val="en-AU" w:eastAsia="en-AU"/>
        </w:rPr>
        <w:t>-</w:t>
      </w:r>
      <w:r w:rsidRPr="00C9787B">
        <w:rPr>
          <w:lang w:val="en-AU" w:eastAsia="en-AU"/>
        </w:rPr>
        <w:t>specific services</w:t>
      </w:r>
      <w:r w:rsidR="005100BE" w:rsidRPr="2C550601">
        <w:rPr>
          <w:vertAlign w:val="superscript"/>
          <w:lang w:val="en-AU" w:eastAsia="en-AU"/>
        </w:rPr>
        <w:endnoteReference w:id="20"/>
      </w:r>
      <w:r w:rsidRPr="00C9787B">
        <w:rPr>
          <w:lang w:val="en-AU" w:eastAsia="en-AU"/>
        </w:rPr>
        <w:t xml:space="preserve">. Limited affirming care options were particularly evident in relation to </w:t>
      </w:r>
      <w:r w:rsidRPr="00161E36">
        <w:rPr>
          <w:szCs w:val="24"/>
          <w:lang w:val="en-AU" w:eastAsia="en-AU"/>
        </w:rPr>
        <w:t>access</w:t>
      </w:r>
      <w:r w:rsidRPr="00C9787B">
        <w:rPr>
          <w:lang w:val="en-AU" w:eastAsia="en-AU"/>
        </w:rPr>
        <w:t xml:space="preserve"> to knowledgeable, affirming</w:t>
      </w:r>
      <w:r w:rsidR="00643176" w:rsidRPr="00C9787B">
        <w:rPr>
          <w:lang w:val="en-AU" w:eastAsia="en-AU"/>
        </w:rPr>
        <w:t>,</w:t>
      </w:r>
      <w:r w:rsidRPr="00C9787B">
        <w:rPr>
          <w:lang w:val="en-AU" w:eastAsia="en-AU"/>
        </w:rPr>
        <w:t xml:space="preserve"> and affordable mental health care providers, and timely referrals by mental health professionals to gender-affirming medical care</w:t>
      </w:r>
      <w:r w:rsidR="099B68AF" w:rsidRPr="00C9787B">
        <w:rPr>
          <w:lang w:val="en-AU" w:eastAsia="en-AU"/>
        </w:rPr>
        <w:t>.</w:t>
      </w:r>
      <w:r w:rsidR="005100BE" w:rsidRPr="2C550601">
        <w:rPr>
          <w:vertAlign w:val="superscript"/>
          <w:lang w:val="en-AU" w:eastAsia="en-AU"/>
        </w:rPr>
        <w:endnoteReference w:id="21"/>
      </w:r>
    </w:p>
    <w:p w14:paraId="20A95E40" w14:textId="79F42733" w:rsidR="00E11C4A" w:rsidRDefault="00E11C4A" w:rsidP="00214BC4">
      <w:pPr>
        <w:pStyle w:val="ListBullet"/>
        <w:rPr>
          <w:szCs w:val="24"/>
          <w:lang w:val="en-AU" w:eastAsia="en-AU"/>
        </w:rPr>
      </w:pPr>
      <w:r w:rsidRPr="00D2628C">
        <w:rPr>
          <w:b/>
          <w:bCs/>
          <w:szCs w:val="24"/>
          <w:lang w:val="en-AU" w:eastAsia="en-AU"/>
        </w:rPr>
        <w:t xml:space="preserve">Lack of lived experience involvement, </w:t>
      </w:r>
      <w:r w:rsidRPr="00D2628C">
        <w:rPr>
          <w:szCs w:val="24"/>
          <w:lang w:val="en-AU" w:eastAsia="en-AU"/>
        </w:rPr>
        <w:t xml:space="preserve">including </w:t>
      </w:r>
      <w:r>
        <w:rPr>
          <w:szCs w:val="24"/>
          <w:lang w:val="en-AU" w:eastAsia="en-AU"/>
        </w:rPr>
        <w:t xml:space="preserve">in </w:t>
      </w:r>
      <w:r w:rsidRPr="00D2628C">
        <w:rPr>
          <w:szCs w:val="24"/>
          <w:lang w:val="en-AU" w:eastAsia="en-AU"/>
        </w:rPr>
        <w:t>service development and research undertaken in collaboration with LGBTQ+ people with a lived experience of mental health challenges and suicidality, including with LGBTQIA people and youth with severe and life-interrupting distress, and people from diverse social backgrounds.</w:t>
      </w:r>
    </w:p>
    <w:p w14:paraId="5CBFC93F" w14:textId="3E5C1C02" w:rsidR="00E11C4A" w:rsidRPr="00E11C4A" w:rsidRDefault="00B05B8E" w:rsidP="009B148F">
      <w:pPr>
        <w:rPr>
          <w:lang w:val="en-AU" w:eastAsia="en-AU"/>
        </w:rPr>
      </w:pPr>
      <w:r w:rsidRPr="00B05B8E">
        <w:rPr>
          <w:lang w:val="en-AU" w:eastAsia="en-AU"/>
        </w:rPr>
        <w:t>There were also some gaps and barriers noted which were applicable to the general population, but which LGBTQ+ people could be considered at greater risk of experiencing particularly due to difficulties finding providers which are affirming in terms of both experiences of mental distress and being LGBTQ+. These can be summarised as:</w:t>
      </w:r>
    </w:p>
    <w:p w14:paraId="5976FCAC" w14:textId="799D38A1" w:rsidR="005100BE" w:rsidRPr="0032452A" w:rsidRDefault="005100BE" w:rsidP="00214BC4">
      <w:pPr>
        <w:pStyle w:val="ListBullet"/>
        <w:rPr>
          <w:lang w:val="en-AU" w:eastAsia="en-AU"/>
        </w:rPr>
      </w:pPr>
      <w:r w:rsidRPr="0032452A">
        <w:rPr>
          <w:b/>
          <w:bCs/>
          <w:lang w:val="en-AU" w:eastAsia="en-AU"/>
        </w:rPr>
        <w:t>Inconsisten</w:t>
      </w:r>
      <w:r w:rsidR="00C1352B" w:rsidRPr="0032452A">
        <w:rPr>
          <w:b/>
          <w:bCs/>
          <w:lang w:val="en-AU" w:eastAsia="en-AU"/>
        </w:rPr>
        <w:t xml:space="preserve">cies in </w:t>
      </w:r>
      <w:r w:rsidR="007E2DDF" w:rsidRPr="0032452A">
        <w:rPr>
          <w:b/>
          <w:bCs/>
          <w:lang w:val="en-AU" w:eastAsia="en-AU"/>
        </w:rPr>
        <w:t xml:space="preserve">quality of </w:t>
      </w:r>
      <w:r w:rsidRPr="0032452A">
        <w:rPr>
          <w:b/>
          <w:bCs/>
          <w:lang w:val="en-AU" w:eastAsia="en-AU"/>
        </w:rPr>
        <w:t>care</w:t>
      </w:r>
      <w:r w:rsidR="004354DC" w:rsidRPr="004354DC">
        <w:rPr>
          <w:bCs/>
          <w:lang w:val="en-AU" w:eastAsia="en-AU"/>
        </w:rPr>
        <w:t xml:space="preserve">, including </w:t>
      </w:r>
      <w:r w:rsidR="004354DC">
        <w:rPr>
          <w:lang w:val="en-AU" w:eastAsia="en-AU"/>
        </w:rPr>
        <w:t xml:space="preserve">inconsistencies between care providers and services particularly in relation </w:t>
      </w:r>
      <w:r w:rsidR="0032452A" w:rsidRPr="0032452A">
        <w:rPr>
          <w:lang w:val="en-AU" w:eastAsia="en-AU"/>
        </w:rPr>
        <w:t>to the provision of equitable, person-centred care.</w:t>
      </w:r>
      <w:r w:rsidR="0032452A" w:rsidRPr="0032452A">
        <w:rPr>
          <w:vertAlign w:val="superscript"/>
          <w:lang w:val="en-AU" w:eastAsia="en-AU"/>
        </w:rPr>
        <w:endnoteReference w:id="22"/>
      </w:r>
      <w:r w:rsidR="0032452A">
        <w:rPr>
          <w:lang w:val="en-AU" w:eastAsia="en-AU"/>
        </w:rPr>
        <w:t xml:space="preserve"> </w:t>
      </w:r>
      <w:r w:rsidR="002E5EC9">
        <w:rPr>
          <w:lang w:val="en-AU" w:eastAsia="en-AU"/>
        </w:rPr>
        <w:t xml:space="preserve">For example, </w:t>
      </w:r>
      <w:r w:rsidR="00DE3580">
        <w:rPr>
          <w:lang w:val="en-AU" w:eastAsia="en-AU"/>
        </w:rPr>
        <w:t>while many G</w:t>
      </w:r>
      <w:r w:rsidR="004354DC">
        <w:rPr>
          <w:lang w:val="en-AU" w:eastAsia="en-AU"/>
        </w:rPr>
        <w:t>eneral Practitioners</w:t>
      </w:r>
      <w:r w:rsidR="00DE3580">
        <w:rPr>
          <w:lang w:val="en-AU" w:eastAsia="en-AU"/>
        </w:rPr>
        <w:t xml:space="preserve"> were perceived positively, </w:t>
      </w:r>
      <w:r w:rsidR="00FA60E6">
        <w:rPr>
          <w:lang w:val="en-AU" w:eastAsia="en-AU"/>
        </w:rPr>
        <w:t>others were “</w:t>
      </w:r>
      <w:r w:rsidR="00AD2C11">
        <w:rPr>
          <w:lang w:val="en-AU" w:eastAsia="en-AU"/>
        </w:rPr>
        <w:t xml:space="preserve">visibly uncomfortable with dealing with </w:t>
      </w:r>
      <w:r w:rsidR="00505681">
        <w:rPr>
          <w:lang w:val="en-AU" w:eastAsia="en-AU"/>
        </w:rPr>
        <w:t>mental health” issues.</w:t>
      </w:r>
      <w:r w:rsidR="00505681">
        <w:rPr>
          <w:rStyle w:val="EndnoteReference"/>
          <w:rFonts w:eastAsia="Times New Roman" w:cs="Times New Roman"/>
          <w:szCs w:val="24"/>
          <w:lang w:val="en-AU" w:eastAsia="en-AU"/>
        </w:rPr>
        <w:endnoteReference w:id="23"/>
      </w:r>
      <w:r w:rsidR="00505681">
        <w:rPr>
          <w:lang w:val="en-AU" w:eastAsia="en-AU"/>
        </w:rPr>
        <w:t xml:space="preserve"> </w:t>
      </w:r>
      <w:r w:rsidR="004818A4" w:rsidRPr="0032452A">
        <w:rPr>
          <w:lang w:val="en-AU" w:eastAsia="en-AU"/>
        </w:rPr>
        <w:t xml:space="preserve"> </w:t>
      </w:r>
    </w:p>
    <w:p w14:paraId="44C84A85" w14:textId="7D97F0A5" w:rsidR="005100BE" w:rsidRPr="00D2628C" w:rsidRDefault="005100BE" w:rsidP="00214BC4">
      <w:pPr>
        <w:pStyle w:val="ListBullet"/>
        <w:rPr>
          <w:lang w:val="en-AU" w:eastAsia="en-AU"/>
        </w:rPr>
      </w:pPr>
      <w:r w:rsidRPr="00D2628C">
        <w:rPr>
          <w:b/>
          <w:bCs/>
          <w:lang w:val="en-AU" w:eastAsia="en-AU"/>
        </w:rPr>
        <w:t>Lack of linkage</w:t>
      </w:r>
      <w:r w:rsidRPr="00D2628C">
        <w:rPr>
          <w:lang w:val="en-AU" w:eastAsia="en-AU"/>
        </w:rPr>
        <w:t xml:space="preserve"> between different mental health services – including between crisis services and long-term care</w:t>
      </w:r>
      <w:r w:rsidRPr="005100BE">
        <w:rPr>
          <w:vertAlign w:val="superscript"/>
          <w:lang w:val="en-AU" w:eastAsia="en-AU"/>
        </w:rPr>
        <w:endnoteReference w:id="24"/>
      </w:r>
      <w:r w:rsidRPr="00D2628C">
        <w:rPr>
          <w:lang w:val="en-AU" w:eastAsia="en-AU"/>
        </w:rPr>
        <w:t>, and between alcohol services and mental health services</w:t>
      </w:r>
      <w:r w:rsidR="00A12BEC">
        <w:rPr>
          <w:lang w:val="en-AU" w:eastAsia="en-AU"/>
        </w:rPr>
        <w:t>.</w:t>
      </w:r>
      <w:r w:rsidRPr="005100BE">
        <w:rPr>
          <w:vertAlign w:val="superscript"/>
          <w:lang w:val="en-AU" w:eastAsia="en-AU"/>
        </w:rPr>
        <w:endnoteReference w:id="25"/>
      </w:r>
      <w:r w:rsidR="00A12BEC" w:rsidRPr="00A12BEC">
        <w:rPr>
          <w:lang w:val="en-AU" w:eastAsia="en-AU"/>
        </w:rPr>
        <w:t>.</w:t>
      </w:r>
    </w:p>
    <w:p w14:paraId="52DFA9B4" w14:textId="18629316" w:rsidR="005100BE" w:rsidRPr="00D2628C" w:rsidRDefault="184CA97D" w:rsidP="00214BC4">
      <w:pPr>
        <w:pStyle w:val="ListBullet"/>
        <w:rPr>
          <w:lang w:val="en-AU" w:eastAsia="en-AU"/>
        </w:rPr>
      </w:pPr>
      <w:r w:rsidRPr="2C550601">
        <w:rPr>
          <w:b/>
          <w:bCs/>
          <w:lang w:val="en-AU" w:eastAsia="en-AU"/>
        </w:rPr>
        <w:t>Limited options</w:t>
      </w:r>
      <w:r w:rsidRPr="2C550601">
        <w:rPr>
          <w:lang w:val="en-AU" w:eastAsia="en-AU"/>
        </w:rPr>
        <w:t xml:space="preserve"> for services able to attend to intersectional needs, including limited access to equitable and safe care in a crisis or for those </w:t>
      </w:r>
      <w:r w:rsidR="6ABB9714" w:rsidRPr="00CA6614">
        <w:rPr>
          <w:lang w:val="en-AU" w:eastAsia="en-AU"/>
        </w:rPr>
        <w:t>experienci</w:t>
      </w:r>
      <w:r w:rsidR="6ABB9714" w:rsidRPr="2C550601">
        <w:rPr>
          <w:lang w:val="en-AU" w:eastAsia="en-AU"/>
        </w:rPr>
        <w:t>ng</w:t>
      </w:r>
      <w:r w:rsidRPr="2C550601">
        <w:rPr>
          <w:lang w:val="en-AU" w:eastAsia="en-AU"/>
        </w:rPr>
        <w:t xml:space="preserve"> severe and life-interrupting mental distress and suicidality. </w:t>
      </w:r>
    </w:p>
    <w:p w14:paraId="697E52FA" w14:textId="3698CFCB" w:rsidR="005100BE" w:rsidRDefault="184CA97D" w:rsidP="00214BC4">
      <w:pPr>
        <w:pStyle w:val="ListBullet"/>
        <w:rPr>
          <w:lang w:val="en-AU" w:eastAsia="en-AU"/>
        </w:rPr>
      </w:pPr>
      <w:r w:rsidRPr="2C550601">
        <w:rPr>
          <w:b/>
          <w:bCs/>
          <w:lang w:val="en-AU" w:eastAsia="en-AU"/>
        </w:rPr>
        <w:t>Financial costs</w:t>
      </w:r>
      <w:r w:rsidRPr="2C550601">
        <w:rPr>
          <w:lang w:val="en-AU" w:eastAsia="en-AU"/>
        </w:rPr>
        <w:t xml:space="preserve"> related to gap fees and limitations to the number </w:t>
      </w:r>
      <w:r w:rsidR="008237DD">
        <w:rPr>
          <w:lang w:val="en-AU" w:eastAsia="en-AU"/>
        </w:rPr>
        <w:t xml:space="preserve">of </w:t>
      </w:r>
      <w:r w:rsidR="6857C223" w:rsidRPr="2C550601">
        <w:rPr>
          <w:lang w:val="en-AU" w:eastAsia="en-AU"/>
        </w:rPr>
        <w:t xml:space="preserve">Medicare </w:t>
      </w:r>
      <w:r w:rsidR="1C7405BE" w:rsidRPr="2C550601">
        <w:rPr>
          <w:lang w:val="en-AU" w:eastAsia="en-AU"/>
        </w:rPr>
        <w:t>-</w:t>
      </w:r>
      <w:r w:rsidRPr="2C550601">
        <w:rPr>
          <w:lang w:val="en-AU" w:eastAsia="en-AU"/>
        </w:rPr>
        <w:t xml:space="preserve">subsidised </w:t>
      </w:r>
      <w:r w:rsidR="6857C223" w:rsidRPr="2C550601">
        <w:rPr>
          <w:lang w:val="en-AU" w:eastAsia="en-AU"/>
        </w:rPr>
        <w:t xml:space="preserve">sessions </w:t>
      </w:r>
      <w:r w:rsidRPr="2C550601">
        <w:rPr>
          <w:lang w:val="en-AU" w:eastAsia="en-AU"/>
        </w:rPr>
        <w:t>an individual can claim within a year, and to publicly available mental health services</w:t>
      </w:r>
      <w:r w:rsidR="1E226D3C" w:rsidRPr="2C550601">
        <w:rPr>
          <w:lang w:val="en-AU" w:eastAsia="en-AU"/>
        </w:rPr>
        <w:t>, or to the National Disability Insurance Scheme (NDIS)</w:t>
      </w:r>
      <w:r w:rsidRPr="2C550601">
        <w:rPr>
          <w:lang w:val="en-AU" w:eastAsia="en-AU"/>
        </w:rPr>
        <w:t>.</w:t>
      </w:r>
      <w:r w:rsidR="005100BE" w:rsidRPr="2C550601">
        <w:rPr>
          <w:vertAlign w:val="superscript"/>
          <w:lang w:val="en-AU" w:eastAsia="en-AU"/>
        </w:rPr>
        <w:endnoteReference w:id="26"/>
      </w:r>
    </w:p>
    <w:p w14:paraId="0CA99E0D" w14:textId="7FFA2EDD" w:rsidR="003475A9" w:rsidRPr="003475A9" w:rsidRDefault="003475A9" w:rsidP="009B148F">
      <w:pPr>
        <w:rPr>
          <w:szCs w:val="24"/>
          <w:lang w:val="en-AU" w:eastAsia="en-AU"/>
        </w:rPr>
      </w:pPr>
      <w:r w:rsidRPr="003475A9">
        <w:rPr>
          <w:lang w:val="en-AU" w:eastAsia="en-AU"/>
        </w:rPr>
        <w:t>In addition, gaps</w:t>
      </w:r>
      <w:r w:rsidR="00BC335D">
        <w:rPr>
          <w:lang w:val="en-AU" w:eastAsia="en-AU"/>
        </w:rPr>
        <w:t>**</w:t>
      </w:r>
      <w:r w:rsidRPr="003475A9">
        <w:rPr>
          <w:lang w:val="en-AU" w:eastAsia="en-AU"/>
        </w:rPr>
        <w:t xml:space="preserve"> in evidence </w:t>
      </w:r>
      <w:proofErr w:type="gramStart"/>
      <w:r w:rsidRPr="003475A9">
        <w:rPr>
          <w:lang w:val="en-AU" w:eastAsia="en-AU"/>
        </w:rPr>
        <w:t>were</w:t>
      </w:r>
      <w:proofErr w:type="gramEnd"/>
      <w:r w:rsidRPr="003475A9">
        <w:rPr>
          <w:lang w:val="en-AU" w:eastAsia="en-AU"/>
        </w:rPr>
        <w:t xml:space="preserve"> also noted</w:t>
      </w:r>
      <w:r w:rsidR="00BB0ABC">
        <w:rPr>
          <w:lang w:val="en-AU" w:eastAsia="en-AU"/>
        </w:rPr>
        <w:t xml:space="preserve"> in included papers</w:t>
      </w:r>
      <w:r w:rsidRPr="003475A9">
        <w:rPr>
          <w:lang w:val="en-AU" w:eastAsia="en-AU"/>
        </w:rPr>
        <w:t>, including in particular:</w:t>
      </w:r>
    </w:p>
    <w:p w14:paraId="31889F0E" w14:textId="497E4854" w:rsidR="000C765D" w:rsidRDefault="000C765D" w:rsidP="00214BC4">
      <w:pPr>
        <w:pStyle w:val="ListBullet"/>
        <w:rPr>
          <w:lang w:val="en-AU" w:eastAsia="en-AU"/>
        </w:rPr>
      </w:pPr>
      <w:r w:rsidRPr="000C765D">
        <w:rPr>
          <w:lang w:val="en-AU" w:eastAsia="en-AU"/>
        </w:rPr>
        <w:t xml:space="preserve">research on the care needs of </w:t>
      </w:r>
      <w:r>
        <w:rPr>
          <w:lang w:val="en-AU" w:eastAsia="en-AU"/>
        </w:rPr>
        <w:t xml:space="preserve">those experiencing intersectional issues, </w:t>
      </w:r>
      <w:r w:rsidR="00811605">
        <w:rPr>
          <w:lang w:val="en-AU" w:eastAsia="en-AU"/>
        </w:rPr>
        <w:t>especially</w:t>
      </w:r>
      <w:r>
        <w:rPr>
          <w:lang w:val="en-AU" w:eastAsia="en-AU"/>
        </w:rPr>
        <w:t xml:space="preserve"> those impacting </w:t>
      </w:r>
      <w:r w:rsidRPr="000C765D">
        <w:rPr>
          <w:lang w:val="en-AU" w:eastAsia="en-AU"/>
        </w:rPr>
        <w:t>First Nations LGBTQ+ and Sistergirl and Brotherboy populations; people from CALD backgrounds</w:t>
      </w:r>
      <w:r>
        <w:rPr>
          <w:lang w:val="en-AU" w:eastAsia="en-AU"/>
        </w:rPr>
        <w:t>;</w:t>
      </w:r>
      <w:r w:rsidRPr="000C765D">
        <w:rPr>
          <w:lang w:val="en-AU" w:eastAsia="en-AU"/>
        </w:rPr>
        <w:t xml:space="preserve"> people living in rural and remote areas, and people from low socioeconomic backgrounds</w:t>
      </w:r>
      <w:r>
        <w:rPr>
          <w:lang w:val="en-AU" w:eastAsia="en-AU"/>
        </w:rPr>
        <w:t>.</w:t>
      </w:r>
    </w:p>
    <w:p w14:paraId="210D9EDC" w14:textId="7712C2C5" w:rsidR="000C765D" w:rsidRDefault="000C765D" w:rsidP="00214BC4">
      <w:pPr>
        <w:pStyle w:val="ListBullet"/>
        <w:rPr>
          <w:lang w:val="en-AU" w:eastAsia="en-AU"/>
        </w:rPr>
      </w:pPr>
      <w:r>
        <w:rPr>
          <w:lang w:val="en-AU" w:eastAsia="en-AU"/>
        </w:rPr>
        <w:t xml:space="preserve">research related to </w:t>
      </w:r>
      <w:r w:rsidRPr="000C765D">
        <w:rPr>
          <w:lang w:val="en-AU" w:eastAsia="en-AU"/>
        </w:rPr>
        <w:t xml:space="preserve">specific subgroups of </w:t>
      </w:r>
      <w:r w:rsidR="00DD5448">
        <w:rPr>
          <w:lang w:val="en-AU" w:eastAsia="en-AU"/>
        </w:rPr>
        <w:t>LGBTQ+</w:t>
      </w:r>
      <w:r w:rsidRPr="000C765D">
        <w:rPr>
          <w:lang w:val="en-AU" w:eastAsia="en-AU"/>
        </w:rPr>
        <w:t xml:space="preserve"> people, </w:t>
      </w:r>
      <w:r>
        <w:rPr>
          <w:lang w:val="en-AU" w:eastAsia="en-AU"/>
        </w:rPr>
        <w:t xml:space="preserve">and specifically people with </w:t>
      </w:r>
      <w:r w:rsidRPr="004D3D3A">
        <w:rPr>
          <w:lang w:val="en-AU" w:eastAsia="en-AU"/>
        </w:rPr>
        <w:t>innate variations of sex characteristics</w:t>
      </w:r>
      <w:r w:rsidRPr="000C765D">
        <w:rPr>
          <w:lang w:val="en-AU" w:eastAsia="en-AU"/>
        </w:rPr>
        <w:t xml:space="preserve">, nonbinary and asexual identifying people. </w:t>
      </w:r>
    </w:p>
    <w:p w14:paraId="522C0E70" w14:textId="6BA469CB" w:rsidR="00BC335D" w:rsidRDefault="000C765D" w:rsidP="00214BC4">
      <w:pPr>
        <w:pStyle w:val="ListBullet"/>
        <w:rPr>
          <w:lang w:val="en-AU" w:eastAsia="en-AU"/>
        </w:rPr>
      </w:pPr>
      <w:r w:rsidRPr="00CF154F">
        <w:rPr>
          <w:lang w:val="en-AU" w:eastAsia="en-AU"/>
        </w:rPr>
        <w:lastRenderedPageBreak/>
        <w:t xml:space="preserve">research on </w:t>
      </w:r>
      <w:r w:rsidR="00CF154F" w:rsidRPr="00CF154F">
        <w:rPr>
          <w:lang w:val="en-AU" w:eastAsia="en-AU"/>
        </w:rPr>
        <w:t xml:space="preserve">topics including: </w:t>
      </w:r>
      <w:r w:rsidRPr="00CF154F">
        <w:rPr>
          <w:lang w:val="en-AU" w:eastAsia="en-AU"/>
        </w:rPr>
        <w:t>the effectiveness of services for promoting personal recovery</w:t>
      </w:r>
      <w:r w:rsidR="00CF154F" w:rsidRPr="00CF154F">
        <w:rPr>
          <w:lang w:val="en-AU" w:eastAsia="en-AU"/>
        </w:rPr>
        <w:t xml:space="preserve">; </w:t>
      </w:r>
      <w:r w:rsidRPr="00CF154F">
        <w:rPr>
          <w:lang w:val="en-AU" w:eastAsia="en-AU"/>
        </w:rPr>
        <w:t>LGBTQ+ people receiving involuntary treatment in inpatient and community settings</w:t>
      </w:r>
      <w:r w:rsidR="00CF154F" w:rsidRPr="00CF154F">
        <w:rPr>
          <w:lang w:val="en-AU" w:eastAsia="en-AU"/>
        </w:rPr>
        <w:t xml:space="preserve">; and </w:t>
      </w:r>
      <w:r w:rsidR="00CF154F">
        <w:rPr>
          <w:lang w:val="en-AU" w:eastAsia="en-AU"/>
        </w:rPr>
        <w:t xml:space="preserve">responses to </w:t>
      </w:r>
      <w:r w:rsidRPr="00CF154F">
        <w:rPr>
          <w:lang w:val="en-AU" w:eastAsia="en-AU"/>
        </w:rPr>
        <w:t xml:space="preserve">mental health professionals engaging in harmful conversion practices. </w:t>
      </w:r>
    </w:p>
    <w:p w14:paraId="270A5C52" w14:textId="1DDA12B8" w:rsidR="00BC335D" w:rsidRPr="00B46E84" w:rsidRDefault="00BC335D" w:rsidP="00873303">
      <w:pPr>
        <w:pStyle w:val="Caption"/>
        <w:spacing w:before="288"/>
        <w:rPr>
          <w:lang w:val="en-AU" w:eastAsia="en-AU"/>
        </w:rPr>
      </w:pPr>
      <w:r w:rsidRPr="00B46E84">
        <w:rPr>
          <w:lang w:val="en-AU" w:eastAsia="en-AU"/>
        </w:rPr>
        <w:t>** note some gaps in evidence</w:t>
      </w:r>
      <w:r w:rsidR="00093339">
        <w:rPr>
          <w:lang w:val="en-AU" w:eastAsia="en-AU"/>
        </w:rPr>
        <w:t xml:space="preserve"> noted in the papers</w:t>
      </w:r>
      <w:r w:rsidRPr="00B46E84">
        <w:rPr>
          <w:lang w:val="en-AU" w:eastAsia="en-AU"/>
        </w:rPr>
        <w:t xml:space="preserve"> are </w:t>
      </w:r>
      <w:r w:rsidR="00A050A7" w:rsidRPr="00B46E84">
        <w:rPr>
          <w:lang w:val="en-AU" w:eastAsia="en-AU"/>
        </w:rPr>
        <w:t xml:space="preserve">due to the specific search terms used in the initial methodology </w:t>
      </w:r>
      <w:r w:rsidR="00B46E84" w:rsidRPr="00B46E84">
        <w:rPr>
          <w:lang w:val="en-AU" w:eastAsia="en-AU"/>
        </w:rPr>
        <w:t>for the Systematic Literature Review.</w:t>
      </w:r>
    </w:p>
    <w:p w14:paraId="379F4524" w14:textId="77777777" w:rsidR="005100BE" w:rsidRPr="00214BC4" w:rsidRDefault="005100BE" w:rsidP="00214BC4">
      <w:pPr>
        <w:pStyle w:val="Heading3"/>
        <w:spacing w:before="288"/>
      </w:pPr>
      <w:r w:rsidRPr="00214BC4">
        <w:t>KRQ 3: Research insights to help inform 10 Year National Action Plan</w:t>
      </w:r>
    </w:p>
    <w:p w14:paraId="742C4A98" w14:textId="4EF3F4BC" w:rsidR="008920A1" w:rsidRDefault="005100BE" w:rsidP="009B148F">
      <w:pPr>
        <w:rPr>
          <w:lang w:val="en-AU"/>
        </w:rPr>
      </w:pPr>
      <w:r w:rsidRPr="005100BE">
        <w:rPr>
          <w:lang w:val="en-AU" w:eastAsia="en-AU"/>
        </w:rPr>
        <w:t xml:space="preserve">Notwithstanding </w:t>
      </w:r>
      <w:r w:rsidRPr="005100BE">
        <w:rPr>
          <w:lang w:val="en-AU"/>
        </w:rPr>
        <w:t xml:space="preserve">the targeted nature of the UTS-led research, and the gaps in peer reviewed literature on current mental health and suicidal prevention services for LGBTQ+ people, the research did </w:t>
      </w:r>
      <w:r w:rsidRPr="005100BE">
        <w:rPr>
          <w:lang w:val="en-AU" w:eastAsia="en-AU"/>
        </w:rPr>
        <w:t xml:space="preserve">provide </w:t>
      </w:r>
      <w:r w:rsidRPr="005100BE">
        <w:rPr>
          <w:lang w:val="en-AU"/>
        </w:rPr>
        <w:t>various insights that could help frame or inform future Government policies and services</w:t>
      </w:r>
      <w:r w:rsidR="00CF154F">
        <w:rPr>
          <w:lang w:val="en-AU"/>
        </w:rPr>
        <w:t xml:space="preserve">. This </w:t>
      </w:r>
      <w:r w:rsidR="00685DF8">
        <w:rPr>
          <w:lang w:val="en-AU"/>
        </w:rPr>
        <w:t xml:space="preserve">involved </w:t>
      </w:r>
      <w:r w:rsidR="00CF154F">
        <w:rPr>
          <w:lang w:val="en-AU"/>
        </w:rPr>
        <w:t xml:space="preserve">distilling </w:t>
      </w:r>
      <w:r w:rsidRPr="005100BE">
        <w:rPr>
          <w:lang w:val="en-AU"/>
        </w:rPr>
        <w:t>a set of eight overarching principles</w:t>
      </w:r>
      <w:r w:rsidR="00CF154F">
        <w:rPr>
          <w:lang w:val="en-AU"/>
        </w:rPr>
        <w:t xml:space="preserve">, </w:t>
      </w:r>
      <w:r w:rsidR="00685DF8">
        <w:rPr>
          <w:lang w:val="en-AU"/>
        </w:rPr>
        <w:t xml:space="preserve">defining </w:t>
      </w:r>
      <w:r w:rsidRPr="005100BE">
        <w:rPr>
          <w:lang w:val="en-AU"/>
        </w:rPr>
        <w:t>six priority policy direction</w:t>
      </w:r>
      <w:r w:rsidR="00CF154F">
        <w:rPr>
          <w:lang w:val="en-AU"/>
        </w:rPr>
        <w:t>s</w:t>
      </w:r>
      <w:r w:rsidRPr="005100BE">
        <w:rPr>
          <w:lang w:val="en-AU"/>
        </w:rPr>
        <w:t xml:space="preserve">, </w:t>
      </w:r>
      <w:r w:rsidR="00CF154F">
        <w:rPr>
          <w:lang w:val="en-AU"/>
        </w:rPr>
        <w:t xml:space="preserve">each </w:t>
      </w:r>
      <w:r w:rsidRPr="005100BE">
        <w:rPr>
          <w:lang w:val="en-AU"/>
        </w:rPr>
        <w:t>supported by a set of possible actions arising</w:t>
      </w:r>
      <w:r w:rsidR="00685DF8">
        <w:rPr>
          <w:lang w:val="en-AU"/>
        </w:rPr>
        <w:t xml:space="preserve"> (included in an attachment)</w:t>
      </w:r>
      <w:r w:rsidRPr="005100BE">
        <w:rPr>
          <w:lang w:val="en-AU"/>
        </w:rPr>
        <w:t>.</w:t>
      </w:r>
    </w:p>
    <w:p w14:paraId="0000BC20" w14:textId="77777777" w:rsidR="008920A1" w:rsidRDefault="008920A1" w:rsidP="009B148F">
      <w:pPr>
        <w:rPr>
          <w:lang w:val="en-AU"/>
        </w:rPr>
      </w:pPr>
      <w:r>
        <w:rPr>
          <w:lang w:val="en-AU"/>
        </w:rPr>
        <w:br w:type="page"/>
      </w:r>
    </w:p>
    <w:p w14:paraId="6236A539" w14:textId="637D6436" w:rsidR="005100BE" w:rsidRPr="00214BC4" w:rsidRDefault="005100BE" w:rsidP="00214BC4">
      <w:pPr>
        <w:pStyle w:val="Heading4"/>
        <w:spacing w:before="288"/>
      </w:pPr>
      <w:r w:rsidRPr="00214BC4">
        <w:lastRenderedPageBreak/>
        <w:t>Overarching principles</w:t>
      </w:r>
    </w:p>
    <w:p w14:paraId="656D6D39" w14:textId="48CC114C" w:rsidR="005100BE" w:rsidRDefault="184CA97D" w:rsidP="009B148F">
      <w:pPr>
        <w:rPr>
          <w:lang w:val="en-AU"/>
        </w:rPr>
      </w:pPr>
      <w:r w:rsidRPr="2C550601">
        <w:rPr>
          <w:lang w:val="en-AU"/>
        </w:rPr>
        <w:t>The following principles, distilled from the</w:t>
      </w:r>
      <w:r w:rsidR="63B1FB64" w:rsidRPr="2C550601">
        <w:rPr>
          <w:lang w:val="en-AU"/>
        </w:rPr>
        <w:t xml:space="preserve"> </w:t>
      </w:r>
      <w:r w:rsidR="007D7B03">
        <w:rPr>
          <w:lang w:val="en-AU"/>
        </w:rPr>
        <w:t>included</w:t>
      </w:r>
      <w:r w:rsidRPr="2C550601">
        <w:rPr>
          <w:lang w:val="en-AU"/>
        </w:rPr>
        <w:t xml:space="preserve"> literature, could inform the approach, measures, and implementation of the</w:t>
      </w:r>
      <w:r w:rsidR="37938E02" w:rsidRPr="2C550601">
        <w:rPr>
          <w:lang w:val="en-AU"/>
        </w:rPr>
        <w:t xml:space="preserve"> </w:t>
      </w:r>
      <w:r w:rsidRPr="2C550601">
        <w:rPr>
          <w:lang w:val="en-AU"/>
        </w:rPr>
        <w:t>Action Plan:</w:t>
      </w:r>
    </w:p>
    <w:p w14:paraId="6EBD7B99" w14:textId="77777777" w:rsidR="00C6230B" w:rsidRDefault="00C6230B" w:rsidP="009B148F">
      <w:pPr>
        <w:rPr>
          <w:lang w:val="en-AU" w:eastAsia="en-AU"/>
        </w:rPr>
      </w:pPr>
      <w:r>
        <w:rPr>
          <w:noProof/>
        </w:rPr>
        <w:drawing>
          <wp:inline distT="0" distB="0" distL="0" distR="0" wp14:anchorId="4C170CB6" wp14:editId="650CBA24">
            <wp:extent cx="5995901" cy="6667500"/>
            <wp:effectExtent l="0" t="0" r="5080" b="0"/>
            <wp:docPr id="2074511634" name="Picture 1" descr="Eight principles, to inform the approach, measures, and implementation of the National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11634" name="Picture 1" descr="Eight principles, to inform the approach, measures, and implementation of the National Action Plan."/>
                    <pic:cNvPicPr/>
                  </pic:nvPicPr>
                  <pic:blipFill>
                    <a:blip r:embed="rId12"/>
                    <a:stretch>
                      <a:fillRect/>
                    </a:stretch>
                  </pic:blipFill>
                  <pic:spPr>
                    <a:xfrm>
                      <a:off x="0" y="0"/>
                      <a:ext cx="5999030" cy="6670980"/>
                    </a:xfrm>
                    <a:prstGeom prst="rect">
                      <a:avLst/>
                    </a:prstGeom>
                  </pic:spPr>
                </pic:pic>
              </a:graphicData>
            </a:graphic>
          </wp:inline>
        </w:drawing>
      </w:r>
    </w:p>
    <w:p w14:paraId="66375125" w14:textId="77777777" w:rsidR="00C6230B" w:rsidRDefault="00C6230B" w:rsidP="009B148F">
      <w:pPr>
        <w:rPr>
          <w:lang w:val="en-AU" w:eastAsia="en-AU"/>
        </w:rPr>
      </w:pPr>
      <w:r>
        <w:rPr>
          <w:lang w:val="en-AU" w:eastAsia="en-AU"/>
        </w:rPr>
        <w:br w:type="page"/>
      </w:r>
    </w:p>
    <w:p w14:paraId="5F33C93E" w14:textId="763B9105" w:rsidR="005100BE" w:rsidRPr="005100BE" w:rsidRDefault="005100BE" w:rsidP="009B148F">
      <w:pPr>
        <w:rPr>
          <w:lang w:val="en-AU" w:eastAsia="en-AU"/>
        </w:rPr>
      </w:pPr>
      <w:r w:rsidRPr="005100BE">
        <w:rPr>
          <w:lang w:val="en-AU" w:eastAsia="en-AU"/>
        </w:rPr>
        <w:lastRenderedPageBreak/>
        <w:t>Key Policy Directions</w:t>
      </w:r>
    </w:p>
    <w:p w14:paraId="51E5357C" w14:textId="73DD28FE" w:rsidR="000C3273" w:rsidRPr="000C3273" w:rsidRDefault="005100BE" w:rsidP="009B148F">
      <w:pPr>
        <w:rPr>
          <w:lang w:val="en-AU"/>
        </w:rPr>
      </w:pPr>
      <w:r w:rsidRPr="005100BE">
        <w:rPr>
          <w:lang w:val="en-AU"/>
        </w:rPr>
        <w:t xml:space="preserve">Building from the above overarching principles, the UTS-led researchers identified the following six core policy directions, with specific options arising </w:t>
      </w:r>
      <w:r w:rsidR="009218D8">
        <w:rPr>
          <w:lang w:val="en-AU"/>
        </w:rPr>
        <w:t>included as an Att</w:t>
      </w:r>
      <w:r w:rsidR="00AF6800">
        <w:rPr>
          <w:lang w:val="en-AU"/>
        </w:rPr>
        <w:t>a</w:t>
      </w:r>
      <w:r w:rsidR="009218D8">
        <w:rPr>
          <w:lang w:val="en-AU"/>
        </w:rPr>
        <w:t>chment</w:t>
      </w:r>
      <w:r w:rsidRPr="005100BE">
        <w:rPr>
          <w:lang w:val="en-AU"/>
        </w:rPr>
        <w:t xml:space="preserve">. </w:t>
      </w:r>
    </w:p>
    <w:p w14:paraId="5E1F2E87" w14:textId="0369BE33" w:rsidR="000C3273" w:rsidRPr="003215D7" w:rsidRDefault="000C3273" w:rsidP="00C6230B">
      <w:pPr>
        <w:pStyle w:val="Caption"/>
        <w:spacing w:beforeLines="150" w:before="360"/>
        <w:rPr>
          <w:b/>
          <w:bCs/>
          <w:i w:val="0"/>
          <w:iCs w:val="0"/>
          <w:sz w:val="22"/>
          <w:szCs w:val="22"/>
          <w:lang w:eastAsia="en-AU"/>
        </w:rPr>
      </w:pPr>
      <w:r w:rsidRPr="003215D7">
        <w:rPr>
          <w:b/>
          <w:bCs/>
          <w:i w:val="0"/>
          <w:iCs w:val="0"/>
          <w:sz w:val="22"/>
          <w:szCs w:val="22"/>
        </w:rPr>
        <w:t xml:space="preserve">Figure </w:t>
      </w:r>
      <w:r w:rsidRPr="003215D7">
        <w:rPr>
          <w:b/>
          <w:bCs/>
          <w:i w:val="0"/>
          <w:iCs w:val="0"/>
          <w:sz w:val="22"/>
          <w:szCs w:val="22"/>
        </w:rPr>
        <w:fldChar w:fldCharType="begin"/>
      </w:r>
      <w:r w:rsidRPr="003215D7">
        <w:rPr>
          <w:b/>
          <w:bCs/>
          <w:i w:val="0"/>
          <w:iCs w:val="0"/>
          <w:sz w:val="22"/>
          <w:szCs w:val="22"/>
        </w:rPr>
        <w:instrText xml:space="preserve"> SEQ Figure \* ARABIC </w:instrText>
      </w:r>
      <w:r w:rsidRPr="003215D7">
        <w:rPr>
          <w:b/>
          <w:bCs/>
          <w:i w:val="0"/>
          <w:iCs w:val="0"/>
          <w:sz w:val="22"/>
          <w:szCs w:val="22"/>
        </w:rPr>
        <w:fldChar w:fldCharType="separate"/>
      </w:r>
      <w:r w:rsidRPr="003215D7">
        <w:rPr>
          <w:b/>
          <w:bCs/>
          <w:i w:val="0"/>
          <w:iCs w:val="0"/>
          <w:noProof/>
          <w:sz w:val="22"/>
          <w:szCs w:val="22"/>
        </w:rPr>
        <w:t>2</w:t>
      </w:r>
      <w:r w:rsidRPr="003215D7">
        <w:rPr>
          <w:b/>
          <w:bCs/>
          <w:i w:val="0"/>
          <w:iCs w:val="0"/>
          <w:sz w:val="22"/>
          <w:szCs w:val="22"/>
        </w:rPr>
        <w:fldChar w:fldCharType="end"/>
      </w:r>
      <w:r w:rsidRPr="003215D7">
        <w:rPr>
          <w:b/>
          <w:bCs/>
          <w:i w:val="0"/>
          <w:iCs w:val="0"/>
          <w:sz w:val="22"/>
          <w:szCs w:val="22"/>
          <w:lang w:eastAsia="en-AU"/>
        </w:rPr>
        <w:t>: Key Considerations for the development of the National Action Plan</w:t>
      </w:r>
    </w:p>
    <w:p w14:paraId="320C5299" w14:textId="7A858143" w:rsidR="005100BE" w:rsidRDefault="00D504C0" w:rsidP="009B148F">
      <w:pPr>
        <w:rPr>
          <w:rFonts w:eastAsia="Arial" w:cs="Cordia New"/>
          <w:lang w:val="en-AU" w:eastAsia="en-AU"/>
        </w:rPr>
      </w:pPr>
      <w:r>
        <w:rPr>
          <w:noProof/>
        </w:rPr>
        <w:drawing>
          <wp:inline distT="0" distB="0" distL="0" distR="0" wp14:anchorId="6EBCD0FC" wp14:editId="5CAA583E">
            <wp:extent cx="5731510" cy="3984625"/>
            <wp:effectExtent l="0" t="0" r="2540" b="0"/>
            <wp:docPr id="915822807" name="Picture 1" descr="Figure 2: Key Considerations for the development of the National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22807" name="Picture 1" descr="Figure 2: Key Considerations for the development of the National Action Plan"/>
                    <pic:cNvPicPr/>
                  </pic:nvPicPr>
                  <pic:blipFill>
                    <a:blip r:embed="rId13"/>
                    <a:stretch>
                      <a:fillRect/>
                    </a:stretch>
                  </pic:blipFill>
                  <pic:spPr>
                    <a:xfrm>
                      <a:off x="0" y="0"/>
                      <a:ext cx="5731510" cy="3984625"/>
                    </a:xfrm>
                    <a:prstGeom prst="rect">
                      <a:avLst/>
                    </a:prstGeom>
                  </pic:spPr>
                </pic:pic>
              </a:graphicData>
            </a:graphic>
          </wp:inline>
        </w:drawing>
      </w:r>
    </w:p>
    <w:p w14:paraId="3E238F42" w14:textId="48E59A7B" w:rsidR="00693FDC" w:rsidRPr="00693FDC" w:rsidRDefault="00693FDC" w:rsidP="009B148F">
      <w:pPr>
        <w:rPr>
          <w:vertAlign w:val="superscript"/>
        </w:rPr>
      </w:pPr>
      <w:r w:rsidRPr="002A7B58">
        <w:rPr>
          <w:rStyle w:val="FootnoteReference"/>
          <w:sz w:val="28"/>
          <w:szCs w:val="28"/>
        </w:rPr>
        <w:t>Source: UTS-led research team, October 2023.</w:t>
      </w:r>
    </w:p>
    <w:p w14:paraId="585B53BA" w14:textId="5335484D" w:rsidR="005100BE" w:rsidRPr="005100BE" w:rsidRDefault="005100BE" w:rsidP="00214BC4">
      <w:pPr>
        <w:pStyle w:val="Heading1"/>
        <w:spacing w:before="288"/>
        <w:rPr>
          <w:lang w:val="en-AU" w:eastAsia="en-AU"/>
        </w:rPr>
      </w:pPr>
      <w:r w:rsidRPr="005100BE">
        <w:rPr>
          <w:lang w:val="en-AU" w:eastAsia="en-AU"/>
        </w:rPr>
        <w:t>Conclusion</w:t>
      </w:r>
    </w:p>
    <w:p w14:paraId="49FBEEE6" w14:textId="77777777" w:rsidR="00CF154F" w:rsidRPr="005100BE" w:rsidRDefault="005100BE" w:rsidP="009B148F">
      <w:pPr>
        <w:rPr>
          <w:lang w:val="en-AU" w:eastAsia="en-AU"/>
        </w:rPr>
      </w:pPr>
      <w:r w:rsidRPr="005100BE">
        <w:rPr>
          <w:lang w:val="en-AU" w:eastAsia="en-AU"/>
        </w:rPr>
        <w:t xml:space="preserve">The evidence reviewed as part of this research indicated the need for significant investments to ensure that Australia’s mental health service system, and accompanying sectors, </w:t>
      </w:r>
      <w:proofErr w:type="gramStart"/>
      <w:r w:rsidRPr="005100BE">
        <w:rPr>
          <w:lang w:val="en-AU" w:eastAsia="en-AU"/>
        </w:rPr>
        <w:t>are able to</w:t>
      </w:r>
      <w:proofErr w:type="gramEnd"/>
      <w:r w:rsidRPr="005100BE">
        <w:rPr>
          <w:lang w:val="en-AU" w:eastAsia="en-AU"/>
        </w:rPr>
        <w:t xml:space="preserve"> support the diversity of LGBTQ+ health and wellbeing needs. This includes </w:t>
      </w:r>
      <w:r w:rsidR="00CF154F" w:rsidRPr="005100BE">
        <w:rPr>
          <w:lang w:val="en-AU" w:eastAsia="en-AU"/>
        </w:rPr>
        <w:t xml:space="preserve">both improvements to the design and delivery of services, as well as consideration to strategies to address causes of distress (e.g., discrimination and violence).  </w:t>
      </w:r>
    </w:p>
    <w:p w14:paraId="15017681" w14:textId="77777777" w:rsidR="00873C2A" w:rsidRDefault="184CA97D" w:rsidP="009B148F">
      <w:pPr>
        <w:rPr>
          <w:lang w:val="en-AU" w:eastAsia="en-AU"/>
        </w:rPr>
      </w:pPr>
      <w:r w:rsidRPr="2C550601">
        <w:rPr>
          <w:lang w:val="en-AU" w:eastAsia="en-AU"/>
        </w:rPr>
        <w:t xml:space="preserve">In addition, </w:t>
      </w:r>
      <w:r w:rsidR="00C51F93">
        <w:rPr>
          <w:lang w:val="en-AU" w:eastAsia="en-AU"/>
        </w:rPr>
        <w:t xml:space="preserve">the research </w:t>
      </w:r>
      <w:r w:rsidRPr="2C550601">
        <w:rPr>
          <w:lang w:val="en-AU" w:eastAsia="en-AU"/>
        </w:rPr>
        <w:t>highlighted</w:t>
      </w:r>
      <w:r w:rsidR="30DB8406" w:rsidRPr="2C550601">
        <w:rPr>
          <w:lang w:val="en-AU" w:eastAsia="en-AU"/>
        </w:rPr>
        <w:t xml:space="preserve"> </w:t>
      </w:r>
      <w:r w:rsidR="00C51F93">
        <w:rPr>
          <w:lang w:val="en-AU" w:eastAsia="en-AU"/>
        </w:rPr>
        <w:t xml:space="preserve">significant </w:t>
      </w:r>
      <w:r w:rsidRPr="2C550601">
        <w:rPr>
          <w:lang w:val="en-AU" w:eastAsia="en-AU"/>
        </w:rPr>
        <w:t>gaps in the available data and research to inform LGBTQ+ health and wellbeing policy. As such, while the authors sought to answer the KRQs, a complete and definitive answer to any of the questions was not possible within the scope of the available evidence and will require significant investments in future research, with a particular focus on</w:t>
      </w:r>
      <w:r w:rsidR="7A5C8F1E" w:rsidRPr="2C550601">
        <w:rPr>
          <w:lang w:val="en-AU" w:eastAsia="en-AU"/>
        </w:rPr>
        <w:t xml:space="preserve"> </w:t>
      </w:r>
      <w:r w:rsidR="3B61A9A4" w:rsidRPr="2C550601">
        <w:rPr>
          <w:lang w:val="en-AU" w:eastAsia="en-AU"/>
        </w:rPr>
        <w:t>gaps in the evidence which if have been identified through this</w:t>
      </w:r>
      <w:r w:rsidR="69970030" w:rsidRPr="2C550601">
        <w:rPr>
          <w:lang w:val="en-AU" w:eastAsia="en-AU"/>
        </w:rPr>
        <w:t>,</w:t>
      </w:r>
      <w:r w:rsidR="3B61A9A4" w:rsidRPr="2C550601">
        <w:rPr>
          <w:lang w:val="en-AU" w:eastAsia="en-AU"/>
        </w:rPr>
        <w:t xml:space="preserve"> and </w:t>
      </w:r>
      <w:proofErr w:type="gramStart"/>
      <w:r w:rsidR="3B61A9A4" w:rsidRPr="2C550601">
        <w:rPr>
          <w:lang w:val="en-AU" w:eastAsia="en-AU"/>
        </w:rPr>
        <w:t>other</w:t>
      </w:r>
      <w:proofErr w:type="gramEnd"/>
      <w:r w:rsidR="3B61A9A4" w:rsidRPr="2C550601">
        <w:rPr>
          <w:lang w:val="en-AU" w:eastAsia="en-AU"/>
        </w:rPr>
        <w:t xml:space="preserve"> research. </w:t>
      </w:r>
    </w:p>
    <w:p w14:paraId="6D6DFBBC" w14:textId="64A7D0C8" w:rsidR="009A2D02" w:rsidRPr="00873C2A" w:rsidRDefault="005100BE" w:rsidP="009B148F">
      <w:r w:rsidRPr="00873C2A">
        <w:br w:type="page"/>
      </w:r>
    </w:p>
    <w:p w14:paraId="46181B52" w14:textId="1FB0F7FD" w:rsidR="009C3801" w:rsidRPr="005100BE" w:rsidRDefault="009218D8" w:rsidP="00214BC4">
      <w:pPr>
        <w:pStyle w:val="Heading1"/>
        <w:spacing w:before="288"/>
        <w:rPr>
          <w:rFonts w:eastAsia="Arial" w:cs="Cordia New"/>
          <w:lang w:val="en-AU" w:eastAsia="en-AU"/>
        </w:rPr>
      </w:pPr>
      <w:r w:rsidRPr="00CD7864">
        <w:rPr>
          <w:lang w:val="en-AU" w:eastAsia="en-AU"/>
        </w:rPr>
        <w:lastRenderedPageBreak/>
        <w:t>Attachment</w:t>
      </w:r>
      <w:r w:rsidR="0002478E">
        <w:rPr>
          <w:lang w:val="en-AU" w:eastAsia="en-AU"/>
        </w:rPr>
        <w:t xml:space="preserve"> –</w:t>
      </w:r>
      <w:r w:rsidRPr="00CD7864">
        <w:rPr>
          <w:lang w:val="en-AU" w:eastAsia="en-AU"/>
        </w:rPr>
        <w:t xml:space="preserve"> Options </w:t>
      </w:r>
      <w:r w:rsidR="00956BDE" w:rsidRPr="00CD7864">
        <w:rPr>
          <w:lang w:val="en-AU" w:eastAsia="en-AU"/>
        </w:rPr>
        <w:t>Arising</w:t>
      </w:r>
    </w:p>
    <w:tbl>
      <w:tblPr>
        <w:tblStyle w:val="PlainTable11"/>
        <w:tblW w:w="9351" w:type="dxa"/>
        <w:tblLook w:val="04A0" w:firstRow="1" w:lastRow="0" w:firstColumn="1" w:lastColumn="0" w:noHBand="0" w:noVBand="1"/>
      </w:tblPr>
      <w:tblGrid>
        <w:gridCol w:w="1764"/>
        <w:gridCol w:w="7587"/>
      </w:tblGrid>
      <w:tr w:rsidR="009B4942" w:rsidRPr="00873C2A" w14:paraId="0A01179B" w14:textId="77777777" w:rsidTr="00873C2A">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0F4BEB" w:themeColor="accent1"/>
            </w:tcBorders>
            <w:shd w:val="clear" w:color="auto" w:fill="000000" w:themeFill="text2"/>
          </w:tcPr>
          <w:p w14:paraId="7D2AFC4A" w14:textId="77777777" w:rsidR="009B4942" w:rsidRPr="00873C2A" w:rsidRDefault="009B4942" w:rsidP="009B148F">
            <w:r w:rsidRPr="00873C2A">
              <w:t>Directions</w:t>
            </w:r>
          </w:p>
        </w:tc>
        <w:tc>
          <w:tcPr>
            <w:tcW w:w="7793" w:type="dxa"/>
            <w:tcBorders>
              <w:top w:val="single" w:sz="4" w:space="0" w:color="0F4BEB" w:themeColor="accent1"/>
              <w:right w:val="single" w:sz="4" w:space="0" w:color="D9D9D9" w:themeColor="background2" w:themeShade="D9"/>
            </w:tcBorders>
            <w:shd w:val="clear" w:color="auto" w:fill="000000" w:themeFill="text2"/>
            <w:vAlign w:val="center"/>
          </w:tcPr>
          <w:p w14:paraId="751D8EED" w14:textId="77777777" w:rsidR="009B4942" w:rsidRPr="00873C2A" w:rsidRDefault="009B4942" w:rsidP="009B148F">
            <w:pPr>
              <w:cnfStyle w:val="100000000000" w:firstRow="1" w:lastRow="0" w:firstColumn="0" w:lastColumn="0" w:oddVBand="0" w:evenVBand="0" w:oddHBand="0" w:evenHBand="0" w:firstRowFirstColumn="0" w:firstRowLastColumn="0" w:lastRowFirstColumn="0" w:lastRowLastColumn="0"/>
            </w:pPr>
            <w:r w:rsidRPr="00873C2A">
              <w:t>Options Arising from the Research</w:t>
            </w:r>
          </w:p>
        </w:tc>
      </w:tr>
      <w:tr w:rsidR="009B4942" w:rsidRPr="000B427F" w14:paraId="799DC9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Merge w:val="restart"/>
            <w:shd w:val="clear" w:color="auto" w:fill="072575" w:themeFill="accent1" w:themeFillShade="80"/>
            <w:vAlign w:val="center"/>
          </w:tcPr>
          <w:p w14:paraId="1FAC0824" w14:textId="1B442709" w:rsidR="009B4942" w:rsidRPr="00873C2A" w:rsidRDefault="009B4942" w:rsidP="00873C2A">
            <w:pPr>
              <w:pStyle w:val="Tablelistnumber"/>
            </w:pPr>
            <w:r w:rsidRPr="00873C2A">
              <w:t>Build on this research and leverage existing initiatives</w:t>
            </w:r>
          </w:p>
        </w:tc>
        <w:tc>
          <w:tcPr>
            <w:tcW w:w="7793" w:type="dxa"/>
            <w:tcBorders>
              <w:right w:val="single" w:sz="4" w:space="0" w:color="D9D9D9" w:themeColor="background2" w:themeShade="D9"/>
            </w:tcBorders>
            <w:vAlign w:val="center"/>
          </w:tcPr>
          <w:p w14:paraId="25C109B2"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Undertake further research and consultations to refine, validate, and build upon the findings of the UTS-led research incorporating unpublished and grey literature, with a focus on identified gaps in evidence.</w:t>
            </w:r>
          </w:p>
        </w:tc>
      </w:tr>
      <w:tr w:rsidR="009B4942" w:rsidRPr="000B427F" w14:paraId="6B886783" w14:textId="77777777">
        <w:trPr>
          <w:trHeight w:val="766"/>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35474907" w14:textId="77777777" w:rsidR="009B4942" w:rsidRPr="00873C2A" w:rsidRDefault="009B4942" w:rsidP="00873C2A"/>
        </w:tc>
        <w:tc>
          <w:tcPr>
            <w:tcW w:w="7793" w:type="dxa"/>
            <w:tcBorders>
              <w:right w:val="single" w:sz="4" w:space="0" w:color="D9D9D9" w:themeColor="background2" w:themeShade="D9"/>
            </w:tcBorders>
            <w:vAlign w:val="center"/>
          </w:tcPr>
          <w:p w14:paraId="0AC96731"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Consider the release of a 10-year National ‘Strategy’, supported by successive two</w:t>
            </w:r>
            <w:r>
              <w:t>-</w:t>
            </w:r>
            <w:r w:rsidRPr="000B427F">
              <w:t xml:space="preserve"> to three</w:t>
            </w:r>
            <w:r>
              <w:t>-</w:t>
            </w:r>
            <w:r w:rsidRPr="000B427F">
              <w:t xml:space="preserve">year ‘Action Plans’, capitalising on new evidence and identified needs. </w:t>
            </w:r>
          </w:p>
        </w:tc>
      </w:tr>
      <w:tr w:rsidR="009B4942" w:rsidRPr="000B427F" w14:paraId="530D2AFD" w14:textId="7777777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6AF80CF1" w14:textId="77777777" w:rsidR="009B4942" w:rsidRPr="00873C2A" w:rsidRDefault="009B4942" w:rsidP="00873C2A"/>
        </w:tc>
        <w:tc>
          <w:tcPr>
            <w:tcW w:w="7793" w:type="dxa"/>
            <w:tcBorders>
              <w:right w:val="single" w:sz="4" w:space="0" w:color="D9D9D9" w:themeColor="background2" w:themeShade="D9"/>
            </w:tcBorders>
            <w:vAlign w:val="center"/>
          </w:tcPr>
          <w:p w14:paraId="4915593C"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Collaborate with relevant Commonwealth, state, and territory governments to harmonise and strengthen evidence-based reforms and initiatives.</w:t>
            </w:r>
          </w:p>
        </w:tc>
      </w:tr>
      <w:tr w:rsidR="009B4942" w:rsidRPr="000B427F" w14:paraId="66188E52" w14:textId="77777777">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3B36FDBC" w14:textId="77777777" w:rsidR="009B4942" w:rsidRPr="00873C2A" w:rsidRDefault="009B4942" w:rsidP="00873C2A"/>
        </w:tc>
        <w:tc>
          <w:tcPr>
            <w:tcW w:w="7793" w:type="dxa"/>
            <w:tcBorders>
              <w:bottom w:val="single" w:sz="4" w:space="0" w:color="0F4BEB" w:themeColor="accent1"/>
              <w:right w:val="single" w:sz="4" w:space="0" w:color="D9D9D9" w:themeColor="background2" w:themeShade="D9"/>
            </w:tcBorders>
            <w:vAlign w:val="center"/>
          </w:tcPr>
          <w:p w14:paraId="47B0D642"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 xml:space="preserve">Building on the Expert Advisory Group model, establish an ongoing LGBTQ+ mental health ‘Council’ of individuals with intersecting lived experience of mental health to oversee the finalisation of the National ‘Strategy’ and provide ongoing monitoring and advice on its development and implementation. </w:t>
            </w:r>
          </w:p>
        </w:tc>
      </w:tr>
      <w:tr w:rsidR="009B4942" w:rsidRPr="000B427F" w14:paraId="33F2478B" w14:textId="77777777">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4" w:space="0" w:color="0F4BEB" w:themeColor="accent1"/>
              <w:left w:val="nil"/>
              <w:bottom w:val="nil"/>
              <w:right w:val="nil"/>
            </w:tcBorders>
            <w:shd w:val="clear" w:color="auto" w:fill="0B37AF" w:themeFill="accent1" w:themeFillShade="BF"/>
            <w:vAlign w:val="center"/>
          </w:tcPr>
          <w:p w14:paraId="6E563BF6" w14:textId="772802C8" w:rsidR="009B4942" w:rsidRPr="00873C2A" w:rsidRDefault="009B4942" w:rsidP="00873C2A">
            <w:pPr>
              <w:pStyle w:val="Tablelistnumber"/>
            </w:pPr>
            <w:r w:rsidRPr="00873C2A">
              <w:t>Invest in targeted research and improved data</w:t>
            </w:r>
          </w:p>
        </w:tc>
        <w:tc>
          <w:tcPr>
            <w:tcW w:w="7793" w:type="dxa"/>
            <w:tcBorders>
              <w:top w:val="single" w:sz="4" w:space="0" w:color="0F4BEB" w:themeColor="accent1"/>
              <w:left w:val="nil"/>
              <w:bottom w:val="nil"/>
              <w:right w:val="single" w:sz="4" w:space="0" w:color="D9D9D9" w:themeColor="background2" w:themeShade="D9"/>
            </w:tcBorders>
            <w:vAlign w:val="center"/>
          </w:tcPr>
          <w:p w14:paraId="7D4750C3"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Research to further understand the needs and experiences of diverse LGBTQ+ people experiencing mental distress and/or suicidality, including tailored research to better understand the policy implementations for groups such as people with innate variations of sex characteristics, asexual people, and those impacted by intersectional issues.</w:t>
            </w:r>
          </w:p>
        </w:tc>
      </w:tr>
      <w:tr w:rsidR="009B4942" w:rsidRPr="000B427F" w14:paraId="075A66CE" w14:textId="77777777">
        <w:trPr>
          <w:trHeight w:val="1023"/>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70AF7F54" w14:textId="77777777" w:rsidR="009B4942" w:rsidRPr="00873C2A" w:rsidRDefault="009B4942" w:rsidP="00873C2A"/>
        </w:tc>
        <w:tc>
          <w:tcPr>
            <w:tcW w:w="7793" w:type="dxa"/>
            <w:tcBorders>
              <w:top w:val="nil"/>
              <w:right w:val="single" w:sz="4" w:space="0" w:color="D9D9D9" w:themeColor="background2" w:themeShade="D9"/>
            </w:tcBorders>
            <w:vAlign w:val="center"/>
          </w:tcPr>
          <w:p w14:paraId="17B49F92"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rPr>
                <w:sz w:val="24"/>
                <w:szCs w:val="28"/>
              </w:rPr>
            </w:pPr>
            <w:r w:rsidRPr="000B427F">
              <w:t>Better map the Australian mental health service system, including mainstream and LGBTQ+ specific services potentially used by LGBTQ+ people, noting unmet needs and service gaps by groups of potential users.</w:t>
            </w:r>
          </w:p>
        </w:tc>
      </w:tr>
      <w:tr w:rsidR="009B4942" w:rsidRPr="000B427F" w14:paraId="01EBFA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32269A3E" w14:textId="77777777" w:rsidR="009B4942" w:rsidRPr="00873C2A" w:rsidRDefault="009B4942" w:rsidP="00873C2A"/>
        </w:tc>
        <w:tc>
          <w:tcPr>
            <w:tcW w:w="7793" w:type="dxa"/>
            <w:tcBorders>
              <w:right w:val="single" w:sz="4" w:space="0" w:color="D9D9D9" w:themeColor="background2" w:themeShade="D9"/>
            </w:tcBorders>
            <w:vAlign w:val="center"/>
          </w:tcPr>
          <w:p w14:paraId="0DF81937"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Following from Option 6), establish methods to continuously evaluate mainstream and LGBTQ+ specific mental health services, including consideration of their access, inclusion, service quality</w:t>
            </w:r>
            <w:r>
              <w:t>,</w:t>
            </w:r>
            <w:r w:rsidRPr="000B427F">
              <w:t xml:space="preserve"> and overall performance for LGBTQ+ people.</w:t>
            </w:r>
          </w:p>
        </w:tc>
      </w:tr>
      <w:tr w:rsidR="009B4942" w:rsidRPr="000B427F" w14:paraId="06DE0AA7" w14:textId="77777777">
        <w:trPr>
          <w:trHeight w:val="1189"/>
        </w:trPr>
        <w:tc>
          <w:tcPr>
            <w:cnfStyle w:val="001000000000" w:firstRow="0" w:lastRow="0" w:firstColumn="1" w:lastColumn="0" w:oddVBand="0" w:evenVBand="0" w:oddHBand="0" w:evenHBand="0" w:firstRowFirstColumn="0" w:firstRowLastColumn="0" w:lastRowFirstColumn="0" w:lastRowLastColumn="0"/>
            <w:tcW w:w="1558" w:type="dxa"/>
            <w:vMerge/>
            <w:tcBorders>
              <w:bottom w:val="single" w:sz="4" w:space="0" w:color="0F4BEB" w:themeColor="accent1"/>
            </w:tcBorders>
            <w:vAlign w:val="center"/>
          </w:tcPr>
          <w:p w14:paraId="54F77CBD" w14:textId="77777777" w:rsidR="009B4942" w:rsidRPr="00873C2A" w:rsidRDefault="009B4942" w:rsidP="00873C2A"/>
        </w:tc>
        <w:tc>
          <w:tcPr>
            <w:tcW w:w="7793" w:type="dxa"/>
            <w:tcBorders>
              <w:bottom w:val="single" w:sz="4" w:space="0" w:color="0F4BEB" w:themeColor="accent1"/>
              <w:right w:val="single" w:sz="4" w:space="0" w:color="D9D9D9" w:themeColor="background2" w:themeShade="D9"/>
            </w:tcBorders>
            <w:vAlign w:val="center"/>
          </w:tcPr>
          <w:p w14:paraId="33F91586" w14:textId="77777777" w:rsidR="00873C2A"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Research, pilot</w:t>
            </w:r>
            <w:r>
              <w:t>,</w:t>
            </w:r>
            <w:r w:rsidRPr="000B427F">
              <w:t xml:space="preserve"> and evaluate initiatives to reduce stressors experienced by LGBTQ+ people in the first instance</w:t>
            </w:r>
            <w:r>
              <w:t>,</w:t>
            </w:r>
            <w:r w:rsidRPr="000B427F">
              <w:t xml:space="preserve"> within </w:t>
            </w:r>
            <w:r w:rsidRPr="000B427F" w:rsidDel="4FD8E495">
              <w:t xml:space="preserve">both </w:t>
            </w:r>
            <w:r w:rsidRPr="000B427F">
              <w:t>mainstream and LGBTQ+ specific mental health service systems.</w:t>
            </w:r>
          </w:p>
          <w:p w14:paraId="35793B20" w14:textId="6BC65D60" w:rsidR="009B4942" w:rsidRPr="00873C2A" w:rsidRDefault="009B4942" w:rsidP="00873C2A">
            <w:pPr>
              <w:pStyle w:val="Tabletext"/>
              <w:cnfStyle w:val="000000000000" w:firstRow="0" w:lastRow="0" w:firstColumn="0" w:lastColumn="0" w:oddVBand="0" w:evenVBand="0" w:oddHBand="0" w:evenHBand="0" w:firstRowFirstColumn="0" w:firstRowLastColumn="0" w:lastRowFirstColumn="0" w:lastRowLastColumn="0"/>
            </w:pPr>
            <w:r w:rsidRPr="00873C2A">
              <w:t>(Also see Option 21-23 regarding primary prevention initiatives.)</w:t>
            </w:r>
          </w:p>
        </w:tc>
      </w:tr>
      <w:tr w:rsidR="009B4942" w:rsidRPr="000B427F" w14:paraId="23F0AF84"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4" w:space="0" w:color="0F4BEB" w:themeColor="accent1"/>
            </w:tcBorders>
            <w:shd w:val="clear" w:color="auto" w:fill="6C91F5" w:themeFill="accent1" w:themeFillTint="99"/>
            <w:vAlign w:val="center"/>
          </w:tcPr>
          <w:p w14:paraId="590F49A1" w14:textId="0119C18E" w:rsidR="009B4942" w:rsidRPr="00873C2A" w:rsidRDefault="009B4942" w:rsidP="00873C2A">
            <w:pPr>
              <w:pStyle w:val="Tablelistnumber"/>
              <w:rPr>
                <w:lang w:eastAsia="en-AU"/>
              </w:rPr>
            </w:pPr>
            <w:r w:rsidRPr="00873C2A">
              <w:t>Expand LGBTQ+ specific and intersectional service offerings</w:t>
            </w:r>
          </w:p>
        </w:tc>
        <w:tc>
          <w:tcPr>
            <w:tcW w:w="7793" w:type="dxa"/>
            <w:tcBorders>
              <w:top w:val="single" w:sz="4" w:space="0" w:color="0F4BEB" w:themeColor="accent1"/>
              <w:right w:val="single" w:sz="4" w:space="0" w:color="D9D9D9" w:themeColor="background2" w:themeShade="D9"/>
            </w:tcBorders>
            <w:vAlign w:val="center"/>
          </w:tcPr>
          <w:p w14:paraId="3A888F5D"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 xml:space="preserve">Investigate funding a diversity of </w:t>
            </w:r>
            <w:r>
              <w:t>additional</w:t>
            </w:r>
            <w:r w:rsidRPr="000B427F">
              <w:t xml:space="preserve"> LGBTQ+ specific mental health service options, providers</w:t>
            </w:r>
            <w:r>
              <w:t>,</w:t>
            </w:r>
            <w:r w:rsidRPr="000B427F">
              <w:t xml:space="preserve"> and models designed to deliver quality outcomes, with a specific focus on addressing unmet needs.</w:t>
            </w:r>
          </w:p>
        </w:tc>
      </w:tr>
      <w:tr w:rsidR="009B4942" w:rsidRPr="000B427F" w14:paraId="53F3173D"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638A0E6D" w14:textId="77777777" w:rsidR="009B4942" w:rsidRPr="00873C2A" w:rsidRDefault="009B4942" w:rsidP="00873C2A"/>
        </w:tc>
        <w:tc>
          <w:tcPr>
            <w:tcW w:w="7793" w:type="dxa"/>
            <w:tcBorders>
              <w:right w:val="single" w:sz="4" w:space="0" w:color="D9D9D9" w:themeColor="background2" w:themeShade="D9"/>
            </w:tcBorders>
            <w:vAlign w:val="center"/>
          </w:tcPr>
          <w:p w14:paraId="425863A2"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Commit resources to train, recruit</w:t>
            </w:r>
            <w:r>
              <w:t>,</w:t>
            </w:r>
            <w:r w:rsidRPr="000B427F">
              <w:t xml:space="preserve"> and retain staff in LGBTQ+ specific services to optimally manage the spectrum of mental health care needs, with a focus on trauma-informed, personal recovery.</w:t>
            </w:r>
          </w:p>
        </w:tc>
      </w:tr>
      <w:tr w:rsidR="009B4942" w:rsidRPr="000B427F" w14:paraId="238818D8"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2FCF73C0" w14:textId="77777777" w:rsidR="009B4942" w:rsidRPr="00873C2A" w:rsidRDefault="009B4942" w:rsidP="00873C2A"/>
        </w:tc>
        <w:tc>
          <w:tcPr>
            <w:tcW w:w="7793" w:type="dxa"/>
            <w:tcBorders>
              <w:right w:val="single" w:sz="4" w:space="0" w:color="D9D9D9" w:themeColor="background2" w:themeShade="D9"/>
            </w:tcBorders>
            <w:vAlign w:val="center"/>
          </w:tcPr>
          <w:p w14:paraId="44985881"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Establish a mechanism for First Nation peoples and organisations to oversee the design, development, and implementation of First Nations LGBTQ</w:t>
            </w:r>
            <w:r>
              <w:t>+</w:t>
            </w:r>
            <w:r w:rsidRPr="000B427F">
              <w:t xml:space="preserve">SB specific mental health and suicide prevention services. </w:t>
            </w:r>
          </w:p>
        </w:tc>
      </w:tr>
      <w:tr w:rsidR="009B4942" w:rsidRPr="000B427F" w14:paraId="5A48A79A"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372DD0FD" w14:textId="77777777" w:rsidR="009B4942" w:rsidRPr="00873C2A" w:rsidRDefault="009B4942" w:rsidP="00873C2A"/>
        </w:tc>
        <w:tc>
          <w:tcPr>
            <w:tcW w:w="7793" w:type="dxa"/>
            <w:tcBorders>
              <w:right w:val="single" w:sz="4" w:space="0" w:color="D9D9D9" w:themeColor="background2" w:themeShade="D9"/>
            </w:tcBorders>
            <w:vAlign w:val="center"/>
          </w:tcPr>
          <w:p w14:paraId="73B74E6D"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 xml:space="preserve">Expand evidence-based services for </w:t>
            </w:r>
            <w:r>
              <w:t xml:space="preserve">young </w:t>
            </w:r>
            <w:r w:rsidRPr="000B427F">
              <w:t>LGBTQ+ people within and outside of mental health services, including mental health early intervention and prevention options in schools and other community settings.</w:t>
            </w:r>
          </w:p>
        </w:tc>
      </w:tr>
      <w:tr w:rsidR="009B4942" w:rsidRPr="000B427F" w14:paraId="4B5C9D24"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tcBorders>
              <w:bottom w:val="single" w:sz="4" w:space="0" w:color="0F4BEB" w:themeColor="accent1"/>
            </w:tcBorders>
            <w:vAlign w:val="center"/>
          </w:tcPr>
          <w:p w14:paraId="3052B077" w14:textId="77777777" w:rsidR="009B4942" w:rsidRPr="00873C2A" w:rsidRDefault="009B4942" w:rsidP="00873C2A"/>
        </w:tc>
        <w:tc>
          <w:tcPr>
            <w:tcW w:w="7793" w:type="dxa"/>
            <w:tcBorders>
              <w:bottom w:val="single" w:sz="4" w:space="0" w:color="0F4BEB" w:themeColor="accent1"/>
              <w:right w:val="single" w:sz="4" w:space="0" w:color="D9D9D9" w:themeColor="background2" w:themeShade="D9"/>
            </w:tcBorders>
            <w:vAlign w:val="center"/>
          </w:tcPr>
          <w:p w14:paraId="6F487FD2"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Action ways to better accommodate intersecting identities and sub-group needs within LGBTQ+ services.</w:t>
            </w:r>
          </w:p>
        </w:tc>
      </w:tr>
      <w:tr w:rsidR="009B4942" w:rsidRPr="000B427F" w14:paraId="7D5DC4E2"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4" w:space="0" w:color="0F4BEB" w:themeColor="accent1"/>
              <w:right w:val="nil"/>
            </w:tcBorders>
            <w:shd w:val="clear" w:color="auto" w:fill="9DB5F8" w:themeFill="accent1" w:themeFillTint="66"/>
            <w:vAlign w:val="center"/>
          </w:tcPr>
          <w:p w14:paraId="5368A245" w14:textId="30B6EB97" w:rsidR="009B4942" w:rsidRPr="00873C2A" w:rsidRDefault="009B4942" w:rsidP="00873C2A">
            <w:pPr>
              <w:pStyle w:val="Tablelistnumber"/>
            </w:pPr>
            <w:r w:rsidRPr="00873C2A">
              <w:t xml:space="preserve">Address stigmatisation, </w:t>
            </w:r>
            <w:r w:rsidR="004C4958" w:rsidRPr="00873C2A">
              <w:t>discrimination,</w:t>
            </w:r>
            <w:r w:rsidRPr="00873C2A">
              <w:t xml:space="preserve"> and capabilities within mainstream health services</w:t>
            </w:r>
          </w:p>
        </w:tc>
        <w:tc>
          <w:tcPr>
            <w:tcW w:w="7793" w:type="dxa"/>
            <w:tcBorders>
              <w:top w:val="single" w:sz="4" w:space="0" w:color="0F4BEB" w:themeColor="accent1"/>
              <w:left w:val="nil"/>
              <w:bottom w:val="nil"/>
              <w:right w:val="single" w:sz="4" w:space="0" w:color="D9D9D9" w:themeColor="background2" w:themeShade="D9"/>
            </w:tcBorders>
            <w:vAlign w:val="center"/>
          </w:tcPr>
          <w:p w14:paraId="70260369"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rPr>
                <w:b/>
                <w:bCs/>
              </w:rPr>
            </w:pPr>
            <w:r w:rsidRPr="000B427F">
              <w:t>Build the capacity, skills, knowledge</w:t>
            </w:r>
            <w:r>
              <w:t>,</w:t>
            </w:r>
            <w:r w:rsidRPr="000B427F">
              <w:t xml:space="preserve"> and understanding of mainstream health staff to ensure the provision of affirming and culturally safe services for LGBTQ+ people. </w:t>
            </w:r>
          </w:p>
        </w:tc>
      </w:tr>
      <w:tr w:rsidR="009B4942" w:rsidRPr="000B427F" w14:paraId="548220DB"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1157081E" w14:textId="77777777" w:rsidR="009B4942" w:rsidRPr="00873C2A" w:rsidRDefault="009B4942" w:rsidP="00873C2A"/>
        </w:tc>
        <w:tc>
          <w:tcPr>
            <w:tcW w:w="7793" w:type="dxa"/>
            <w:tcBorders>
              <w:top w:val="nil"/>
              <w:right w:val="single" w:sz="4" w:space="0" w:color="D9D9D9" w:themeColor="background2" w:themeShade="D9"/>
            </w:tcBorders>
            <w:vAlign w:val="center"/>
          </w:tcPr>
          <w:p w14:paraId="52DF1DAC"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Embed LGBTQ+ people with intersecting lived experience within health settings and provide meaningful opportunities for them to influence every stage of the service’s development, culture, and practices.</w:t>
            </w:r>
          </w:p>
        </w:tc>
      </w:tr>
      <w:tr w:rsidR="009B4942" w:rsidRPr="000B427F" w14:paraId="2BBA7B4F"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1F335571" w14:textId="77777777" w:rsidR="009B4942" w:rsidRPr="00873C2A" w:rsidRDefault="009B4942" w:rsidP="00873C2A"/>
        </w:tc>
        <w:tc>
          <w:tcPr>
            <w:tcW w:w="7793" w:type="dxa"/>
            <w:tcBorders>
              <w:right w:val="single" w:sz="4" w:space="0" w:color="D9D9D9" w:themeColor="background2" w:themeShade="D9"/>
            </w:tcBorders>
            <w:vAlign w:val="center"/>
          </w:tcPr>
          <w:p w14:paraId="0F618866"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 xml:space="preserve">Actively support LGBTQ+ people, and particularly those with intersecting lived experience, to work in health settings, and </w:t>
            </w:r>
            <w:r>
              <w:t xml:space="preserve">to </w:t>
            </w:r>
            <w:r w:rsidRPr="000B427F">
              <w:t xml:space="preserve">take up service provider roles at all levels of seniority. </w:t>
            </w:r>
          </w:p>
        </w:tc>
      </w:tr>
      <w:tr w:rsidR="009B4942" w:rsidRPr="000B427F" w14:paraId="7612AFE5"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2C195FC4" w14:textId="77777777" w:rsidR="009B4942" w:rsidRPr="00873C2A" w:rsidRDefault="009B4942" w:rsidP="00873C2A"/>
        </w:tc>
        <w:tc>
          <w:tcPr>
            <w:tcW w:w="7793" w:type="dxa"/>
            <w:tcBorders>
              <w:right w:val="single" w:sz="4" w:space="0" w:color="D9D9D9" w:themeColor="background2" w:themeShade="D9"/>
            </w:tcBorders>
            <w:vAlign w:val="center"/>
          </w:tcPr>
          <w:p w14:paraId="647BA26A"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Update and streamline processes and referral pathways to connect LGBTQ+ people with inclusive mainstream and LGBTQ+</w:t>
            </w:r>
            <w:r>
              <w:t xml:space="preserve"> </w:t>
            </w:r>
            <w:r w:rsidRPr="000B427F">
              <w:t xml:space="preserve">specific mental health providers </w:t>
            </w:r>
            <w:r>
              <w:t xml:space="preserve">that </w:t>
            </w:r>
            <w:proofErr w:type="gramStart"/>
            <w:r>
              <w:t xml:space="preserve">are </w:t>
            </w:r>
            <w:r w:rsidRPr="000B427F">
              <w:t>able to</w:t>
            </w:r>
            <w:proofErr w:type="gramEnd"/>
            <w:r w:rsidRPr="000B427F">
              <w:t xml:space="preserve"> optimally support their personal recovery. </w:t>
            </w:r>
          </w:p>
        </w:tc>
      </w:tr>
      <w:tr w:rsidR="009B4942" w:rsidRPr="000B427F" w14:paraId="2604685B"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45F2D9E7" w14:textId="77777777" w:rsidR="009B4942" w:rsidRPr="00873C2A" w:rsidRDefault="009B4942" w:rsidP="00873C2A"/>
        </w:tc>
        <w:tc>
          <w:tcPr>
            <w:tcW w:w="7793" w:type="dxa"/>
            <w:tcBorders>
              <w:right w:val="single" w:sz="4" w:space="0" w:color="D9D9D9" w:themeColor="background2" w:themeShade="D9"/>
            </w:tcBorders>
            <w:vAlign w:val="center"/>
          </w:tcPr>
          <w:p w14:paraId="109E5A8C" w14:textId="77777777" w:rsidR="009B4942" w:rsidRPr="000B427F"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0B427F">
              <w:t>Develop and widely promote a trauma-informed, recovery-oriented, equitable</w:t>
            </w:r>
            <w:r>
              <w:t>,</w:t>
            </w:r>
            <w:r w:rsidRPr="000B427F">
              <w:t xml:space="preserve"> and safe care framework for Australian mental health services, which addresses minority stressors known to drive mental distress and suicidality</w:t>
            </w:r>
            <w:r>
              <w:t>,</w:t>
            </w:r>
            <w:r w:rsidRPr="000B427F">
              <w:t xml:space="preserve"> and </w:t>
            </w:r>
            <w:r>
              <w:t xml:space="preserve">which </w:t>
            </w:r>
            <w:r w:rsidRPr="000B427F">
              <w:t xml:space="preserve">prevents traumatisation or re-traumatisation. </w:t>
            </w:r>
          </w:p>
        </w:tc>
      </w:tr>
      <w:tr w:rsidR="009B4942" w:rsidRPr="000B427F" w14:paraId="4F4DD2FA"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ign w:val="center"/>
          </w:tcPr>
          <w:p w14:paraId="12242714" w14:textId="77777777" w:rsidR="009B4942" w:rsidRPr="00873C2A" w:rsidRDefault="009B4942" w:rsidP="00873C2A"/>
        </w:tc>
        <w:tc>
          <w:tcPr>
            <w:tcW w:w="7793" w:type="dxa"/>
            <w:tcBorders>
              <w:right w:val="single" w:sz="4" w:space="0" w:color="D9D9D9" w:themeColor="background2" w:themeShade="D9"/>
            </w:tcBorders>
            <w:vAlign w:val="center"/>
          </w:tcPr>
          <w:p w14:paraId="0FFBF0B4" w14:textId="77777777" w:rsidR="009B4942" w:rsidRPr="000B427F"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0B427F">
              <w:t>Collaborate to action current recommendations designed to overcome stigmatisation in relation to mental health and LGBTQ+ people in other health, aged care</w:t>
            </w:r>
            <w:r>
              <w:t>,</w:t>
            </w:r>
            <w:r w:rsidRPr="000B427F">
              <w:t xml:space="preserve"> and disability care services. </w:t>
            </w:r>
          </w:p>
        </w:tc>
      </w:tr>
      <w:tr w:rsidR="009B4942" w:rsidRPr="000B427F" w14:paraId="76E0A13E"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tcBorders>
              <w:bottom w:val="single" w:sz="4" w:space="0" w:color="0F4BEB" w:themeColor="accent1"/>
            </w:tcBorders>
            <w:vAlign w:val="center"/>
          </w:tcPr>
          <w:p w14:paraId="77A39363" w14:textId="77777777" w:rsidR="009B4942" w:rsidRPr="00873C2A" w:rsidRDefault="009B4942" w:rsidP="00873C2A"/>
        </w:tc>
        <w:tc>
          <w:tcPr>
            <w:tcW w:w="7793" w:type="dxa"/>
            <w:tcBorders>
              <w:bottom w:val="single" w:sz="4" w:space="0" w:color="0F4BEB" w:themeColor="accent1"/>
              <w:right w:val="single" w:sz="4" w:space="0" w:color="D9D9D9" w:themeColor="background2" w:themeShade="D9"/>
            </w:tcBorders>
            <w:vAlign w:val="center"/>
          </w:tcPr>
          <w:p w14:paraId="595A439C" w14:textId="77777777" w:rsidR="009B4942" w:rsidRPr="00873C2A"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873C2A">
              <w:t>Investigate and find practical options to embed multiple explanatory frameworks for understanding mental distress and service provision for LGBTQ+ people experiencing mental health distress or suicidality that incorporate understandings of minority stress and trauma.</w:t>
            </w:r>
          </w:p>
        </w:tc>
      </w:tr>
      <w:tr w:rsidR="009B4942" w:rsidRPr="000B427F" w14:paraId="61D135BD"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val="restart"/>
            <w:tcBorders>
              <w:top w:val="single" w:sz="4" w:space="0" w:color="0F4BEB" w:themeColor="accent1"/>
            </w:tcBorders>
            <w:shd w:val="clear" w:color="auto" w:fill="CEDAFC" w:themeFill="accent1" w:themeFillTint="33"/>
            <w:vAlign w:val="center"/>
          </w:tcPr>
          <w:p w14:paraId="2296C51B" w14:textId="3925E9D5" w:rsidR="009B4942" w:rsidRPr="00873C2A" w:rsidRDefault="009B4942" w:rsidP="00873C2A">
            <w:pPr>
              <w:pStyle w:val="Tablelistnumber"/>
            </w:pPr>
            <w:r w:rsidRPr="00873C2A">
              <w:t>Collaborate across sectors to build connection and promote inclusion</w:t>
            </w:r>
          </w:p>
        </w:tc>
        <w:tc>
          <w:tcPr>
            <w:tcW w:w="7793" w:type="dxa"/>
            <w:tcBorders>
              <w:top w:val="single" w:sz="4" w:space="0" w:color="0F4BEB" w:themeColor="accent1"/>
              <w:right w:val="single" w:sz="4" w:space="0" w:color="D9D9D9" w:themeColor="background2" w:themeShade="D9"/>
            </w:tcBorders>
            <w:vAlign w:val="center"/>
          </w:tcPr>
          <w:p w14:paraId="0D1460C6" w14:textId="77777777" w:rsidR="009B4942" w:rsidRPr="00873C2A"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873C2A">
              <w:t xml:space="preserve">Initiate a major whole-of-government and cross-sectoral health and wellbeing inclusion strategy to promote social inclusion and address sources of stigma impacting LGBTQ+ people and communities. </w:t>
            </w:r>
          </w:p>
        </w:tc>
      </w:tr>
      <w:tr w:rsidR="009B4942" w:rsidRPr="000B427F" w14:paraId="32104E7A" w14:textId="77777777">
        <w:trPr>
          <w:trHeight w:val="912"/>
        </w:trPr>
        <w:tc>
          <w:tcPr>
            <w:cnfStyle w:val="001000000000" w:firstRow="0" w:lastRow="0" w:firstColumn="1" w:lastColumn="0" w:oddVBand="0" w:evenVBand="0" w:oddHBand="0" w:evenHBand="0" w:firstRowFirstColumn="0" w:firstRowLastColumn="0" w:lastRowFirstColumn="0" w:lastRowLastColumn="0"/>
            <w:tcW w:w="1558" w:type="dxa"/>
            <w:vMerge/>
            <w:shd w:val="clear" w:color="auto" w:fill="CEDAFC" w:themeFill="accent1" w:themeFillTint="33"/>
            <w:vAlign w:val="center"/>
          </w:tcPr>
          <w:p w14:paraId="32077B23" w14:textId="77777777" w:rsidR="009B4942" w:rsidRPr="00873C2A" w:rsidRDefault="009B4942" w:rsidP="00873C2A">
            <w:pPr>
              <w:pStyle w:val="Tablelistnumber"/>
            </w:pPr>
          </w:p>
        </w:tc>
        <w:tc>
          <w:tcPr>
            <w:tcW w:w="7793" w:type="dxa"/>
            <w:tcBorders>
              <w:right w:val="single" w:sz="4" w:space="0" w:color="D9D9D9" w:themeColor="background2" w:themeShade="D9"/>
            </w:tcBorders>
            <w:vAlign w:val="center"/>
          </w:tcPr>
          <w:p w14:paraId="640BC1A2" w14:textId="77777777" w:rsidR="009B4942" w:rsidRPr="00873C2A" w:rsidRDefault="009B4942" w:rsidP="00873C2A">
            <w:pPr>
              <w:pStyle w:val="Tabletextlistnumber"/>
              <w:cnfStyle w:val="000000000000" w:firstRow="0" w:lastRow="0" w:firstColumn="0" w:lastColumn="0" w:oddVBand="0" w:evenVBand="0" w:oddHBand="0" w:evenHBand="0" w:firstRowFirstColumn="0" w:firstRowLastColumn="0" w:lastRowFirstColumn="0" w:lastRowLastColumn="0"/>
            </w:pPr>
            <w:r w:rsidRPr="00873C2A">
              <w:t xml:space="preserve">Work with relevant Commonwealth, state, and territory agencies to promote inclusion amongst young people, </w:t>
            </w:r>
            <w:proofErr w:type="gramStart"/>
            <w:r w:rsidRPr="00873C2A">
              <w:t>in order to</w:t>
            </w:r>
            <w:proofErr w:type="gramEnd"/>
            <w:r w:rsidRPr="00873C2A">
              <w:t xml:space="preserve"> improve understanding and connections, and to reduce stigma and discrimination against LGBTQ+ people. </w:t>
            </w:r>
          </w:p>
        </w:tc>
      </w:tr>
      <w:tr w:rsidR="009B4942" w:rsidRPr="000B427F" w14:paraId="0859E57B" w14:textId="77777777">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558" w:type="dxa"/>
            <w:vMerge/>
            <w:tcBorders>
              <w:bottom w:val="single" w:sz="4" w:space="0" w:color="0F4BEB" w:themeColor="accent1"/>
            </w:tcBorders>
            <w:shd w:val="clear" w:color="auto" w:fill="CEDAFC" w:themeFill="accent1" w:themeFillTint="33"/>
            <w:vAlign w:val="center"/>
          </w:tcPr>
          <w:p w14:paraId="369F6401" w14:textId="77777777" w:rsidR="009B4942" w:rsidRPr="00873C2A" w:rsidRDefault="009B4942" w:rsidP="00873C2A">
            <w:pPr>
              <w:pStyle w:val="Tablelistnumber"/>
            </w:pPr>
          </w:p>
        </w:tc>
        <w:tc>
          <w:tcPr>
            <w:tcW w:w="7793" w:type="dxa"/>
            <w:tcBorders>
              <w:bottom w:val="single" w:sz="4" w:space="0" w:color="0F4BEB" w:themeColor="accent1"/>
              <w:right w:val="single" w:sz="4" w:space="0" w:color="D9D9D9" w:themeColor="background2" w:themeShade="D9"/>
            </w:tcBorders>
            <w:vAlign w:val="center"/>
          </w:tcPr>
          <w:p w14:paraId="1BCC515C" w14:textId="77777777" w:rsidR="009B4942" w:rsidRPr="00873C2A" w:rsidRDefault="009B4942" w:rsidP="00873C2A">
            <w:pPr>
              <w:pStyle w:val="Tabletextlistnumber"/>
              <w:cnfStyle w:val="000000100000" w:firstRow="0" w:lastRow="0" w:firstColumn="0" w:lastColumn="0" w:oddVBand="0" w:evenVBand="0" w:oddHBand="1" w:evenHBand="0" w:firstRowFirstColumn="0" w:firstRowLastColumn="0" w:lastRowFirstColumn="0" w:lastRowLastColumn="0"/>
            </w:pPr>
            <w:r w:rsidRPr="00873C2A">
              <w:t xml:space="preserve">Develop and promote educational resources to build the capacity of family and community to affirm LGBTQ+ people in their lives. </w:t>
            </w:r>
          </w:p>
        </w:tc>
      </w:tr>
      <w:tr w:rsidR="00BB4E1E" w:rsidRPr="000B427F" w14:paraId="7CA774BA" w14:textId="77777777" w:rsidTr="00D17D6A">
        <w:trPr>
          <w:trHeight w:val="2321"/>
        </w:trPr>
        <w:tc>
          <w:tcPr>
            <w:cnfStyle w:val="001000000000" w:firstRow="0" w:lastRow="0" w:firstColumn="1" w:lastColumn="0" w:oddVBand="0" w:evenVBand="0" w:oddHBand="0" w:evenHBand="0" w:firstRowFirstColumn="0" w:firstRowLastColumn="0" w:lastRowFirstColumn="0" w:lastRowLastColumn="0"/>
            <w:tcW w:w="1558" w:type="dxa"/>
            <w:tcBorders>
              <w:bottom w:val="single" w:sz="4" w:space="0" w:color="0F4BEB" w:themeColor="accent1"/>
            </w:tcBorders>
            <w:shd w:val="clear" w:color="auto" w:fill="CEDAFC" w:themeFill="accent1" w:themeFillTint="33"/>
            <w:vAlign w:val="center"/>
          </w:tcPr>
          <w:p w14:paraId="2A63DD91" w14:textId="0837F7F0" w:rsidR="00BB4E1E" w:rsidRPr="00873C2A" w:rsidRDefault="00BB4E1E" w:rsidP="00873C2A">
            <w:pPr>
              <w:pStyle w:val="Tablelistnumber"/>
            </w:pPr>
            <w:r w:rsidRPr="00873C2A">
              <w:t xml:space="preserve">Adopt and promote the consistent use of inclusive and affirming language </w:t>
            </w:r>
          </w:p>
        </w:tc>
        <w:tc>
          <w:tcPr>
            <w:tcW w:w="7793" w:type="dxa"/>
            <w:tcBorders>
              <w:bottom w:val="single" w:sz="4" w:space="0" w:color="0F4BEB" w:themeColor="accent1"/>
              <w:right w:val="single" w:sz="4" w:space="0" w:color="D9D9D9" w:themeColor="background2" w:themeShade="D9"/>
            </w:tcBorders>
            <w:vAlign w:val="center"/>
          </w:tcPr>
          <w:p w14:paraId="040BE475" w14:textId="77777777" w:rsidR="009656E8" w:rsidRPr="00873C2A" w:rsidRDefault="004968E6" w:rsidP="00873C2A">
            <w:pPr>
              <w:pStyle w:val="Tabletextlistnumber"/>
              <w:cnfStyle w:val="000000000000" w:firstRow="0" w:lastRow="0" w:firstColumn="0" w:lastColumn="0" w:oddVBand="0" w:evenVBand="0" w:oddHBand="0" w:evenHBand="0" w:firstRowFirstColumn="0" w:firstRowLastColumn="0" w:lastRowFirstColumn="0" w:lastRowLastColumn="0"/>
            </w:pPr>
            <w:r w:rsidRPr="00873C2A">
              <w:t>Update and standardise the inclusivity of language and terminology used in all mainstream health, mental health, and wellbeing services, including services provided by religious organisations.</w:t>
            </w:r>
          </w:p>
          <w:p w14:paraId="5437D306" w14:textId="4B5E8472" w:rsidR="00BB4E1E" w:rsidRPr="00873C2A" w:rsidRDefault="004968E6" w:rsidP="00873C2A">
            <w:pPr>
              <w:pStyle w:val="Tabletext"/>
              <w:cnfStyle w:val="000000000000" w:firstRow="0" w:lastRow="0" w:firstColumn="0" w:lastColumn="0" w:oddVBand="0" w:evenVBand="0" w:oddHBand="0" w:evenHBand="0" w:firstRowFirstColumn="0" w:firstRowLastColumn="0" w:lastRowFirstColumn="0" w:lastRowLastColumn="0"/>
            </w:pPr>
            <w:r w:rsidRPr="00873C2A">
              <w:t>(Also see Principle 6)</w:t>
            </w:r>
          </w:p>
        </w:tc>
      </w:tr>
      <w:tr w:rsidR="00BB4E1E" w:rsidRPr="000B427F" w14:paraId="52232B8C" w14:textId="77777777" w:rsidTr="00A326A8">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single" w:sz="4" w:space="0" w:color="0F4BEB" w:themeColor="accent1"/>
              <w:right w:val="single" w:sz="4" w:space="0" w:color="D9D9D9" w:themeColor="background2" w:themeShade="D9"/>
            </w:tcBorders>
            <w:shd w:val="clear" w:color="auto" w:fill="D9D9D9" w:themeFill="background2" w:themeFillShade="D9"/>
            <w:vAlign w:val="center"/>
          </w:tcPr>
          <w:p w14:paraId="7FF416FF" w14:textId="77777777" w:rsidR="00BB4E1E" w:rsidRPr="000B427F" w:rsidRDefault="00BB4E1E" w:rsidP="009B148F">
            <w:pPr>
              <w:rPr>
                <w:lang w:eastAsia="en-AU"/>
              </w:rPr>
            </w:pPr>
            <w:r w:rsidRPr="000B427F">
              <w:rPr>
                <w:lang w:eastAsia="en-AU"/>
              </w:rPr>
              <w:lastRenderedPageBreak/>
              <w:t xml:space="preserve">The report also posed two options on reducing barriers to accessing gender affirming care, albeit noting that the applied SLR literature did not provide a comprehensive perspective on this issue. </w:t>
            </w:r>
          </w:p>
        </w:tc>
      </w:tr>
    </w:tbl>
    <w:p w14:paraId="2C962A60" w14:textId="77777777" w:rsidR="00CD16B0" w:rsidRDefault="00CD16B0" w:rsidP="009B148F">
      <w:pPr>
        <w:rPr>
          <w:lang w:val="en-AU" w:eastAsia="en-AU"/>
        </w:rPr>
      </w:pPr>
      <w:r>
        <w:rPr>
          <w:lang w:val="en-AU" w:eastAsia="en-AU"/>
        </w:rPr>
        <w:br w:type="page"/>
      </w:r>
    </w:p>
    <w:p w14:paraId="3AEE3B34" w14:textId="77777777" w:rsidR="00CD16B0" w:rsidRDefault="00CD16B0" w:rsidP="009B148F">
      <w:pPr>
        <w:rPr>
          <w:lang w:val="en-AU" w:eastAsia="en-AU"/>
        </w:rPr>
      </w:pPr>
    </w:p>
    <w:sectPr w:rsidR="00CD16B0" w:rsidSect="0002478E">
      <w:headerReference w:type="default" r:id="rId14"/>
      <w:footerReference w:type="default" r:id="rId15"/>
      <w:headerReference w:type="first" r:id="rId16"/>
      <w:footerReference w:type="first" r:id="rId17"/>
      <w:endnotePr>
        <w:numFmt w:val="decimal"/>
      </w:endnotePr>
      <w:pgSz w:w="11900" w:h="16840" w:code="9"/>
      <w:pgMar w:top="1440" w:right="1134" w:bottom="1134" w:left="1418"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5422" w14:textId="77777777" w:rsidR="00532284" w:rsidRDefault="00532284" w:rsidP="00CD16B0">
      <w:r>
        <w:separator/>
      </w:r>
    </w:p>
  </w:endnote>
  <w:endnote w:type="continuationSeparator" w:id="0">
    <w:p w14:paraId="4F59E568" w14:textId="77777777" w:rsidR="00532284" w:rsidRDefault="00532284" w:rsidP="00CD16B0">
      <w:r>
        <w:continuationSeparator/>
      </w:r>
    </w:p>
  </w:endnote>
  <w:endnote w:type="continuationNotice" w:id="1">
    <w:p w14:paraId="3281F1FB" w14:textId="77777777" w:rsidR="00532284" w:rsidRPr="00CD16B0" w:rsidRDefault="00532284" w:rsidP="00CD16B0">
      <w:pPr>
        <w:pStyle w:val="Footer"/>
      </w:pPr>
    </w:p>
  </w:endnote>
  <w:endnote w:id="2">
    <w:p w14:paraId="2F137708" w14:textId="51709989" w:rsidR="00143EC1" w:rsidRPr="00CD16B0" w:rsidRDefault="00143EC1" w:rsidP="00CD16B0">
      <w:pPr>
        <w:pStyle w:val="Heading1"/>
        <w:spacing w:before="288"/>
      </w:pPr>
      <w:r w:rsidRPr="00CD16B0">
        <w:t>End Notes:</w:t>
      </w:r>
    </w:p>
    <w:p w14:paraId="18CA468D"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The team included senior researchers from:</w:t>
      </w:r>
    </w:p>
    <w:p w14:paraId="23013E21" w14:textId="77CC866A" w:rsidR="00143EC1" w:rsidRPr="00F40E03" w:rsidRDefault="00143EC1" w:rsidP="00AE4D63">
      <w:pPr>
        <w:pStyle w:val="EndnoteText"/>
        <w:numPr>
          <w:ilvl w:val="0"/>
          <w:numId w:val="8"/>
        </w:numPr>
        <w:spacing w:before="80" w:after="80"/>
        <w:rPr>
          <w:sz w:val="16"/>
          <w:szCs w:val="16"/>
        </w:rPr>
      </w:pPr>
      <w:hyperlink r:id="rId1" w:history="1">
        <w:r w:rsidRPr="00F40E03">
          <w:rPr>
            <w:rStyle w:val="Hyperlink1"/>
            <w:sz w:val="16"/>
            <w:szCs w:val="16"/>
          </w:rPr>
          <w:t>UTS Faculty of Health</w:t>
        </w:r>
      </w:hyperlink>
      <w:r w:rsidRPr="00F40E03">
        <w:rPr>
          <w:sz w:val="16"/>
          <w:szCs w:val="16"/>
        </w:rPr>
        <w:t xml:space="preserve"> </w:t>
      </w:r>
      <w:r w:rsidR="00BF5CB7">
        <w:rPr>
          <w:sz w:val="16"/>
          <w:szCs w:val="16"/>
        </w:rPr>
        <w:t>and the North</w:t>
      </w:r>
      <w:r w:rsidR="00A3676B">
        <w:rPr>
          <w:sz w:val="16"/>
          <w:szCs w:val="16"/>
        </w:rPr>
        <w:t>ern</w:t>
      </w:r>
      <w:r w:rsidR="00BF5CB7">
        <w:rPr>
          <w:sz w:val="16"/>
          <w:szCs w:val="16"/>
        </w:rPr>
        <w:t xml:space="preserve"> Sydney Health District</w:t>
      </w:r>
    </w:p>
    <w:p w14:paraId="01B94698" w14:textId="77777777" w:rsidR="00143EC1" w:rsidRPr="00F40E03" w:rsidRDefault="00143EC1" w:rsidP="00AE4D63">
      <w:pPr>
        <w:pStyle w:val="EndnoteText"/>
        <w:numPr>
          <w:ilvl w:val="0"/>
          <w:numId w:val="8"/>
        </w:numPr>
        <w:spacing w:before="80" w:after="80"/>
        <w:rPr>
          <w:sz w:val="16"/>
          <w:szCs w:val="16"/>
        </w:rPr>
      </w:pPr>
      <w:hyperlink r:id="rId2" w:history="1">
        <w:r w:rsidRPr="00F40E03">
          <w:rPr>
            <w:rStyle w:val="Hyperlink1"/>
            <w:sz w:val="16"/>
            <w:szCs w:val="16"/>
          </w:rPr>
          <w:t>UTS Institute for Public Policy and Governance</w:t>
        </w:r>
      </w:hyperlink>
      <w:r w:rsidRPr="00F40E03">
        <w:rPr>
          <w:sz w:val="16"/>
          <w:szCs w:val="16"/>
        </w:rPr>
        <w:t xml:space="preserve"> </w:t>
      </w:r>
    </w:p>
    <w:p w14:paraId="3BD5D716" w14:textId="77777777" w:rsidR="00143EC1" w:rsidRPr="00F40E03" w:rsidRDefault="00143EC1" w:rsidP="00AE4D63">
      <w:pPr>
        <w:pStyle w:val="EndnoteText"/>
        <w:numPr>
          <w:ilvl w:val="0"/>
          <w:numId w:val="8"/>
        </w:numPr>
        <w:spacing w:before="80" w:after="80"/>
        <w:rPr>
          <w:sz w:val="16"/>
          <w:szCs w:val="16"/>
          <w:lang w:val="en-US"/>
        </w:rPr>
      </w:pPr>
      <w:hyperlink r:id="rId3" w:history="1">
        <w:r w:rsidRPr="00F40E03">
          <w:rPr>
            <w:rStyle w:val="Hyperlink1"/>
            <w:sz w:val="16"/>
            <w:szCs w:val="16"/>
          </w:rPr>
          <w:t>University of New South Wales, Black Dog Institute</w:t>
        </w:r>
      </w:hyperlink>
      <w:r w:rsidRPr="00F40E03">
        <w:rPr>
          <w:sz w:val="16"/>
          <w:szCs w:val="16"/>
        </w:rPr>
        <w:t xml:space="preserve"> </w:t>
      </w:r>
    </w:p>
    <w:p w14:paraId="15A944BC" w14:textId="77777777" w:rsidR="00143EC1" w:rsidRPr="00F40E03" w:rsidRDefault="00143EC1" w:rsidP="00AE4D63">
      <w:pPr>
        <w:pStyle w:val="EndnoteText"/>
        <w:numPr>
          <w:ilvl w:val="0"/>
          <w:numId w:val="8"/>
        </w:numPr>
        <w:spacing w:before="80" w:after="80"/>
        <w:rPr>
          <w:sz w:val="16"/>
          <w:szCs w:val="16"/>
        </w:rPr>
      </w:pPr>
      <w:hyperlink r:id="rId4" w:history="1">
        <w:r w:rsidRPr="00F40E03">
          <w:rPr>
            <w:rStyle w:val="Hyperlink1"/>
            <w:sz w:val="16"/>
            <w:szCs w:val="16"/>
          </w:rPr>
          <w:t>University of Sydney, Faculty of Medicine and Health</w:t>
        </w:r>
      </w:hyperlink>
    </w:p>
  </w:endnote>
  <w:endnote w:id="3">
    <w:p w14:paraId="1916A540" w14:textId="77777777" w:rsidR="00BF50F7" w:rsidRDefault="00BF50F7" w:rsidP="00AE4D63">
      <w:pPr>
        <w:pStyle w:val="EndnoteText"/>
        <w:spacing w:before="80" w:after="80"/>
      </w:pPr>
      <w:r>
        <w:rPr>
          <w:rStyle w:val="EndnoteReference"/>
        </w:rPr>
        <w:endnoteRef/>
      </w:r>
      <w:r>
        <w:t xml:space="preserve"> </w:t>
      </w:r>
      <w:r w:rsidRPr="00573B67">
        <w:rPr>
          <w:sz w:val="16"/>
          <w:szCs w:val="16"/>
        </w:rPr>
        <w:t>The plus sign indicates the diverse terms used to describe diverse sexualities and genders that are not covered by LGBTQ+.</w:t>
      </w:r>
    </w:p>
  </w:endnote>
  <w:endnote w:id="4">
    <w:p w14:paraId="12D188AA" w14:textId="77777777" w:rsidR="00143EC1" w:rsidRPr="00F40E03" w:rsidRDefault="00143EC1" w:rsidP="00AE4D63">
      <w:pPr>
        <w:pStyle w:val="EndnoteText"/>
        <w:spacing w:before="80" w:after="80"/>
        <w:rPr>
          <w:sz w:val="16"/>
          <w:szCs w:val="16"/>
          <w:lang w:val="en-US"/>
        </w:rPr>
      </w:pPr>
      <w:r w:rsidRPr="00F40E03">
        <w:rPr>
          <w:rStyle w:val="EndnoteReference"/>
          <w:sz w:val="16"/>
          <w:szCs w:val="16"/>
        </w:rPr>
        <w:endnoteRef/>
      </w:r>
      <w:r w:rsidRPr="00F40E03">
        <w:rPr>
          <w:sz w:val="16"/>
          <w:szCs w:val="16"/>
        </w:rPr>
        <w:t xml:space="preserve"> </w:t>
      </w:r>
      <w:r w:rsidRPr="00F40E03">
        <w:rPr>
          <w:sz w:val="16"/>
          <w:szCs w:val="16"/>
          <w:lang w:val="en-US"/>
        </w:rPr>
        <w:t xml:space="preserve">The UTS-led research team inherited an initial literature search undertaken by the Department and, as per the research contract, were not </w:t>
      </w:r>
      <w:proofErr w:type="gramStart"/>
      <w:r w:rsidRPr="00F40E03">
        <w:rPr>
          <w:sz w:val="16"/>
          <w:szCs w:val="16"/>
          <w:lang w:val="en-US"/>
        </w:rPr>
        <w:t>in a position</w:t>
      </w:r>
      <w:proofErr w:type="gramEnd"/>
      <w:r w:rsidRPr="00F40E03">
        <w:rPr>
          <w:sz w:val="16"/>
          <w:szCs w:val="16"/>
          <w:lang w:val="en-US"/>
        </w:rPr>
        <w:t xml:space="preserve"> to undertake normal academic review processes (e.g., searches for missing literature, or cross-checking for reliability issues). As such the listed SLR articles should be taken at face value. </w:t>
      </w:r>
    </w:p>
  </w:endnote>
  <w:endnote w:id="5">
    <w:p w14:paraId="3550B8F0" w14:textId="25A49D4C" w:rsidR="00143EC1" w:rsidRDefault="003C0B2E" w:rsidP="00AE4D63">
      <w:pPr>
        <w:pStyle w:val="EndnoteText"/>
        <w:spacing w:before="80" w:after="80"/>
      </w:pPr>
      <w:r>
        <w:rPr>
          <w:rStyle w:val="EndnoteReference"/>
        </w:rPr>
        <w:endnoteRef/>
      </w:r>
      <w:r w:rsidR="00143EC1">
        <w:t xml:space="preserve"> </w:t>
      </w:r>
      <w:r w:rsidR="00143EC1" w:rsidRPr="00A7109E">
        <w:rPr>
          <w:sz w:val="16"/>
          <w:szCs w:val="16"/>
        </w:rPr>
        <w:t>We also use the terms mental health challenges or mental distress as they are broader non-patholgising terms that can encompass those people without a mental health diagnosis who experience distress.</w:t>
      </w:r>
    </w:p>
  </w:endnote>
  <w:endnote w:id="6">
    <w:p w14:paraId="74D3A294" w14:textId="113F2A53"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Collectively, Rainbow Embassy members also have experience and expertise in mental health advocacy, research and education, and peer work in in-patient and community mental health services and LGBTIQA+-specific services providing mental health support, and include First Nations LGBTQSB+ people, and LGBTQ+ people from culturally and linguistically diverse backgrounds, people with disability, and people from rural areas.</w:t>
      </w:r>
    </w:p>
  </w:endnote>
  <w:endnote w:id="7">
    <w:p w14:paraId="01C4A4A8"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See section 2.1 of the Research Translation Paper for further detail</w:t>
      </w:r>
    </w:p>
  </w:endnote>
  <w:endnote w:id="8">
    <w:p w14:paraId="6FED72B5" w14:textId="77777777" w:rsidR="00143EC1" w:rsidRPr="00F40E03" w:rsidRDefault="00143EC1" w:rsidP="00AE4D63">
      <w:pPr>
        <w:pStyle w:val="EndnoteText"/>
        <w:spacing w:before="80" w:after="80"/>
        <w:rPr>
          <w:i/>
          <w:iCs/>
          <w:sz w:val="16"/>
          <w:szCs w:val="16"/>
        </w:rPr>
      </w:pPr>
      <w:r w:rsidRPr="00F40E03">
        <w:rPr>
          <w:rStyle w:val="EndnoteReference"/>
          <w:sz w:val="16"/>
          <w:szCs w:val="16"/>
        </w:rPr>
        <w:endnoteRef/>
      </w:r>
      <w:r w:rsidRPr="00F40E03">
        <w:rPr>
          <w:sz w:val="16"/>
          <w:szCs w:val="16"/>
        </w:rPr>
        <w:t xml:space="preserve"> Victorian Department of Health 2017, </w:t>
      </w:r>
      <w:r w:rsidRPr="00F40E03">
        <w:rPr>
          <w:i/>
          <w:iCs/>
          <w:sz w:val="16"/>
          <w:szCs w:val="16"/>
        </w:rPr>
        <w:t xml:space="preserve">Proportion of population who identify as LGBTIQ+, </w:t>
      </w:r>
      <w:r w:rsidRPr="00F40E03">
        <w:rPr>
          <w:sz w:val="16"/>
          <w:szCs w:val="16"/>
        </w:rPr>
        <w:t>https://www.health.vic.gov.au/your-health-report-of-the-chief-health-officer-victoria-2018/health-inequalities/lgbtiq-victorians</w:t>
      </w:r>
    </w:p>
  </w:endnote>
  <w:endnote w:id="9">
    <w:p w14:paraId="03567402"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Rainbow Health Victoria, “</w:t>
      </w:r>
      <w:r w:rsidRPr="00F40E03">
        <w:rPr>
          <w:i/>
          <w:iCs/>
          <w:sz w:val="16"/>
          <w:szCs w:val="16"/>
        </w:rPr>
        <w:t>Research Matters: How many people are LGBTIQ?”</w:t>
      </w:r>
    </w:p>
  </w:endnote>
  <w:endnote w:id="10">
    <w:p w14:paraId="26AD2AA6"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See Section 2.3 of the Research Translation Paper for further detail</w:t>
      </w:r>
    </w:p>
  </w:endnote>
  <w:endnote w:id="11">
    <w:p w14:paraId="7FE47C6E" w14:textId="4D0D2044" w:rsidR="00143EC1" w:rsidRPr="00F72ECF" w:rsidRDefault="00143EC1" w:rsidP="00AE4D63">
      <w:pPr>
        <w:pStyle w:val="EndnoteText"/>
        <w:spacing w:before="80" w:after="80"/>
        <w:rPr>
          <w:sz w:val="16"/>
          <w:szCs w:val="16"/>
        </w:rPr>
      </w:pPr>
      <w:r>
        <w:rPr>
          <w:rStyle w:val="EndnoteReference"/>
        </w:rPr>
        <w:endnoteRef/>
      </w:r>
      <w:r>
        <w:t xml:space="preserve"> </w:t>
      </w:r>
      <w:r w:rsidRPr="00F72ECF">
        <w:rPr>
          <w:sz w:val="16"/>
          <w:szCs w:val="16"/>
        </w:rPr>
        <w:t>Australian Bureau of Statistics 2023, National Study of Mental Health and Wellbeing 2022 – 2023, Released: 5 October 2023</w:t>
      </w:r>
      <w:r w:rsidR="00424B12">
        <w:rPr>
          <w:sz w:val="16"/>
          <w:szCs w:val="16"/>
        </w:rPr>
        <w:t>.</w:t>
      </w:r>
    </w:p>
  </w:endnote>
  <w:endnote w:id="12">
    <w:p w14:paraId="19F3F04D"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See Section 3.4.2 of the Research Translation Paper</w:t>
      </w:r>
    </w:p>
  </w:endnote>
  <w:endnote w:id="13">
    <w:p w14:paraId="3E56820E"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See Section 3.4.3 of the Research Translation Paper</w:t>
      </w:r>
    </w:p>
  </w:endnote>
  <w:endnote w:id="14">
    <w:p w14:paraId="632ACC99" w14:textId="22FE68AC" w:rsidR="00143EC1" w:rsidRPr="001074E0" w:rsidRDefault="00143EC1" w:rsidP="00AE4D63">
      <w:pPr>
        <w:pStyle w:val="EndnoteText"/>
        <w:spacing w:before="80" w:after="80"/>
      </w:pPr>
      <w:r>
        <w:rPr>
          <w:rStyle w:val="EndnoteReference"/>
        </w:rPr>
        <w:endnoteRef/>
      </w:r>
      <w:r>
        <w:t xml:space="preserve"> </w:t>
      </w:r>
      <w:r w:rsidRPr="00F72ECF">
        <w:rPr>
          <w:sz w:val="16"/>
          <w:szCs w:val="16"/>
        </w:rPr>
        <w:t xml:space="preserve">LGBTIQ+ Health Australia (2021), </w:t>
      </w:r>
      <w:r w:rsidRPr="00F72ECF">
        <w:rPr>
          <w:i/>
          <w:iCs/>
          <w:sz w:val="16"/>
          <w:szCs w:val="16"/>
        </w:rPr>
        <w:t xml:space="preserve">Beyond Urgent: National LGBTIQ+ Mental Health and Suicide Prevention Strategy, </w:t>
      </w:r>
      <w:r w:rsidRPr="00F72ECF">
        <w:rPr>
          <w:sz w:val="16"/>
          <w:szCs w:val="16"/>
        </w:rPr>
        <w:t xml:space="preserve">Published: </w:t>
      </w:r>
      <w:r w:rsidRPr="00DC1725">
        <w:rPr>
          <w:sz w:val="16"/>
          <w:szCs w:val="16"/>
        </w:rPr>
        <w:t xml:space="preserve">1 </w:t>
      </w:r>
      <w:r w:rsidRPr="00F72ECF">
        <w:rPr>
          <w:sz w:val="16"/>
          <w:szCs w:val="16"/>
        </w:rPr>
        <w:t>November 2021</w:t>
      </w:r>
      <w:r>
        <w:rPr>
          <w:sz w:val="16"/>
          <w:szCs w:val="16"/>
        </w:rPr>
        <w:t>.</w:t>
      </w:r>
    </w:p>
  </w:endnote>
  <w:endnote w:id="15">
    <w:p w14:paraId="17C822E3" w14:textId="77777777"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David Frost and Ilan Meyer, “Minority stress theory: Application, critique and continued relevance,” </w:t>
      </w:r>
      <w:r w:rsidRPr="00F40E03">
        <w:rPr>
          <w:i/>
          <w:iCs/>
          <w:sz w:val="16"/>
          <w:szCs w:val="16"/>
        </w:rPr>
        <w:t xml:space="preserve">Current Opinion in Psychology </w:t>
      </w:r>
      <w:r w:rsidRPr="00F40E03">
        <w:rPr>
          <w:sz w:val="16"/>
          <w:szCs w:val="16"/>
        </w:rPr>
        <w:t xml:space="preserve">51, no. 101579 (2023), </w:t>
      </w:r>
      <w:hyperlink r:id="rId5" w:history="1">
        <w:r w:rsidRPr="00F40E03">
          <w:rPr>
            <w:rStyle w:val="Hyperlink1"/>
            <w:sz w:val="16"/>
            <w:szCs w:val="16"/>
          </w:rPr>
          <w:t>https://doi.org/10.1016/j.copsyc.2023.101579</w:t>
        </w:r>
      </w:hyperlink>
      <w:r w:rsidRPr="00F40E03">
        <w:rPr>
          <w:sz w:val="16"/>
          <w:szCs w:val="16"/>
        </w:rPr>
        <w:t>.</w:t>
      </w:r>
    </w:p>
  </w:endnote>
  <w:endnote w:id="16">
    <w:p w14:paraId="43EFD79E" w14:textId="3CE01283" w:rsidR="00464F17" w:rsidRPr="00464F17" w:rsidRDefault="00464F17" w:rsidP="00AE4D63">
      <w:pPr>
        <w:pStyle w:val="EndnoteText"/>
        <w:spacing w:before="80" w:after="80"/>
        <w:rPr>
          <w:sz w:val="16"/>
          <w:szCs w:val="16"/>
          <w:lang w:val="en-US"/>
        </w:rPr>
      </w:pPr>
      <w:r>
        <w:rPr>
          <w:rStyle w:val="EndnoteReference"/>
        </w:rPr>
        <w:endnoteRef/>
      </w:r>
      <w:r>
        <w:t xml:space="preserve"> </w:t>
      </w:r>
      <w:r w:rsidRPr="00464F17">
        <w:rPr>
          <w:sz w:val="16"/>
          <w:szCs w:val="16"/>
          <w:lang w:val="en-US"/>
        </w:rPr>
        <w:t>Institute of Medicine Committee on Crossing the Quality Chasm 2006, Adaption to mental health and addictive disorder: Improving the quality of health care for mental and substance use conditions. Washington, DC: Institute of Medicine, National Academies Press.</w:t>
      </w:r>
    </w:p>
  </w:endnote>
  <w:endnote w:id="17">
    <w:p w14:paraId="4C4C7051" w14:textId="59916329" w:rsidR="00B21258" w:rsidRPr="00B21258" w:rsidRDefault="00B21258" w:rsidP="00AE4D63">
      <w:pPr>
        <w:pStyle w:val="EndnoteText"/>
        <w:spacing w:before="80" w:after="80"/>
        <w:rPr>
          <w:lang w:val="en-US"/>
        </w:rPr>
      </w:pPr>
      <w:r>
        <w:rPr>
          <w:rStyle w:val="EndnoteReference"/>
        </w:rPr>
        <w:endnoteRef/>
      </w:r>
      <w:r>
        <w:t xml:space="preserve"> </w:t>
      </w:r>
      <w:r w:rsidRPr="00B21258">
        <w:rPr>
          <w:sz w:val="16"/>
          <w:szCs w:val="16"/>
          <w:lang w:val="en-US"/>
        </w:rPr>
        <w:t>Levesque, J. F., &amp; Sutherland, K. (2020). Combining patient, clinical and system perspectives in assessing performance in healthcare: an integrated measurement framework. BMC health services research, 20(1), 1-14.</w:t>
      </w:r>
    </w:p>
  </w:endnote>
  <w:endnote w:id="18">
    <w:p w14:paraId="1AF239A6" w14:textId="5929E5F9" w:rsidR="006963CF" w:rsidRPr="006963CF" w:rsidRDefault="006963CF" w:rsidP="00AE4D63">
      <w:pPr>
        <w:pStyle w:val="EndnoteText"/>
        <w:spacing w:before="80" w:after="80"/>
        <w:rPr>
          <w:sz w:val="16"/>
          <w:szCs w:val="16"/>
          <w:lang w:val="en-US"/>
        </w:rPr>
      </w:pPr>
      <w:r>
        <w:rPr>
          <w:rStyle w:val="EndnoteReference"/>
        </w:rPr>
        <w:endnoteRef/>
      </w:r>
      <w:r>
        <w:t xml:space="preserve"> </w:t>
      </w:r>
      <w:r w:rsidRPr="006963CF">
        <w:rPr>
          <w:sz w:val="16"/>
          <w:szCs w:val="16"/>
          <w:lang w:val="en-US"/>
        </w:rPr>
        <w:t xml:space="preserve">Personal recovery is a key focus of Australian mental health services and challenges a narrow focus on clinical definitions and measures of recovery, emphasising instead the importance of meaning, connection, hope, empowerment and identity to promote wellbeing for people with lived experience </w:t>
      </w:r>
      <w:proofErr w:type="gramStart"/>
      <w:r w:rsidRPr="006963CF">
        <w:rPr>
          <w:sz w:val="16"/>
          <w:szCs w:val="16"/>
          <w:lang w:val="en-US"/>
        </w:rPr>
        <w:t>whether or not</w:t>
      </w:r>
      <w:proofErr w:type="gramEnd"/>
      <w:r w:rsidRPr="006963CF">
        <w:rPr>
          <w:sz w:val="16"/>
          <w:szCs w:val="16"/>
          <w:lang w:val="en-US"/>
        </w:rPr>
        <w:t xml:space="preserve"> they have clinical symptom reduction (Leamy et al., 2011).</w:t>
      </w:r>
    </w:p>
  </w:endnote>
  <w:endnote w:id="19">
    <w:p w14:paraId="47234E82" w14:textId="77777777" w:rsidR="00583599" w:rsidRPr="00F40E03" w:rsidRDefault="00583599"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w:t>
      </w:r>
      <w:r w:rsidRPr="00142E7F">
        <w:rPr>
          <w:sz w:val="16"/>
          <w:szCs w:val="16"/>
          <w:lang w:val="en-US"/>
        </w:rPr>
        <w:t xml:space="preserve">  Amos, N., Hart, B., Hill, A. O., Melendez-Torres, G. J., McNair, R., Carman, M., Lyons, A., &amp; Bourne, A. (2023). Health intervention experiences and associated mental health outcomes in a sample of LGBTQ people with intersex variations in Australia. </w:t>
      </w:r>
      <w:r w:rsidRPr="00142E7F">
        <w:rPr>
          <w:i/>
          <w:iCs/>
          <w:sz w:val="16"/>
          <w:szCs w:val="16"/>
          <w:lang w:val="en-US"/>
        </w:rPr>
        <w:t>Culture, Health &amp; Sexuality</w:t>
      </w:r>
      <w:r w:rsidRPr="00142E7F">
        <w:rPr>
          <w:sz w:val="16"/>
          <w:szCs w:val="16"/>
          <w:lang w:val="en-US"/>
        </w:rPr>
        <w:t>, </w:t>
      </w:r>
      <w:r w:rsidRPr="00142E7F">
        <w:rPr>
          <w:i/>
          <w:iCs/>
          <w:sz w:val="16"/>
          <w:szCs w:val="16"/>
          <w:lang w:val="en-US"/>
        </w:rPr>
        <w:t>25</w:t>
      </w:r>
      <w:r w:rsidRPr="00142E7F">
        <w:rPr>
          <w:sz w:val="16"/>
          <w:szCs w:val="16"/>
          <w:lang w:val="en-US"/>
        </w:rPr>
        <w:t>(7), 833–846.</w:t>
      </w:r>
      <w:r w:rsidRPr="00F40E03">
        <w:rPr>
          <w:sz w:val="16"/>
          <w:szCs w:val="16"/>
        </w:rPr>
        <w:t xml:space="preserve">; </w:t>
      </w:r>
      <w:r w:rsidRPr="009101B8">
        <w:rPr>
          <w:sz w:val="16"/>
          <w:szCs w:val="16"/>
          <w:lang w:val="en-US"/>
        </w:rPr>
        <w:t xml:space="preserve">Haire, B. G., Brook, E., Stoddart, R., &amp; Simpson, P. (2021). Trans and gender diverse people’s experiences of healthcare access in Australia: A qualitative study in people with complex needs. </w:t>
      </w:r>
      <w:r w:rsidRPr="009101B8">
        <w:rPr>
          <w:i/>
          <w:iCs/>
          <w:sz w:val="16"/>
          <w:szCs w:val="16"/>
          <w:lang w:val="en-US"/>
        </w:rPr>
        <w:t>PloS One, 16</w:t>
      </w:r>
      <w:r w:rsidRPr="009101B8">
        <w:rPr>
          <w:sz w:val="16"/>
          <w:szCs w:val="16"/>
          <w:lang w:val="en-US"/>
        </w:rPr>
        <w:t>(1), e0245889–e0245889.</w:t>
      </w:r>
      <w:r w:rsidRPr="00F40E03">
        <w:rPr>
          <w:sz w:val="16"/>
          <w:szCs w:val="16"/>
        </w:rPr>
        <w:t xml:space="preserve">; </w:t>
      </w:r>
      <w:r w:rsidRPr="00347D02">
        <w:rPr>
          <w:sz w:val="16"/>
          <w:szCs w:val="16"/>
          <w:lang w:val="en-US"/>
        </w:rPr>
        <w:t>Lim, G., Waling, A., Lyons, A., Pepping, C. A., Brooks, A., &amp; Bourne, A. (2021). Trans and Gender</w:t>
      </w:r>
      <w:r w:rsidRPr="00347D02">
        <w:rPr>
          <w:rFonts w:ascii="Cambria Math" w:hAnsi="Cambria Math" w:cs="Cambria Math"/>
          <w:sz w:val="16"/>
          <w:szCs w:val="16"/>
          <w:lang w:val="en-US"/>
        </w:rPr>
        <w:t>‐</w:t>
      </w:r>
      <w:r w:rsidRPr="00347D02">
        <w:rPr>
          <w:sz w:val="16"/>
          <w:szCs w:val="16"/>
          <w:lang w:val="en-US"/>
        </w:rPr>
        <w:t xml:space="preserve">Diverse peoples’ experiences of crisis helpline services. </w:t>
      </w:r>
      <w:r w:rsidRPr="00347D02">
        <w:rPr>
          <w:i/>
          <w:iCs/>
          <w:sz w:val="16"/>
          <w:szCs w:val="16"/>
          <w:lang w:val="en-US"/>
        </w:rPr>
        <w:t>Health &amp; Social Care in the Community, 29</w:t>
      </w:r>
      <w:r w:rsidRPr="00347D02">
        <w:rPr>
          <w:sz w:val="16"/>
          <w:szCs w:val="16"/>
          <w:lang w:val="en-US"/>
        </w:rPr>
        <w:t>(3), 672–684</w:t>
      </w:r>
      <w:r w:rsidRPr="00F40E03">
        <w:rPr>
          <w:sz w:val="16"/>
          <w:szCs w:val="16"/>
        </w:rPr>
        <w:t xml:space="preserve">; </w:t>
      </w:r>
      <w:r w:rsidRPr="00BA0A9E">
        <w:rPr>
          <w:sz w:val="16"/>
          <w:szCs w:val="16"/>
          <w:lang w:val="en-US"/>
        </w:rPr>
        <w:t xml:space="preserve">Jones, T. (2016). The needs of students with intersex variations. </w:t>
      </w:r>
      <w:r w:rsidRPr="00BA0A9E">
        <w:rPr>
          <w:i/>
          <w:iCs/>
          <w:sz w:val="16"/>
          <w:szCs w:val="16"/>
          <w:lang w:val="en-US"/>
        </w:rPr>
        <w:t>Sex Education, 16</w:t>
      </w:r>
      <w:r w:rsidRPr="00BA0A9E">
        <w:rPr>
          <w:sz w:val="16"/>
          <w:szCs w:val="16"/>
          <w:lang w:val="en-US"/>
        </w:rPr>
        <w:t>(6), 602–618.</w:t>
      </w:r>
    </w:p>
  </w:endnote>
  <w:endnote w:id="20">
    <w:p w14:paraId="408294B8" w14:textId="5934D439"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w:t>
      </w:r>
      <w:r w:rsidRPr="00474ECF">
        <w:rPr>
          <w:rFonts w:eastAsia="Arial" w:cs="Arial"/>
          <w:sz w:val="16"/>
          <w:szCs w:val="16"/>
          <w:lang w:val="en-US"/>
        </w:rPr>
        <w:t xml:space="preserve">Bailey, L., J. Ellis, S., &amp; McNeil, J. (2014). Suicide risk in the UK trans population and the role of gender transition in decreasing suicidal ideation and suicide attempt. </w:t>
      </w:r>
      <w:r w:rsidRPr="00474ECF">
        <w:rPr>
          <w:rFonts w:eastAsia="Arial" w:cs="Arial"/>
          <w:i/>
          <w:iCs/>
          <w:sz w:val="16"/>
          <w:szCs w:val="16"/>
          <w:lang w:val="en-US"/>
        </w:rPr>
        <w:t>Mental Health Review Journal, 19</w:t>
      </w:r>
      <w:r w:rsidRPr="00474ECF">
        <w:rPr>
          <w:rFonts w:eastAsia="Arial" w:cs="Arial"/>
          <w:sz w:val="16"/>
          <w:szCs w:val="16"/>
          <w:lang w:val="en-US"/>
        </w:rPr>
        <w:t>(4), 209–220</w:t>
      </w:r>
      <w:r w:rsidRPr="00F40E03">
        <w:rPr>
          <w:rFonts w:eastAsia="Arial" w:cs="Arial"/>
          <w:sz w:val="16"/>
          <w:szCs w:val="16"/>
          <w:lang w:val="en-US"/>
        </w:rPr>
        <w:t xml:space="preserve">; </w:t>
      </w:r>
      <w:r w:rsidRPr="00F37C70">
        <w:rPr>
          <w:rFonts w:eastAsia="Arial" w:cs="Arial"/>
          <w:sz w:val="16"/>
          <w:szCs w:val="16"/>
          <w:lang w:val="en-US"/>
        </w:rPr>
        <w:t xml:space="preserve">Erasmus, J., Bagga, H., &amp; Harte, F. (2015). Assessing patient satisfaction with a multidisciplinary gender dysphoria clinic in Melbourne. </w:t>
      </w:r>
      <w:r w:rsidRPr="00F37C70">
        <w:rPr>
          <w:rFonts w:eastAsia="Arial" w:cs="Arial"/>
          <w:i/>
          <w:iCs/>
          <w:sz w:val="16"/>
          <w:szCs w:val="16"/>
          <w:lang w:val="en-US"/>
        </w:rPr>
        <w:t>Australasian Psychiatry : Bulletin of the Royal Australian and New Zealand College of Psychiatrists, 23</w:t>
      </w:r>
      <w:r w:rsidRPr="00F37C70">
        <w:rPr>
          <w:rFonts w:eastAsia="Arial" w:cs="Arial"/>
          <w:sz w:val="16"/>
          <w:szCs w:val="16"/>
          <w:lang w:val="en-US"/>
        </w:rPr>
        <w:t>(2), 158–162</w:t>
      </w:r>
      <w:r w:rsidRPr="00F40E03">
        <w:rPr>
          <w:rFonts w:eastAsia="Arial" w:cs="Arial"/>
          <w:sz w:val="16"/>
          <w:szCs w:val="16"/>
          <w:lang w:val="en-US"/>
        </w:rPr>
        <w:t xml:space="preserve">; </w:t>
      </w:r>
      <w:r w:rsidRPr="0017763F">
        <w:rPr>
          <w:rFonts w:eastAsia="Arial" w:cs="Arial"/>
          <w:sz w:val="16"/>
          <w:szCs w:val="16"/>
          <w:lang w:val="en-US"/>
        </w:rPr>
        <w:t xml:space="preserve">  Davies, A., Bouman, W.P., Richards, C., Barrett, J., Ahmad, S., Baker, K., Lenihan, P., Lorimer, S., Murjan, S., Mepham, N., Robbins-Cherry, S., Seal, L., Stradins, L. (2013). Patient satisfaction with gender identity clinic services in the United Kingdom. </w:t>
      </w:r>
      <w:r w:rsidRPr="0017763F">
        <w:rPr>
          <w:rFonts w:eastAsia="Arial" w:cs="Arial"/>
          <w:i/>
          <w:iCs/>
          <w:sz w:val="16"/>
          <w:szCs w:val="16"/>
          <w:lang w:val="en-US"/>
        </w:rPr>
        <w:t>Sexual and Relationship Therapy, 28</w:t>
      </w:r>
      <w:r w:rsidRPr="0017763F">
        <w:rPr>
          <w:rFonts w:eastAsia="Arial" w:cs="Arial"/>
          <w:sz w:val="16"/>
          <w:szCs w:val="16"/>
          <w:lang w:val="en-US"/>
        </w:rPr>
        <w:t>(4), 400-418</w:t>
      </w:r>
      <w:r w:rsidRPr="00F40E03">
        <w:rPr>
          <w:rFonts w:eastAsia="Arial" w:cs="Arial"/>
          <w:sz w:val="16"/>
          <w:szCs w:val="16"/>
          <w:lang w:val="en-US"/>
        </w:rPr>
        <w:t>; McNair &amp; Bush, 2016</w:t>
      </w:r>
    </w:p>
  </w:endnote>
  <w:endnote w:id="21">
    <w:p w14:paraId="6C902F08" w14:textId="06699B70" w:rsidR="00143EC1" w:rsidRPr="00F40E03" w:rsidRDefault="00143EC1" w:rsidP="00AE4D63">
      <w:pPr>
        <w:pStyle w:val="EndnoteText"/>
        <w:spacing w:before="80" w:after="80"/>
        <w:rPr>
          <w:sz w:val="16"/>
          <w:szCs w:val="16"/>
        </w:rPr>
      </w:pPr>
      <w:r w:rsidRPr="00F40E03">
        <w:rPr>
          <w:rStyle w:val="EndnoteReference"/>
          <w:sz w:val="16"/>
          <w:szCs w:val="16"/>
        </w:rPr>
        <w:endnoteRef/>
      </w:r>
      <w:r w:rsidRPr="00F40E03">
        <w:rPr>
          <w:sz w:val="16"/>
          <w:szCs w:val="16"/>
        </w:rPr>
        <w:t xml:space="preserve"> Bailey et al., 2014; </w:t>
      </w:r>
      <w:r w:rsidRPr="00CE01FC">
        <w:rPr>
          <w:sz w:val="16"/>
          <w:szCs w:val="16"/>
          <w:lang w:val="en-US"/>
        </w:rPr>
        <w:t xml:space="preserve">Pullen Sansfaçon, A., Medico, D., Riggs, D., Carlile, A., &amp; Suerich-Gulick, F. (2023). Growing up trans in Canada, Switzerland, England, and Australia: access to and impacts of gender-affirming medical care. </w:t>
      </w:r>
      <w:r w:rsidRPr="00CE01FC">
        <w:rPr>
          <w:i/>
          <w:iCs/>
          <w:sz w:val="16"/>
          <w:szCs w:val="16"/>
          <w:lang w:val="en-US"/>
        </w:rPr>
        <w:t>Journal of LGBT Youth, 20</w:t>
      </w:r>
      <w:r w:rsidRPr="00CE01FC">
        <w:rPr>
          <w:sz w:val="16"/>
          <w:szCs w:val="16"/>
          <w:lang w:val="en-US"/>
        </w:rPr>
        <w:t>(1), 55–73</w:t>
      </w:r>
      <w:r w:rsidRPr="00F40E03">
        <w:rPr>
          <w:sz w:val="16"/>
          <w:szCs w:val="16"/>
        </w:rPr>
        <w:t xml:space="preserve">; </w:t>
      </w:r>
      <w:r w:rsidRPr="00236707">
        <w:rPr>
          <w:sz w:val="16"/>
          <w:szCs w:val="16"/>
          <w:lang w:val="en-US"/>
        </w:rPr>
        <w:t xml:space="preserve">Strauss, P., Lin, A., Winter, S., Waters, Z., Watson, V., Wright Toussaint, D., &amp; Cook, A. (2021). Options and realities for trans and gender diverse young people receiving care in Australia’s mental health system: findings from Trans Pathways. </w:t>
      </w:r>
      <w:r w:rsidRPr="00236707">
        <w:rPr>
          <w:i/>
          <w:iCs/>
          <w:sz w:val="16"/>
          <w:szCs w:val="16"/>
          <w:lang w:val="en-US"/>
        </w:rPr>
        <w:t>Australian and New Zealand Journal of Psychiatry, 55</w:t>
      </w:r>
      <w:r w:rsidRPr="00236707">
        <w:rPr>
          <w:sz w:val="16"/>
          <w:szCs w:val="16"/>
          <w:lang w:val="en-US"/>
        </w:rPr>
        <w:t>(4), 391–399</w:t>
      </w:r>
    </w:p>
  </w:endnote>
  <w:endnote w:id="22">
    <w:p w14:paraId="4FD8594C" w14:textId="6B60BDF7" w:rsidR="00143EC1" w:rsidRDefault="00143EC1" w:rsidP="00AE4D63">
      <w:pPr>
        <w:pStyle w:val="EndnoteText"/>
        <w:spacing w:before="80" w:after="80"/>
      </w:pPr>
      <w:r>
        <w:rPr>
          <w:rStyle w:val="EndnoteReference"/>
        </w:rPr>
        <w:endnoteRef/>
      </w:r>
      <w:r>
        <w:t xml:space="preserve"> </w:t>
      </w:r>
      <w:r w:rsidRPr="00805E52">
        <w:rPr>
          <w:lang w:val="en-US"/>
        </w:rPr>
        <w:t xml:space="preserve">  </w:t>
      </w:r>
      <w:r w:rsidRPr="00805E52">
        <w:rPr>
          <w:sz w:val="16"/>
          <w:szCs w:val="16"/>
          <w:lang w:val="en-US"/>
        </w:rPr>
        <w:t xml:space="preserve">Martin, J., Butler, M., Muldowney, A., &amp; Aleksandrs, G. (2019). Carers of people from LGBTQ communities interactions with mental health service providers: Conflict and safety. </w:t>
      </w:r>
      <w:r w:rsidRPr="00805E52">
        <w:rPr>
          <w:i/>
          <w:iCs/>
          <w:sz w:val="16"/>
          <w:szCs w:val="16"/>
          <w:lang w:val="en-US"/>
        </w:rPr>
        <w:t>International Journal of Mental Health Nursing, 28</w:t>
      </w:r>
      <w:r w:rsidRPr="00805E52">
        <w:rPr>
          <w:sz w:val="16"/>
          <w:szCs w:val="16"/>
          <w:lang w:val="en-US"/>
        </w:rPr>
        <w:t>(3), 766–775</w:t>
      </w:r>
      <w:r w:rsidRPr="00805E52">
        <w:rPr>
          <w:sz w:val="16"/>
          <w:szCs w:val="16"/>
        </w:rPr>
        <w:t>Martin et al. 2019b</w:t>
      </w:r>
      <w:r w:rsidRPr="005D466C">
        <w:rPr>
          <w:sz w:val="16"/>
          <w:szCs w:val="16"/>
        </w:rPr>
        <w:t xml:space="preserve">; </w:t>
      </w:r>
    </w:p>
  </w:endnote>
  <w:endnote w:id="23">
    <w:p w14:paraId="7E03DA35" w14:textId="10AEB21F" w:rsidR="00143EC1" w:rsidRDefault="00143EC1" w:rsidP="00AE4D63">
      <w:pPr>
        <w:pStyle w:val="EndnoteText"/>
        <w:spacing w:before="80" w:after="80"/>
      </w:pPr>
      <w:r>
        <w:rPr>
          <w:rStyle w:val="EndnoteReference"/>
        </w:rPr>
        <w:endnoteRef/>
      </w:r>
      <w:r>
        <w:t xml:space="preserve"> </w:t>
      </w:r>
      <w:r w:rsidRPr="00DE3058">
        <w:rPr>
          <w:sz w:val="16"/>
          <w:szCs w:val="16"/>
          <w:lang w:val="en-US"/>
        </w:rPr>
        <w:t xml:space="preserve">  Reynish, T., Hoang, H., Bridgman, H., &amp; Nic Giolla Easpaig, B. (2023). Psychological Distress, Resilience, and Help-Seeking Experiences of LGBTIQA+ People in Rural Australia. </w:t>
      </w:r>
      <w:r w:rsidRPr="00DE3058">
        <w:rPr>
          <w:i/>
          <w:iCs/>
          <w:sz w:val="16"/>
          <w:szCs w:val="16"/>
          <w:lang w:val="en-US"/>
        </w:rPr>
        <w:t>International Journal of Environmental Research and Public Health, 20</w:t>
      </w:r>
      <w:r w:rsidRPr="00DE3058">
        <w:rPr>
          <w:sz w:val="16"/>
          <w:szCs w:val="16"/>
          <w:lang w:val="en-US"/>
        </w:rPr>
        <w:t>(4), 2842</w:t>
      </w:r>
    </w:p>
  </w:endnote>
  <w:endnote w:id="24">
    <w:p w14:paraId="4A7FDFAE" w14:textId="77777777" w:rsidR="00143EC1" w:rsidRDefault="00143EC1" w:rsidP="00AE4D63">
      <w:pPr>
        <w:pStyle w:val="EndnoteText"/>
        <w:spacing w:before="80" w:after="80"/>
        <w:rPr>
          <w:sz w:val="16"/>
          <w:szCs w:val="16"/>
        </w:rPr>
      </w:pPr>
      <w:r w:rsidRPr="66711DF0">
        <w:rPr>
          <w:rStyle w:val="EndnoteReference"/>
          <w:sz w:val="16"/>
          <w:szCs w:val="16"/>
        </w:rPr>
        <w:endnoteRef/>
      </w:r>
      <w:r w:rsidRPr="66711DF0">
        <w:rPr>
          <w:sz w:val="16"/>
          <w:szCs w:val="16"/>
        </w:rPr>
        <w:t xml:space="preserve"> Lim et al., 2021</w:t>
      </w:r>
    </w:p>
  </w:endnote>
  <w:endnote w:id="25">
    <w:p w14:paraId="26B502A2" w14:textId="14A0A655" w:rsidR="00143EC1" w:rsidRDefault="00143EC1" w:rsidP="00AE4D63">
      <w:pPr>
        <w:pStyle w:val="EndnoteText"/>
        <w:spacing w:before="80" w:after="80"/>
        <w:rPr>
          <w:sz w:val="16"/>
          <w:szCs w:val="16"/>
        </w:rPr>
      </w:pPr>
      <w:r w:rsidRPr="66711DF0">
        <w:rPr>
          <w:rStyle w:val="EndnoteReference"/>
          <w:sz w:val="16"/>
          <w:szCs w:val="16"/>
        </w:rPr>
        <w:endnoteRef/>
      </w:r>
      <w:r w:rsidRPr="66711DF0">
        <w:rPr>
          <w:sz w:val="16"/>
          <w:szCs w:val="16"/>
        </w:rPr>
        <w:t xml:space="preserve"> Gasper et al., 2021; Holt et al., 2023; </w:t>
      </w:r>
      <w:r w:rsidRPr="000160EB">
        <w:rPr>
          <w:sz w:val="16"/>
          <w:szCs w:val="16"/>
          <w:lang w:val="en-US"/>
        </w:rPr>
        <w:t xml:space="preserve"> Pennay, A., McNair, R., Hughes, T. L., Leonard, W., Brown, R., &amp; Lubman, D. I. (2018). Improving alcohol and mental health treatment for lesbian, bisexual and queer women: Identity matters. </w:t>
      </w:r>
      <w:r w:rsidRPr="000160EB">
        <w:rPr>
          <w:i/>
          <w:iCs/>
          <w:sz w:val="16"/>
          <w:szCs w:val="16"/>
          <w:lang w:val="en-US"/>
        </w:rPr>
        <w:t>Australian and New Zealand Journal of Public Health, 42</w:t>
      </w:r>
      <w:r w:rsidRPr="000160EB">
        <w:rPr>
          <w:sz w:val="16"/>
          <w:szCs w:val="16"/>
          <w:lang w:val="en-US"/>
        </w:rPr>
        <w:t>(1), 35–42</w:t>
      </w:r>
    </w:p>
  </w:endnote>
  <w:endnote w:id="26">
    <w:p w14:paraId="0932D453" w14:textId="2339B628" w:rsidR="00143EC1" w:rsidRPr="00BB0ABC" w:rsidRDefault="00143EC1" w:rsidP="00AE4D63">
      <w:pPr>
        <w:pStyle w:val="EndnoteText"/>
        <w:spacing w:before="80" w:after="80"/>
        <w:rPr>
          <w:sz w:val="16"/>
          <w:szCs w:val="16"/>
          <w:lang w:val="fr-FR"/>
        </w:rPr>
      </w:pPr>
      <w:r w:rsidRPr="66711DF0">
        <w:rPr>
          <w:rStyle w:val="EndnoteReference"/>
          <w:sz w:val="16"/>
          <w:szCs w:val="16"/>
        </w:rPr>
        <w:endnoteRef/>
      </w:r>
      <w:r w:rsidRPr="66711DF0">
        <w:rPr>
          <w:sz w:val="16"/>
          <w:szCs w:val="16"/>
        </w:rPr>
        <w:t xml:space="preserve"> </w:t>
      </w:r>
      <w:r w:rsidRPr="00443E42">
        <w:rPr>
          <w:sz w:val="16"/>
          <w:szCs w:val="16"/>
          <w:lang w:val="en-US"/>
        </w:rPr>
        <w:t xml:space="preserve">  Bretherton, I., Thrower, E., Zwickl, S., Wong, A., Chetcuti, D., Grossmann, M., Zajac, J. D., &amp; Cheung, A. S. (2021). The Health and Well-Being of Transgender Australians: A National Community Survey. </w:t>
      </w:r>
      <w:r w:rsidRPr="00443E42">
        <w:rPr>
          <w:i/>
          <w:iCs/>
          <w:sz w:val="16"/>
          <w:szCs w:val="16"/>
          <w:lang w:val="en-US"/>
        </w:rPr>
        <w:t>LGBT Health, 8</w:t>
      </w:r>
      <w:r w:rsidRPr="00443E42">
        <w:rPr>
          <w:sz w:val="16"/>
          <w:szCs w:val="16"/>
          <w:lang w:val="en-US"/>
        </w:rPr>
        <w:t>(1), 42–49</w:t>
      </w:r>
      <w:r w:rsidRPr="66711DF0">
        <w:rPr>
          <w:sz w:val="16"/>
          <w:szCs w:val="16"/>
        </w:rPr>
        <w:t xml:space="preserve">; </w:t>
      </w:r>
      <w:r w:rsidRPr="00E6017D">
        <w:rPr>
          <w:sz w:val="16"/>
          <w:szCs w:val="16"/>
          <w:lang w:val="en-US"/>
        </w:rPr>
        <w:t xml:space="preserve">Cronin, T.J., Pepping, C.A., Halford, W.K., Lyons, A. (2021). Mental health help-seeking and barriers to service access among lesbian, gay, and bisexual Australians. </w:t>
      </w:r>
      <w:r w:rsidRPr="00BB0ABC">
        <w:rPr>
          <w:i/>
          <w:iCs/>
          <w:sz w:val="16"/>
          <w:szCs w:val="16"/>
          <w:lang w:val="fr-FR"/>
        </w:rPr>
        <w:t>Australian Psychologist, 56</w:t>
      </w:r>
      <w:r w:rsidRPr="00BB0ABC">
        <w:rPr>
          <w:sz w:val="16"/>
          <w:szCs w:val="16"/>
          <w:lang w:val="fr-FR"/>
        </w:rPr>
        <w:t>(1), 46-60; Haire et al., 2021; Martin et al., 2019b, Strauss et al., 2021b</w:t>
      </w:r>
      <w:r w:rsidR="007066CA" w:rsidRPr="00BB0ABC">
        <w:rPr>
          <w:sz w:val="16"/>
          <w:szCs w:val="16"/>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AB42" w14:textId="77777777" w:rsidR="001E0891" w:rsidRDefault="001E0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0F4BEB"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857"/>
      <w:gridCol w:w="2793"/>
    </w:tblGrid>
    <w:tr w:rsidR="00611E81" w14:paraId="3F435AA7" w14:textId="77777777">
      <w:tc>
        <w:tcPr>
          <w:tcW w:w="2513" w:type="pct"/>
        </w:tcPr>
        <w:p w14:paraId="7C2BFD91" w14:textId="77777777" w:rsidR="00611E81" w:rsidRPr="00675D4E" w:rsidRDefault="00611E81" w:rsidP="00611E81">
          <w:pPr>
            <w:spacing w:beforeLines="0" w:before="160" w:after="0" w:line="240" w:lineRule="auto"/>
            <w:rPr>
              <w:color w:val="0F4BEB" w:themeColor="accent1"/>
              <w:sz w:val="18"/>
              <w:szCs w:val="18"/>
            </w:rPr>
          </w:pPr>
          <w:r>
            <w:rPr>
              <w:color w:val="0F4BEB" w:themeColor="accent1"/>
              <w:sz w:val="18"/>
              <w:szCs w:val="18"/>
            </w:rPr>
            <w:t>University of Technology Sydney</w:t>
          </w:r>
        </w:p>
      </w:tc>
      <w:tc>
        <w:tcPr>
          <w:tcW w:w="993" w:type="pct"/>
        </w:tcPr>
        <w:p w14:paraId="3EABA048" w14:textId="77777777" w:rsidR="00611E81" w:rsidRPr="00423573" w:rsidRDefault="00611E81" w:rsidP="00611E81">
          <w:pPr>
            <w:spacing w:beforeLines="0" w:before="160" w:after="0" w:line="240" w:lineRule="auto"/>
            <w:rPr>
              <w:noProof/>
              <w:color w:val="7F7F7F" w:themeColor="text1" w:themeTint="80"/>
              <w:sz w:val="18"/>
              <w:szCs w:val="18"/>
            </w:rPr>
          </w:pPr>
        </w:p>
      </w:tc>
      <w:tc>
        <w:tcPr>
          <w:tcW w:w="1494" w:type="pct"/>
        </w:tcPr>
        <w:p w14:paraId="5930C6B1" w14:textId="77777777" w:rsidR="00611E81" w:rsidRPr="00423573" w:rsidRDefault="00611E81" w:rsidP="00611E81">
          <w:pPr>
            <w:spacing w:beforeLines="0" w:before="160" w:after="0" w:line="240" w:lineRule="auto"/>
            <w:jc w:val="right"/>
            <w:rPr>
              <w:color w:val="0F4BEB" w:themeColor="accent1"/>
              <w:sz w:val="24"/>
              <w:szCs w:val="32"/>
            </w:rPr>
          </w:pPr>
          <w:r w:rsidRPr="002409C2">
            <w:rPr>
              <w:color w:val="0F4BEB" w:themeColor="accent1"/>
              <w:sz w:val="20"/>
              <w:szCs w:val="24"/>
            </w:rPr>
            <w:fldChar w:fldCharType="begin"/>
          </w:r>
          <w:r w:rsidRPr="002409C2">
            <w:rPr>
              <w:color w:val="0F4BEB" w:themeColor="accent1"/>
              <w:sz w:val="20"/>
              <w:szCs w:val="24"/>
            </w:rPr>
            <w:instrText xml:space="preserve"> PAGE   \* MERGEFORMAT </w:instrText>
          </w:r>
          <w:r w:rsidRPr="002409C2">
            <w:rPr>
              <w:color w:val="0F4BEB" w:themeColor="accent1"/>
              <w:sz w:val="20"/>
              <w:szCs w:val="24"/>
            </w:rPr>
            <w:fldChar w:fldCharType="separate"/>
          </w:r>
          <w:r>
            <w:rPr>
              <w:color w:val="0F4BEB" w:themeColor="accent1"/>
              <w:sz w:val="20"/>
              <w:szCs w:val="24"/>
            </w:rPr>
            <w:t>5</w:t>
          </w:r>
          <w:r w:rsidRPr="002409C2">
            <w:rPr>
              <w:noProof/>
              <w:color w:val="0F4BEB" w:themeColor="accent1"/>
              <w:sz w:val="20"/>
              <w:szCs w:val="24"/>
            </w:rPr>
            <w:fldChar w:fldCharType="end"/>
          </w:r>
        </w:p>
      </w:tc>
    </w:tr>
  </w:tbl>
  <w:p w14:paraId="72A87FAF" w14:textId="77777777" w:rsidR="00611E81" w:rsidRPr="00611E81" w:rsidRDefault="00611E81" w:rsidP="00611E81">
    <w:pPr>
      <w:pStyle w:val="Footer"/>
      <w:spacing w:beforeLines="0" w:before="0" w:after="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D0C7" w14:textId="77777777" w:rsidR="00532284" w:rsidRDefault="00532284" w:rsidP="00BF4E4B">
      <w:r>
        <w:separator/>
      </w:r>
    </w:p>
    <w:p w14:paraId="643A5BD3" w14:textId="77777777" w:rsidR="00532284" w:rsidRDefault="00532284"/>
  </w:footnote>
  <w:footnote w:type="continuationSeparator" w:id="0">
    <w:p w14:paraId="43AF9510" w14:textId="77777777" w:rsidR="00532284" w:rsidRDefault="00532284" w:rsidP="00BF4E4B">
      <w:r>
        <w:continuationSeparator/>
      </w:r>
    </w:p>
    <w:p w14:paraId="41F651D1" w14:textId="77777777" w:rsidR="00532284" w:rsidRDefault="00532284"/>
  </w:footnote>
  <w:footnote w:type="continuationNotice" w:id="1">
    <w:p w14:paraId="1AC4D4A5" w14:textId="77777777" w:rsidR="00532284" w:rsidRDefault="00532284">
      <w:pPr>
        <w:spacing w:after="0" w:line="240" w:lineRule="auto"/>
      </w:pPr>
    </w:p>
    <w:p w14:paraId="0C1E8EB8" w14:textId="77777777" w:rsidR="00532284" w:rsidRDefault="00532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7D6F" w14:textId="1B1C7F80" w:rsidR="00143EC1" w:rsidRPr="000D0531" w:rsidRDefault="00143EC1" w:rsidP="00A1795D">
    <w:pPr>
      <w:pBdr>
        <w:bottom w:val="single" w:sz="4" w:space="1" w:color="0F4BEB" w:themeColor="accent1"/>
      </w:pBdr>
      <w:jc w:val="right"/>
      <w:rPr>
        <w:color w:val="0F4BEB" w:themeColor="accent1"/>
        <w:sz w:val="18"/>
        <w:szCs w:val="18"/>
      </w:rPr>
    </w:pPr>
    <w:r w:rsidRPr="00BF4E4B">
      <w:rPr>
        <w:sz w:val="18"/>
        <w:szCs w:val="18"/>
      </w:rPr>
      <w:t>Department of Health and Aged Care- LGBTQ+ Mental Health Services</w:t>
    </w:r>
    <w:r w:rsidR="0002478E">
      <w:rPr>
        <w:sz w:val="18"/>
        <w:szCs w:val="18"/>
      </w:rPr>
      <w:t xml:space="preserve"> </w:t>
    </w:r>
    <w:r w:rsidRPr="000D0531">
      <w:rPr>
        <w:b/>
        <w:color w:val="0F4BEB" w:themeColor="accent1"/>
        <w:sz w:val="18"/>
        <w:szCs w:val="18"/>
      </w:rPr>
      <w:t>Summary Report</w:t>
    </w:r>
    <w:r w:rsidRPr="000D0531">
      <w:rPr>
        <w:color w:val="0F4BEB" w:themeColor="accent1"/>
        <w:sz w:val="18"/>
        <w:szCs w:val="18"/>
      </w:rPr>
      <w:t xml:space="preserve"> – </w:t>
    </w:r>
    <w:r w:rsidR="002335E9">
      <w:rPr>
        <w:color w:val="0F4BEB" w:themeColor="accent1"/>
        <w:sz w:val="18"/>
        <w:szCs w:val="18"/>
      </w:rPr>
      <w:t>Decem</w:t>
    </w:r>
    <w:r w:rsidR="002D4AED">
      <w:rPr>
        <w:color w:val="0F4BEB" w:themeColor="accent1"/>
        <w:sz w:val="18"/>
        <w:szCs w:val="18"/>
      </w:rPr>
      <w:t>ber</w:t>
    </w:r>
    <w:r w:rsidR="002335E9" w:rsidRPr="000D0531">
      <w:rPr>
        <w:color w:val="0F4BEB" w:themeColor="accent1"/>
        <w:sz w:val="18"/>
        <w:szCs w:val="18"/>
      </w:rPr>
      <w:t xml:space="preserve"> </w:t>
    </w:r>
    <w:r w:rsidRPr="000D0531">
      <w:rPr>
        <w:color w:val="0F4BEB" w:themeColor="accent1"/>
        <w:sz w:val="18"/>
        <w:szCs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F6B2" w14:textId="52AE3A24" w:rsidR="00143EC1" w:rsidRPr="002D4AED" w:rsidRDefault="00143EC1" w:rsidP="002D4AED">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F62E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89B"/>
    <w:multiLevelType w:val="hybridMultilevel"/>
    <w:tmpl w:val="08E6DB50"/>
    <w:lvl w:ilvl="0" w:tplc="0C09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2506BE4"/>
    <w:multiLevelType w:val="hybridMultilevel"/>
    <w:tmpl w:val="AE94D3C6"/>
    <w:lvl w:ilvl="0" w:tplc="C9567B78">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BD4D4A"/>
    <w:multiLevelType w:val="hybridMultilevel"/>
    <w:tmpl w:val="630AF34A"/>
    <w:lvl w:ilvl="0" w:tplc="EBCEBAC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51217"/>
    <w:multiLevelType w:val="hybridMultilevel"/>
    <w:tmpl w:val="70D4E0DC"/>
    <w:lvl w:ilvl="0" w:tplc="EBCEBAC8">
      <w:start w:val="1"/>
      <w:numFmt w:val="bullet"/>
      <w:lvlText w:val=""/>
      <w:lvlJc w:val="left"/>
      <w:pPr>
        <w:ind w:left="1380" w:hanging="360"/>
      </w:pPr>
      <w:rPr>
        <w:rFonts w:ascii="Symbol" w:hAnsi="Symbol" w:hint="default"/>
        <w:sz w:val="16"/>
        <w:szCs w:val="16"/>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 w15:restartNumberingAfterBreak="0">
    <w:nsid w:val="08C21D85"/>
    <w:multiLevelType w:val="hybridMultilevel"/>
    <w:tmpl w:val="47F63C68"/>
    <w:lvl w:ilvl="0" w:tplc="A3FEEA7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6" w15:restartNumberingAfterBreak="0">
    <w:nsid w:val="0A631ABD"/>
    <w:multiLevelType w:val="hybridMultilevel"/>
    <w:tmpl w:val="512EBD50"/>
    <w:lvl w:ilvl="0" w:tplc="175467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263A74"/>
    <w:multiLevelType w:val="hybridMultilevel"/>
    <w:tmpl w:val="83BE9842"/>
    <w:lvl w:ilvl="0" w:tplc="9886C700">
      <w:start w:val="1"/>
      <w:numFmt w:val="bullet"/>
      <w:lvlText w:val=""/>
      <w:lvlJc w:val="left"/>
      <w:pPr>
        <w:ind w:left="360" w:hanging="360"/>
      </w:pPr>
      <w:rPr>
        <w:rFonts w:ascii="Symbol" w:hAnsi="Symbol" w:hint="default"/>
        <w:sz w:val="22"/>
        <w:szCs w:val="2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977986"/>
    <w:multiLevelType w:val="hybridMultilevel"/>
    <w:tmpl w:val="A5CC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F69C2"/>
    <w:multiLevelType w:val="hybridMultilevel"/>
    <w:tmpl w:val="B914D3EC"/>
    <w:lvl w:ilvl="0" w:tplc="B7223464">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0" w15:restartNumberingAfterBreak="0">
    <w:nsid w:val="20BF00F7"/>
    <w:multiLevelType w:val="hybridMultilevel"/>
    <w:tmpl w:val="1C009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B433A"/>
    <w:multiLevelType w:val="hybridMultilevel"/>
    <w:tmpl w:val="B76E6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030E9"/>
    <w:multiLevelType w:val="hybridMultilevel"/>
    <w:tmpl w:val="685ACA68"/>
    <w:lvl w:ilvl="0" w:tplc="0C09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3" w15:restartNumberingAfterBreak="0">
    <w:nsid w:val="2B924DBE"/>
    <w:multiLevelType w:val="hybridMultilevel"/>
    <w:tmpl w:val="B0F2C176"/>
    <w:lvl w:ilvl="0" w:tplc="2ED642C4">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2E48C9"/>
    <w:multiLevelType w:val="hybridMultilevel"/>
    <w:tmpl w:val="D56AFE04"/>
    <w:lvl w:ilvl="0" w:tplc="6340F9C6">
      <w:start w:val="1"/>
      <w:numFmt w:val="decimal"/>
      <w:pStyle w:val="Table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026B64"/>
    <w:multiLevelType w:val="hybridMultilevel"/>
    <w:tmpl w:val="4DF63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A38CF"/>
    <w:multiLevelType w:val="multilevel"/>
    <w:tmpl w:val="5316E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424C81"/>
    <w:multiLevelType w:val="hybridMultilevel"/>
    <w:tmpl w:val="67D61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7F8486D"/>
    <w:multiLevelType w:val="hybridMultilevel"/>
    <w:tmpl w:val="ECAC1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A530C2"/>
    <w:multiLevelType w:val="hybridMultilevel"/>
    <w:tmpl w:val="065AF3E0"/>
    <w:lvl w:ilvl="0" w:tplc="FFFFFFFF">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20" w15:restartNumberingAfterBreak="0">
    <w:nsid w:val="4C594012"/>
    <w:multiLevelType w:val="hybridMultilevel"/>
    <w:tmpl w:val="6CAA1486"/>
    <w:lvl w:ilvl="0" w:tplc="0C09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1" w15:restartNumberingAfterBreak="0">
    <w:nsid w:val="4D7B337D"/>
    <w:multiLevelType w:val="hybridMultilevel"/>
    <w:tmpl w:val="5EB6C6E8"/>
    <w:lvl w:ilvl="0" w:tplc="28D61DA0">
      <w:start w:val="1"/>
      <w:numFmt w:val="bullet"/>
      <w:lvlText w:val=""/>
      <w:lvlJc w:val="left"/>
      <w:pPr>
        <w:ind w:left="720" w:hanging="360"/>
      </w:pPr>
      <w:rPr>
        <w:rFonts w:ascii="Symbol" w:hAnsi="Symbol" w:hint="default"/>
        <w:color w:val="0F4BE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50EA"/>
    <w:multiLevelType w:val="hybridMultilevel"/>
    <w:tmpl w:val="F1DC38A8"/>
    <w:lvl w:ilvl="0" w:tplc="EBCEBAC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24282"/>
    <w:multiLevelType w:val="hybridMultilevel"/>
    <w:tmpl w:val="C9B270AA"/>
    <w:lvl w:ilvl="0" w:tplc="BA364678">
      <w:start w:val="1"/>
      <w:numFmt w:val="decimal"/>
      <w:pStyle w:val="Tabletextlistnumb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8126B9"/>
    <w:multiLevelType w:val="hybridMultilevel"/>
    <w:tmpl w:val="E9F86656"/>
    <w:lvl w:ilvl="0" w:tplc="839C8500">
      <w:start w:val="1"/>
      <w:numFmt w:val="low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5" w15:restartNumberingAfterBreak="0">
    <w:nsid w:val="64F25E6A"/>
    <w:multiLevelType w:val="hybridMultilevel"/>
    <w:tmpl w:val="9BF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90903"/>
    <w:multiLevelType w:val="hybridMultilevel"/>
    <w:tmpl w:val="E33405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1E3F80"/>
    <w:multiLevelType w:val="hybridMultilevel"/>
    <w:tmpl w:val="64462E86"/>
    <w:lvl w:ilvl="0" w:tplc="909E8BA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99765F6"/>
    <w:multiLevelType w:val="hybridMultilevel"/>
    <w:tmpl w:val="DAFA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A84F7B"/>
    <w:multiLevelType w:val="hybridMultilevel"/>
    <w:tmpl w:val="9E90906C"/>
    <w:lvl w:ilvl="0" w:tplc="115682B4">
      <w:start w:val="1"/>
      <w:numFmt w:val="decimal"/>
      <w:lvlText w:val="%1."/>
      <w:lvlJc w:val="left"/>
      <w:pPr>
        <w:ind w:left="340" w:hanging="340"/>
      </w:pPr>
      <w:rPr>
        <w:b/>
        <w:bCs/>
        <w:color w:val="0F4BEB" w:themeColor="accent1"/>
      </w:rPr>
    </w:lvl>
    <w:lvl w:ilvl="1" w:tplc="2ED642C4">
      <w:start w:val="1"/>
      <w:numFmt w:val="lowerLetter"/>
      <w:lvlText w:val="%2."/>
      <w:lvlJc w:val="left"/>
      <w:pPr>
        <w:tabs>
          <w:tab w:val="num" w:pos="850"/>
        </w:tabs>
        <w:ind w:left="850" w:hanging="425"/>
      </w:pPr>
      <w:rPr>
        <w:b w:val="0"/>
        <w:i w:val="0"/>
        <w:color w:val="auto"/>
        <w:sz w:val="22"/>
      </w:rPr>
    </w:lvl>
    <w:lvl w:ilvl="2" w:tplc="D2221568">
      <w:start w:val="1"/>
      <w:numFmt w:val="lowerRoman"/>
      <w:lvlText w:val="%3."/>
      <w:lvlJc w:val="left"/>
      <w:pPr>
        <w:tabs>
          <w:tab w:val="num" w:pos="1275"/>
        </w:tabs>
        <w:ind w:left="1275" w:hanging="425"/>
      </w:pPr>
      <w:rPr>
        <w:b w:val="0"/>
        <w:i w:val="0"/>
        <w:color w:val="auto"/>
        <w:sz w:val="18"/>
      </w:rPr>
    </w:lvl>
    <w:lvl w:ilvl="3" w:tplc="943C50C6">
      <w:start w:val="1"/>
      <w:numFmt w:val="upperLetter"/>
      <w:lvlText w:val="%4."/>
      <w:lvlJc w:val="left"/>
      <w:pPr>
        <w:tabs>
          <w:tab w:val="num" w:pos="1700"/>
        </w:tabs>
        <w:ind w:left="1700" w:hanging="425"/>
      </w:pPr>
      <w:rPr>
        <w:b w:val="0"/>
        <w:i w:val="0"/>
        <w:color w:val="auto"/>
        <w:sz w:val="18"/>
      </w:rPr>
    </w:lvl>
    <w:lvl w:ilvl="4" w:tplc="10BA1F2E">
      <w:start w:val="1"/>
      <w:numFmt w:val="upperRoman"/>
      <w:lvlText w:val="%5."/>
      <w:lvlJc w:val="left"/>
      <w:pPr>
        <w:tabs>
          <w:tab w:val="num" w:pos="2125"/>
        </w:tabs>
        <w:ind w:left="2125" w:hanging="425"/>
      </w:pPr>
      <w:rPr>
        <w:b w:val="0"/>
        <w:i w:val="0"/>
        <w:color w:val="auto"/>
        <w:sz w:val="18"/>
      </w:rPr>
    </w:lvl>
    <w:lvl w:ilvl="5" w:tplc="71A65298">
      <w:start w:val="1"/>
      <w:numFmt w:val="decimal"/>
      <w:lvlText w:val="%6."/>
      <w:lvlJc w:val="left"/>
      <w:pPr>
        <w:tabs>
          <w:tab w:val="num" w:pos="2550"/>
        </w:tabs>
        <w:ind w:left="2550" w:hanging="425"/>
      </w:pPr>
      <w:rPr>
        <w:b w:val="0"/>
        <w:i w:val="0"/>
        <w:color w:val="auto"/>
        <w:sz w:val="18"/>
      </w:rPr>
    </w:lvl>
    <w:lvl w:ilvl="6" w:tplc="E4064CC0">
      <w:start w:val="1"/>
      <w:numFmt w:val="decimal"/>
      <w:suff w:val="nothing"/>
      <w:lvlText w:val="%7"/>
      <w:lvlJc w:val="left"/>
      <w:pPr>
        <w:ind w:left="2975" w:hanging="425"/>
      </w:pPr>
      <w:rPr>
        <w:color w:val="E1001A"/>
      </w:rPr>
    </w:lvl>
    <w:lvl w:ilvl="7" w:tplc="EC4CE250">
      <w:start w:val="1"/>
      <w:numFmt w:val="decimal"/>
      <w:suff w:val="nothing"/>
      <w:lvlText w:val="%8"/>
      <w:lvlJc w:val="left"/>
      <w:pPr>
        <w:ind w:left="3400" w:hanging="425"/>
      </w:pPr>
      <w:rPr>
        <w:color w:val="E1001A"/>
        <w:sz w:val="20"/>
      </w:rPr>
    </w:lvl>
    <w:lvl w:ilvl="8" w:tplc="CD02521E">
      <w:start w:val="1"/>
      <w:numFmt w:val="decimal"/>
      <w:suff w:val="nothing"/>
      <w:lvlText w:val="%9"/>
      <w:lvlJc w:val="left"/>
      <w:pPr>
        <w:ind w:left="3825" w:hanging="425"/>
      </w:pPr>
      <w:rPr>
        <w:color w:val="E1001A"/>
      </w:rPr>
    </w:lvl>
  </w:abstractNum>
  <w:abstractNum w:abstractNumId="30" w15:restartNumberingAfterBreak="0">
    <w:nsid w:val="7B3C10CB"/>
    <w:multiLevelType w:val="hybridMultilevel"/>
    <w:tmpl w:val="71320D92"/>
    <w:lvl w:ilvl="0" w:tplc="04090001">
      <w:start w:val="1"/>
      <w:numFmt w:val="bullet"/>
      <w:lvlText w:val=""/>
      <w:lvlJc w:val="left"/>
      <w:pPr>
        <w:ind w:left="720" w:hanging="360"/>
      </w:pPr>
      <w:rPr>
        <w:rFonts w:ascii="Symbol" w:hAnsi="Symbol" w:hint="default"/>
      </w:rPr>
    </w:lvl>
    <w:lvl w:ilvl="1" w:tplc="F99C75EC">
      <w:numFmt w:val="bullet"/>
      <w:lvlText w:val="•"/>
      <w:lvlJc w:val="left"/>
      <w:pPr>
        <w:ind w:left="1800" w:hanging="720"/>
      </w:pPr>
      <w:rPr>
        <w:rFonts w:ascii="Arial" w:eastAsiaTheme="minorHAnsi" w:hAnsi="Arial" w:cs="Arial" w:hint="default"/>
        <w:color w:val="0E66E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7213A"/>
    <w:multiLevelType w:val="multilevel"/>
    <w:tmpl w:val="172A0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3678925">
    <w:abstractNumId w:val="7"/>
  </w:num>
  <w:num w:numId="2" w16cid:durableId="1958486954">
    <w:abstractNumId w:val="30"/>
  </w:num>
  <w:num w:numId="3" w16cid:durableId="730539058">
    <w:abstractNumId w:val="21"/>
  </w:num>
  <w:num w:numId="4" w16cid:durableId="2123761276">
    <w:abstractNumId w:val="31"/>
  </w:num>
  <w:num w:numId="5" w16cid:durableId="1613778926">
    <w:abstractNumId w:val="25"/>
  </w:num>
  <w:num w:numId="6" w16cid:durableId="904415076">
    <w:abstractNumId w:val="6"/>
  </w:num>
  <w:num w:numId="7" w16cid:durableId="14156289">
    <w:abstractNumId w:val="29"/>
    <w:lvlOverride w:ilvl="0">
      <w:lvl w:ilvl="0" w:tplc="115682B4">
        <w:start w:val="1"/>
        <w:numFmt w:val="lowerLetter"/>
        <w:lvlText w:val="%1."/>
        <w:lvlJc w:val="left"/>
        <w:pPr>
          <w:ind w:left="927" w:hanging="360"/>
        </w:pPr>
      </w:lvl>
    </w:lvlOverride>
    <w:lvlOverride w:ilvl="1">
      <w:lvl w:ilvl="1" w:tplc="2ED642C4">
        <w:start w:val="1"/>
        <w:numFmt w:val="lowerLetter"/>
        <w:lvlText w:val="%2."/>
        <w:lvlJc w:val="left"/>
        <w:pPr>
          <w:ind w:left="1440" w:hanging="360"/>
        </w:pPr>
      </w:lvl>
    </w:lvlOverride>
    <w:lvlOverride w:ilvl="2">
      <w:lvl w:ilvl="2" w:tplc="D2221568" w:tentative="1">
        <w:start w:val="1"/>
        <w:numFmt w:val="lowerRoman"/>
        <w:lvlText w:val="%3."/>
        <w:lvlJc w:val="right"/>
        <w:pPr>
          <w:ind w:left="2160" w:hanging="180"/>
        </w:pPr>
      </w:lvl>
    </w:lvlOverride>
    <w:lvlOverride w:ilvl="3">
      <w:lvl w:ilvl="3" w:tplc="943C50C6" w:tentative="1">
        <w:start w:val="1"/>
        <w:numFmt w:val="decimal"/>
        <w:lvlText w:val="%4."/>
        <w:lvlJc w:val="left"/>
        <w:pPr>
          <w:ind w:left="2880" w:hanging="360"/>
        </w:pPr>
      </w:lvl>
    </w:lvlOverride>
    <w:lvlOverride w:ilvl="4">
      <w:lvl w:ilvl="4" w:tplc="10BA1F2E" w:tentative="1">
        <w:start w:val="1"/>
        <w:numFmt w:val="lowerLetter"/>
        <w:lvlText w:val="%5."/>
        <w:lvlJc w:val="left"/>
        <w:pPr>
          <w:ind w:left="3600" w:hanging="360"/>
        </w:pPr>
      </w:lvl>
    </w:lvlOverride>
    <w:lvlOverride w:ilvl="5">
      <w:lvl w:ilvl="5" w:tplc="71A65298" w:tentative="1">
        <w:start w:val="1"/>
        <w:numFmt w:val="lowerRoman"/>
        <w:lvlText w:val="%6."/>
        <w:lvlJc w:val="right"/>
        <w:pPr>
          <w:ind w:left="4320" w:hanging="180"/>
        </w:pPr>
      </w:lvl>
    </w:lvlOverride>
    <w:lvlOverride w:ilvl="6">
      <w:lvl w:ilvl="6" w:tplc="E4064CC0" w:tentative="1">
        <w:start w:val="1"/>
        <w:numFmt w:val="decimal"/>
        <w:lvlText w:val="%7."/>
        <w:lvlJc w:val="left"/>
        <w:pPr>
          <w:ind w:left="5040" w:hanging="360"/>
        </w:pPr>
      </w:lvl>
    </w:lvlOverride>
    <w:lvlOverride w:ilvl="7">
      <w:lvl w:ilvl="7" w:tplc="EC4CE250" w:tentative="1">
        <w:start w:val="1"/>
        <w:numFmt w:val="lowerLetter"/>
        <w:lvlText w:val="%8."/>
        <w:lvlJc w:val="left"/>
        <w:pPr>
          <w:ind w:left="5760" w:hanging="360"/>
        </w:pPr>
      </w:lvl>
    </w:lvlOverride>
    <w:lvlOverride w:ilvl="8">
      <w:lvl w:ilvl="8" w:tplc="CD02521E" w:tentative="1">
        <w:start w:val="1"/>
        <w:numFmt w:val="lowerRoman"/>
        <w:lvlText w:val="%9."/>
        <w:lvlJc w:val="right"/>
        <w:pPr>
          <w:ind w:left="6480" w:hanging="180"/>
        </w:pPr>
      </w:lvl>
    </w:lvlOverride>
  </w:num>
  <w:num w:numId="8" w16cid:durableId="646327794">
    <w:abstractNumId w:val="27"/>
  </w:num>
  <w:num w:numId="9" w16cid:durableId="1562717338">
    <w:abstractNumId w:val="26"/>
  </w:num>
  <w:num w:numId="10" w16cid:durableId="1396004278">
    <w:abstractNumId w:val="13"/>
  </w:num>
  <w:num w:numId="11" w16cid:durableId="689180487">
    <w:abstractNumId w:val="10"/>
  </w:num>
  <w:num w:numId="12" w16cid:durableId="490410559">
    <w:abstractNumId w:val="11"/>
  </w:num>
  <w:num w:numId="13" w16cid:durableId="1605461090">
    <w:abstractNumId w:val="8"/>
  </w:num>
  <w:num w:numId="14" w16cid:durableId="1986276195">
    <w:abstractNumId w:val="18"/>
  </w:num>
  <w:num w:numId="15" w16cid:durableId="693384283">
    <w:abstractNumId w:val="15"/>
  </w:num>
  <w:num w:numId="16" w16cid:durableId="461071287">
    <w:abstractNumId w:val="9"/>
  </w:num>
  <w:num w:numId="17" w16cid:durableId="1205800132">
    <w:abstractNumId w:val="29"/>
    <w:lvlOverride w:ilvl="0">
      <w:lvl w:ilvl="0" w:tplc="115682B4">
        <w:start w:val="1"/>
        <w:numFmt w:val="decimal"/>
        <w:lvlText w:val="%1."/>
        <w:lvlJc w:val="left"/>
        <w:pPr>
          <w:ind w:left="567" w:hanging="510"/>
        </w:pPr>
        <w:rPr>
          <w:rFonts w:hint="default"/>
          <w:b/>
          <w:bCs/>
          <w:strike w:val="0"/>
          <w:color w:val="0F4BEB" w:themeColor="accent1"/>
        </w:rPr>
      </w:lvl>
    </w:lvlOverride>
    <w:lvlOverride w:ilvl="1">
      <w:lvl w:ilvl="1" w:tplc="2ED642C4" w:tentative="1">
        <w:start w:val="1"/>
        <w:numFmt w:val="lowerLetter"/>
        <w:lvlText w:val="%2."/>
        <w:lvlJc w:val="left"/>
        <w:pPr>
          <w:ind w:left="1440" w:hanging="360"/>
        </w:pPr>
      </w:lvl>
    </w:lvlOverride>
    <w:lvlOverride w:ilvl="2">
      <w:lvl w:ilvl="2" w:tplc="D2221568" w:tentative="1">
        <w:start w:val="1"/>
        <w:numFmt w:val="lowerRoman"/>
        <w:lvlText w:val="%3."/>
        <w:lvlJc w:val="right"/>
        <w:pPr>
          <w:ind w:left="2160" w:hanging="180"/>
        </w:pPr>
      </w:lvl>
    </w:lvlOverride>
    <w:lvlOverride w:ilvl="3">
      <w:lvl w:ilvl="3" w:tplc="943C50C6" w:tentative="1">
        <w:start w:val="1"/>
        <w:numFmt w:val="decimal"/>
        <w:lvlText w:val="%4."/>
        <w:lvlJc w:val="left"/>
        <w:pPr>
          <w:ind w:left="2880" w:hanging="360"/>
        </w:pPr>
      </w:lvl>
    </w:lvlOverride>
    <w:lvlOverride w:ilvl="4">
      <w:lvl w:ilvl="4" w:tplc="10BA1F2E" w:tentative="1">
        <w:start w:val="1"/>
        <w:numFmt w:val="lowerLetter"/>
        <w:lvlText w:val="%5."/>
        <w:lvlJc w:val="left"/>
        <w:pPr>
          <w:ind w:left="3600" w:hanging="360"/>
        </w:pPr>
      </w:lvl>
    </w:lvlOverride>
    <w:lvlOverride w:ilvl="5">
      <w:lvl w:ilvl="5" w:tplc="71A65298" w:tentative="1">
        <w:start w:val="1"/>
        <w:numFmt w:val="lowerRoman"/>
        <w:lvlText w:val="%6."/>
        <w:lvlJc w:val="right"/>
        <w:pPr>
          <w:ind w:left="4320" w:hanging="180"/>
        </w:pPr>
      </w:lvl>
    </w:lvlOverride>
    <w:lvlOverride w:ilvl="6">
      <w:lvl w:ilvl="6" w:tplc="E4064CC0" w:tentative="1">
        <w:start w:val="1"/>
        <w:numFmt w:val="decimal"/>
        <w:lvlText w:val="%7."/>
        <w:lvlJc w:val="left"/>
        <w:pPr>
          <w:ind w:left="5040" w:hanging="360"/>
        </w:pPr>
      </w:lvl>
    </w:lvlOverride>
    <w:lvlOverride w:ilvl="7">
      <w:lvl w:ilvl="7" w:tplc="EC4CE250" w:tentative="1">
        <w:start w:val="1"/>
        <w:numFmt w:val="lowerLetter"/>
        <w:lvlText w:val="%8."/>
        <w:lvlJc w:val="left"/>
        <w:pPr>
          <w:ind w:left="5760" w:hanging="360"/>
        </w:pPr>
      </w:lvl>
    </w:lvlOverride>
    <w:lvlOverride w:ilvl="8">
      <w:lvl w:ilvl="8" w:tplc="CD02521E" w:tentative="1">
        <w:start w:val="1"/>
        <w:numFmt w:val="lowerRoman"/>
        <w:lvlText w:val="%9."/>
        <w:lvlJc w:val="right"/>
        <w:pPr>
          <w:ind w:left="6480" w:hanging="180"/>
        </w:pPr>
      </w:lvl>
    </w:lvlOverride>
  </w:num>
  <w:num w:numId="18" w16cid:durableId="1449280281">
    <w:abstractNumId w:val="16"/>
  </w:num>
  <w:num w:numId="19" w16cid:durableId="1476027214">
    <w:abstractNumId w:val="2"/>
  </w:num>
  <w:num w:numId="20" w16cid:durableId="1623153526">
    <w:abstractNumId w:val="3"/>
  </w:num>
  <w:num w:numId="21" w16cid:durableId="674847958">
    <w:abstractNumId w:val="4"/>
  </w:num>
  <w:num w:numId="22" w16cid:durableId="1375036024">
    <w:abstractNumId w:val="22"/>
  </w:num>
  <w:num w:numId="23" w16cid:durableId="461584797">
    <w:abstractNumId w:val="17"/>
  </w:num>
  <w:num w:numId="24" w16cid:durableId="1479029709">
    <w:abstractNumId w:val="29"/>
    <w:lvlOverride w:ilvl="0">
      <w:lvl w:ilvl="0" w:tplc="115682B4">
        <w:start w:val="1"/>
        <w:numFmt w:val="decimal"/>
        <w:lvlText w:val="%1."/>
        <w:lvlJc w:val="left"/>
        <w:pPr>
          <w:ind w:left="510" w:hanging="397"/>
        </w:pPr>
        <w:rPr>
          <w:rFonts w:hint="default"/>
          <w:b/>
          <w:bCs/>
          <w:color w:val="0F4BEB" w:themeColor="accent1"/>
        </w:rPr>
      </w:lvl>
    </w:lvlOverride>
    <w:lvlOverride w:ilvl="1">
      <w:lvl w:ilvl="1" w:tplc="2ED642C4">
        <w:start w:val="1"/>
        <w:numFmt w:val="lowerLetter"/>
        <w:lvlText w:val="%2."/>
        <w:lvlJc w:val="left"/>
        <w:pPr>
          <w:ind w:left="927" w:hanging="360"/>
        </w:pPr>
      </w:lvl>
    </w:lvlOverride>
    <w:lvlOverride w:ilvl="2">
      <w:lvl w:ilvl="2" w:tplc="D2221568">
        <w:start w:val="1"/>
        <w:numFmt w:val="lowerRoman"/>
        <w:lvlText w:val="%3."/>
        <w:lvlJc w:val="right"/>
        <w:pPr>
          <w:ind w:left="2160" w:hanging="180"/>
        </w:pPr>
      </w:lvl>
    </w:lvlOverride>
    <w:lvlOverride w:ilvl="3">
      <w:lvl w:ilvl="3" w:tplc="943C50C6" w:tentative="1">
        <w:start w:val="1"/>
        <w:numFmt w:val="decimal"/>
        <w:lvlText w:val="%4."/>
        <w:lvlJc w:val="left"/>
        <w:pPr>
          <w:ind w:left="2880" w:hanging="360"/>
        </w:pPr>
      </w:lvl>
    </w:lvlOverride>
    <w:lvlOverride w:ilvl="4">
      <w:lvl w:ilvl="4" w:tplc="10BA1F2E" w:tentative="1">
        <w:start w:val="1"/>
        <w:numFmt w:val="lowerLetter"/>
        <w:lvlText w:val="%5."/>
        <w:lvlJc w:val="left"/>
        <w:pPr>
          <w:ind w:left="3600" w:hanging="360"/>
        </w:pPr>
      </w:lvl>
    </w:lvlOverride>
    <w:lvlOverride w:ilvl="5">
      <w:lvl w:ilvl="5" w:tplc="71A65298" w:tentative="1">
        <w:start w:val="1"/>
        <w:numFmt w:val="lowerRoman"/>
        <w:lvlText w:val="%6."/>
        <w:lvlJc w:val="right"/>
        <w:pPr>
          <w:ind w:left="4320" w:hanging="180"/>
        </w:pPr>
      </w:lvl>
    </w:lvlOverride>
    <w:lvlOverride w:ilvl="6">
      <w:lvl w:ilvl="6" w:tplc="E4064CC0" w:tentative="1">
        <w:start w:val="1"/>
        <w:numFmt w:val="decimal"/>
        <w:lvlText w:val="%7."/>
        <w:lvlJc w:val="left"/>
        <w:pPr>
          <w:ind w:left="5040" w:hanging="360"/>
        </w:pPr>
      </w:lvl>
    </w:lvlOverride>
    <w:lvlOverride w:ilvl="7">
      <w:lvl w:ilvl="7" w:tplc="EC4CE250" w:tentative="1">
        <w:start w:val="1"/>
        <w:numFmt w:val="lowerLetter"/>
        <w:lvlText w:val="%8."/>
        <w:lvlJc w:val="left"/>
        <w:pPr>
          <w:ind w:left="5760" w:hanging="360"/>
        </w:pPr>
      </w:lvl>
    </w:lvlOverride>
    <w:lvlOverride w:ilvl="8">
      <w:lvl w:ilvl="8" w:tplc="CD02521E" w:tentative="1">
        <w:start w:val="1"/>
        <w:numFmt w:val="lowerRoman"/>
        <w:lvlText w:val="%9."/>
        <w:lvlJc w:val="right"/>
        <w:pPr>
          <w:ind w:left="6480" w:hanging="180"/>
        </w:pPr>
      </w:lvl>
    </w:lvlOverride>
  </w:num>
  <w:num w:numId="25" w16cid:durableId="122774904">
    <w:abstractNumId w:val="28"/>
  </w:num>
  <w:num w:numId="26" w16cid:durableId="1185292127">
    <w:abstractNumId w:val="19"/>
  </w:num>
  <w:num w:numId="27" w16cid:durableId="265308213">
    <w:abstractNumId w:val="24"/>
  </w:num>
  <w:num w:numId="28" w16cid:durableId="1136950454">
    <w:abstractNumId w:val="24"/>
    <w:lvlOverride w:ilvl="0">
      <w:startOverride w:val="1"/>
    </w:lvlOverride>
  </w:num>
  <w:num w:numId="29" w16cid:durableId="1466895405">
    <w:abstractNumId w:val="0"/>
  </w:num>
  <w:num w:numId="30" w16cid:durableId="918710007">
    <w:abstractNumId w:val="5"/>
  </w:num>
  <w:num w:numId="31" w16cid:durableId="1906332151">
    <w:abstractNumId w:val="14"/>
  </w:num>
  <w:num w:numId="32" w16cid:durableId="1210537246">
    <w:abstractNumId w:val="14"/>
  </w:num>
  <w:num w:numId="33" w16cid:durableId="1848211766">
    <w:abstractNumId w:val="2"/>
    <w:lvlOverride w:ilvl="0">
      <w:startOverride w:val="1"/>
    </w:lvlOverride>
  </w:num>
  <w:num w:numId="34" w16cid:durableId="2127768103">
    <w:abstractNumId w:val="23"/>
  </w:num>
  <w:num w:numId="35" w16cid:durableId="27532706">
    <w:abstractNumId w:val="23"/>
  </w:num>
  <w:num w:numId="36" w16cid:durableId="857425657">
    <w:abstractNumId w:val="24"/>
    <w:lvlOverride w:ilvl="0">
      <w:startOverride w:val="1"/>
    </w:lvlOverride>
  </w:num>
  <w:num w:numId="37" w16cid:durableId="141432981">
    <w:abstractNumId w:val="12"/>
  </w:num>
  <w:num w:numId="38" w16cid:durableId="1985619953">
    <w:abstractNumId w:val="1"/>
  </w:num>
  <w:num w:numId="39" w16cid:durableId="11017302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90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DB"/>
    <w:rsid w:val="00002E85"/>
    <w:rsid w:val="000052DC"/>
    <w:rsid w:val="00007CA4"/>
    <w:rsid w:val="000128E2"/>
    <w:rsid w:val="0001372D"/>
    <w:rsid w:val="000160EB"/>
    <w:rsid w:val="000246EF"/>
    <w:rsid w:val="0002478E"/>
    <w:rsid w:val="00031707"/>
    <w:rsid w:val="00031FCA"/>
    <w:rsid w:val="00036DA4"/>
    <w:rsid w:val="0004147A"/>
    <w:rsid w:val="0004292D"/>
    <w:rsid w:val="000465DC"/>
    <w:rsid w:val="000529F2"/>
    <w:rsid w:val="000546EB"/>
    <w:rsid w:val="0006009F"/>
    <w:rsid w:val="00062D96"/>
    <w:rsid w:val="000671BE"/>
    <w:rsid w:val="00067217"/>
    <w:rsid w:val="00067AAC"/>
    <w:rsid w:val="000720B7"/>
    <w:rsid w:val="0007417E"/>
    <w:rsid w:val="000745E8"/>
    <w:rsid w:val="000800EA"/>
    <w:rsid w:val="00081160"/>
    <w:rsid w:val="0008460E"/>
    <w:rsid w:val="000866F3"/>
    <w:rsid w:val="000876AB"/>
    <w:rsid w:val="00087E91"/>
    <w:rsid w:val="0009107E"/>
    <w:rsid w:val="00092361"/>
    <w:rsid w:val="00092454"/>
    <w:rsid w:val="00093036"/>
    <w:rsid w:val="00093339"/>
    <w:rsid w:val="00095771"/>
    <w:rsid w:val="00095DA5"/>
    <w:rsid w:val="000977BE"/>
    <w:rsid w:val="000A363F"/>
    <w:rsid w:val="000A5932"/>
    <w:rsid w:val="000A5E79"/>
    <w:rsid w:val="000A77D6"/>
    <w:rsid w:val="000B279C"/>
    <w:rsid w:val="000B2E0A"/>
    <w:rsid w:val="000B31A7"/>
    <w:rsid w:val="000B4F39"/>
    <w:rsid w:val="000C3273"/>
    <w:rsid w:val="000C7381"/>
    <w:rsid w:val="000C765D"/>
    <w:rsid w:val="000C7DD8"/>
    <w:rsid w:val="000D01CE"/>
    <w:rsid w:val="000D0531"/>
    <w:rsid w:val="000D3F50"/>
    <w:rsid w:val="000E1439"/>
    <w:rsid w:val="000E2600"/>
    <w:rsid w:val="000E3D1B"/>
    <w:rsid w:val="000E5C15"/>
    <w:rsid w:val="000F3C53"/>
    <w:rsid w:val="000F3D2D"/>
    <w:rsid w:val="00101E4D"/>
    <w:rsid w:val="00102CF2"/>
    <w:rsid w:val="001034B5"/>
    <w:rsid w:val="0010410B"/>
    <w:rsid w:val="00104287"/>
    <w:rsid w:val="001074E0"/>
    <w:rsid w:val="00110168"/>
    <w:rsid w:val="00111C7A"/>
    <w:rsid w:val="00112191"/>
    <w:rsid w:val="00117E8C"/>
    <w:rsid w:val="001195FE"/>
    <w:rsid w:val="00122003"/>
    <w:rsid w:val="00122AF0"/>
    <w:rsid w:val="001255E9"/>
    <w:rsid w:val="001258D5"/>
    <w:rsid w:val="001275A0"/>
    <w:rsid w:val="00132994"/>
    <w:rsid w:val="001362EC"/>
    <w:rsid w:val="0013640A"/>
    <w:rsid w:val="001376B2"/>
    <w:rsid w:val="00137AC3"/>
    <w:rsid w:val="00141496"/>
    <w:rsid w:val="00142E7F"/>
    <w:rsid w:val="00143EC1"/>
    <w:rsid w:val="00143F81"/>
    <w:rsid w:val="001451D6"/>
    <w:rsid w:val="00146616"/>
    <w:rsid w:val="00146912"/>
    <w:rsid w:val="0015230E"/>
    <w:rsid w:val="00152CCE"/>
    <w:rsid w:val="00153666"/>
    <w:rsid w:val="001603A8"/>
    <w:rsid w:val="00161E36"/>
    <w:rsid w:val="0016429B"/>
    <w:rsid w:val="001649EF"/>
    <w:rsid w:val="001655D1"/>
    <w:rsid w:val="001655E7"/>
    <w:rsid w:val="00165E8A"/>
    <w:rsid w:val="00170359"/>
    <w:rsid w:val="00171778"/>
    <w:rsid w:val="001721B3"/>
    <w:rsid w:val="00172780"/>
    <w:rsid w:val="001747D1"/>
    <w:rsid w:val="001767FB"/>
    <w:rsid w:val="001774C7"/>
    <w:rsid w:val="0017763F"/>
    <w:rsid w:val="0018099B"/>
    <w:rsid w:val="00182BFB"/>
    <w:rsid w:val="00184C06"/>
    <w:rsid w:val="001852DD"/>
    <w:rsid w:val="00185A2A"/>
    <w:rsid w:val="00186BE8"/>
    <w:rsid w:val="00187FA7"/>
    <w:rsid w:val="00191770"/>
    <w:rsid w:val="00192348"/>
    <w:rsid w:val="00192550"/>
    <w:rsid w:val="00194A28"/>
    <w:rsid w:val="001963B7"/>
    <w:rsid w:val="001A52E6"/>
    <w:rsid w:val="001A565D"/>
    <w:rsid w:val="001B079D"/>
    <w:rsid w:val="001B0973"/>
    <w:rsid w:val="001B1C69"/>
    <w:rsid w:val="001B3911"/>
    <w:rsid w:val="001B3C76"/>
    <w:rsid w:val="001C1C1C"/>
    <w:rsid w:val="001C3E44"/>
    <w:rsid w:val="001C4089"/>
    <w:rsid w:val="001C5606"/>
    <w:rsid w:val="001C61C0"/>
    <w:rsid w:val="001C6539"/>
    <w:rsid w:val="001D1D4D"/>
    <w:rsid w:val="001D240B"/>
    <w:rsid w:val="001D246C"/>
    <w:rsid w:val="001D2A97"/>
    <w:rsid w:val="001D4555"/>
    <w:rsid w:val="001D52A6"/>
    <w:rsid w:val="001D5399"/>
    <w:rsid w:val="001D5450"/>
    <w:rsid w:val="001E0891"/>
    <w:rsid w:val="001E1E7C"/>
    <w:rsid w:val="001E2393"/>
    <w:rsid w:val="001E2715"/>
    <w:rsid w:val="001E3957"/>
    <w:rsid w:val="001E3A72"/>
    <w:rsid w:val="001E46A8"/>
    <w:rsid w:val="001F0920"/>
    <w:rsid w:val="001F0AF6"/>
    <w:rsid w:val="001F0B14"/>
    <w:rsid w:val="001F2EA6"/>
    <w:rsid w:val="001F442A"/>
    <w:rsid w:val="001F48C2"/>
    <w:rsid w:val="001F59F3"/>
    <w:rsid w:val="001F62EC"/>
    <w:rsid w:val="00200810"/>
    <w:rsid w:val="00205283"/>
    <w:rsid w:val="00205404"/>
    <w:rsid w:val="00206BFA"/>
    <w:rsid w:val="002104EE"/>
    <w:rsid w:val="0021071F"/>
    <w:rsid w:val="0021236A"/>
    <w:rsid w:val="002125C7"/>
    <w:rsid w:val="00214018"/>
    <w:rsid w:val="00214068"/>
    <w:rsid w:val="00214BC4"/>
    <w:rsid w:val="00215A3A"/>
    <w:rsid w:val="00220723"/>
    <w:rsid w:val="00225D56"/>
    <w:rsid w:val="002333CF"/>
    <w:rsid w:val="002335E9"/>
    <w:rsid w:val="002336B7"/>
    <w:rsid w:val="00234848"/>
    <w:rsid w:val="00236707"/>
    <w:rsid w:val="00236FFD"/>
    <w:rsid w:val="0023726F"/>
    <w:rsid w:val="002461AC"/>
    <w:rsid w:val="00251930"/>
    <w:rsid w:val="002537B5"/>
    <w:rsid w:val="0025481D"/>
    <w:rsid w:val="00255697"/>
    <w:rsid w:val="00256FAA"/>
    <w:rsid w:val="002571BD"/>
    <w:rsid w:val="002608FA"/>
    <w:rsid w:val="00260F6D"/>
    <w:rsid w:val="00263BEE"/>
    <w:rsid w:val="00264CE6"/>
    <w:rsid w:val="00271B03"/>
    <w:rsid w:val="002735CB"/>
    <w:rsid w:val="00273BD4"/>
    <w:rsid w:val="00275A2F"/>
    <w:rsid w:val="00275B47"/>
    <w:rsid w:val="0027736F"/>
    <w:rsid w:val="002817DF"/>
    <w:rsid w:val="00283AE0"/>
    <w:rsid w:val="00293F5C"/>
    <w:rsid w:val="00294932"/>
    <w:rsid w:val="002A2BA8"/>
    <w:rsid w:val="002A392E"/>
    <w:rsid w:val="002A641D"/>
    <w:rsid w:val="002A6E92"/>
    <w:rsid w:val="002A7D25"/>
    <w:rsid w:val="002B072F"/>
    <w:rsid w:val="002B087C"/>
    <w:rsid w:val="002B3076"/>
    <w:rsid w:val="002B44DB"/>
    <w:rsid w:val="002C144B"/>
    <w:rsid w:val="002C74E8"/>
    <w:rsid w:val="002C7DC9"/>
    <w:rsid w:val="002D0B49"/>
    <w:rsid w:val="002D1AAE"/>
    <w:rsid w:val="002D4AED"/>
    <w:rsid w:val="002D5B7A"/>
    <w:rsid w:val="002E1BDB"/>
    <w:rsid w:val="002E5EC9"/>
    <w:rsid w:val="002E6229"/>
    <w:rsid w:val="002E64E9"/>
    <w:rsid w:val="002F45B9"/>
    <w:rsid w:val="002F7969"/>
    <w:rsid w:val="00302F14"/>
    <w:rsid w:val="00305ACF"/>
    <w:rsid w:val="00306A0E"/>
    <w:rsid w:val="00306CDE"/>
    <w:rsid w:val="00306D28"/>
    <w:rsid w:val="003161E8"/>
    <w:rsid w:val="003215D7"/>
    <w:rsid w:val="0032275D"/>
    <w:rsid w:val="0032295D"/>
    <w:rsid w:val="0032332D"/>
    <w:rsid w:val="0032452A"/>
    <w:rsid w:val="00324675"/>
    <w:rsid w:val="00332D8E"/>
    <w:rsid w:val="003334BB"/>
    <w:rsid w:val="00333F63"/>
    <w:rsid w:val="003340F4"/>
    <w:rsid w:val="00334FE6"/>
    <w:rsid w:val="00335C91"/>
    <w:rsid w:val="00337616"/>
    <w:rsid w:val="00337B82"/>
    <w:rsid w:val="003402C7"/>
    <w:rsid w:val="00346091"/>
    <w:rsid w:val="003475A9"/>
    <w:rsid w:val="00347D02"/>
    <w:rsid w:val="003514E6"/>
    <w:rsid w:val="00352351"/>
    <w:rsid w:val="00354AAE"/>
    <w:rsid w:val="003565B7"/>
    <w:rsid w:val="00361355"/>
    <w:rsid w:val="00361D1E"/>
    <w:rsid w:val="003628BB"/>
    <w:rsid w:val="00364DB3"/>
    <w:rsid w:val="00366A62"/>
    <w:rsid w:val="00366E8C"/>
    <w:rsid w:val="00373AB4"/>
    <w:rsid w:val="00376B4E"/>
    <w:rsid w:val="003813CD"/>
    <w:rsid w:val="0038335C"/>
    <w:rsid w:val="00386CF5"/>
    <w:rsid w:val="00387B5B"/>
    <w:rsid w:val="0038D86C"/>
    <w:rsid w:val="00391806"/>
    <w:rsid w:val="0039373B"/>
    <w:rsid w:val="00395093"/>
    <w:rsid w:val="003975ED"/>
    <w:rsid w:val="003A51D4"/>
    <w:rsid w:val="003A73BC"/>
    <w:rsid w:val="003A7CEA"/>
    <w:rsid w:val="003B2494"/>
    <w:rsid w:val="003B42FE"/>
    <w:rsid w:val="003B4EA1"/>
    <w:rsid w:val="003C0B2E"/>
    <w:rsid w:val="003C0C43"/>
    <w:rsid w:val="003C2C05"/>
    <w:rsid w:val="003C5DF6"/>
    <w:rsid w:val="003D0F55"/>
    <w:rsid w:val="003D1618"/>
    <w:rsid w:val="003D77EC"/>
    <w:rsid w:val="003E2FE6"/>
    <w:rsid w:val="003E319C"/>
    <w:rsid w:val="003E6742"/>
    <w:rsid w:val="003E6D42"/>
    <w:rsid w:val="003F693C"/>
    <w:rsid w:val="00403C4E"/>
    <w:rsid w:val="004065AC"/>
    <w:rsid w:val="00406A90"/>
    <w:rsid w:val="004121A1"/>
    <w:rsid w:val="00424B12"/>
    <w:rsid w:val="00430054"/>
    <w:rsid w:val="004354DC"/>
    <w:rsid w:val="004355D6"/>
    <w:rsid w:val="0043629D"/>
    <w:rsid w:val="00437550"/>
    <w:rsid w:val="00440E26"/>
    <w:rsid w:val="0044133D"/>
    <w:rsid w:val="00442017"/>
    <w:rsid w:val="004421DB"/>
    <w:rsid w:val="00443E42"/>
    <w:rsid w:val="00444943"/>
    <w:rsid w:val="00444961"/>
    <w:rsid w:val="00444FD7"/>
    <w:rsid w:val="004451A2"/>
    <w:rsid w:val="00445329"/>
    <w:rsid w:val="004506FC"/>
    <w:rsid w:val="0045095A"/>
    <w:rsid w:val="0045189F"/>
    <w:rsid w:val="004521CC"/>
    <w:rsid w:val="004533CB"/>
    <w:rsid w:val="0045366F"/>
    <w:rsid w:val="004540A2"/>
    <w:rsid w:val="00454147"/>
    <w:rsid w:val="00456F35"/>
    <w:rsid w:val="00463C5C"/>
    <w:rsid w:val="00464AA7"/>
    <w:rsid w:val="00464E3B"/>
    <w:rsid w:val="00464F17"/>
    <w:rsid w:val="00465A27"/>
    <w:rsid w:val="00467C72"/>
    <w:rsid w:val="00467CBD"/>
    <w:rsid w:val="004702D5"/>
    <w:rsid w:val="00473493"/>
    <w:rsid w:val="004743A7"/>
    <w:rsid w:val="00474ECF"/>
    <w:rsid w:val="00480030"/>
    <w:rsid w:val="00480192"/>
    <w:rsid w:val="0048189C"/>
    <w:rsid w:val="004818A4"/>
    <w:rsid w:val="00482386"/>
    <w:rsid w:val="00484A1D"/>
    <w:rsid w:val="00484AEE"/>
    <w:rsid w:val="00484E2A"/>
    <w:rsid w:val="0048704E"/>
    <w:rsid w:val="00491F81"/>
    <w:rsid w:val="004930BF"/>
    <w:rsid w:val="00493A39"/>
    <w:rsid w:val="004968E6"/>
    <w:rsid w:val="00496C25"/>
    <w:rsid w:val="00497962"/>
    <w:rsid w:val="004A3D21"/>
    <w:rsid w:val="004A57D9"/>
    <w:rsid w:val="004C0665"/>
    <w:rsid w:val="004C2978"/>
    <w:rsid w:val="004C2BD2"/>
    <w:rsid w:val="004C4958"/>
    <w:rsid w:val="004C4EB5"/>
    <w:rsid w:val="004C4EFC"/>
    <w:rsid w:val="004D3D3A"/>
    <w:rsid w:val="004D712E"/>
    <w:rsid w:val="004E0310"/>
    <w:rsid w:val="004E1609"/>
    <w:rsid w:val="004E1EE6"/>
    <w:rsid w:val="004E5374"/>
    <w:rsid w:val="004E54CE"/>
    <w:rsid w:val="004E7E3D"/>
    <w:rsid w:val="004F0437"/>
    <w:rsid w:val="004F64B2"/>
    <w:rsid w:val="005012C2"/>
    <w:rsid w:val="00502B4F"/>
    <w:rsid w:val="00505681"/>
    <w:rsid w:val="00506CBE"/>
    <w:rsid w:val="005100BE"/>
    <w:rsid w:val="00511208"/>
    <w:rsid w:val="005117C0"/>
    <w:rsid w:val="005130C5"/>
    <w:rsid w:val="005153F6"/>
    <w:rsid w:val="00515606"/>
    <w:rsid w:val="005166B7"/>
    <w:rsid w:val="00521D7E"/>
    <w:rsid w:val="0052490C"/>
    <w:rsid w:val="00530C66"/>
    <w:rsid w:val="00532284"/>
    <w:rsid w:val="00534E9A"/>
    <w:rsid w:val="005351C2"/>
    <w:rsid w:val="005406DE"/>
    <w:rsid w:val="00541CBF"/>
    <w:rsid w:val="0054346E"/>
    <w:rsid w:val="00547BFB"/>
    <w:rsid w:val="00547F82"/>
    <w:rsid w:val="00554EEC"/>
    <w:rsid w:val="005607AD"/>
    <w:rsid w:val="005608D8"/>
    <w:rsid w:val="00561234"/>
    <w:rsid w:val="00562270"/>
    <w:rsid w:val="005637AD"/>
    <w:rsid w:val="005640F3"/>
    <w:rsid w:val="00564286"/>
    <w:rsid w:val="00567708"/>
    <w:rsid w:val="00573B67"/>
    <w:rsid w:val="0057424D"/>
    <w:rsid w:val="00575946"/>
    <w:rsid w:val="00580503"/>
    <w:rsid w:val="00581219"/>
    <w:rsid w:val="00582562"/>
    <w:rsid w:val="00583599"/>
    <w:rsid w:val="0058522A"/>
    <w:rsid w:val="0058611C"/>
    <w:rsid w:val="00586864"/>
    <w:rsid w:val="00586CAE"/>
    <w:rsid w:val="005870E3"/>
    <w:rsid w:val="005878E2"/>
    <w:rsid w:val="005A084A"/>
    <w:rsid w:val="005A1AF0"/>
    <w:rsid w:val="005A792E"/>
    <w:rsid w:val="005B1CA8"/>
    <w:rsid w:val="005B3BC2"/>
    <w:rsid w:val="005B5219"/>
    <w:rsid w:val="005B65B6"/>
    <w:rsid w:val="005C3691"/>
    <w:rsid w:val="005C4278"/>
    <w:rsid w:val="005C6994"/>
    <w:rsid w:val="005C7C62"/>
    <w:rsid w:val="005D5D4D"/>
    <w:rsid w:val="005D6A11"/>
    <w:rsid w:val="005D70BB"/>
    <w:rsid w:val="005E1810"/>
    <w:rsid w:val="005E1CE0"/>
    <w:rsid w:val="005E614A"/>
    <w:rsid w:val="005F3E5C"/>
    <w:rsid w:val="005F562F"/>
    <w:rsid w:val="00605A69"/>
    <w:rsid w:val="00605F06"/>
    <w:rsid w:val="00606507"/>
    <w:rsid w:val="00611E81"/>
    <w:rsid w:val="00613516"/>
    <w:rsid w:val="00613BB3"/>
    <w:rsid w:val="00616C17"/>
    <w:rsid w:val="00620C17"/>
    <w:rsid w:val="00620ED2"/>
    <w:rsid w:val="0062230B"/>
    <w:rsid w:val="00623007"/>
    <w:rsid w:val="00624D8F"/>
    <w:rsid w:val="0062514F"/>
    <w:rsid w:val="00625351"/>
    <w:rsid w:val="00627875"/>
    <w:rsid w:val="00627CA1"/>
    <w:rsid w:val="00632218"/>
    <w:rsid w:val="00632D3F"/>
    <w:rsid w:val="00633225"/>
    <w:rsid w:val="00635BB1"/>
    <w:rsid w:val="00635D1D"/>
    <w:rsid w:val="006360FB"/>
    <w:rsid w:val="00637274"/>
    <w:rsid w:val="00643176"/>
    <w:rsid w:val="00643F13"/>
    <w:rsid w:val="00646E00"/>
    <w:rsid w:val="00650BE5"/>
    <w:rsid w:val="00650D4B"/>
    <w:rsid w:val="00651F0C"/>
    <w:rsid w:val="00654EE6"/>
    <w:rsid w:val="00656207"/>
    <w:rsid w:val="00656869"/>
    <w:rsid w:val="00656F34"/>
    <w:rsid w:val="00661F6B"/>
    <w:rsid w:val="00662613"/>
    <w:rsid w:val="0066320C"/>
    <w:rsid w:val="006651EE"/>
    <w:rsid w:val="006677AD"/>
    <w:rsid w:val="00667BA3"/>
    <w:rsid w:val="00674B89"/>
    <w:rsid w:val="00676342"/>
    <w:rsid w:val="00682699"/>
    <w:rsid w:val="00682AA7"/>
    <w:rsid w:val="00682C37"/>
    <w:rsid w:val="00682EBD"/>
    <w:rsid w:val="00685A6B"/>
    <w:rsid w:val="00685DF8"/>
    <w:rsid w:val="006909AC"/>
    <w:rsid w:val="006914B5"/>
    <w:rsid w:val="00693FDC"/>
    <w:rsid w:val="006963CF"/>
    <w:rsid w:val="00697640"/>
    <w:rsid w:val="006A0D7B"/>
    <w:rsid w:val="006A4DF6"/>
    <w:rsid w:val="006A5CAC"/>
    <w:rsid w:val="006A6222"/>
    <w:rsid w:val="006B0584"/>
    <w:rsid w:val="006B29FB"/>
    <w:rsid w:val="006B36CA"/>
    <w:rsid w:val="006B5BF2"/>
    <w:rsid w:val="006B5DE2"/>
    <w:rsid w:val="006B71CC"/>
    <w:rsid w:val="006C02DC"/>
    <w:rsid w:val="006C2D10"/>
    <w:rsid w:val="006C4694"/>
    <w:rsid w:val="006C5499"/>
    <w:rsid w:val="006C6AFB"/>
    <w:rsid w:val="006C7946"/>
    <w:rsid w:val="006D049B"/>
    <w:rsid w:val="006D0A14"/>
    <w:rsid w:val="006D0A45"/>
    <w:rsid w:val="006D1D04"/>
    <w:rsid w:val="006D4E80"/>
    <w:rsid w:val="006E1368"/>
    <w:rsid w:val="006E40FB"/>
    <w:rsid w:val="006E6580"/>
    <w:rsid w:val="006E6B6B"/>
    <w:rsid w:val="006F010E"/>
    <w:rsid w:val="006F2AC3"/>
    <w:rsid w:val="006F3880"/>
    <w:rsid w:val="006F4705"/>
    <w:rsid w:val="006F6ADB"/>
    <w:rsid w:val="0070535B"/>
    <w:rsid w:val="00705526"/>
    <w:rsid w:val="007066CA"/>
    <w:rsid w:val="00706FAC"/>
    <w:rsid w:val="0071277C"/>
    <w:rsid w:val="007131C6"/>
    <w:rsid w:val="00716EED"/>
    <w:rsid w:val="007224C3"/>
    <w:rsid w:val="007265DF"/>
    <w:rsid w:val="00726EB1"/>
    <w:rsid w:val="007276FC"/>
    <w:rsid w:val="00730D4D"/>
    <w:rsid w:val="00730F76"/>
    <w:rsid w:val="0073237B"/>
    <w:rsid w:val="00732EEE"/>
    <w:rsid w:val="00741CC3"/>
    <w:rsid w:val="007435E7"/>
    <w:rsid w:val="007437F0"/>
    <w:rsid w:val="00744507"/>
    <w:rsid w:val="00744C21"/>
    <w:rsid w:val="00751A23"/>
    <w:rsid w:val="00753282"/>
    <w:rsid w:val="00754C4F"/>
    <w:rsid w:val="00755451"/>
    <w:rsid w:val="00756239"/>
    <w:rsid w:val="00760290"/>
    <w:rsid w:val="00761CAC"/>
    <w:rsid w:val="00764984"/>
    <w:rsid w:val="00765C41"/>
    <w:rsid w:val="00766638"/>
    <w:rsid w:val="007672AE"/>
    <w:rsid w:val="007840BD"/>
    <w:rsid w:val="007840CF"/>
    <w:rsid w:val="00784F2B"/>
    <w:rsid w:val="0078733A"/>
    <w:rsid w:val="007929AB"/>
    <w:rsid w:val="0079375A"/>
    <w:rsid w:val="00795F3D"/>
    <w:rsid w:val="007A02EE"/>
    <w:rsid w:val="007A04B6"/>
    <w:rsid w:val="007A0CAC"/>
    <w:rsid w:val="007A2BEF"/>
    <w:rsid w:val="007A4AD2"/>
    <w:rsid w:val="007A4EC9"/>
    <w:rsid w:val="007A524F"/>
    <w:rsid w:val="007A65D6"/>
    <w:rsid w:val="007B34AE"/>
    <w:rsid w:val="007B5AD6"/>
    <w:rsid w:val="007C2833"/>
    <w:rsid w:val="007C3001"/>
    <w:rsid w:val="007C3235"/>
    <w:rsid w:val="007C3BB9"/>
    <w:rsid w:val="007D25CC"/>
    <w:rsid w:val="007D5033"/>
    <w:rsid w:val="007D5A1A"/>
    <w:rsid w:val="007D7300"/>
    <w:rsid w:val="007D7B03"/>
    <w:rsid w:val="007E2DDF"/>
    <w:rsid w:val="007E4689"/>
    <w:rsid w:val="007E632B"/>
    <w:rsid w:val="007F1F9E"/>
    <w:rsid w:val="007F5CAF"/>
    <w:rsid w:val="007F607E"/>
    <w:rsid w:val="007F686A"/>
    <w:rsid w:val="007F786E"/>
    <w:rsid w:val="00801243"/>
    <w:rsid w:val="00802D9F"/>
    <w:rsid w:val="00805E52"/>
    <w:rsid w:val="008066CA"/>
    <w:rsid w:val="00807003"/>
    <w:rsid w:val="0080773E"/>
    <w:rsid w:val="0080784F"/>
    <w:rsid w:val="00807DCD"/>
    <w:rsid w:val="00811605"/>
    <w:rsid w:val="00811E89"/>
    <w:rsid w:val="008153E8"/>
    <w:rsid w:val="008237DD"/>
    <w:rsid w:val="0082497D"/>
    <w:rsid w:val="00826E7C"/>
    <w:rsid w:val="00827498"/>
    <w:rsid w:val="0083378F"/>
    <w:rsid w:val="0083566C"/>
    <w:rsid w:val="008367A0"/>
    <w:rsid w:val="00837F60"/>
    <w:rsid w:val="00847648"/>
    <w:rsid w:val="008506E3"/>
    <w:rsid w:val="00850B05"/>
    <w:rsid w:val="008566AA"/>
    <w:rsid w:val="008625CE"/>
    <w:rsid w:val="00863DF9"/>
    <w:rsid w:val="00866329"/>
    <w:rsid w:val="00866E9D"/>
    <w:rsid w:val="00867A59"/>
    <w:rsid w:val="00870CE4"/>
    <w:rsid w:val="00871A88"/>
    <w:rsid w:val="00871E65"/>
    <w:rsid w:val="008724E6"/>
    <w:rsid w:val="00873303"/>
    <w:rsid w:val="00873C2A"/>
    <w:rsid w:val="00874654"/>
    <w:rsid w:val="00874B94"/>
    <w:rsid w:val="00880670"/>
    <w:rsid w:val="00880C57"/>
    <w:rsid w:val="00881F20"/>
    <w:rsid w:val="00881F2A"/>
    <w:rsid w:val="0088752A"/>
    <w:rsid w:val="008920A1"/>
    <w:rsid w:val="0089216C"/>
    <w:rsid w:val="00895AA7"/>
    <w:rsid w:val="008A1BBC"/>
    <w:rsid w:val="008A26EC"/>
    <w:rsid w:val="008A34DB"/>
    <w:rsid w:val="008A6A06"/>
    <w:rsid w:val="008A7F52"/>
    <w:rsid w:val="008B192A"/>
    <w:rsid w:val="008B2A9D"/>
    <w:rsid w:val="008B394B"/>
    <w:rsid w:val="008D2436"/>
    <w:rsid w:val="008D40B9"/>
    <w:rsid w:val="008D4197"/>
    <w:rsid w:val="008D4B22"/>
    <w:rsid w:val="008E1C4F"/>
    <w:rsid w:val="008E3012"/>
    <w:rsid w:val="008E394C"/>
    <w:rsid w:val="008E43A5"/>
    <w:rsid w:val="008E4B1E"/>
    <w:rsid w:val="008E5301"/>
    <w:rsid w:val="008E7477"/>
    <w:rsid w:val="008F018E"/>
    <w:rsid w:val="008F3308"/>
    <w:rsid w:val="008F39BD"/>
    <w:rsid w:val="009027EC"/>
    <w:rsid w:val="00902DEC"/>
    <w:rsid w:val="00903D4F"/>
    <w:rsid w:val="00905807"/>
    <w:rsid w:val="009101B8"/>
    <w:rsid w:val="00910FF7"/>
    <w:rsid w:val="009153E7"/>
    <w:rsid w:val="00915A06"/>
    <w:rsid w:val="009218D8"/>
    <w:rsid w:val="009259A7"/>
    <w:rsid w:val="009271C3"/>
    <w:rsid w:val="00931341"/>
    <w:rsid w:val="00933F95"/>
    <w:rsid w:val="00940CC8"/>
    <w:rsid w:val="00941FDD"/>
    <w:rsid w:val="00944CD6"/>
    <w:rsid w:val="009451F5"/>
    <w:rsid w:val="00952221"/>
    <w:rsid w:val="00952DEB"/>
    <w:rsid w:val="009559AC"/>
    <w:rsid w:val="0095685E"/>
    <w:rsid w:val="00956BDE"/>
    <w:rsid w:val="00957608"/>
    <w:rsid w:val="009576AC"/>
    <w:rsid w:val="009656E8"/>
    <w:rsid w:val="00966954"/>
    <w:rsid w:val="00967750"/>
    <w:rsid w:val="00973A10"/>
    <w:rsid w:val="00976CA5"/>
    <w:rsid w:val="00981606"/>
    <w:rsid w:val="00982098"/>
    <w:rsid w:val="0098671C"/>
    <w:rsid w:val="00987D1B"/>
    <w:rsid w:val="0099052E"/>
    <w:rsid w:val="00992D9C"/>
    <w:rsid w:val="00993E95"/>
    <w:rsid w:val="00995AAA"/>
    <w:rsid w:val="00995B42"/>
    <w:rsid w:val="009A0A0E"/>
    <w:rsid w:val="009A12E2"/>
    <w:rsid w:val="009A2D02"/>
    <w:rsid w:val="009A41D2"/>
    <w:rsid w:val="009A4BF1"/>
    <w:rsid w:val="009A6207"/>
    <w:rsid w:val="009B0F06"/>
    <w:rsid w:val="009B148F"/>
    <w:rsid w:val="009B2E11"/>
    <w:rsid w:val="009B374E"/>
    <w:rsid w:val="009B4942"/>
    <w:rsid w:val="009B5D64"/>
    <w:rsid w:val="009B76D6"/>
    <w:rsid w:val="009C3801"/>
    <w:rsid w:val="009C4404"/>
    <w:rsid w:val="009C7C52"/>
    <w:rsid w:val="009D0BC5"/>
    <w:rsid w:val="009D393B"/>
    <w:rsid w:val="009D5D17"/>
    <w:rsid w:val="009D60B5"/>
    <w:rsid w:val="009D7B1A"/>
    <w:rsid w:val="009F2D9A"/>
    <w:rsid w:val="009F3FB5"/>
    <w:rsid w:val="009F4FAB"/>
    <w:rsid w:val="009F516E"/>
    <w:rsid w:val="00A00525"/>
    <w:rsid w:val="00A005C6"/>
    <w:rsid w:val="00A04911"/>
    <w:rsid w:val="00A050A7"/>
    <w:rsid w:val="00A127FA"/>
    <w:rsid w:val="00A12BEC"/>
    <w:rsid w:val="00A14096"/>
    <w:rsid w:val="00A1620F"/>
    <w:rsid w:val="00A16D18"/>
    <w:rsid w:val="00A1795D"/>
    <w:rsid w:val="00A266A8"/>
    <w:rsid w:val="00A31464"/>
    <w:rsid w:val="00A31A86"/>
    <w:rsid w:val="00A326A8"/>
    <w:rsid w:val="00A34425"/>
    <w:rsid w:val="00A3605A"/>
    <w:rsid w:val="00A3676B"/>
    <w:rsid w:val="00A37186"/>
    <w:rsid w:val="00A40321"/>
    <w:rsid w:val="00A43B6E"/>
    <w:rsid w:val="00A54083"/>
    <w:rsid w:val="00A5707E"/>
    <w:rsid w:val="00A57534"/>
    <w:rsid w:val="00A57ACB"/>
    <w:rsid w:val="00A6713C"/>
    <w:rsid w:val="00A70ECD"/>
    <w:rsid w:val="00A7109E"/>
    <w:rsid w:val="00A72006"/>
    <w:rsid w:val="00A72716"/>
    <w:rsid w:val="00A76831"/>
    <w:rsid w:val="00A7778C"/>
    <w:rsid w:val="00A77825"/>
    <w:rsid w:val="00A77D87"/>
    <w:rsid w:val="00A8000C"/>
    <w:rsid w:val="00A8469B"/>
    <w:rsid w:val="00A926F3"/>
    <w:rsid w:val="00A927B4"/>
    <w:rsid w:val="00A932DB"/>
    <w:rsid w:val="00A93673"/>
    <w:rsid w:val="00A938C2"/>
    <w:rsid w:val="00A94A01"/>
    <w:rsid w:val="00A96508"/>
    <w:rsid w:val="00AA0D62"/>
    <w:rsid w:val="00AA1DE1"/>
    <w:rsid w:val="00AB0BC5"/>
    <w:rsid w:val="00AB0DF4"/>
    <w:rsid w:val="00AB1AE4"/>
    <w:rsid w:val="00AB6584"/>
    <w:rsid w:val="00AC1351"/>
    <w:rsid w:val="00AC37A0"/>
    <w:rsid w:val="00AC3939"/>
    <w:rsid w:val="00AC4202"/>
    <w:rsid w:val="00AC4A0D"/>
    <w:rsid w:val="00AC5D10"/>
    <w:rsid w:val="00AC608F"/>
    <w:rsid w:val="00AD184C"/>
    <w:rsid w:val="00AD2C11"/>
    <w:rsid w:val="00AE13BC"/>
    <w:rsid w:val="00AE26C0"/>
    <w:rsid w:val="00AE2A48"/>
    <w:rsid w:val="00AE2B1A"/>
    <w:rsid w:val="00AE2FF9"/>
    <w:rsid w:val="00AE4D63"/>
    <w:rsid w:val="00AE6BED"/>
    <w:rsid w:val="00AF16B3"/>
    <w:rsid w:val="00AF2AD6"/>
    <w:rsid w:val="00AF5070"/>
    <w:rsid w:val="00AF54A6"/>
    <w:rsid w:val="00AF581C"/>
    <w:rsid w:val="00AF6800"/>
    <w:rsid w:val="00AF76C8"/>
    <w:rsid w:val="00AF77BB"/>
    <w:rsid w:val="00B011FD"/>
    <w:rsid w:val="00B022C7"/>
    <w:rsid w:val="00B02A68"/>
    <w:rsid w:val="00B02B0C"/>
    <w:rsid w:val="00B03362"/>
    <w:rsid w:val="00B03C9B"/>
    <w:rsid w:val="00B057E7"/>
    <w:rsid w:val="00B05B8E"/>
    <w:rsid w:val="00B15C55"/>
    <w:rsid w:val="00B166B6"/>
    <w:rsid w:val="00B16D8E"/>
    <w:rsid w:val="00B21258"/>
    <w:rsid w:val="00B2189C"/>
    <w:rsid w:val="00B2271E"/>
    <w:rsid w:val="00B243D6"/>
    <w:rsid w:val="00B2508C"/>
    <w:rsid w:val="00B268B2"/>
    <w:rsid w:val="00B3005A"/>
    <w:rsid w:val="00B33BFC"/>
    <w:rsid w:val="00B3418B"/>
    <w:rsid w:val="00B37DCC"/>
    <w:rsid w:val="00B41ECA"/>
    <w:rsid w:val="00B431FE"/>
    <w:rsid w:val="00B4450C"/>
    <w:rsid w:val="00B44E98"/>
    <w:rsid w:val="00B450F2"/>
    <w:rsid w:val="00B46D05"/>
    <w:rsid w:val="00B46E84"/>
    <w:rsid w:val="00B52154"/>
    <w:rsid w:val="00B55F2F"/>
    <w:rsid w:val="00B60274"/>
    <w:rsid w:val="00B63CE2"/>
    <w:rsid w:val="00B64CD0"/>
    <w:rsid w:val="00B654A6"/>
    <w:rsid w:val="00B67815"/>
    <w:rsid w:val="00B70AC5"/>
    <w:rsid w:val="00B72062"/>
    <w:rsid w:val="00B72AAB"/>
    <w:rsid w:val="00B73B9D"/>
    <w:rsid w:val="00B76FC5"/>
    <w:rsid w:val="00B77EF6"/>
    <w:rsid w:val="00B81841"/>
    <w:rsid w:val="00B81D25"/>
    <w:rsid w:val="00B864CD"/>
    <w:rsid w:val="00B878BC"/>
    <w:rsid w:val="00B902C9"/>
    <w:rsid w:val="00B93FA9"/>
    <w:rsid w:val="00B96DDC"/>
    <w:rsid w:val="00B97995"/>
    <w:rsid w:val="00BA0A9E"/>
    <w:rsid w:val="00BA51C3"/>
    <w:rsid w:val="00BB0ABC"/>
    <w:rsid w:val="00BB1416"/>
    <w:rsid w:val="00BB4E1E"/>
    <w:rsid w:val="00BB6918"/>
    <w:rsid w:val="00BB6CB5"/>
    <w:rsid w:val="00BB768F"/>
    <w:rsid w:val="00BC0C9A"/>
    <w:rsid w:val="00BC20AE"/>
    <w:rsid w:val="00BC24F4"/>
    <w:rsid w:val="00BC3103"/>
    <w:rsid w:val="00BC335D"/>
    <w:rsid w:val="00BC4A6D"/>
    <w:rsid w:val="00BC7F8C"/>
    <w:rsid w:val="00BD6B41"/>
    <w:rsid w:val="00BD6C89"/>
    <w:rsid w:val="00BE0A51"/>
    <w:rsid w:val="00BE1084"/>
    <w:rsid w:val="00BE15B6"/>
    <w:rsid w:val="00BE4B20"/>
    <w:rsid w:val="00BF0A42"/>
    <w:rsid w:val="00BF1126"/>
    <w:rsid w:val="00BF2784"/>
    <w:rsid w:val="00BF4E4B"/>
    <w:rsid w:val="00BF50F7"/>
    <w:rsid w:val="00BF590B"/>
    <w:rsid w:val="00BF5CB7"/>
    <w:rsid w:val="00BF691D"/>
    <w:rsid w:val="00BF6A96"/>
    <w:rsid w:val="00BF7C38"/>
    <w:rsid w:val="00C01CC4"/>
    <w:rsid w:val="00C0484D"/>
    <w:rsid w:val="00C07BF4"/>
    <w:rsid w:val="00C07F6E"/>
    <w:rsid w:val="00C1003C"/>
    <w:rsid w:val="00C100BF"/>
    <w:rsid w:val="00C109FF"/>
    <w:rsid w:val="00C1352B"/>
    <w:rsid w:val="00C13FBD"/>
    <w:rsid w:val="00C15DEA"/>
    <w:rsid w:val="00C160D6"/>
    <w:rsid w:val="00C17297"/>
    <w:rsid w:val="00C21A61"/>
    <w:rsid w:val="00C234B9"/>
    <w:rsid w:val="00C25F51"/>
    <w:rsid w:val="00C3668A"/>
    <w:rsid w:val="00C372E6"/>
    <w:rsid w:val="00C402CF"/>
    <w:rsid w:val="00C41B3E"/>
    <w:rsid w:val="00C41F38"/>
    <w:rsid w:val="00C42544"/>
    <w:rsid w:val="00C426A0"/>
    <w:rsid w:val="00C43817"/>
    <w:rsid w:val="00C44DA1"/>
    <w:rsid w:val="00C453D5"/>
    <w:rsid w:val="00C51C82"/>
    <w:rsid w:val="00C51F93"/>
    <w:rsid w:val="00C52BCE"/>
    <w:rsid w:val="00C54294"/>
    <w:rsid w:val="00C55C05"/>
    <w:rsid w:val="00C60F5A"/>
    <w:rsid w:val="00C61EB6"/>
    <w:rsid w:val="00C6230B"/>
    <w:rsid w:val="00C62466"/>
    <w:rsid w:val="00C629EC"/>
    <w:rsid w:val="00C6502B"/>
    <w:rsid w:val="00C65F9A"/>
    <w:rsid w:val="00C66C97"/>
    <w:rsid w:val="00C7054D"/>
    <w:rsid w:val="00C70E9A"/>
    <w:rsid w:val="00C7491B"/>
    <w:rsid w:val="00C80EF2"/>
    <w:rsid w:val="00C823C2"/>
    <w:rsid w:val="00C83503"/>
    <w:rsid w:val="00C836D4"/>
    <w:rsid w:val="00C842A0"/>
    <w:rsid w:val="00C93463"/>
    <w:rsid w:val="00C944C2"/>
    <w:rsid w:val="00C95A26"/>
    <w:rsid w:val="00C9787B"/>
    <w:rsid w:val="00CA3F04"/>
    <w:rsid w:val="00CA43A9"/>
    <w:rsid w:val="00CA55CB"/>
    <w:rsid w:val="00CA6614"/>
    <w:rsid w:val="00CA6850"/>
    <w:rsid w:val="00CA798F"/>
    <w:rsid w:val="00CB130E"/>
    <w:rsid w:val="00CB1A94"/>
    <w:rsid w:val="00CB31F8"/>
    <w:rsid w:val="00CB359C"/>
    <w:rsid w:val="00CB732D"/>
    <w:rsid w:val="00CC097D"/>
    <w:rsid w:val="00CC4DDA"/>
    <w:rsid w:val="00CC6279"/>
    <w:rsid w:val="00CD16B0"/>
    <w:rsid w:val="00CD2161"/>
    <w:rsid w:val="00CD7864"/>
    <w:rsid w:val="00CE01FC"/>
    <w:rsid w:val="00CE0CAB"/>
    <w:rsid w:val="00CE1E86"/>
    <w:rsid w:val="00CE5A4D"/>
    <w:rsid w:val="00CE76B2"/>
    <w:rsid w:val="00CF13E5"/>
    <w:rsid w:val="00CF154F"/>
    <w:rsid w:val="00CF19E0"/>
    <w:rsid w:val="00CF2472"/>
    <w:rsid w:val="00CF3358"/>
    <w:rsid w:val="00CF42AA"/>
    <w:rsid w:val="00CF5741"/>
    <w:rsid w:val="00CF6390"/>
    <w:rsid w:val="00D0238B"/>
    <w:rsid w:val="00D03240"/>
    <w:rsid w:val="00D04F74"/>
    <w:rsid w:val="00D06F20"/>
    <w:rsid w:val="00D07121"/>
    <w:rsid w:val="00D107EE"/>
    <w:rsid w:val="00D12B19"/>
    <w:rsid w:val="00D15772"/>
    <w:rsid w:val="00D16017"/>
    <w:rsid w:val="00D16691"/>
    <w:rsid w:val="00D17D6A"/>
    <w:rsid w:val="00D2628C"/>
    <w:rsid w:val="00D31830"/>
    <w:rsid w:val="00D33CF3"/>
    <w:rsid w:val="00D36D6C"/>
    <w:rsid w:val="00D379F2"/>
    <w:rsid w:val="00D4037A"/>
    <w:rsid w:val="00D47549"/>
    <w:rsid w:val="00D504C0"/>
    <w:rsid w:val="00D54CAF"/>
    <w:rsid w:val="00D64168"/>
    <w:rsid w:val="00D64625"/>
    <w:rsid w:val="00D64E60"/>
    <w:rsid w:val="00D64F10"/>
    <w:rsid w:val="00D65BA3"/>
    <w:rsid w:val="00D673C3"/>
    <w:rsid w:val="00D67423"/>
    <w:rsid w:val="00D72D6E"/>
    <w:rsid w:val="00D77ACE"/>
    <w:rsid w:val="00D81A4D"/>
    <w:rsid w:val="00D82BA2"/>
    <w:rsid w:val="00D8400E"/>
    <w:rsid w:val="00D94EE2"/>
    <w:rsid w:val="00DA4C03"/>
    <w:rsid w:val="00DA606B"/>
    <w:rsid w:val="00DA663D"/>
    <w:rsid w:val="00DA7B75"/>
    <w:rsid w:val="00DB0A2F"/>
    <w:rsid w:val="00DB54F6"/>
    <w:rsid w:val="00DB6AA3"/>
    <w:rsid w:val="00DB7A38"/>
    <w:rsid w:val="00DC06FE"/>
    <w:rsid w:val="00DC1725"/>
    <w:rsid w:val="00DC194D"/>
    <w:rsid w:val="00DC39AC"/>
    <w:rsid w:val="00DC39BF"/>
    <w:rsid w:val="00DC5AA9"/>
    <w:rsid w:val="00DC77E4"/>
    <w:rsid w:val="00DD2858"/>
    <w:rsid w:val="00DD3C6D"/>
    <w:rsid w:val="00DD5448"/>
    <w:rsid w:val="00DD70B6"/>
    <w:rsid w:val="00DE3058"/>
    <w:rsid w:val="00DE3580"/>
    <w:rsid w:val="00DE43F7"/>
    <w:rsid w:val="00DE61E7"/>
    <w:rsid w:val="00DE7109"/>
    <w:rsid w:val="00DE7DD6"/>
    <w:rsid w:val="00DF7F36"/>
    <w:rsid w:val="00E0018C"/>
    <w:rsid w:val="00E007AD"/>
    <w:rsid w:val="00E01BBE"/>
    <w:rsid w:val="00E01C9C"/>
    <w:rsid w:val="00E0424D"/>
    <w:rsid w:val="00E07190"/>
    <w:rsid w:val="00E074A2"/>
    <w:rsid w:val="00E11C4A"/>
    <w:rsid w:val="00E11D59"/>
    <w:rsid w:val="00E1254C"/>
    <w:rsid w:val="00E13400"/>
    <w:rsid w:val="00E13907"/>
    <w:rsid w:val="00E156B5"/>
    <w:rsid w:val="00E21935"/>
    <w:rsid w:val="00E2707E"/>
    <w:rsid w:val="00E30926"/>
    <w:rsid w:val="00E3231F"/>
    <w:rsid w:val="00E33722"/>
    <w:rsid w:val="00E353E0"/>
    <w:rsid w:val="00E355ED"/>
    <w:rsid w:val="00E3576E"/>
    <w:rsid w:val="00E37D0F"/>
    <w:rsid w:val="00E40AA5"/>
    <w:rsid w:val="00E4130F"/>
    <w:rsid w:val="00E415E6"/>
    <w:rsid w:val="00E549B2"/>
    <w:rsid w:val="00E5721E"/>
    <w:rsid w:val="00E6017D"/>
    <w:rsid w:val="00E61AC9"/>
    <w:rsid w:val="00E62F3C"/>
    <w:rsid w:val="00E64A49"/>
    <w:rsid w:val="00E66BB0"/>
    <w:rsid w:val="00E6745D"/>
    <w:rsid w:val="00E67813"/>
    <w:rsid w:val="00E7495D"/>
    <w:rsid w:val="00E764F1"/>
    <w:rsid w:val="00E77EA7"/>
    <w:rsid w:val="00E867CB"/>
    <w:rsid w:val="00E9028A"/>
    <w:rsid w:val="00E902CB"/>
    <w:rsid w:val="00E94A77"/>
    <w:rsid w:val="00E962B7"/>
    <w:rsid w:val="00E96D2F"/>
    <w:rsid w:val="00E972FA"/>
    <w:rsid w:val="00E97FED"/>
    <w:rsid w:val="00EA250A"/>
    <w:rsid w:val="00EA2770"/>
    <w:rsid w:val="00EA6C39"/>
    <w:rsid w:val="00EB0112"/>
    <w:rsid w:val="00EB116E"/>
    <w:rsid w:val="00EB5D9B"/>
    <w:rsid w:val="00EB7E42"/>
    <w:rsid w:val="00ED0A69"/>
    <w:rsid w:val="00ED0DCE"/>
    <w:rsid w:val="00ED11BC"/>
    <w:rsid w:val="00ED3D75"/>
    <w:rsid w:val="00ED5604"/>
    <w:rsid w:val="00EE26AB"/>
    <w:rsid w:val="00EE5BEB"/>
    <w:rsid w:val="00EE66F1"/>
    <w:rsid w:val="00EE6755"/>
    <w:rsid w:val="00EF52F8"/>
    <w:rsid w:val="00F01921"/>
    <w:rsid w:val="00F0250F"/>
    <w:rsid w:val="00F0322E"/>
    <w:rsid w:val="00F0710D"/>
    <w:rsid w:val="00F11218"/>
    <w:rsid w:val="00F15A52"/>
    <w:rsid w:val="00F20919"/>
    <w:rsid w:val="00F26B16"/>
    <w:rsid w:val="00F32C41"/>
    <w:rsid w:val="00F36B07"/>
    <w:rsid w:val="00F37333"/>
    <w:rsid w:val="00F37C70"/>
    <w:rsid w:val="00F40CA4"/>
    <w:rsid w:val="00F41C03"/>
    <w:rsid w:val="00F42AF3"/>
    <w:rsid w:val="00F45FF7"/>
    <w:rsid w:val="00F46738"/>
    <w:rsid w:val="00F52266"/>
    <w:rsid w:val="00F54ADD"/>
    <w:rsid w:val="00F568F9"/>
    <w:rsid w:val="00F56D5D"/>
    <w:rsid w:val="00F60BD5"/>
    <w:rsid w:val="00F61082"/>
    <w:rsid w:val="00F65362"/>
    <w:rsid w:val="00F7070E"/>
    <w:rsid w:val="00F71298"/>
    <w:rsid w:val="00F71EF6"/>
    <w:rsid w:val="00F72EAE"/>
    <w:rsid w:val="00F72ECF"/>
    <w:rsid w:val="00F816C1"/>
    <w:rsid w:val="00F821DA"/>
    <w:rsid w:val="00F85575"/>
    <w:rsid w:val="00F85F2E"/>
    <w:rsid w:val="00F91B30"/>
    <w:rsid w:val="00F948B8"/>
    <w:rsid w:val="00FA06A3"/>
    <w:rsid w:val="00FA1299"/>
    <w:rsid w:val="00FA4291"/>
    <w:rsid w:val="00FA44F8"/>
    <w:rsid w:val="00FA6074"/>
    <w:rsid w:val="00FA60E6"/>
    <w:rsid w:val="00FB0D42"/>
    <w:rsid w:val="00FB2337"/>
    <w:rsid w:val="00FB2535"/>
    <w:rsid w:val="00FB3F9D"/>
    <w:rsid w:val="00FB57A6"/>
    <w:rsid w:val="00FB6E3B"/>
    <w:rsid w:val="00FB7C01"/>
    <w:rsid w:val="00FC0BF3"/>
    <w:rsid w:val="00FC339A"/>
    <w:rsid w:val="00FD6932"/>
    <w:rsid w:val="00FD7847"/>
    <w:rsid w:val="00FE4C10"/>
    <w:rsid w:val="00FE4CD4"/>
    <w:rsid w:val="00FF07E1"/>
    <w:rsid w:val="00FF13D3"/>
    <w:rsid w:val="00FF2A26"/>
    <w:rsid w:val="00FF43CD"/>
    <w:rsid w:val="00FF7919"/>
    <w:rsid w:val="01327BC8"/>
    <w:rsid w:val="02F41F14"/>
    <w:rsid w:val="03EBAB45"/>
    <w:rsid w:val="0414765B"/>
    <w:rsid w:val="042C68A6"/>
    <w:rsid w:val="048FEF75"/>
    <w:rsid w:val="056A4D9D"/>
    <w:rsid w:val="05DFA4F4"/>
    <w:rsid w:val="05E19B1F"/>
    <w:rsid w:val="0605ECEB"/>
    <w:rsid w:val="062BBFD6"/>
    <w:rsid w:val="06874F1C"/>
    <w:rsid w:val="0710140E"/>
    <w:rsid w:val="0737B027"/>
    <w:rsid w:val="07830329"/>
    <w:rsid w:val="085396DC"/>
    <w:rsid w:val="091B56A4"/>
    <w:rsid w:val="0946B277"/>
    <w:rsid w:val="099B68AF"/>
    <w:rsid w:val="09AAF45C"/>
    <w:rsid w:val="0A217E3C"/>
    <w:rsid w:val="0ABD03E8"/>
    <w:rsid w:val="0AE4F25A"/>
    <w:rsid w:val="0AF5E3A8"/>
    <w:rsid w:val="0B0A319D"/>
    <w:rsid w:val="0B41360A"/>
    <w:rsid w:val="0BFCE814"/>
    <w:rsid w:val="0C6129F9"/>
    <w:rsid w:val="0CA2EEE0"/>
    <w:rsid w:val="0CF4AFFD"/>
    <w:rsid w:val="0D1A39CB"/>
    <w:rsid w:val="0D6424AB"/>
    <w:rsid w:val="0D6F45E4"/>
    <w:rsid w:val="0D90C81E"/>
    <w:rsid w:val="0D9B27F7"/>
    <w:rsid w:val="0DA73B64"/>
    <w:rsid w:val="0E6D64AF"/>
    <w:rsid w:val="0E9A82C8"/>
    <w:rsid w:val="0FC954CB"/>
    <w:rsid w:val="10B52A38"/>
    <w:rsid w:val="11766003"/>
    <w:rsid w:val="1265316A"/>
    <w:rsid w:val="129DABAA"/>
    <w:rsid w:val="12B266DB"/>
    <w:rsid w:val="1319BA63"/>
    <w:rsid w:val="143567ED"/>
    <w:rsid w:val="144FC8F1"/>
    <w:rsid w:val="14A6133F"/>
    <w:rsid w:val="16C40765"/>
    <w:rsid w:val="16C7FFCD"/>
    <w:rsid w:val="17EF4E90"/>
    <w:rsid w:val="181B5F96"/>
    <w:rsid w:val="184CA97D"/>
    <w:rsid w:val="186C9C28"/>
    <w:rsid w:val="192CD497"/>
    <w:rsid w:val="1941EF4B"/>
    <w:rsid w:val="1965BB55"/>
    <w:rsid w:val="1AEA6134"/>
    <w:rsid w:val="1B673B0C"/>
    <w:rsid w:val="1BF64381"/>
    <w:rsid w:val="1C30729F"/>
    <w:rsid w:val="1C332947"/>
    <w:rsid w:val="1C7405BE"/>
    <w:rsid w:val="1CCDAE53"/>
    <w:rsid w:val="1E226D3C"/>
    <w:rsid w:val="1E43A834"/>
    <w:rsid w:val="1E6A575A"/>
    <w:rsid w:val="1F9D1BF4"/>
    <w:rsid w:val="1F9FE03D"/>
    <w:rsid w:val="20338601"/>
    <w:rsid w:val="20A43140"/>
    <w:rsid w:val="20B1E937"/>
    <w:rsid w:val="20EFB498"/>
    <w:rsid w:val="217523F3"/>
    <w:rsid w:val="21A0146B"/>
    <w:rsid w:val="21D7D4AE"/>
    <w:rsid w:val="21FFBAB8"/>
    <w:rsid w:val="22900047"/>
    <w:rsid w:val="2310F454"/>
    <w:rsid w:val="237BF257"/>
    <w:rsid w:val="23B2F74A"/>
    <w:rsid w:val="24C203C2"/>
    <w:rsid w:val="24C4248F"/>
    <w:rsid w:val="251CE190"/>
    <w:rsid w:val="2572BEF0"/>
    <w:rsid w:val="25A64924"/>
    <w:rsid w:val="25BC2EEC"/>
    <w:rsid w:val="26489516"/>
    <w:rsid w:val="273DA2A4"/>
    <w:rsid w:val="275DCF7D"/>
    <w:rsid w:val="27FC6B81"/>
    <w:rsid w:val="28484FEC"/>
    <w:rsid w:val="286C30C3"/>
    <w:rsid w:val="2919EF68"/>
    <w:rsid w:val="295E5699"/>
    <w:rsid w:val="2A34D597"/>
    <w:rsid w:val="2A5881C3"/>
    <w:rsid w:val="2B4E0128"/>
    <w:rsid w:val="2B630959"/>
    <w:rsid w:val="2B8A7D0D"/>
    <w:rsid w:val="2B927FC1"/>
    <w:rsid w:val="2B9E932E"/>
    <w:rsid w:val="2C550601"/>
    <w:rsid w:val="2C96C2E4"/>
    <w:rsid w:val="2CC10EBB"/>
    <w:rsid w:val="2CC748EE"/>
    <w:rsid w:val="2CCB8266"/>
    <w:rsid w:val="2DDECFC3"/>
    <w:rsid w:val="2E1AAAB4"/>
    <w:rsid w:val="2E84B8DE"/>
    <w:rsid w:val="2EB1260A"/>
    <w:rsid w:val="2F3BAF65"/>
    <w:rsid w:val="2F45A16B"/>
    <w:rsid w:val="2F4D2B6A"/>
    <w:rsid w:val="30B15A38"/>
    <w:rsid w:val="30D392F4"/>
    <w:rsid w:val="30DB8406"/>
    <w:rsid w:val="317A8F28"/>
    <w:rsid w:val="32190070"/>
    <w:rsid w:val="321CBDE3"/>
    <w:rsid w:val="322051D1"/>
    <w:rsid w:val="32516ED6"/>
    <w:rsid w:val="332EEFAD"/>
    <w:rsid w:val="3396F0F3"/>
    <w:rsid w:val="33AEE36A"/>
    <w:rsid w:val="34776343"/>
    <w:rsid w:val="36805117"/>
    <w:rsid w:val="37938E02"/>
    <w:rsid w:val="3811E91B"/>
    <w:rsid w:val="385D86DC"/>
    <w:rsid w:val="38DB48DA"/>
    <w:rsid w:val="38F37021"/>
    <w:rsid w:val="38FB4F82"/>
    <w:rsid w:val="39113A99"/>
    <w:rsid w:val="39D8A7F6"/>
    <w:rsid w:val="3A5E329C"/>
    <w:rsid w:val="3A885412"/>
    <w:rsid w:val="3AE0055F"/>
    <w:rsid w:val="3B588702"/>
    <w:rsid w:val="3B60F66A"/>
    <w:rsid w:val="3B61A9A4"/>
    <w:rsid w:val="3B97EE9B"/>
    <w:rsid w:val="3BC1E2D5"/>
    <w:rsid w:val="3C2CA627"/>
    <w:rsid w:val="3C7A085A"/>
    <w:rsid w:val="3D74757A"/>
    <w:rsid w:val="3DA894FA"/>
    <w:rsid w:val="3EC6BCD4"/>
    <w:rsid w:val="3F87C16A"/>
    <w:rsid w:val="40213478"/>
    <w:rsid w:val="405B5F63"/>
    <w:rsid w:val="409553F8"/>
    <w:rsid w:val="40F79596"/>
    <w:rsid w:val="40FD5119"/>
    <w:rsid w:val="416ECE5A"/>
    <w:rsid w:val="4196420E"/>
    <w:rsid w:val="41DEC0CF"/>
    <w:rsid w:val="421D89A6"/>
    <w:rsid w:val="4227351D"/>
    <w:rsid w:val="4236B913"/>
    <w:rsid w:val="423E432B"/>
    <w:rsid w:val="424E661E"/>
    <w:rsid w:val="42B95B8C"/>
    <w:rsid w:val="42C06448"/>
    <w:rsid w:val="42C82DC6"/>
    <w:rsid w:val="43482DA2"/>
    <w:rsid w:val="435CC5B6"/>
    <w:rsid w:val="437F84D7"/>
    <w:rsid w:val="442AF463"/>
    <w:rsid w:val="442D29C5"/>
    <w:rsid w:val="4451C49A"/>
    <w:rsid w:val="4493193B"/>
    <w:rsid w:val="44BBF2A9"/>
    <w:rsid w:val="44BF6903"/>
    <w:rsid w:val="44E3FE03"/>
    <w:rsid w:val="45CB06B9"/>
    <w:rsid w:val="45EEE03C"/>
    <w:rsid w:val="462EE99C"/>
    <w:rsid w:val="46ABB37C"/>
    <w:rsid w:val="4704957C"/>
    <w:rsid w:val="47389025"/>
    <w:rsid w:val="473C73E6"/>
    <w:rsid w:val="473C7B02"/>
    <w:rsid w:val="4766D71A"/>
    <w:rsid w:val="479419DD"/>
    <w:rsid w:val="47D9E085"/>
    <w:rsid w:val="4827940A"/>
    <w:rsid w:val="4902A77B"/>
    <w:rsid w:val="49722780"/>
    <w:rsid w:val="498807ED"/>
    <w:rsid w:val="4A214779"/>
    <w:rsid w:val="4A33049B"/>
    <w:rsid w:val="4A66035B"/>
    <w:rsid w:val="4A9E77DC"/>
    <w:rsid w:val="4AA6F064"/>
    <w:rsid w:val="4ADBFC63"/>
    <w:rsid w:val="4AEC64EC"/>
    <w:rsid w:val="4AF99880"/>
    <w:rsid w:val="4B060F2A"/>
    <w:rsid w:val="4B22C621"/>
    <w:rsid w:val="4B533F87"/>
    <w:rsid w:val="4BDD3049"/>
    <w:rsid w:val="4C1CDDEB"/>
    <w:rsid w:val="4C290D66"/>
    <w:rsid w:val="4C3A483D"/>
    <w:rsid w:val="4D03A7FC"/>
    <w:rsid w:val="4D313856"/>
    <w:rsid w:val="4DD6189E"/>
    <w:rsid w:val="4E166236"/>
    <w:rsid w:val="4E4BBF20"/>
    <w:rsid w:val="4E8AE049"/>
    <w:rsid w:val="4E9365E6"/>
    <w:rsid w:val="4E9F785D"/>
    <w:rsid w:val="4EDA9A68"/>
    <w:rsid w:val="4F704235"/>
    <w:rsid w:val="50999AFF"/>
    <w:rsid w:val="50A15516"/>
    <w:rsid w:val="50F04F0E"/>
    <w:rsid w:val="51A958AE"/>
    <w:rsid w:val="525486EB"/>
    <w:rsid w:val="527EB51A"/>
    <w:rsid w:val="52B6BEC4"/>
    <w:rsid w:val="52E7CDAD"/>
    <w:rsid w:val="53065AC4"/>
    <w:rsid w:val="5329269E"/>
    <w:rsid w:val="541BD26F"/>
    <w:rsid w:val="5453FA61"/>
    <w:rsid w:val="54605B8C"/>
    <w:rsid w:val="54BB1B71"/>
    <w:rsid w:val="54E0F970"/>
    <w:rsid w:val="5516A767"/>
    <w:rsid w:val="5527A40F"/>
    <w:rsid w:val="552F6C3D"/>
    <w:rsid w:val="56009625"/>
    <w:rsid w:val="56160092"/>
    <w:rsid w:val="575597A0"/>
    <w:rsid w:val="576BC00D"/>
    <w:rsid w:val="578524D8"/>
    <w:rsid w:val="57F553DC"/>
    <w:rsid w:val="5812D8F0"/>
    <w:rsid w:val="581F49D5"/>
    <w:rsid w:val="58B487F1"/>
    <w:rsid w:val="5918CB45"/>
    <w:rsid w:val="5976D992"/>
    <w:rsid w:val="59CB311E"/>
    <w:rsid w:val="59E22B04"/>
    <w:rsid w:val="5AD6738B"/>
    <w:rsid w:val="5B130321"/>
    <w:rsid w:val="5C457C02"/>
    <w:rsid w:val="5C916243"/>
    <w:rsid w:val="5D1F09F3"/>
    <w:rsid w:val="5D21B94C"/>
    <w:rsid w:val="5DD20C13"/>
    <w:rsid w:val="5DE70B51"/>
    <w:rsid w:val="5DEA1C03"/>
    <w:rsid w:val="5DF4665C"/>
    <w:rsid w:val="5E4087E2"/>
    <w:rsid w:val="5E4D6AE0"/>
    <w:rsid w:val="5ED64E83"/>
    <w:rsid w:val="5F115FAE"/>
    <w:rsid w:val="6041C30A"/>
    <w:rsid w:val="60595A0E"/>
    <w:rsid w:val="613F45C6"/>
    <w:rsid w:val="62496A56"/>
    <w:rsid w:val="62EFDDF8"/>
    <w:rsid w:val="6321CA2A"/>
    <w:rsid w:val="6349EC00"/>
    <w:rsid w:val="63909749"/>
    <w:rsid w:val="63B1FB64"/>
    <w:rsid w:val="63EB9F6A"/>
    <w:rsid w:val="647408D8"/>
    <w:rsid w:val="64EC2A58"/>
    <w:rsid w:val="65549382"/>
    <w:rsid w:val="66B47E91"/>
    <w:rsid w:val="67A33628"/>
    <w:rsid w:val="67B30C7E"/>
    <w:rsid w:val="67B689D8"/>
    <w:rsid w:val="6857C223"/>
    <w:rsid w:val="685D5B25"/>
    <w:rsid w:val="68AE616F"/>
    <w:rsid w:val="693F0689"/>
    <w:rsid w:val="69970030"/>
    <w:rsid w:val="699C0BE7"/>
    <w:rsid w:val="6A11772B"/>
    <w:rsid w:val="6A692CF1"/>
    <w:rsid w:val="6A7ADB1D"/>
    <w:rsid w:val="6A987F62"/>
    <w:rsid w:val="6ABB9714"/>
    <w:rsid w:val="6B7DF6C2"/>
    <w:rsid w:val="6B9C0CB5"/>
    <w:rsid w:val="6BC8EFD9"/>
    <w:rsid w:val="6CED9A8F"/>
    <w:rsid w:val="6D19C723"/>
    <w:rsid w:val="6D37DD16"/>
    <w:rsid w:val="6D412A67"/>
    <w:rsid w:val="6D7F6E53"/>
    <w:rsid w:val="6E059049"/>
    <w:rsid w:val="6E3FBF67"/>
    <w:rsid w:val="6E69D22E"/>
    <w:rsid w:val="6EB59784"/>
    <w:rsid w:val="6F1B3EB4"/>
    <w:rsid w:val="6FE2508B"/>
    <w:rsid w:val="703B4619"/>
    <w:rsid w:val="706F7DD8"/>
    <w:rsid w:val="711F0E94"/>
    <w:rsid w:val="712007CB"/>
    <w:rsid w:val="712FA2A1"/>
    <w:rsid w:val="7252DF76"/>
    <w:rsid w:val="7276F44E"/>
    <w:rsid w:val="72902BFD"/>
    <w:rsid w:val="738DF63D"/>
    <w:rsid w:val="73AB3AFA"/>
    <w:rsid w:val="73AC5CC7"/>
    <w:rsid w:val="73BFF94D"/>
    <w:rsid w:val="73D2F486"/>
    <w:rsid w:val="73EEAFD7"/>
    <w:rsid w:val="73FD701F"/>
    <w:rsid w:val="7481B930"/>
    <w:rsid w:val="749A7E06"/>
    <w:rsid w:val="74D06892"/>
    <w:rsid w:val="74FACEB0"/>
    <w:rsid w:val="752D8FDC"/>
    <w:rsid w:val="7536BF80"/>
    <w:rsid w:val="758A8038"/>
    <w:rsid w:val="75FC3740"/>
    <w:rsid w:val="760A767F"/>
    <w:rsid w:val="76159C0B"/>
    <w:rsid w:val="76E6495B"/>
    <w:rsid w:val="77265099"/>
    <w:rsid w:val="77D28470"/>
    <w:rsid w:val="7891A4FF"/>
    <w:rsid w:val="7A078311"/>
    <w:rsid w:val="7A5C8F1E"/>
    <w:rsid w:val="7AE90D2E"/>
    <w:rsid w:val="7B0C4D25"/>
    <w:rsid w:val="7B1C2D24"/>
    <w:rsid w:val="7B2DA4A9"/>
    <w:rsid w:val="7B7AA6EC"/>
    <w:rsid w:val="7B82E537"/>
    <w:rsid w:val="7B925544"/>
    <w:rsid w:val="7BF139D5"/>
    <w:rsid w:val="7C44C2AA"/>
    <w:rsid w:val="7C9E05EC"/>
    <w:rsid w:val="7CE10AFC"/>
    <w:rsid w:val="7D46135A"/>
    <w:rsid w:val="7D5F3BB7"/>
    <w:rsid w:val="7DA6D1BB"/>
    <w:rsid w:val="7DBD0E5E"/>
    <w:rsid w:val="7DD7F2BD"/>
    <w:rsid w:val="7E7F997A"/>
    <w:rsid w:val="7E7FA21D"/>
    <w:rsid w:val="7E9DFE0B"/>
    <w:rsid w:val="7FA93F06"/>
    <w:rsid w:val="7FB3D81B"/>
    <w:rsid w:val="7FBBC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04C426"/>
  <w15:docId w15:val="{5ADFD9CE-232F-4649-A807-38B65BD9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C4"/>
    <w:pPr>
      <w:spacing w:beforeLines="120" w:before="288" w:after="120" w:line="276" w:lineRule="auto"/>
    </w:pPr>
    <w:rPr>
      <w:rFonts w:ascii="Arial" w:hAnsi="Arial" w:cs="Arial"/>
      <w:sz w:val="22"/>
      <w:szCs w:val="22"/>
    </w:rPr>
  </w:style>
  <w:style w:type="paragraph" w:styleId="Heading1">
    <w:name w:val="heading 1"/>
    <w:basedOn w:val="Normal"/>
    <w:next w:val="Normal"/>
    <w:link w:val="Heading1Char"/>
    <w:uiPriority w:val="9"/>
    <w:qFormat/>
    <w:rsid w:val="00214BC4"/>
    <w:pPr>
      <w:keepNext/>
      <w:keepLines/>
      <w:spacing w:before="240" w:after="0"/>
      <w:outlineLvl w:val="0"/>
    </w:pPr>
    <w:rPr>
      <w:rFonts w:asciiTheme="majorHAnsi" w:eastAsiaTheme="majorEastAsia" w:hAnsiTheme="majorHAnsi" w:cstheme="majorBidi"/>
      <w:b/>
      <w:color w:val="0F4BEB" w:themeColor="accent1"/>
      <w:sz w:val="32"/>
      <w:szCs w:val="32"/>
    </w:rPr>
  </w:style>
  <w:style w:type="paragraph" w:styleId="Heading2">
    <w:name w:val="heading 2"/>
    <w:basedOn w:val="Normal"/>
    <w:next w:val="Normal"/>
    <w:link w:val="Heading2Char"/>
    <w:uiPriority w:val="9"/>
    <w:unhideWhenUsed/>
    <w:qFormat/>
    <w:rsid w:val="00214BC4"/>
    <w:pPr>
      <w:keepNext/>
      <w:keepLines/>
      <w:spacing w:before="40" w:after="0"/>
      <w:outlineLvl w:val="1"/>
    </w:pPr>
    <w:rPr>
      <w:rFonts w:asciiTheme="majorHAnsi" w:eastAsiaTheme="majorEastAsia" w:hAnsiTheme="majorHAnsi" w:cstheme="majorBidi"/>
      <w:color w:val="0F4BEB" w:themeColor="accent1"/>
      <w:sz w:val="26"/>
      <w:szCs w:val="26"/>
    </w:rPr>
  </w:style>
  <w:style w:type="paragraph" w:styleId="Heading3">
    <w:name w:val="heading 3"/>
    <w:basedOn w:val="Normal"/>
    <w:next w:val="Normal"/>
    <w:link w:val="Heading3Char"/>
    <w:uiPriority w:val="9"/>
    <w:unhideWhenUsed/>
    <w:qFormat/>
    <w:rsid w:val="00214BC4"/>
    <w:pPr>
      <w:keepNext/>
      <w:keepLines/>
      <w:spacing w:before="40" w:after="0"/>
      <w:outlineLvl w:val="2"/>
    </w:pPr>
    <w:rPr>
      <w:rFonts w:asciiTheme="minorHAnsi" w:eastAsiaTheme="majorEastAsia" w:hAnsiTheme="minorHAnsi" w:cstheme="majorBidi"/>
      <w:b/>
      <w:color w:val="0F4BEB" w:themeColor="accent1"/>
      <w:sz w:val="24"/>
      <w:szCs w:val="24"/>
    </w:rPr>
  </w:style>
  <w:style w:type="paragraph" w:styleId="Heading4">
    <w:name w:val="heading 4"/>
    <w:basedOn w:val="Normal"/>
    <w:next w:val="Normal"/>
    <w:link w:val="Heading4Char"/>
    <w:uiPriority w:val="9"/>
    <w:unhideWhenUsed/>
    <w:qFormat/>
    <w:rsid w:val="00214BC4"/>
    <w:pPr>
      <w:keepNext/>
      <w:keepLines/>
      <w:spacing w:before="40" w:after="0"/>
      <w:outlineLvl w:val="3"/>
    </w:pPr>
    <w:rPr>
      <w:rFonts w:asciiTheme="majorHAnsi" w:eastAsiaTheme="majorEastAsia" w:hAnsiTheme="majorHAnsi" w:cstheme="majorBidi"/>
      <w:iCs/>
      <w:color w:val="0F4BEB"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character" w:customStyle="1" w:styleId="Heading1Char">
    <w:name w:val="Heading 1 Char"/>
    <w:basedOn w:val="DefaultParagraphFont"/>
    <w:link w:val="Heading1"/>
    <w:uiPriority w:val="9"/>
    <w:rsid w:val="00214BC4"/>
    <w:rPr>
      <w:rFonts w:asciiTheme="majorHAnsi" w:eastAsiaTheme="majorEastAsia" w:hAnsiTheme="majorHAnsi" w:cstheme="majorBidi"/>
      <w:b/>
      <w:color w:val="0F4BEB" w:themeColor="accent1"/>
      <w:sz w:val="32"/>
      <w:szCs w:val="32"/>
    </w:rPr>
  </w:style>
  <w:style w:type="character" w:customStyle="1" w:styleId="Heading4Char">
    <w:name w:val="Heading 4 Char"/>
    <w:basedOn w:val="DefaultParagraphFont"/>
    <w:link w:val="Heading4"/>
    <w:uiPriority w:val="9"/>
    <w:rsid w:val="00214BC4"/>
    <w:rPr>
      <w:rFonts w:asciiTheme="majorHAnsi" w:eastAsiaTheme="majorEastAsia" w:hAnsiTheme="majorHAnsi" w:cstheme="majorBidi"/>
      <w:iCs/>
      <w:color w:val="0F4BEB" w:themeColor="accent1"/>
      <w:szCs w:val="22"/>
    </w:rPr>
  </w:style>
  <w:style w:type="character" w:customStyle="1" w:styleId="Heading2Char">
    <w:name w:val="Heading 2 Char"/>
    <w:basedOn w:val="DefaultParagraphFont"/>
    <w:link w:val="Heading2"/>
    <w:uiPriority w:val="9"/>
    <w:rsid w:val="00214BC4"/>
    <w:rPr>
      <w:rFonts w:asciiTheme="majorHAnsi" w:eastAsiaTheme="majorEastAsia" w:hAnsiTheme="majorHAnsi" w:cstheme="majorBidi"/>
      <w:color w:val="0F4BEB" w:themeColor="accent1"/>
      <w:sz w:val="26"/>
      <w:szCs w:val="26"/>
    </w:rPr>
  </w:style>
  <w:style w:type="table" w:styleId="GridTable1Light-Accent4">
    <w:name w:val="Grid Table 1 Light Accent 4"/>
    <w:basedOn w:val="TableNormal"/>
    <w:uiPriority w:val="46"/>
    <w:rsid w:val="00214BC4"/>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paragraph" w:customStyle="1" w:styleId="Tablelistnumber">
    <w:name w:val="Table (list number)"/>
    <w:basedOn w:val="Normal"/>
    <w:link w:val="TablelistnumberChar"/>
    <w:qFormat/>
    <w:rsid w:val="00873C2A"/>
    <w:pPr>
      <w:numPr>
        <w:numId w:val="31"/>
      </w:numPr>
      <w:tabs>
        <w:tab w:val="left" w:pos="447"/>
      </w:tabs>
      <w:spacing w:beforeLines="0" w:before="0" w:after="0" w:line="240" w:lineRule="auto"/>
      <w:ind w:left="0" w:firstLine="0"/>
    </w:pPr>
    <w:rPr>
      <w:sz w:val="20"/>
      <w:lang w:val="en-AU"/>
    </w:rPr>
  </w:style>
  <w:style w:type="character" w:customStyle="1" w:styleId="TablelistnumberChar">
    <w:name w:val="Table (list number) Char"/>
    <w:basedOn w:val="DefaultParagraphFont"/>
    <w:link w:val="Tablelistnumber"/>
    <w:rsid w:val="00873C2A"/>
    <w:rPr>
      <w:rFonts w:ascii="Arial" w:hAnsi="Arial" w:cs="Arial"/>
      <w:sz w:val="20"/>
      <w:szCs w:val="22"/>
      <w:lang w:val="en-AU"/>
    </w:rPr>
  </w:style>
  <w:style w:type="paragraph" w:styleId="List">
    <w:name w:val="List"/>
    <w:basedOn w:val="Normal"/>
    <w:uiPriority w:val="99"/>
    <w:unhideWhenUsed/>
    <w:rsid w:val="00214BC4"/>
    <w:pPr>
      <w:ind w:left="283" w:hanging="283"/>
      <w:contextualSpacing/>
    </w:pPr>
  </w:style>
  <w:style w:type="character" w:styleId="LineNumber">
    <w:name w:val="line number"/>
    <w:basedOn w:val="DefaultParagraphFont"/>
    <w:uiPriority w:val="99"/>
    <w:unhideWhenUsed/>
    <w:rsid w:val="00214BC4"/>
  </w:style>
  <w:style w:type="paragraph" w:customStyle="1" w:styleId="Tabletextlistnumber">
    <w:name w:val="Table text (list number)"/>
    <w:basedOn w:val="ListParagraph"/>
    <w:link w:val="TabletextlistnumberChar"/>
    <w:qFormat/>
    <w:rsid w:val="00873C2A"/>
    <w:pPr>
      <w:numPr>
        <w:numId w:val="34"/>
      </w:numPr>
      <w:tabs>
        <w:tab w:val="left" w:pos="448"/>
      </w:tabs>
      <w:spacing w:beforeLines="0" w:before="60" w:after="60"/>
      <w:ind w:left="57" w:firstLine="0"/>
      <w:contextualSpacing w:val="0"/>
    </w:pPr>
    <w:rPr>
      <w:rFonts w:asciiTheme="minorBidi" w:eastAsia="Arial" w:hAnsiTheme="minorBidi" w:cs="Cordia New"/>
      <w:sz w:val="20"/>
      <w:lang w:val="en-AU"/>
    </w:rPr>
  </w:style>
  <w:style w:type="character" w:customStyle="1" w:styleId="Heading3Char">
    <w:name w:val="Heading 3 Char"/>
    <w:basedOn w:val="DefaultParagraphFont"/>
    <w:link w:val="Heading3"/>
    <w:uiPriority w:val="9"/>
    <w:rsid w:val="00214BC4"/>
    <w:rPr>
      <w:rFonts w:eastAsiaTheme="majorEastAsia" w:cstheme="majorBidi"/>
      <w:b/>
      <w:color w:val="0F4BEB" w:themeColor="accent1"/>
    </w:rPr>
  </w:style>
  <w:style w:type="character" w:customStyle="1" w:styleId="ListParagraphChar">
    <w:name w:val="List Paragraph Char"/>
    <w:aliases w:val="UTS Para Char"/>
    <w:basedOn w:val="DefaultParagraphFont"/>
    <w:link w:val="ListParagraph"/>
    <w:uiPriority w:val="34"/>
    <w:rsid w:val="00873C2A"/>
    <w:rPr>
      <w:rFonts w:ascii="Arial" w:hAnsi="Arial" w:cs="Arial"/>
      <w:sz w:val="22"/>
      <w:szCs w:val="22"/>
    </w:rPr>
  </w:style>
  <w:style w:type="paragraph" w:styleId="ListContinue">
    <w:name w:val="List Continue"/>
    <w:basedOn w:val="Normal"/>
    <w:uiPriority w:val="99"/>
    <w:unhideWhenUsed/>
    <w:rsid w:val="0002478E"/>
    <w:pPr>
      <w:numPr>
        <w:numId w:val="27"/>
      </w:numPr>
      <w:tabs>
        <w:tab w:val="left" w:pos="567"/>
      </w:tabs>
      <w:spacing w:beforeLines="0"/>
      <w:ind w:left="113" w:firstLine="0"/>
      <w:contextualSpacing/>
    </w:pPr>
    <w:rPr>
      <w:color w:val="0F4BEB" w:themeColor="accent1"/>
    </w:rPr>
  </w:style>
  <w:style w:type="character" w:customStyle="1" w:styleId="TabletextlistnumberChar">
    <w:name w:val="Table text (list number) Char"/>
    <w:basedOn w:val="ListParagraphChar"/>
    <w:link w:val="Tabletextlistnumber"/>
    <w:rsid w:val="00873C2A"/>
    <w:rPr>
      <w:rFonts w:asciiTheme="minorBidi" w:eastAsia="Arial" w:hAnsiTheme="minorBidi" w:cs="Cordia New"/>
      <w:sz w:val="20"/>
      <w:szCs w:val="22"/>
      <w:lang w:val="en-AU"/>
    </w:rPr>
  </w:style>
  <w:style w:type="paragraph" w:styleId="ListBullet">
    <w:name w:val="List Bullet"/>
    <w:basedOn w:val="Normal"/>
    <w:uiPriority w:val="99"/>
    <w:unhideWhenUsed/>
    <w:rsid w:val="00214BC4"/>
    <w:pPr>
      <w:numPr>
        <w:numId w:val="29"/>
      </w:numPr>
      <w:contextualSpacing/>
    </w:pPr>
  </w:style>
  <w:style w:type="paragraph" w:customStyle="1" w:styleId="Tabletext">
    <w:name w:val="Table text"/>
    <w:basedOn w:val="Normal"/>
    <w:link w:val="TabletextChar"/>
    <w:qFormat/>
    <w:rsid w:val="00873C2A"/>
    <w:rPr>
      <w:sz w:val="20"/>
      <w:lang w:val="en-AU"/>
    </w:rPr>
  </w:style>
  <w:style w:type="character" w:customStyle="1" w:styleId="TabletextChar">
    <w:name w:val="Table text Char"/>
    <w:basedOn w:val="DefaultParagraphFont"/>
    <w:link w:val="Tabletext"/>
    <w:rsid w:val="00873C2A"/>
    <w:rPr>
      <w:rFonts w:ascii="Arial" w:hAnsi="Arial" w:cs="Arial"/>
      <w:sz w:val="20"/>
      <w:szCs w:val="22"/>
      <w:lang w:val="en-AU"/>
    </w:rPr>
  </w:style>
  <w:style w:type="paragraph" w:styleId="ListParagraph">
    <w:name w:val="List Paragraph"/>
    <w:aliases w:val="UTS Para"/>
    <w:basedOn w:val="Normal"/>
    <w:link w:val="ListParagraphChar"/>
    <w:uiPriority w:val="34"/>
    <w:qFormat/>
    <w:rsid w:val="00465A27"/>
    <w:pPr>
      <w:ind w:left="720"/>
      <w:contextualSpacing/>
    </w:pPr>
  </w:style>
  <w:style w:type="paragraph" w:styleId="Title">
    <w:name w:val="Title"/>
    <w:basedOn w:val="Normal"/>
    <w:next w:val="Normal"/>
    <w:link w:val="TitleChar"/>
    <w:uiPriority w:val="10"/>
    <w:qFormat/>
    <w:rsid w:val="0002478E"/>
    <w:pPr>
      <w:spacing w:beforeLines="0" w:before="480"/>
      <w:jc w:val="center"/>
    </w:pPr>
    <w:rPr>
      <w:b/>
      <w:bCs/>
      <w:color w:val="0F4BEB" w:themeColor="accent1"/>
      <w:sz w:val="32"/>
      <w:szCs w:val="32"/>
    </w:rPr>
  </w:style>
  <w:style w:type="paragraph" w:styleId="BalloonText">
    <w:name w:val="Balloon Text"/>
    <w:basedOn w:val="Normal"/>
    <w:link w:val="BalloonTextChar"/>
    <w:uiPriority w:val="99"/>
    <w:semiHidden/>
    <w:unhideWhenUsed/>
    <w:rsid w:val="00FE4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CD4"/>
    <w:rPr>
      <w:rFonts w:ascii="Lucida Grande" w:hAnsi="Lucida Grande" w:cs="Lucida Grande"/>
      <w:sz w:val="18"/>
      <w:szCs w:val="18"/>
    </w:rPr>
  </w:style>
  <w:style w:type="table" w:styleId="TableGrid">
    <w:name w:val="Table Grid"/>
    <w:aliases w:val="Cred light,DPS Table Grid,none,ICB Table,PB Table,1TableGrid,McLL Table General Text,SGS Numeric Table,GTA,EP Table Grid,CV table,EY Table,EY Question Table,EYTable,CV1,new tab,Equifax table,Header Table,Format for the table,Header Table Grid"/>
    <w:basedOn w:val="TableNormal"/>
    <w:uiPriority w:val="39"/>
    <w:rsid w:val="00E94A77"/>
    <w:pPr>
      <w:spacing w:before="80"/>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E1810"/>
    <w:tblPr>
      <w:tblStyleRowBandSize w:val="1"/>
      <w:tblStyleColBandSize w:val="1"/>
      <w:tblBorders>
        <w:top w:val="single" w:sz="4" w:space="0" w:color="F7F7F7" w:themeColor="accent5" w:themeTint="66"/>
        <w:left w:val="single" w:sz="4" w:space="0" w:color="F7F7F7" w:themeColor="accent5" w:themeTint="66"/>
        <w:bottom w:val="single" w:sz="4" w:space="0" w:color="F7F7F7" w:themeColor="accent5" w:themeTint="66"/>
        <w:right w:val="single" w:sz="4" w:space="0" w:color="F7F7F7" w:themeColor="accent5" w:themeTint="66"/>
        <w:insideH w:val="single" w:sz="4" w:space="0" w:color="F7F7F7" w:themeColor="accent5" w:themeTint="66"/>
        <w:insideV w:val="single" w:sz="4" w:space="0" w:color="F7F7F7" w:themeColor="accent5" w:themeTint="66"/>
      </w:tblBorders>
    </w:tblPr>
    <w:tblStylePr w:type="firstRow">
      <w:rPr>
        <w:b/>
        <w:bCs/>
      </w:rPr>
      <w:tblPr/>
      <w:tcPr>
        <w:tcBorders>
          <w:bottom w:val="single" w:sz="12" w:space="0" w:color="F3F3F3" w:themeColor="accent5" w:themeTint="99"/>
        </w:tcBorders>
      </w:tcPr>
    </w:tblStylePr>
    <w:tblStylePr w:type="lastRow">
      <w:rPr>
        <w:b/>
        <w:bCs/>
      </w:rPr>
      <w:tblPr/>
      <w:tcPr>
        <w:tcBorders>
          <w:top w:val="double" w:sz="2" w:space="0" w:color="F3F3F3"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100BE"/>
    <w:pPr>
      <w:spacing w:line="240" w:lineRule="auto"/>
    </w:pPr>
    <w:rPr>
      <w:sz w:val="20"/>
      <w:szCs w:val="20"/>
    </w:rPr>
  </w:style>
  <w:style w:type="character" w:customStyle="1" w:styleId="CommentTextChar">
    <w:name w:val="Comment Text Char"/>
    <w:basedOn w:val="DefaultParagraphFont"/>
    <w:link w:val="CommentText"/>
    <w:uiPriority w:val="99"/>
    <w:rsid w:val="005100BE"/>
    <w:rPr>
      <w:rFonts w:ascii="Arial" w:hAnsi="Arial" w:cs="Arial"/>
      <w:sz w:val="20"/>
      <w:szCs w:val="20"/>
    </w:rPr>
  </w:style>
  <w:style w:type="character" w:customStyle="1" w:styleId="Hyperlink1">
    <w:name w:val="Hyperlink1"/>
    <w:basedOn w:val="DefaultParagraphFont"/>
    <w:uiPriority w:val="99"/>
    <w:rsid w:val="005100BE"/>
    <w:rPr>
      <w:color w:val="0F4BEB"/>
      <w:u w:val="single"/>
    </w:rPr>
  </w:style>
  <w:style w:type="character" w:styleId="CommentReference">
    <w:name w:val="annotation reference"/>
    <w:basedOn w:val="DefaultParagraphFont"/>
    <w:uiPriority w:val="99"/>
    <w:semiHidden/>
    <w:rsid w:val="005100BE"/>
    <w:rPr>
      <w:sz w:val="16"/>
      <w:szCs w:val="16"/>
    </w:rPr>
  </w:style>
  <w:style w:type="paragraph" w:styleId="EndnoteText">
    <w:name w:val="endnote text"/>
    <w:basedOn w:val="Normal"/>
    <w:link w:val="EndnoteTextChar"/>
    <w:uiPriority w:val="99"/>
    <w:semiHidden/>
    <w:rsid w:val="00E2707E"/>
    <w:pPr>
      <w:spacing w:beforeLines="0" w:before="0" w:after="0" w:line="240" w:lineRule="auto"/>
    </w:pPr>
    <w:rPr>
      <w:rFonts w:cs="Cordia New"/>
      <w:sz w:val="20"/>
      <w:szCs w:val="20"/>
      <w:lang w:val="en-AU"/>
    </w:rPr>
  </w:style>
  <w:style w:type="character" w:customStyle="1" w:styleId="EndnoteTextChar">
    <w:name w:val="Endnote Text Char"/>
    <w:basedOn w:val="DefaultParagraphFont"/>
    <w:link w:val="EndnoteText"/>
    <w:uiPriority w:val="99"/>
    <w:semiHidden/>
    <w:rsid w:val="005100BE"/>
    <w:rPr>
      <w:rFonts w:ascii="Arial" w:hAnsi="Arial" w:cs="Cordia New"/>
      <w:sz w:val="20"/>
      <w:szCs w:val="20"/>
      <w:lang w:val="en-AU"/>
    </w:rPr>
  </w:style>
  <w:style w:type="character" w:styleId="EndnoteReference">
    <w:name w:val="endnote reference"/>
    <w:basedOn w:val="DefaultParagraphFont"/>
    <w:uiPriority w:val="99"/>
    <w:semiHidden/>
    <w:rsid w:val="005100BE"/>
    <w:rPr>
      <w:vertAlign w:val="superscript"/>
    </w:rPr>
  </w:style>
  <w:style w:type="table" w:customStyle="1" w:styleId="PlainTable11">
    <w:name w:val="Plain Table 11"/>
    <w:basedOn w:val="TableNormal"/>
    <w:next w:val="PlainTable1"/>
    <w:uiPriority w:val="41"/>
    <w:rsid w:val="00873C2A"/>
    <w:pPr>
      <w:spacing w:before="80"/>
    </w:pPr>
    <w:rPr>
      <w:sz w:val="22"/>
      <w:szCs w:val="22"/>
      <w:lang w:val="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center"/>
      </w:pPr>
      <w:rPr>
        <w:b/>
        <w:bCs/>
      </w:rPr>
    </w:tblStylePr>
    <w:tblStylePr w:type="lastRow">
      <w:rPr>
        <w:b/>
        <w:bCs/>
      </w:rPr>
      <w:tblPr/>
      <w:tcPr>
        <w:tcBorders>
          <w:top w:val="double" w:sz="4" w:space="0" w:color="BFBFBF"/>
        </w:tcBorders>
      </w:tcPr>
    </w:tblStylePr>
    <w:tblStylePr w:type="firstCol">
      <w:rPr>
        <w:b/>
        <w:bCs/>
        <w:sz w:val="20"/>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5100BE"/>
    <w:rPr>
      <w:color w:val="09D369" w:themeColor="hyperlink"/>
      <w:u w:val="single"/>
    </w:rPr>
  </w:style>
  <w:style w:type="table" w:styleId="PlainTable1">
    <w:name w:val="Plain Table 1"/>
    <w:basedOn w:val="TableNormal"/>
    <w:uiPriority w:val="99"/>
    <w:rsid w:val="005100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2">
    <w:name w:val="List Number 2"/>
    <w:basedOn w:val="ListNumber"/>
    <w:uiPriority w:val="19"/>
    <w:rsid w:val="009153E7"/>
    <w:pPr>
      <w:numPr>
        <w:numId w:val="0"/>
      </w:numPr>
      <w:tabs>
        <w:tab w:val="num" w:pos="360"/>
      </w:tabs>
      <w:ind w:left="1440" w:hanging="360"/>
      <w:contextualSpacing w:val="0"/>
    </w:pPr>
    <w:rPr>
      <w:rFonts w:asciiTheme="minorHAnsi" w:eastAsia="Times New Roman" w:hAnsiTheme="minorHAnsi" w:cs="Times New Roman"/>
      <w:szCs w:val="24"/>
      <w:lang w:eastAsia="en-AU"/>
    </w:rPr>
  </w:style>
  <w:style w:type="paragraph" w:styleId="ListNumber3">
    <w:name w:val="List Number 3"/>
    <w:basedOn w:val="ListNumber"/>
    <w:uiPriority w:val="19"/>
    <w:rsid w:val="009153E7"/>
    <w:pPr>
      <w:numPr>
        <w:numId w:val="0"/>
      </w:numPr>
      <w:tabs>
        <w:tab w:val="num" w:pos="360"/>
      </w:tabs>
      <w:ind w:left="360" w:hanging="360"/>
      <w:contextualSpacing w:val="0"/>
    </w:pPr>
    <w:rPr>
      <w:rFonts w:asciiTheme="minorHAnsi" w:eastAsia="Times New Roman" w:hAnsiTheme="minorHAnsi" w:cs="Times New Roman"/>
      <w:szCs w:val="24"/>
      <w:lang w:eastAsia="en-AU"/>
    </w:rPr>
  </w:style>
  <w:style w:type="paragraph" w:styleId="ListNumber4">
    <w:name w:val="List Number 4"/>
    <w:basedOn w:val="ListNumber"/>
    <w:uiPriority w:val="19"/>
    <w:rsid w:val="009153E7"/>
    <w:pPr>
      <w:numPr>
        <w:numId w:val="0"/>
      </w:numPr>
      <w:tabs>
        <w:tab w:val="num" w:pos="360"/>
      </w:tabs>
      <w:ind w:left="360" w:hanging="360"/>
      <w:contextualSpacing w:val="0"/>
    </w:pPr>
    <w:rPr>
      <w:rFonts w:asciiTheme="minorHAnsi" w:eastAsia="Times New Roman" w:hAnsiTheme="minorHAnsi" w:cs="Times New Roman"/>
      <w:szCs w:val="24"/>
      <w:lang w:eastAsia="en-AU"/>
    </w:rPr>
  </w:style>
  <w:style w:type="paragraph" w:styleId="ListNumber5">
    <w:name w:val="List Number 5"/>
    <w:basedOn w:val="ListNumber"/>
    <w:uiPriority w:val="19"/>
    <w:rsid w:val="009153E7"/>
    <w:pPr>
      <w:numPr>
        <w:numId w:val="0"/>
      </w:numPr>
      <w:tabs>
        <w:tab w:val="num" w:pos="360"/>
      </w:tabs>
      <w:ind w:left="360" w:hanging="360"/>
      <w:contextualSpacing w:val="0"/>
    </w:pPr>
    <w:rPr>
      <w:rFonts w:asciiTheme="minorHAnsi" w:eastAsia="Times New Roman" w:hAnsiTheme="minorHAnsi" w:cs="Times New Roman"/>
      <w:szCs w:val="24"/>
      <w:lang w:eastAsia="en-AU"/>
    </w:rPr>
  </w:style>
  <w:style w:type="paragraph" w:customStyle="1" w:styleId="ListNumber6">
    <w:name w:val="List Number 6"/>
    <w:basedOn w:val="ListNumber"/>
    <w:uiPriority w:val="19"/>
    <w:rsid w:val="009153E7"/>
    <w:pPr>
      <w:numPr>
        <w:numId w:val="0"/>
      </w:numPr>
      <w:tabs>
        <w:tab w:val="num" w:pos="360"/>
      </w:tabs>
      <w:ind w:left="360" w:hanging="360"/>
      <w:contextualSpacing w:val="0"/>
    </w:pPr>
    <w:rPr>
      <w:rFonts w:asciiTheme="minorHAnsi" w:eastAsia="Times New Roman" w:hAnsiTheme="minorHAnsi" w:cs="Times New Roman"/>
      <w:szCs w:val="24"/>
      <w:lang w:eastAsia="en-AU"/>
    </w:rPr>
  </w:style>
  <w:style w:type="character" w:customStyle="1" w:styleId="TitleChar">
    <w:name w:val="Title Char"/>
    <w:basedOn w:val="DefaultParagraphFont"/>
    <w:link w:val="Title"/>
    <w:uiPriority w:val="10"/>
    <w:rsid w:val="0002478E"/>
    <w:rPr>
      <w:rFonts w:ascii="Arial" w:hAnsi="Arial" w:cs="Arial"/>
      <w:b/>
      <w:bCs/>
      <w:color w:val="0F4BEB" w:themeColor="accent1"/>
      <w:sz w:val="32"/>
      <w:szCs w:val="32"/>
    </w:rPr>
  </w:style>
  <w:style w:type="paragraph" w:styleId="Subtitle">
    <w:name w:val="Subtitle"/>
    <w:basedOn w:val="Normal"/>
    <w:next w:val="Normal"/>
    <w:link w:val="SubtitleChar"/>
    <w:uiPriority w:val="11"/>
    <w:qFormat/>
    <w:rsid w:val="009B148F"/>
    <w:pPr>
      <w:pBdr>
        <w:bottom w:val="single" w:sz="4" w:space="1" w:color="0F4BEB" w:themeColor="accent1"/>
      </w:pBdr>
      <w:spacing w:beforeLines="0" w:before="0"/>
      <w:jc w:val="center"/>
    </w:pPr>
    <w:rPr>
      <w:b/>
      <w:bCs/>
    </w:rPr>
  </w:style>
  <w:style w:type="paragraph" w:styleId="ListNumber">
    <w:name w:val="List Number"/>
    <w:basedOn w:val="ListParagraph"/>
    <w:uiPriority w:val="99"/>
    <w:unhideWhenUsed/>
    <w:rsid w:val="00214BC4"/>
    <w:pPr>
      <w:numPr>
        <w:numId w:val="19"/>
      </w:numPr>
      <w:spacing w:beforeLines="0" w:before="120"/>
    </w:pPr>
    <w:rPr>
      <w:rFonts w:eastAsia="Arial" w:cs="Cordia New"/>
      <w:lang w:val="en-AU"/>
    </w:rPr>
  </w:style>
  <w:style w:type="paragraph" w:styleId="Revision">
    <w:name w:val="Revision"/>
    <w:hidden/>
    <w:uiPriority w:val="99"/>
    <w:semiHidden/>
    <w:rsid w:val="00A40321"/>
    <w:rPr>
      <w:rFonts w:ascii="Arial" w:hAnsi="Arial" w:cs="Arial"/>
      <w:sz w:val="22"/>
      <w:szCs w:val="22"/>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Arial" w:hAnsi="Arial" w:cs="Arial"/>
      <w:b/>
      <w:bCs/>
      <w:sz w:val="20"/>
      <w:szCs w:val="20"/>
    </w:rPr>
  </w:style>
  <w:style w:type="paragraph" w:styleId="FootnoteText">
    <w:name w:val="footnote text"/>
    <w:basedOn w:val="Normal"/>
    <w:link w:val="FootnoteTextChar"/>
    <w:uiPriority w:val="99"/>
    <w:unhideWhenUsed/>
    <w:rsid w:val="000546E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546EB"/>
    <w:rPr>
      <w:rFonts w:ascii="Arial" w:hAnsi="Arial" w:cs="Arial"/>
      <w:sz w:val="20"/>
      <w:szCs w:val="20"/>
    </w:rPr>
  </w:style>
  <w:style w:type="character" w:styleId="FootnoteReference">
    <w:name w:val="footnote reference"/>
    <w:basedOn w:val="DefaultParagraphFont"/>
    <w:uiPriority w:val="99"/>
    <w:rsid w:val="000546EB"/>
    <w:rPr>
      <w:vertAlign w:val="superscript"/>
    </w:rPr>
  </w:style>
  <w:style w:type="character" w:styleId="UnresolvedMention">
    <w:name w:val="Unresolved Mention"/>
    <w:basedOn w:val="DefaultParagraphFont"/>
    <w:uiPriority w:val="99"/>
    <w:semiHidden/>
    <w:unhideWhenUsed/>
    <w:rsid w:val="00C13FBD"/>
    <w:rPr>
      <w:color w:val="605E5C"/>
      <w:shd w:val="clear" w:color="auto" w:fill="E1DFDD"/>
    </w:rPr>
  </w:style>
  <w:style w:type="character" w:customStyle="1" w:styleId="SubtitleChar">
    <w:name w:val="Subtitle Char"/>
    <w:basedOn w:val="DefaultParagraphFont"/>
    <w:link w:val="Subtitle"/>
    <w:uiPriority w:val="11"/>
    <w:rsid w:val="009B148F"/>
    <w:rPr>
      <w:rFonts w:ascii="Arial" w:hAnsi="Arial" w:cs="Arial"/>
      <w:b/>
      <w:bCs/>
      <w:sz w:val="22"/>
      <w:szCs w:val="22"/>
    </w:rPr>
  </w:style>
  <w:style w:type="paragraph" w:styleId="Caption">
    <w:name w:val="caption"/>
    <w:basedOn w:val="Normal"/>
    <w:next w:val="Normal"/>
    <w:uiPriority w:val="99"/>
    <w:unhideWhenUsed/>
    <w:qFormat/>
    <w:rsid w:val="00873303"/>
    <w:pPr>
      <w:spacing w:before="0" w:after="200" w:line="240" w:lineRule="auto"/>
    </w:pPr>
    <w:rPr>
      <w:i/>
      <w:iCs/>
      <w:color w:val="000000" w:themeColor="text2"/>
      <w:sz w:val="18"/>
      <w:szCs w:val="18"/>
    </w:rPr>
  </w:style>
  <w:style w:type="character" w:styleId="Strong">
    <w:name w:val="Strong"/>
    <w:basedOn w:val="DefaultParagraphFont"/>
    <w:uiPriority w:val="22"/>
    <w:qFormat/>
    <w:rsid w:val="009B148F"/>
    <w:rPr>
      <w:b/>
      <w:bCs/>
      <w:color w:val="0F4BE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6611">
      <w:bodyDiv w:val="1"/>
      <w:marLeft w:val="0"/>
      <w:marRight w:val="0"/>
      <w:marTop w:val="0"/>
      <w:marBottom w:val="0"/>
      <w:divBdr>
        <w:top w:val="none" w:sz="0" w:space="0" w:color="auto"/>
        <w:left w:val="none" w:sz="0" w:space="0" w:color="auto"/>
        <w:bottom w:val="none" w:sz="0" w:space="0" w:color="auto"/>
        <w:right w:val="none" w:sz="0" w:space="0" w:color="auto"/>
      </w:divBdr>
    </w:div>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49279760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86271632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blackdoginstitute.org.au/" TargetMode="External"/><Relationship Id="rId2" Type="http://schemas.openxmlformats.org/officeDocument/2006/relationships/hyperlink" Target="https://www.uts.edu.au/research/institute-public-policy-and-governance/" TargetMode="External"/><Relationship Id="rId1" Type="http://schemas.openxmlformats.org/officeDocument/2006/relationships/hyperlink" Target="https://www.uts.edu.au/about/faculty-health" TargetMode="External"/><Relationship Id="rId5" Type="http://schemas.openxmlformats.org/officeDocument/2006/relationships/hyperlink" Target="https://doi.org/10.1016/j.copsyc.2023.101579" TargetMode="External"/><Relationship Id="rId4" Type="http://schemas.openxmlformats.org/officeDocument/2006/relationships/hyperlink" Target="https://www.sydney.edu.au/medicine-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20Deakin\AppData\Local\Temp\8488972b-975e-4c57-92a3-ac6bff734568_UTS_Fact_Sheet.zip.568\6%20Fact%20Sheet\2019%20Fact%20Sheet%20Template%2001%20bullets.dotx" TargetMode="External"/></Relationship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F337C811391409B6C212B2F959029" ma:contentTypeVersion="13" ma:contentTypeDescription="Create a new document." ma:contentTypeScope="" ma:versionID="15ad4b4cb3f93f3691fe59303d8e3397">
  <xsd:schema xmlns:xsd="http://www.w3.org/2001/XMLSchema" xmlns:xs="http://www.w3.org/2001/XMLSchema" xmlns:p="http://schemas.microsoft.com/office/2006/metadata/properties" xmlns:ns2="66bf78ea-4de6-4202-9ad2-7b55950f35bb" xmlns:ns3="a478078e-e899-4d03-a5a3-682e45d765a0" targetNamespace="http://schemas.microsoft.com/office/2006/metadata/properties" ma:root="true" ma:fieldsID="dc68f9ba640e971a0d60dcb97e1faeac" ns2:_="" ns3:_="">
    <xsd:import namespace="66bf78ea-4de6-4202-9ad2-7b55950f35bb"/>
    <xsd:import namespace="a478078e-e899-4d03-a5a3-682e45d76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78ea-4de6-4202-9ad2-7b55950f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8078e-e899-4d03-a5a3-682e45d76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0d870-e4b5-44a0-a0c2-2c5be80f32b2}" ma:internalName="TaxCatchAll" ma:showField="CatchAllData" ma:web="a478078e-e899-4d03-a5a3-682e45d7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bf78ea-4de6-4202-9ad2-7b55950f35bb">
      <Terms xmlns="http://schemas.microsoft.com/office/infopath/2007/PartnerControls"/>
    </lcf76f155ced4ddcb4097134ff3c332f>
    <TaxCatchAll xmlns="a478078e-e899-4d03-a5a3-682e45d765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E2D2-E2E5-4205-A5D1-C74947CB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78ea-4de6-4202-9ad2-7b55950f35bb"/>
    <ds:schemaRef ds:uri="a478078e-e899-4d03-a5a3-682e45d7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F4F68-F390-4DD7-AEC4-44DC7437754B}">
  <ds:schemaRefs>
    <ds:schemaRef ds:uri="http://schemas.microsoft.com/office/2006/metadata/properties"/>
    <ds:schemaRef ds:uri="http://schemas.microsoft.com/office/infopath/2007/PartnerControls"/>
    <ds:schemaRef ds:uri="66bf78ea-4de6-4202-9ad2-7b55950f35bb"/>
    <ds:schemaRef ds:uri="a478078e-e899-4d03-a5a3-682e45d765a0"/>
  </ds:schemaRefs>
</ds:datastoreItem>
</file>

<file path=customXml/itemProps3.xml><?xml version="1.0" encoding="utf-8"?>
<ds:datastoreItem xmlns:ds="http://schemas.openxmlformats.org/officeDocument/2006/customXml" ds:itemID="{2D808369-5CD9-4DCE-B4CD-DC65C5C8D52E}">
  <ds:schemaRefs>
    <ds:schemaRef ds:uri="http://schemas.microsoft.com/sharepoint/v3/contenttype/forms"/>
  </ds:schemaRefs>
</ds:datastoreItem>
</file>

<file path=customXml/itemProps4.xml><?xml version="1.0" encoding="utf-8"?>
<ds:datastoreItem xmlns:ds="http://schemas.openxmlformats.org/officeDocument/2006/customXml" ds:itemID="{BE575FB3-C79E-4B70-AD8A-41B61BA9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Fact Sheet Template 01 bullets.dotx</Template>
  <TotalTime>2</TotalTime>
  <Pages>13</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Attachment C – Summary</vt:lpstr>
    </vt:vector>
  </TitlesOfParts>
  <Company>UTS</Company>
  <LinksUpToDate>false</LinksUpToDate>
  <CharactersWithSpaces>22554</CharactersWithSpaces>
  <SharedDoc>false</SharedDoc>
  <HLinks>
    <vt:vector size="30" baseType="variant">
      <vt:variant>
        <vt:i4>5308486</vt:i4>
      </vt:variant>
      <vt:variant>
        <vt:i4>12</vt:i4>
      </vt:variant>
      <vt:variant>
        <vt:i4>0</vt:i4>
      </vt:variant>
      <vt:variant>
        <vt:i4>5</vt:i4>
      </vt:variant>
      <vt:variant>
        <vt:lpwstr>https://doi.org/10.1016/j.copsyc.2023.101579</vt:lpwstr>
      </vt:variant>
      <vt:variant>
        <vt:lpwstr/>
      </vt:variant>
      <vt:variant>
        <vt:i4>2752619</vt:i4>
      </vt:variant>
      <vt:variant>
        <vt:i4>9</vt:i4>
      </vt:variant>
      <vt:variant>
        <vt:i4>0</vt:i4>
      </vt:variant>
      <vt:variant>
        <vt:i4>5</vt:i4>
      </vt:variant>
      <vt:variant>
        <vt:lpwstr>https://www.sydney.edu.au/medicine-health/</vt:lpwstr>
      </vt:variant>
      <vt:variant>
        <vt:lpwstr/>
      </vt:variant>
      <vt:variant>
        <vt:i4>5832781</vt:i4>
      </vt:variant>
      <vt:variant>
        <vt:i4>6</vt:i4>
      </vt:variant>
      <vt:variant>
        <vt:i4>0</vt:i4>
      </vt:variant>
      <vt:variant>
        <vt:i4>5</vt:i4>
      </vt:variant>
      <vt:variant>
        <vt:lpwstr>https://www.blackdoginstitute.org.au/</vt:lpwstr>
      </vt:variant>
      <vt:variant>
        <vt:lpwstr/>
      </vt:variant>
      <vt:variant>
        <vt:i4>3276844</vt:i4>
      </vt:variant>
      <vt:variant>
        <vt:i4>3</vt:i4>
      </vt:variant>
      <vt:variant>
        <vt:i4>0</vt:i4>
      </vt:variant>
      <vt:variant>
        <vt:i4>5</vt:i4>
      </vt:variant>
      <vt:variant>
        <vt:lpwstr>https://www.uts.edu.au/research/institute-public-policy-and-governance/</vt:lpwstr>
      </vt:variant>
      <vt:variant>
        <vt:lpwstr/>
      </vt:variant>
      <vt:variant>
        <vt:i4>3801188</vt:i4>
      </vt:variant>
      <vt:variant>
        <vt:i4>0</vt:i4>
      </vt:variant>
      <vt:variant>
        <vt:i4>0</vt:i4>
      </vt:variant>
      <vt:variant>
        <vt:i4>5</vt:i4>
      </vt:variant>
      <vt:variant>
        <vt:lpwstr>https://www.uts.edu.au/about/faculty-health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Plain English Summary</dc:title>
  <dc:subject/>
  <dc:creator>Australian Governemtn Department of Health and Aged Care</dc:creator>
  <cp:keywords>Preventive health</cp:keywords>
  <dc:description/>
  <cp:lastModifiedBy>MASCHKE, Elvia</cp:lastModifiedBy>
  <cp:revision>2</cp:revision>
  <dcterms:created xsi:type="dcterms:W3CDTF">2025-01-31T05:33:00Z</dcterms:created>
  <dcterms:modified xsi:type="dcterms:W3CDTF">2025-01-31T05:33:00Z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2023-04-21T02:56:46Z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a5dfad88-ab8b-4456-928a-16c42b60f316</vt:lpwstr>
  </property>
  <property fmtid="{D5CDD505-2E9C-101B-9397-08002B2CF9AE}" pid="8" name="MSIP_Label_51a6c3db-1667-4f49-995a-8b9973972958_ContentBits">
    <vt:lpwstr>0</vt:lpwstr>
  </property>
  <property fmtid="{D5CDD505-2E9C-101B-9397-08002B2CF9AE}" pid="9" name="TaxKeyword">
    <vt:lpwstr/>
  </property>
  <property fmtid="{D5CDD505-2E9C-101B-9397-08002B2CF9AE}" pid="10" name="MediaServiceImageTags">
    <vt:lpwstr/>
  </property>
  <property fmtid="{D5CDD505-2E9C-101B-9397-08002B2CF9AE}" pid="11" name="ContentTypeId">
    <vt:lpwstr>0x010100A7DF337C811391409B6C212B2F959029</vt:lpwstr>
  </property>
</Properties>
</file>