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FEA" w14:textId="77777777" w:rsidR="00B254A9" w:rsidRPr="00BC4048" w:rsidRDefault="00B254A9" w:rsidP="00BC4048">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BC4048">
        <w:t>National Communicable Diseases Surveillance Report</w:t>
      </w:r>
    </w:p>
    <w:p w14:paraId="6F25C8A4" w14:textId="5A0E8825" w:rsidR="00807835" w:rsidRPr="00BC4048" w:rsidRDefault="00807835" w:rsidP="00BC4048">
      <w:pPr>
        <w:pStyle w:val="Title"/>
      </w:pPr>
      <w:r w:rsidRPr="00BC4048">
        <w:t xml:space="preserve">Fortnight </w:t>
      </w:r>
      <w:r w:rsidR="005C310A" w:rsidRPr="00BC4048">
        <w:t>0</w:t>
      </w:r>
      <w:r w:rsidR="00176BE4" w:rsidRPr="00BC4048">
        <w:t>2</w:t>
      </w:r>
      <w:r w:rsidR="00F816D5" w:rsidRPr="00BC4048">
        <w:t>,</w:t>
      </w:r>
      <w:r w:rsidR="003D48B5" w:rsidRPr="00BC4048">
        <w:t xml:space="preserve"> </w:t>
      </w:r>
      <w:r w:rsidR="00924FC7" w:rsidRPr="00BC4048">
        <w:t>202</w:t>
      </w:r>
      <w:r w:rsidR="005C310A" w:rsidRPr="00BC4048">
        <w:t>5</w:t>
      </w:r>
      <w:r w:rsidR="00031B33" w:rsidRPr="00BC4048">
        <w:t xml:space="preserve"> </w:t>
      </w:r>
      <w:r w:rsidRPr="00BC4048">
        <w:t>Summary Notes</w:t>
      </w:r>
      <w:r w:rsidR="00EB26EC" w:rsidRPr="00BC4048">
        <w:t xml:space="preserve"> for Selected Diseases</w:t>
      </w:r>
    </w:p>
    <w:p w14:paraId="201EB98E" w14:textId="07737224" w:rsidR="00AC0D80" w:rsidRPr="00BC4048" w:rsidRDefault="005C310A" w:rsidP="00BC4048">
      <w:pPr>
        <w:pStyle w:val="Title"/>
      </w:pPr>
      <w:r w:rsidRPr="00BC4048">
        <w:t>0</w:t>
      </w:r>
      <w:r w:rsidR="00176BE4" w:rsidRPr="00BC4048">
        <w:t>6</w:t>
      </w:r>
      <w:r w:rsidR="00380798" w:rsidRPr="00BC4048">
        <w:t xml:space="preserve"> </w:t>
      </w:r>
      <w:r w:rsidR="00176BE4" w:rsidRPr="00BC4048">
        <w:t xml:space="preserve">January </w:t>
      </w:r>
      <w:r w:rsidR="00082C5E" w:rsidRPr="00BC4048">
        <w:t>202</w:t>
      </w:r>
      <w:r w:rsidR="00176BE4" w:rsidRPr="00BC4048">
        <w:t>5</w:t>
      </w:r>
      <w:r w:rsidR="0082527C" w:rsidRPr="00BC4048">
        <w:t xml:space="preserve"> </w:t>
      </w:r>
      <w:r w:rsidR="00CA37B4" w:rsidRPr="00BC4048">
        <w:t xml:space="preserve">to </w:t>
      </w:r>
      <w:r w:rsidR="00176BE4" w:rsidRPr="00BC4048">
        <w:t>19</w:t>
      </w:r>
      <w:r w:rsidR="0047145B" w:rsidRPr="00BC4048">
        <w:t xml:space="preserve"> </w:t>
      </w:r>
      <w:r w:rsidRPr="00BC4048">
        <w:t xml:space="preserve">January </w:t>
      </w:r>
      <w:r w:rsidR="00924FC7" w:rsidRPr="00BC4048">
        <w:t>202</w:t>
      </w:r>
      <w:bookmarkEnd w:id="0"/>
      <w:bookmarkEnd w:id="1"/>
      <w:bookmarkEnd w:id="2"/>
      <w:r w:rsidRPr="00BC4048">
        <w:t>5</w:t>
      </w:r>
    </w:p>
    <w:p w14:paraId="6FD93C51" w14:textId="77777777" w:rsidR="00ED21CE" w:rsidRPr="00BC4048" w:rsidRDefault="00ED21CE" w:rsidP="00BC4048">
      <w:pPr>
        <w:pStyle w:val="Heading1"/>
      </w:pPr>
      <w:r w:rsidRPr="00BC4048">
        <w:t>Infectious and congenital syphilis</w:t>
      </w:r>
    </w:p>
    <w:p w14:paraId="53F75425" w14:textId="77777777" w:rsidR="00CD7413" w:rsidRPr="00BC4048" w:rsidRDefault="00CD7413" w:rsidP="00BC4048">
      <w:pPr>
        <w:rPr>
          <w:rFonts w:eastAsiaTheme="minorHAnsi"/>
        </w:rPr>
      </w:pPr>
      <w:r w:rsidRPr="00BC4048">
        <w:t xml:space="preserve">Infectious syphilis notifications are continuing to increase across Australia. Detailed analysis of infectious and congenital syphilis trends in Australia are reported quarterly in the </w:t>
      </w:r>
      <w:hyperlink r:id="rId8" w:history="1">
        <w:r w:rsidRPr="00BC4048">
          <w:rPr>
            <w:rStyle w:val="Hyperlink"/>
          </w:rPr>
          <w:t>National syphilis surveillance reports</w:t>
        </w:r>
      </w:hyperlink>
      <w:r w:rsidRPr="00BC4048">
        <w:t>.</w:t>
      </w:r>
    </w:p>
    <w:p w14:paraId="5263EBFA" w14:textId="77777777" w:rsidR="00CD7413" w:rsidRPr="00BC4048" w:rsidRDefault="00CD7413" w:rsidP="00BC4048">
      <w:r w:rsidRPr="00BC4048">
        <w:t>Syphilis response</w:t>
      </w:r>
    </w:p>
    <w:p w14:paraId="5E60BC2C" w14:textId="77777777" w:rsidR="00CD7413" w:rsidRPr="00BC4048" w:rsidRDefault="00CD7413" w:rsidP="00BC4048">
      <w:pPr>
        <w:rPr>
          <w:rFonts w:eastAsiaTheme="minorHAnsi"/>
        </w:rPr>
      </w:pPr>
      <w:r w:rsidRPr="00BC4048">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BC4048">
          <w:rPr>
            <w:rStyle w:val="Hyperlink"/>
          </w:rPr>
          <w:t>Don’t fool around with syphilis</w:t>
        </w:r>
      </w:hyperlink>
      <w:r w:rsidRPr="00BC4048">
        <w:t xml:space="preserve"> campaign, refer to the </w:t>
      </w:r>
      <w:hyperlink r:id="rId10" w:history="1">
        <w:r w:rsidRPr="00BC4048">
          <w:rPr>
            <w:rStyle w:val="Hyperlink"/>
          </w:rPr>
          <w:t xml:space="preserve">National Response to Syphilis </w:t>
        </w:r>
      </w:hyperlink>
      <w:r w:rsidRPr="00BC4048">
        <w:t> webpage on the Department’s website.</w:t>
      </w:r>
    </w:p>
    <w:p w14:paraId="2B09EAD8" w14:textId="1B52825B" w:rsidR="00757235" w:rsidRPr="00BC4048" w:rsidRDefault="00757235" w:rsidP="00BC4048">
      <w:pPr>
        <w:pStyle w:val="Heading1"/>
      </w:pPr>
      <w:bookmarkStart w:id="7" w:name="_Hlk187752932"/>
      <w:r w:rsidRPr="00BC4048">
        <w:t>Mpox</w:t>
      </w:r>
    </w:p>
    <w:p w14:paraId="36832D1F" w14:textId="29C9FDD8" w:rsidR="00757235" w:rsidRPr="00BC4048" w:rsidRDefault="00757235" w:rsidP="00BC4048">
      <w:r w:rsidRPr="00BC4048">
        <w:t xml:space="preserve">Mpox, or monkeypox virus infection, is a viral infection that can be transmitted from person-to-person through physical contact. It commonly presents as a mild illness with a </w:t>
      </w:r>
      <w:r w:rsidR="00BC4048" w:rsidRPr="00BC4048">
        <w:t>rash but</w:t>
      </w:r>
      <w:r w:rsidRPr="00BC4048">
        <w:t xml:space="preserve"> can be severe. In the past 12 months (20 January 2024 – 19 January 2025), there have been 1,452 cases of mpox reported to the National Notifiable Diseases Surveillance System (NNDSS). In the past 3 months (22 October 2024 – 19 January 2025), there have been 451 cases of mpox notified compared to 8 cases in the same time period in 2023/2024. In this reporting period (6 January 2025 – 19 January 2025), 56 cases of mpox have been notified (22 in Victoria, 14 in New South Wales, 10 in the Australian Capital Territory and 10 in Western Australia). While the number of notifications in the past three months are high compared to the same </w:t>
      </w:r>
      <w:r w:rsidR="00BC4048" w:rsidRPr="00BC4048">
        <w:t>three-month</w:t>
      </w:r>
      <w:r w:rsidRPr="00BC4048">
        <w:t xml:space="preserve"> period in 2023/2024, mpox notifications peaked in September 2024 and have been decreasing in recent months.</w:t>
      </w:r>
    </w:p>
    <w:p w14:paraId="409A6CED" w14:textId="77777777" w:rsidR="00BC4048" w:rsidRDefault="00A11349" w:rsidP="00BC4048">
      <w:pPr>
        <w:pStyle w:val="Heading1"/>
      </w:pPr>
      <w:r w:rsidRPr="00BC4048">
        <w:t>Japanese encephalitis virus infection</w:t>
      </w:r>
    </w:p>
    <w:p w14:paraId="4518B602" w14:textId="08916E74" w:rsidR="00061488" w:rsidRDefault="00A11349" w:rsidP="00BC4048">
      <w:r w:rsidRPr="00BC4048">
        <w:t xml:space="preserve">Japanese encephalitis virus (JEV) infection is most commonly asymptomatic, but some cases can result in severe disease and death. JEV is a flavivirus and transmitted to humans through bites from infected mosquitos. In this reporting period there was 1 confirmed locally acquired case of JEV infection notified for a resident of Queensland who spent time in the Goondiwindi Local Area and Central Queensland. </w:t>
      </w:r>
      <w:r w:rsidR="00193B3F" w:rsidRPr="00BC4048">
        <w:t>In</w:t>
      </w:r>
      <w:r w:rsidRPr="00BC4048">
        <w:t xml:space="preserve"> December 2024 there </w:t>
      </w:r>
      <w:r w:rsidR="00193B3F" w:rsidRPr="00BC4048">
        <w:t xml:space="preserve">were </w:t>
      </w:r>
      <w:r w:rsidRPr="00BC4048">
        <w:t>2 cases of JEV infection notified to the NNDSS including 1 confirmed locally acquired case of JEV infection in a Victorian resident and 1 probable JEV infection in a Queensland resident who acquired their infection in Timor Leste.</w:t>
      </w:r>
    </w:p>
    <w:p w14:paraId="4E4708D8" w14:textId="77777777" w:rsidR="00061488" w:rsidRDefault="00061488">
      <w:r>
        <w:br w:type="page"/>
      </w:r>
    </w:p>
    <w:bookmarkEnd w:id="7"/>
    <w:p w14:paraId="15978A89" w14:textId="77777777" w:rsidR="00C37A92" w:rsidRPr="00BC4048" w:rsidRDefault="00C37A92" w:rsidP="008E145B">
      <w:pPr>
        <w:spacing w:before="360"/>
        <w:rPr>
          <w:rStyle w:val="IntenseEmphasis"/>
        </w:rPr>
      </w:pPr>
      <w:r w:rsidRPr="00BC4048">
        <w:rPr>
          <w:rStyle w:val="IntenseEmphasis"/>
        </w:rPr>
        <w:lastRenderedPageBreak/>
        <w:t xml:space="preserve">Interpretative Notes </w:t>
      </w:r>
    </w:p>
    <w:bookmarkEnd w:id="3"/>
    <w:bookmarkEnd w:id="4"/>
    <w:bookmarkEnd w:id="5"/>
    <w:bookmarkEnd w:id="6"/>
    <w:p w14:paraId="71AA7033" w14:textId="77777777" w:rsidR="00017515" w:rsidRPr="00BC4048" w:rsidRDefault="00017515" w:rsidP="00BC4048">
      <w:pPr>
        <w:pStyle w:val="FootnoteText"/>
      </w:pPr>
      <w:r w:rsidRPr="00BC4048">
        <w:t>Selected diseases are chosen each fortnight based on either exceeding two standard deviations from the 90 day and/or 365 day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BC4048" w:rsidRDefault="00017515" w:rsidP="00BC4048">
      <w:pPr>
        <w:pStyle w:val="FootnoteText"/>
      </w:pPr>
      <w:r w:rsidRPr="00BC4048">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D63BFEF" w:rsidR="00017515" w:rsidRPr="00BC4048" w:rsidRDefault="00017515" w:rsidP="00BC4048">
      <w:pPr>
        <w:pStyle w:val="ListNumber"/>
      </w:pPr>
      <w:r w:rsidRPr="00BC4048">
        <w:t>The past quarter (90 day) surveillance period includes the date range (</w:t>
      </w:r>
      <w:r w:rsidR="00176BE4" w:rsidRPr="00BC4048">
        <w:t>22</w:t>
      </w:r>
      <w:r w:rsidR="00AF43C7" w:rsidRPr="00BC4048">
        <w:t>/</w:t>
      </w:r>
      <w:r w:rsidR="00872BFE" w:rsidRPr="00BC4048">
        <w:t>10</w:t>
      </w:r>
      <w:r w:rsidR="0081611F" w:rsidRPr="00BC4048">
        <w:t>/20</w:t>
      </w:r>
      <w:r w:rsidR="007F67BA" w:rsidRPr="00BC4048">
        <w:t>2</w:t>
      </w:r>
      <w:r w:rsidR="00D1381A" w:rsidRPr="00BC4048">
        <w:t>4</w:t>
      </w:r>
      <w:r w:rsidR="0081611F" w:rsidRPr="00BC4048">
        <w:t xml:space="preserve"> to</w:t>
      </w:r>
      <w:r w:rsidR="005F4765" w:rsidRPr="00BC4048">
        <w:t xml:space="preserve"> </w:t>
      </w:r>
      <w:r w:rsidR="00176BE4" w:rsidRPr="00BC4048">
        <w:t>19</w:t>
      </w:r>
      <w:r w:rsidR="00AF43C7" w:rsidRPr="00BC4048">
        <w:t>/</w:t>
      </w:r>
      <w:r w:rsidR="00872BFE" w:rsidRPr="00BC4048">
        <w:t>01</w:t>
      </w:r>
      <w:r w:rsidR="009C1059" w:rsidRPr="00BC4048">
        <w:t>/20</w:t>
      </w:r>
      <w:r w:rsidR="006A65C0" w:rsidRPr="00BC4048">
        <w:t>2</w:t>
      </w:r>
      <w:r w:rsidR="00872BFE" w:rsidRPr="00BC4048">
        <w:t>5</w:t>
      </w:r>
      <w:r w:rsidR="00777AAA" w:rsidRPr="00BC4048">
        <w:t>).</w:t>
      </w:r>
    </w:p>
    <w:p w14:paraId="38B56901" w14:textId="16C7019A" w:rsidR="00017515" w:rsidRPr="00BC4048" w:rsidRDefault="00017515" w:rsidP="00BC4048">
      <w:pPr>
        <w:pStyle w:val="ListNumber"/>
      </w:pPr>
      <w:r w:rsidRPr="00BC4048">
        <w:t xml:space="preserve">The quarterly (90 day) five year rolling mean is the average </w:t>
      </w:r>
      <w:r w:rsidR="00D26EE8" w:rsidRPr="00BC4048">
        <w:t>of</w:t>
      </w:r>
      <w:r w:rsidR="00CA37B4" w:rsidRPr="00BC4048">
        <w:t xml:space="preserve"> 5 intervals of 90 days up to</w:t>
      </w:r>
      <w:r w:rsidR="003603F7" w:rsidRPr="00BC4048">
        <w:t xml:space="preserve"> </w:t>
      </w:r>
      <w:r w:rsidR="00176BE4" w:rsidRPr="00BC4048">
        <w:t>19</w:t>
      </w:r>
      <w:r w:rsidR="002B3157" w:rsidRPr="00BC4048">
        <w:t>/</w:t>
      </w:r>
      <w:r w:rsidR="00872BFE" w:rsidRPr="00BC4048">
        <w:t>01</w:t>
      </w:r>
      <w:r w:rsidR="00AF43C7" w:rsidRPr="00BC4048">
        <w:t>/202</w:t>
      </w:r>
      <w:r w:rsidR="00872BFE" w:rsidRPr="00BC4048">
        <w:t>4</w:t>
      </w:r>
      <w:r w:rsidRPr="00BC4048">
        <w:t>.  The ratio is the notification activity in the past quarter (90 days) compared with the five year rolling mean for the same period.</w:t>
      </w:r>
    </w:p>
    <w:p w14:paraId="228A0A61" w14:textId="6B953940" w:rsidR="00017515" w:rsidRPr="00BC4048" w:rsidRDefault="00017515" w:rsidP="00BC4048">
      <w:pPr>
        <w:pStyle w:val="ListNumber"/>
      </w:pPr>
      <w:r w:rsidRPr="00BC4048">
        <w:t xml:space="preserve">The past year (365 day) surveillance period includes the date range </w:t>
      </w:r>
      <w:r w:rsidR="002C38A0" w:rsidRPr="00BC4048">
        <w:t>(</w:t>
      </w:r>
      <w:r w:rsidR="00176BE4" w:rsidRPr="00BC4048">
        <w:t>20</w:t>
      </w:r>
      <w:r w:rsidR="00AF43C7" w:rsidRPr="00BC4048">
        <w:t>/</w:t>
      </w:r>
      <w:r w:rsidR="00430CFE" w:rsidRPr="00BC4048">
        <w:t>01</w:t>
      </w:r>
      <w:r w:rsidR="00421F52" w:rsidRPr="00BC4048">
        <w:t>/</w:t>
      </w:r>
      <w:r w:rsidR="009C1059" w:rsidRPr="00BC4048">
        <w:t>202</w:t>
      </w:r>
      <w:r w:rsidR="00430CFE" w:rsidRPr="00BC4048">
        <w:t>4</w:t>
      </w:r>
      <w:r w:rsidR="00493076" w:rsidRPr="00BC4048">
        <w:t xml:space="preserve"> to</w:t>
      </w:r>
      <w:r w:rsidR="00EA74EE" w:rsidRPr="00BC4048">
        <w:t xml:space="preserve"> </w:t>
      </w:r>
      <w:r w:rsidR="00176BE4" w:rsidRPr="00BC4048">
        <w:t>19</w:t>
      </w:r>
      <w:r w:rsidR="002B3157" w:rsidRPr="00BC4048">
        <w:t>/</w:t>
      </w:r>
      <w:r w:rsidR="00430CFE" w:rsidRPr="00BC4048">
        <w:t>01</w:t>
      </w:r>
      <w:r w:rsidR="00AF43C7" w:rsidRPr="00BC4048">
        <w:t>/202</w:t>
      </w:r>
      <w:r w:rsidR="00430CFE" w:rsidRPr="00BC4048">
        <w:t>5</w:t>
      </w:r>
      <w:r w:rsidR="002C38A0" w:rsidRPr="00BC4048">
        <w:t>).</w:t>
      </w:r>
    </w:p>
    <w:p w14:paraId="24BCFBDD" w14:textId="56C230F4" w:rsidR="00017515" w:rsidRPr="00BC4048" w:rsidRDefault="00017515" w:rsidP="00BC4048">
      <w:pPr>
        <w:pStyle w:val="ListNumber"/>
      </w:pPr>
      <w:r w:rsidRPr="00BC4048">
        <w:t>The yearly (365 day) five year rolling mean is the average o</w:t>
      </w:r>
      <w:r w:rsidR="007F67BA" w:rsidRPr="00BC4048">
        <w:t xml:space="preserve">f </w:t>
      </w:r>
      <w:r w:rsidR="00CA37B4" w:rsidRPr="00BC4048">
        <w:t>5 intervals of 365 days up to</w:t>
      </w:r>
      <w:r w:rsidR="00A13BC6" w:rsidRPr="00BC4048">
        <w:t xml:space="preserve"> </w:t>
      </w:r>
      <w:r w:rsidR="00176BE4" w:rsidRPr="00BC4048">
        <w:t>19</w:t>
      </w:r>
      <w:r w:rsidR="002B3157" w:rsidRPr="00BC4048">
        <w:t>/</w:t>
      </w:r>
      <w:r w:rsidR="00176BE4" w:rsidRPr="00BC4048">
        <w:t>01</w:t>
      </w:r>
      <w:r w:rsidR="00AF43C7" w:rsidRPr="00BC4048">
        <w:t>/202</w:t>
      </w:r>
      <w:r w:rsidR="00176BE4" w:rsidRPr="00BC4048">
        <w:t>4</w:t>
      </w:r>
      <w:r w:rsidR="002C38A0" w:rsidRPr="00BC4048">
        <w:t>.</w:t>
      </w:r>
      <w:r w:rsidR="00777AAA" w:rsidRPr="00BC4048">
        <w:t xml:space="preserve"> </w:t>
      </w:r>
      <w:r w:rsidRPr="00BC4048">
        <w:t>The ratio is the notification activity in the past year (365 days) compared with the five year rolling mean for the same period.</w:t>
      </w:r>
    </w:p>
    <w:p w14:paraId="011711D9" w14:textId="77777777" w:rsidR="00745E0F" w:rsidRPr="00BC4048" w:rsidRDefault="00017515" w:rsidP="00BC4048">
      <w:pPr>
        <w:pStyle w:val="FootnoteText"/>
      </w:pPr>
      <w:r w:rsidRPr="00BC4048">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BC4048"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1B0F6E2"/>
    <w:lvl w:ilvl="0">
      <w:start w:val="1"/>
      <w:numFmt w:val="decimal"/>
      <w:pStyle w:val="ListNumber"/>
      <w:lvlText w:val="%1."/>
      <w:lvlJc w:val="left"/>
      <w:pPr>
        <w:ind w:left="360" w:hanging="360"/>
      </w:pPr>
      <w:rPr>
        <w:rFonts w:hint="default"/>
        <w:vertAlign w:val="superscript"/>
      </w:rPr>
    </w:lvl>
  </w:abstractNum>
  <w:abstractNum w:abstractNumId="1"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3"/>
  </w:num>
  <w:num w:numId="2" w16cid:durableId="1162816864">
    <w:abstractNumId w:val="1"/>
  </w:num>
  <w:num w:numId="3" w16cid:durableId="1496067094">
    <w:abstractNumId w:val="4"/>
  </w:num>
  <w:num w:numId="4" w16cid:durableId="30228586">
    <w:abstractNumId w:val="4"/>
  </w:num>
  <w:num w:numId="5" w16cid:durableId="1166633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3682720">
    <w:abstractNumId w:val="0"/>
  </w:num>
  <w:num w:numId="7" w16cid:durableId="925268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488"/>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6513"/>
    <w:rsid w:val="00172F5F"/>
    <w:rsid w:val="001738A3"/>
    <w:rsid w:val="00174CE5"/>
    <w:rsid w:val="00176BE4"/>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22B"/>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9D"/>
    <w:rsid w:val="004424A1"/>
    <w:rsid w:val="004424BE"/>
    <w:rsid w:val="00442C9C"/>
    <w:rsid w:val="00443302"/>
    <w:rsid w:val="004441E9"/>
    <w:rsid w:val="00444390"/>
    <w:rsid w:val="0044721C"/>
    <w:rsid w:val="004501AB"/>
    <w:rsid w:val="0045170F"/>
    <w:rsid w:val="004538B1"/>
    <w:rsid w:val="00454B72"/>
    <w:rsid w:val="00455EF7"/>
    <w:rsid w:val="00457383"/>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08BA"/>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883"/>
    <w:rsid w:val="0088606F"/>
    <w:rsid w:val="00890EC4"/>
    <w:rsid w:val="00891E45"/>
    <w:rsid w:val="0089228E"/>
    <w:rsid w:val="00895784"/>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145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E2CC8"/>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3A21"/>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4048"/>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4669"/>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048"/>
    <w:rPr>
      <w:rFonts w:asciiTheme="minorHAnsi" w:hAnsiTheme="minorHAnsi"/>
      <w:sz w:val="24"/>
      <w:szCs w:val="24"/>
    </w:rPr>
  </w:style>
  <w:style w:type="paragraph" w:styleId="Heading1">
    <w:name w:val="heading 1"/>
    <w:basedOn w:val="Normal"/>
    <w:next w:val="Normal"/>
    <w:qFormat/>
    <w:rsid w:val="008E145B"/>
    <w:pPr>
      <w:keepNext/>
      <w:spacing w:before="120" w:after="120" w:line="276" w:lineRule="auto"/>
      <w:outlineLvl w:val="0"/>
    </w:pPr>
    <w:rPr>
      <w:rFonts w:cs="Arial"/>
      <w:b/>
      <w:bCs/>
      <w:color w:val="000000"/>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styleId="Title">
    <w:name w:val="Title"/>
    <w:basedOn w:val="Normal"/>
    <w:next w:val="Normal"/>
    <w:link w:val="TitleChar"/>
    <w:qFormat/>
    <w:rsid w:val="008E145B"/>
    <w:pPr>
      <w:spacing w:before="120" w:after="120"/>
      <w:jc w:val="center"/>
    </w:pPr>
    <w:rPr>
      <w:rFonts w:eastAsiaTheme="majorEastAsia" w:cstheme="majorBidi"/>
      <w:b/>
      <w:spacing w:val="-10"/>
      <w:kern w:val="28"/>
      <w:szCs w:val="56"/>
    </w:rPr>
  </w:style>
  <w:style w:type="character" w:customStyle="1" w:styleId="TitleChar">
    <w:name w:val="Title Char"/>
    <w:basedOn w:val="DefaultParagraphFont"/>
    <w:link w:val="Title"/>
    <w:rsid w:val="008E145B"/>
    <w:rPr>
      <w:rFonts w:asciiTheme="minorHAnsi" w:eastAsiaTheme="majorEastAsia" w:hAnsiTheme="minorHAnsi" w:cstheme="majorBidi"/>
      <w:b/>
      <w:spacing w:val="-10"/>
      <w:kern w:val="28"/>
      <w:sz w:val="24"/>
      <w:szCs w:val="56"/>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FootnoteText">
    <w:name w:val="footnote text"/>
    <w:basedOn w:val="Normal"/>
    <w:link w:val="FootnoteTextChar"/>
    <w:unhideWhenUsed/>
    <w:rsid w:val="00BC4048"/>
    <w:pPr>
      <w:spacing w:before="40" w:after="40"/>
    </w:pPr>
    <w:rPr>
      <w:sz w:val="20"/>
      <w:szCs w:val="20"/>
    </w:rPr>
  </w:style>
  <w:style w:type="character" w:customStyle="1" w:styleId="FootnoteTextChar">
    <w:name w:val="Footnote Text Char"/>
    <w:basedOn w:val="DefaultParagraphFont"/>
    <w:link w:val="FootnoteText"/>
    <w:rsid w:val="00BC4048"/>
    <w:rPr>
      <w:rFonts w:asciiTheme="minorHAnsi" w:hAnsiTheme="minorHAnsi"/>
    </w:rPr>
  </w:style>
  <w:style w:type="paragraph" w:styleId="ListNumber">
    <w:name w:val="List Number"/>
    <w:basedOn w:val="Normal"/>
    <w:rsid w:val="00BC4048"/>
    <w:pPr>
      <w:numPr>
        <w:numId w:val="6"/>
      </w:numPr>
      <w:ind w:left="113" w:hanging="113"/>
      <w:contextualSpacing/>
    </w:pPr>
    <w:rPr>
      <w:sz w:val="20"/>
    </w:rPr>
  </w:style>
  <w:style w:type="paragraph" w:styleId="Revision">
    <w:name w:val="Revision"/>
    <w:hidden/>
    <w:uiPriority w:val="99"/>
    <w:semiHidden/>
    <w:rsid w:val="00086ACE"/>
    <w:rPr>
      <w:sz w:val="24"/>
      <w:szCs w:val="24"/>
    </w:rPr>
  </w:style>
  <w:style w:type="character" w:styleId="IntenseEmphasis">
    <w:name w:val="Intense Emphasis"/>
    <w:basedOn w:val="DefaultParagraphFont"/>
    <w:uiPriority w:val="21"/>
    <w:qFormat/>
    <w:rsid w:val="00BC4048"/>
    <w:rPr>
      <w:rFonts w:asciiTheme="minorHAnsi" w:hAnsiTheme="minorHAnsi"/>
      <w:b/>
      <w:i/>
      <w:iCs/>
      <w:color w:val="auto"/>
      <w:sz w:val="20"/>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675</Words>
  <Characters>3891</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NNDSS Fortnightly Report to CDNA – 06 January 2025 to 19 January 2025</vt:lpstr>
    </vt:vector>
  </TitlesOfParts>
  <Company/>
  <LinksUpToDate>false</LinksUpToDate>
  <CharactersWithSpaces>4544</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06 January 2025 to 19 January 2025</dc:title>
  <dc:subject>Communicable Diseases</dc:subject>
  <dc:creator>Australian Government Department of Health and Aged Care</dc:creator>
  <cp:keywords>Communicable Diseases; National Notifiable Diseases Surveillance System (NNDSS)</cp:keywords>
  <cp:lastModifiedBy>MASCHKE, Elvia</cp:lastModifiedBy>
  <cp:revision>5</cp:revision>
  <cp:lastPrinted>2025-01-28T04:58:00Z</cp:lastPrinted>
  <dcterms:created xsi:type="dcterms:W3CDTF">2025-01-30T08:45:00Z</dcterms:created>
  <dcterms:modified xsi:type="dcterms:W3CDTF">2025-01-30T08:48:00Z</dcterms:modified>
</cp:coreProperties>
</file>