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71B672" w14:textId="7413F045" w:rsidR="003619F4" w:rsidRDefault="00BC7AED" w:rsidP="003619F4">
      <w:pPr>
        <w:pStyle w:val="Heading1"/>
        <w:spacing w:before="2960"/>
      </w:pPr>
      <w:r w:rsidRPr="00BC7AED">
        <w:t>AN-ACC Transition Fund</w:t>
      </w:r>
    </w:p>
    <w:p w14:paraId="7171036F" w14:textId="13D70DF7" w:rsidR="003619F4" w:rsidRDefault="3A1E8997" w:rsidP="003619F4">
      <w:pPr>
        <w:pStyle w:val="Introduction"/>
      </w:pPr>
      <w:r>
        <w:t xml:space="preserve">The Australian National Aged Care Classification (AN-ACC) funding model </w:t>
      </w:r>
      <w:r w:rsidR="3A5A7434">
        <w:t xml:space="preserve">for residential aged care </w:t>
      </w:r>
      <w:r>
        <w:t xml:space="preserve">replaced the Aged Care Funding Instrument (ACFI) on 1 October 2022. This fact sheet </w:t>
      </w:r>
      <w:r w:rsidR="19421F3F">
        <w:t>is</w:t>
      </w:r>
      <w:r>
        <w:t xml:space="preserve"> about the </w:t>
      </w:r>
      <w:r w:rsidR="708FC7FD">
        <w:t xml:space="preserve">2024-25 </w:t>
      </w:r>
      <w:r>
        <w:t xml:space="preserve">AN-ACC Transition Fund, which </w:t>
      </w:r>
      <w:r w:rsidR="54EBBCA7">
        <w:t xml:space="preserve">continues to </w:t>
      </w:r>
      <w:r>
        <w:t>support provider</w:t>
      </w:r>
      <w:r w:rsidR="19C52A76">
        <w:t>s</w:t>
      </w:r>
      <w:r>
        <w:t xml:space="preserve"> as they transition from ACFI to AN-ACC.</w:t>
      </w:r>
    </w:p>
    <w:p w14:paraId="179DB93B" w14:textId="77777777" w:rsidR="003619F4" w:rsidRDefault="00BC7AED" w:rsidP="003619F4">
      <w:pPr>
        <w:pStyle w:val="Heading2"/>
      </w:pPr>
      <w:r>
        <w:t>Overview</w:t>
      </w:r>
    </w:p>
    <w:p w14:paraId="432D17DB" w14:textId="7E0A83D8" w:rsidR="00895DE8" w:rsidRDefault="0E5581C1" w:rsidP="00666658">
      <w:r>
        <w:t xml:space="preserve">The 2024-25 AN-ACC Transition Fund grant opportunity </w:t>
      </w:r>
      <w:r w:rsidR="5DD9404F">
        <w:t>provides</w:t>
      </w:r>
      <w:r w:rsidR="07C881AF">
        <w:t xml:space="preserve"> targeted </w:t>
      </w:r>
      <w:r w:rsidR="7B5389EF">
        <w:t>temporary</w:t>
      </w:r>
      <w:r w:rsidR="5DD9404F">
        <w:t xml:space="preserve"> financial support </w:t>
      </w:r>
      <w:r w:rsidR="62D06B89">
        <w:t>for</w:t>
      </w:r>
      <w:r w:rsidR="22DA6DAA">
        <w:t xml:space="preserve"> a small </w:t>
      </w:r>
      <w:r w:rsidR="48039DD0">
        <w:t>number of</w:t>
      </w:r>
      <w:r w:rsidR="5DD9404F">
        <w:t xml:space="preserve"> residential aged care </w:t>
      </w:r>
      <w:r w:rsidR="50392021">
        <w:t>services</w:t>
      </w:r>
      <w:r w:rsidR="367C2D3F">
        <w:t>. These services have</w:t>
      </w:r>
      <w:r w:rsidR="4647AC1B">
        <w:t xml:space="preserve"> specific characteristics that do not align with existing Base Care Tariff (BCT) categories under the current AN-ACC funding model</w:t>
      </w:r>
      <w:r w:rsidR="5DD9404F">
        <w:t>.</w:t>
      </w:r>
    </w:p>
    <w:p w14:paraId="41CDA604" w14:textId="5604D33B" w:rsidR="00666658" w:rsidRDefault="0003683F" w:rsidP="00666658">
      <w:r>
        <w:t xml:space="preserve">Providers can use funds from the </w:t>
      </w:r>
      <w:r w:rsidR="55E85C54">
        <w:t>202</w:t>
      </w:r>
      <w:r w:rsidR="006E0481">
        <w:t>4</w:t>
      </w:r>
      <w:r w:rsidR="55E85C54">
        <w:t>-2</w:t>
      </w:r>
      <w:r w:rsidR="006E0481">
        <w:t>5</w:t>
      </w:r>
      <w:r w:rsidR="55E85C54">
        <w:t xml:space="preserve"> </w:t>
      </w:r>
      <w:r>
        <w:t xml:space="preserve">AN-ACC Transition Fund for expenses </w:t>
      </w:r>
      <w:r w:rsidR="00F266BD">
        <w:t xml:space="preserve">to support </w:t>
      </w:r>
      <w:r w:rsidR="00DD2054" w:rsidRPr="00DD2054">
        <w:t>continuity of care for residents</w:t>
      </w:r>
      <w:r w:rsidR="00F266BD">
        <w:t>,</w:t>
      </w:r>
      <w:r w:rsidR="00DD2054" w:rsidRPr="00DD2054">
        <w:t xml:space="preserve"> </w:t>
      </w:r>
      <w:r w:rsidR="00467C1E">
        <w:t>including (but not limited to)</w:t>
      </w:r>
      <w:r>
        <w:t xml:space="preserve"> staff salaries, allied health, diversional therapy, recreation activities, medical supplies and nutritional supplements (not including pharmaceuticals), chaplaincy and pastoral care, and administration.</w:t>
      </w:r>
    </w:p>
    <w:p w14:paraId="5469A6BA" w14:textId="2385CAD6" w:rsidR="002C2D46" w:rsidRDefault="00D679BB" w:rsidP="002C2D46">
      <w:pPr>
        <w:pStyle w:val="Heading2"/>
      </w:pPr>
      <w:r>
        <w:t>Who is eligible</w:t>
      </w:r>
    </w:p>
    <w:p w14:paraId="3E3973B7" w14:textId="04096AFE" w:rsidR="007A52D2" w:rsidRPr="007A52D2" w:rsidRDefault="04CF12E4" w:rsidP="04CF12E4">
      <w:r>
        <w:t xml:space="preserve">The Department of Health and Aged Care </w:t>
      </w:r>
      <w:r w:rsidR="6F82EF37">
        <w:t>(</w:t>
      </w:r>
      <w:r w:rsidR="6F82EF37" w:rsidDel="00A262FB">
        <w:t xml:space="preserve">the </w:t>
      </w:r>
      <w:r w:rsidR="6F82EF37">
        <w:t xml:space="preserve">department) </w:t>
      </w:r>
      <w:r w:rsidR="4A9B4D4A">
        <w:t>identifies eligible s</w:t>
      </w:r>
      <w:r>
        <w:t xml:space="preserve">ervices for the AN-ACC Transition Fund and </w:t>
      </w:r>
      <w:r w:rsidR="7DDCB565">
        <w:t>sends an invitation to apply.</w:t>
      </w:r>
    </w:p>
    <w:p w14:paraId="22D69761" w14:textId="1E87C247" w:rsidR="007A52D2" w:rsidRPr="007A52D2" w:rsidRDefault="04CF12E4" w:rsidP="04CF12E4">
      <w:r>
        <w:t xml:space="preserve">To be eligible to apply for the </w:t>
      </w:r>
      <w:r w:rsidR="0D6A7F21">
        <w:t>2024-25 g</w:t>
      </w:r>
      <w:r>
        <w:t xml:space="preserve">rant </w:t>
      </w:r>
      <w:r w:rsidR="0D703DEE">
        <w:t>o</w:t>
      </w:r>
      <w:r>
        <w:t>pportunity</w:t>
      </w:r>
      <w:r w:rsidR="628CF18A">
        <w:t>, providers</w:t>
      </w:r>
      <w:r>
        <w:t xml:space="preserve"> must:</w:t>
      </w:r>
    </w:p>
    <w:p w14:paraId="1D7A255A" w14:textId="1B41B1A9" w:rsidR="007A52D2" w:rsidRPr="007A52D2" w:rsidRDefault="37895876" w:rsidP="00EC478C">
      <w:pPr>
        <w:pStyle w:val="ListParagraph"/>
        <w:numPr>
          <w:ilvl w:val="0"/>
          <w:numId w:val="33"/>
        </w:numPr>
      </w:pPr>
      <w:r>
        <w:t>be an approved provider under the Aged Care Quality and Safety Commission Act 2018 that:</w:t>
      </w:r>
    </w:p>
    <w:p w14:paraId="71F7C19D" w14:textId="40553126" w:rsidR="007A52D2" w:rsidRPr="007A52D2" w:rsidRDefault="007A52D2" w:rsidP="00EC478C">
      <w:pPr>
        <w:pStyle w:val="ListParagraph"/>
        <w:numPr>
          <w:ilvl w:val="1"/>
          <w:numId w:val="33"/>
        </w:numPr>
      </w:pPr>
      <w:r w:rsidRPr="007A52D2">
        <w:t>provides residential care services</w:t>
      </w:r>
    </w:p>
    <w:p w14:paraId="48CB8EA8" w14:textId="45E4E586" w:rsidR="007A52D2" w:rsidRPr="007A52D2" w:rsidRDefault="007A52D2" w:rsidP="00EC478C">
      <w:pPr>
        <w:pStyle w:val="ListParagraph"/>
        <w:numPr>
          <w:ilvl w:val="1"/>
          <w:numId w:val="33"/>
        </w:numPr>
      </w:pPr>
      <w:r w:rsidRPr="007A52D2">
        <w:t>existed prior to 1 July 2024</w:t>
      </w:r>
    </w:p>
    <w:p w14:paraId="7A155822" w14:textId="77777777" w:rsidR="00CF695C" w:rsidRPr="00EC478C" w:rsidRDefault="007A52D2" w:rsidP="0029436E">
      <w:pPr>
        <w:pStyle w:val="ListParagraph"/>
        <w:numPr>
          <w:ilvl w:val="1"/>
          <w:numId w:val="33"/>
        </w:numPr>
        <w:rPr>
          <w:b/>
        </w:rPr>
      </w:pPr>
      <w:r w:rsidRPr="007A52D2">
        <w:t>is a body corporate; and</w:t>
      </w:r>
    </w:p>
    <w:p w14:paraId="4B03CC2E" w14:textId="5A782907" w:rsidR="001D145C" w:rsidRPr="00EC478C" w:rsidRDefault="702ED5CD" w:rsidP="00EC478C">
      <w:pPr>
        <w:pStyle w:val="ListParagraph"/>
        <w:numPr>
          <w:ilvl w:val="1"/>
          <w:numId w:val="33"/>
        </w:numPr>
      </w:pPr>
      <w:r>
        <w:t>ha</w:t>
      </w:r>
      <w:r w:rsidR="11E2D3E0">
        <w:t>ve</w:t>
      </w:r>
      <w:r>
        <w:t xml:space="preserve"> received an invitation from the department to apply</w:t>
      </w:r>
      <w:r w:rsidR="00964A59">
        <w:t>.</w:t>
      </w:r>
    </w:p>
    <w:p w14:paraId="48ECD8D1" w14:textId="06ACADF4" w:rsidR="00BC7AED" w:rsidRDefault="00BC7AED" w:rsidP="00BC7AED">
      <w:pPr>
        <w:pStyle w:val="Heading2"/>
      </w:pPr>
      <w:r w:rsidRPr="00BC7AED">
        <w:lastRenderedPageBreak/>
        <w:t xml:space="preserve">How eligibility </w:t>
      </w:r>
      <w:r w:rsidR="00D44CEE">
        <w:t xml:space="preserve">is </w:t>
      </w:r>
      <w:r w:rsidRPr="00BC7AED">
        <w:t>determined</w:t>
      </w:r>
      <w:r w:rsidR="00D679BB">
        <w:t xml:space="preserve"> </w:t>
      </w:r>
    </w:p>
    <w:p w14:paraId="73679397" w14:textId="50AE172D" w:rsidR="00782402" w:rsidRPr="002533E2" w:rsidRDefault="70AEA1A4">
      <w:pPr>
        <w:rPr>
          <w:rFonts w:cs="Arial"/>
        </w:rPr>
      </w:pPr>
      <w:r w:rsidRPr="04CF12E4">
        <w:rPr>
          <w:rFonts w:cs="Arial"/>
        </w:rPr>
        <w:t xml:space="preserve">The department determines </w:t>
      </w:r>
      <w:r w:rsidR="0449E7E8" w:rsidRPr="04CF12E4">
        <w:rPr>
          <w:rFonts w:cs="Arial"/>
        </w:rPr>
        <w:t xml:space="preserve">the </w:t>
      </w:r>
      <w:r w:rsidRPr="04CF12E4">
        <w:rPr>
          <w:rFonts w:cs="Arial"/>
        </w:rPr>
        <w:t>eligibility</w:t>
      </w:r>
      <w:r w:rsidR="771869CA" w:rsidRPr="04CF12E4">
        <w:rPr>
          <w:rFonts w:cs="Arial"/>
        </w:rPr>
        <w:t xml:space="preserve"> of residential aged care services</w:t>
      </w:r>
      <w:r w:rsidR="61778958" w:rsidRPr="04CF12E4">
        <w:rPr>
          <w:rFonts w:cs="Arial"/>
        </w:rPr>
        <w:t xml:space="preserve"> based on </w:t>
      </w:r>
      <w:r w:rsidR="00844580">
        <w:rPr>
          <w:rFonts w:cs="Arial"/>
        </w:rPr>
        <w:t>3</w:t>
      </w:r>
      <w:r w:rsidR="61778958" w:rsidRPr="04CF12E4">
        <w:rPr>
          <w:rFonts w:cs="Arial"/>
        </w:rPr>
        <w:t xml:space="preserve"> specified categories</w:t>
      </w:r>
      <w:r w:rsidR="1D9F136A" w:rsidRPr="04CF12E4">
        <w:rPr>
          <w:rFonts w:cs="Arial"/>
        </w:rPr>
        <w:t>:</w:t>
      </w:r>
      <w:r w:rsidR="61778958" w:rsidRPr="04CF12E4">
        <w:rPr>
          <w:rFonts w:cs="Aria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Eligibility for modified monash categories"/>
      </w:tblPr>
      <w:tblGrid>
        <w:gridCol w:w="555"/>
        <w:gridCol w:w="2415"/>
        <w:gridCol w:w="6090"/>
      </w:tblGrid>
      <w:tr w:rsidR="00782402" w:rsidRPr="00D04093" w14:paraId="2D90B303" w14:textId="77777777" w:rsidTr="004E205C">
        <w:trPr>
          <w:trHeight w:val="105"/>
          <w:tblHeader/>
        </w:trPr>
        <w:tc>
          <w:tcPr>
            <w:tcW w:w="2970" w:type="dxa"/>
            <w:gridSpan w:val="2"/>
            <w:tcBorders>
              <w:top w:val="single" w:sz="6" w:space="0" w:color="auto"/>
              <w:left w:val="single" w:sz="6" w:space="0" w:color="auto"/>
              <w:bottom w:val="single" w:sz="6" w:space="0" w:color="auto"/>
              <w:right w:val="single" w:sz="6" w:space="0" w:color="auto"/>
            </w:tcBorders>
            <w:shd w:val="clear" w:color="auto" w:fill="C6D9F1"/>
            <w:hideMark/>
          </w:tcPr>
          <w:p w14:paraId="6795F27A" w14:textId="77777777" w:rsidR="00782402" w:rsidRPr="00D04093" w:rsidRDefault="00782402" w:rsidP="00FB03D1">
            <w:pPr>
              <w:spacing w:before="0" w:after="0" w:line="240" w:lineRule="auto"/>
              <w:textAlignment w:val="baseline"/>
              <w:rPr>
                <w:rFonts w:ascii="Times New Roman" w:eastAsia="Times New Roman" w:hAnsi="Times New Roman" w:cs="Times New Roman"/>
                <w:lang w:eastAsia="en-AU"/>
              </w:rPr>
            </w:pPr>
            <w:r w:rsidRPr="00D04093">
              <w:rPr>
                <w:rFonts w:eastAsia="Times New Roman" w:cs="Arial"/>
                <w:b/>
                <w:bCs/>
                <w:sz w:val="22"/>
                <w:szCs w:val="22"/>
                <w:lang w:eastAsia="en-AU"/>
              </w:rPr>
              <w:t>Category</w:t>
            </w:r>
            <w:r w:rsidRPr="00D04093">
              <w:rPr>
                <w:rFonts w:eastAsia="Times New Roman" w:cs="Arial"/>
                <w:sz w:val="22"/>
                <w:szCs w:val="22"/>
                <w:lang w:eastAsia="en-AU"/>
              </w:rPr>
              <w:t> </w:t>
            </w:r>
          </w:p>
        </w:tc>
        <w:tc>
          <w:tcPr>
            <w:tcW w:w="6090" w:type="dxa"/>
            <w:tcBorders>
              <w:top w:val="single" w:sz="6" w:space="0" w:color="auto"/>
              <w:left w:val="single" w:sz="6" w:space="0" w:color="auto"/>
              <w:bottom w:val="single" w:sz="6" w:space="0" w:color="auto"/>
              <w:right w:val="single" w:sz="6" w:space="0" w:color="auto"/>
            </w:tcBorders>
            <w:shd w:val="clear" w:color="auto" w:fill="C6D9F1"/>
            <w:hideMark/>
          </w:tcPr>
          <w:p w14:paraId="7E841E70" w14:textId="77777777" w:rsidR="00782402" w:rsidRPr="00D04093" w:rsidRDefault="00782402" w:rsidP="00FB03D1">
            <w:pPr>
              <w:spacing w:before="0" w:after="0" w:line="240" w:lineRule="auto"/>
              <w:textAlignment w:val="baseline"/>
              <w:rPr>
                <w:rFonts w:ascii="Times New Roman" w:eastAsia="Times New Roman" w:hAnsi="Times New Roman" w:cs="Times New Roman"/>
                <w:lang w:eastAsia="en-AU"/>
              </w:rPr>
            </w:pPr>
            <w:r w:rsidRPr="00D04093">
              <w:rPr>
                <w:rFonts w:eastAsia="Times New Roman" w:cs="Arial"/>
                <w:b/>
                <w:bCs/>
                <w:sz w:val="22"/>
                <w:szCs w:val="22"/>
                <w:lang w:eastAsia="en-AU"/>
              </w:rPr>
              <w:t>Eligibility</w:t>
            </w:r>
            <w:r w:rsidRPr="00D04093">
              <w:rPr>
                <w:rFonts w:eastAsia="Times New Roman" w:cs="Arial"/>
                <w:sz w:val="22"/>
                <w:szCs w:val="22"/>
                <w:lang w:eastAsia="en-AU"/>
              </w:rPr>
              <w:t> </w:t>
            </w:r>
          </w:p>
        </w:tc>
      </w:tr>
      <w:tr w:rsidR="00782402" w:rsidRPr="00D04093" w14:paraId="2B77B88A" w14:textId="77777777" w:rsidTr="00FB03D1">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23304B8A" w14:textId="77777777" w:rsidR="00782402" w:rsidRPr="00D04093" w:rsidRDefault="00782402" w:rsidP="00FB03D1">
            <w:pPr>
              <w:spacing w:before="0" w:after="0" w:line="240" w:lineRule="auto"/>
              <w:textAlignment w:val="baseline"/>
              <w:rPr>
                <w:rFonts w:ascii="Times New Roman" w:eastAsia="Times New Roman" w:hAnsi="Times New Roman" w:cs="Times New Roman"/>
                <w:lang w:eastAsia="en-AU"/>
              </w:rPr>
            </w:pPr>
            <w:r w:rsidRPr="00D04093">
              <w:rPr>
                <w:rFonts w:eastAsia="Times New Roman" w:cs="Arial"/>
                <w:b/>
                <w:bCs/>
                <w:sz w:val="22"/>
                <w:szCs w:val="22"/>
                <w:lang w:eastAsia="en-AU"/>
              </w:rPr>
              <w:t>1</w:t>
            </w:r>
            <w:r w:rsidRPr="00D04093">
              <w:rPr>
                <w:rFonts w:eastAsia="Times New Roman" w:cs="Arial"/>
                <w:sz w:val="22"/>
                <w:szCs w:val="22"/>
                <w:lang w:eastAsia="en-AU"/>
              </w:rPr>
              <w:t> </w:t>
            </w:r>
          </w:p>
        </w:tc>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0ECEB19F" w14:textId="019BE803" w:rsidR="00782402" w:rsidRPr="00D04093" w:rsidRDefault="00782402" w:rsidP="00FB03D1">
            <w:pPr>
              <w:spacing w:before="0" w:after="0" w:line="240" w:lineRule="auto"/>
              <w:textAlignment w:val="baseline"/>
              <w:rPr>
                <w:rFonts w:ascii="Times New Roman" w:eastAsia="Times New Roman" w:hAnsi="Times New Roman" w:cs="Times New Roman"/>
                <w:lang w:eastAsia="en-AU"/>
              </w:rPr>
            </w:pPr>
            <w:r w:rsidRPr="00D04093">
              <w:rPr>
                <w:rFonts w:eastAsia="Times New Roman" w:cs="Arial"/>
                <w:b/>
                <w:bCs/>
                <w:sz w:val="22"/>
                <w:szCs w:val="22"/>
                <w:lang w:eastAsia="en-AU"/>
              </w:rPr>
              <w:t>Isolated services in MM</w:t>
            </w:r>
            <w:r w:rsidR="00A759CD">
              <w:rPr>
                <w:rFonts w:eastAsia="Times New Roman" w:cs="Arial"/>
                <w:b/>
                <w:bCs/>
                <w:sz w:val="22"/>
                <w:szCs w:val="22"/>
                <w:lang w:eastAsia="en-AU"/>
              </w:rPr>
              <w:t xml:space="preserve"> </w:t>
            </w:r>
            <w:r w:rsidRPr="00D04093">
              <w:rPr>
                <w:rFonts w:eastAsia="Times New Roman" w:cs="Arial"/>
                <w:b/>
                <w:bCs/>
                <w:sz w:val="22"/>
                <w:szCs w:val="22"/>
                <w:lang w:eastAsia="en-AU"/>
              </w:rPr>
              <w:t>3-4</w:t>
            </w:r>
            <w:r w:rsidRPr="00D04093">
              <w:rPr>
                <w:rFonts w:eastAsia="Times New Roman" w:cs="Arial"/>
                <w:sz w:val="22"/>
                <w:szCs w:val="22"/>
                <w:lang w:eastAsia="en-AU"/>
              </w:rPr>
              <w:t> </w:t>
            </w:r>
          </w:p>
        </w:tc>
        <w:tc>
          <w:tcPr>
            <w:tcW w:w="6090" w:type="dxa"/>
            <w:tcBorders>
              <w:top w:val="single" w:sz="6" w:space="0" w:color="auto"/>
              <w:left w:val="single" w:sz="6" w:space="0" w:color="auto"/>
              <w:bottom w:val="single" w:sz="6" w:space="0" w:color="auto"/>
              <w:right w:val="single" w:sz="6" w:space="0" w:color="auto"/>
            </w:tcBorders>
            <w:shd w:val="clear" w:color="auto" w:fill="auto"/>
            <w:hideMark/>
          </w:tcPr>
          <w:p w14:paraId="2A80D4FD" w14:textId="5BF34CAB" w:rsidR="00782402" w:rsidRPr="00D04093" w:rsidRDefault="00782402" w:rsidP="00FB03D1">
            <w:pPr>
              <w:spacing w:before="0" w:after="0" w:line="240" w:lineRule="auto"/>
              <w:textAlignment w:val="baseline"/>
              <w:rPr>
                <w:rFonts w:ascii="Times New Roman" w:eastAsia="Times New Roman" w:hAnsi="Times New Roman" w:cs="Times New Roman"/>
                <w:lang w:eastAsia="en-AU"/>
              </w:rPr>
            </w:pPr>
            <w:r w:rsidRPr="00D04093">
              <w:rPr>
                <w:rFonts w:eastAsia="Times New Roman" w:cs="Arial"/>
                <w:sz w:val="22"/>
                <w:szCs w:val="22"/>
                <w:lang w:eastAsia="en-AU"/>
              </w:rPr>
              <w:t>MM</w:t>
            </w:r>
            <w:r w:rsidR="00A759CD">
              <w:rPr>
                <w:rFonts w:eastAsia="Times New Roman" w:cs="Arial"/>
                <w:sz w:val="22"/>
                <w:szCs w:val="22"/>
                <w:lang w:eastAsia="en-AU"/>
              </w:rPr>
              <w:t xml:space="preserve"> </w:t>
            </w:r>
            <w:r w:rsidRPr="00D04093">
              <w:rPr>
                <w:rFonts w:eastAsia="Times New Roman" w:cs="Arial"/>
                <w:sz w:val="22"/>
                <w:szCs w:val="22"/>
                <w:lang w:eastAsia="en-AU"/>
              </w:rPr>
              <w:t xml:space="preserve">3-4 services in </w:t>
            </w:r>
            <w:r w:rsidR="00BF04D1">
              <w:rPr>
                <w:rFonts w:eastAsia="Times New Roman" w:cs="Arial"/>
                <w:sz w:val="22"/>
                <w:szCs w:val="22"/>
                <w:lang w:eastAsia="en-AU"/>
              </w:rPr>
              <w:t xml:space="preserve">specified </w:t>
            </w:r>
            <w:r w:rsidRPr="00D04093">
              <w:rPr>
                <w:rFonts w:eastAsia="Times New Roman" w:cs="Arial"/>
                <w:sz w:val="22"/>
                <w:szCs w:val="22"/>
                <w:lang w:eastAsia="en-AU"/>
              </w:rPr>
              <w:t xml:space="preserve">enclaves </w:t>
            </w:r>
            <w:r w:rsidR="00515885">
              <w:rPr>
                <w:rFonts w:eastAsia="Times New Roman" w:cs="Arial"/>
                <w:sz w:val="22"/>
                <w:szCs w:val="22"/>
                <w:lang w:eastAsia="en-AU"/>
              </w:rPr>
              <w:t>identified in the Grant Opportunity Guidelines</w:t>
            </w:r>
            <w:r w:rsidRPr="00D04093">
              <w:rPr>
                <w:rFonts w:eastAsia="Times New Roman" w:cs="Arial"/>
                <w:sz w:val="22"/>
                <w:szCs w:val="22"/>
                <w:lang w:eastAsia="en-AU"/>
              </w:rPr>
              <w:t>. </w:t>
            </w:r>
          </w:p>
        </w:tc>
      </w:tr>
      <w:tr w:rsidR="00782402" w:rsidRPr="00D04093" w14:paraId="64F1DA8A" w14:textId="77777777" w:rsidTr="00FB03D1">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2AEF5CAD" w14:textId="77777777" w:rsidR="00782402" w:rsidRPr="00D04093" w:rsidRDefault="00782402" w:rsidP="00FB03D1">
            <w:pPr>
              <w:spacing w:before="0" w:after="0" w:line="240" w:lineRule="auto"/>
              <w:textAlignment w:val="baseline"/>
              <w:rPr>
                <w:rFonts w:ascii="Times New Roman" w:eastAsia="Times New Roman" w:hAnsi="Times New Roman" w:cs="Times New Roman"/>
                <w:lang w:eastAsia="en-AU"/>
              </w:rPr>
            </w:pPr>
            <w:r w:rsidRPr="00D04093">
              <w:rPr>
                <w:rFonts w:eastAsia="Times New Roman" w:cs="Arial"/>
                <w:b/>
                <w:bCs/>
                <w:sz w:val="22"/>
                <w:szCs w:val="22"/>
                <w:lang w:eastAsia="en-AU"/>
              </w:rPr>
              <w:t>2</w:t>
            </w:r>
            <w:r w:rsidRPr="00D04093">
              <w:rPr>
                <w:rFonts w:eastAsia="Times New Roman" w:cs="Arial"/>
                <w:sz w:val="22"/>
                <w:szCs w:val="22"/>
                <w:lang w:eastAsia="en-AU"/>
              </w:rPr>
              <w:t> </w:t>
            </w:r>
          </w:p>
        </w:tc>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3BC32AD2" w14:textId="56FF70B4" w:rsidR="00782402" w:rsidRPr="00D04093" w:rsidRDefault="00782402" w:rsidP="00FB03D1">
            <w:pPr>
              <w:spacing w:before="0" w:after="0" w:line="240" w:lineRule="auto"/>
              <w:textAlignment w:val="baseline"/>
              <w:rPr>
                <w:rFonts w:ascii="Times New Roman" w:eastAsia="Times New Roman" w:hAnsi="Times New Roman" w:cs="Times New Roman"/>
                <w:lang w:eastAsia="en-AU"/>
              </w:rPr>
            </w:pPr>
            <w:r w:rsidRPr="00D04093">
              <w:rPr>
                <w:rFonts w:eastAsia="Times New Roman" w:cs="Arial"/>
                <w:b/>
                <w:bCs/>
                <w:sz w:val="22"/>
                <w:szCs w:val="22"/>
                <w:lang w:eastAsia="en-AU"/>
              </w:rPr>
              <w:t>MM</w:t>
            </w:r>
            <w:r w:rsidR="00A759CD">
              <w:rPr>
                <w:rFonts w:eastAsia="Times New Roman" w:cs="Arial"/>
                <w:b/>
                <w:bCs/>
                <w:sz w:val="22"/>
                <w:szCs w:val="22"/>
                <w:lang w:eastAsia="en-AU"/>
              </w:rPr>
              <w:t xml:space="preserve"> </w:t>
            </w:r>
            <w:r w:rsidRPr="00D04093">
              <w:rPr>
                <w:rFonts w:eastAsia="Times New Roman" w:cs="Arial"/>
                <w:b/>
                <w:bCs/>
                <w:sz w:val="22"/>
                <w:szCs w:val="22"/>
                <w:lang w:eastAsia="en-AU"/>
              </w:rPr>
              <w:t>6-7 services with 30 or more beds and high occupancy</w:t>
            </w:r>
            <w:r w:rsidRPr="00D04093">
              <w:rPr>
                <w:rFonts w:eastAsia="Times New Roman" w:cs="Arial"/>
                <w:sz w:val="22"/>
                <w:szCs w:val="22"/>
                <w:lang w:eastAsia="en-AU"/>
              </w:rPr>
              <w:t> </w:t>
            </w:r>
          </w:p>
        </w:tc>
        <w:tc>
          <w:tcPr>
            <w:tcW w:w="6090" w:type="dxa"/>
            <w:tcBorders>
              <w:top w:val="single" w:sz="6" w:space="0" w:color="auto"/>
              <w:left w:val="single" w:sz="6" w:space="0" w:color="auto"/>
              <w:bottom w:val="single" w:sz="6" w:space="0" w:color="auto"/>
              <w:right w:val="single" w:sz="6" w:space="0" w:color="auto"/>
            </w:tcBorders>
            <w:shd w:val="clear" w:color="auto" w:fill="auto"/>
            <w:hideMark/>
          </w:tcPr>
          <w:p w14:paraId="494E8930" w14:textId="128A0086" w:rsidR="00782402" w:rsidRPr="00D04093" w:rsidRDefault="00782402" w:rsidP="00FB03D1">
            <w:pPr>
              <w:spacing w:before="0" w:after="0" w:line="240" w:lineRule="auto"/>
              <w:textAlignment w:val="baseline"/>
              <w:rPr>
                <w:rFonts w:ascii="Times New Roman" w:eastAsia="Times New Roman" w:hAnsi="Times New Roman" w:cs="Times New Roman"/>
                <w:lang w:eastAsia="en-AU"/>
              </w:rPr>
            </w:pPr>
            <w:r w:rsidRPr="00D04093">
              <w:rPr>
                <w:rFonts w:eastAsia="Times New Roman" w:cs="Arial"/>
                <w:sz w:val="22"/>
                <w:szCs w:val="22"/>
                <w:lang w:eastAsia="en-AU"/>
              </w:rPr>
              <w:t>Services in MM</w:t>
            </w:r>
            <w:r w:rsidR="00A759CD">
              <w:rPr>
                <w:rFonts w:eastAsia="Times New Roman" w:cs="Arial"/>
                <w:sz w:val="22"/>
                <w:szCs w:val="22"/>
                <w:lang w:eastAsia="en-AU"/>
              </w:rPr>
              <w:t xml:space="preserve"> </w:t>
            </w:r>
            <w:r w:rsidRPr="00D04093">
              <w:rPr>
                <w:rFonts w:eastAsia="Times New Roman" w:cs="Arial"/>
                <w:sz w:val="22"/>
                <w:szCs w:val="22"/>
                <w:lang w:eastAsia="en-AU"/>
              </w:rPr>
              <w:t xml:space="preserve">6-7 classified locations with 30 or more beds and occupancy* of </w:t>
            </w:r>
            <w:r w:rsidRPr="00D04093">
              <w:rPr>
                <w:rFonts w:eastAsia="Times New Roman" w:cs="Arial"/>
                <w:b/>
                <w:bCs/>
                <w:sz w:val="22"/>
                <w:szCs w:val="22"/>
                <w:lang w:eastAsia="en-AU"/>
              </w:rPr>
              <w:t>80% or more</w:t>
            </w:r>
            <w:r w:rsidRPr="00D04093">
              <w:rPr>
                <w:rFonts w:eastAsia="Times New Roman" w:cs="Arial"/>
                <w:sz w:val="22"/>
                <w:szCs w:val="22"/>
                <w:lang w:eastAsia="en-AU"/>
              </w:rPr>
              <w:t>. </w:t>
            </w:r>
          </w:p>
        </w:tc>
      </w:tr>
      <w:tr w:rsidR="00782402" w:rsidRPr="00D04093" w14:paraId="34FF2B37" w14:textId="77777777" w:rsidTr="00FB03D1">
        <w:trPr>
          <w:trHeight w:val="300"/>
        </w:trPr>
        <w:tc>
          <w:tcPr>
            <w:tcW w:w="555" w:type="dxa"/>
            <w:tcBorders>
              <w:top w:val="single" w:sz="6" w:space="0" w:color="auto"/>
              <w:left w:val="single" w:sz="6" w:space="0" w:color="auto"/>
              <w:bottom w:val="single" w:sz="6" w:space="0" w:color="auto"/>
              <w:right w:val="single" w:sz="6" w:space="0" w:color="auto"/>
            </w:tcBorders>
            <w:shd w:val="clear" w:color="auto" w:fill="auto"/>
            <w:hideMark/>
          </w:tcPr>
          <w:p w14:paraId="2D59D3C0" w14:textId="77777777" w:rsidR="00782402" w:rsidRPr="00D04093" w:rsidRDefault="00782402" w:rsidP="00FB03D1">
            <w:pPr>
              <w:spacing w:before="0" w:after="0" w:line="240" w:lineRule="auto"/>
              <w:textAlignment w:val="baseline"/>
              <w:rPr>
                <w:rFonts w:ascii="Times New Roman" w:eastAsia="Times New Roman" w:hAnsi="Times New Roman" w:cs="Times New Roman"/>
                <w:lang w:eastAsia="en-AU"/>
              </w:rPr>
            </w:pPr>
            <w:r w:rsidRPr="00D04093">
              <w:rPr>
                <w:rFonts w:eastAsia="Times New Roman" w:cs="Arial"/>
                <w:b/>
                <w:bCs/>
                <w:sz w:val="22"/>
                <w:szCs w:val="22"/>
                <w:lang w:eastAsia="en-AU"/>
              </w:rPr>
              <w:t>3</w:t>
            </w:r>
            <w:r w:rsidRPr="00D04093">
              <w:rPr>
                <w:rFonts w:eastAsia="Times New Roman" w:cs="Arial"/>
                <w:sz w:val="22"/>
                <w:szCs w:val="22"/>
                <w:lang w:eastAsia="en-AU"/>
              </w:rPr>
              <w:t> </w:t>
            </w:r>
          </w:p>
        </w:tc>
        <w:tc>
          <w:tcPr>
            <w:tcW w:w="2400" w:type="dxa"/>
            <w:tcBorders>
              <w:top w:val="single" w:sz="6" w:space="0" w:color="auto"/>
              <w:left w:val="single" w:sz="6" w:space="0" w:color="auto"/>
              <w:bottom w:val="single" w:sz="6" w:space="0" w:color="auto"/>
              <w:right w:val="single" w:sz="6" w:space="0" w:color="auto"/>
            </w:tcBorders>
            <w:shd w:val="clear" w:color="auto" w:fill="auto"/>
            <w:hideMark/>
          </w:tcPr>
          <w:p w14:paraId="6A1D2AA3" w14:textId="0967B9A8" w:rsidR="00782402" w:rsidRPr="00D04093" w:rsidRDefault="00782402" w:rsidP="00FB03D1">
            <w:pPr>
              <w:spacing w:before="0" w:after="0" w:line="240" w:lineRule="auto"/>
              <w:textAlignment w:val="baseline"/>
              <w:rPr>
                <w:rFonts w:ascii="Times New Roman" w:eastAsia="Times New Roman" w:hAnsi="Times New Roman" w:cs="Times New Roman"/>
                <w:lang w:eastAsia="en-AU"/>
              </w:rPr>
            </w:pPr>
            <w:r w:rsidRPr="00D04093">
              <w:rPr>
                <w:rFonts w:eastAsia="Times New Roman" w:cs="Arial"/>
                <w:b/>
                <w:bCs/>
                <w:sz w:val="22"/>
                <w:szCs w:val="22"/>
                <w:lang w:eastAsia="en-AU"/>
              </w:rPr>
              <w:t>Aboriginal and/or Torres Strait Islander services in MM</w:t>
            </w:r>
            <w:r w:rsidR="00A759CD">
              <w:rPr>
                <w:rFonts w:eastAsia="Times New Roman" w:cs="Arial"/>
                <w:b/>
                <w:bCs/>
                <w:sz w:val="22"/>
                <w:szCs w:val="22"/>
                <w:lang w:eastAsia="en-AU"/>
              </w:rPr>
              <w:t xml:space="preserve"> </w:t>
            </w:r>
            <w:r w:rsidRPr="00D04093">
              <w:rPr>
                <w:rFonts w:eastAsia="Times New Roman" w:cs="Arial"/>
                <w:b/>
                <w:bCs/>
                <w:sz w:val="22"/>
                <w:szCs w:val="22"/>
                <w:lang w:eastAsia="en-AU"/>
              </w:rPr>
              <w:t>1-4</w:t>
            </w:r>
            <w:r w:rsidRPr="00D04093">
              <w:rPr>
                <w:rFonts w:eastAsia="Times New Roman" w:cs="Arial"/>
                <w:sz w:val="22"/>
                <w:szCs w:val="22"/>
                <w:lang w:eastAsia="en-AU"/>
              </w:rPr>
              <w:t> </w:t>
            </w:r>
          </w:p>
        </w:tc>
        <w:tc>
          <w:tcPr>
            <w:tcW w:w="6090" w:type="dxa"/>
            <w:tcBorders>
              <w:top w:val="single" w:sz="6" w:space="0" w:color="auto"/>
              <w:left w:val="single" w:sz="6" w:space="0" w:color="auto"/>
              <w:bottom w:val="single" w:sz="6" w:space="0" w:color="auto"/>
              <w:right w:val="single" w:sz="6" w:space="0" w:color="auto"/>
            </w:tcBorders>
            <w:shd w:val="clear" w:color="auto" w:fill="auto"/>
            <w:hideMark/>
          </w:tcPr>
          <w:p w14:paraId="7BF9B0C3" w14:textId="7EE471CA" w:rsidR="00782402" w:rsidRPr="00D04093" w:rsidRDefault="00782402" w:rsidP="00FB03D1">
            <w:pPr>
              <w:spacing w:before="0" w:after="0" w:line="240" w:lineRule="auto"/>
              <w:textAlignment w:val="baseline"/>
              <w:rPr>
                <w:rFonts w:ascii="Times New Roman" w:eastAsia="Times New Roman" w:hAnsi="Times New Roman" w:cs="Times New Roman"/>
                <w:lang w:eastAsia="en-AU"/>
              </w:rPr>
            </w:pPr>
            <w:r w:rsidRPr="00D04093">
              <w:rPr>
                <w:rFonts w:eastAsia="Times New Roman" w:cs="Arial"/>
                <w:sz w:val="22"/>
                <w:szCs w:val="22"/>
                <w:lang w:eastAsia="en-AU"/>
              </w:rPr>
              <w:t>Services in MM</w:t>
            </w:r>
            <w:r w:rsidR="00A759CD">
              <w:rPr>
                <w:rFonts w:eastAsia="Times New Roman" w:cs="Arial"/>
                <w:sz w:val="22"/>
                <w:szCs w:val="22"/>
                <w:lang w:eastAsia="en-AU"/>
              </w:rPr>
              <w:t xml:space="preserve"> </w:t>
            </w:r>
            <w:r w:rsidRPr="00D04093">
              <w:rPr>
                <w:rFonts w:eastAsia="Times New Roman" w:cs="Arial"/>
                <w:sz w:val="22"/>
                <w:szCs w:val="22"/>
                <w:lang w:eastAsia="en-AU"/>
              </w:rPr>
              <w:t xml:space="preserve">1-4 classified locations with at least 50% Aboriginal and Torres Strait Islander residents (according to resident pre-entry Aged Care </w:t>
            </w:r>
            <w:r w:rsidR="00777754">
              <w:rPr>
                <w:rFonts w:eastAsia="Times New Roman" w:cs="Arial"/>
                <w:sz w:val="22"/>
                <w:szCs w:val="22"/>
                <w:lang w:eastAsia="en-AU"/>
              </w:rPr>
              <w:t>Needs</w:t>
            </w:r>
            <w:r w:rsidR="00762921">
              <w:rPr>
                <w:rFonts w:eastAsia="Times New Roman" w:cs="Arial"/>
                <w:sz w:val="22"/>
                <w:szCs w:val="22"/>
                <w:lang w:eastAsia="en-AU"/>
              </w:rPr>
              <w:t xml:space="preserve"> </w:t>
            </w:r>
            <w:r w:rsidRPr="00D04093">
              <w:rPr>
                <w:rFonts w:eastAsia="Times New Roman" w:cs="Arial"/>
                <w:sz w:val="22"/>
                <w:szCs w:val="22"/>
                <w:lang w:eastAsia="en-AU"/>
              </w:rPr>
              <w:t>Assessment records held by the department).</w:t>
            </w:r>
          </w:p>
        </w:tc>
      </w:tr>
    </w:tbl>
    <w:p w14:paraId="3C29B8EB" w14:textId="48A0CD7E" w:rsidR="00782402" w:rsidRPr="00D04093" w:rsidRDefault="00782402" w:rsidP="00782402">
      <w:pPr>
        <w:spacing w:before="0" w:after="0" w:line="240" w:lineRule="auto"/>
        <w:textAlignment w:val="baseline"/>
        <w:rPr>
          <w:rFonts w:ascii="Segoe UI" w:eastAsia="Times New Roman" w:hAnsi="Segoe UI" w:cs="Segoe UI"/>
          <w:sz w:val="18"/>
          <w:szCs w:val="18"/>
          <w:lang w:eastAsia="en-AU"/>
        </w:rPr>
      </w:pPr>
      <w:r w:rsidRPr="00D04093">
        <w:rPr>
          <w:rFonts w:eastAsia="Times New Roman" w:cs="Arial"/>
          <w:i/>
          <w:iCs/>
          <w:sz w:val="22"/>
          <w:szCs w:val="22"/>
          <w:lang w:eastAsia="en-AU"/>
        </w:rPr>
        <w:t>*Occupancy will be based on the average claim days (including occupied respite beds) recorded for each service in the individual quarterly payment periods throughout the grant period. An invitation to apply for funding may be extended to all MM</w:t>
      </w:r>
      <w:r w:rsidR="00D21F98">
        <w:rPr>
          <w:rFonts w:eastAsia="Times New Roman" w:cs="Arial"/>
          <w:i/>
          <w:iCs/>
          <w:sz w:val="22"/>
          <w:szCs w:val="22"/>
          <w:lang w:eastAsia="en-AU"/>
        </w:rPr>
        <w:t xml:space="preserve"> </w:t>
      </w:r>
      <w:r w:rsidRPr="00D04093">
        <w:rPr>
          <w:rFonts w:eastAsia="Times New Roman" w:cs="Arial"/>
          <w:i/>
          <w:iCs/>
          <w:sz w:val="22"/>
          <w:szCs w:val="22"/>
          <w:lang w:eastAsia="en-AU"/>
        </w:rPr>
        <w:t>6-7 services with 30 or more beds, although this does not guarantee funding eligibility. Should the calculated occupancy be less than 80% within an individual quarterly payment period, a funding payment will not be processed for that quarter.</w:t>
      </w:r>
    </w:p>
    <w:p w14:paraId="0F838784" w14:textId="1917EF36" w:rsidR="000317DA" w:rsidRPr="002533E2" w:rsidRDefault="000317DA" w:rsidP="000317DA">
      <w:pPr>
        <w:rPr>
          <w:rFonts w:cs="Arial"/>
        </w:rPr>
      </w:pPr>
      <w:r>
        <w:rPr>
          <w:rFonts w:cs="Arial"/>
        </w:rPr>
        <w:t>A</w:t>
      </w:r>
      <w:r w:rsidRPr="00377856">
        <w:rPr>
          <w:rFonts w:cs="Arial"/>
        </w:rPr>
        <w:t xml:space="preserve">n automated notification email from </w:t>
      </w:r>
      <w:proofErr w:type="spellStart"/>
      <w:r w:rsidRPr="00377856">
        <w:rPr>
          <w:rFonts w:cs="Arial"/>
        </w:rPr>
        <w:t>GrantConnect</w:t>
      </w:r>
      <w:proofErr w:type="spellEnd"/>
      <w:r w:rsidRPr="00377856">
        <w:rPr>
          <w:rFonts w:cs="Arial"/>
        </w:rPr>
        <w:t xml:space="preserve"> advising you of the 2024-25 AN-ACC Transition Fund grant opportunity is not an invitation to apply.</w:t>
      </w:r>
    </w:p>
    <w:p w14:paraId="7EE27008" w14:textId="657BBF20" w:rsidR="00BC7AED" w:rsidRDefault="00BC7AED" w:rsidP="00BC7AED">
      <w:pPr>
        <w:pStyle w:val="Heading2"/>
      </w:pPr>
      <w:r>
        <w:t xml:space="preserve">How </w:t>
      </w:r>
      <w:r w:rsidR="0077356F">
        <w:t xml:space="preserve">the </w:t>
      </w:r>
      <w:r>
        <w:t>payments work</w:t>
      </w:r>
    </w:p>
    <w:p w14:paraId="73778D40" w14:textId="2E38FCB3" w:rsidR="0071078B" w:rsidRDefault="0071078B" w:rsidP="00BC7AED">
      <w:r w:rsidRPr="0071078B">
        <w:t>Payments will be calculated based on the AN-ACC claims submitted by eligible providers within the period of 1 July 2024 until 30 September 2025.</w:t>
      </w:r>
      <w:r w:rsidR="003D2120">
        <w:t xml:space="preserve"> </w:t>
      </w:r>
      <w:r w:rsidR="003D2120" w:rsidRPr="003D2120">
        <w:t>Payments will be paid quarterly in arrears commencing within one month of the last quarter’s claim payment date</w:t>
      </w:r>
      <w:r w:rsidR="003D2120">
        <w:t>.</w:t>
      </w:r>
    </w:p>
    <w:p w14:paraId="55D6EC0B" w14:textId="732066B8" w:rsidR="00BC7AED" w:rsidRDefault="00BF0EEA" w:rsidP="00BC7AED">
      <w:r>
        <w:t xml:space="preserve">Payments </w:t>
      </w:r>
      <w:r w:rsidR="7F7C32BE">
        <w:t xml:space="preserve">for each service </w:t>
      </w:r>
      <w:r>
        <w:t xml:space="preserve">will be calculated </w:t>
      </w:r>
      <w:r w:rsidR="6E3F330F">
        <w:t xml:space="preserve">based on </w:t>
      </w:r>
      <w:r>
        <w:t xml:space="preserve">the difference between </w:t>
      </w:r>
      <w:r w:rsidR="3FB3E30D">
        <w:t>the</w:t>
      </w:r>
      <w:r>
        <w:t xml:space="preserve"> service’s current BCT National Weighted Activity Unit (NWAU)</w:t>
      </w:r>
      <w:r w:rsidR="44AF5991">
        <w:t xml:space="preserve">, and </w:t>
      </w:r>
      <w:r w:rsidR="4DBBECC3">
        <w:t>its</w:t>
      </w:r>
      <w:r w:rsidR="44AF5991">
        <w:t xml:space="preserve"> eligible </w:t>
      </w:r>
      <w:r>
        <w:t>BCT NWAU</w:t>
      </w:r>
      <w:r w:rsidR="2C910165">
        <w:t xml:space="preserve"> under the AN-ACC Transition Fund</w:t>
      </w:r>
      <w:r>
        <w:t>. Category 1 and 3 will be paid per occupied bed and Category 2 paid per operational bed for beds 30 and above.</w:t>
      </w:r>
    </w:p>
    <w:p w14:paraId="3F0DC6A0" w14:textId="5590F1FD" w:rsidR="000304BA" w:rsidRDefault="000304BA" w:rsidP="00BC7AED">
      <w:pPr>
        <w:pStyle w:val="Heading2"/>
      </w:pPr>
      <w:r>
        <w:t xml:space="preserve">Previous </w:t>
      </w:r>
      <w:r w:rsidR="008D3793">
        <w:t>AN-ACC Transition Fund Grant Opportunities</w:t>
      </w:r>
    </w:p>
    <w:p w14:paraId="67DFDFDF" w14:textId="691F924F" w:rsidR="008D3793" w:rsidRDefault="008D3793" w:rsidP="008D3793">
      <w:r>
        <w:t xml:space="preserve">The AN-ACC Transition Fund started on 1 October 2022. It </w:t>
      </w:r>
      <w:r w:rsidR="00BE77CE">
        <w:t xml:space="preserve">provided </w:t>
      </w:r>
      <w:r>
        <w:t xml:space="preserve">financial support to eligible residential aged care providers to ensure they </w:t>
      </w:r>
      <w:r w:rsidR="00BE77CE">
        <w:t xml:space="preserve">could </w:t>
      </w:r>
      <w:r>
        <w:t>adjust their business operations and transition smoothly from ACFI to AN-ACC with no impact on their funding, while they continue to deliver services and care. The AN-ACC Transition Fund is not grand-parenting of the ACFI funding model.</w:t>
      </w:r>
    </w:p>
    <w:p w14:paraId="0591915E" w14:textId="4034A124" w:rsidR="003D1ADC" w:rsidRDefault="00FA5CDF" w:rsidP="008D3793">
      <w:pPr>
        <w:rPr>
          <w:b/>
        </w:rPr>
      </w:pPr>
      <w:r>
        <w:t>A</w:t>
      </w:r>
      <w:r w:rsidR="00C93B00">
        <w:t>pplications for a</w:t>
      </w:r>
      <w:r>
        <w:t xml:space="preserve">ll previous </w:t>
      </w:r>
      <w:r w:rsidR="00C93B00">
        <w:t xml:space="preserve">AN-ACC Transition Fund </w:t>
      </w:r>
      <w:r>
        <w:t xml:space="preserve">grant opportunities have </w:t>
      </w:r>
      <w:r w:rsidR="00C93B00">
        <w:t xml:space="preserve">now </w:t>
      </w:r>
      <w:r>
        <w:t>concluded.</w:t>
      </w:r>
    </w:p>
    <w:p w14:paraId="312A3F95" w14:textId="766C97F0" w:rsidR="00BC7AED" w:rsidRDefault="00BC7AED" w:rsidP="00BC7AED">
      <w:pPr>
        <w:pStyle w:val="Heading2"/>
      </w:pPr>
      <w:r>
        <w:t>More information</w:t>
      </w:r>
    </w:p>
    <w:p w14:paraId="3CD60BF3" w14:textId="23A99BF5" w:rsidR="001C363C" w:rsidRPr="004E205C" w:rsidRDefault="001C363C" w:rsidP="004E205C">
      <w:r w:rsidRPr="004E205C">
        <w:t>For information on AN-ACC, s</w:t>
      </w:r>
      <w:r w:rsidR="00BC7AED" w:rsidRPr="004E205C">
        <w:t>ee</w:t>
      </w:r>
      <w:r w:rsidR="00247232" w:rsidRPr="004E205C">
        <w:t>:</w:t>
      </w:r>
    </w:p>
    <w:p w14:paraId="7A95346D" w14:textId="243B5122" w:rsidR="00BC7AED" w:rsidRDefault="00BC7AED" w:rsidP="004F7D9A">
      <w:pPr>
        <w:pStyle w:val="ListParagraph"/>
        <w:numPr>
          <w:ilvl w:val="0"/>
          <w:numId w:val="20"/>
        </w:numPr>
      </w:pPr>
      <w:r>
        <w:t xml:space="preserve">the </w:t>
      </w:r>
      <w:hyperlink r:id="rId11" w:history="1">
        <w:r w:rsidRPr="00963377">
          <w:rPr>
            <w:rStyle w:val="Hyperlink"/>
          </w:rPr>
          <w:t>A</w:t>
        </w:r>
        <w:r w:rsidR="001C363C">
          <w:rPr>
            <w:rStyle w:val="Hyperlink"/>
          </w:rPr>
          <w:t>ustralian National Aged Care Classification (A</w:t>
        </w:r>
        <w:r w:rsidRPr="00963377">
          <w:rPr>
            <w:rStyle w:val="Hyperlink"/>
          </w:rPr>
          <w:t>N-ACC</w:t>
        </w:r>
        <w:r w:rsidR="001C363C">
          <w:rPr>
            <w:rStyle w:val="Hyperlink"/>
          </w:rPr>
          <w:t>)</w:t>
        </w:r>
        <w:r w:rsidRPr="00963377">
          <w:rPr>
            <w:rStyle w:val="Hyperlink"/>
          </w:rPr>
          <w:t xml:space="preserve"> </w:t>
        </w:r>
        <w:r w:rsidR="001C363C">
          <w:rPr>
            <w:rStyle w:val="Hyperlink"/>
          </w:rPr>
          <w:t>f</w:t>
        </w:r>
        <w:r w:rsidRPr="00963377">
          <w:rPr>
            <w:rStyle w:val="Hyperlink"/>
          </w:rPr>
          <w:t xml:space="preserve">unding </w:t>
        </w:r>
        <w:r w:rsidR="001C363C">
          <w:rPr>
            <w:rStyle w:val="Hyperlink"/>
          </w:rPr>
          <w:t>g</w:t>
        </w:r>
        <w:r w:rsidRPr="00963377">
          <w:rPr>
            <w:rStyle w:val="Hyperlink"/>
          </w:rPr>
          <w:t>uide</w:t>
        </w:r>
      </w:hyperlink>
      <w:r>
        <w:t xml:space="preserve"> </w:t>
      </w:r>
    </w:p>
    <w:p w14:paraId="490940EB" w14:textId="64BB83C9" w:rsidR="001C363C" w:rsidRDefault="001C363C" w:rsidP="004F7D9A">
      <w:pPr>
        <w:pStyle w:val="ListParagraph"/>
        <w:numPr>
          <w:ilvl w:val="0"/>
          <w:numId w:val="20"/>
        </w:numPr>
      </w:pPr>
      <w:r>
        <w:t>the</w:t>
      </w:r>
      <w:r w:rsidR="00BC7AED">
        <w:t xml:space="preserve"> </w:t>
      </w:r>
      <w:hyperlink r:id="rId12" w:history="1">
        <w:r w:rsidR="00BC7AED" w:rsidRPr="00963377">
          <w:rPr>
            <w:rStyle w:val="Hyperlink"/>
          </w:rPr>
          <w:t xml:space="preserve">Australian National Aged Care Classification </w:t>
        </w:r>
        <w:r>
          <w:rPr>
            <w:rStyle w:val="Hyperlink"/>
          </w:rPr>
          <w:t>webpage</w:t>
        </w:r>
      </w:hyperlink>
    </w:p>
    <w:sectPr w:rsidR="001C363C" w:rsidSect="009346B6">
      <w:headerReference w:type="first" r:id="rId13"/>
      <w:pgSz w:w="11906" w:h="16838"/>
      <w:pgMar w:top="1440" w:right="851" w:bottom="851"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111FFD" w14:textId="77777777" w:rsidR="00F41388" w:rsidRDefault="00F41388" w:rsidP="0076491B">
      <w:pPr>
        <w:spacing w:before="0" w:after="0" w:line="240" w:lineRule="auto"/>
      </w:pPr>
      <w:r>
        <w:separator/>
      </w:r>
    </w:p>
  </w:endnote>
  <w:endnote w:type="continuationSeparator" w:id="0">
    <w:p w14:paraId="5FC9C674" w14:textId="77777777" w:rsidR="00F41388" w:rsidRDefault="00F41388" w:rsidP="0076491B">
      <w:pPr>
        <w:spacing w:before="0" w:after="0" w:line="240" w:lineRule="auto"/>
      </w:pPr>
      <w:r>
        <w:continuationSeparator/>
      </w:r>
    </w:p>
  </w:endnote>
  <w:endnote w:type="continuationNotice" w:id="1">
    <w:p w14:paraId="5D69DBBA" w14:textId="77777777" w:rsidR="00F41388" w:rsidRDefault="00F41388">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1E8D65" w14:textId="77777777" w:rsidR="00F41388" w:rsidRDefault="00F41388" w:rsidP="0076491B">
      <w:pPr>
        <w:spacing w:before="0" w:after="0" w:line="240" w:lineRule="auto"/>
      </w:pPr>
      <w:r>
        <w:separator/>
      </w:r>
    </w:p>
  </w:footnote>
  <w:footnote w:type="continuationSeparator" w:id="0">
    <w:p w14:paraId="33B75B4E" w14:textId="77777777" w:rsidR="00F41388" w:rsidRDefault="00F41388" w:rsidP="0076491B">
      <w:pPr>
        <w:spacing w:before="0" w:after="0" w:line="240" w:lineRule="auto"/>
      </w:pPr>
      <w:r>
        <w:continuationSeparator/>
      </w:r>
    </w:p>
  </w:footnote>
  <w:footnote w:type="continuationNotice" w:id="1">
    <w:p w14:paraId="74A51045" w14:textId="77777777" w:rsidR="00F41388" w:rsidRDefault="00F41388">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AF1D28" w14:textId="77777777" w:rsidR="0076491B" w:rsidRDefault="008E4B24">
    <w:pPr>
      <w:pStyle w:val="Header"/>
    </w:pPr>
    <w:r w:rsidRPr="00020B4F">
      <w:rPr>
        <w:noProof/>
        <w:lang w:eastAsia="en-AU"/>
      </w:rPr>
      <w:drawing>
        <wp:anchor distT="0" distB="0" distL="114300" distR="114300" simplePos="0" relativeHeight="251658241" behindDoc="1" locked="0" layoutInCell="1" allowOverlap="1" wp14:anchorId="308442E1" wp14:editId="5D068A9A">
          <wp:simplePos x="0" y="0"/>
          <wp:positionH relativeFrom="page">
            <wp:align>right</wp:align>
          </wp:positionH>
          <wp:positionV relativeFrom="paragraph">
            <wp:posOffset>-1394460</wp:posOffset>
          </wp:positionV>
          <wp:extent cx="7740000" cy="339840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rotWithShape="1">
                  <a:blip r:embed="rId1" cstate="print">
                    <a:extLst>
                      <a:ext uri="{28A0092B-C50C-407E-A947-70E740481C1C}">
                        <a14:useLocalDpi xmlns:a14="http://schemas.microsoft.com/office/drawing/2010/main" val="0"/>
                      </a:ext>
                    </a:extLst>
                  </a:blip>
                  <a:srcRect b="34171"/>
                  <a:stretch/>
                </pic:blipFill>
                <pic:spPr bwMode="auto">
                  <a:xfrm>
                    <a:off x="0" y="0"/>
                    <a:ext cx="7740000" cy="3398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6491B">
      <w:rPr>
        <w:noProof/>
        <w:lang w:eastAsia="en-AU"/>
      </w:rPr>
      <w:drawing>
        <wp:anchor distT="0" distB="0" distL="114300" distR="114300" simplePos="0" relativeHeight="251658240" behindDoc="0" locked="0" layoutInCell="1" allowOverlap="1" wp14:anchorId="5F00201E" wp14:editId="22DD0780">
          <wp:simplePos x="0" y="0"/>
          <wp:positionH relativeFrom="page">
            <wp:align>center</wp:align>
          </wp:positionH>
          <wp:positionV relativeFrom="page">
            <wp:align>top</wp:align>
          </wp:positionV>
          <wp:extent cx="7531200" cy="210960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31200" cy="210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2D0C9B"/>
    <w:multiLevelType w:val="hybridMultilevel"/>
    <w:tmpl w:val="CB484122"/>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C92EFD"/>
    <w:multiLevelType w:val="hybridMultilevel"/>
    <w:tmpl w:val="D38A091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 w15:restartNumberingAfterBreak="0">
    <w:nsid w:val="159A6CFC"/>
    <w:multiLevelType w:val="hybridMultilevel"/>
    <w:tmpl w:val="F04C3AF0"/>
    <w:lvl w:ilvl="0" w:tplc="5770D766">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6323FDE"/>
    <w:multiLevelType w:val="hybridMultilevel"/>
    <w:tmpl w:val="D81E88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865F51"/>
    <w:multiLevelType w:val="hybridMultilevel"/>
    <w:tmpl w:val="013EF28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15:restartNumberingAfterBreak="0">
    <w:nsid w:val="24A57A7E"/>
    <w:multiLevelType w:val="multilevel"/>
    <w:tmpl w:val="ED9C17BA"/>
    <w:lvl w:ilvl="0">
      <w:start w:val="1"/>
      <w:numFmt w:val="bullet"/>
      <w:lvlText w:val=""/>
      <w:lvlJc w:val="left"/>
      <w:pPr>
        <w:tabs>
          <w:tab w:val="num" w:pos="-420"/>
        </w:tabs>
        <w:ind w:left="-420" w:hanging="360"/>
      </w:pPr>
      <w:rPr>
        <w:rFonts w:ascii="Symbol" w:hAnsi="Symbol" w:hint="default"/>
        <w:sz w:val="20"/>
      </w:rPr>
    </w:lvl>
    <w:lvl w:ilvl="1" w:tentative="1">
      <w:start w:val="1"/>
      <w:numFmt w:val="bullet"/>
      <w:lvlText w:val=""/>
      <w:lvlJc w:val="left"/>
      <w:pPr>
        <w:tabs>
          <w:tab w:val="num" w:pos="300"/>
        </w:tabs>
        <w:ind w:left="300" w:hanging="360"/>
      </w:pPr>
      <w:rPr>
        <w:rFonts w:ascii="Symbol" w:hAnsi="Symbol" w:hint="default"/>
        <w:sz w:val="20"/>
      </w:rPr>
    </w:lvl>
    <w:lvl w:ilvl="2" w:tentative="1">
      <w:start w:val="1"/>
      <w:numFmt w:val="bullet"/>
      <w:lvlText w:val=""/>
      <w:lvlJc w:val="left"/>
      <w:pPr>
        <w:tabs>
          <w:tab w:val="num" w:pos="1020"/>
        </w:tabs>
        <w:ind w:left="1020" w:hanging="360"/>
      </w:pPr>
      <w:rPr>
        <w:rFonts w:ascii="Symbol" w:hAnsi="Symbol" w:hint="default"/>
        <w:sz w:val="20"/>
      </w:rPr>
    </w:lvl>
    <w:lvl w:ilvl="3" w:tentative="1">
      <w:start w:val="1"/>
      <w:numFmt w:val="bullet"/>
      <w:lvlText w:val=""/>
      <w:lvlJc w:val="left"/>
      <w:pPr>
        <w:tabs>
          <w:tab w:val="num" w:pos="1740"/>
        </w:tabs>
        <w:ind w:left="1740" w:hanging="360"/>
      </w:pPr>
      <w:rPr>
        <w:rFonts w:ascii="Symbol" w:hAnsi="Symbol" w:hint="default"/>
        <w:sz w:val="20"/>
      </w:rPr>
    </w:lvl>
    <w:lvl w:ilvl="4" w:tentative="1">
      <w:start w:val="1"/>
      <w:numFmt w:val="bullet"/>
      <w:lvlText w:val=""/>
      <w:lvlJc w:val="left"/>
      <w:pPr>
        <w:tabs>
          <w:tab w:val="num" w:pos="2460"/>
        </w:tabs>
        <w:ind w:left="2460" w:hanging="360"/>
      </w:pPr>
      <w:rPr>
        <w:rFonts w:ascii="Symbol" w:hAnsi="Symbol" w:hint="default"/>
        <w:sz w:val="20"/>
      </w:rPr>
    </w:lvl>
    <w:lvl w:ilvl="5" w:tentative="1">
      <w:start w:val="1"/>
      <w:numFmt w:val="bullet"/>
      <w:lvlText w:val=""/>
      <w:lvlJc w:val="left"/>
      <w:pPr>
        <w:tabs>
          <w:tab w:val="num" w:pos="3180"/>
        </w:tabs>
        <w:ind w:left="3180" w:hanging="360"/>
      </w:pPr>
      <w:rPr>
        <w:rFonts w:ascii="Symbol" w:hAnsi="Symbol" w:hint="default"/>
        <w:sz w:val="20"/>
      </w:rPr>
    </w:lvl>
    <w:lvl w:ilvl="6" w:tentative="1">
      <w:start w:val="1"/>
      <w:numFmt w:val="bullet"/>
      <w:lvlText w:val=""/>
      <w:lvlJc w:val="left"/>
      <w:pPr>
        <w:tabs>
          <w:tab w:val="num" w:pos="3900"/>
        </w:tabs>
        <w:ind w:left="3900" w:hanging="360"/>
      </w:pPr>
      <w:rPr>
        <w:rFonts w:ascii="Symbol" w:hAnsi="Symbol" w:hint="default"/>
        <w:sz w:val="20"/>
      </w:rPr>
    </w:lvl>
    <w:lvl w:ilvl="7" w:tentative="1">
      <w:start w:val="1"/>
      <w:numFmt w:val="bullet"/>
      <w:lvlText w:val=""/>
      <w:lvlJc w:val="left"/>
      <w:pPr>
        <w:tabs>
          <w:tab w:val="num" w:pos="4620"/>
        </w:tabs>
        <w:ind w:left="4620" w:hanging="360"/>
      </w:pPr>
      <w:rPr>
        <w:rFonts w:ascii="Symbol" w:hAnsi="Symbol" w:hint="default"/>
        <w:sz w:val="20"/>
      </w:rPr>
    </w:lvl>
    <w:lvl w:ilvl="8" w:tentative="1">
      <w:start w:val="1"/>
      <w:numFmt w:val="bullet"/>
      <w:lvlText w:val=""/>
      <w:lvlJc w:val="left"/>
      <w:pPr>
        <w:tabs>
          <w:tab w:val="num" w:pos="5340"/>
        </w:tabs>
        <w:ind w:left="5340" w:hanging="360"/>
      </w:pPr>
      <w:rPr>
        <w:rFonts w:ascii="Symbol" w:hAnsi="Symbol" w:hint="default"/>
        <w:sz w:val="20"/>
      </w:rPr>
    </w:lvl>
  </w:abstractNum>
  <w:abstractNum w:abstractNumId="7" w15:restartNumberingAfterBreak="0">
    <w:nsid w:val="306F5CDB"/>
    <w:multiLevelType w:val="hybridMultilevel"/>
    <w:tmpl w:val="7F926684"/>
    <w:lvl w:ilvl="0" w:tplc="C9CE7010">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0ED3C1E"/>
    <w:multiLevelType w:val="hybridMultilevel"/>
    <w:tmpl w:val="0B2ABC50"/>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9" w15:restartNumberingAfterBreak="0">
    <w:nsid w:val="316478CD"/>
    <w:multiLevelType w:val="hybridMultilevel"/>
    <w:tmpl w:val="0276DAE8"/>
    <w:lvl w:ilvl="0" w:tplc="D11EFA46">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061057"/>
    <w:multiLevelType w:val="hybridMultilevel"/>
    <w:tmpl w:val="F9F266F8"/>
    <w:lvl w:ilvl="0" w:tplc="52A619C4">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EA034B0"/>
    <w:multiLevelType w:val="hybridMultilevel"/>
    <w:tmpl w:val="187817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EBA1844"/>
    <w:multiLevelType w:val="hybridMultilevel"/>
    <w:tmpl w:val="3CC48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757062"/>
    <w:multiLevelType w:val="hybridMultilevel"/>
    <w:tmpl w:val="42D2EB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1882E49"/>
    <w:multiLevelType w:val="hybridMultilevel"/>
    <w:tmpl w:val="00FC372E"/>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482A2C4D"/>
    <w:multiLevelType w:val="hybridMultilevel"/>
    <w:tmpl w:val="9F4255D2"/>
    <w:lvl w:ilvl="0" w:tplc="0C090001">
      <w:start w:val="1"/>
      <w:numFmt w:val="bullet"/>
      <w:lvlText w:val=""/>
      <w:lvlJc w:val="left"/>
      <w:pPr>
        <w:ind w:left="1582" w:hanging="360"/>
      </w:pPr>
      <w:rPr>
        <w:rFonts w:ascii="Symbol" w:hAnsi="Symbol" w:hint="default"/>
      </w:rPr>
    </w:lvl>
    <w:lvl w:ilvl="1" w:tplc="0C090003" w:tentative="1">
      <w:start w:val="1"/>
      <w:numFmt w:val="bullet"/>
      <w:lvlText w:val="o"/>
      <w:lvlJc w:val="left"/>
      <w:pPr>
        <w:ind w:left="2302" w:hanging="360"/>
      </w:pPr>
      <w:rPr>
        <w:rFonts w:ascii="Courier New" w:hAnsi="Courier New" w:cs="Courier New" w:hint="default"/>
      </w:rPr>
    </w:lvl>
    <w:lvl w:ilvl="2" w:tplc="0C090005" w:tentative="1">
      <w:start w:val="1"/>
      <w:numFmt w:val="bullet"/>
      <w:lvlText w:val=""/>
      <w:lvlJc w:val="left"/>
      <w:pPr>
        <w:ind w:left="3022" w:hanging="360"/>
      </w:pPr>
      <w:rPr>
        <w:rFonts w:ascii="Wingdings" w:hAnsi="Wingdings" w:hint="default"/>
      </w:rPr>
    </w:lvl>
    <w:lvl w:ilvl="3" w:tplc="0C090001" w:tentative="1">
      <w:start w:val="1"/>
      <w:numFmt w:val="bullet"/>
      <w:lvlText w:val=""/>
      <w:lvlJc w:val="left"/>
      <w:pPr>
        <w:ind w:left="3742" w:hanging="360"/>
      </w:pPr>
      <w:rPr>
        <w:rFonts w:ascii="Symbol" w:hAnsi="Symbol" w:hint="default"/>
      </w:rPr>
    </w:lvl>
    <w:lvl w:ilvl="4" w:tplc="0C090003" w:tentative="1">
      <w:start w:val="1"/>
      <w:numFmt w:val="bullet"/>
      <w:lvlText w:val="o"/>
      <w:lvlJc w:val="left"/>
      <w:pPr>
        <w:ind w:left="4462" w:hanging="360"/>
      </w:pPr>
      <w:rPr>
        <w:rFonts w:ascii="Courier New" w:hAnsi="Courier New" w:cs="Courier New" w:hint="default"/>
      </w:rPr>
    </w:lvl>
    <w:lvl w:ilvl="5" w:tplc="0C090005" w:tentative="1">
      <w:start w:val="1"/>
      <w:numFmt w:val="bullet"/>
      <w:lvlText w:val=""/>
      <w:lvlJc w:val="left"/>
      <w:pPr>
        <w:ind w:left="5182" w:hanging="360"/>
      </w:pPr>
      <w:rPr>
        <w:rFonts w:ascii="Wingdings" w:hAnsi="Wingdings" w:hint="default"/>
      </w:rPr>
    </w:lvl>
    <w:lvl w:ilvl="6" w:tplc="0C090001" w:tentative="1">
      <w:start w:val="1"/>
      <w:numFmt w:val="bullet"/>
      <w:lvlText w:val=""/>
      <w:lvlJc w:val="left"/>
      <w:pPr>
        <w:ind w:left="5902" w:hanging="360"/>
      </w:pPr>
      <w:rPr>
        <w:rFonts w:ascii="Symbol" w:hAnsi="Symbol" w:hint="default"/>
      </w:rPr>
    </w:lvl>
    <w:lvl w:ilvl="7" w:tplc="0C090003" w:tentative="1">
      <w:start w:val="1"/>
      <w:numFmt w:val="bullet"/>
      <w:lvlText w:val="o"/>
      <w:lvlJc w:val="left"/>
      <w:pPr>
        <w:ind w:left="6622" w:hanging="360"/>
      </w:pPr>
      <w:rPr>
        <w:rFonts w:ascii="Courier New" w:hAnsi="Courier New" w:cs="Courier New" w:hint="default"/>
      </w:rPr>
    </w:lvl>
    <w:lvl w:ilvl="8" w:tplc="0C090005" w:tentative="1">
      <w:start w:val="1"/>
      <w:numFmt w:val="bullet"/>
      <w:lvlText w:val=""/>
      <w:lvlJc w:val="left"/>
      <w:pPr>
        <w:ind w:left="7342" w:hanging="360"/>
      </w:pPr>
      <w:rPr>
        <w:rFonts w:ascii="Wingdings" w:hAnsi="Wingdings" w:hint="default"/>
      </w:rPr>
    </w:lvl>
  </w:abstractNum>
  <w:abstractNum w:abstractNumId="16" w15:restartNumberingAfterBreak="0">
    <w:nsid w:val="491D2983"/>
    <w:multiLevelType w:val="hybridMultilevel"/>
    <w:tmpl w:val="54605FE8"/>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4D160B43"/>
    <w:multiLevelType w:val="multilevel"/>
    <w:tmpl w:val="5AC0EAF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8" w15:restartNumberingAfterBreak="0">
    <w:nsid w:val="4F1D57B8"/>
    <w:multiLevelType w:val="hybridMultilevel"/>
    <w:tmpl w:val="CB54CEB0"/>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011E82"/>
    <w:multiLevelType w:val="multilevel"/>
    <w:tmpl w:val="478E78D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0" w15:restartNumberingAfterBreak="0">
    <w:nsid w:val="58F509F4"/>
    <w:multiLevelType w:val="hybridMultilevel"/>
    <w:tmpl w:val="0E401322"/>
    <w:lvl w:ilvl="0" w:tplc="FC34FDC6">
      <w:start w:val="1"/>
      <w:numFmt w:val="bullet"/>
      <w:lvlText w:val=""/>
      <w:lvlJc w:val="left"/>
      <w:pPr>
        <w:ind w:left="360" w:hanging="360"/>
      </w:pPr>
      <w:rPr>
        <w:rFonts w:ascii="Symbol" w:hAnsi="Symbol" w:hint="default"/>
        <w:color w:val="2AB1BB" w:themeColor="accent1"/>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 w15:restartNumberingAfterBreak="0">
    <w:nsid w:val="59B95FCA"/>
    <w:multiLevelType w:val="hybridMultilevel"/>
    <w:tmpl w:val="140C4EAC"/>
    <w:lvl w:ilvl="0" w:tplc="C698354E">
      <w:numFmt w:val="bullet"/>
      <w:lvlText w:val="○"/>
      <w:lvlJc w:val="left"/>
      <w:pPr>
        <w:ind w:left="1582" w:hanging="720"/>
      </w:pPr>
      <w:rPr>
        <w:rFonts w:ascii="Arial" w:eastAsiaTheme="minorHAnsi" w:hAnsi="Aria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2" w15:restartNumberingAfterBreak="0">
    <w:nsid w:val="60E87EE2"/>
    <w:multiLevelType w:val="multilevel"/>
    <w:tmpl w:val="FACE7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65C57DFD"/>
    <w:multiLevelType w:val="hybridMultilevel"/>
    <w:tmpl w:val="521E9DF2"/>
    <w:lvl w:ilvl="0" w:tplc="FD900A08">
      <w:numFmt w:val="bullet"/>
      <w:lvlText w:val="•"/>
      <w:lvlJc w:val="left"/>
      <w:pPr>
        <w:ind w:left="720" w:hanging="720"/>
      </w:pPr>
      <w:rPr>
        <w:rFonts w:ascii="Arial" w:eastAsiaTheme="minorHAnsi"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7D10FCA"/>
    <w:multiLevelType w:val="hybridMultilevel"/>
    <w:tmpl w:val="B60A16E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9570BA3"/>
    <w:multiLevelType w:val="hybridMultilevel"/>
    <w:tmpl w:val="48C8B4FA"/>
    <w:lvl w:ilvl="0" w:tplc="FC34FDC6">
      <w:start w:val="1"/>
      <w:numFmt w:val="bullet"/>
      <w:lvlText w:val=""/>
      <w:lvlJc w:val="left"/>
      <w:pPr>
        <w:ind w:left="360" w:hanging="360"/>
      </w:pPr>
      <w:rPr>
        <w:rFonts w:ascii="Symbol" w:hAnsi="Symbol" w:hint="default"/>
        <w:color w:val="2AB1BB" w:themeColor="accent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 w15:restartNumberingAfterBreak="0">
    <w:nsid w:val="6A823DED"/>
    <w:multiLevelType w:val="hybridMultilevel"/>
    <w:tmpl w:val="AB0ED7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AF21357"/>
    <w:multiLevelType w:val="hybridMultilevel"/>
    <w:tmpl w:val="62E215F0"/>
    <w:lvl w:ilvl="0" w:tplc="FC34FDC6">
      <w:start w:val="1"/>
      <w:numFmt w:val="bullet"/>
      <w:lvlText w:val=""/>
      <w:lvlJc w:val="left"/>
      <w:pPr>
        <w:ind w:left="360" w:hanging="360"/>
      </w:pPr>
      <w:rPr>
        <w:rFonts w:ascii="Symbol" w:hAnsi="Symbol" w:hint="default"/>
        <w:color w:val="2AB1BB" w:themeColor="accen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DFA4D5F"/>
    <w:multiLevelType w:val="hybridMultilevel"/>
    <w:tmpl w:val="0CF0CD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FFC69A5"/>
    <w:multiLevelType w:val="multilevel"/>
    <w:tmpl w:val="64AA46C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78996252"/>
    <w:multiLevelType w:val="hybridMultilevel"/>
    <w:tmpl w:val="73109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C44157D"/>
    <w:multiLevelType w:val="hybridMultilevel"/>
    <w:tmpl w:val="01709A6E"/>
    <w:lvl w:ilvl="0" w:tplc="FC34FDC6">
      <w:start w:val="1"/>
      <w:numFmt w:val="bullet"/>
      <w:lvlText w:val=""/>
      <w:lvlJc w:val="left"/>
      <w:pPr>
        <w:ind w:left="720" w:hanging="360"/>
      </w:pPr>
      <w:rPr>
        <w:rFonts w:ascii="Symbol" w:hAnsi="Symbol" w:hint="default"/>
        <w:color w:val="2AB1BB"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CC73E87"/>
    <w:multiLevelType w:val="hybridMultilevel"/>
    <w:tmpl w:val="03BE0D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500852993">
    <w:abstractNumId w:val="30"/>
  </w:num>
  <w:num w:numId="2" w16cid:durableId="956641344">
    <w:abstractNumId w:val="7"/>
  </w:num>
  <w:num w:numId="3" w16cid:durableId="1559130599">
    <w:abstractNumId w:val="25"/>
  </w:num>
  <w:num w:numId="4" w16cid:durableId="1489400447">
    <w:abstractNumId w:val="27"/>
  </w:num>
  <w:num w:numId="5" w16cid:durableId="1871456094">
    <w:abstractNumId w:val="12"/>
  </w:num>
  <w:num w:numId="6" w16cid:durableId="410275111">
    <w:abstractNumId w:val="3"/>
  </w:num>
  <w:num w:numId="7" w16cid:durableId="672613984">
    <w:abstractNumId w:val="20"/>
  </w:num>
  <w:num w:numId="8" w16cid:durableId="31731154">
    <w:abstractNumId w:val="18"/>
  </w:num>
  <w:num w:numId="9" w16cid:durableId="780993362">
    <w:abstractNumId w:val="23"/>
  </w:num>
  <w:num w:numId="10" w16cid:durableId="521358174">
    <w:abstractNumId w:val="0"/>
  </w:num>
  <w:num w:numId="11" w16cid:durableId="1546211643">
    <w:abstractNumId w:val="31"/>
  </w:num>
  <w:num w:numId="12" w16cid:durableId="395506">
    <w:abstractNumId w:val="9"/>
  </w:num>
  <w:num w:numId="13" w16cid:durableId="1879587387">
    <w:abstractNumId w:val="16"/>
  </w:num>
  <w:num w:numId="14" w16cid:durableId="175123723">
    <w:abstractNumId w:val="1"/>
  </w:num>
  <w:num w:numId="15" w16cid:durableId="255555211">
    <w:abstractNumId w:val="10"/>
  </w:num>
  <w:num w:numId="16" w16cid:durableId="948702683">
    <w:abstractNumId w:val="14"/>
  </w:num>
  <w:num w:numId="17" w16cid:durableId="350490862">
    <w:abstractNumId w:val="21"/>
  </w:num>
  <w:num w:numId="18" w16cid:durableId="1111633524">
    <w:abstractNumId w:val="15"/>
  </w:num>
  <w:num w:numId="19" w16cid:durableId="2003466640">
    <w:abstractNumId w:val="8"/>
  </w:num>
  <w:num w:numId="20" w16cid:durableId="1692342508">
    <w:abstractNumId w:val="4"/>
  </w:num>
  <w:num w:numId="21" w16cid:durableId="1489203635">
    <w:abstractNumId w:val="11"/>
  </w:num>
  <w:num w:numId="22" w16cid:durableId="1778057984">
    <w:abstractNumId w:val="13"/>
  </w:num>
  <w:num w:numId="23" w16cid:durableId="1162551397">
    <w:abstractNumId w:val="6"/>
  </w:num>
  <w:num w:numId="24" w16cid:durableId="1731611822">
    <w:abstractNumId w:val="17"/>
  </w:num>
  <w:num w:numId="25" w16cid:durableId="1726559152">
    <w:abstractNumId w:val="19"/>
  </w:num>
  <w:num w:numId="26" w16cid:durableId="1042747373">
    <w:abstractNumId w:val="29"/>
  </w:num>
  <w:num w:numId="27" w16cid:durableId="1417509930">
    <w:abstractNumId w:val="22"/>
  </w:num>
  <w:num w:numId="28" w16cid:durableId="2117286224">
    <w:abstractNumId w:val="24"/>
  </w:num>
  <w:num w:numId="29" w16cid:durableId="933637011">
    <w:abstractNumId w:val="28"/>
  </w:num>
  <w:num w:numId="30" w16cid:durableId="322392495">
    <w:abstractNumId w:val="32"/>
  </w:num>
  <w:num w:numId="31" w16cid:durableId="1536960941">
    <w:abstractNumId w:val="5"/>
  </w:num>
  <w:num w:numId="32" w16cid:durableId="794953067">
    <w:abstractNumId w:val="2"/>
  </w:num>
  <w:num w:numId="33" w16cid:durableId="42168707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7AED"/>
    <w:rsid w:val="00002A21"/>
    <w:rsid w:val="00003659"/>
    <w:rsid w:val="0000608B"/>
    <w:rsid w:val="000304BA"/>
    <w:rsid w:val="000317DA"/>
    <w:rsid w:val="0003683F"/>
    <w:rsid w:val="00043AF3"/>
    <w:rsid w:val="00044F5E"/>
    <w:rsid w:val="0004660D"/>
    <w:rsid w:val="000821AA"/>
    <w:rsid w:val="000A021A"/>
    <w:rsid w:val="000A1A38"/>
    <w:rsid w:val="000C1EA7"/>
    <w:rsid w:val="000C3468"/>
    <w:rsid w:val="00117718"/>
    <w:rsid w:val="00122857"/>
    <w:rsid w:val="00141DC8"/>
    <w:rsid w:val="001575ED"/>
    <w:rsid w:val="00167264"/>
    <w:rsid w:val="0018537B"/>
    <w:rsid w:val="00194CBF"/>
    <w:rsid w:val="001A705F"/>
    <w:rsid w:val="001B2044"/>
    <w:rsid w:val="001C363C"/>
    <w:rsid w:val="001D145C"/>
    <w:rsid w:val="001D78A4"/>
    <w:rsid w:val="002058DD"/>
    <w:rsid w:val="00231063"/>
    <w:rsid w:val="002333DE"/>
    <w:rsid w:val="002354D4"/>
    <w:rsid w:val="00247232"/>
    <w:rsid w:val="002533E2"/>
    <w:rsid w:val="00266DED"/>
    <w:rsid w:val="002732BB"/>
    <w:rsid w:val="0029436E"/>
    <w:rsid w:val="002C2D46"/>
    <w:rsid w:val="002E2D07"/>
    <w:rsid w:val="002E61C5"/>
    <w:rsid w:val="002F6DEB"/>
    <w:rsid w:val="00315E50"/>
    <w:rsid w:val="00336FEF"/>
    <w:rsid w:val="00360B34"/>
    <w:rsid w:val="003619F4"/>
    <w:rsid w:val="00386910"/>
    <w:rsid w:val="0039083C"/>
    <w:rsid w:val="003A3A91"/>
    <w:rsid w:val="003D1ADC"/>
    <w:rsid w:val="003D2120"/>
    <w:rsid w:val="004101DE"/>
    <w:rsid w:val="00422631"/>
    <w:rsid w:val="0044484C"/>
    <w:rsid w:val="00453103"/>
    <w:rsid w:val="004557A0"/>
    <w:rsid w:val="00467C1E"/>
    <w:rsid w:val="00477673"/>
    <w:rsid w:val="00490696"/>
    <w:rsid w:val="004923FD"/>
    <w:rsid w:val="00492B18"/>
    <w:rsid w:val="004A606B"/>
    <w:rsid w:val="004C11EB"/>
    <w:rsid w:val="004E205C"/>
    <w:rsid w:val="004F7D9A"/>
    <w:rsid w:val="004F7E50"/>
    <w:rsid w:val="005035B6"/>
    <w:rsid w:val="00511949"/>
    <w:rsid w:val="00515885"/>
    <w:rsid w:val="0053133B"/>
    <w:rsid w:val="00535D16"/>
    <w:rsid w:val="005450AC"/>
    <w:rsid w:val="005669F6"/>
    <w:rsid w:val="0057402E"/>
    <w:rsid w:val="00590A18"/>
    <w:rsid w:val="005A7079"/>
    <w:rsid w:val="005B5F38"/>
    <w:rsid w:val="005D2062"/>
    <w:rsid w:val="005D25D1"/>
    <w:rsid w:val="005E4EB2"/>
    <w:rsid w:val="00603E6D"/>
    <w:rsid w:val="00633DB4"/>
    <w:rsid w:val="00633EF3"/>
    <w:rsid w:val="00636683"/>
    <w:rsid w:val="00640C35"/>
    <w:rsid w:val="00653A80"/>
    <w:rsid w:val="00666658"/>
    <w:rsid w:val="00686752"/>
    <w:rsid w:val="006871C6"/>
    <w:rsid w:val="006B4B8E"/>
    <w:rsid w:val="006C07D3"/>
    <w:rsid w:val="006C2CD5"/>
    <w:rsid w:val="006D7285"/>
    <w:rsid w:val="006E0481"/>
    <w:rsid w:val="006F26DC"/>
    <w:rsid w:val="006F2CD3"/>
    <w:rsid w:val="0071078B"/>
    <w:rsid w:val="007108BD"/>
    <w:rsid w:val="00726939"/>
    <w:rsid w:val="00735CA6"/>
    <w:rsid w:val="00762921"/>
    <w:rsid w:val="0076474D"/>
    <w:rsid w:val="0076491B"/>
    <w:rsid w:val="0077356F"/>
    <w:rsid w:val="007770F4"/>
    <w:rsid w:val="00777754"/>
    <w:rsid w:val="00782402"/>
    <w:rsid w:val="007A52D2"/>
    <w:rsid w:val="007A6EBD"/>
    <w:rsid w:val="007D7DC9"/>
    <w:rsid w:val="007E444A"/>
    <w:rsid w:val="007F3816"/>
    <w:rsid w:val="007F40EF"/>
    <w:rsid w:val="008077DD"/>
    <w:rsid w:val="00825EE2"/>
    <w:rsid w:val="00833AE4"/>
    <w:rsid w:val="008372AA"/>
    <w:rsid w:val="00844580"/>
    <w:rsid w:val="008458FC"/>
    <w:rsid w:val="0086072B"/>
    <w:rsid w:val="00895DE8"/>
    <w:rsid w:val="008A47E1"/>
    <w:rsid w:val="008A5936"/>
    <w:rsid w:val="008D3793"/>
    <w:rsid w:val="008E4B24"/>
    <w:rsid w:val="008F467F"/>
    <w:rsid w:val="009069E5"/>
    <w:rsid w:val="00913828"/>
    <w:rsid w:val="00923A13"/>
    <w:rsid w:val="009346B6"/>
    <w:rsid w:val="00946AF8"/>
    <w:rsid w:val="00963377"/>
    <w:rsid w:val="00964A59"/>
    <w:rsid w:val="00983E6F"/>
    <w:rsid w:val="009B2828"/>
    <w:rsid w:val="009C1EA8"/>
    <w:rsid w:val="009E3C96"/>
    <w:rsid w:val="00A2105B"/>
    <w:rsid w:val="00A262FB"/>
    <w:rsid w:val="00A3459F"/>
    <w:rsid w:val="00A759CD"/>
    <w:rsid w:val="00AA5AA7"/>
    <w:rsid w:val="00AA75B2"/>
    <w:rsid w:val="00AB1DCE"/>
    <w:rsid w:val="00AB60BA"/>
    <w:rsid w:val="00AC04A6"/>
    <w:rsid w:val="00AC2000"/>
    <w:rsid w:val="00AC59B4"/>
    <w:rsid w:val="00AD54BD"/>
    <w:rsid w:val="00AF0D68"/>
    <w:rsid w:val="00AF3250"/>
    <w:rsid w:val="00AF3EEB"/>
    <w:rsid w:val="00B13BDF"/>
    <w:rsid w:val="00B1444F"/>
    <w:rsid w:val="00B24A31"/>
    <w:rsid w:val="00B44340"/>
    <w:rsid w:val="00B5318B"/>
    <w:rsid w:val="00B615F9"/>
    <w:rsid w:val="00B7332A"/>
    <w:rsid w:val="00B87601"/>
    <w:rsid w:val="00B91C0F"/>
    <w:rsid w:val="00BA5BCC"/>
    <w:rsid w:val="00BC03D5"/>
    <w:rsid w:val="00BC3B12"/>
    <w:rsid w:val="00BC7AED"/>
    <w:rsid w:val="00BD577C"/>
    <w:rsid w:val="00BE77CE"/>
    <w:rsid w:val="00BF04D1"/>
    <w:rsid w:val="00BF0EEA"/>
    <w:rsid w:val="00C074CB"/>
    <w:rsid w:val="00C2252E"/>
    <w:rsid w:val="00C32798"/>
    <w:rsid w:val="00C32A8C"/>
    <w:rsid w:val="00C46331"/>
    <w:rsid w:val="00C63CD0"/>
    <w:rsid w:val="00C76B54"/>
    <w:rsid w:val="00C850C2"/>
    <w:rsid w:val="00C9187A"/>
    <w:rsid w:val="00C93B00"/>
    <w:rsid w:val="00CA0CFC"/>
    <w:rsid w:val="00CA316D"/>
    <w:rsid w:val="00CC33E6"/>
    <w:rsid w:val="00CC6DB3"/>
    <w:rsid w:val="00CD25C3"/>
    <w:rsid w:val="00CE71D9"/>
    <w:rsid w:val="00CF695C"/>
    <w:rsid w:val="00D04093"/>
    <w:rsid w:val="00D20EEA"/>
    <w:rsid w:val="00D21F98"/>
    <w:rsid w:val="00D42200"/>
    <w:rsid w:val="00D44CEE"/>
    <w:rsid w:val="00D62786"/>
    <w:rsid w:val="00D679BB"/>
    <w:rsid w:val="00DB0515"/>
    <w:rsid w:val="00DC7229"/>
    <w:rsid w:val="00DD2054"/>
    <w:rsid w:val="00DD4538"/>
    <w:rsid w:val="00E2289F"/>
    <w:rsid w:val="00E3343B"/>
    <w:rsid w:val="00E62419"/>
    <w:rsid w:val="00E84975"/>
    <w:rsid w:val="00E91CEE"/>
    <w:rsid w:val="00EB0782"/>
    <w:rsid w:val="00EB46A6"/>
    <w:rsid w:val="00EC356B"/>
    <w:rsid w:val="00EC4123"/>
    <w:rsid w:val="00EC478C"/>
    <w:rsid w:val="00EC7448"/>
    <w:rsid w:val="00EE7D8B"/>
    <w:rsid w:val="00EF48C8"/>
    <w:rsid w:val="00F033D5"/>
    <w:rsid w:val="00F06941"/>
    <w:rsid w:val="00F0735A"/>
    <w:rsid w:val="00F1001B"/>
    <w:rsid w:val="00F23047"/>
    <w:rsid w:val="00F25606"/>
    <w:rsid w:val="00F266BD"/>
    <w:rsid w:val="00F36B9C"/>
    <w:rsid w:val="00F40C93"/>
    <w:rsid w:val="00F41388"/>
    <w:rsid w:val="00F47194"/>
    <w:rsid w:val="00F471C7"/>
    <w:rsid w:val="00F53EC4"/>
    <w:rsid w:val="00FA5CDF"/>
    <w:rsid w:val="00FB03D1"/>
    <w:rsid w:val="00FB16D4"/>
    <w:rsid w:val="00FB5573"/>
    <w:rsid w:val="00FC0AEE"/>
    <w:rsid w:val="00FC5475"/>
    <w:rsid w:val="00FD4645"/>
    <w:rsid w:val="00FF6F1D"/>
    <w:rsid w:val="0292DB4E"/>
    <w:rsid w:val="0449E7E8"/>
    <w:rsid w:val="04CF12E4"/>
    <w:rsid w:val="07C881AF"/>
    <w:rsid w:val="09128E5C"/>
    <w:rsid w:val="096FE522"/>
    <w:rsid w:val="0CC1F9FE"/>
    <w:rsid w:val="0D6A7F21"/>
    <w:rsid w:val="0D703DEE"/>
    <w:rsid w:val="0E5581C1"/>
    <w:rsid w:val="11E2D3E0"/>
    <w:rsid w:val="19421F3F"/>
    <w:rsid w:val="19C52A76"/>
    <w:rsid w:val="1AE0A58E"/>
    <w:rsid w:val="1D005401"/>
    <w:rsid w:val="1D9F136A"/>
    <w:rsid w:val="1F01C28A"/>
    <w:rsid w:val="22334118"/>
    <w:rsid w:val="22DA6DAA"/>
    <w:rsid w:val="249D2997"/>
    <w:rsid w:val="24D60C0B"/>
    <w:rsid w:val="25A90546"/>
    <w:rsid w:val="28FD78B1"/>
    <w:rsid w:val="2C910165"/>
    <w:rsid w:val="2D099A6D"/>
    <w:rsid w:val="2EA86DAA"/>
    <w:rsid w:val="3391CFC4"/>
    <w:rsid w:val="361400D8"/>
    <w:rsid w:val="367C2D3F"/>
    <w:rsid w:val="36DF12CE"/>
    <w:rsid w:val="37895876"/>
    <w:rsid w:val="3A1E8997"/>
    <w:rsid w:val="3A5A7434"/>
    <w:rsid w:val="3E545AD8"/>
    <w:rsid w:val="3FB3E30D"/>
    <w:rsid w:val="40BAC09F"/>
    <w:rsid w:val="41C4F419"/>
    <w:rsid w:val="44392CAF"/>
    <w:rsid w:val="44AF5991"/>
    <w:rsid w:val="4647AC1B"/>
    <w:rsid w:val="48039DD0"/>
    <w:rsid w:val="491277BA"/>
    <w:rsid w:val="4935DBCB"/>
    <w:rsid w:val="4A9B4D4A"/>
    <w:rsid w:val="4DBBECC3"/>
    <w:rsid w:val="4E742DAF"/>
    <w:rsid w:val="4F1FC20C"/>
    <w:rsid w:val="4F27E3EA"/>
    <w:rsid w:val="50392021"/>
    <w:rsid w:val="54EBBCA7"/>
    <w:rsid w:val="55B0D14E"/>
    <w:rsid w:val="55E85C54"/>
    <w:rsid w:val="571BBFAF"/>
    <w:rsid w:val="596E8587"/>
    <w:rsid w:val="5BA64DE2"/>
    <w:rsid w:val="5DD9404F"/>
    <w:rsid w:val="61778958"/>
    <w:rsid w:val="628CF18A"/>
    <w:rsid w:val="62D06B89"/>
    <w:rsid w:val="66070348"/>
    <w:rsid w:val="662976A4"/>
    <w:rsid w:val="6747C042"/>
    <w:rsid w:val="679CD2E5"/>
    <w:rsid w:val="6DCF206C"/>
    <w:rsid w:val="6E3F330F"/>
    <w:rsid w:val="6E52A241"/>
    <w:rsid w:val="6F82EF37"/>
    <w:rsid w:val="702ED5CD"/>
    <w:rsid w:val="708FC7FD"/>
    <w:rsid w:val="70AEA1A4"/>
    <w:rsid w:val="74B4685A"/>
    <w:rsid w:val="771869CA"/>
    <w:rsid w:val="77720BC7"/>
    <w:rsid w:val="7B5389EF"/>
    <w:rsid w:val="7C6DA995"/>
    <w:rsid w:val="7CD548D9"/>
    <w:rsid w:val="7DDCB565"/>
    <w:rsid w:val="7F23F4E8"/>
    <w:rsid w:val="7F7C32B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29DEBA"/>
  <w15:chartTrackingRefBased/>
  <w15:docId w15:val="{B5D201B8-6A10-4B12-980B-D87B5B4EBB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205C"/>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customStyle="1" w:styleId="UnresolvedMention1">
    <w:name w:val="Unresolved Mention1"/>
    <w:basedOn w:val="DefaultParagraphFont"/>
    <w:uiPriority w:val="99"/>
    <w:semiHidden/>
    <w:unhideWhenUsed/>
    <w:rsid w:val="00E91CEE"/>
    <w:rPr>
      <w:color w:val="605E5C"/>
      <w:shd w:val="clear" w:color="auto" w:fill="E1DFDD"/>
    </w:rPr>
  </w:style>
  <w:style w:type="paragraph" w:styleId="BalloonText">
    <w:name w:val="Balloon Text"/>
    <w:basedOn w:val="Normal"/>
    <w:link w:val="BalloonTextChar"/>
    <w:uiPriority w:val="99"/>
    <w:semiHidden/>
    <w:unhideWhenUsed/>
    <w:rsid w:val="0039083C"/>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083C"/>
    <w:rPr>
      <w:rFonts w:ascii="Segoe UI" w:hAnsi="Segoe UI" w:cs="Segoe UI"/>
      <w:sz w:val="18"/>
      <w:szCs w:val="18"/>
    </w:rPr>
  </w:style>
  <w:style w:type="character" w:styleId="CommentReference">
    <w:name w:val="annotation reference"/>
    <w:basedOn w:val="DefaultParagraphFont"/>
    <w:uiPriority w:val="99"/>
    <w:semiHidden/>
    <w:unhideWhenUsed/>
    <w:rsid w:val="00C32798"/>
    <w:rPr>
      <w:sz w:val="16"/>
      <w:szCs w:val="16"/>
    </w:rPr>
  </w:style>
  <w:style w:type="paragraph" w:styleId="CommentText">
    <w:name w:val="annotation text"/>
    <w:basedOn w:val="Normal"/>
    <w:link w:val="CommentTextChar"/>
    <w:uiPriority w:val="99"/>
    <w:unhideWhenUsed/>
    <w:rsid w:val="00C32798"/>
    <w:pPr>
      <w:spacing w:line="240" w:lineRule="auto"/>
    </w:pPr>
    <w:rPr>
      <w:sz w:val="20"/>
      <w:szCs w:val="20"/>
    </w:rPr>
  </w:style>
  <w:style w:type="character" w:customStyle="1" w:styleId="CommentTextChar">
    <w:name w:val="Comment Text Char"/>
    <w:basedOn w:val="DefaultParagraphFont"/>
    <w:link w:val="CommentText"/>
    <w:uiPriority w:val="99"/>
    <w:rsid w:val="00C3279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C32798"/>
    <w:rPr>
      <w:b/>
      <w:bCs/>
    </w:rPr>
  </w:style>
  <w:style w:type="character" w:customStyle="1" w:styleId="CommentSubjectChar">
    <w:name w:val="Comment Subject Char"/>
    <w:basedOn w:val="CommentTextChar"/>
    <w:link w:val="CommentSubject"/>
    <w:uiPriority w:val="99"/>
    <w:semiHidden/>
    <w:rsid w:val="00C32798"/>
    <w:rPr>
      <w:rFonts w:ascii="Arial" w:hAnsi="Arial"/>
      <w:b/>
      <w:bCs/>
      <w:sz w:val="20"/>
      <w:szCs w:val="20"/>
    </w:rPr>
  </w:style>
  <w:style w:type="paragraph" w:styleId="Revision">
    <w:name w:val="Revision"/>
    <w:hidden/>
    <w:uiPriority w:val="99"/>
    <w:semiHidden/>
    <w:rsid w:val="001575ED"/>
    <w:rPr>
      <w:rFonts w:ascii="Arial" w:hAnsi="Arial"/>
    </w:rPr>
  </w:style>
  <w:style w:type="paragraph" w:customStyle="1" w:styleId="paragraph">
    <w:name w:val="paragraph"/>
    <w:basedOn w:val="Normal"/>
    <w:rsid w:val="00D04093"/>
    <w:pPr>
      <w:spacing w:before="100" w:beforeAutospacing="1" w:after="100" w:afterAutospacing="1" w:line="240" w:lineRule="auto"/>
    </w:pPr>
    <w:rPr>
      <w:rFonts w:ascii="Times New Roman" w:eastAsia="Times New Roman" w:hAnsi="Times New Roman" w:cs="Times New Roman"/>
      <w:lang w:eastAsia="en-AU"/>
    </w:rPr>
  </w:style>
  <w:style w:type="character" w:customStyle="1" w:styleId="normaltextrun">
    <w:name w:val="normaltextrun"/>
    <w:basedOn w:val="DefaultParagraphFont"/>
    <w:rsid w:val="00D04093"/>
  </w:style>
  <w:style w:type="character" w:customStyle="1" w:styleId="findhit">
    <w:name w:val="findhit"/>
    <w:basedOn w:val="DefaultParagraphFont"/>
    <w:rsid w:val="00D04093"/>
  </w:style>
  <w:style w:type="character" w:styleId="FollowedHyperlink">
    <w:name w:val="FollowedHyperlink"/>
    <w:basedOn w:val="DefaultParagraphFont"/>
    <w:uiPriority w:val="99"/>
    <w:semiHidden/>
    <w:unhideWhenUsed/>
    <w:rsid w:val="00AC2000"/>
    <w:rPr>
      <w:color w:val="6D6D7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6221325">
      <w:bodyDiv w:val="1"/>
      <w:marLeft w:val="0"/>
      <w:marRight w:val="0"/>
      <w:marTop w:val="0"/>
      <w:marBottom w:val="0"/>
      <w:divBdr>
        <w:top w:val="none" w:sz="0" w:space="0" w:color="auto"/>
        <w:left w:val="none" w:sz="0" w:space="0" w:color="auto"/>
        <w:bottom w:val="none" w:sz="0" w:space="0" w:color="auto"/>
        <w:right w:val="none" w:sz="0" w:space="0" w:color="auto"/>
      </w:divBdr>
      <w:divsChild>
        <w:div w:id="775053644">
          <w:marLeft w:val="0"/>
          <w:marRight w:val="0"/>
          <w:marTop w:val="0"/>
          <w:marBottom w:val="0"/>
          <w:divBdr>
            <w:top w:val="none" w:sz="0" w:space="0" w:color="auto"/>
            <w:left w:val="none" w:sz="0" w:space="0" w:color="auto"/>
            <w:bottom w:val="none" w:sz="0" w:space="0" w:color="auto"/>
            <w:right w:val="none" w:sz="0" w:space="0" w:color="auto"/>
          </w:divBdr>
          <w:divsChild>
            <w:div w:id="1583488100">
              <w:marLeft w:val="-75"/>
              <w:marRight w:val="0"/>
              <w:marTop w:val="30"/>
              <w:marBottom w:val="30"/>
              <w:divBdr>
                <w:top w:val="none" w:sz="0" w:space="0" w:color="auto"/>
                <w:left w:val="none" w:sz="0" w:space="0" w:color="auto"/>
                <w:bottom w:val="none" w:sz="0" w:space="0" w:color="auto"/>
                <w:right w:val="none" w:sz="0" w:space="0" w:color="auto"/>
              </w:divBdr>
              <w:divsChild>
                <w:div w:id="164367536">
                  <w:marLeft w:val="0"/>
                  <w:marRight w:val="0"/>
                  <w:marTop w:val="0"/>
                  <w:marBottom w:val="0"/>
                  <w:divBdr>
                    <w:top w:val="none" w:sz="0" w:space="0" w:color="auto"/>
                    <w:left w:val="none" w:sz="0" w:space="0" w:color="auto"/>
                    <w:bottom w:val="none" w:sz="0" w:space="0" w:color="auto"/>
                    <w:right w:val="none" w:sz="0" w:space="0" w:color="auto"/>
                  </w:divBdr>
                  <w:divsChild>
                    <w:div w:id="1391230975">
                      <w:marLeft w:val="0"/>
                      <w:marRight w:val="0"/>
                      <w:marTop w:val="0"/>
                      <w:marBottom w:val="0"/>
                      <w:divBdr>
                        <w:top w:val="none" w:sz="0" w:space="0" w:color="auto"/>
                        <w:left w:val="none" w:sz="0" w:space="0" w:color="auto"/>
                        <w:bottom w:val="none" w:sz="0" w:space="0" w:color="auto"/>
                        <w:right w:val="none" w:sz="0" w:space="0" w:color="auto"/>
                      </w:divBdr>
                    </w:div>
                  </w:divsChild>
                </w:div>
                <w:div w:id="170678643">
                  <w:marLeft w:val="0"/>
                  <w:marRight w:val="0"/>
                  <w:marTop w:val="0"/>
                  <w:marBottom w:val="0"/>
                  <w:divBdr>
                    <w:top w:val="none" w:sz="0" w:space="0" w:color="auto"/>
                    <w:left w:val="none" w:sz="0" w:space="0" w:color="auto"/>
                    <w:bottom w:val="none" w:sz="0" w:space="0" w:color="auto"/>
                    <w:right w:val="none" w:sz="0" w:space="0" w:color="auto"/>
                  </w:divBdr>
                  <w:divsChild>
                    <w:div w:id="353311159">
                      <w:marLeft w:val="0"/>
                      <w:marRight w:val="0"/>
                      <w:marTop w:val="0"/>
                      <w:marBottom w:val="0"/>
                      <w:divBdr>
                        <w:top w:val="none" w:sz="0" w:space="0" w:color="auto"/>
                        <w:left w:val="none" w:sz="0" w:space="0" w:color="auto"/>
                        <w:bottom w:val="none" w:sz="0" w:space="0" w:color="auto"/>
                        <w:right w:val="none" w:sz="0" w:space="0" w:color="auto"/>
                      </w:divBdr>
                    </w:div>
                  </w:divsChild>
                </w:div>
                <w:div w:id="222255172">
                  <w:marLeft w:val="0"/>
                  <w:marRight w:val="0"/>
                  <w:marTop w:val="0"/>
                  <w:marBottom w:val="0"/>
                  <w:divBdr>
                    <w:top w:val="none" w:sz="0" w:space="0" w:color="auto"/>
                    <w:left w:val="none" w:sz="0" w:space="0" w:color="auto"/>
                    <w:bottom w:val="none" w:sz="0" w:space="0" w:color="auto"/>
                    <w:right w:val="none" w:sz="0" w:space="0" w:color="auto"/>
                  </w:divBdr>
                  <w:divsChild>
                    <w:div w:id="84307429">
                      <w:marLeft w:val="0"/>
                      <w:marRight w:val="0"/>
                      <w:marTop w:val="0"/>
                      <w:marBottom w:val="0"/>
                      <w:divBdr>
                        <w:top w:val="none" w:sz="0" w:space="0" w:color="auto"/>
                        <w:left w:val="none" w:sz="0" w:space="0" w:color="auto"/>
                        <w:bottom w:val="none" w:sz="0" w:space="0" w:color="auto"/>
                        <w:right w:val="none" w:sz="0" w:space="0" w:color="auto"/>
                      </w:divBdr>
                    </w:div>
                  </w:divsChild>
                </w:div>
                <w:div w:id="227618002">
                  <w:marLeft w:val="0"/>
                  <w:marRight w:val="0"/>
                  <w:marTop w:val="0"/>
                  <w:marBottom w:val="0"/>
                  <w:divBdr>
                    <w:top w:val="none" w:sz="0" w:space="0" w:color="auto"/>
                    <w:left w:val="none" w:sz="0" w:space="0" w:color="auto"/>
                    <w:bottom w:val="none" w:sz="0" w:space="0" w:color="auto"/>
                    <w:right w:val="none" w:sz="0" w:space="0" w:color="auto"/>
                  </w:divBdr>
                  <w:divsChild>
                    <w:div w:id="1228342356">
                      <w:marLeft w:val="0"/>
                      <w:marRight w:val="0"/>
                      <w:marTop w:val="0"/>
                      <w:marBottom w:val="0"/>
                      <w:divBdr>
                        <w:top w:val="none" w:sz="0" w:space="0" w:color="auto"/>
                        <w:left w:val="none" w:sz="0" w:space="0" w:color="auto"/>
                        <w:bottom w:val="none" w:sz="0" w:space="0" w:color="auto"/>
                        <w:right w:val="none" w:sz="0" w:space="0" w:color="auto"/>
                      </w:divBdr>
                    </w:div>
                  </w:divsChild>
                </w:div>
                <w:div w:id="349844222">
                  <w:marLeft w:val="0"/>
                  <w:marRight w:val="0"/>
                  <w:marTop w:val="0"/>
                  <w:marBottom w:val="0"/>
                  <w:divBdr>
                    <w:top w:val="none" w:sz="0" w:space="0" w:color="auto"/>
                    <w:left w:val="none" w:sz="0" w:space="0" w:color="auto"/>
                    <w:bottom w:val="none" w:sz="0" w:space="0" w:color="auto"/>
                    <w:right w:val="none" w:sz="0" w:space="0" w:color="auto"/>
                  </w:divBdr>
                  <w:divsChild>
                    <w:div w:id="1035934302">
                      <w:marLeft w:val="0"/>
                      <w:marRight w:val="0"/>
                      <w:marTop w:val="0"/>
                      <w:marBottom w:val="0"/>
                      <w:divBdr>
                        <w:top w:val="none" w:sz="0" w:space="0" w:color="auto"/>
                        <w:left w:val="none" w:sz="0" w:space="0" w:color="auto"/>
                        <w:bottom w:val="none" w:sz="0" w:space="0" w:color="auto"/>
                        <w:right w:val="none" w:sz="0" w:space="0" w:color="auto"/>
                      </w:divBdr>
                    </w:div>
                  </w:divsChild>
                </w:div>
                <w:div w:id="622156464">
                  <w:marLeft w:val="0"/>
                  <w:marRight w:val="0"/>
                  <w:marTop w:val="0"/>
                  <w:marBottom w:val="0"/>
                  <w:divBdr>
                    <w:top w:val="none" w:sz="0" w:space="0" w:color="auto"/>
                    <w:left w:val="none" w:sz="0" w:space="0" w:color="auto"/>
                    <w:bottom w:val="none" w:sz="0" w:space="0" w:color="auto"/>
                    <w:right w:val="none" w:sz="0" w:space="0" w:color="auto"/>
                  </w:divBdr>
                  <w:divsChild>
                    <w:div w:id="1585840449">
                      <w:marLeft w:val="0"/>
                      <w:marRight w:val="0"/>
                      <w:marTop w:val="0"/>
                      <w:marBottom w:val="0"/>
                      <w:divBdr>
                        <w:top w:val="none" w:sz="0" w:space="0" w:color="auto"/>
                        <w:left w:val="none" w:sz="0" w:space="0" w:color="auto"/>
                        <w:bottom w:val="none" w:sz="0" w:space="0" w:color="auto"/>
                        <w:right w:val="none" w:sz="0" w:space="0" w:color="auto"/>
                      </w:divBdr>
                    </w:div>
                  </w:divsChild>
                </w:div>
                <w:div w:id="1302152907">
                  <w:marLeft w:val="0"/>
                  <w:marRight w:val="0"/>
                  <w:marTop w:val="0"/>
                  <w:marBottom w:val="0"/>
                  <w:divBdr>
                    <w:top w:val="none" w:sz="0" w:space="0" w:color="auto"/>
                    <w:left w:val="none" w:sz="0" w:space="0" w:color="auto"/>
                    <w:bottom w:val="none" w:sz="0" w:space="0" w:color="auto"/>
                    <w:right w:val="none" w:sz="0" w:space="0" w:color="auto"/>
                  </w:divBdr>
                  <w:divsChild>
                    <w:div w:id="1261253561">
                      <w:marLeft w:val="0"/>
                      <w:marRight w:val="0"/>
                      <w:marTop w:val="0"/>
                      <w:marBottom w:val="0"/>
                      <w:divBdr>
                        <w:top w:val="none" w:sz="0" w:space="0" w:color="auto"/>
                        <w:left w:val="none" w:sz="0" w:space="0" w:color="auto"/>
                        <w:bottom w:val="none" w:sz="0" w:space="0" w:color="auto"/>
                        <w:right w:val="none" w:sz="0" w:space="0" w:color="auto"/>
                      </w:divBdr>
                    </w:div>
                  </w:divsChild>
                </w:div>
                <w:div w:id="1339700982">
                  <w:marLeft w:val="0"/>
                  <w:marRight w:val="0"/>
                  <w:marTop w:val="0"/>
                  <w:marBottom w:val="0"/>
                  <w:divBdr>
                    <w:top w:val="none" w:sz="0" w:space="0" w:color="auto"/>
                    <w:left w:val="none" w:sz="0" w:space="0" w:color="auto"/>
                    <w:bottom w:val="none" w:sz="0" w:space="0" w:color="auto"/>
                    <w:right w:val="none" w:sz="0" w:space="0" w:color="auto"/>
                  </w:divBdr>
                  <w:divsChild>
                    <w:div w:id="774905733">
                      <w:marLeft w:val="0"/>
                      <w:marRight w:val="0"/>
                      <w:marTop w:val="0"/>
                      <w:marBottom w:val="0"/>
                      <w:divBdr>
                        <w:top w:val="none" w:sz="0" w:space="0" w:color="auto"/>
                        <w:left w:val="none" w:sz="0" w:space="0" w:color="auto"/>
                        <w:bottom w:val="none" w:sz="0" w:space="0" w:color="auto"/>
                        <w:right w:val="none" w:sz="0" w:space="0" w:color="auto"/>
                      </w:divBdr>
                    </w:div>
                  </w:divsChild>
                </w:div>
                <w:div w:id="1589074866">
                  <w:marLeft w:val="0"/>
                  <w:marRight w:val="0"/>
                  <w:marTop w:val="0"/>
                  <w:marBottom w:val="0"/>
                  <w:divBdr>
                    <w:top w:val="none" w:sz="0" w:space="0" w:color="auto"/>
                    <w:left w:val="none" w:sz="0" w:space="0" w:color="auto"/>
                    <w:bottom w:val="none" w:sz="0" w:space="0" w:color="auto"/>
                    <w:right w:val="none" w:sz="0" w:space="0" w:color="auto"/>
                  </w:divBdr>
                  <w:divsChild>
                    <w:div w:id="750273443">
                      <w:marLeft w:val="0"/>
                      <w:marRight w:val="0"/>
                      <w:marTop w:val="0"/>
                      <w:marBottom w:val="0"/>
                      <w:divBdr>
                        <w:top w:val="none" w:sz="0" w:space="0" w:color="auto"/>
                        <w:left w:val="none" w:sz="0" w:space="0" w:color="auto"/>
                        <w:bottom w:val="none" w:sz="0" w:space="0" w:color="auto"/>
                        <w:right w:val="none" w:sz="0" w:space="0" w:color="auto"/>
                      </w:divBdr>
                    </w:div>
                  </w:divsChild>
                </w:div>
                <w:div w:id="1729567425">
                  <w:marLeft w:val="0"/>
                  <w:marRight w:val="0"/>
                  <w:marTop w:val="0"/>
                  <w:marBottom w:val="0"/>
                  <w:divBdr>
                    <w:top w:val="none" w:sz="0" w:space="0" w:color="auto"/>
                    <w:left w:val="none" w:sz="0" w:space="0" w:color="auto"/>
                    <w:bottom w:val="none" w:sz="0" w:space="0" w:color="auto"/>
                    <w:right w:val="none" w:sz="0" w:space="0" w:color="auto"/>
                  </w:divBdr>
                  <w:divsChild>
                    <w:div w:id="133764036">
                      <w:marLeft w:val="0"/>
                      <w:marRight w:val="0"/>
                      <w:marTop w:val="0"/>
                      <w:marBottom w:val="0"/>
                      <w:divBdr>
                        <w:top w:val="none" w:sz="0" w:space="0" w:color="auto"/>
                        <w:left w:val="none" w:sz="0" w:space="0" w:color="auto"/>
                        <w:bottom w:val="none" w:sz="0" w:space="0" w:color="auto"/>
                        <w:right w:val="none" w:sz="0" w:space="0" w:color="auto"/>
                      </w:divBdr>
                    </w:div>
                  </w:divsChild>
                </w:div>
                <w:div w:id="1983190033">
                  <w:marLeft w:val="0"/>
                  <w:marRight w:val="0"/>
                  <w:marTop w:val="0"/>
                  <w:marBottom w:val="0"/>
                  <w:divBdr>
                    <w:top w:val="none" w:sz="0" w:space="0" w:color="auto"/>
                    <w:left w:val="none" w:sz="0" w:space="0" w:color="auto"/>
                    <w:bottom w:val="none" w:sz="0" w:space="0" w:color="auto"/>
                    <w:right w:val="none" w:sz="0" w:space="0" w:color="auto"/>
                  </w:divBdr>
                  <w:divsChild>
                    <w:div w:id="149313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517797">
          <w:marLeft w:val="0"/>
          <w:marRight w:val="0"/>
          <w:marTop w:val="0"/>
          <w:marBottom w:val="0"/>
          <w:divBdr>
            <w:top w:val="none" w:sz="0" w:space="0" w:color="auto"/>
            <w:left w:val="none" w:sz="0" w:space="0" w:color="auto"/>
            <w:bottom w:val="none" w:sz="0" w:space="0" w:color="auto"/>
            <w:right w:val="none" w:sz="0" w:space="0" w:color="auto"/>
          </w:divBdr>
        </w:div>
        <w:div w:id="1201892623">
          <w:marLeft w:val="0"/>
          <w:marRight w:val="0"/>
          <w:marTop w:val="0"/>
          <w:marBottom w:val="0"/>
          <w:divBdr>
            <w:top w:val="none" w:sz="0" w:space="0" w:color="auto"/>
            <w:left w:val="none" w:sz="0" w:space="0" w:color="auto"/>
            <w:bottom w:val="none" w:sz="0" w:space="0" w:color="auto"/>
            <w:right w:val="none" w:sz="0" w:space="0" w:color="auto"/>
          </w:divBdr>
        </w:div>
        <w:div w:id="1568416972">
          <w:marLeft w:val="0"/>
          <w:marRight w:val="0"/>
          <w:marTop w:val="0"/>
          <w:marBottom w:val="0"/>
          <w:divBdr>
            <w:top w:val="none" w:sz="0" w:space="0" w:color="auto"/>
            <w:left w:val="none" w:sz="0" w:space="0" w:color="auto"/>
            <w:bottom w:val="none" w:sz="0" w:space="0" w:color="auto"/>
            <w:right w:val="none" w:sz="0" w:space="0" w:color="auto"/>
          </w:divBdr>
        </w:div>
      </w:divsChild>
    </w:div>
    <w:div w:id="296884889">
      <w:bodyDiv w:val="1"/>
      <w:marLeft w:val="0"/>
      <w:marRight w:val="0"/>
      <w:marTop w:val="0"/>
      <w:marBottom w:val="0"/>
      <w:divBdr>
        <w:top w:val="none" w:sz="0" w:space="0" w:color="auto"/>
        <w:left w:val="none" w:sz="0" w:space="0" w:color="auto"/>
        <w:bottom w:val="none" w:sz="0" w:space="0" w:color="auto"/>
        <w:right w:val="none" w:sz="0" w:space="0" w:color="auto"/>
      </w:divBdr>
    </w:div>
    <w:div w:id="1466779556">
      <w:bodyDiv w:val="1"/>
      <w:marLeft w:val="0"/>
      <w:marRight w:val="0"/>
      <w:marTop w:val="0"/>
      <w:marBottom w:val="0"/>
      <w:divBdr>
        <w:top w:val="none" w:sz="0" w:space="0" w:color="auto"/>
        <w:left w:val="none" w:sz="0" w:space="0" w:color="auto"/>
        <w:bottom w:val="none" w:sz="0" w:space="0" w:color="auto"/>
        <w:right w:val="none" w:sz="0" w:space="0" w:color="auto"/>
      </w:divBdr>
    </w:div>
    <w:div w:id="1988582625">
      <w:bodyDiv w:val="1"/>
      <w:marLeft w:val="0"/>
      <w:marRight w:val="0"/>
      <w:marTop w:val="0"/>
      <w:marBottom w:val="0"/>
      <w:divBdr>
        <w:top w:val="none" w:sz="0" w:space="0" w:color="auto"/>
        <w:left w:val="none" w:sz="0" w:space="0" w:color="auto"/>
        <w:bottom w:val="none" w:sz="0" w:space="0" w:color="auto"/>
        <w:right w:val="none" w:sz="0" w:space="0" w:color="auto"/>
      </w:divBdr>
      <w:divsChild>
        <w:div w:id="73626080">
          <w:marLeft w:val="0"/>
          <w:marRight w:val="0"/>
          <w:marTop w:val="0"/>
          <w:marBottom w:val="0"/>
          <w:divBdr>
            <w:top w:val="none" w:sz="0" w:space="0" w:color="auto"/>
            <w:left w:val="none" w:sz="0" w:space="0" w:color="auto"/>
            <w:bottom w:val="none" w:sz="0" w:space="0" w:color="auto"/>
            <w:right w:val="none" w:sz="0" w:space="0" w:color="auto"/>
          </w:divBdr>
        </w:div>
        <w:div w:id="707149000">
          <w:marLeft w:val="0"/>
          <w:marRight w:val="0"/>
          <w:marTop w:val="0"/>
          <w:marBottom w:val="0"/>
          <w:divBdr>
            <w:top w:val="none" w:sz="0" w:space="0" w:color="auto"/>
            <w:left w:val="none" w:sz="0" w:space="0" w:color="auto"/>
            <w:bottom w:val="none" w:sz="0" w:space="0" w:color="auto"/>
            <w:right w:val="none" w:sz="0" w:space="0" w:color="auto"/>
          </w:divBdr>
        </w:div>
        <w:div w:id="866455516">
          <w:marLeft w:val="0"/>
          <w:marRight w:val="0"/>
          <w:marTop w:val="0"/>
          <w:marBottom w:val="0"/>
          <w:divBdr>
            <w:top w:val="none" w:sz="0" w:space="0" w:color="auto"/>
            <w:left w:val="none" w:sz="0" w:space="0" w:color="auto"/>
            <w:bottom w:val="none" w:sz="0" w:space="0" w:color="auto"/>
            <w:right w:val="none" w:sz="0" w:space="0" w:color="auto"/>
          </w:divBdr>
        </w:div>
        <w:div w:id="910696856">
          <w:marLeft w:val="0"/>
          <w:marRight w:val="0"/>
          <w:marTop w:val="0"/>
          <w:marBottom w:val="0"/>
          <w:divBdr>
            <w:top w:val="none" w:sz="0" w:space="0" w:color="auto"/>
            <w:left w:val="none" w:sz="0" w:space="0" w:color="auto"/>
            <w:bottom w:val="none" w:sz="0" w:space="0" w:color="auto"/>
            <w:right w:val="none" w:sz="0" w:space="0" w:color="auto"/>
          </w:divBdr>
        </w:div>
        <w:div w:id="1245410011">
          <w:marLeft w:val="0"/>
          <w:marRight w:val="0"/>
          <w:marTop w:val="0"/>
          <w:marBottom w:val="0"/>
          <w:divBdr>
            <w:top w:val="none" w:sz="0" w:space="0" w:color="auto"/>
            <w:left w:val="none" w:sz="0" w:space="0" w:color="auto"/>
            <w:bottom w:val="none" w:sz="0" w:space="0" w:color="auto"/>
            <w:right w:val="none" w:sz="0" w:space="0" w:color="auto"/>
          </w:divBdr>
        </w:div>
        <w:div w:id="1519078066">
          <w:marLeft w:val="0"/>
          <w:marRight w:val="0"/>
          <w:marTop w:val="0"/>
          <w:marBottom w:val="0"/>
          <w:divBdr>
            <w:top w:val="none" w:sz="0" w:space="0" w:color="auto"/>
            <w:left w:val="none" w:sz="0" w:space="0" w:color="auto"/>
            <w:bottom w:val="none" w:sz="0" w:space="0" w:color="auto"/>
            <w:right w:val="none" w:sz="0" w:space="0" w:color="auto"/>
          </w:divBdr>
        </w:div>
        <w:div w:id="19371263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health.gov.au/initiatives-and-programs/an-acc"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resources/publications/the-australian-national-aged-care-classification-an-acc-funding-guide"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_HENKJA\AppData\Local\Microsoft\Windows\INetCache\Content.Outlook\859GQ8OM\Aged_Care_Teal_factsheet_web%20(3).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C06562A4C7FCB449B30A025D981B1B5" ma:contentTypeVersion="13" ma:contentTypeDescription="Create a new document." ma:contentTypeScope="" ma:versionID="c4092d97c7aa492b63689308b24197f1">
  <xsd:schema xmlns:xsd="http://www.w3.org/2001/XMLSchema" xmlns:xs="http://www.w3.org/2001/XMLSchema" xmlns:p="http://schemas.microsoft.com/office/2006/metadata/properties" xmlns:ns2="d26da294-f5b6-4e2d-8b21-4a7d04dca982" xmlns:ns3="d48bfc06-5762-4cfb-85f8-969387ebc8ab" targetNamespace="http://schemas.microsoft.com/office/2006/metadata/properties" ma:root="true" ma:fieldsID="8982cbecabcc7ce40bd1a9d93afa9345" ns2:_="" ns3:_="">
    <xsd:import namespace="d26da294-f5b6-4e2d-8b21-4a7d04dca982"/>
    <xsd:import namespace="d48bfc06-5762-4cfb-85f8-969387ebc8a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6da294-f5b6-4e2d-8b21-4a7d04dca9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48bfc06-5762-4cfb-85f8-969387ebc8a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3da6ba94-57bf-4ca0-9c63-de628d56127e}" ma:internalName="TaxCatchAll" ma:showField="CatchAllData" ma:web="d48bfc06-5762-4cfb-85f8-969387ebc8a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d48bfc06-5762-4cfb-85f8-969387ebc8ab" xsi:nil="true"/>
    <lcf76f155ced4ddcb4097134ff3c332f xmlns="d26da294-f5b6-4e2d-8b21-4a7d04dca98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2482C8F-E0B2-481F-A178-9FE4AA0C5F6D}">
  <ds:schemaRefs>
    <ds:schemaRef ds:uri="http://schemas.microsoft.com/sharepoint/v3/contenttype/forms"/>
  </ds:schemaRefs>
</ds:datastoreItem>
</file>

<file path=customXml/itemProps2.xml><?xml version="1.0" encoding="utf-8"?>
<ds:datastoreItem xmlns:ds="http://schemas.openxmlformats.org/officeDocument/2006/customXml" ds:itemID="{C888E66C-F4FB-4759-B643-695C21C1C0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6da294-f5b6-4e2d-8b21-4a7d04dca982"/>
    <ds:schemaRef ds:uri="d48bfc06-5762-4cfb-85f8-969387ebc8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FAD673-DEBF-448B-A470-B04B3D81FA2F}">
  <ds:schemaRefs>
    <ds:schemaRef ds:uri="http://schemas.openxmlformats.org/officeDocument/2006/bibliography"/>
  </ds:schemaRefs>
</ds:datastoreItem>
</file>

<file path=customXml/itemProps4.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d48bfc06-5762-4cfb-85f8-969387ebc8ab"/>
    <ds:schemaRef ds:uri="d26da294-f5b6-4e2d-8b21-4a7d04dca982"/>
  </ds:schemaRefs>
</ds:datastoreItem>
</file>

<file path=docProps/app.xml><?xml version="1.0" encoding="utf-8"?>
<Properties xmlns="http://schemas.openxmlformats.org/officeDocument/2006/extended-properties" xmlns:vt="http://schemas.openxmlformats.org/officeDocument/2006/docPropsVTypes">
  <Template>Aged_Care_Teal_factsheet_web (3).dotx</Template>
  <TotalTime>0</TotalTime>
  <Pages>2</Pages>
  <Words>654</Words>
  <Characters>3670</Characters>
  <Application>Microsoft Office Word</Application>
  <DocSecurity>0</DocSecurity>
  <Lines>50</Lines>
  <Paragraphs>28</Paragraphs>
  <ScaleCrop>false</ScaleCrop>
  <HeadingPairs>
    <vt:vector size="2" baseType="variant">
      <vt:variant>
        <vt:lpstr>Title</vt:lpstr>
      </vt:variant>
      <vt:variant>
        <vt:i4>1</vt:i4>
      </vt:variant>
    </vt:vector>
  </HeadingPairs>
  <TitlesOfParts>
    <vt:vector size="1" baseType="lpstr">
      <vt:lpstr>AN-ACC Transition Fund</vt:lpstr>
    </vt:vector>
  </TitlesOfParts>
  <Company/>
  <LinksUpToDate>false</LinksUpToDate>
  <CharactersWithSpaces>4296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is the AN-ACC Transition Fund?</dc:title>
  <dc:subject>Aged Care</dc:subject>
  <dc:creator>Australian Government Department of Health and Aged Care</dc:creator>
  <cp:keywords>Aged Care, Senior Australians, Transition Fund</cp:keywords>
  <dc:description/>
  <cp:lastModifiedBy>MASCHKE, Elvia</cp:lastModifiedBy>
  <cp:revision>3</cp:revision>
  <dcterms:created xsi:type="dcterms:W3CDTF">2024-12-10T01:43:00Z</dcterms:created>
  <dcterms:modified xsi:type="dcterms:W3CDTF">2024-12-10T01:43:00Z</dcterms:modified>
</cp:coreProperties>
</file>